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4D0BB" w14:textId="77777777" w:rsidR="00D41ED0" w:rsidRDefault="00CB0D2A">
      <w:pPr>
        <w:widowControl w:val="0"/>
        <w:pBdr>
          <w:top w:val="nil"/>
          <w:left w:val="nil"/>
          <w:bottom w:val="nil"/>
          <w:right w:val="nil"/>
          <w:between w:val="nil"/>
        </w:pBdr>
        <w:spacing w:after="0"/>
      </w:pPr>
      <w:r>
        <w:pict w14:anchorId="1336E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C02C059">
          <v:shape id="_x0000_s1027" type="#_x0000_t136" style="position:absolute;margin-left:0;margin-top:0;width:50pt;height:50pt;z-index:251657728;visibility:hidden">
            <o:lock v:ext="edit" selection="t"/>
          </v:shape>
        </w:pict>
      </w:r>
      <w:r>
        <w:pict w14:anchorId="5099D75E">
          <v:shape id="_x0000_s1026" type="#_x0000_t136" style="position:absolute;margin-left:0;margin-top:0;width:50pt;height:50pt;z-index:251658752;visibility:hidden">
            <o:lock v:ext="edit" selection="t"/>
          </v:shape>
        </w:pict>
      </w:r>
    </w:p>
    <w:p w14:paraId="05F87EE9" w14:textId="008688C7" w:rsidR="00D41ED0" w:rsidRDefault="007F708F">
      <w:pPr>
        <w:pBdr>
          <w:top w:val="nil"/>
          <w:left w:val="nil"/>
          <w:bottom w:val="nil"/>
          <w:right w:val="nil"/>
          <w:between w:val="nil"/>
        </w:pBdr>
        <w:tabs>
          <w:tab w:val="center" w:pos="4513"/>
          <w:tab w:val="right" w:pos="9026"/>
        </w:tabs>
        <w:spacing w:after="0" w:line="360" w:lineRule="auto"/>
        <w:jc w:val="center"/>
        <w:rPr>
          <w:rFonts w:ascii="Arial" w:eastAsia="Arial" w:hAnsi="Arial" w:cs="Arial"/>
          <w:b/>
          <w:color w:val="000000"/>
          <w:sz w:val="36"/>
          <w:szCs w:val="36"/>
        </w:rPr>
      </w:pPr>
      <w:r>
        <w:rPr>
          <w:rFonts w:ascii="Arial" w:eastAsia="Arial" w:hAnsi="Arial" w:cs="Arial"/>
          <w:b/>
          <w:color w:val="000000"/>
          <w:sz w:val="36"/>
          <w:szCs w:val="36"/>
        </w:rPr>
        <w:t>Environmental Sustainability and Steel Manufacturing Industries of Odisha, India</w:t>
      </w:r>
    </w:p>
    <w:p w14:paraId="2929768E" w14:textId="77777777" w:rsidR="00D41ED0" w:rsidRDefault="00D41ED0">
      <w:pPr>
        <w:spacing w:after="0" w:line="240" w:lineRule="auto"/>
        <w:rPr>
          <w:rFonts w:ascii="Arial" w:eastAsia="Arial" w:hAnsi="Arial" w:cs="Arial"/>
          <w:b/>
          <w:i/>
          <w:sz w:val="24"/>
          <w:szCs w:val="24"/>
          <w:vertAlign w:val="superscript"/>
        </w:rPr>
      </w:pPr>
    </w:p>
    <w:p w14:paraId="36B5EB1F" w14:textId="77777777" w:rsidR="00D41ED0" w:rsidRDefault="00CB0D2A">
      <w:pPr>
        <w:spacing w:after="0" w:line="240" w:lineRule="auto"/>
        <w:rPr>
          <w:rFonts w:ascii="Arial" w:eastAsia="Arial" w:hAnsi="Arial" w:cs="Arial"/>
          <w:b/>
          <w:i/>
          <w:sz w:val="24"/>
          <w:szCs w:val="24"/>
          <w:vertAlign w:val="superscript"/>
        </w:rPr>
      </w:pPr>
      <w:r>
        <w:rPr>
          <w:rFonts w:ascii="Arial" w:eastAsia="Arial" w:hAnsi="Arial" w:cs="Arial"/>
          <w:b/>
          <w:i/>
          <w:sz w:val="24"/>
          <w:szCs w:val="24"/>
          <w:vertAlign w:val="superscript"/>
        </w:rPr>
        <w:t>ABSTRACT</w:t>
      </w:r>
    </w:p>
    <w:tbl>
      <w:tblPr>
        <w:tblStyle w:val="a7"/>
        <w:tblpPr w:leftFromText="180" w:rightFromText="180" w:topFromText="180" w:bottomFromText="180" w:vertAnchor="text" w:tblpY="517"/>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5"/>
      </w:tblGrid>
      <w:tr w:rsidR="00D41ED0" w14:paraId="2C5EA294" w14:textId="77777777">
        <w:trPr>
          <w:trHeight w:val="7057"/>
        </w:trPr>
        <w:tc>
          <w:tcPr>
            <w:tcW w:w="10245" w:type="dxa"/>
            <w:shd w:val="clear" w:color="auto" w:fill="F2F2F2"/>
          </w:tcPr>
          <w:p w14:paraId="7C09CD50" w14:textId="77777777" w:rsidR="00D41ED0" w:rsidRDefault="00CB0D2A">
            <w:pPr>
              <w:spacing w:before="240" w:after="0"/>
              <w:jc w:val="both"/>
              <w:rPr>
                <w:rFonts w:ascii="Arial" w:eastAsia="Arial" w:hAnsi="Arial" w:cs="Arial"/>
                <w:b/>
                <w:sz w:val="20"/>
                <w:szCs w:val="20"/>
              </w:rPr>
            </w:pPr>
            <w:r>
              <w:rPr>
                <w:rFonts w:ascii="Arial" w:eastAsia="Arial" w:hAnsi="Arial" w:cs="Arial"/>
                <w:b/>
                <w:sz w:val="20"/>
                <w:szCs w:val="20"/>
              </w:rPr>
              <w:t>Aim</w:t>
            </w:r>
          </w:p>
          <w:p w14:paraId="1F167A17" w14:textId="77777777" w:rsidR="00D41ED0" w:rsidRDefault="00CB0D2A">
            <w:pPr>
              <w:spacing w:before="240" w:after="0"/>
              <w:rPr>
                <w:rFonts w:ascii="Arial" w:eastAsia="Arial" w:hAnsi="Arial" w:cs="Arial"/>
                <w:sz w:val="20"/>
                <w:szCs w:val="20"/>
              </w:rPr>
            </w:pPr>
            <w:r>
              <w:rPr>
                <w:rFonts w:ascii="Arial" w:eastAsia="Arial" w:hAnsi="Arial" w:cs="Arial"/>
                <w:sz w:val="20"/>
                <w:szCs w:val="20"/>
              </w:rPr>
              <w:t>The economic and environmental effects of CO2 emissions from the steel industry in Odisha are</w:t>
            </w:r>
            <w:r>
              <w:rPr>
                <w:rFonts w:ascii="Arial" w:eastAsia="Arial" w:hAnsi="Arial" w:cs="Arial"/>
                <w:sz w:val="20"/>
                <w:szCs w:val="20"/>
              </w:rPr>
              <w:t xml:space="preserve"> investigated in this study. With reference to the Sustainable Development Goals (SDGs) of the UN, it assesses how green finance, cutting-edge technologies, and ESG (Environmental, Social, and Governance) practices contribute to sustainable development.</w:t>
            </w:r>
            <w:r>
              <w:rPr>
                <w:rFonts w:ascii="Arial" w:eastAsia="Arial" w:hAnsi="Arial" w:cs="Arial"/>
                <w:sz w:val="20"/>
                <w:szCs w:val="20"/>
              </w:rPr>
              <w:br/>
            </w:r>
            <w:r>
              <w:rPr>
                <w:rFonts w:ascii="Arial" w:eastAsia="Arial" w:hAnsi="Arial" w:cs="Arial"/>
                <w:sz w:val="20"/>
                <w:szCs w:val="20"/>
              </w:rPr>
              <w:br/>
              <w:t xml:space="preserve"> </w:t>
            </w:r>
            <w:r>
              <w:rPr>
                <w:rFonts w:ascii="Arial" w:eastAsia="Arial" w:hAnsi="Arial" w:cs="Arial"/>
                <w:b/>
                <w:sz w:val="20"/>
                <w:szCs w:val="20"/>
              </w:rPr>
              <w:t>Study Design</w:t>
            </w:r>
            <w:r>
              <w:rPr>
                <w:rFonts w:ascii="Arial" w:eastAsia="Arial" w:hAnsi="Arial" w:cs="Arial"/>
                <w:b/>
                <w:sz w:val="20"/>
                <w:szCs w:val="20"/>
              </w:rPr>
              <w:br/>
            </w:r>
            <w:r>
              <w:rPr>
                <w:rFonts w:ascii="Arial" w:eastAsia="Arial" w:hAnsi="Arial" w:cs="Arial"/>
                <w:sz w:val="20"/>
                <w:szCs w:val="20"/>
              </w:rPr>
              <w:t xml:space="preserve"> Key sustainability drivers are evaluated using a mixed-methods design that combines quantitative analysis using multiple linear regression with a review of the literature.</w:t>
            </w:r>
          </w:p>
          <w:p w14:paraId="3C5679EE" w14:textId="77777777" w:rsidR="00D41ED0" w:rsidRDefault="00CB0D2A">
            <w:pPr>
              <w:spacing w:before="240" w:after="240"/>
              <w:rPr>
                <w:rFonts w:ascii="Arial" w:eastAsia="Arial" w:hAnsi="Arial" w:cs="Arial"/>
                <w:sz w:val="20"/>
                <w:szCs w:val="20"/>
              </w:rPr>
            </w:pPr>
            <w:r>
              <w:rPr>
                <w:rFonts w:ascii="Arial" w:eastAsia="Arial" w:hAnsi="Arial" w:cs="Arial"/>
                <w:b/>
                <w:sz w:val="20"/>
                <w:szCs w:val="20"/>
              </w:rPr>
              <w:t>Place of study</w:t>
            </w:r>
            <w:r>
              <w:rPr>
                <w:rFonts w:ascii="Arial" w:eastAsia="Arial" w:hAnsi="Arial" w:cs="Arial"/>
                <w:b/>
                <w:sz w:val="20"/>
                <w:szCs w:val="20"/>
              </w:rPr>
              <w:br/>
            </w:r>
            <w:r>
              <w:rPr>
                <w:rFonts w:ascii="Arial" w:eastAsia="Arial" w:hAnsi="Arial" w:cs="Arial"/>
                <w:sz w:val="20"/>
                <w:szCs w:val="20"/>
              </w:rPr>
              <w:t xml:space="preserve"> The study focuses on major private industries in </w:t>
            </w:r>
            <w:proofErr w:type="spellStart"/>
            <w:r>
              <w:rPr>
                <w:rFonts w:ascii="Arial" w:eastAsia="Arial" w:hAnsi="Arial" w:cs="Arial"/>
                <w:sz w:val="20"/>
                <w:szCs w:val="20"/>
              </w:rPr>
              <w:t>Kalin</w:t>
            </w:r>
            <w:r>
              <w:rPr>
                <w:rFonts w:ascii="Arial" w:eastAsia="Arial" w:hAnsi="Arial" w:cs="Arial"/>
                <w:sz w:val="20"/>
                <w:szCs w:val="20"/>
              </w:rPr>
              <w:t>ganagar</w:t>
            </w:r>
            <w:proofErr w:type="spellEnd"/>
            <w:r>
              <w:rPr>
                <w:rFonts w:ascii="Arial" w:eastAsia="Arial" w:hAnsi="Arial" w:cs="Arial"/>
                <w:sz w:val="20"/>
                <w:szCs w:val="20"/>
              </w:rPr>
              <w:t xml:space="preserve">, </w:t>
            </w:r>
            <w:proofErr w:type="spellStart"/>
            <w:r>
              <w:rPr>
                <w:rFonts w:ascii="Arial" w:eastAsia="Arial" w:hAnsi="Arial" w:cs="Arial"/>
                <w:sz w:val="20"/>
                <w:szCs w:val="20"/>
              </w:rPr>
              <w:t>Angul</w:t>
            </w:r>
            <w:proofErr w:type="spellEnd"/>
            <w:r>
              <w:rPr>
                <w:rFonts w:ascii="Arial" w:eastAsia="Arial" w:hAnsi="Arial" w:cs="Arial"/>
                <w:sz w:val="20"/>
                <w:szCs w:val="20"/>
              </w:rPr>
              <w:t>, and Jharsuguda as well as steel plants in Odisha, such as the Rourkela Steel Plant.</w:t>
            </w:r>
            <w:r>
              <w:rPr>
                <w:rFonts w:ascii="Arial" w:eastAsia="Arial" w:hAnsi="Arial" w:cs="Arial"/>
                <w:sz w:val="20"/>
                <w:szCs w:val="20"/>
              </w:rPr>
              <w:br/>
            </w:r>
            <w:r>
              <w:rPr>
                <w:rFonts w:ascii="Arial" w:eastAsia="Arial" w:hAnsi="Arial" w:cs="Arial"/>
                <w:sz w:val="20"/>
                <w:szCs w:val="20"/>
              </w:rPr>
              <w:br/>
              <w:t xml:space="preserve"> </w:t>
            </w:r>
            <w:r>
              <w:rPr>
                <w:rFonts w:ascii="Arial" w:eastAsia="Arial" w:hAnsi="Arial" w:cs="Arial"/>
                <w:b/>
                <w:sz w:val="20"/>
                <w:szCs w:val="20"/>
              </w:rPr>
              <w:t>Methodology</w:t>
            </w:r>
            <w:r>
              <w:rPr>
                <w:rFonts w:ascii="Arial" w:eastAsia="Arial" w:hAnsi="Arial" w:cs="Arial"/>
                <w:b/>
                <w:sz w:val="20"/>
                <w:szCs w:val="20"/>
              </w:rPr>
              <w:br/>
            </w:r>
            <w:r>
              <w:rPr>
                <w:rFonts w:ascii="Arial" w:eastAsia="Arial" w:hAnsi="Arial" w:cs="Arial"/>
                <w:sz w:val="20"/>
                <w:szCs w:val="20"/>
              </w:rPr>
              <w:t>The research uses descriptive statistics, correlation analysis, R-square measurements, ANOVA, coefficient estimation, and residual analysis to</w:t>
            </w:r>
            <w:r>
              <w:rPr>
                <w:rFonts w:ascii="Arial" w:eastAsia="Arial" w:hAnsi="Arial" w:cs="Arial"/>
                <w:sz w:val="20"/>
                <w:szCs w:val="20"/>
              </w:rPr>
              <w:t xml:space="preserve"> assess the green finance, innovation, and environmental sustainability relationship in Odisha's steel industry.</w:t>
            </w:r>
          </w:p>
          <w:p w14:paraId="5C90746E" w14:textId="77777777" w:rsidR="00D41ED0" w:rsidRDefault="00CB0D2A">
            <w:pPr>
              <w:spacing w:before="240" w:after="24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Results</w:t>
            </w:r>
            <w:r>
              <w:rPr>
                <w:rFonts w:ascii="Arial" w:eastAsia="Arial" w:hAnsi="Arial" w:cs="Arial"/>
                <w:b/>
                <w:sz w:val="20"/>
                <w:szCs w:val="20"/>
              </w:rPr>
              <w:br/>
              <w:t xml:space="preserve"> </w:t>
            </w:r>
            <w:sdt>
              <w:sdtPr>
                <w:tag w:val="goog_rdk_0"/>
                <w:id w:val="-1518607330"/>
              </w:sdtPr>
              <w:sdtEndPr/>
              <w:sdtContent>
                <w:r>
                  <w:rPr>
                    <w:rFonts w:ascii="Arial Unicode MS" w:eastAsia="Arial Unicode MS" w:hAnsi="Arial Unicode MS" w:cs="Arial Unicode MS"/>
                    <w:sz w:val="20"/>
                    <w:szCs w:val="20"/>
                  </w:rPr>
                  <w:t>Sustainability was most positively impacted by green finance (β ≈ 0.42, p &lt; 0.01). CO₂ intensity decreased by 18–22% (p &lt; 0.05) in pl</w:t>
                </w:r>
                <w:r>
                  <w:rPr>
                    <w:rFonts w:ascii="Arial Unicode MS" w:eastAsia="Arial Unicode MS" w:hAnsi="Arial Unicode MS" w:cs="Arial Unicode MS"/>
                    <w:sz w:val="20"/>
                    <w:szCs w:val="20"/>
                  </w:rPr>
                  <w:t xml:space="preserve">ants that used CCS and waste heat recovery. Sustainability performance was also positively correlated with ESG disclosure scores. Sustainable energy R&amp;D investment and share had a moderate impact. The model accounted for 67% of the variance (Adjusted R2 = </w:t>
                </w:r>
                <w:r>
                  <w:rPr>
                    <w:rFonts w:ascii="Arial Unicode MS" w:eastAsia="Arial Unicode MS" w:hAnsi="Arial Unicode MS" w:cs="Arial Unicode MS"/>
                    <w:sz w:val="20"/>
                    <w:szCs w:val="20"/>
                  </w:rPr>
                  <w:t>0.67), suggesting that governance, technology, and finances have a major impact on long-term results in the steel industry in Odisha.</w:t>
                </w:r>
              </w:sdtContent>
            </w:sdt>
          </w:p>
          <w:p w14:paraId="2CCF790D" w14:textId="77777777" w:rsidR="00D41ED0" w:rsidRDefault="00CB0D2A">
            <w:pPr>
              <w:spacing w:before="240" w:after="240"/>
              <w:rPr>
                <w:rFonts w:ascii="Arial" w:eastAsia="Arial" w:hAnsi="Arial" w:cs="Arial"/>
                <w:sz w:val="20"/>
                <w:szCs w:val="20"/>
              </w:rPr>
            </w:pPr>
            <w:r>
              <w:rPr>
                <w:rFonts w:ascii="Arial" w:eastAsia="Arial" w:hAnsi="Arial" w:cs="Arial"/>
                <w:b/>
                <w:sz w:val="20"/>
                <w:szCs w:val="20"/>
              </w:rPr>
              <w:t>Conclusion</w:t>
            </w:r>
          </w:p>
          <w:p w14:paraId="2E63C070" w14:textId="77777777" w:rsidR="00D41ED0" w:rsidRDefault="00CB0D2A">
            <w:pPr>
              <w:spacing w:before="240" w:after="240"/>
              <w:rPr>
                <w:rFonts w:ascii="Arial" w:eastAsia="Arial" w:hAnsi="Arial" w:cs="Arial"/>
                <w:sz w:val="20"/>
                <w:szCs w:val="20"/>
              </w:rPr>
            </w:pPr>
            <w:r>
              <w:rPr>
                <w:rFonts w:ascii="Arial" w:eastAsia="Arial" w:hAnsi="Arial" w:cs="Arial"/>
                <w:sz w:val="20"/>
                <w:szCs w:val="20"/>
              </w:rPr>
              <w:t>Green finance, advanced technologies, and ESG practices significantly enhance sustainability in Odisha's stee</w:t>
            </w:r>
            <w:r>
              <w:rPr>
                <w:rFonts w:ascii="Arial" w:eastAsia="Arial" w:hAnsi="Arial" w:cs="Arial"/>
                <w:sz w:val="20"/>
                <w:szCs w:val="20"/>
              </w:rPr>
              <w:t>l industry, aligning with SDGs by reducing emissions and promoting efficient, socially responsible industrial development.</w:t>
            </w:r>
          </w:p>
          <w:p w14:paraId="43DA64ED" w14:textId="77777777" w:rsidR="00D41ED0" w:rsidRDefault="00CB0D2A">
            <w:pPr>
              <w:spacing w:after="0"/>
              <w:rPr>
                <w:rFonts w:ascii="Arial" w:eastAsia="Arial" w:hAnsi="Arial" w:cs="Arial"/>
                <w:sz w:val="20"/>
                <w:szCs w:val="20"/>
              </w:rPr>
            </w:pPr>
            <w:r>
              <w:rPr>
                <w:rFonts w:ascii="Arial" w:eastAsia="Arial" w:hAnsi="Arial" w:cs="Arial"/>
                <w:sz w:val="20"/>
                <w:szCs w:val="20"/>
              </w:rPr>
              <w:lastRenderedPageBreak/>
              <w:t xml:space="preserve"> </w:t>
            </w:r>
            <w:r w:rsidRPr="007F708F">
              <w:rPr>
                <w:rFonts w:ascii="Arial" w:eastAsia="Arial" w:hAnsi="Arial" w:cs="Arial"/>
                <w:b/>
                <w:sz w:val="20"/>
                <w:szCs w:val="20"/>
              </w:rPr>
              <w:t>Keywords:</w:t>
            </w:r>
            <w:r>
              <w:rPr>
                <w:rFonts w:ascii="Arial" w:eastAsia="Arial" w:hAnsi="Arial" w:cs="Arial"/>
                <w:sz w:val="20"/>
                <w:szCs w:val="20"/>
              </w:rPr>
              <w:t xml:space="preserve"> Environmental degradation, greenhouse gas emissions, steel industry, sustainable development, green finance, ESG, carbon c</w:t>
            </w:r>
            <w:r>
              <w:rPr>
                <w:rFonts w:ascii="Arial" w:eastAsia="Arial" w:hAnsi="Arial" w:cs="Arial"/>
                <w:sz w:val="20"/>
                <w:szCs w:val="20"/>
              </w:rPr>
              <w:t>apture, decarbonization, renewable energy, corporate social responsibility</w:t>
            </w:r>
          </w:p>
        </w:tc>
      </w:tr>
    </w:tbl>
    <w:p w14:paraId="458FD05F" w14:textId="77777777" w:rsidR="00D41ED0" w:rsidRDefault="00D41ED0">
      <w:pPr>
        <w:spacing w:after="0" w:line="240" w:lineRule="auto"/>
        <w:jc w:val="right"/>
        <w:rPr>
          <w:rFonts w:ascii="Arial" w:eastAsia="Arial" w:hAnsi="Arial" w:cs="Arial"/>
          <w:i/>
          <w:sz w:val="20"/>
          <w:szCs w:val="20"/>
          <w:vertAlign w:val="superscript"/>
        </w:rPr>
      </w:pPr>
    </w:p>
    <w:p w14:paraId="3939A6BA" w14:textId="77777777" w:rsidR="00D41ED0" w:rsidRDefault="00D41ED0">
      <w:pPr>
        <w:spacing w:after="0" w:line="240" w:lineRule="auto"/>
        <w:jc w:val="right"/>
        <w:rPr>
          <w:rFonts w:ascii="Arial" w:eastAsia="Arial" w:hAnsi="Arial" w:cs="Arial"/>
          <w:i/>
          <w:sz w:val="20"/>
          <w:szCs w:val="20"/>
          <w:vertAlign w:val="superscript"/>
        </w:rPr>
      </w:pPr>
    </w:p>
    <w:p w14:paraId="73BDFBB8" w14:textId="77777777" w:rsidR="00D41ED0" w:rsidRDefault="00CB0D2A">
      <w:pPr>
        <w:spacing w:line="360" w:lineRule="auto"/>
        <w:rPr>
          <w:rFonts w:ascii="Arial" w:eastAsia="Arial" w:hAnsi="Arial" w:cs="Arial"/>
        </w:rPr>
      </w:pPr>
      <w:r>
        <w:rPr>
          <w:rFonts w:ascii="Arial" w:eastAsia="Arial" w:hAnsi="Arial" w:cs="Arial"/>
          <w:b/>
        </w:rPr>
        <w:t>INTRODUCTION</w:t>
      </w:r>
    </w:p>
    <w:p w14:paraId="5A6EACFD"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Increasing product demand forces industries to produce products on a large scale. This causes environmental disruption through the improper disposal of solid waste, </w:t>
      </w:r>
      <w:r>
        <w:rPr>
          <w:rFonts w:ascii="Arial" w:eastAsia="Arial" w:hAnsi="Arial" w:cs="Arial"/>
          <w:sz w:val="20"/>
          <w:szCs w:val="20"/>
        </w:rPr>
        <w:t>release of flue gases directly into the atmosphere. Because of this, the discharge of wastewater directly into water bodies damages the health of humans as well as other organisms. Only in the 1990s industry sectors, including the construction industry, be</w:t>
      </w:r>
      <w:r>
        <w:rPr>
          <w:rFonts w:ascii="Arial" w:eastAsia="Arial" w:hAnsi="Arial" w:cs="Arial"/>
          <w:sz w:val="20"/>
          <w:szCs w:val="20"/>
        </w:rPr>
        <w:t>gan realizing the environmental costs of their work (Andrade and Bragança, 2011). It is an enormous task for the industries to manage its waste and by-products in a way for the environment.</w:t>
      </w:r>
    </w:p>
    <w:p w14:paraId="62EF5C8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rPr>
        <w:t xml:space="preserve">        </w:t>
      </w:r>
      <w:r>
        <w:rPr>
          <w:rFonts w:ascii="Arial" w:eastAsia="Arial" w:hAnsi="Arial" w:cs="Arial"/>
        </w:rPr>
        <w:tab/>
      </w:r>
      <w:r>
        <w:rPr>
          <w:rFonts w:ascii="Arial" w:eastAsia="Arial" w:hAnsi="Arial" w:cs="Arial"/>
          <w:sz w:val="20"/>
          <w:szCs w:val="20"/>
        </w:rPr>
        <w:t>The only way to solve the above issues can be addressed t</w:t>
      </w:r>
      <w:r>
        <w:rPr>
          <w:rFonts w:ascii="Arial" w:eastAsia="Arial" w:hAnsi="Arial" w:cs="Arial"/>
          <w:sz w:val="20"/>
          <w:szCs w:val="20"/>
        </w:rPr>
        <w:t>hrough sustainable development. The term "sustainable" is a Latin term, which was used for the first time in publication of the Brundtland report "Our Common Future" in 1987 (Andrade and Bragança, 2011). Sustainability can be described with its own term to</w:t>
      </w:r>
      <w:r>
        <w:rPr>
          <w:rFonts w:ascii="Arial" w:eastAsia="Arial" w:hAnsi="Arial" w:cs="Arial"/>
          <w:sz w:val="20"/>
          <w:szCs w:val="20"/>
        </w:rPr>
        <w:t xml:space="preserve"> sustain either with time, efficiency, durability, less pollution, cost effectiveness etc. A wider concept of sustainability can be addressed with the glasses of environment. This addresses ecological stability of human habitation as a basic requirement an</w:t>
      </w:r>
      <w:r>
        <w:rPr>
          <w:rFonts w:ascii="Arial" w:eastAsia="Arial" w:hAnsi="Arial" w:cs="Arial"/>
          <w:sz w:val="20"/>
          <w:szCs w:val="20"/>
        </w:rPr>
        <w:t xml:space="preserve">d public service risks through investments in ecosystem services. There is increasing concern regarding the resilience, productivity and economic diversity of the </w:t>
      </w:r>
      <w:r>
        <w:rPr>
          <w:rFonts w:ascii="Arial" w:eastAsia="Arial" w:hAnsi="Arial" w:cs="Arial"/>
          <w:sz w:val="20"/>
          <w:szCs w:val="20"/>
        </w:rPr>
        <w:lastRenderedPageBreak/>
        <w:t>natural world. Environmental factors must be addressed as economic assets, also referred to a</w:t>
      </w:r>
      <w:r>
        <w:rPr>
          <w:rFonts w:ascii="Arial" w:eastAsia="Arial" w:hAnsi="Arial" w:cs="Arial"/>
          <w:sz w:val="20"/>
          <w:szCs w:val="20"/>
        </w:rPr>
        <w:t>s natural and social capital. It should encompass social equity, liability, social capital, health equity, social support, community development, human rights, etc. in context with technical as well as scientifically plausible approaches (Andrade and Braga</w:t>
      </w:r>
      <w:r>
        <w:rPr>
          <w:rFonts w:ascii="Arial" w:eastAsia="Arial" w:hAnsi="Arial" w:cs="Arial"/>
          <w:sz w:val="20"/>
          <w:szCs w:val="20"/>
        </w:rPr>
        <w:t>nça, 2011, Sala et al., 2015). Public policies have been formulated to fulfil the targets laid down by the Rio de Janeiro conference, in 1992 (Andrade and Bragança, 2011) for sustainability.</w:t>
      </w:r>
    </w:p>
    <w:p w14:paraId="13BD48C4"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The review is based on the method of approach via </w:t>
      </w:r>
      <w:r>
        <w:rPr>
          <w:rFonts w:ascii="Arial" w:eastAsia="Arial" w:hAnsi="Arial" w:cs="Arial"/>
          <w:sz w:val="20"/>
          <w:szCs w:val="20"/>
        </w:rPr>
        <w:t>sustainability in the manufacture of steel whose world demand keeps on increasing. The steel sector is a part of the category of heavy industries whose products are produced in large quantities. For country development, steel is consumed in huge amounts fo</w:t>
      </w:r>
      <w:r>
        <w:rPr>
          <w:rFonts w:ascii="Arial" w:eastAsia="Arial" w:hAnsi="Arial" w:cs="Arial"/>
          <w:sz w:val="20"/>
          <w:szCs w:val="20"/>
        </w:rPr>
        <w:t>r construction and with rapid growth of cities the demand for this essential commodity will be even greater. Different gas emissions and energy consumptions are the principal environmental issues with steel production. Steel with high recycling value requi</w:t>
      </w:r>
      <w:r>
        <w:rPr>
          <w:rFonts w:ascii="Arial" w:eastAsia="Arial" w:hAnsi="Arial" w:cs="Arial"/>
          <w:sz w:val="20"/>
          <w:szCs w:val="20"/>
        </w:rPr>
        <w:t>res sustainable management practices. By reducing the energy usage as well as utilizing alternative fuel sources that result in lower emission can assist the industry to be on the way towards sustainability. Additional carbon dioxide can be absorbed and st</w:t>
      </w:r>
      <w:r>
        <w:rPr>
          <w:rFonts w:ascii="Arial" w:eastAsia="Arial" w:hAnsi="Arial" w:cs="Arial"/>
          <w:sz w:val="20"/>
          <w:szCs w:val="20"/>
        </w:rPr>
        <w:t>ored through different mechanisms inside the plant to reduce greenhouse gas emissions in the environment (Schneider et al., 2012)</w:t>
      </w:r>
      <w:r>
        <w:rPr>
          <w:rFonts w:ascii="Arial" w:eastAsia="Arial" w:hAnsi="Arial" w:cs="Arial"/>
          <w:b/>
          <w:sz w:val="20"/>
          <w:szCs w:val="20"/>
        </w:rPr>
        <w:t>.</w:t>
      </w:r>
      <w:r>
        <w:rPr>
          <w:rFonts w:ascii="Arial" w:eastAsia="Arial" w:hAnsi="Arial" w:cs="Arial"/>
          <w:sz w:val="20"/>
          <w:szCs w:val="20"/>
        </w:rPr>
        <w:t xml:space="preserve"> These problems regarding environmental disclosure become the concern of all the parties that are the Government, Society and </w:t>
      </w:r>
      <w:r>
        <w:rPr>
          <w:rFonts w:ascii="Arial" w:eastAsia="Arial" w:hAnsi="Arial" w:cs="Arial"/>
          <w:sz w:val="20"/>
          <w:szCs w:val="20"/>
        </w:rPr>
        <w:t>Community, including the Indian Government. This means that India must take care to enhance measures to reduce emissions of carbon from the industries like steel manufacturing industries. According to the new regulations Company’s management has to restric</w:t>
      </w:r>
      <w:r>
        <w:rPr>
          <w:rFonts w:ascii="Arial" w:eastAsia="Arial" w:hAnsi="Arial" w:cs="Arial"/>
          <w:sz w:val="20"/>
          <w:szCs w:val="20"/>
        </w:rPr>
        <w:t>t themselves from damaging the Natural Environment, as well as will remain accountable for any damages made to the environment. At the same time suggestions for conducting and announcing Social and Environmental Responsibility have not been subjected posit</w:t>
      </w:r>
      <w:r>
        <w:rPr>
          <w:rFonts w:ascii="Arial" w:eastAsia="Arial" w:hAnsi="Arial" w:cs="Arial"/>
          <w:sz w:val="20"/>
          <w:szCs w:val="20"/>
        </w:rPr>
        <w:t>ively by the Indian Government. For this reason, environmental description remains optional in India. This optional report causes various problems for the companies in India. So, it says that in terms of the environmental disclosure and its quality India i</w:t>
      </w:r>
      <w:r>
        <w:rPr>
          <w:rFonts w:ascii="Arial" w:eastAsia="Arial" w:hAnsi="Arial" w:cs="Arial"/>
          <w:sz w:val="20"/>
          <w:szCs w:val="20"/>
        </w:rPr>
        <w:t xml:space="preserve">s considered to be on the lower side compared to other countries in the World. Environmental disclosure is a confirmation of corporate social responsibility for the environmental effects caused by manufacturing activities of different companies. According </w:t>
      </w:r>
      <w:r>
        <w:rPr>
          <w:rFonts w:ascii="Arial" w:eastAsia="Arial" w:hAnsi="Arial" w:cs="Arial"/>
          <w:sz w:val="20"/>
          <w:szCs w:val="20"/>
        </w:rPr>
        <w:t>to Brad Ford 2017; A Smith 2007 the composition of sustainability report or environmental ambiguity report or environmental disclosure was a material for stakeholders and is used to make various decisions. A handful of studies have made the latest trial to</w:t>
      </w:r>
      <w:r>
        <w:rPr>
          <w:rFonts w:ascii="Arial" w:eastAsia="Arial" w:hAnsi="Arial" w:cs="Arial"/>
          <w:sz w:val="20"/>
          <w:szCs w:val="20"/>
        </w:rPr>
        <w:t xml:space="preserve"> evaluate the result of the </w:t>
      </w:r>
      <w:proofErr w:type="spellStart"/>
      <w:r>
        <w:rPr>
          <w:rFonts w:ascii="Arial" w:eastAsia="Arial" w:hAnsi="Arial" w:cs="Arial"/>
          <w:sz w:val="20"/>
          <w:szCs w:val="20"/>
        </w:rPr>
        <w:t>decarbonisation</w:t>
      </w:r>
      <w:proofErr w:type="spellEnd"/>
      <w:r>
        <w:rPr>
          <w:rFonts w:ascii="Arial" w:eastAsia="Arial" w:hAnsi="Arial" w:cs="Arial"/>
          <w:sz w:val="20"/>
          <w:szCs w:val="20"/>
        </w:rPr>
        <w:t xml:space="preserve"> process on business action and industrial engagement. The recent economic crisis that is in 2020 has created an extra burden on the companies particularly for the manufacturing companies.</w:t>
      </w:r>
    </w:p>
    <w:p w14:paraId="5F9D30A3"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 xml:space="preserve">Sustainable development </w:t>
      </w:r>
      <w:r>
        <w:rPr>
          <w:rFonts w:ascii="Arial" w:eastAsia="Arial" w:hAnsi="Arial" w:cs="Arial"/>
          <w:sz w:val="20"/>
          <w:szCs w:val="20"/>
        </w:rPr>
        <w:t xml:space="preserve">is what we call an ordering principle for fulfilling human development objectives simultaneously supporting the natural system to give the natural assets and ecosystem solutions on which the economy and the rest of society are </w:t>
      </w:r>
      <w:proofErr w:type="gramStart"/>
      <w:r>
        <w:rPr>
          <w:rFonts w:ascii="Arial" w:eastAsia="Arial" w:hAnsi="Arial" w:cs="Arial"/>
          <w:sz w:val="20"/>
          <w:szCs w:val="20"/>
        </w:rPr>
        <w:t>based..</w:t>
      </w:r>
      <w:proofErr w:type="gramEnd"/>
      <w:r>
        <w:rPr>
          <w:rFonts w:ascii="Arial" w:eastAsia="Arial" w:hAnsi="Arial" w:cs="Arial"/>
          <w:sz w:val="20"/>
          <w:szCs w:val="20"/>
        </w:rPr>
        <w:t xml:space="preserve"> The SDGs are the most</w:t>
      </w:r>
      <w:r>
        <w:rPr>
          <w:rFonts w:ascii="Arial" w:eastAsia="Arial" w:hAnsi="Arial" w:cs="Arial"/>
          <w:sz w:val="20"/>
          <w:szCs w:val="20"/>
        </w:rPr>
        <w:t xml:space="preserve"> important Universal framework that includes a lot of potentially diverging plans in the profitable, communal, and environmental sphere. Some goals regarding this are mutually supportive. To focus on this important </w:t>
      </w:r>
      <w:proofErr w:type="gramStart"/>
      <w:r>
        <w:rPr>
          <w:rFonts w:ascii="Arial" w:eastAsia="Arial" w:hAnsi="Arial" w:cs="Arial"/>
          <w:sz w:val="20"/>
          <w:szCs w:val="20"/>
        </w:rPr>
        <w:t>topic ,</w:t>
      </w:r>
      <w:proofErr w:type="gramEnd"/>
      <w:r>
        <w:rPr>
          <w:rFonts w:ascii="Arial" w:eastAsia="Arial" w:hAnsi="Arial" w:cs="Arial"/>
          <w:sz w:val="20"/>
          <w:szCs w:val="20"/>
        </w:rPr>
        <w:t xml:space="preserve"> researchers are now </w:t>
      </w:r>
      <w:r>
        <w:rPr>
          <w:rFonts w:ascii="Arial" w:eastAsia="Arial" w:hAnsi="Arial" w:cs="Arial"/>
          <w:sz w:val="20"/>
          <w:szCs w:val="20"/>
        </w:rPr>
        <w:lastRenderedPageBreak/>
        <w:t>ready to exam</w:t>
      </w:r>
      <w:r>
        <w:rPr>
          <w:rFonts w:ascii="Arial" w:eastAsia="Arial" w:hAnsi="Arial" w:cs="Arial"/>
          <w:sz w:val="20"/>
          <w:szCs w:val="20"/>
        </w:rPr>
        <w:t>ine the interlinkage between the 17 goals that is the agenda 2030 (Lu et. al. 2015; Breuer et. al. 2019). Sustainable development not only gives priority to climate change issue but it also gives importance for balancing economic development (</w:t>
      </w:r>
      <w:proofErr w:type="spellStart"/>
      <w:r>
        <w:rPr>
          <w:rFonts w:ascii="Arial" w:eastAsia="Arial" w:hAnsi="Arial" w:cs="Arial"/>
          <w:sz w:val="20"/>
          <w:szCs w:val="20"/>
        </w:rPr>
        <w:t>Ibisch</w:t>
      </w:r>
      <w:proofErr w:type="spellEnd"/>
      <w:r>
        <w:rPr>
          <w:rFonts w:ascii="Arial" w:eastAsia="Arial" w:hAnsi="Arial" w:cs="Arial"/>
          <w:sz w:val="20"/>
          <w:szCs w:val="20"/>
        </w:rPr>
        <w:t xml:space="preserve"> et. al</w:t>
      </w:r>
      <w:r>
        <w:rPr>
          <w:rFonts w:ascii="Arial" w:eastAsia="Arial" w:hAnsi="Arial" w:cs="Arial"/>
          <w:sz w:val="20"/>
          <w:szCs w:val="20"/>
        </w:rPr>
        <w:t xml:space="preserve">. 2016). According to Lusseau and Mancini 2019 for achieving SDGs the main hurdle is vigorous climate change. As environmental sustainability became an important part of </w:t>
      </w:r>
      <w:proofErr w:type="spellStart"/>
      <w:r>
        <w:rPr>
          <w:rFonts w:ascii="Arial" w:eastAsia="Arial" w:hAnsi="Arial" w:cs="Arial"/>
          <w:sz w:val="20"/>
          <w:szCs w:val="20"/>
        </w:rPr>
        <w:t>organisations</w:t>
      </w:r>
      <w:proofErr w:type="spellEnd"/>
      <w:r>
        <w:rPr>
          <w:rFonts w:ascii="Arial" w:eastAsia="Arial" w:hAnsi="Arial" w:cs="Arial"/>
          <w:sz w:val="20"/>
          <w:szCs w:val="20"/>
        </w:rPr>
        <w:t xml:space="preserve"> and environmental disclosure became a stakeholder’s requirement, organiz</w:t>
      </w:r>
      <w:r>
        <w:rPr>
          <w:rFonts w:ascii="Arial" w:eastAsia="Arial" w:hAnsi="Arial" w:cs="Arial"/>
          <w:sz w:val="20"/>
          <w:szCs w:val="20"/>
        </w:rPr>
        <w:t>ations try to institutionalize environmental concern through policies, procedures and systems.</w:t>
      </w:r>
    </w:p>
    <w:p w14:paraId="2C5FC837"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   This study focuses on the following two objectives. First one is to evaluate the interplay practices between sustainable development principles and the steel </w:t>
      </w:r>
      <w:r>
        <w:rPr>
          <w:rFonts w:ascii="Arial" w:eastAsia="Arial" w:hAnsi="Arial" w:cs="Arial"/>
          <w:sz w:val="20"/>
          <w:szCs w:val="20"/>
        </w:rPr>
        <w:t>manufacturing in Odisha and second one is to explore sustainable development practices and important aspects of sustainability in steel manufacturing companies in Odisha.</w:t>
      </w:r>
    </w:p>
    <w:p w14:paraId="7190A824" w14:textId="77777777" w:rsidR="00D41ED0" w:rsidRDefault="00CB0D2A">
      <w:pPr>
        <w:spacing w:line="360" w:lineRule="auto"/>
        <w:jc w:val="both"/>
        <w:rPr>
          <w:rFonts w:ascii="Arial" w:eastAsia="Arial" w:hAnsi="Arial" w:cs="Arial"/>
          <w:b/>
        </w:rPr>
      </w:pPr>
      <w:r>
        <w:rPr>
          <w:rFonts w:ascii="Arial" w:eastAsia="Arial" w:hAnsi="Arial" w:cs="Arial"/>
          <w:b/>
        </w:rPr>
        <w:t xml:space="preserve"> LITERATURE REVIEW</w:t>
      </w:r>
    </w:p>
    <w:p w14:paraId="558F55D4" w14:textId="77777777" w:rsidR="00D41ED0" w:rsidRDefault="00CB0D2A">
      <w:pPr>
        <w:spacing w:line="360" w:lineRule="auto"/>
        <w:jc w:val="both"/>
        <w:rPr>
          <w:rFonts w:ascii="Arial" w:eastAsia="Arial" w:hAnsi="Arial" w:cs="Arial"/>
          <w:b/>
          <w:sz w:val="18"/>
          <w:szCs w:val="18"/>
          <w:u w:val="single"/>
        </w:rPr>
      </w:pPr>
      <w:bookmarkStart w:id="0" w:name="_heading=h.13119x8jmjd7" w:colFirst="0" w:colLast="0"/>
      <w:bookmarkEnd w:id="0"/>
      <w:r>
        <w:rPr>
          <w:rFonts w:ascii="Arial" w:eastAsia="Arial" w:hAnsi="Arial" w:cs="Arial"/>
          <w:b/>
          <w:sz w:val="20"/>
          <w:szCs w:val="20"/>
          <w:u w:val="single"/>
        </w:rPr>
        <w:t>1.Policy to control environmental Damage</w:t>
      </w:r>
    </w:p>
    <w:p w14:paraId="76DC7D74" w14:textId="77777777" w:rsidR="00D41ED0" w:rsidRDefault="00CB0D2A">
      <w:pPr>
        <w:spacing w:before="240" w:after="240" w:line="360" w:lineRule="auto"/>
        <w:jc w:val="both"/>
        <w:rPr>
          <w:rFonts w:ascii="Arial" w:eastAsia="Arial" w:hAnsi="Arial" w:cs="Arial"/>
          <w:sz w:val="20"/>
          <w:szCs w:val="20"/>
        </w:rPr>
      </w:pPr>
      <w:bookmarkStart w:id="1" w:name="_heading=h.b75b89nkhcex" w:colFirst="0" w:colLast="0"/>
      <w:bookmarkEnd w:id="1"/>
      <w:r>
        <w:rPr>
          <w:rFonts w:ascii="Arial" w:eastAsia="Arial" w:hAnsi="Arial" w:cs="Arial"/>
          <w:sz w:val="20"/>
          <w:szCs w:val="20"/>
        </w:rPr>
        <w:t xml:space="preserve"> Poli</w:t>
      </w:r>
      <w:r>
        <w:rPr>
          <w:rFonts w:ascii="Arial" w:eastAsia="Arial" w:hAnsi="Arial" w:cs="Arial"/>
          <w:sz w:val="18"/>
          <w:szCs w:val="18"/>
        </w:rPr>
        <w:t>cies</w:t>
      </w:r>
      <w:r>
        <w:rPr>
          <w:rFonts w:ascii="Arial" w:eastAsia="Arial" w:hAnsi="Arial" w:cs="Arial"/>
          <w:sz w:val="20"/>
          <w:szCs w:val="20"/>
        </w:rPr>
        <w:t xml:space="preserve"> means the tradi</w:t>
      </w:r>
      <w:r>
        <w:rPr>
          <w:rFonts w:ascii="Arial" w:eastAsia="Arial" w:hAnsi="Arial" w:cs="Arial"/>
          <w:sz w:val="20"/>
          <w:szCs w:val="20"/>
        </w:rPr>
        <w:t>tional way to protect the environment and geared towards sustainable development. These policies have covered a lot of issues like air pollution, water pollution and purification, waste management, conservation of biodiversity etc. The present policies are</w:t>
      </w:r>
      <w:r>
        <w:rPr>
          <w:rFonts w:ascii="Arial" w:eastAsia="Arial" w:hAnsi="Arial" w:cs="Arial"/>
          <w:sz w:val="20"/>
          <w:szCs w:val="20"/>
        </w:rPr>
        <w:t xml:space="preserve"> broadly including Environmental Protection Act 1986, The Water Conservation and Control of pollution Act 1974, The Water </w:t>
      </w:r>
      <w:proofErr w:type="spellStart"/>
      <w:r>
        <w:rPr>
          <w:rFonts w:ascii="Arial" w:eastAsia="Arial" w:hAnsi="Arial" w:cs="Arial"/>
          <w:sz w:val="20"/>
          <w:szCs w:val="20"/>
        </w:rPr>
        <w:t>Cess</w:t>
      </w:r>
      <w:proofErr w:type="spellEnd"/>
      <w:r>
        <w:rPr>
          <w:rFonts w:ascii="Arial" w:eastAsia="Arial" w:hAnsi="Arial" w:cs="Arial"/>
          <w:sz w:val="20"/>
          <w:szCs w:val="20"/>
        </w:rPr>
        <w:t xml:space="preserve"> Act 1977, The Air prevention and Control of Pollution act 1927, And the Biodiversity Act 2002. All these plans have accepted the </w:t>
      </w:r>
      <w:r>
        <w:rPr>
          <w:rFonts w:ascii="Arial" w:eastAsia="Arial" w:hAnsi="Arial" w:cs="Arial"/>
          <w:sz w:val="20"/>
          <w:szCs w:val="20"/>
        </w:rPr>
        <w:t xml:space="preserve">need for sustainable development in their particular area. SDG (Sustainable Development Goal) of “Life Below </w:t>
      </w:r>
      <w:proofErr w:type="gramStart"/>
      <w:r>
        <w:rPr>
          <w:rFonts w:ascii="Arial" w:eastAsia="Arial" w:hAnsi="Arial" w:cs="Arial"/>
          <w:sz w:val="20"/>
          <w:szCs w:val="20"/>
        </w:rPr>
        <w:t>Water“ the</w:t>
      </w:r>
      <w:proofErr w:type="gramEnd"/>
      <w:r>
        <w:rPr>
          <w:rFonts w:ascii="Arial" w:eastAsia="Arial" w:hAnsi="Arial" w:cs="Arial"/>
          <w:sz w:val="20"/>
          <w:szCs w:val="20"/>
        </w:rPr>
        <w:t xml:space="preserve"> project initiative taken by the Indian Government to minimize the  greenhouse gas emission with the help of NDC( Nationally determined c</w:t>
      </w:r>
      <w:r>
        <w:rPr>
          <w:rFonts w:ascii="Arial" w:eastAsia="Arial" w:hAnsi="Arial" w:cs="Arial"/>
          <w:sz w:val="20"/>
          <w:szCs w:val="20"/>
        </w:rPr>
        <w:t xml:space="preserve">ontributions) found that now India is progressing towards the 2030 zero CO2 emission target positively( </w:t>
      </w:r>
      <w:proofErr w:type="spellStart"/>
      <w:r>
        <w:rPr>
          <w:rFonts w:ascii="Arial" w:eastAsia="Arial" w:hAnsi="Arial" w:cs="Arial"/>
          <w:sz w:val="20"/>
          <w:szCs w:val="20"/>
        </w:rPr>
        <w:t>Byravan</w:t>
      </w:r>
      <w:proofErr w:type="spellEnd"/>
      <w:r>
        <w:rPr>
          <w:rFonts w:ascii="Arial" w:eastAsia="Arial" w:hAnsi="Arial" w:cs="Arial"/>
          <w:sz w:val="20"/>
          <w:szCs w:val="20"/>
        </w:rPr>
        <w:t xml:space="preserve"> et. al. 2017). According to Lohan et. al. 2015 potential biogas is the energy solution for the energy basket of India. Popularization of alterna</w:t>
      </w:r>
      <w:r>
        <w:rPr>
          <w:rFonts w:ascii="Arial" w:eastAsia="Arial" w:hAnsi="Arial" w:cs="Arial"/>
          <w:sz w:val="20"/>
          <w:szCs w:val="20"/>
        </w:rPr>
        <w:t xml:space="preserve">tive ways of fuels and challenges added to sustainable development of energy sources of India, impact of new energy policies, and implementation of solar energy panels   are taking priority these days, said by Jewitt and Raman 2017.  According to Wang et. </w:t>
      </w:r>
      <w:r>
        <w:rPr>
          <w:rFonts w:ascii="Arial" w:eastAsia="Arial" w:hAnsi="Arial" w:cs="Arial"/>
          <w:sz w:val="20"/>
          <w:szCs w:val="20"/>
        </w:rPr>
        <w:t>al. 2022 the technological diffusion is required to enlarge the ideal cost model for carbon objectivity in iron and steel manufacturing industry, and encourage the energy saving technologies for reducing carbon footprints in the steel and iron industries i</w:t>
      </w:r>
      <w:r>
        <w:rPr>
          <w:rFonts w:ascii="Arial" w:eastAsia="Arial" w:hAnsi="Arial" w:cs="Arial"/>
          <w:sz w:val="20"/>
          <w:szCs w:val="20"/>
        </w:rPr>
        <w:t xml:space="preserve">n India. </w:t>
      </w:r>
      <w:proofErr w:type="spellStart"/>
      <w:r>
        <w:rPr>
          <w:rFonts w:ascii="Arial" w:eastAsia="Arial" w:hAnsi="Arial" w:cs="Arial"/>
          <w:sz w:val="20"/>
          <w:szCs w:val="20"/>
        </w:rPr>
        <w:t>Swennnenhuis</w:t>
      </w:r>
      <w:proofErr w:type="spellEnd"/>
      <w:r>
        <w:rPr>
          <w:rFonts w:ascii="Arial" w:eastAsia="Arial" w:hAnsi="Arial" w:cs="Arial"/>
          <w:sz w:val="20"/>
          <w:szCs w:val="20"/>
        </w:rPr>
        <w:t xml:space="preserve"> et. al. 2022 said that a quick adaptation to the C02 emission in steel manufacturing industries are required to control climate change. According to </w:t>
      </w:r>
      <w:proofErr w:type="spellStart"/>
      <w:r>
        <w:rPr>
          <w:rFonts w:ascii="Arial" w:eastAsia="Arial" w:hAnsi="Arial" w:cs="Arial"/>
          <w:sz w:val="20"/>
          <w:szCs w:val="20"/>
        </w:rPr>
        <w:t>Skoczkowski</w:t>
      </w:r>
      <w:proofErr w:type="spellEnd"/>
      <w:r>
        <w:rPr>
          <w:rFonts w:ascii="Arial" w:eastAsia="Arial" w:hAnsi="Arial" w:cs="Arial"/>
          <w:sz w:val="20"/>
          <w:szCs w:val="20"/>
        </w:rPr>
        <w:t xml:space="preserve"> et. al. 2020 the decarbonization of the iron and steel manufacturing indu</w:t>
      </w:r>
      <w:r>
        <w:rPr>
          <w:rFonts w:ascii="Arial" w:eastAsia="Arial" w:hAnsi="Arial" w:cs="Arial"/>
          <w:sz w:val="20"/>
          <w:szCs w:val="20"/>
        </w:rPr>
        <w:t xml:space="preserve">stries is important in shot to meet the EU’s GHG emission reduction targets in 2030-2050. Giving promotion to decarbonization in this sector will mandatorily require the empathy, growth and dispersal of innovation technology for the production of iron and </w:t>
      </w:r>
      <w:r>
        <w:rPr>
          <w:rFonts w:ascii="Arial" w:eastAsia="Arial" w:hAnsi="Arial" w:cs="Arial"/>
          <w:sz w:val="20"/>
          <w:szCs w:val="20"/>
        </w:rPr>
        <w:t>steel.</w:t>
      </w:r>
    </w:p>
    <w:p w14:paraId="03C5CA5F" w14:textId="77777777" w:rsidR="00D41ED0" w:rsidRDefault="00CB0D2A">
      <w:pPr>
        <w:spacing w:before="240" w:after="240" w:line="360" w:lineRule="auto"/>
        <w:jc w:val="both"/>
        <w:rPr>
          <w:rFonts w:ascii="Arial" w:eastAsia="Arial" w:hAnsi="Arial" w:cs="Arial"/>
          <w:sz w:val="20"/>
          <w:szCs w:val="20"/>
        </w:rPr>
      </w:pPr>
      <w:bookmarkStart w:id="2" w:name="_heading=h.qoablkesvmcr" w:colFirst="0" w:colLast="0"/>
      <w:bookmarkEnd w:id="2"/>
      <w:r>
        <w:rPr>
          <w:rFonts w:ascii="Arial" w:eastAsia="Arial" w:hAnsi="Arial" w:cs="Arial"/>
          <w:sz w:val="20"/>
          <w:szCs w:val="20"/>
        </w:rPr>
        <w:t>H1: Environmental policies have a significant impact on controlling industrial environmental damage.</w:t>
      </w:r>
    </w:p>
    <w:p w14:paraId="55F16278" w14:textId="77777777" w:rsidR="00D41ED0" w:rsidRDefault="00CB0D2A">
      <w:pPr>
        <w:spacing w:line="360" w:lineRule="auto"/>
        <w:jc w:val="both"/>
        <w:rPr>
          <w:rFonts w:ascii="Arial" w:eastAsia="Arial" w:hAnsi="Arial" w:cs="Arial"/>
          <w:b/>
          <w:sz w:val="20"/>
          <w:szCs w:val="20"/>
          <w:u w:val="single"/>
        </w:rPr>
      </w:pPr>
      <w:r>
        <w:rPr>
          <w:rFonts w:ascii="Arial" w:eastAsia="Arial" w:hAnsi="Arial" w:cs="Arial"/>
          <w:sz w:val="20"/>
          <w:szCs w:val="20"/>
        </w:rPr>
        <w:lastRenderedPageBreak/>
        <w:t xml:space="preserve"> </w:t>
      </w:r>
      <w:r>
        <w:rPr>
          <w:rFonts w:ascii="Arial" w:eastAsia="Arial" w:hAnsi="Arial" w:cs="Arial"/>
          <w:b/>
          <w:sz w:val="20"/>
          <w:szCs w:val="20"/>
          <w:u w:val="single"/>
        </w:rPr>
        <w:t>2.Sustainable Development Strategies</w:t>
      </w:r>
    </w:p>
    <w:p w14:paraId="285B8C22"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 The Rio Summit made the sustainable development as the guiding point for development efforts of all countries. The sustainable development problems are topmost important and also acute. For each country it is different. The goals for sustainable developme</w:t>
      </w:r>
      <w:r>
        <w:rPr>
          <w:rFonts w:ascii="Arial" w:eastAsia="Arial" w:hAnsi="Arial" w:cs="Arial"/>
          <w:sz w:val="20"/>
          <w:szCs w:val="20"/>
        </w:rPr>
        <w:t>nt are also known as the global goals, were adopted by the United Nations in 2015 as a universal call for taking action to end the problem on poverty, protect the planet, and ensure that by 2030 all people enjoy peace and prosperity.  As primary issue it b</w:t>
      </w:r>
      <w:r>
        <w:rPr>
          <w:rFonts w:ascii="Arial" w:eastAsia="Arial" w:hAnsi="Arial" w:cs="Arial"/>
          <w:sz w:val="20"/>
          <w:szCs w:val="20"/>
        </w:rPr>
        <w:t>ecomes the global problem for all concern companies for their sustainable development. Since organizations are very important organs of the society, so it will ultimately transform into advantages for the business. According to Durand et. al., 2019 supplie</w:t>
      </w:r>
      <w:r>
        <w:rPr>
          <w:rFonts w:ascii="Arial" w:eastAsia="Arial" w:hAnsi="Arial" w:cs="Arial"/>
          <w:sz w:val="20"/>
          <w:szCs w:val="20"/>
        </w:rPr>
        <w:t>rs, competitors, customers and partners all are collectively create pressure to undertake sustainable development Programs. According to CEEW (Council for Energy, Environment and Water) India’s steel manufacturing industries need INR 47 lakh crore to maint</w:t>
      </w:r>
      <w:r>
        <w:rPr>
          <w:rFonts w:ascii="Arial" w:eastAsia="Arial" w:hAnsi="Arial" w:cs="Arial"/>
          <w:sz w:val="20"/>
          <w:szCs w:val="20"/>
        </w:rPr>
        <w:t>ain for net zero, this statement was given by CEO of CEEW Dr Arunabha Ghose in a conference at New Delhi ,12</w:t>
      </w:r>
      <w:r>
        <w:rPr>
          <w:rFonts w:ascii="Arial" w:eastAsia="Arial" w:hAnsi="Arial" w:cs="Arial"/>
          <w:sz w:val="20"/>
          <w:szCs w:val="20"/>
          <w:vertAlign w:val="superscript"/>
        </w:rPr>
        <w:t>th</w:t>
      </w:r>
      <w:r>
        <w:rPr>
          <w:rFonts w:ascii="Arial" w:eastAsia="Arial" w:hAnsi="Arial" w:cs="Arial"/>
          <w:sz w:val="20"/>
          <w:szCs w:val="20"/>
        </w:rPr>
        <w:t xml:space="preserve"> October 2023. India is the 2</w:t>
      </w:r>
      <w:r>
        <w:rPr>
          <w:rFonts w:ascii="Arial" w:eastAsia="Arial" w:hAnsi="Arial" w:cs="Arial"/>
          <w:sz w:val="20"/>
          <w:szCs w:val="20"/>
          <w:vertAlign w:val="superscript"/>
        </w:rPr>
        <w:t>nd</w:t>
      </w:r>
      <w:r>
        <w:rPr>
          <w:rFonts w:ascii="Arial" w:eastAsia="Arial" w:hAnsi="Arial" w:cs="Arial"/>
          <w:sz w:val="20"/>
          <w:szCs w:val="20"/>
        </w:rPr>
        <w:t xml:space="preserve"> largest producer of steel in the world. The CEEW told that reduction in steel emission by 8-25% can be possible by</w:t>
      </w:r>
      <w:r>
        <w:rPr>
          <w:rFonts w:ascii="Arial" w:eastAsia="Arial" w:hAnsi="Arial" w:cs="Arial"/>
          <w:sz w:val="20"/>
          <w:szCs w:val="20"/>
        </w:rPr>
        <w:t xml:space="preserve"> adopting new technologies such as waste heat recovery which can able to control the CO2 emission positively. Based on Chatterjee and </w:t>
      </w:r>
      <w:proofErr w:type="spellStart"/>
      <w:r>
        <w:rPr>
          <w:rFonts w:ascii="Arial" w:eastAsia="Arial" w:hAnsi="Arial" w:cs="Arial"/>
          <w:sz w:val="20"/>
          <w:szCs w:val="20"/>
        </w:rPr>
        <w:t>Mukharjee</w:t>
      </w:r>
      <w:proofErr w:type="spellEnd"/>
      <w:r>
        <w:rPr>
          <w:rFonts w:ascii="Arial" w:eastAsia="Arial" w:hAnsi="Arial" w:cs="Arial"/>
          <w:sz w:val="20"/>
          <w:szCs w:val="20"/>
        </w:rPr>
        <w:t xml:space="preserve"> (2022) and IEA (2022), we also calculate the mitigation costs of two forms of carbon management: that is carbon </w:t>
      </w:r>
      <w:r>
        <w:rPr>
          <w:rFonts w:ascii="Arial" w:eastAsia="Arial" w:hAnsi="Arial" w:cs="Arial"/>
          <w:sz w:val="20"/>
          <w:szCs w:val="20"/>
        </w:rPr>
        <w:t>capture and storage form and carbon capture and utilization form. India is implementing one of the largest renewable energy expansion programs with a target of achieving 450 GW of renewable energy by the year 2030. Solar energy generation capacity in India</w:t>
      </w:r>
      <w:r>
        <w:rPr>
          <w:rFonts w:ascii="Arial" w:eastAsia="Arial" w:hAnsi="Arial" w:cs="Arial"/>
          <w:sz w:val="20"/>
          <w:szCs w:val="20"/>
        </w:rPr>
        <w:t xml:space="preserve"> has increased from 36.05 GW to 73.32GW in December 2023. Capacity of wind energy was 44.736 GW as of 31</w:t>
      </w:r>
      <w:r>
        <w:rPr>
          <w:rFonts w:ascii="Arial" w:eastAsia="Arial" w:hAnsi="Arial" w:cs="Arial"/>
          <w:sz w:val="20"/>
          <w:szCs w:val="20"/>
          <w:vertAlign w:val="superscript"/>
        </w:rPr>
        <w:t>st</w:t>
      </w:r>
      <w:r>
        <w:rPr>
          <w:rFonts w:ascii="Arial" w:eastAsia="Arial" w:hAnsi="Arial" w:cs="Arial"/>
          <w:sz w:val="20"/>
          <w:szCs w:val="20"/>
        </w:rPr>
        <w:t xml:space="preserve"> December 2023.</w:t>
      </w:r>
    </w:p>
    <w:p w14:paraId="5B1BB577"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H2: Sustainable development strategies, including green finance have a positive impact on the environmental and economic performance o</w:t>
      </w:r>
      <w:r>
        <w:rPr>
          <w:rFonts w:ascii="Arial" w:eastAsia="Arial" w:hAnsi="Arial" w:cs="Arial"/>
          <w:sz w:val="20"/>
          <w:szCs w:val="20"/>
        </w:rPr>
        <w:t>f steel manufacturing industries in Odisha.</w:t>
      </w:r>
    </w:p>
    <w:p w14:paraId="510D6A26" w14:textId="77777777" w:rsidR="00D41ED0" w:rsidRDefault="00D41ED0">
      <w:pPr>
        <w:spacing w:before="240" w:after="240" w:line="360" w:lineRule="auto"/>
        <w:jc w:val="both"/>
        <w:rPr>
          <w:rFonts w:ascii="Arial" w:eastAsia="Arial" w:hAnsi="Arial" w:cs="Arial"/>
          <w:sz w:val="20"/>
          <w:szCs w:val="20"/>
        </w:rPr>
      </w:pPr>
    </w:p>
    <w:p w14:paraId="0AAE1E6E" w14:textId="77777777" w:rsidR="00D41ED0" w:rsidRDefault="00CB0D2A">
      <w:pPr>
        <w:spacing w:line="360" w:lineRule="auto"/>
        <w:jc w:val="both"/>
        <w:rPr>
          <w:rFonts w:ascii="Arial" w:eastAsia="Arial" w:hAnsi="Arial" w:cs="Arial"/>
          <w:b/>
          <w:sz w:val="20"/>
          <w:szCs w:val="20"/>
          <w:u w:val="single"/>
        </w:rPr>
      </w:pPr>
      <w:r>
        <w:rPr>
          <w:rFonts w:ascii="Arial" w:eastAsia="Arial" w:hAnsi="Arial" w:cs="Arial"/>
          <w:b/>
          <w:sz w:val="20"/>
          <w:szCs w:val="20"/>
          <w:u w:val="single"/>
        </w:rPr>
        <w:t>3. Green Innovation practices</w:t>
      </w:r>
    </w:p>
    <w:p w14:paraId="54D227A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Green innovation practices are essential for advancing environmental sustainability, addressing climate change, and ensuring a sustainable future. These practices involve the develo</w:t>
      </w:r>
      <w:r>
        <w:rPr>
          <w:rFonts w:ascii="Arial" w:eastAsia="Arial" w:hAnsi="Arial" w:cs="Arial"/>
          <w:sz w:val="20"/>
          <w:szCs w:val="20"/>
        </w:rPr>
        <w:t>pment and also the implementation of new technologies, processes, and business models that decrease environmental impact, preserve resources, and promote ecological balance.</w:t>
      </w:r>
    </w:p>
    <w:p w14:paraId="1D47BBF0"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According to Chen et al. (2022) and </w:t>
      </w:r>
      <w:proofErr w:type="spellStart"/>
      <w:r>
        <w:rPr>
          <w:rFonts w:ascii="Arial" w:eastAsia="Arial" w:hAnsi="Arial" w:cs="Arial"/>
          <w:sz w:val="20"/>
          <w:szCs w:val="20"/>
        </w:rPr>
        <w:t>Desheng</w:t>
      </w:r>
      <w:proofErr w:type="spellEnd"/>
      <w:r>
        <w:rPr>
          <w:rFonts w:ascii="Arial" w:eastAsia="Arial" w:hAnsi="Arial" w:cs="Arial"/>
          <w:sz w:val="20"/>
          <w:szCs w:val="20"/>
        </w:rPr>
        <w:t xml:space="preserve"> et al. (2021), green innovation is men</w:t>
      </w:r>
      <w:r>
        <w:rPr>
          <w:rFonts w:ascii="Arial" w:eastAsia="Arial" w:hAnsi="Arial" w:cs="Arial"/>
          <w:sz w:val="20"/>
          <w:szCs w:val="20"/>
        </w:rPr>
        <w:t>tioned as the technical innovation applied to minimize global warming, water pollution etc. It can be measured by three preliminary indicators and they are R&amp;D input expenditure, number of green innovation practices, and green factors performance. Accordin</w:t>
      </w:r>
      <w:r>
        <w:rPr>
          <w:rFonts w:ascii="Arial" w:eastAsia="Arial" w:hAnsi="Arial" w:cs="Arial"/>
          <w:sz w:val="20"/>
          <w:szCs w:val="20"/>
        </w:rPr>
        <w:t xml:space="preserve">g to Hall and Helmers (2013), green patents are regarded as a good agent of eco-innovation. </w:t>
      </w:r>
      <w:proofErr w:type="spellStart"/>
      <w:r>
        <w:rPr>
          <w:rFonts w:ascii="Arial" w:eastAsia="Arial" w:hAnsi="Arial" w:cs="Arial"/>
          <w:sz w:val="20"/>
          <w:szCs w:val="20"/>
        </w:rPr>
        <w:t>Urbaniec</w:t>
      </w:r>
      <w:proofErr w:type="spellEnd"/>
      <w:r>
        <w:rPr>
          <w:rFonts w:ascii="Arial" w:eastAsia="Arial" w:hAnsi="Arial" w:cs="Arial"/>
          <w:sz w:val="20"/>
          <w:szCs w:val="20"/>
        </w:rPr>
        <w:t xml:space="preserve"> et al. (2021) said that in 2015 OECD released the patent plans and said that it gives </w:t>
      </w:r>
      <w:r>
        <w:rPr>
          <w:rFonts w:ascii="Arial" w:eastAsia="Arial" w:hAnsi="Arial" w:cs="Arial"/>
          <w:sz w:val="20"/>
          <w:szCs w:val="20"/>
        </w:rPr>
        <w:lastRenderedPageBreak/>
        <w:t>a complete methodology for computing innovation ideas related to envi</w:t>
      </w:r>
      <w:r>
        <w:rPr>
          <w:rFonts w:ascii="Arial" w:eastAsia="Arial" w:hAnsi="Arial" w:cs="Arial"/>
          <w:sz w:val="20"/>
          <w:szCs w:val="20"/>
        </w:rPr>
        <w:t>ronmental technology. According to Johnstone (2022), green patent practices are the best accessible and equitable source of data for sustainable development. It may be a brand, an accepted technology which helps the environment to sustain. According to Wan</w:t>
      </w:r>
      <w:r>
        <w:rPr>
          <w:rFonts w:ascii="Arial" w:eastAsia="Arial" w:hAnsi="Arial" w:cs="Arial"/>
          <w:sz w:val="20"/>
          <w:szCs w:val="20"/>
        </w:rPr>
        <w:t xml:space="preserve">g et al. (2021) green patent practices are use-full tools for protecting the environment. Green patents applications </w:t>
      </w:r>
      <w:proofErr w:type="gramStart"/>
      <w:r>
        <w:rPr>
          <w:rFonts w:ascii="Arial" w:eastAsia="Arial" w:hAnsi="Arial" w:cs="Arial"/>
          <w:sz w:val="20"/>
          <w:szCs w:val="20"/>
        </w:rPr>
        <w:t>means</w:t>
      </w:r>
      <w:proofErr w:type="gramEnd"/>
      <w:r>
        <w:rPr>
          <w:rFonts w:ascii="Arial" w:eastAsia="Arial" w:hAnsi="Arial" w:cs="Arial"/>
          <w:sz w:val="20"/>
          <w:szCs w:val="20"/>
        </w:rPr>
        <w:t xml:space="preserve"> patenting of the green technologies. That indicates copyright are permitted for environment friendly technology. A policy means the d</w:t>
      </w:r>
      <w:r>
        <w:rPr>
          <w:rFonts w:ascii="Arial" w:eastAsia="Arial" w:hAnsi="Arial" w:cs="Arial"/>
          <w:sz w:val="20"/>
          <w:szCs w:val="20"/>
        </w:rPr>
        <w:t xml:space="preserve">irection and strategy of any organization over a long period to meet the needs of the markets and to meet the shareholders expectations (Johnson et al., 2022). So, the green patents are a type of strategy that a company has taken in order to execute green </w:t>
      </w:r>
      <w:r>
        <w:rPr>
          <w:rFonts w:ascii="Arial" w:eastAsia="Arial" w:hAnsi="Arial" w:cs="Arial"/>
          <w:sz w:val="20"/>
          <w:szCs w:val="20"/>
        </w:rPr>
        <w:t>innovation so that the company may gain a keen advantage, to connect the wants of markets and achieve the shareholder’s expectancy (</w:t>
      </w:r>
      <w:proofErr w:type="spellStart"/>
      <w:r>
        <w:rPr>
          <w:rFonts w:ascii="Arial" w:eastAsia="Arial" w:hAnsi="Arial" w:cs="Arial"/>
          <w:sz w:val="20"/>
          <w:szCs w:val="20"/>
        </w:rPr>
        <w:t>Eiadat</w:t>
      </w:r>
      <w:proofErr w:type="spellEnd"/>
      <w:r>
        <w:rPr>
          <w:rFonts w:ascii="Arial" w:eastAsia="Arial" w:hAnsi="Arial" w:cs="Arial"/>
          <w:sz w:val="20"/>
          <w:szCs w:val="20"/>
        </w:rPr>
        <w:t xml:space="preserve"> et al., 2008). According to Song and Yu (2021), companies should start green patents to maintain green innovation.</w:t>
      </w:r>
    </w:p>
    <w:p w14:paraId="6401953E" w14:textId="77777777" w:rsidR="00D41ED0" w:rsidRDefault="00CB0D2A">
      <w:pPr>
        <w:spacing w:before="240" w:after="240" w:line="360" w:lineRule="auto"/>
        <w:jc w:val="both"/>
        <w:rPr>
          <w:rFonts w:ascii="Arial" w:eastAsia="Arial" w:hAnsi="Arial" w:cs="Arial"/>
          <w:i/>
          <w:sz w:val="20"/>
          <w:szCs w:val="20"/>
        </w:rPr>
      </w:pPr>
      <w:r>
        <w:rPr>
          <w:rFonts w:ascii="Arial" w:eastAsia="Arial" w:hAnsi="Arial" w:cs="Arial"/>
          <w:sz w:val="20"/>
          <w:szCs w:val="20"/>
        </w:rPr>
        <w:t>H3</w:t>
      </w:r>
      <w:r>
        <w:rPr>
          <w:rFonts w:ascii="Arial" w:eastAsia="Arial" w:hAnsi="Arial" w:cs="Arial"/>
          <w:sz w:val="20"/>
          <w:szCs w:val="20"/>
        </w:rPr>
        <w:t xml:space="preserve">: </w:t>
      </w:r>
      <w:r>
        <w:rPr>
          <w:rFonts w:ascii="Arial" w:eastAsia="Arial" w:hAnsi="Arial" w:cs="Arial"/>
          <w:i/>
          <w:sz w:val="20"/>
          <w:szCs w:val="20"/>
        </w:rPr>
        <w:t>The adoption of green innovation practices in steel manufacturing industries of Odisha has a significant positive impact on environmental sustainability.</w:t>
      </w:r>
    </w:p>
    <w:p w14:paraId="2BC74810" w14:textId="77777777" w:rsidR="00D41ED0" w:rsidRDefault="00D41ED0">
      <w:pPr>
        <w:spacing w:before="240" w:after="240" w:line="360" w:lineRule="auto"/>
        <w:jc w:val="both"/>
        <w:rPr>
          <w:rFonts w:ascii="Arial" w:eastAsia="Arial" w:hAnsi="Arial" w:cs="Arial"/>
          <w:sz w:val="20"/>
          <w:szCs w:val="20"/>
        </w:rPr>
      </w:pPr>
    </w:p>
    <w:p w14:paraId="17244DCE" w14:textId="77777777" w:rsidR="00D41ED0" w:rsidRDefault="00CB0D2A">
      <w:pPr>
        <w:spacing w:line="360" w:lineRule="auto"/>
        <w:jc w:val="both"/>
        <w:rPr>
          <w:rFonts w:ascii="Arial" w:eastAsia="Arial" w:hAnsi="Arial" w:cs="Arial"/>
          <w:b/>
          <w:sz w:val="20"/>
          <w:szCs w:val="20"/>
          <w:u w:val="single"/>
        </w:rPr>
      </w:pPr>
      <w:bookmarkStart w:id="3" w:name="_heading=h.9x8cin4u5n6n" w:colFirst="0" w:colLast="0"/>
      <w:bookmarkEnd w:id="3"/>
      <w:r>
        <w:rPr>
          <w:rFonts w:ascii="Arial" w:eastAsia="Arial" w:hAnsi="Arial" w:cs="Arial"/>
          <w:b/>
          <w:sz w:val="20"/>
          <w:szCs w:val="20"/>
          <w:u w:val="single"/>
        </w:rPr>
        <w:t>4. Green Investment Projects Implementation</w:t>
      </w:r>
    </w:p>
    <w:p w14:paraId="66C98FF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Green Investment Study Group 2016 in G20 explains green</w:t>
      </w:r>
      <w:r>
        <w:rPr>
          <w:rFonts w:ascii="Arial" w:eastAsia="Arial" w:hAnsi="Arial" w:cs="Arial"/>
          <w:sz w:val="20"/>
          <w:szCs w:val="20"/>
        </w:rPr>
        <w:t xml:space="preserve"> finance as “Capitalizing funds which gives situational benefits to   environmental sustainability development. These environmental services are: reduction in air, water and land pollution, reductions in greenhouse gas (GHG) emissions, enhanced energy effi</w:t>
      </w:r>
      <w:r>
        <w:rPr>
          <w:rFonts w:ascii="Arial" w:eastAsia="Arial" w:hAnsi="Arial" w:cs="Arial"/>
          <w:sz w:val="20"/>
          <w:szCs w:val="20"/>
        </w:rPr>
        <w:t>ciency while using surviving natural resources, reduction and acceptance of climate emergency and their co- benefits (Group 16).</w:t>
      </w:r>
    </w:p>
    <w:p w14:paraId="5DA485B7" w14:textId="77777777" w:rsidR="00D41ED0" w:rsidRDefault="00CB0D2A">
      <w:pPr>
        <w:spacing w:before="240" w:after="240" w:line="360" w:lineRule="auto"/>
        <w:jc w:val="both"/>
        <w:rPr>
          <w:rFonts w:ascii="Arial" w:eastAsia="Arial" w:hAnsi="Arial" w:cs="Arial"/>
          <w:sz w:val="20"/>
          <w:szCs w:val="20"/>
        </w:rPr>
      </w:pPr>
      <w:bookmarkStart w:id="4" w:name="_heading=h.6pargzy2bc4a" w:colFirst="0" w:colLast="0"/>
      <w:bookmarkEnd w:id="4"/>
      <w:r>
        <w:rPr>
          <w:rFonts w:ascii="Arial" w:eastAsia="Arial" w:hAnsi="Arial" w:cs="Arial"/>
          <w:sz w:val="20"/>
          <w:szCs w:val="20"/>
        </w:rPr>
        <w:t>The implementation and efficiency of green investment projects are critical for achieving environmental sustainability. By focu</w:t>
      </w:r>
      <w:r>
        <w:rPr>
          <w:rFonts w:ascii="Arial" w:eastAsia="Arial" w:hAnsi="Arial" w:cs="Arial"/>
          <w:sz w:val="20"/>
          <w:szCs w:val="20"/>
        </w:rPr>
        <w:t xml:space="preserve">sing on thorough planning, leveraging advanced technologies, ensuring regulatory compliance, and engaging communities, these projects can deliver significant environmental, economic, and social benefits. Overcoming challenges through innovative financing, </w:t>
      </w:r>
      <w:r>
        <w:rPr>
          <w:rFonts w:ascii="Arial" w:eastAsia="Arial" w:hAnsi="Arial" w:cs="Arial"/>
          <w:sz w:val="20"/>
          <w:szCs w:val="20"/>
        </w:rPr>
        <w:t>supportive policies, and continuous improvement can further enhance their impact and efficiency. Green investment does not particularly affect the company’s economic performance, it only increases the company's profit (Pekovic et. al. 2018). Green investme</w:t>
      </w:r>
      <w:r>
        <w:rPr>
          <w:rFonts w:ascii="Arial" w:eastAsia="Arial" w:hAnsi="Arial" w:cs="Arial"/>
          <w:sz w:val="20"/>
          <w:szCs w:val="20"/>
        </w:rPr>
        <w:t>nt also can lead to the Future Sustainability for all firms. It creates environmentally friendly investments (Shi et. al. 2019). Environmental policies &amp; green investments play a notable part in different areas, so companies must answer the stakeholder’s i</w:t>
      </w:r>
      <w:r>
        <w:rPr>
          <w:rFonts w:ascii="Arial" w:eastAsia="Arial" w:hAnsi="Arial" w:cs="Arial"/>
          <w:sz w:val="20"/>
          <w:szCs w:val="20"/>
        </w:rPr>
        <w:t xml:space="preserve">ncreasing challenges (Yan,2020). The study conducted on 63 CDP companies in South Africa got a result that the companies which include green funds to decrease carbon emissions can manage financial efficiency (Ganda &amp; </w:t>
      </w:r>
      <w:proofErr w:type="spellStart"/>
      <w:r>
        <w:rPr>
          <w:rFonts w:ascii="Arial" w:eastAsia="Arial" w:hAnsi="Arial" w:cs="Arial"/>
          <w:sz w:val="20"/>
          <w:szCs w:val="20"/>
        </w:rPr>
        <w:t>Milondzo</w:t>
      </w:r>
      <w:proofErr w:type="spellEnd"/>
      <w:r>
        <w:rPr>
          <w:rFonts w:ascii="Arial" w:eastAsia="Arial" w:hAnsi="Arial" w:cs="Arial"/>
          <w:sz w:val="20"/>
          <w:szCs w:val="20"/>
        </w:rPr>
        <w:t>, 2018</w:t>
      </w:r>
      <w:proofErr w:type="gramStart"/>
      <w:r>
        <w:rPr>
          <w:rFonts w:ascii="Arial" w:eastAsia="Arial" w:hAnsi="Arial" w:cs="Arial"/>
          <w:sz w:val="20"/>
          <w:szCs w:val="20"/>
        </w:rPr>
        <w:t>) .</w:t>
      </w:r>
      <w:proofErr w:type="gramEnd"/>
      <w:r>
        <w:rPr>
          <w:rFonts w:ascii="Arial" w:eastAsia="Arial" w:hAnsi="Arial" w:cs="Arial"/>
          <w:sz w:val="20"/>
          <w:szCs w:val="20"/>
        </w:rPr>
        <w:t xml:space="preserve"> Investment in green t</w:t>
      </w:r>
      <w:r>
        <w:rPr>
          <w:rFonts w:ascii="Arial" w:eastAsia="Arial" w:hAnsi="Arial" w:cs="Arial"/>
          <w:sz w:val="20"/>
          <w:szCs w:val="20"/>
        </w:rPr>
        <w:t xml:space="preserve">echnology could decrease the total cost of the commodity and also reduce carbon emissions (Ghosh et. al. 2020). By promoting sustainable investment companies can cut their power consumption and develop their financial performance by raising awareness, new </w:t>
      </w:r>
      <w:r>
        <w:rPr>
          <w:rFonts w:ascii="Arial" w:eastAsia="Arial" w:hAnsi="Arial" w:cs="Arial"/>
          <w:sz w:val="20"/>
          <w:szCs w:val="20"/>
        </w:rPr>
        <w:t>opportunities and efficiency (Atif et. al. 2020).</w:t>
      </w:r>
    </w:p>
    <w:p w14:paraId="0BAAA3E9" w14:textId="77777777" w:rsidR="00D41ED0" w:rsidRDefault="00CB0D2A">
      <w:pPr>
        <w:spacing w:before="240" w:after="240" w:line="360" w:lineRule="auto"/>
        <w:jc w:val="both"/>
        <w:rPr>
          <w:rFonts w:ascii="Arial" w:eastAsia="Arial" w:hAnsi="Arial" w:cs="Arial"/>
          <w:i/>
          <w:sz w:val="20"/>
          <w:szCs w:val="20"/>
        </w:rPr>
      </w:pPr>
      <w:bookmarkStart w:id="5" w:name="_heading=h.t7pmzdkd92g5" w:colFirst="0" w:colLast="0"/>
      <w:bookmarkEnd w:id="5"/>
      <w:r>
        <w:rPr>
          <w:rFonts w:ascii="Arial" w:eastAsia="Arial" w:hAnsi="Arial" w:cs="Arial"/>
          <w:sz w:val="20"/>
          <w:szCs w:val="20"/>
        </w:rPr>
        <w:lastRenderedPageBreak/>
        <w:t xml:space="preserve">H4: </w:t>
      </w:r>
      <w:r>
        <w:rPr>
          <w:rFonts w:ascii="Arial" w:eastAsia="Arial" w:hAnsi="Arial" w:cs="Arial"/>
          <w:i/>
          <w:sz w:val="20"/>
          <w:szCs w:val="20"/>
        </w:rPr>
        <w:t>The implementation of green investment projects in the steel manufacturing industry is positively influenced by the availability of green financing, government policy support, and the adoption of enviro</w:t>
      </w:r>
      <w:r>
        <w:rPr>
          <w:rFonts w:ascii="Arial" w:eastAsia="Arial" w:hAnsi="Arial" w:cs="Arial"/>
          <w:i/>
          <w:sz w:val="20"/>
          <w:szCs w:val="20"/>
        </w:rPr>
        <w:t>nmentally sustainable technologies.</w:t>
      </w:r>
    </w:p>
    <w:p w14:paraId="2C5EE0BC" w14:textId="77777777" w:rsidR="00D41ED0" w:rsidRDefault="00D41ED0">
      <w:pPr>
        <w:spacing w:before="240" w:after="240" w:line="360" w:lineRule="auto"/>
        <w:jc w:val="both"/>
        <w:rPr>
          <w:rFonts w:ascii="Arial" w:eastAsia="Arial" w:hAnsi="Arial" w:cs="Arial"/>
          <w:sz w:val="20"/>
          <w:szCs w:val="20"/>
        </w:rPr>
      </w:pPr>
      <w:bookmarkStart w:id="6" w:name="_heading=h.26ozu27pmjnh" w:colFirst="0" w:colLast="0"/>
      <w:bookmarkEnd w:id="6"/>
    </w:p>
    <w:p w14:paraId="4EE063E3" w14:textId="77777777" w:rsidR="00D41ED0" w:rsidRDefault="00CB0D2A">
      <w:pPr>
        <w:spacing w:line="360" w:lineRule="auto"/>
        <w:jc w:val="both"/>
        <w:rPr>
          <w:rFonts w:ascii="Arial" w:eastAsia="Arial" w:hAnsi="Arial" w:cs="Arial"/>
          <w:b/>
          <w:i/>
          <w:sz w:val="20"/>
          <w:szCs w:val="20"/>
        </w:rPr>
      </w:pPr>
      <w:r>
        <w:rPr>
          <w:rFonts w:ascii="Arial" w:eastAsia="Arial" w:hAnsi="Arial" w:cs="Arial"/>
          <w:sz w:val="20"/>
          <w:szCs w:val="20"/>
        </w:rPr>
        <w:t xml:space="preserve">  </w:t>
      </w:r>
      <w:r>
        <w:rPr>
          <w:rFonts w:ascii="Arial" w:eastAsia="Arial" w:hAnsi="Arial" w:cs="Arial"/>
          <w:b/>
          <w:sz w:val="20"/>
          <w:szCs w:val="20"/>
          <w:u w:val="single"/>
        </w:rPr>
        <w:t>5. Accountability to Protect Ecosystem</w:t>
      </w:r>
      <w:r>
        <w:rPr>
          <w:rFonts w:ascii="Arial" w:eastAsia="Arial" w:hAnsi="Arial" w:cs="Arial"/>
          <w:b/>
          <w:i/>
          <w:sz w:val="20"/>
          <w:szCs w:val="20"/>
        </w:rPr>
        <w:t xml:space="preserve"> </w:t>
      </w:r>
    </w:p>
    <w:p w14:paraId="1164E24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According to J P Birat 2019, the modern concept of sustainable development was unknown to human society until the second industrial revolution. It was the 21st century where sus</w:t>
      </w:r>
      <w:r>
        <w:rPr>
          <w:rFonts w:ascii="Arial" w:eastAsia="Arial" w:hAnsi="Arial" w:cs="Arial"/>
          <w:sz w:val="20"/>
          <w:szCs w:val="20"/>
        </w:rPr>
        <w:t>tainable development exists at the root of any new technological development. An industry becomes sustainable when its products are green. Steel can be a green product, when it is produced in a sustainable way.  According to J P Birat, 2023 the main challe</w:t>
      </w:r>
      <w:r>
        <w:rPr>
          <w:rFonts w:ascii="Arial" w:eastAsia="Arial" w:hAnsi="Arial" w:cs="Arial"/>
          <w:sz w:val="20"/>
          <w:szCs w:val="20"/>
        </w:rPr>
        <w:t>nges of production of steel is to make steels in the greenest possible way without damaging to the ecosystem. Water consumption for a steel industry is also an important part of sustainability and to do this the industries are adopting new technologies. Ac</w:t>
      </w:r>
      <w:r>
        <w:rPr>
          <w:rFonts w:ascii="Arial" w:eastAsia="Arial" w:hAnsi="Arial" w:cs="Arial"/>
          <w:sz w:val="20"/>
          <w:szCs w:val="20"/>
        </w:rPr>
        <w:t>cording to Conej et. al. 2020 compared with other industries, steel industries are the largest energy consumer in the world. Overall, it is said that the environment and energy are closely related to each other. In the case of steel production, it is an en</w:t>
      </w:r>
      <w:r>
        <w:rPr>
          <w:rFonts w:ascii="Arial" w:eastAsia="Arial" w:hAnsi="Arial" w:cs="Arial"/>
          <w:sz w:val="20"/>
          <w:szCs w:val="20"/>
        </w:rPr>
        <w:t>ergy intensive process. X. Xue et. al. 2023 said that steel industries are facing a lot of problems regarding saving energy and controlling CO</w:t>
      </w:r>
      <w:r>
        <w:rPr>
          <w:rFonts w:ascii="Arial" w:eastAsia="Arial" w:hAnsi="Arial" w:cs="Arial"/>
          <w:sz w:val="20"/>
          <w:szCs w:val="20"/>
          <w:vertAlign w:val="subscript"/>
        </w:rPr>
        <w:t>2</w:t>
      </w:r>
      <w:r>
        <w:rPr>
          <w:rFonts w:ascii="Arial" w:eastAsia="Arial" w:hAnsi="Arial" w:cs="Arial"/>
          <w:sz w:val="20"/>
          <w:szCs w:val="20"/>
        </w:rPr>
        <w:t xml:space="preserve"> emission. Liu et. al. 2021 said that the steel and iron industries are facing unmatched pressure to reduce CO</w:t>
      </w:r>
      <w:r>
        <w:rPr>
          <w:rFonts w:ascii="Arial" w:eastAsia="Arial" w:hAnsi="Arial" w:cs="Arial"/>
          <w:sz w:val="20"/>
          <w:szCs w:val="20"/>
          <w:vertAlign w:val="subscript"/>
        </w:rPr>
        <w:t>2</w:t>
      </w:r>
      <w:r>
        <w:rPr>
          <w:rFonts w:ascii="Arial" w:eastAsia="Arial" w:hAnsi="Arial" w:cs="Arial"/>
          <w:sz w:val="20"/>
          <w:szCs w:val="20"/>
        </w:rPr>
        <w:t xml:space="preserve"> emission and acquire sustainable development which leads to serious environmental disorder and the continual degradation of fossil resources. According to Tata steel sustainable policy by 2030 we will produce steel with less CO</w:t>
      </w:r>
      <w:r>
        <w:rPr>
          <w:rFonts w:ascii="Arial" w:eastAsia="Arial" w:hAnsi="Arial" w:cs="Arial"/>
          <w:sz w:val="20"/>
          <w:szCs w:val="20"/>
          <w:vertAlign w:val="subscript"/>
        </w:rPr>
        <w:t>2</w:t>
      </w:r>
      <w:r>
        <w:rPr>
          <w:rFonts w:ascii="Arial" w:eastAsia="Arial" w:hAnsi="Arial" w:cs="Arial"/>
          <w:sz w:val="20"/>
          <w:szCs w:val="20"/>
        </w:rPr>
        <w:t xml:space="preserve"> emission. And by the end o</w:t>
      </w:r>
      <w:r>
        <w:rPr>
          <w:rFonts w:ascii="Arial" w:eastAsia="Arial" w:hAnsi="Arial" w:cs="Arial"/>
          <w:sz w:val="20"/>
          <w:szCs w:val="20"/>
        </w:rPr>
        <w:t>f 2045, we will be the neutral steel producer with less CO2 emission.</w:t>
      </w:r>
    </w:p>
    <w:p w14:paraId="66492CA2"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H5:  Corporate accountability positively contributes to the protection and long-term sustainability of ecosystems by ensuring responsible resource management.</w:t>
      </w:r>
    </w:p>
    <w:p w14:paraId="20422C34" w14:textId="77777777" w:rsidR="00D41ED0" w:rsidRDefault="00CB0D2A">
      <w:pPr>
        <w:spacing w:before="240" w:after="240" w:line="360" w:lineRule="auto"/>
        <w:jc w:val="both"/>
        <w:rPr>
          <w:rFonts w:ascii="Arial" w:eastAsia="Arial" w:hAnsi="Arial" w:cs="Arial"/>
          <w:b/>
          <w:sz w:val="20"/>
          <w:szCs w:val="20"/>
          <w:u w:val="single"/>
        </w:rPr>
      </w:pPr>
      <w:r>
        <w:rPr>
          <w:rFonts w:ascii="Arial" w:eastAsia="Arial" w:hAnsi="Arial" w:cs="Arial"/>
          <w:b/>
          <w:sz w:val="20"/>
          <w:szCs w:val="20"/>
          <w:u w:val="single"/>
        </w:rPr>
        <w:t>6. Use of Recycled Products</w:t>
      </w:r>
      <w:r>
        <w:rPr>
          <w:rFonts w:ascii="Arial" w:eastAsia="Arial" w:hAnsi="Arial" w:cs="Arial"/>
          <w:b/>
          <w:sz w:val="20"/>
          <w:szCs w:val="20"/>
          <w:u w:val="single"/>
        </w:rPr>
        <w:t xml:space="preserve"> and Alternative Energy </w:t>
      </w:r>
    </w:p>
    <w:p w14:paraId="25A68934"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 xml:space="preserve">Steel is called the most recyclable material with a recycling ratio close to 95%. Steel is a sustainable material. Steel can be easily created with the mixture of other materials and also can be recycled easily without causing any </w:t>
      </w:r>
      <w:r>
        <w:rPr>
          <w:rFonts w:ascii="Arial" w:eastAsia="Arial" w:hAnsi="Arial" w:cs="Arial"/>
          <w:sz w:val="20"/>
          <w:szCs w:val="20"/>
        </w:rPr>
        <w:t>deterioration in quality. So, steel has a unique characteristic. Steel is a perfect material for recycling as it can be recycled endlessly into all kinds of steel products after the end of its product life. Due to a lot of advantages like strength and easi</w:t>
      </w:r>
      <w:r>
        <w:rPr>
          <w:rFonts w:ascii="Arial" w:eastAsia="Arial" w:hAnsi="Arial" w:cs="Arial"/>
          <w:sz w:val="20"/>
          <w:szCs w:val="20"/>
        </w:rPr>
        <w:t>ness to work, steel has been used in a lot of applications and recognized as the most outstanding material for the development of society, supports live of people and also the economic development of the society. In comparison to other materials steelmakin</w:t>
      </w:r>
      <w:r>
        <w:rPr>
          <w:rFonts w:ascii="Arial" w:eastAsia="Arial" w:hAnsi="Arial" w:cs="Arial"/>
          <w:sz w:val="20"/>
          <w:szCs w:val="20"/>
        </w:rPr>
        <w:t xml:space="preserve">g generates a lot of by-products which are eco-friendly products in nature (Szekely, 1996). According to World-steel, 2011 630 </w:t>
      </w:r>
      <w:proofErr w:type="spellStart"/>
      <w:r>
        <w:rPr>
          <w:rFonts w:ascii="Arial" w:eastAsia="Arial" w:hAnsi="Arial" w:cs="Arial"/>
          <w:sz w:val="20"/>
          <w:szCs w:val="20"/>
        </w:rPr>
        <w:t>Mton</w:t>
      </w:r>
      <w:proofErr w:type="spellEnd"/>
      <w:r>
        <w:rPr>
          <w:rFonts w:ascii="Arial" w:eastAsia="Arial" w:hAnsi="Arial" w:cs="Arial"/>
          <w:sz w:val="20"/>
          <w:szCs w:val="20"/>
        </w:rPr>
        <w:t xml:space="preserve"> of steel are recycled every year. Most of the steel plants are utilizing 100% of their iron slag </w:t>
      </w:r>
      <w:r>
        <w:rPr>
          <w:rFonts w:ascii="Arial" w:eastAsia="Arial" w:hAnsi="Arial" w:cs="Arial"/>
          <w:sz w:val="20"/>
          <w:szCs w:val="20"/>
        </w:rPr>
        <w:lastRenderedPageBreak/>
        <w:t>produced for making cement.</w:t>
      </w:r>
      <w:r>
        <w:rPr>
          <w:rFonts w:ascii="Arial" w:eastAsia="Arial" w:hAnsi="Arial" w:cs="Arial"/>
          <w:sz w:val="20"/>
          <w:szCs w:val="20"/>
        </w:rPr>
        <w:t xml:space="preserve"> The steel manufacturing industries are finding their ways to utilize the steel slags in other applications like constructions, road making, soil conditioning and rail ballast </w:t>
      </w:r>
      <w:proofErr w:type="spellStart"/>
      <w:r>
        <w:rPr>
          <w:rFonts w:ascii="Arial" w:eastAsia="Arial" w:hAnsi="Arial" w:cs="Arial"/>
          <w:sz w:val="20"/>
          <w:szCs w:val="20"/>
        </w:rPr>
        <w:t>etc</w:t>
      </w:r>
      <w:proofErr w:type="spellEnd"/>
    </w:p>
    <w:p w14:paraId="00EA6038"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 xml:space="preserve">H6: </w:t>
      </w:r>
      <w:r>
        <w:rPr>
          <w:rFonts w:ascii="Arial" w:eastAsia="Arial" w:hAnsi="Arial" w:cs="Arial"/>
          <w:i/>
          <w:sz w:val="20"/>
          <w:szCs w:val="20"/>
        </w:rPr>
        <w:t>The increased use of recycled products and alternative energy sources in</w:t>
      </w:r>
      <w:r>
        <w:rPr>
          <w:rFonts w:ascii="Arial" w:eastAsia="Arial" w:hAnsi="Arial" w:cs="Arial"/>
          <w:i/>
          <w:sz w:val="20"/>
          <w:szCs w:val="20"/>
        </w:rPr>
        <w:t xml:space="preserve"> steel manufacturing significantly reduces carbon emissions and enhances the overall environmental sustainability of the industry.</w:t>
      </w:r>
    </w:p>
    <w:p w14:paraId="3A79ED08" w14:textId="77777777" w:rsidR="00D41ED0" w:rsidRDefault="00CB0D2A">
      <w:pPr>
        <w:spacing w:line="360" w:lineRule="auto"/>
        <w:jc w:val="both"/>
        <w:rPr>
          <w:rFonts w:ascii="Arial" w:eastAsia="Arial" w:hAnsi="Arial" w:cs="Arial"/>
          <w:b/>
          <w:sz w:val="20"/>
          <w:szCs w:val="20"/>
          <w:u w:val="single"/>
        </w:rPr>
      </w:pPr>
      <w:bookmarkStart w:id="7" w:name="_heading=h.j775tjtvrh8e" w:colFirst="0" w:colLast="0"/>
      <w:bookmarkEnd w:id="7"/>
      <w:r>
        <w:rPr>
          <w:rFonts w:ascii="Arial" w:eastAsia="Arial" w:hAnsi="Arial" w:cs="Arial"/>
          <w:b/>
          <w:sz w:val="20"/>
          <w:szCs w:val="20"/>
          <w:u w:val="single"/>
        </w:rPr>
        <w:t>7.Supportive Infrastructure Condition</w:t>
      </w:r>
    </w:p>
    <w:p w14:paraId="72871795" w14:textId="77777777" w:rsidR="00D41ED0" w:rsidRDefault="00CB0D2A">
      <w:pPr>
        <w:spacing w:before="240" w:after="240" w:line="360" w:lineRule="auto"/>
        <w:jc w:val="both"/>
        <w:rPr>
          <w:rFonts w:ascii="Arial" w:eastAsia="Arial" w:hAnsi="Arial" w:cs="Arial"/>
          <w:sz w:val="20"/>
          <w:szCs w:val="20"/>
        </w:rPr>
      </w:pPr>
      <w:bookmarkStart w:id="8" w:name="_heading=h.8par7vpty464" w:colFirst="0" w:colLast="0"/>
      <w:bookmarkEnd w:id="8"/>
      <w:r>
        <w:rPr>
          <w:rFonts w:ascii="Arial" w:eastAsia="Arial" w:hAnsi="Arial" w:cs="Arial"/>
          <w:sz w:val="20"/>
          <w:szCs w:val="20"/>
        </w:rPr>
        <w:t xml:space="preserve"> Many industries are trying to balance their social, environmental, and economic aspects of supply chain to make competitive advantages over their competitors and have a sustainable supply chain. Steel is called as one of the most important raw materials w</w:t>
      </w:r>
      <w:r>
        <w:rPr>
          <w:rFonts w:ascii="Arial" w:eastAsia="Arial" w:hAnsi="Arial" w:cs="Arial"/>
          <w:sz w:val="20"/>
          <w:szCs w:val="20"/>
        </w:rPr>
        <w:t>hich is used in every aspect of our lives virtually, directly or indirectly influencing a country’s economy. Javad et al. (2020) said that management of green supply chain has positively emerged as an important approach for many organizations to become env</w:t>
      </w:r>
      <w:r>
        <w:rPr>
          <w:rFonts w:ascii="Arial" w:eastAsia="Arial" w:hAnsi="Arial" w:cs="Arial"/>
          <w:sz w:val="20"/>
          <w:szCs w:val="20"/>
        </w:rPr>
        <w:t xml:space="preserve">ironmentally sustainable. According to Nwachukwu et. al. 2021, the use </w:t>
      </w:r>
      <w:proofErr w:type="gramStart"/>
      <w:r>
        <w:rPr>
          <w:rFonts w:ascii="Arial" w:eastAsia="Arial" w:hAnsi="Arial" w:cs="Arial"/>
          <w:sz w:val="20"/>
          <w:szCs w:val="20"/>
        </w:rPr>
        <w:t>of  biomass</w:t>
      </w:r>
      <w:proofErr w:type="gramEnd"/>
      <w:r>
        <w:rPr>
          <w:rFonts w:ascii="Arial" w:eastAsia="Arial" w:hAnsi="Arial" w:cs="Arial"/>
          <w:sz w:val="20"/>
          <w:szCs w:val="20"/>
        </w:rPr>
        <w:t xml:space="preserve"> in the manufacturing of iron and steel subject to providing different types of raw biomass, use of converted technology of biomass  and distribution of biomass-based product</w:t>
      </w:r>
      <w:r>
        <w:rPr>
          <w:rFonts w:ascii="Arial" w:eastAsia="Arial" w:hAnsi="Arial" w:cs="Arial"/>
          <w:sz w:val="20"/>
          <w:szCs w:val="20"/>
        </w:rPr>
        <w:t>s to reduce fossil fuel emission  that is CO2 emission.</w:t>
      </w:r>
    </w:p>
    <w:p w14:paraId="43A0A5F7" w14:textId="77777777" w:rsidR="00D41ED0" w:rsidRDefault="00CB0D2A">
      <w:pPr>
        <w:spacing w:before="240" w:after="240" w:line="360" w:lineRule="auto"/>
        <w:jc w:val="both"/>
        <w:rPr>
          <w:rFonts w:ascii="Arial" w:eastAsia="Arial" w:hAnsi="Arial" w:cs="Arial"/>
          <w:sz w:val="20"/>
          <w:szCs w:val="20"/>
        </w:rPr>
      </w:pPr>
      <w:bookmarkStart w:id="9" w:name="_heading=h.90k083sf1pbc" w:colFirst="0" w:colLast="0"/>
      <w:bookmarkEnd w:id="9"/>
      <w:r>
        <w:rPr>
          <w:rFonts w:ascii="Arial" w:eastAsia="Arial" w:hAnsi="Arial" w:cs="Arial"/>
          <w:sz w:val="20"/>
          <w:szCs w:val="20"/>
        </w:rPr>
        <w:t>H7: Supportive infrastructure conditions have a significant positive impact on the implementation of green financing and environmentally sustainable practices in steel manufacturing industries of Odis</w:t>
      </w:r>
      <w:r>
        <w:rPr>
          <w:rFonts w:ascii="Arial" w:eastAsia="Arial" w:hAnsi="Arial" w:cs="Arial"/>
          <w:sz w:val="20"/>
          <w:szCs w:val="20"/>
        </w:rPr>
        <w:t>ha.</w:t>
      </w:r>
    </w:p>
    <w:p w14:paraId="050BD1DF" w14:textId="77777777" w:rsidR="00D41ED0" w:rsidRDefault="00CB0D2A">
      <w:pPr>
        <w:spacing w:line="360" w:lineRule="auto"/>
        <w:jc w:val="both"/>
        <w:rPr>
          <w:rFonts w:ascii="Arial" w:eastAsia="Arial" w:hAnsi="Arial" w:cs="Arial"/>
          <w:b/>
          <w:color w:val="000000"/>
          <w:sz w:val="20"/>
          <w:szCs w:val="20"/>
          <w:highlight w:val="white"/>
          <w:u w:val="single"/>
        </w:rPr>
      </w:pPr>
      <w:r>
        <w:rPr>
          <w:rFonts w:ascii="Arial" w:eastAsia="Arial" w:hAnsi="Arial" w:cs="Arial"/>
          <w:b/>
          <w:color w:val="000000"/>
          <w:sz w:val="20"/>
          <w:szCs w:val="20"/>
          <w:highlight w:val="white"/>
          <w:u w:val="single"/>
        </w:rPr>
        <w:t>8. Competitors Pressure</w:t>
      </w:r>
    </w:p>
    <w:p w14:paraId="317F0306" w14:textId="77777777" w:rsidR="00D41ED0" w:rsidRDefault="00CB0D2A">
      <w:pPr>
        <w:spacing w:before="240" w:after="240" w:line="360" w:lineRule="auto"/>
        <w:jc w:val="both"/>
        <w:rPr>
          <w:rFonts w:ascii="Arial" w:eastAsia="Arial" w:hAnsi="Arial" w:cs="Arial"/>
          <w:sz w:val="20"/>
          <w:szCs w:val="20"/>
          <w:highlight w:val="white"/>
        </w:rPr>
      </w:pPr>
      <w:r>
        <w:rPr>
          <w:rFonts w:ascii="Arial" w:eastAsia="Arial" w:hAnsi="Arial" w:cs="Arial"/>
          <w:sz w:val="20"/>
          <w:szCs w:val="20"/>
          <w:highlight w:val="white"/>
        </w:rPr>
        <w:t>According to shareholders theory, a lot of stakeholders of the different industries will enforce the company to promote the execution of environmental sustainability practices (</w:t>
      </w:r>
      <w:proofErr w:type="spellStart"/>
      <w:proofErr w:type="gramStart"/>
      <w:r>
        <w:rPr>
          <w:rFonts w:ascii="Arial" w:eastAsia="Arial" w:hAnsi="Arial" w:cs="Arial"/>
          <w:sz w:val="20"/>
          <w:szCs w:val="20"/>
          <w:highlight w:val="white"/>
        </w:rPr>
        <w:t>Buysse,K</w:t>
      </w:r>
      <w:proofErr w:type="spellEnd"/>
      <w:proofErr w:type="gramEnd"/>
      <w:r>
        <w:rPr>
          <w:rFonts w:ascii="Arial" w:eastAsia="Arial" w:hAnsi="Arial" w:cs="Arial"/>
          <w:sz w:val="20"/>
          <w:szCs w:val="20"/>
          <w:highlight w:val="white"/>
        </w:rPr>
        <w:t xml:space="preserve"> 2003; W Van Verbeke,2013). The first study</w:t>
      </w:r>
      <w:r>
        <w:rPr>
          <w:rFonts w:ascii="Arial" w:eastAsia="Arial" w:hAnsi="Arial" w:cs="Arial"/>
          <w:sz w:val="20"/>
          <w:szCs w:val="20"/>
          <w:highlight w:val="white"/>
        </w:rPr>
        <w:t xml:space="preserve"> to discuss the environmental sustainability practices adaptation by the companies was introduced by I Henriques and P </w:t>
      </w:r>
      <w:proofErr w:type="spellStart"/>
      <w:r>
        <w:rPr>
          <w:rFonts w:ascii="Arial" w:eastAsia="Arial" w:hAnsi="Arial" w:cs="Arial"/>
          <w:sz w:val="20"/>
          <w:szCs w:val="20"/>
          <w:highlight w:val="white"/>
        </w:rPr>
        <w:t>Sadorsky</w:t>
      </w:r>
      <w:proofErr w:type="spellEnd"/>
      <w:r>
        <w:rPr>
          <w:rFonts w:ascii="Arial" w:eastAsia="Arial" w:hAnsi="Arial" w:cs="Arial"/>
          <w:sz w:val="20"/>
          <w:szCs w:val="20"/>
          <w:highlight w:val="white"/>
        </w:rPr>
        <w:t xml:space="preserve"> 1996, who utilize their empirical data to test whether there is a relation between stakeholders and environmental plan of that c</w:t>
      </w:r>
      <w:r>
        <w:rPr>
          <w:rFonts w:ascii="Arial" w:eastAsia="Arial" w:hAnsi="Arial" w:cs="Arial"/>
          <w:sz w:val="20"/>
          <w:szCs w:val="20"/>
          <w:highlight w:val="white"/>
        </w:rPr>
        <w:t>ompany. And the outcome showed that the combination of an environmental sustainability plan productively affects the pressure created by customers and competitors. According to J.W Lee, Y.M Kim and Y.E Kim ,2018 there are different stakeholders like intern</w:t>
      </w:r>
      <w:r>
        <w:rPr>
          <w:rFonts w:ascii="Arial" w:eastAsia="Arial" w:hAnsi="Arial" w:cs="Arial"/>
          <w:sz w:val="20"/>
          <w:szCs w:val="20"/>
          <w:highlight w:val="white"/>
        </w:rPr>
        <w:t>al stakeholder and external stakeholder who influence mechanisms of environmental sustainability. Companies that prioritize sustainability can gain a positive brand image, attracting environmentally conscious customers and potentially harming the reputatio</w:t>
      </w:r>
      <w:r>
        <w:rPr>
          <w:rFonts w:ascii="Arial" w:eastAsia="Arial" w:hAnsi="Arial" w:cs="Arial"/>
          <w:sz w:val="20"/>
          <w:szCs w:val="20"/>
          <w:highlight w:val="white"/>
        </w:rPr>
        <w:t>n of competitors who are not actively pursuing sustainability. Investors are increasingly looking at a company's ESG (Environmental, Social, and Governance) performance, which can influence investment decisions, putting pressure on steel companies to impro</w:t>
      </w:r>
      <w:r>
        <w:rPr>
          <w:rFonts w:ascii="Arial" w:eastAsia="Arial" w:hAnsi="Arial" w:cs="Arial"/>
          <w:sz w:val="20"/>
          <w:szCs w:val="20"/>
          <w:highlight w:val="white"/>
        </w:rPr>
        <w:t xml:space="preserve">ve their sustainability practices to attract capital. Overall, competition within the steel industry can act as a significant driver for sustainable practices, pushing companies to adopt cleaner technologies and production methods to maintain market share </w:t>
      </w:r>
      <w:r>
        <w:rPr>
          <w:rFonts w:ascii="Arial" w:eastAsia="Arial" w:hAnsi="Arial" w:cs="Arial"/>
          <w:sz w:val="20"/>
          <w:szCs w:val="20"/>
          <w:highlight w:val="white"/>
        </w:rPr>
        <w:t xml:space="preserve">and attract environmentally conscious customers. </w:t>
      </w:r>
    </w:p>
    <w:p w14:paraId="70A3BAB1" w14:textId="77777777" w:rsidR="00D41ED0" w:rsidRDefault="00CB0D2A">
      <w:pPr>
        <w:spacing w:before="240" w:after="240" w:line="360" w:lineRule="auto"/>
        <w:jc w:val="both"/>
        <w:rPr>
          <w:rFonts w:ascii="Arial" w:eastAsia="Arial" w:hAnsi="Arial" w:cs="Arial"/>
          <w:i/>
          <w:sz w:val="20"/>
          <w:szCs w:val="20"/>
          <w:highlight w:val="white"/>
        </w:rPr>
      </w:pPr>
      <w:r>
        <w:rPr>
          <w:rFonts w:ascii="Arial" w:eastAsia="Arial" w:hAnsi="Arial" w:cs="Arial"/>
          <w:sz w:val="20"/>
          <w:szCs w:val="20"/>
          <w:highlight w:val="white"/>
        </w:rPr>
        <w:lastRenderedPageBreak/>
        <w:t xml:space="preserve">H8: </w:t>
      </w:r>
      <w:r>
        <w:rPr>
          <w:rFonts w:ascii="Arial" w:eastAsia="Arial" w:hAnsi="Arial" w:cs="Arial"/>
          <w:i/>
          <w:sz w:val="20"/>
          <w:szCs w:val="20"/>
          <w:highlight w:val="white"/>
        </w:rPr>
        <w:t>Competitors' pressure positively influences the adoption of green innovation and sustainability practices in steel manufacturing industries.</w:t>
      </w:r>
    </w:p>
    <w:p w14:paraId="543E1D5F" w14:textId="77777777" w:rsidR="00D41ED0" w:rsidRDefault="00D41ED0">
      <w:pPr>
        <w:spacing w:before="240" w:after="240" w:line="360" w:lineRule="auto"/>
        <w:jc w:val="both"/>
        <w:rPr>
          <w:rFonts w:ascii="Arial" w:eastAsia="Arial" w:hAnsi="Arial" w:cs="Arial"/>
          <w:sz w:val="20"/>
          <w:szCs w:val="20"/>
          <w:highlight w:val="white"/>
        </w:rPr>
      </w:pPr>
    </w:p>
    <w:p w14:paraId="6DF9B620" w14:textId="77777777" w:rsidR="00D41ED0" w:rsidRDefault="00D41ED0">
      <w:pPr>
        <w:spacing w:line="360" w:lineRule="auto"/>
        <w:jc w:val="both"/>
        <w:rPr>
          <w:rFonts w:ascii="Arial" w:eastAsia="Arial" w:hAnsi="Arial" w:cs="Arial"/>
          <w:b/>
          <w:sz w:val="18"/>
          <w:szCs w:val="18"/>
          <w:highlight w:val="white"/>
          <w:u w:val="single"/>
        </w:rPr>
      </w:pPr>
    </w:p>
    <w:p w14:paraId="1FCCEA0E" w14:textId="77777777" w:rsidR="00D41ED0" w:rsidRDefault="00CB0D2A">
      <w:pPr>
        <w:spacing w:line="360" w:lineRule="auto"/>
        <w:jc w:val="both"/>
        <w:rPr>
          <w:rFonts w:ascii="Arial" w:eastAsia="Arial" w:hAnsi="Arial" w:cs="Arial"/>
          <w:b/>
          <w:color w:val="000000"/>
          <w:sz w:val="20"/>
          <w:szCs w:val="20"/>
          <w:highlight w:val="white"/>
          <w:u w:val="single"/>
        </w:rPr>
      </w:pPr>
      <w:r>
        <w:rPr>
          <w:rFonts w:ascii="Arial" w:eastAsia="Arial" w:hAnsi="Arial" w:cs="Arial"/>
          <w:b/>
          <w:color w:val="000000"/>
          <w:sz w:val="20"/>
          <w:szCs w:val="20"/>
          <w:highlight w:val="white"/>
          <w:u w:val="single"/>
        </w:rPr>
        <w:t>9. Energy Saving Schemes</w:t>
      </w:r>
    </w:p>
    <w:p w14:paraId="133BDB74" w14:textId="77777777" w:rsidR="00D41ED0" w:rsidRDefault="00CB0D2A">
      <w:pPr>
        <w:spacing w:before="240" w:after="240" w:line="360" w:lineRule="auto"/>
        <w:jc w:val="both"/>
        <w:rPr>
          <w:rFonts w:ascii="Arial" w:eastAsia="Arial" w:hAnsi="Arial" w:cs="Arial"/>
          <w:sz w:val="20"/>
          <w:szCs w:val="20"/>
          <w:highlight w:val="white"/>
        </w:rPr>
      </w:pPr>
      <w:r>
        <w:rPr>
          <w:rFonts w:ascii="Arial" w:eastAsia="Arial" w:hAnsi="Arial" w:cs="Arial"/>
          <w:sz w:val="20"/>
          <w:szCs w:val="20"/>
          <w:highlight w:val="white"/>
        </w:rPr>
        <w:t xml:space="preserve">Sustainable development is the </w:t>
      </w:r>
      <w:r>
        <w:rPr>
          <w:rFonts w:ascii="Arial" w:eastAsia="Arial" w:hAnsi="Arial" w:cs="Arial"/>
          <w:sz w:val="20"/>
          <w:szCs w:val="20"/>
          <w:highlight w:val="white"/>
        </w:rPr>
        <w:t>most important factor of society and the companies to sustain environmentally. Energy saving schemes are programs that encourage people to use energy more efficiently and effectively. These schemes can reduce environmental impacts, conserve resources and s</w:t>
      </w:r>
      <w:r>
        <w:rPr>
          <w:rFonts w:ascii="Arial" w:eastAsia="Arial" w:hAnsi="Arial" w:cs="Arial"/>
          <w:sz w:val="20"/>
          <w:szCs w:val="20"/>
          <w:highlight w:val="white"/>
        </w:rPr>
        <w:t>ave money.</w:t>
      </w:r>
      <w:r>
        <w:rPr>
          <w:rFonts w:ascii="Arial" w:eastAsia="Arial" w:hAnsi="Arial" w:cs="Arial"/>
          <w:color w:val="1F1F1F"/>
          <w:sz w:val="20"/>
          <w:szCs w:val="20"/>
          <w:highlight w:val="white"/>
        </w:rPr>
        <w:t xml:space="preserve"> </w:t>
      </w:r>
      <w:r>
        <w:rPr>
          <w:rFonts w:ascii="Arial" w:eastAsia="Arial" w:hAnsi="Arial" w:cs="Arial"/>
          <w:sz w:val="20"/>
          <w:szCs w:val="20"/>
          <w:highlight w:val="white"/>
        </w:rPr>
        <w:t>Energy saving schemes significantly improve the sustainability practices of steel industries by reducing their overall energy consumption, leading to lower greenhouse gas emissions, minimized environmental impact, and potential cost savings, oft</w:t>
      </w:r>
      <w:r>
        <w:rPr>
          <w:rFonts w:ascii="Arial" w:eastAsia="Arial" w:hAnsi="Arial" w:cs="Arial"/>
          <w:sz w:val="20"/>
          <w:szCs w:val="20"/>
          <w:highlight w:val="white"/>
        </w:rPr>
        <w:t>en achieved through implementing more efficient technologies, optimizing production processes, and utilizing recycled materials in the manufacturing process. For sustainable development it is more important to use   the sustainable energies like solar ener</w:t>
      </w:r>
      <w:r>
        <w:rPr>
          <w:rFonts w:ascii="Arial" w:eastAsia="Arial" w:hAnsi="Arial" w:cs="Arial"/>
          <w:sz w:val="20"/>
          <w:szCs w:val="20"/>
          <w:highlight w:val="white"/>
        </w:rPr>
        <w:t xml:space="preserve">gy, wind energy, hydro energy etc. Kelly 2006 said that energy efficiency plans play a vital role in reducing carbon dioxide emissions. According to </w:t>
      </w:r>
      <w:proofErr w:type="spellStart"/>
      <w:r>
        <w:rPr>
          <w:rFonts w:ascii="Arial" w:eastAsia="Arial" w:hAnsi="Arial" w:cs="Arial"/>
          <w:sz w:val="20"/>
          <w:szCs w:val="20"/>
          <w:highlight w:val="white"/>
        </w:rPr>
        <w:t>Saygin</w:t>
      </w:r>
      <w:proofErr w:type="spellEnd"/>
      <w:r>
        <w:rPr>
          <w:rFonts w:ascii="Arial" w:eastAsia="Arial" w:hAnsi="Arial" w:cs="Arial"/>
          <w:sz w:val="20"/>
          <w:szCs w:val="20"/>
          <w:highlight w:val="white"/>
        </w:rPr>
        <w:t xml:space="preserve"> et. al. 2013 future CO2 emission reduction model has the potential of energy efficiency and it can f</w:t>
      </w:r>
      <w:r>
        <w:rPr>
          <w:rFonts w:ascii="Arial" w:eastAsia="Arial" w:hAnsi="Arial" w:cs="Arial"/>
          <w:sz w:val="20"/>
          <w:szCs w:val="20"/>
          <w:highlight w:val="white"/>
        </w:rPr>
        <w:t>urther advance the technology of carbon capture and storage as well.  An energy source is the most important element of economic development. Joo et. al. 2015 said that   there is a relationship between energy consumption and CO2 emissions.</w:t>
      </w:r>
    </w:p>
    <w:p w14:paraId="7A5EA5BD" w14:textId="77777777" w:rsidR="00D41ED0" w:rsidRDefault="00CB0D2A">
      <w:pPr>
        <w:spacing w:before="240" w:after="240" w:line="360" w:lineRule="auto"/>
        <w:jc w:val="both"/>
        <w:rPr>
          <w:rFonts w:ascii="Arial" w:eastAsia="Arial" w:hAnsi="Arial" w:cs="Arial"/>
          <w:sz w:val="20"/>
          <w:szCs w:val="20"/>
          <w:highlight w:val="white"/>
        </w:rPr>
      </w:pPr>
      <w:r>
        <w:rPr>
          <w:rFonts w:ascii="Arial" w:eastAsia="Arial" w:hAnsi="Arial" w:cs="Arial"/>
          <w:sz w:val="20"/>
          <w:szCs w:val="20"/>
          <w:highlight w:val="white"/>
        </w:rPr>
        <w:t>H9: Energy savi</w:t>
      </w:r>
      <w:r>
        <w:rPr>
          <w:rFonts w:ascii="Arial" w:eastAsia="Arial" w:hAnsi="Arial" w:cs="Arial"/>
          <w:sz w:val="20"/>
          <w:szCs w:val="20"/>
          <w:highlight w:val="white"/>
        </w:rPr>
        <w:t xml:space="preserve">ng schemes implemented in the steel manufacturing industries of Odisha lead </w:t>
      </w:r>
      <w:proofErr w:type="gramStart"/>
      <w:r>
        <w:rPr>
          <w:rFonts w:ascii="Arial" w:eastAsia="Arial" w:hAnsi="Arial" w:cs="Arial"/>
          <w:sz w:val="20"/>
          <w:szCs w:val="20"/>
          <w:highlight w:val="white"/>
        </w:rPr>
        <w:t>to  enhancing</w:t>
      </w:r>
      <w:proofErr w:type="gramEnd"/>
      <w:r>
        <w:rPr>
          <w:rFonts w:ascii="Arial" w:eastAsia="Arial" w:hAnsi="Arial" w:cs="Arial"/>
          <w:sz w:val="20"/>
          <w:szCs w:val="20"/>
          <w:highlight w:val="white"/>
        </w:rPr>
        <w:t xml:space="preserve">  environmental sustainability.</w:t>
      </w:r>
    </w:p>
    <w:p w14:paraId="1C093122" w14:textId="77777777" w:rsidR="00D41ED0" w:rsidRDefault="00CB0D2A">
      <w:pPr>
        <w:spacing w:line="360" w:lineRule="auto"/>
        <w:jc w:val="both"/>
        <w:rPr>
          <w:rFonts w:ascii="Arial" w:eastAsia="Arial" w:hAnsi="Arial" w:cs="Arial"/>
          <w:color w:val="000000"/>
          <w:sz w:val="20"/>
          <w:szCs w:val="20"/>
          <w:highlight w:val="white"/>
          <w:u w:val="single"/>
        </w:rPr>
      </w:pPr>
      <w:r>
        <w:rPr>
          <w:rFonts w:ascii="Arial" w:eastAsia="Arial" w:hAnsi="Arial" w:cs="Arial"/>
          <w:b/>
          <w:color w:val="000000"/>
          <w:sz w:val="20"/>
          <w:szCs w:val="20"/>
          <w:highlight w:val="white"/>
          <w:u w:val="single"/>
        </w:rPr>
        <w:t>10. Exploiting New Technology</w:t>
      </w:r>
      <w:r>
        <w:rPr>
          <w:rFonts w:ascii="Arial" w:eastAsia="Arial" w:hAnsi="Arial" w:cs="Arial"/>
          <w:color w:val="000000"/>
          <w:sz w:val="20"/>
          <w:szCs w:val="20"/>
          <w:highlight w:val="white"/>
          <w:u w:val="single"/>
        </w:rPr>
        <w:t xml:space="preserve">: </w:t>
      </w:r>
    </w:p>
    <w:p w14:paraId="27AEA75D" w14:textId="77777777" w:rsidR="00D41ED0" w:rsidRDefault="00CB0D2A">
      <w:pPr>
        <w:spacing w:before="240" w:after="240" w:line="360" w:lineRule="auto"/>
        <w:jc w:val="both"/>
        <w:rPr>
          <w:rFonts w:ascii="Arial" w:eastAsia="Arial" w:hAnsi="Arial" w:cs="Arial"/>
          <w:sz w:val="20"/>
          <w:szCs w:val="20"/>
          <w:highlight w:val="white"/>
        </w:rPr>
      </w:pPr>
      <w:r>
        <w:rPr>
          <w:rFonts w:ascii="Arial" w:eastAsia="Arial" w:hAnsi="Arial" w:cs="Arial"/>
          <w:sz w:val="20"/>
          <w:szCs w:val="20"/>
          <w:highlight w:val="white"/>
        </w:rPr>
        <w:t>According to Kiron et. al. 2018 sustainability is the key driver for innovation and companies with good</w:t>
      </w:r>
      <w:r>
        <w:rPr>
          <w:rFonts w:ascii="Arial" w:eastAsia="Arial" w:hAnsi="Arial" w:cs="Arial"/>
          <w:sz w:val="20"/>
          <w:szCs w:val="20"/>
          <w:highlight w:val="white"/>
        </w:rPr>
        <w:t xml:space="preserve"> innovation plans can achieve the goal of environmental sustainability. Dornfeld 2014 said that industries are more serious in conducting new technologies for environmental sustainability. Green environment technologies play an important role for sustainab</w:t>
      </w:r>
      <w:r>
        <w:rPr>
          <w:rFonts w:ascii="Arial" w:eastAsia="Arial" w:hAnsi="Arial" w:cs="Arial"/>
          <w:sz w:val="20"/>
          <w:szCs w:val="20"/>
          <w:highlight w:val="white"/>
        </w:rPr>
        <w:t>le development activities which are normally related with decreasing the environmental degradations (Pei et. al. 2019). Rout et. al. 2022 said that technological advancement in industrial sectors may minimize ecological degradation and help to improve envi</w:t>
      </w:r>
      <w:r>
        <w:rPr>
          <w:rFonts w:ascii="Arial" w:eastAsia="Arial" w:hAnsi="Arial" w:cs="Arial"/>
          <w:sz w:val="20"/>
          <w:szCs w:val="20"/>
          <w:highlight w:val="white"/>
        </w:rPr>
        <w:t xml:space="preserve">ronmental concerns. Haldar and Sethi 2022 said that new technologies for sustainable development help the organizations to sustain themselves environmentally. According to </w:t>
      </w:r>
      <w:proofErr w:type="spellStart"/>
      <w:r>
        <w:rPr>
          <w:rFonts w:ascii="Arial" w:eastAsia="Arial" w:hAnsi="Arial" w:cs="Arial"/>
          <w:sz w:val="20"/>
          <w:szCs w:val="20"/>
          <w:highlight w:val="white"/>
        </w:rPr>
        <w:t>Makitie</w:t>
      </w:r>
      <w:proofErr w:type="spellEnd"/>
      <w:r>
        <w:rPr>
          <w:rFonts w:ascii="Arial" w:eastAsia="Arial" w:hAnsi="Arial" w:cs="Arial"/>
          <w:sz w:val="20"/>
          <w:szCs w:val="20"/>
          <w:highlight w:val="white"/>
        </w:rPr>
        <w:t xml:space="preserve"> et. al. 2023 new green technologies help to improve industrial productions a</w:t>
      </w:r>
      <w:r>
        <w:rPr>
          <w:rFonts w:ascii="Arial" w:eastAsia="Arial" w:hAnsi="Arial" w:cs="Arial"/>
          <w:sz w:val="20"/>
          <w:szCs w:val="20"/>
          <w:highlight w:val="white"/>
        </w:rPr>
        <w:t xml:space="preserve">nd also reduce environmental degradations. </w:t>
      </w:r>
    </w:p>
    <w:p w14:paraId="72577598" w14:textId="77777777" w:rsidR="00D41ED0" w:rsidRDefault="00CB0D2A">
      <w:pPr>
        <w:spacing w:before="240" w:after="240" w:line="360" w:lineRule="auto"/>
        <w:jc w:val="both"/>
        <w:rPr>
          <w:rFonts w:ascii="Arial" w:eastAsia="Arial" w:hAnsi="Arial" w:cs="Arial"/>
          <w:sz w:val="20"/>
          <w:szCs w:val="20"/>
          <w:highlight w:val="white"/>
        </w:rPr>
      </w:pPr>
      <w:r>
        <w:rPr>
          <w:rFonts w:ascii="Arial" w:eastAsia="Arial" w:hAnsi="Arial" w:cs="Arial"/>
          <w:sz w:val="20"/>
          <w:szCs w:val="20"/>
          <w:highlight w:val="white"/>
        </w:rPr>
        <w:t>H10: The effective exploitation of new technology significantly enhances operational efficiency and environmental sustainability in industrial sectors.</w:t>
      </w:r>
    </w:p>
    <w:p w14:paraId="20474E1E" w14:textId="77777777" w:rsidR="00D41ED0" w:rsidRDefault="00D41ED0">
      <w:pPr>
        <w:spacing w:line="360" w:lineRule="auto"/>
        <w:jc w:val="both"/>
        <w:rPr>
          <w:rFonts w:ascii="Arial" w:eastAsia="Arial" w:hAnsi="Arial" w:cs="Arial"/>
          <w:sz w:val="18"/>
          <w:szCs w:val="18"/>
          <w:highlight w:val="white"/>
        </w:rPr>
      </w:pPr>
    </w:p>
    <w:p w14:paraId="6A8C9F26" w14:textId="6DA1A3BE"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TABLE</w:t>
      </w:r>
      <w:r w:rsidR="007F708F">
        <w:rPr>
          <w:rFonts w:ascii="Arial" w:eastAsia="Arial" w:hAnsi="Arial" w:cs="Arial"/>
          <w:b/>
          <w:sz w:val="20"/>
          <w:szCs w:val="20"/>
        </w:rPr>
        <w:t xml:space="preserve"> </w:t>
      </w:r>
      <w:r>
        <w:rPr>
          <w:rFonts w:ascii="Arial" w:eastAsia="Arial" w:hAnsi="Arial" w:cs="Arial"/>
          <w:b/>
          <w:sz w:val="20"/>
          <w:szCs w:val="20"/>
        </w:rPr>
        <w:t>1</w:t>
      </w:r>
      <w:r w:rsidR="007F708F">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b/>
          <w:sz w:val="20"/>
          <w:szCs w:val="20"/>
        </w:rPr>
        <w:t xml:space="preserve">Variables Description and Supporting </w:t>
      </w:r>
      <w:r>
        <w:rPr>
          <w:rFonts w:ascii="Arial" w:eastAsia="Arial" w:hAnsi="Arial" w:cs="Arial"/>
          <w:b/>
          <w:sz w:val="20"/>
          <w:szCs w:val="20"/>
        </w:rPr>
        <w:t>Literatures.</w:t>
      </w:r>
    </w:p>
    <w:tbl>
      <w:tblPr>
        <w:tblStyle w:val="a8"/>
        <w:tblW w:w="951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277"/>
        <w:gridCol w:w="3421"/>
      </w:tblGrid>
      <w:tr w:rsidR="00D41ED0" w14:paraId="44DE8893" w14:textId="77777777" w:rsidTr="007F708F">
        <w:trPr>
          <w:trHeight w:val="618"/>
        </w:trPr>
        <w:tc>
          <w:tcPr>
            <w:tcW w:w="4820" w:type="dxa"/>
            <w:tcBorders>
              <w:top w:val="single" w:sz="12" w:space="0" w:color="000000"/>
              <w:left w:val="nil"/>
              <w:bottom w:val="single" w:sz="12" w:space="0" w:color="000000"/>
              <w:right w:val="nil"/>
            </w:tcBorders>
          </w:tcPr>
          <w:p w14:paraId="2FC2753C"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Variables</w:t>
            </w:r>
          </w:p>
          <w:p w14:paraId="52183F02"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 xml:space="preserve">Environmental Sustainability </w:t>
            </w:r>
          </w:p>
        </w:tc>
        <w:tc>
          <w:tcPr>
            <w:tcW w:w="1277" w:type="dxa"/>
            <w:tcBorders>
              <w:top w:val="single" w:sz="12" w:space="0" w:color="000000"/>
              <w:left w:val="nil"/>
              <w:bottom w:val="single" w:sz="12" w:space="0" w:color="000000"/>
              <w:right w:val="nil"/>
            </w:tcBorders>
          </w:tcPr>
          <w:p w14:paraId="0736231F"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CODE</w:t>
            </w:r>
          </w:p>
          <w:p w14:paraId="42EE053F"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ENVS</w:t>
            </w:r>
          </w:p>
        </w:tc>
        <w:tc>
          <w:tcPr>
            <w:tcW w:w="3421" w:type="dxa"/>
            <w:tcBorders>
              <w:top w:val="single" w:sz="12" w:space="0" w:color="000000"/>
              <w:left w:val="nil"/>
              <w:bottom w:val="single" w:sz="12" w:space="0" w:color="000000"/>
              <w:right w:val="nil"/>
            </w:tcBorders>
          </w:tcPr>
          <w:p w14:paraId="404C2970"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Literature Review</w:t>
            </w:r>
          </w:p>
        </w:tc>
      </w:tr>
      <w:tr w:rsidR="00D41ED0" w14:paraId="6AAE649A" w14:textId="77777777">
        <w:trPr>
          <w:trHeight w:val="345"/>
        </w:trPr>
        <w:tc>
          <w:tcPr>
            <w:tcW w:w="4820" w:type="dxa"/>
            <w:vMerge w:val="restart"/>
            <w:tcBorders>
              <w:top w:val="single" w:sz="12" w:space="0" w:color="000000"/>
              <w:left w:val="nil"/>
              <w:right w:val="nil"/>
            </w:tcBorders>
          </w:tcPr>
          <w:p w14:paraId="282A55E8"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Policy to control environmental Damage</w:t>
            </w:r>
          </w:p>
          <w:p w14:paraId="7B2E6B56"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Sustainable Development Strategies</w:t>
            </w:r>
          </w:p>
          <w:p w14:paraId="3ED8BC13"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Green Innovation Practices</w:t>
            </w:r>
          </w:p>
        </w:tc>
        <w:tc>
          <w:tcPr>
            <w:tcW w:w="1277" w:type="dxa"/>
            <w:vMerge w:val="restart"/>
            <w:tcBorders>
              <w:top w:val="single" w:sz="12" w:space="0" w:color="000000"/>
              <w:left w:val="nil"/>
              <w:right w:val="nil"/>
            </w:tcBorders>
          </w:tcPr>
          <w:p w14:paraId="1BB40C3B"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ENVS1</w:t>
            </w:r>
          </w:p>
          <w:p w14:paraId="6545F96A"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ENVS2</w:t>
            </w:r>
          </w:p>
          <w:p w14:paraId="487E4A5F"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ENVS3</w:t>
            </w:r>
          </w:p>
        </w:tc>
        <w:tc>
          <w:tcPr>
            <w:tcW w:w="3421" w:type="dxa"/>
            <w:vMerge w:val="restart"/>
            <w:tcBorders>
              <w:top w:val="single" w:sz="12" w:space="0" w:color="000000"/>
              <w:left w:val="nil"/>
              <w:right w:val="nil"/>
            </w:tcBorders>
          </w:tcPr>
          <w:p w14:paraId="2FF809CF" w14:textId="77777777" w:rsidR="00D41ED0" w:rsidRDefault="00CB0D2A">
            <w:pPr>
              <w:spacing w:line="360" w:lineRule="auto"/>
              <w:jc w:val="both"/>
              <w:rPr>
                <w:rFonts w:ascii="Arial" w:eastAsia="Arial" w:hAnsi="Arial" w:cs="Arial"/>
                <w:b/>
                <w:sz w:val="20"/>
                <w:szCs w:val="20"/>
              </w:rPr>
            </w:pPr>
            <w:proofErr w:type="spellStart"/>
            <w:r>
              <w:rPr>
                <w:rFonts w:ascii="Arial" w:eastAsia="Arial" w:hAnsi="Arial" w:cs="Arial"/>
                <w:b/>
                <w:sz w:val="20"/>
                <w:szCs w:val="20"/>
              </w:rPr>
              <w:t>Byravan</w:t>
            </w:r>
            <w:proofErr w:type="spellEnd"/>
            <w:r>
              <w:rPr>
                <w:rFonts w:ascii="Arial" w:eastAsia="Arial" w:hAnsi="Arial" w:cs="Arial"/>
                <w:b/>
                <w:sz w:val="20"/>
                <w:szCs w:val="20"/>
              </w:rPr>
              <w:t xml:space="preserve"> et. al. 2022,</w:t>
            </w:r>
          </w:p>
          <w:p w14:paraId="599D283C"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 xml:space="preserve">Durand et. al. 2019, </w:t>
            </w:r>
          </w:p>
          <w:p w14:paraId="7D1D5E0F"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Xue et. al.</w:t>
            </w:r>
            <w:r>
              <w:rPr>
                <w:rFonts w:ascii="Arial" w:eastAsia="Arial" w:hAnsi="Arial" w:cs="Arial"/>
                <w:b/>
                <w:sz w:val="20"/>
                <w:szCs w:val="20"/>
              </w:rPr>
              <w:t xml:space="preserve"> 2022.</w:t>
            </w:r>
          </w:p>
        </w:tc>
      </w:tr>
      <w:tr w:rsidR="00D41ED0" w14:paraId="3A7C0626" w14:textId="77777777">
        <w:trPr>
          <w:trHeight w:val="276"/>
        </w:trPr>
        <w:tc>
          <w:tcPr>
            <w:tcW w:w="4820" w:type="dxa"/>
            <w:vMerge/>
            <w:tcBorders>
              <w:top w:val="single" w:sz="12" w:space="0" w:color="000000"/>
              <w:left w:val="nil"/>
              <w:right w:val="nil"/>
            </w:tcBorders>
          </w:tcPr>
          <w:p w14:paraId="3F564B3A"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single" w:sz="12" w:space="0" w:color="000000"/>
              <w:left w:val="nil"/>
              <w:right w:val="nil"/>
            </w:tcBorders>
          </w:tcPr>
          <w:p w14:paraId="6C90BD65"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single" w:sz="12" w:space="0" w:color="000000"/>
              <w:left w:val="nil"/>
              <w:right w:val="nil"/>
            </w:tcBorders>
          </w:tcPr>
          <w:p w14:paraId="07BEB6EB"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38288D93" w14:textId="77777777">
        <w:trPr>
          <w:trHeight w:val="276"/>
        </w:trPr>
        <w:tc>
          <w:tcPr>
            <w:tcW w:w="4820" w:type="dxa"/>
            <w:vMerge/>
            <w:tcBorders>
              <w:top w:val="single" w:sz="12" w:space="0" w:color="000000"/>
              <w:left w:val="nil"/>
              <w:right w:val="nil"/>
            </w:tcBorders>
          </w:tcPr>
          <w:p w14:paraId="4304C329"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single" w:sz="12" w:space="0" w:color="000000"/>
              <w:left w:val="nil"/>
              <w:right w:val="nil"/>
            </w:tcBorders>
          </w:tcPr>
          <w:p w14:paraId="28BFD031"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single" w:sz="12" w:space="0" w:color="000000"/>
              <w:left w:val="nil"/>
              <w:right w:val="nil"/>
            </w:tcBorders>
          </w:tcPr>
          <w:p w14:paraId="61A2A889"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7A5F72A3" w14:textId="77777777">
        <w:trPr>
          <w:trHeight w:val="345"/>
        </w:trPr>
        <w:tc>
          <w:tcPr>
            <w:tcW w:w="4820" w:type="dxa"/>
            <w:vMerge w:val="restart"/>
            <w:tcBorders>
              <w:top w:val="nil"/>
              <w:left w:val="nil"/>
              <w:right w:val="nil"/>
            </w:tcBorders>
          </w:tcPr>
          <w:p w14:paraId="06CC1945"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Green Investment Projects Implementation</w:t>
            </w:r>
          </w:p>
          <w:p w14:paraId="5EF22FE0"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Accountability to protect the environment.</w:t>
            </w:r>
          </w:p>
          <w:p w14:paraId="0C238CFA"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Use of Recycled Products and Alternative Energy.</w:t>
            </w:r>
          </w:p>
        </w:tc>
        <w:tc>
          <w:tcPr>
            <w:tcW w:w="1277" w:type="dxa"/>
            <w:vMerge w:val="restart"/>
            <w:tcBorders>
              <w:top w:val="nil"/>
              <w:left w:val="nil"/>
              <w:right w:val="nil"/>
            </w:tcBorders>
          </w:tcPr>
          <w:p w14:paraId="4AE41C2D"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ENVS4</w:t>
            </w:r>
          </w:p>
          <w:p w14:paraId="2C19BD85"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ENVS5</w:t>
            </w:r>
          </w:p>
          <w:p w14:paraId="7288629E"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ENVS6</w:t>
            </w:r>
          </w:p>
        </w:tc>
        <w:tc>
          <w:tcPr>
            <w:tcW w:w="3421" w:type="dxa"/>
            <w:vMerge w:val="restart"/>
            <w:tcBorders>
              <w:top w:val="nil"/>
              <w:left w:val="nil"/>
              <w:right w:val="nil"/>
            </w:tcBorders>
          </w:tcPr>
          <w:p w14:paraId="753C364A"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Mukherjee and Chatterjee 2022,</w:t>
            </w:r>
          </w:p>
          <w:p w14:paraId="21FBAE7E"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Birat et. al. 2019.</w:t>
            </w:r>
          </w:p>
          <w:p w14:paraId="4F61EA1E" w14:textId="77777777" w:rsidR="00D41ED0" w:rsidRDefault="00CB0D2A">
            <w:pPr>
              <w:spacing w:line="360" w:lineRule="auto"/>
              <w:jc w:val="both"/>
              <w:rPr>
                <w:rFonts w:ascii="Arial" w:eastAsia="Arial" w:hAnsi="Arial" w:cs="Arial"/>
                <w:b/>
                <w:sz w:val="20"/>
                <w:szCs w:val="20"/>
              </w:rPr>
            </w:pPr>
            <w:proofErr w:type="spellStart"/>
            <w:r>
              <w:rPr>
                <w:rFonts w:ascii="Arial" w:eastAsia="Arial" w:hAnsi="Arial" w:cs="Arial"/>
                <w:b/>
                <w:sz w:val="20"/>
                <w:szCs w:val="20"/>
              </w:rPr>
              <w:t>Goshin</w:t>
            </w:r>
            <w:proofErr w:type="spellEnd"/>
            <w:r>
              <w:rPr>
                <w:rFonts w:ascii="Arial" w:eastAsia="Arial" w:hAnsi="Arial" w:cs="Arial"/>
                <w:b/>
                <w:sz w:val="20"/>
                <w:szCs w:val="20"/>
              </w:rPr>
              <w:t xml:space="preserve"> et. al. 2022.</w:t>
            </w:r>
          </w:p>
        </w:tc>
      </w:tr>
      <w:tr w:rsidR="00D41ED0" w14:paraId="0482369A" w14:textId="77777777">
        <w:trPr>
          <w:trHeight w:val="276"/>
        </w:trPr>
        <w:tc>
          <w:tcPr>
            <w:tcW w:w="4820" w:type="dxa"/>
            <w:vMerge/>
            <w:tcBorders>
              <w:top w:val="nil"/>
              <w:left w:val="nil"/>
              <w:right w:val="nil"/>
            </w:tcBorders>
          </w:tcPr>
          <w:p w14:paraId="3ABDCD14"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nil"/>
              <w:left w:val="nil"/>
              <w:right w:val="nil"/>
            </w:tcBorders>
          </w:tcPr>
          <w:p w14:paraId="1E714778"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nil"/>
              <w:left w:val="nil"/>
              <w:right w:val="nil"/>
            </w:tcBorders>
          </w:tcPr>
          <w:p w14:paraId="7ACF79D7"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216AB728" w14:textId="77777777">
        <w:trPr>
          <w:trHeight w:val="276"/>
        </w:trPr>
        <w:tc>
          <w:tcPr>
            <w:tcW w:w="4820" w:type="dxa"/>
            <w:vMerge/>
            <w:tcBorders>
              <w:top w:val="nil"/>
              <w:left w:val="nil"/>
              <w:right w:val="nil"/>
            </w:tcBorders>
          </w:tcPr>
          <w:p w14:paraId="1275716A"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nil"/>
              <w:left w:val="nil"/>
              <w:right w:val="nil"/>
            </w:tcBorders>
          </w:tcPr>
          <w:p w14:paraId="3E8C9D37"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nil"/>
              <w:left w:val="nil"/>
              <w:right w:val="nil"/>
            </w:tcBorders>
          </w:tcPr>
          <w:p w14:paraId="3378192E"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66203183" w14:textId="77777777">
        <w:trPr>
          <w:trHeight w:val="345"/>
        </w:trPr>
        <w:tc>
          <w:tcPr>
            <w:tcW w:w="4820" w:type="dxa"/>
            <w:vMerge w:val="restart"/>
            <w:tcBorders>
              <w:top w:val="nil"/>
              <w:left w:val="nil"/>
              <w:right w:val="nil"/>
            </w:tcBorders>
          </w:tcPr>
          <w:p w14:paraId="16012AE9"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Supportive Infrastructure Condition</w:t>
            </w:r>
          </w:p>
          <w:p w14:paraId="45D7FB05"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Competitors pressure</w:t>
            </w:r>
          </w:p>
          <w:p w14:paraId="09C5C882"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Energy Saving Scheme</w:t>
            </w:r>
          </w:p>
          <w:p w14:paraId="03A9E6F7" w14:textId="77777777" w:rsidR="00D41ED0" w:rsidRDefault="00CB0D2A">
            <w:pPr>
              <w:spacing w:line="360" w:lineRule="auto"/>
              <w:jc w:val="both"/>
              <w:rPr>
                <w:rFonts w:ascii="Arial" w:eastAsia="Arial" w:hAnsi="Arial" w:cs="Arial"/>
                <w:i/>
                <w:sz w:val="20"/>
                <w:szCs w:val="20"/>
              </w:rPr>
            </w:pPr>
            <w:r>
              <w:rPr>
                <w:rFonts w:ascii="Arial" w:eastAsia="Arial" w:hAnsi="Arial" w:cs="Arial"/>
                <w:i/>
                <w:sz w:val="20"/>
                <w:szCs w:val="20"/>
              </w:rPr>
              <w:t>Exploiting New Technology</w:t>
            </w:r>
          </w:p>
        </w:tc>
        <w:tc>
          <w:tcPr>
            <w:tcW w:w="1277" w:type="dxa"/>
            <w:vMerge w:val="restart"/>
            <w:tcBorders>
              <w:top w:val="nil"/>
              <w:left w:val="nil"/>
              <w:right w:val="nil"/>
            </w:tcBorders>
          </w:tcPr>
          <w:p w14:paraId="280E4D00"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ENVS7</w:t>
            </w:r>
          </w:p>
          <w:p w14:paraId="47ACC67A"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ENVS8</w:t>
            </w:r>
          </w:p>
          <w:p w14:paraId="4A47091E"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ENVS9</w:t>
            </w:r>
          </w:p>
          <w:p w14:paraId="223592BA" w14:textId="77777777" w:rsidR="00D41ED0" w:rsidRDefault="00CB0D2A">
            <w:pPr>
              <w:spacing w:line="360" w:lineRule="auto"/>
              <w:jc w:val="both"/>
              <w:rPr>
                <w:rFonts w:ascii="Arial" w:eastAsia="Arial" w:hAnsi="Arial" w:cs="Arial"/>
                <w:sz w:val="20"/>
                <w:szCs w:val="20"/>
              </w:rPr>
            </w:pPr>
            <w:r>
              <w:rPr>
                <w:rFonts w:ascii="Arial" w:eastAsia="Arial" w:hAnsi="Arial" w:cs="Arial"/>
                <w:sz w:val="20"/>
                <w:szCs w:val="20"/>
              </w:rPr>
              <w:t>ENVS10</w:t>
            </w:r>
          </w:p>
        </w:tc>
        <w:tc>
          <w:tcPr>
            <w:tcW w:w="3421" w:type="dxa"/>
            <w:vMerge w:val="restart"/>
            <w:tcBorders>
              <w:top w:val="nil"/>
              <w:left w:val="nil"/>
              <w:right w:val="nil"/>
            </w:tcBorders>
          </w:tcPr>
          <w:p w14:paraId="7C4AA057" w14:textId="77777777" w:rsidR="00D41ED0" w:rsidRDefault="00CB0D2A">
            <w:pPr>
              <w:spacing w:line="360" w:lineRule="auto"/>
              <w:jc w:val="both"/>
              <w:rPr>
                <w:rFonts w:ascii="Arial" w:eastAsia="Arial" w:hAnsi="Arial" w:cs="Arial"/>
                <w:b/>
                <w:sz w:val="20"/>
                <w:szCs w:val="20"/>
              </w:rPr>
            </w:pPr>
            <w:proofErr w:type="spellStart"/>
            <w:r>
              <w:rPr>
                <w:rFonts w:ascii="Arial" w:eastAsia="Arial" w:hAnsi="Arial" w:cs="Arial"/>
                <w:b/>
                <w:sz w:val="20"/>
                <w:szCs w:val="20"/>
              </w:rPr>
              <w:t>Vialatte</w:t>
            </w:r>
            <w:proofErr w:type="spellEnd"/>
            <w:r>
              <w:rPr>
                <w:rFonts w:ascii="Arial" w:eastAsia="Arial" w:hAnsi="Arial" w:cs="Arial"/>
                <w:b/>
                <w:sz w:val="20"/>
                <w:szCs w:val="20"/>
              </w:rPr>
              <w:t xml:space="preserve"> et. al. 2002.</w:t>
            </w:r>
          </w:p>
          <w:p w14:paraId="55F62157"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highlight w:val="white"/>
              </w:rPr>
              <w:t>W Van Verbeke,2013</w:t>
            </w:r>
          </w:p>
          <w:p w14:paraId="5E69EAA2"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highlight w:val="white"/>
              </w:rPr>
              <w:t>L Huang et. al. 2022</w:t>
            </w:r>
          </w:p>
          <w:p w14:paraId="205B3580" w14:textId="77777777" w:rsidR="00D41ED0" w:rsidRDefault="00CB0D2A">
            <w:pPr>
              <w:spacing w:line="360" w:lineRule="auto"/>
              <w:jc w:val="both"/>
              <w:rPr>
                <w:rFonts w:ascii="Arial" w:eastAsia="Arial" w:hAnsi="Arial" w:cs="Arial"/>
                <w:b/>
                <w:sz w:val="20"/>
                <w:szCs w:val="20"/>
              </w:rPr>
            </w:pPr>
            <w:r>
              <w:rPr>
                <w:rFonts w:ascii="Arial" w:eastAsia="Arial" w:hAnsi="Arial" w:cs="Arial"/>
                <w:b/>
                <w:sz w:val="20"/>
                <w:szCs w:val="20"/>
              </w:rPr>
              <w:t>M Wang et al., 2021</w:t>
            </w:r>
          </w:p>
        </w:tc>
      </w:tr>
      <w:tr w:rsidR="00D41ED0" w14:paraId="40C98841" w14:textId="77777777">
        <w:trPr>
          <w:trHeight w:val="276"/>
        </w:trPr>
        <w:tc>
          <w:tcPr>
            <w:tcW w:w="4820" w:type="dxa"/>
            <w:vMerge/>
            <w:tcBorders>
              <w:top w:val="nil"/>
              <w:left w:val="nil"/>
              <w:right w:val="nil"/>
            </w:tcBorders>
          </w:tcPr>
          <w:p w14:paraId="7C184966"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nil"/>
              <w:left w:val="nil"/>
              <w:right w:val="nil"/>
            </w:tcBorders>
          </w:tcPr>
          <w:p w14:paraId="4AC4D3F4"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nil"/>
              <w:left w:val="nil"/>
              <w:right w:val="nil"/>
            </w:tcBorders>
          </w:tcPr>
          <w:p w14:paraId="7C0401E4"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7A12BBD0" w14:textId="77777777">
        <w:trPr>
          <w:trHeight w:val="276"/>
        </w:trPr>
        <w:tc>
          <w:tcPr>
            <w:tcW w:w="4820" w:type="dxa"/>
            <w:vMerge/>
            <w:tcBorders>
              <w:top w:val="nil"/>
              <w:left w:val="nil"/>
              <w:right w:val="nil"/>
            </w:tcBorders>
          </w:tcPr>
          <w:p w14:paraId="0E7D0C58"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nil"/>
              <w:left w:val="nil"/>
              <w:right w:val="nil"/>
            </w:tcBorders>
          </w:tcPr>
          <w:p w14:paraId="6E4F4091"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nil"/>
              <w:left w:val="nil"/>
              <w:right w:val="nil"/>
            </w:tcBorders>
          </w:tcPr>
          <w:p w14:paraId="716CE825"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r w:rsidR="00D41ED0" w14:paraId="51C1AE28" w14:textId="77777777">
        <w:trPr>
          <w:trHeight w:val="276"/>
        </w:trPr>
        <w:tc>
          <w:tcPr>
            <w:tcW w:w="4820" w:type="dxa"/>
            <w:vMerge/>
            <w:tcBorders>
              <w:top w:val="nil"/>
              <w:left w:val="nil"/>
              <w:right w:val="nil"/>
            </w:tcBorders>
          </w:tcPr>
          <w:p w14:paraId="3BBC1BD0"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1277" w:type="dxa"/>
            <w:vMerge/>
            <w:tcBorders>
              <w:top w:val="nil"/>
              <w:left w:val="nil"/>
              <w:right w:val="nil"/>
            </w:tcBorders>
          </w:tcPr>
          <w:p w14:paraId="3A83E124"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c>
          <w:tcPr>
            <w:tcW w:w="3421" w:type="dxa"/>
            <w:vMerge/>
            <w:tcBorders>
              <w:top w:val="nil"/>
              <w:left w:val="nil"/>
              <w:right w:val="nil"/>
            </w:tcBorders>
          </w:tcPr>
          <w:p w14:paraId="7060EF1A" w14:textId="77777777" w:rsidR="00D41ED0" w:rsidRDefault="00D41ED0">
            <w:pPr>
              <w:widowControl w:val="0"/>
              <w:pBdr>
                <w:top w:val="nil"/>
                <w:left w:val="nil"/>
                <w:bottom w:val="nil"/>
                <w:right w:val="nil"/>
                <w:between w:val="nil"/>
              </w:pBdr>
              <w:spacing w:line="276" w:lineRule="auto"/>
              <w:rPr>
                <w:rFonts w:ascii="Arial" w:eastAsia="Arial" w:hAnsi="Arial" w:cs="Arial"/>
                <w:b/>
                <w:sz w:val="20"/>
                <w:szCs w:val="20"/>
              </w:rPr>
            </w:pPr>
          </w:p>
        </w:tc>
      </w:tr>
    </w:tbl>
    <w:p w14:paraId="0E431C29" w14:textId="77777777" w:rsidR="00D41ED0" w:rsidRDefault="00D41ED0">
      <w:pPr>
        <w:spacing w:line="360" w:lineRule="auto"/>
        <w:jc w:val="both"/>
        <w:rPr>
          <w:rFonts w:ascii="Times New Roman" w:eastAsia="Times New Roman" w:hAnsi="Times New Roman" w:cs="Times New Roman"/>
          <w:sz w:val="24"/>
          <w:szCs w:val="24"/>
        </w:rPr>
      </w:pPr>
    </w:p>
    <w:p w14:paraId="3F9C0C63" w14:textId="77777777" w:rsidR="00D41ED0" w:rsidRDefault="00CB0D2A">
      <w:pPr>
        <w:spacing w:line="360" w:lineRule="auto"/>
        <w:jc w:val="both"/>
        <w:rPr>
          <w:rFonts w:ascii="Arial" w:eastAsia="Arial" w:hAnsi="Arial" w:cs="Arial"/>
          <w:b/>
          <w:u w:val="single"/>
        </w:rPr>
      </w:pPr>
      <w:r>
        <w:rPr>
          <w:rFonts w:ascii="Arial" w:eastAsia="Arial" w:hAnsi="Arial" w:cs="Arial"/>
          <w:b/>
          <w:u w:val="single"/>
        </w:rPr>
        <w:t>RESEARCH METHODOLOGY</w:t>
      </w:r>
    </w:p>
    <w:p w14:paraId="60941458"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By studying the relation of different independent variables like ENVS1 to ENVS10 to one dependent variable ENVS of environmental sustainability, this study is agreed to receive a </w:t>
      </w:r>
      <w:r>
        <w:rPr>
          <w:rFonts w:ascii="Arial" w:eastAsia="Arial" w:hAnsi="Arial" w:cs="Arial"/>
          <w:sz w:val="20"/>
          <w:szCs w:val="20"/>
          <w:u w:val="single"/>
        </w:rPr>
        <w:t>Quantitative Research Design</w:t>
      </w:r>
      <w:r>
        <w:rPr>
          <w:rFonts w:ascii="Arial" w:eastAsia="Arial" w:hAnsi="Arial" w:cs="Arial"/>
          <w:sz w:val="20"/>
          <w:szCs w:val="20"/>
        </w:rPr>
        <w:t xml:space="preserve">. The Data for this study were collected through </w:t>
      </w:r>
      <w:r>
        <w:rPr>
          <w:rFonts w:ascii="Arial" w:eastAsia="Arial" w:hAnsi="Arial" w:cs="Arial"/>
          <w:sz w:val="20"/>
          <w:szCs w:val="20"/>
        </w:rPr>
        <w:t>a survey method. A structured questionnaire was developed to measure the proposed research model for this study. It includes items related to specifying the Policy to limit the impact on the environment (ENVS1), development strategy (ENVS2), green innovati</w:t>
      </w:r>
      <w:r>
        <w:rPr>
          <w:rFonts w:ascii="Arial" w:eastAsia="Arial" w:hAnsi="Arial" w:cs="Arial"/>
          <w:sz w:val="20"/>
          <w:szCs w:val="20"/>
        </w:rPr>
        <w:t>on practices (ENVS3), green investment project implementation and efficiencies (ENVS4), accountability to protect the environment (ENVS5), increase the use of recycled products and alternative energy (ENVS6), infrastructure condition (ENVS7), competitors p</w:t>
      </w:r>
      <w:r>
        <w:rPr>
          <w:rFonts w:ascii="Arial" w:eastAsia="Arial" w:hAnsi="Arial" w:cs="Arial"/>
          <w:sz w:val="20"/>
          <w:szCs w:val="20"/>
        </w:rPr>
        <w:t>ressure (ENVS8), energy saving schemes (ENVS9), exploiting new technology (ENVS10) etc. All of the constructed items were calculated using “seven-point Likert- type scales in which 1 = strongly disagree and 7 = strongly agree” (M Guo, F Peng, 2023).</w:t>
      </w:r>
    </w:p>
    <w:p w14:paraId="2BDD60C4"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i/>
          <w:sz w:val="20"/>
          <w:szCs w:val="20"/>
        </w:rPr>
        <w:tab/>
      </w:r>
      <w:r>
        <w:rPr>
          <w:rFonts w:ascii="Arial" w:eastAsia="Arial" w:hAnsi="Arial" w:cs="Arial"/>
          <w:sz w:val="20"/>
          <w:szCs w:val="20"/>
        </w:rPr>
        <w:t>Th</w:t>
      </w:r>
      <w:r>
        <w:rPr>
          <w:rFonts w:ascii="Arial" w:eastAsia="Arial" w:hAnsi="Arial" w:cs="Arial"/>
          <w:sz w:val="20"/>
          <w:szCs w:val="20"/>
        </w:rPr>
        <w:t>is study was presiding over various steel manufacturing industries of Odisha. As Odisha is called as a prime industrial hub of India. Odisha produces a considerable percentage that is around 20% of the total steel produced in India, which makes it a good p</w:t>
      </w:r>
      <w:r>
        <w:rPr>
          <w:rFonts w:ascii="Arial" w:eastAsia="Arial" w:hAnsi="Arial" w:cs="Arial"/>
          <w:sz w:val="20"/>
          <w:szCs w:val="20"/>
        </w:rPr>
        <w:t>lace to study the sustainable development aspect of this industry.  For our study we have taken TATA STEEL at Angul, RSP at Rourkela, BHUSHAN STEEL AND STRIPS at Dhenkanal, JSW at PARADEEP.</w:t>
      </w:r>
    </w:p>
    <w:p w14:paraId="66D60F26"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b/>
          <w:i/>
          <w:sz w:val="20"/>
          <w:szCs w:val="20"/>
        </w:rPr>
        <w:t xml:space="preserve">    </w:t>
      </w:r>
      <w:r>
        <w:rPr>
          <w:rFonts w:ascii="Arial" w:eastAsia="Arial" w:hAnsi="Arial" w:cs="Arial"/>
          <w:sz w:val="20"/>
          <w:szCs w:val="20"/>
        </w:rPr>
        <w:t xml:space="preserve"> A structured questionnaire was developed for measuring the pr</w:t>
      </w:r>
      <w:r>
        <w:rPr>
          <w:rFonts w:ascii="Arial" w:eastAsia="Arial" w:hAnsi="Arial" w:cs="Arial"/>
          <w:sz w:val="20"/>
          <w:szCs w:val="20"/>
        </w:rPr>
        <w:t xml:space="preserve">oposed research for this model. The constructs and variables for this study were selected based on thorough review of existing literature, </w:t>
      </w:r>
      <w:r>
        <w:rPr>
          <w:rFonts w:ascii="Arial" w:eastAsia="Arial" w:hAnsi="Arial" w:cs="Arial"/>
          <w:sz w:val="20"/>
          <w:szCs w:val="20"/>
        </w:rPr>
        <w:lastRenderedPageBreak/>
        <w:t>aligning with research objectives. In order to check the importance of the variables a pilot test was conducted. Thes</w:t>
      </w:r>
      <w:r>
        <w:rPr>
          <w:rFonts w:ascii="Arial" w:eastAsia="Arial" w:hAnsi="Arial" w:cs="Arial"/>
          <w:sz w:val="20"/>
          <w:szCs w:val="20"/>
        </w:rPr>
        <w:t>e sources ensured that the questionnaire was grounded in validated items from prior empirical research, which enhanced its credibility.</w:t>
      </w:r>
    </w:p>
    <w:p w14:paraId="3D101DBD"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sz w:val="20"/>
          <w:szCs w:val="20"/>
        </w:rPr>
        <w:t>Data was collected from November 2023 to April 2024 from the different steel manufacturing industries of Odisha tha</w:t>
      </w:r>
      <w:r>
        <w:rPr>
          <w:rFonts w:ascii="Arial" w:eastAsia="Arial" w:hAnsi="Arial" w:cs="Arial"/>
          <w:sz w:val="20"/>
          <w:szCs w:val="20"/>
        </w:rPr>
        <w:t>t have accepted green Innovation practices for their environmental sustainability. Convenient random sampling technique was adopted for collection of the data as it is widely recognized as the most commonly employed non-probability sampling approach becaus</w:t>
      </w:r>
      <w:r>
        <w:rPr>
          <w:rFonts w:ascii="Arial" w:eastAsia="Arial" w:hAnsi="Arial" w:cs="Arial"/>
          <w:sz w:val="20"/>
          <w:szCs w:val="20"/>
        </w:rPr>
        <w:t>e of it is profitable, efficiency, and ease of performance (Jager et. al. 2017). Responses have been collected from the concerned authorities of various steel manufacturing industries of Odisha who are involved in green practices adaptation and implementat</w:t>
      </w:r>
      <w:r>
        <w:rPr>
          <w:rFonts w:ascii="Arial" w:eastAsia="Arial" w:hAnsi="Arial" w:cs="Arial"/>
          <w:sz w:val="20"/>
          <w:szCs w:val="20"/>
        </w:rPr>
        <w:t xml:space="preserve">ions. 171 samples have been collected and used in this analysis. </w:t>
      </w:r>
    </w:p>
    <w:p w14:paraId="0468F34F" w14:textId="082A04C1" w:rsidR="000B07B6" w:rsidRDefault="000B07B6">
      <w:pPr>
        <w:spacing w:before="240" w:after="240" w:line="360" w:lineRule="auto"/>
        <w:jc w:val="both"/>
        <w:rPr>
          <w:rFonts w:ascii="Arial" w:eastAsia="Arial" w:hAnsi="Arial" w:cs="Arial"/>
          <w:sz w:val="20"/>
          <w:szCs w:val="20"/>
        </w:rPr>
      </w:pPr>
      <w:r w:rsidRPr="000B07B6">
        <w:rPr>
          <w:rFonts w:ascii="Arial" w:eastAsia="Arial" w:hAnsi="Arial" w:cs="Arial"/>
          <w:sz w:val="20"/>
          <w:szCs w:val="20"/>
          <w:u w:val="single"/>
        </w:rPr>
        <w:t xml:space="preserve">DATA </w:t>
      </w:r>
      <w:proofErr w:type="gramStart"/>
      <w:r w:rsidRPr="000B07B6">
        <w:rPr>
          <w:rFonts w:ascii="Arial" w:eastAsia="Arial" w:hAnsi="Arial" w:cs="Arial"/>
          <w:sz w:val="20"/>
          <w:szCs w:val="20"/>
          <w:u w:val="single"/>
        </w:rPr>
        <w:t>COLLECTION:-</w:t>
      </w:r>
      <w:proofErr w:type="gramEnd"/>
      <w:r>
        <w:rPr>
          <w:rFonts w:ascii="Arial" w:eastAsia="Arial" w:hAnsi="Arial" w:cs="Arial"/>
          <w:sz w:val="20"/>
          <w:szCs w:val="20"/>
          <w:u w:val="single"/>
        </w:rPr>
        <w:t xml:space="preserve"> </w:t>
      </w:r>
    </w:p>
    <w:p w14:paraId="1303A00E" w14:textId="6D13B0BF" w:rsidR="000B07B6" w:rsidRPr="000B07B6" w:rsidRDefault="000B07B6">
      <w:pPr>
        <w:spacing w:before="240" w:after="240" w:line="360" w:lineRule="auto"/>
        <w:jc w:val="both"/>
        <w:rPr>
          <w:rFonts w:ascii="Arial" w:eastAsia="Arial" w:hAnsi="Arial" w:cs="Arial"/>
          <w:sz w:val="20"/>
          <w:szCs w:val="20"/>
        </w:rPr>
      </w:pPr>
      <w:r w:rsidRPr="000B07B6">
        <w:rPr>
          <w:rFonts w:ascii="Arial" w:eastAsia="Arial" w:hAnsi="Arial" w:cs="Arial"/>
          <w:sz w:val="20"/>
          <w:szCs w:val="20"/>
        </w:rPr>
        <w:t>For the research work the sample unit is steel manufacturing enterprises based in Odisha, both public sector enterprises such as Rourkela Steel Plant and private enterprises</w:t>
      </w:r>
      <w:r w:rsidR="00CC20A0">
        <w:rPr>
          <w:rFonts w:ascii="Arial" w:eastAsia="Arial" w:hAnsi="Arial" w:cs="Arial"/>
          <w:sz w:val="20"/>
          <w:szCs w:val="20"/>
        </w:rPr>
        <w:t xml:space="preserve"> Tata Steel of Angul, JSW of Angul, Bhushan Steel plant at </w:t>
      </w:r>
      <w:proofErr w:type="spellStart"/>
      <w:r w:rsidR="00CC20A0">
        <w:rPr>
          <w:rFonts w:ascii="Arial" w:eastAsia="Arial" w:hAnsi="Arial" w:cs="Arial"/>
          <w:sz w:val="20"/>
          <w:szCs w:val="20"/>
        </w:rPr>
        <w:t>Dhankal</w:t>
      </w:r>
      <w:proofErr w:type="spellEnd"/>
      <w:r w:rsidR="00CC20A0">
        <w:rPr>
          <w:rFonts w:ascii="Arial" w:eastAsia="Arial" w:hAnsi="Arial" w:cs="Arial"/>
          <w:sz w:val="20"/>
          <w:szCs w:val="20"/>
        </w:rPr>
        <w:t>, Vedanta at Jharsuguda and RSP at Rourkela.</w:t>
      </w:r>
      <w:r w:rsidRPr="000B07B6">
        <w:rPr>
          <w:rFonts w:ascii="Arial" w:eastAsia="Arial" w:hAnsi="Arial" w:cs="Arial"/>
          <w:sz w:val="20"/>
          <w:szCs w:val="20"/>
        </w:rPr>
        <w:t xml:space="preserve"> Purposive sampling technique was used to select companies which are currently producing and have implemented sustainability or green finance programs. Sample size consists of</w:t>
      </w:r>
      <w:r w:rsidR="00CC20A0">
        <w:rPr>
          <w:rFonts w:ascii="Arial" w:eastAsia="Arial" w:hAnsi="Arial" w:cs="Arial"/>
          <w:sz w:val="20"/>
          <w:szCs w:val="20"/>
        </w:rPr>
        <w:t xml:space="preserve"> 171</w:t>
      </w:r>
      <w:r w:rsidRPr="000B07B6">
        <w:rPr>
          <w:rFonts w:ascii="Arial" w:eastAsia="Arial" w:hAnsi="Arial" w:cs="Arial"/>
          <w:sz w:val="20"/>
          <w:szCs w:val="20"/>
        </w:rPr>
        <w:t>. Information was gathered with a formal questionnaire sent to influential staff in sustainability, finance, and environment departments. Secondary data like company reports and government reports were also utilized. Statistical packages like descriptive statistics, correlation, ANOVA, R-square, and regression analysis were utilized in analyzing the data. This methodology assists in comprehending the influence of green finance, innovation, and ESG practices on environmental sustainability in the steel sector of Odisha.</w:t>
      </w:r>
    </w:p>
    <w:p w14:paraId="2E51BBF2" w14:textId="77777777" w:rsidR="00D41ED0" w:rsidRDefault="00CB0D2A">
      <w:pPr>
        <w:spacing w:before="240" w:after="240" w:line="360" w:lineRule="auto"/>
        <w:jc w:val="both"/>
        <w:rPr>
          <w:rFonts w:ascii="Arial" w:eastAsia="Arial" w:hAnsi="Arial" w:cs="Arial"/>
          <w:b/>
          <w:u w:val="single"/>
        </w:rPr>
      </w:pPr>
      <w:bookmarkStart w:id="10" w:name="_GoBack"/>
      <w:r>
        <w:rPr>
          <w:rFonts w:ascii="Arial" w:eastAsia="Arial" w:hAnsi="Arial" w:cs="Arial"/>
          <w:b/>
          <w:u w:val="single"/>
        </w:rPr>
        <w:t>Result</w:t>
      </w:r>
      <w:bookmarkEnd w:id="10"/>
      <w:r>
        <w:rPr>
          <w:rFonts w:ascii="Arial" w:eastAsia="Arial" w:hAnsi="Arial" w:cs="Arial"/>
          <w:b/>
          <w:u w:val="single"/>
        </w:rPr>
        <w:t xml:space="preserve"> and Discussion: -</w:t>
      </w:r>
    </w:p>
    <w:p w14:paraId="10A3F60E"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As shown Table 2 reports the descriptive statistics for the Environmental Sustainability (ENVS) items meas</w:t>
      </w:r>
      <w:r>
        <w:rPr>
          <w:rFonts w:ascii="Arial" w:eastAsia="Arial" w:hAnsi="Arial" w:cs="Arial"/>
          <w:sz w:val="20"/>
          <w:szCs w:val="20"/>
        </w:rPr>
        <w:t>ured from a sample of 171 respondents. The mean values for the ten ENVS items (ENVS1 to ENVS10) and the general ENVS construct fall between 5.99 and 6.01 on the measurement scale adopted, showing homogeneity in responses across different environmental indi</w:t>
      </w:r>
      <w:r>
        <w:rPr>
          <w:rFonts w:ascii="Arial" w:eastAsia="Arial" w:hAnsi="Arial" w:cs="Arial"/>
          <w:sz w:val="20"/>
          <w:szCs w:val="20"/>
        </w:rPr>
        <w:t>cators. This indicates respondents generally agree or strongly agree with the items measured on a likely Likert scale (assuming 1–7 or 1–10). The standard deviations are relatively low, ranging from 0.812 to 0.833, showing a high level of homogeneity in re</w:t>
      </w:r>
      <w:r>
        <w:rPr>
          <w:rFonts w:ascii="Arial" w:eastAsia="Arial" w:hAnsi="Arial" w:cs="Arial"/>
          <w:sz w:val="20"/>
          <w:szCs w:val="20"/>
        </w:rPr>
        <w:t>spondents' perceptions.</w:t>
      </w:r>
    </w:p>
    <w:p w14:paraId="7D2320F8" w14:textId="77777777" w:rsidR="00D41ED0" w:rsidRDefault="00CB0D2A">
      <w:pPr>
        <w:spacing w:after="0" w:line="360" w:lineRule="auto"/>
        <w:jc w:val="both"/>
        <w:rPr>
          <w:rFonts w:ascii="Arial" w:eastAsia="Arial" w:hAnsi="Arial" w:cs="Arial"/>
          <w:sz w:val="20"/>
          <w:szCs w:val="20"/>
        </w:rPr>
      </w:pPr>
      <w:r>
        <w:rPr>
          <w:rFonts w:ascii="Arial" w:eastAsia="Arial" w:hAnsi="Arial" w:cs="Arial"/>
          <w:sz w:val="20"/>
          <w:szCs w:val="20"/>
        </w:rPr>
        <w:t>The descriptive statistics also show consistency and high levels of perception regarding environmental sustainability measures (ENVS1–ENVS10) by the respondents. The low standard deviation indicates that the opinions of the responde</w:t>
      </w:r>
      <w:r>
        <w:rPr>
          <w:rFonts w:ascii="Arial" w:eastAsia="Arial" w:hAnsi="Arial" w:cs="Arial"/>
          <w:sz w:val="20"/>
          <w:szCs w:val="20"/>
        </w:rPr>
        <w:t xml:space="preserve">nts are uniform and not significantly diverse, reinforcing the reliability of the dataset for regression and other inferential tests. It also enhances the validity of the regression model and </w:t>
      </w:r>
      <w:r>
        <w:rPr>
          <w:rFonts w:ascii="Arial" w:eastAsia="Arial" w:hAnsi="Arial" w:cs="Arial"/>
          <w:sz w:val="20"/>
          <w:szCs w:val="20"/>
        </w:rPr>
        <w:lastRenderedPageBreak/>
        <w:t>explains why various predictors (such as ENVS3, ENVS2, ENVS1) ha</w:t>
      </w:r>
      <w:r>
        <w:rPr>
          <w:rFonts w:ascii="Arial" w:eastAsia="Arial" w:hAnsi="Arial" w:cs="Arial"/>
          <w:sz w:val="20"/>
          <w:szCs w:val="20"/>
        </w:rPr>
        <w:t>ve a significant impact on the dependent variable (ENVS).</w:t>
      </w:r>
    </w:p>
    <w:p w14:paraId="47B4B88A" w14:textId="77777777" w:rsidR="00D41ED0" w:rsidRDefault="00D41ED0">
      <w:pPr>
        <w:spacing w:after="0" w:line="360" w:lineRule="auto"/>
        <w:jc w:val="both"/>
        <w:rPr>
          <w:rFonts w:ascii="Times New Roman" w:eastAsia="Times New Roman" w:hAnsi="Times New Roman" w:cs="Times New Roman"/>
          <w:b/>
          <w:sz w:val="20"/>
          <w:szCs w:val="20"/>
        </w:rPr>
      </w:pPr>
    </w:p>
    <w:p w14:paraId="7B185614" w14:textId="77777777" w:rsidR="00D41ED0" w:rsidRDefault="00CB0D2A">
      <w:pPr>
        <w:spacing w:after="0" w:line="360" w:lineRule="auto"/>
        <w:jc w:val="both"/>
        <w:rPr>
          <w:rFonts w:ascii="Arial" w:eastAsia="Arial" w:hAnsi="Arial" w:cs="Arial"/>
          <w:b/>
          <w:sz w:val="20"/>
          <w:szCs w:val="20"/>
        </w:rPr>
      </w:pPr>
      <w:r>
        <w:rPr>
          <w:rFonts w:ascii="Arial" w:eastAsia="Arial" w:hAnsi="Arial" w:cs="Arial"/>
          <w:b/>
          <w:color w:val="000000"/>
          <w:sz w:val="20"/>
          <w:szCs w:val="20"/>
        </w:rPr>
        <w:t>T</w:t>
      </w:r>
      <w:r>
        <w:rPr>
          <w:rFonts w:ascii="Arial" w:eastAsia="Arial" w:hAnsi="Arial" w:cs="Arial"/>
          <w:b/>
          <w:sz w:val="20"/>
          <w:szCs w:val="20"/>
        </w:rPr>
        <w:t>ABLE</w:t>
      </w:r>
      <w:r>
        <w:rPr>
          <w:rFonts w:ascii="Arial" w:eastAsia="Arial" w:hAnsi="Arial" w:cs="Arial"/>
          <w:b/>
          <w:color w:val="000000"/>
          <w:sz w:val="20"/>
          <w:szCs w:val="20"/>
        </w:rPr>
        <w:t xml:space="preserve">-2   </w:t>
      </w:r>
      <w:r>
        <w:rPr>
          <w:rFonts w:ascii="Arial" w:eastAsia="Arial" w:hAnsi="Arial" w:cs="Arial"/>
          <w:b/>
          <w:sz w:val="20"/>
          <w:szCs w:val="20"/>
        </w:rPr>
        <w:t>Descriptive Statistics</w:t>
      </w:r>
    </w:p>
    <w:tbl>
      <w:tblPr>
        <w:tblStyle w:val="a9"/>
        <w:tblW w:w="4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1545"/>
        <w:gridCol w:w="1455"/>
        <w:gridCol w:w="945"/>
      </w:tblGrid>
      <w:tr w:rsidR="00D41ED0" w14:paraId="164B22F7" w14:textId="77777777">
        <w:trPr>
          <w:cantSplit/>
        </w:trPr>
        <w:tc>
          <w:tcPr>
            <w:tcW w:w="4875" w:type="dxa"/>
            <w:gridSpan w:val="4"/>
            <w:tcBorders>
              <w:top w:val="nil"/>
              <w:left w:val="nil"/>
              <w:bottom w:val="single" w:sz="12" w:space="0" w:color="000000"/>
              <w:right w:val="nil"/>
            </w:tcBorders>
            <w:shd w:val="clear" w:color="auto" w:fill="FFFFFF"/>
          </w:tcPr>
          <w:p w14:paraId="6FAB3633" w14:textId="77777777" w:rsidR="00D41ED0" w:rsidRDefault="00D41ED0">
            <w:pPr>
              <w:spacing w:after="0"/>
              <w:rPr>
                <w:rFonts w:ascii="Arial" w:eastAsia="Arial" w:hAnsi="Arial" w:cs="Arial"/>
                <w:b/>
                <w:color w:val="000000"/>
                <w:sz w:val="20"/>
                <w:szCs w:val="20"/>
              </w:rPr>
            </w:pPr>
          </w:p>
        </w:tc>
      </w:tr>
      <w:tr w:rsidR="00D41ED0" w14:paraId="3966172A" w14:textId="77777777">
        <w:trPr>
          <w:cantSplit/>
        </w:trPr>
        <w:tc>
          <w:tcPr>
            <w:tcW w:w="930" w:type="dxa"/>
            <w:tcBorders>
              <w:top w:val="single" w:sz="12" w:space="0" w:color="000000"/>
              <w:left w:val="nil"/>
              <w:bottom w:val="single" w:sz="12" w:space="0" w:color="000000"/>
              <w:right w:val="nil"/>
            </w:tcBorders>
            <w:shd w:val="clear" w:color="auto" w:fill="FFFFFF"/>
          </w:tcPr>
          <w:p w14:paraId="5B890883" w14:textId="77777777" w:rsidR="00D41ED0" w:rsidRDefault="00D41ED0">
            <w:pPr>
              <w:spacing w:after="0"/>
              <w:ind w:left="60" w:right="60"/>
              <w:rPr>
                <w:rFonts w:ascii="Arial" w:eastAsia="Arial" w:hAnsi="Arial" w:cs="Arial"/>
                <w:color w:val="000000"/>
                <w:sz w:val="18"/>
                <w:szCs w:val="18"/>
              </w:rPr>
            </w:pPr>
          </w:p>
        </w:tc>
        <w:tc>
          <w:tcPr>
            <w:tcW w:w="1545" w:type="dxa"/>
            <w:tcBorders>
              <w:top w:val="single" w:sz="12" w:space="0" w:color="000000"/>
              <w:left w:val="nil"/>
              <w:bottom w:val="single" w:sz="12" w:space="0" w:color="000000"/>
              <w:right w:val="nil"/>
            </w:tcBorders>
            <w:shd w:val="clear" w:color="auto" w:fill="FFFFFF"/>
          </w:tcPr>
          <w:p w14:paraId="33187EEE" w14:textId="77777777" w:rsidR="00D41ED0" w:rsidRDefault="00CB0D2A">
            <w:pPr>
              <w:spacing w:after="0"/>
              <w:ind w:right="60"/>
              <w:jc w:val="center"/>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Mea</w:t>
            </w:r>
            <w:r>
              <w:rPr>
                <w:rFonts w:ascii="Arial" w:eastAsia="Arial" w:hAnsi="Arial" w:cs="Arial"/>
                <w:b/>
                <w:sz w:val="20"/>
                <w:szCs w:val="20"/>
              </w:rPr>
              <w:t>n</w:t>
            </w:r>
          </w:p>
        </w:tc>
        <w:tc>
          <w:tcPr>
            <w:tcW w:w="1455" w:type="dxa"/>
            <w:tcBorders>
              <w:top w:val="single" w:sz="12" w:space="0" w:color="000000"/>
              <w:left w:val="nil"/>
              <w:bottom w:val="single" w:sz="12" w:space="0" w:color="000000"/>
              <w:right w:val="nil"/>
            </w:tcBorders>
            <w:shd w:val="clear" w:color="auto" w:fill="FFFFFF"/>
          </w:tcPr>
          <w:p w14:paraId="4DCA352B"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Std. Deviation</w:t>
            </w:r>
          </w:p>
        </w:tc>
        <w:tc>
          <w:tcPr>
            <w:tcW w:w="945" w:type="dxa"/>
            <w:tcBorders>
              <w:top w:val="single" w:sz="12" w:space="0" w:color="000000"/>
              <w:left w:val="nil"/>
              <w:bottom w:val="single" w:sz="12" w:space="0" w:color="000000"/>
              <w:right w:val="nil"/>
            </w:tcBorders>
            <w:shd w:val="clear" w:color="auto" w:fill="FFFFFF"/>
          </w:tcPr>
          <w:p w14:paraId="6166A21D"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N</w:t>
            </w:r>
          </w:p>
        </w:tc>
      </w:tr>
      <w:tr w:rsidR="00D41ED0" w14:paraId="74B18C67" w14:textId="77777777">
        <w:trPr>
          <w:cantSplit/>
        </w:trPr>
        <w:tc>
          <w:tcPr>
            <w:tcW w:w="930" w:type="dxa"/>
            <w:tcBorders>
              <w:top w:val="single" w:sz="12" w:space="0" w:color="000000"/>
              <w:left w:val="nil"/>
              <w:bottom w:val="nil"/>
              <w:right w:val="nil"/>
            </w:tcBorders>
            <w:shd w:val="clear" w:color="auto" w:fill="FFFFFF"/>
            <w:vAlign w:val="center"/>
          </w:tcPr>
          <w:p w14:paraId="1C937DE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w:t>
            </w:r>
          </w:p>
        </w:tc>
        <w:tc>
          <w:tcPr>
            <w:tcW w:w="1545" w:type="dxa"/>
            <w:tcBorders>
              <w:top w:val="single" w:sz="12" w:space="0" w:color="000000"/>
              <w:left w:val="nil"/>
              <w:bottom w:val="nil"/>
              <w:right w:val="nil"/>
            </w:tcBorders>
            <w:shd w:val="clear" w:color="auto" w:fill="FFFFFF"/>
            <w:vAlign w:val="center"/>
          </w:tcPr>
          <w:p w14:paraId="6152B48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6.01</w:t>
            </w:r>
          </w:p>
        </w:tc>
        <w:tc>
          <w:tcPr>
            <w:tcW w:w="1455" w:type="dxa"/>
            <w:tcBorders>
              <w:top w:val="single" w:sz="12" w:space="0" w:color="000000"/>
              <w:left w:val="nil"/>
              <w:bottom w:val="nil"/>
              <w:right w:val="nil"/>
            </w:tcBorders>
            <w:shd w:val="clear" w:color="auto" w:fill="FFFFFF"/>
            <w:vAlign w:val="center"/>
          </w:tcPr>
          <w:p w14:paraId="3CE396A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single" w:sz="12" w:space="0" w:color="000000"/>
              <w:left w:val="nil"/>
              <w:bottom w:val="nil"/>
              <w:right w:val="nil"/>
            </w:tcBorders>
            <w:shd w:val="clear" w:color="auto" w:fill="FFFFFF"/>
            <w:vAlign w:val="center"/>
          </w:tcPr>
          <w:p w14:paraId="02182E3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3FA3BD58" w14:textId="77777777">
        <w:trPr>
          <w:cantSplit/>
        </w:trPr>
        <w:tc>
          <w:tcPr>
            <w:tcW w:w="930" w:type="dxa"/>
            <w:tcBorders>
              <w:top w:val="nil"/>
              <w:left w:val="nil"/>
              <w:bottom w:val="nil"/>
              <w:right w:val="nil"/>
            </w:tcBorders>
            <w:shd w:val="clear" w:color="auto" w:fill="FFFFFF"/>
            <w:vAlign w:val="center"/>
          </w:tcPr>
          <w:p w14:paraId="5A6453D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w:t>
            </w:r>
          </w:p>
        </w:tc>
        <w:tc>
          <w:tcPr>
            <w:tcW w:w="1545" w:type="dxa"/>
            <w:tcBorders>
              <w:top w:val="nil"/>
              <w:left w:val="nil"/>
              <w:bottom w:val="nil"/>
              <w:right w:val="nil"/>
            </w:tcBorders>
            <w:shd w:val="clear" w:color="auto" w:fill="FFFFFF"/>
            <w:vAlign w:val="center"/>
          </w:tcPr>
          <w:p w14:paraId="55F22D3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nil"/>
              <w:right w:val="nil"/>
            </w:tcBorders>
            <w:shd w:val="clear" w:color="auto" w:fill="FFFFFF"/>
            <w:vAlign w:val="center"/>
          </w:tcPr>
          <w:p w14:paraId="46BD47FC"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.815</w:t>
            </w:r>
          </w:p>
        </w:tc>
        <w:tc>
          <w:tcPr>
            <w:tcW w:w="945" w:type="dxa"/>
            <w:tcBorders>
              <w:top w:val="nil"/>
              <w:left w:val="nil"/>
              <w:bottom w:val="nil"/>
              <w:right w:val="nil"/>
            </w:tcBorders>
            <w:shd w:val="clear" w:color="auto" w:fill="FFFFFF"/>
            <w:vAlign w:val="center"/>
          </w:tcPr>
          <w:p w14:paraId="667F607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5BEC198A" w14:textId="77777777">
        <w:trPr>
          <w:cantSplit/>
        </w:trPr>
        <w:tc>
          <w:tcPr>
            <w:tcW w:w="930" w:type="dxa"/>
            <w:tcBorders>
              <w:top w:val="nil"/>
              <w:left w:val="nil"/>
              <w:bottom w:val="nil"/>
              <w:right w:val="nil"/>
            </w:tcBorders>
            <w:shd w:val="clear" w:color="auto" w:fill="FFFFFF"/>
            <w:vAlign w:val="center"/>
          </w:tcPr>
          <w:p w14:paraId="07A3C13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ENVS2</w:t>
            </w:r>
          </w:p>
        </w:tc>
        <w:tc>
          <w:tcPr>
            <w:tcW w:w="1545" w:type="dxa"/>
            <w:tcBorders>
              <w:top w:val="nil"/>
              <w:left w:val="nil"/>
              <w:bottom w:val="nil"/>
              <w:right w:val="nil"/>
            </w:tcBorders>
            <w:shd w:val="clear" w:color="auto" w:fill="FFFFFF"/>
            <w:vAlign w:val="center"/>
          </w:tcPr>
          <w:p w14:paraId="3037680B"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6.01</w:t>
            </w:r>
          </w:p>
        </w:tc>
        <w:tc>
          <w:tcPr>
            <w:tcW w:w="1455" w:type="dxa"/>
            <w:tcBorders>
              <w:top w:val="nil"/>
              <w:left w:val="nil"/>
              <w:bottom w:val="nil"/>
              <w:right w:val="nil"/>
            </w:tcBorders>
            <w:shd w:val="clear" w:color="auto" w:fill="FFFFFF"/>
            <w:vAlign w:val="center"/>
          </w:tcPr>
          <w:p w14:paraId="589F2F68"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6DEA9892"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67D6BE65" w14:textId="77777777">
        <w:trPr>
          <w:cantSplit/>
        </w:trPr>
        <w:tc>
          <w:tcPr>
            <w:tcW w:w="930" w:type="dxa"/>
            <w:tcBorders>
              <w:top w:val="nil"/>
              <w:left w:val="nil"/>
              <w:bottom w:val="nil"/>
              <w:right w:val="nil"/>
            </w:tcBorders>
            <w:shd w:val="clear" w:color="auto" w:fill="FFFFFF"/>
            <w:vAlign w:val="center"/>
          </w:tcPr>
          <w:p w14:paraId="0B9CB0C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ENVS3</w:t>
            </w:r>
          </w:p>
        </w:tc>
        <w:tc>
          <w:tcPr>
            <w:tcW w:w="1545" w:type="dxa"/>
            <w:tcBorders>
              <w:top w:val="nil"/>
              <w:left w:val="nil"/>
              <w:bottom w:val="nil"/>
              <w:right w:val="nil"/>
            </w:tcBorders>
            <w:shd w:val="clear" w:color="auto" w:fill="FFFFFF"/>
            <w:vAlign w:val="center"/>
          </w:tcPr>
          <w:p w14:paraId="1535ABF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6.00</w:t>
            </w:r>
          </w:p>
        </w:tc>
        <w:tc>
          <w:tcPr>
            <w:tcW w:w="1455" w:type="dxa"/>
            <w:tcBorders>
              <w:top w:val="nil"/>
              <w:left w:val="nil"/>
              <w:bottom w:val="nil"/>
              <w:right w:val="nil"/>
            </w:tcBorders>
            <w:shd w:val="clear" w:color="auto" w:fill="FFFFFF"/>
            <w:vAlign w:val="center"/>
          </w:tcPr>
          <w:p w14:paraId="4713D483"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5ECC89FE"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3BE8AFC4" w14:textId="77777777">
        <w:trPr>
          <w:cantSplit/>
        </w:trPr>
        <w:tc>
          <w:tcPr>
            <w:tcW w:w="930" w:type="dxa"/>
            <w:tcBorders>
              <w:top w:val="nil"/>
              <w:left w:val="nil"/>
              <w:bottom w:val="nil"/>
              <w:right w:val="nil"/>
            </w:tcBorders>
            <w:shd w:val="clear" w:color="auto" w:fill="FFFFFF"/>
            <w:vAlign w:val="center"/>
          </w:tcPr>
          <w:p w14:paraId="345322D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ENVS4</w:t>
            </w:r>
          </w:p>
        </w:tc>
        <w:tc>
          <w:tcPr>
            <w:tcW w:w="1545" w:type="dxa"/>
            <w:tcBorders>
              <w:top w:val="nil"/>
              <w:left w:val="nil"/>
              <w:bottom w:val="nil"/>
              <w:right w:val="nil"/>
            </w:tcBorders>
            <w:shd w:val="clear" w:color="auto" w:fill="FFFFFF"/>
            <w:vAlign w:val="center"/>
          </w:tcPr>
          <w:p w14:paraId="746BD55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6.00</w:t>
            </w:r>
          </w:p>
        </w:tc>
        <w:tc>
          <w:tcPr>
            <w:tcW w:w="1455" w:type="dxa"/>
            <w:tcBorders>
              <w:top w:val="nil"/>
              <w:left w:val="nil"/>
              <w:bottom w:val="nil"/>
              <w:right w:val="nil"/>
            </w:tcBorders>
            <w:shd w:val="clear" w:color="auto" w:fill="FFFFFF"/>
            <w:vAlign w:val="center"/>
          </w:tcPr>
          <w:p w14:paraId="67E43887"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39598FA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2D0C91FC" w14:textId="77777777">
        <w:trPr>
          <w:cantSplit/>
        </w:trPr>
        <w:tc>
          <w:tcPr>
            <w:tcW w:w="930" w:type="dxa"/>
            <w:tcBorders>
              <w:top w:val="nil"/>
              <w:left w:val="nil"/>
              <w:bottom w:val="nil"/>
              <w:right w:val="nil"/>
            </w:tcBorders>
            <w:shd w:val="clear" w:color="auto" w:fill="FFFFFF"/>
            <w:vAlign w:val="center"/>
          </w:tcPr>
          <w:p w14:paraId="68ABD196"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ENVS5</w:t>
            </w:r>
          </w:p>
        </w:tc>
        <w:tc>
          <w:tcPr>
            <w:tcW w:w="1545" w:type="dxa"/>
            <w:tcBorders>
              <w:top w:val="nil"/>
              <w:left w:val="nil"/>
              <w:bottom w:val="nil"/>
              <w:right w:val="nil"/>
            </w:tcBorders>
            <w:shd w:val="clear" w:color="auto" w:fill="FFFFFF"/>
            <w:vAlign w:val="center"/>
          </w:tcPr>
          <w:p w14:paraId="22944A1A"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nil"/>
              <w:right w:val="nil"/>
            </w:tcBorders>
            <w:shd w:val="clear" w:color="auto" w:fill="FFFFFF"/>
            <w:vAlign w:val="center"/>
          </w:tcPr>
          <w:p w14:paraId="2DEB7C6C"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.815</w:t>
            </w:r>
          </w:p>
        </w:tc>
        <w:tc>
          <w:tcPr>
            <w:tcW w:w="945" w:type="dxa"/>
            <w:tcBorders>
              <w:top w:val="nil"/>
              <w:left w:val="nil"/>
              <w:bottom w:val="nil"/>
              <w:right w:val="nil"/>
            </w:tcBorders>
            <w:shd w:val="clear" w:color="auto" w:fill="FFFFFF"/>
            <w:vAlign w:val="center"/>
          </w:tcPr>
          <w:p w14:paraId="3E10FED2"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6869994D" w14:textId="77777777">
        <w:trPr>
          <w:cantSplit/>
        </w:trPr>
        <w:tc>
          <w:tcPr>
            <w:tcW w:w="930" w:type="dxa"/>
            <w:tcBorders>
              <w:top w:val="nil"/>
              <w:left w:val="nil"/>
              <w:bottom w:val="nil"/>
              <w:right w:val="nil"/>
            </w:tcBorders>
            <w:shd w:val="clear" w:color="auto" w:fill="FFFFFF"/>
            <w:vAlign w:val="center"/>
          </w:tcPr>
          <w:p w14:paraId="56494644"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ENVS6</w:t>
            </w:r>
          </w:p>
        </w:tc>
        <w:tc>
          <w:tcPr>
            <w:tcW w:w="1545" w:type="dxa"/>
            <w:tcBorders>
              <w:top w:val="nil"/>
              <w:left w:val="nil"/>
              <w:bottom w:val="nil"/>
              <w:right w:val="nil"/>
            </w:tcBorders>
            <w:shd w:val="clear" w:color="auto" w:fill="FFFFFF"/>
            <w:vAlign w:val="center"/>
          </w:tcPr>
          <w:p w14:paraId="541970C0"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nil"/>
              <w:right w:val="nil"/>
            </w:tcBorders>
            <w:shd w:val="clear" w:color="auto" w:fill="FFFFFF"/>
            <w:vAlign w:val="center"/>
          </w:tcPr>
          <w:p w14:paraId="6F074B9E"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.833</w:t>
            </w:r>
          </w:p>
        </w:tc>
        <w:tc>
          <w:tcPr>
            <w:tcW w:w="945" w:type="dxa"/>
            <w:tcBorders>
              <w:top w:val="nil"/>
              <w:left w:val="nil"/>
              <w:bottom w:val="nil"/>
              <w:right w:val="nil"/>
            </w:tcBorders>
            <w:shd w:val="clear" w:color="auto" w:fill="FFFFFF"/>
            <w:vAlign w:val="center"/>
          </w:tcPr>
          <w:p w14:paraId="05ECCC63"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6FC0C3D9" w14:textId="77777777">
        <w:trPr>
          <w:cantSplit/>
        </w:trPr>
        <w:tc>
          <w:tcPr>
            <w:tcW w:w="930" w:type="dxa"/>
            <w:tcBorders>
              <w:top w:val="nil"/>
              <w:left w:val="nil"/>
              <w:bottom w:val="nil"/>
              <w:right w:val="nil"/>
            </w:tcBorders>
            <w:shd w:val="clear" w:color="auto" w:fill="FFFFFF"/>
            <w:vAlign w:val="center"/>
          </w:tcPr>
          <w:p w14:paraId="362B06A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ENVS7</w:t>
            </w:r>
          </w:p>
        </w:tc>
        <w:tc>
          <w:tcPr>
            <w:tcW w:w="1545" w:type="dxa"/>
            <w:tcBorders>
              <w:top w:val="nil"/>
              <w:left w:val="nil"/>
              <w:bottom w:val="nil"/>
              <w:right w:val="nil"/>
            </w:tcBorders>
            <w:shd w:val="clear" w:color="auto" w:fill="FFFFFF"/>
            <w:vAlign w:val="center"/>
          </w:tcPr>
          <w:p w14:paraId="2BABDD50"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nil"/>
              <w:right w:val="nil"/>
            </w:tcBorders>
            <w:shd w:val="clear" w:color="auto" w:fill="FFFFFF"/>
            <w:vAlign w:val="center"/>
          </w:tcPr>
          <w:p w14:paraId="7B55FDF5"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2CFC8D2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74025918" w14:textId="77777777">
        <w:trPr>
          <w:cantSplit/>
        </w:trPr>
        <w:tc>
          <w:tcPr>
            <w:tcW w:w="930" w:type="dxa"/>
            <w:tcBorders>
              <w:top w:val="nil"/>
              <w:left w:val="nil"/>
              <w:bottom w:val="nil"/>
              <w:right w:val="nil"/>
            </w:tcBorders>
            <w:shd w:val="clear" w:color="auto" w:fill="FFFFFF"/>
            <w:vAlign w:val="center"/>
          </w:tcPr>
          <w:p w14:paraId="5126472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ENVS8</w:t>
            </w:r>
          </w:p>
        </w:tc>
        <w:tc>
          <w:tcPr>
            <w:tcW w:w="1545" w:type="dxa"/>
            <w:tcBorders>
              <w:top w:val="nil"/>
              <w:left w:val="nil"/>
              <w:bottom w:val="nil"/>
              <w:right w:val="nil"/>
            </w:tcBorders>
            <w:shd w:val="clear" w:color="auto" w:fill="FFFFFF"/>
            <w:vAlign w:val="center"/>
          </w:tcPr>
          <w:p w14:paraId="44839B0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6.00</w:t>
            </w:r>
          </w:p>
        </w:tc>
        <w:tc>
          <w:tcPr>
            <w:tcW w:w="1455" w:type="dxa"/>
            <w:tcBorders>
              <w:top w:val="nil"/>
              <w:left w:val="nil"/>
              <w:bottom w:val="nil"/>
              <w:right w:val="nil"/>
            </w:tcBorders>
            <w:shd w:val="clear" w:color="auto" w:fill="FFFFFF"/>
            <w:vAlign w:val="center"/>
          </w:tcPr>
          <w:p w14:paraId="07DF0D73"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1313A735"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7F6214B4" w14:textId="77777777">
        <w:trPr>
          <w:cantSplit/>
        </w:trPr>
        <w:tc>
          <w:tcPr>
            <w:tcW w:w="930" w:type="dxa"/>
            <w:tcBorders>
              <w:top w:val="nil"/>
              <w:left w:val="nil"/>
              <w:bottom w:val="nil"/>
              <w:right w:val="nil"/>
            </w:tcBorders>
            <w:shd w:val="clear" w:color="auto" w:fill="FFFFFF"/>
            <w:vAlign w:val="center"/>
          </w:tcPr>
          <w:p w14:paraId="1920DA7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ENVS9</w:t>
            </w:r>
          </w:p>
        </w:tc>
        <w:tc>
          <w:tcPr>
            <w:tcW w:w="1545" w:type="dxa"/>
            <w:tcBorders>
              <w:top w:val="nil"/>
              <w:left w:val="nil"/>
              <w:bottom w:val="nil"/>
              <w:right w:val="nil"/>
            </w:tcBorders>
            <w:shd w:val="clear" w:color="auto" w:fill="FFFFFF"/>
            <w:vAlign w:val="center"/>
          </w:tcPr>
          <w:p w14:paraId="1C68EA1C"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nil"/>
              <w:right w:val="nil"/>
            </w:tcBorders>
            <w:shd w:val="clear" w:color="auto" w:fill="FFFFFF"/>
            <w:vAlign w:val="center"/>
          </w:tcPr>
          <w:p w14:paraId="7FE9EB77"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.819</w:t>
            </w:r>
          </w:p>
        </w:tc>
        <w:tc>
          <w:tcPr>
            <w:tcW w:w="945" w:type="dxa"/>
            <w:tcBorders>
              <w:top w:val="nil"/>
              <w:left w:val="nil"/>
              <w:bottom w:val="nil"/>
              <w:right w:val="nil"/>
            </w:tcBorders>
            <w:shd w:val="clear" w:color="auto" w:fill="FFFFFF"/>
            <w:vAlign w:val="center"/>
          </w:tcPr>
          <w:p w14:paraId="4BFB366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1A6887E7" w14:textId="77777777">
        <w:trPr>
          <w:cantSplit/>
        </w:trPr>
        <w:tc>
          <w:tcPr>
            <w:tcW w:w="930" w:type="dxa"/>
            <w:tcBorders>
              <w:top w:val="nil"/>
              <w:left w:val="nil"/>
              <w:bottom w:val="single" w:sz="12" w:space="0" w:color="000000"/>
              <w:right w:val="nil"/>
            </w:tcBorders>
            <w:shd w:val="clear" w:color="auto" w:fill="FFFFFF"/>
            <w:vAlign w:val="center"/>
          </w:tcPr>
          <w:p w14:paraId="70C14C0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ENVS10</w:t>
            </w:r>
          </w:p>
        </w:tc>
        <w:tc>
          <w:tcPr>
            <w:tcW w:w="1545" w:type="dxa"/>
            <w:tcBorders>
              <w:top w:val="nil"/>
              <w:left w:val="nil"/>
              <w:bottom w:val="single" w:sz="12" w:space="0" w:color="000000"/>
              <w:right w:val="nil"/>
            </w:tcBorders>
            <w:shd w:val="clear" w:color="auto" w:fill="FFFFFF"/>
            <w:vAlign w:val="center"/>
          </w:tcPr>
          <w:p w14:paraId="428F88EE"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5.99</w:t>
            </w:r>
          </w:p>
        </w:tc>
        <w:tc>
          <w:tcPr>
            <w:tcW w:w="1455" w:type="dxa"/>
            <w:tcBorders>
              <w:top w:val="nil"/>
              <w:left w:val="nil"/>
              <w:bottom w:val="single" w:sz="12" w:space="0" w:color="000000"/>
              <w:right w:val="nil"/>
            </w:tcBorders>
            <w:shd w:val="clear" w:color="auto" w:fill="FFFFFF"/>
            <w:vAlign w:val="center"/>
          </w:tcPr>
          <w:p w14:paraId="1784F63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.812</w:t>
            </w:r>
          </w:p>
        </w:tc>
        <w:tc>
          <w:tcPr>
            <w:tcW w:w="945" w:type="dxa"/>
            <w:tcBorders>
              <w:top w:val="nil"/>
              <w:left w:val="nil"/>
              <w:bottom w:val="single" w:sz="12" w:space="0" w:color="000000"/>
              <w:right w:val="nil"/>
            </w:tcBorders>
            <w:shd w:val="clear" w:color="auto" w:fill="FFFFFF"/>
            <w:vAlign w:val="center"/>
          </w:tcPr>
          <w:p w14:paraId="62E58692"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bl>
    <w:p w14:paraId="37325BDF" w14:textId="77777777" w:rsidR="00D41ED0" w:rsidRDefault="00D41ED0">
      <w:pPr>
        <w:spacing w:after="0" w:line="360" w:lineRule="auto"/>
        <w:jc w:val="both"/>
        <w:rPr>
          <w:rFonts w:ascii="Times New Roman" w:eastAsia="Times New Roman" w:hAnsi="Times New Roman" w:cs="Times New Roman"/>
          <w:sz w:val="24"/>
          <w:szCs w:val="24"/>
        </w:rPr>
      </w:pPr>
    </w:p>
    <w:p w14:paraId="21FB4145" w14:textId="77777777" w:rsidR="00D41ED0" w:rsidRDefault="00CB0D2A">
      <w:pPr>
        <w:spacing w:after="0" w:line="360" w:lineRule="auto"/>
        <w:jc w:val="both"/>
        <w:rPr>
          <w:rFonts w:ascii="Arial" w:eastAsia="Arial" w:hAnsi="Arial" w:cs="Arial"/>
          <w:sz w:val="20"/>
          <w:szCs w:val="20"/>
        </w:rPr>
      </w:pPr>
      <w:r>
        <w:rPr>
          <w:rFonts w:ascii="Arial" w:eastAsia="Arial" w:hAnsi="Arial" w:cs="Arial"/>
          <w:sz w:val="24"/>
          <w:szCs w:val="24"/>
        </w:rPr>
        <w:t xml:space="preserve"> </w:t>
      </w:r>
      <w:r>
        <w:rPr>
          <w:rFonts w:ascii="Arial" w:eastAsia="Arial" w:hAnsi="Arial" w:cs="Arial"/>
          <w:sz w:val="20"/>
          <w:szCs w:val="20"/>
        </w:rPr>
        <w:t xml:space="preserve">Table-3 displays Pearson correlation coefficients between the different variables of environmental sustainability (ENVS1 to ENVS10). The </w:t>
      </w:r>
      <w:r>
        <w:rPr>
          <w:rFonts w:ascii="Arial" w:eastAsia="Arial" w:hAnsi="Arial" w:cs="Arial"/>
          <w:sz w:val="20"/>
          <w:szCs w:val="20"/>
        </w:rPr>
        <w:t>correlations represent how strongly these variables correlate with one another. Here's a clear and simple interpretation:</w:t>
      </w:r>
    </w:p>
    <w:p w14:paraId="3F03C3F1"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The correlation coefficients (r) vary from -0.361 to 0.667, i.e. Positive correlations: Most variables move in the same direction. Neg</w:t>
      </w:r>
      <w:r>
        <w:rPr>
          <w:rFonts w:ascii="Arial" w:eastAsia="Arial" w:hAnsi="Arial" w:cs="Arial"/>
          <w:sz w:val="20"/>
          <w:szCs w:val="20"/>
        </w:rPr>
        <w:t>ative correlations: Some variables move in opposite directions.</w:t>
      </w:r>
    </w:p>
    <w:p w14:paraId="0E80C028"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Significance level (Sig. 1-tailed): All correlations are statistically significant (p &lt; 0.05), indicating significant relationships, Strongest Positive Relationships: These pairs have moderate</w:t>
      </w:r>
      <w:r>
        <w:rPr>
          <w:rFonts w:ascii="Arial" w:eastAsia="Arial" w:hAnsi="Arial" w:cs="Arial"/>
          <w:sz w:val="20"/>
          <w:szCs w:val="20"/>
        </w:rPr>
        <w:t xml:space="preserve"> to strong correlations, indicating they might be measuring similar constructs:</w:t>
      </w:r>
    </w:p>
    <w:p w14:paraId="7C587C92" w14:textId="77777777" w:rsidR="00D41ED0" w:rsidRDefault="00CB0D2A">
      <w:pPr>
        <w:spacing w:before="120" w:after="0" w:line="360" w:lineRule="auto"/>
        <w:jc w:val="both"/>
        <w:rPr>
          <w:rFonts w:ascii="Arial" w:eastAsia="Arial" w:hAnsi="Arial" w:cs="Arial"/>
          <w:sz w:val="24"/>
          <w:szCs w:val="24"/>
        </w:rPr>
      </w:pPr>
      <w:r>
        <w:rPr>
          <w:rFonts w:ascii="Arial" w:eastAsia="Arial" w:hAnsi="Arial" w:cs="Arial"/>
          <w:sz w:val="24"/>
          <w:szCs w:val="24"/>
        </w:rPr>
        <w:t xml:space="preserve"> </w:t>
      </w:r>
    </w:p>
    <w:p w14:paraId="69AFD629" w14:textId="77777777" w:rsidR="00D41ED0" w:rsidRDefault="00CB0D2A">
      <w:pPr>
        <w:spacing w:before="120" w:after="0" w:line="360" w:lineRule="auto"/>
        <w:jc w:val="both"/>
        <w:rPr>
          <w:rFonts w:ascii="Arial" w:eastAsia="Arial" w:hAnsi="Arial" w:cs="Arial"/>
          <w:sz w:val="20"/>
          <w:szCs w:val="20"/>
        </w:rPr>
      </w:pPr>
      <w:sdt>
        <w:sdtPr>
          <w:tag w:val="goog_rdk_1"/>
          <w:id w:val="850885922"/>
        </w:sdtPr>
        <w:sdtEndPr/>
        <w:sdtContent>
          <w:r>
            <w:rPr>
              <w:rFonts w:ascii="Arial Unicode MS" w:eastAsia="Arial Unicode MS" w:hAnsi="Arial Unicode MS" w:cs="Arial Unicode MS"/>
              <w:sz w:val="20"/>
              <w:szCs w:val="20"/>
            </w:rPr>
            <w:t>ENVS ↔ ENVS3 = 0.667 (p =.000)</w:t>
          </w:r>
        </w:sdtContent>
      </w:sdt>
    </w:p>
    <w:p w14:paraId="19B7DD1B"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3DAA121A" w14:textId="77777777" w:rsidR="00D41ED0" w:rsidRDefault="00CB0D2A">
      <w:pPr>
        <w:spacing w:before="120" w:after="0" w:line="360" w:lineRule="auto"/>
        <w:jc w:val="both"/>
        <w:rPr>
          <w:rFonts w:ascii="Arial" w:eastAsia="Arial" w:hAnsi="Arial" w:cs="Arial"/>
          <w:sz w:val="20"/>
          <w:szCs w:val="20"/>
        </w:rPr>
      </w:pPr>
      <w:sdt>
        <w:sdtPr>
          <w:tag w:val="goog_rdk_2"/>
          <w:id w:val="-1735813542"/>
        </w:sdtPr>
        <w:sdtEndPr/>
        <w:sdtContent>
          <w:r>
            <w:rPr>
              <w:rFonts w:ascii="Arial Unicode MS" w:eastAsia="Arial Unicode MS" w:hAnsi="Arial Unicode MS" w:cs="Arial Unicode MS"/>
              <w:sz w:val="20"/>
              <w:szCs w:val="20"/>
            </w:rPr>
            <w:t>ENVS ↔ ENVS2 = 0.649 (p =.000)</w:t>
          </w:r>
        </w:sdtContent>
      </w:sdt>
    </w:p>
    <w:p w14:paraId="40853940"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51F222DE" w14:textId="77777777" w:rsidR="00D41ED0" w:rsidRDefault="00CB0D2A">
      <w:pPr>
        <w:spacing w:before="120" w:after="0" w:line="360" w:lineRule="auto"/>
        <w:jc w:val="both"/>
        <w:rPr>
          <w:rFonts w:ascii="Arial" w:eastAsia="Arial" w:hAnsi="Arial" w:cs="Arial"/>
          <w:sz w:val="20"/>
          <w:szCs w:val="20"/>
        </w:rPr>
      </w:pPr>
      <w:sdt>
        <w:sdtPr>
          <w:tag w:val="goog_rdk_3"/>
          <w:id w:val="-2146704015"/>
        </w:sdtPr>
        <w:sdtEndPr/>
        <w:sdtContent>
          <w:r>
            <w:rPr>
              <w:rFonts w:ascii="Arial Unicode MS" w:eastAsia="Arial Unicode MS" w:hAnsi="Arial Unicode MS" w:cs="Arial Unicode MS"/>
              <w:sz w:val="20"/>
              <w:szCs w:val="20"/>
            </w:rPr>
            <w:t>ENVS3 ↔ ENVS2 = 0.658 (p =.000)</w:t>
          </w:r>
        </w:sdtContent>
      </w:sdt>
    </w:p>
    <w:p w14:paraId="51307796"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4B68A6A2" w14:textId="77777777" w:rsidR="00D41ED0" w:rsidRDefault="00CB0D2A">
      <w:pPr>
        <w:spacing w:before="120" w:after="0" w:line="360" w:lineRule="auto"/>
        <w:jc w:val="both"/>
        <w:rPr>
          <w:rFonts w:ascii="Arial" w:eastAsia="Arial" w:hAnsi="Arial" w:cs="Arial"/>
          <w:sz w:val="20"/>
          <w:szCs w:val="20"/>
        </w:rPr>
      </w:pPr>
      <w:sdt>
        <w:sdtPr>
          <w:tag w:val="goog_rdk_4"/>
          <w:id w:val="1922643237"/>
        </w:sdtPr>
        <w:sdtEndPr/>
        <w:sdtContent>
          <w:r>
            <w:rPr>
              <w:rFonts w:ascii="Arial Unicode MS" w:eastAsia="Arial Unicode MS" w:hAnsi="Arial Unicode MS" w:cs="Arial Unicode MS"/>
              <w:sz w:val="20"/>
              <w:szCs w:val="20"/>
            </w:rPr>
            <w:t>ENVS3 ↔ ENVS8 = 0.596 (p =.000)</w:t>
          </w:r>
        </w:sdtContent>
      </w:sdt>
    </w:p>
    <w:p w14:paraId="08CD7956"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lastRenderedPageBreak/>
        <w:t xml:space="preserve"> </w:t>
      </w:r>
    </w:p>
    <w:p w14:paraId="4DB47B9C" w14:textId="77777777" w:rsidR="00D41ED0" w:rsidRDefault="00CB0D2A">
      <w:pPr>
        <w:spacing w:before="120" w:after="0" w:line="360" w:lineRule="auto"/>
        <w:jc w:val="both"/>
        <w:rPr>
          <w:rFonts w:ascii="Arial" w:eastAsia="Arial" w:hAnsi="Arial" w:cs="Arial"/>
          <w:sz w:val="20"/>
          <w:szCs w:val="20"/>
        </w:rPr>
      </w:pPr>
      <w:sdt>
        <w:sdtPr>
          <w:tag w:val="goog_rdk_5"/>
          <w:id w:val="91481141"/>
        </w:sdtPr>
        <w:sdtEndPr/>
        <w:sdtContent>
          <w:r>
            <w:rPr>
              <w:rFonts w:ascii="Arial Unicode MS" w:eastAsia="Arial Unicode MS" w:hAnsi="Arial Unicode MS" w:cs="Arial Unicode MS"/>
              <w:sz w:val="20"/>
              <w:szCs w:val="20"/>
            </w:rPr>
            <w:t>ENVS2 ↔ ENVS8 = 0.535 (p =.000)</w:t>
          </w:r>
        </w:sdtContent>
      </w:sdt>
    </w:p>
    <w:p w14:paraId="1FF6DF53"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5CE229D9" w14:textId="77777777" w:rsidR="00D41ED0" w:rsidRDefault="00CB0D2A">
      <w:pPr>
        <w:spacing w:before="120" w:after="0" w:line="360" w:lineRule="auto"/>
        <w:jc w:val="both"/>
        <w:rPr>
          <w:rFonts w:ascii="Arial" w:eastAsia="Arial" w:hAnsi="Arial" w:cs="Arial"/>
          <w:sz w:val="20"/>
          <w:szCs w:val="20"/>
        </w:rPr>
      </w:pPr>
      <w:sdt>
        <w:sdtPr>
          <w:tag w:val="goog_rdk_6"/>
          <w:id w:val="382529086"/>
        </w:sdtPr>
        <w:sdtEndPr/>
        <w:sdtContent>
          <w:r>
            <w:rPr>
              <w:rFonts w:ascii="Arial Unicode MS" w:eastAsia="Arial Unicode MS" w:hAnsi="Arial Unicode MS" w:cs="Arial Unicode MS"/>
              <w:sz w:val="20"/>
              <w:szCs w:val="20"/>
            </w:rPr>
            <w:t>ENVS ↔ ENVS8 = 0.535 (p =.000)</w:t>
          </w:r>
        </w:sdtContent>
      </w:sdt>
    </w:p>
    <w:p w14:paraId="6B6C5A99"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Items ENVS, ENVS2, ENVS3, and ENVS8 are highly intercorrelated.</w:t>
      </w:r>
    </w:p>
    <w:p w14:paraId="36DC8795"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Significant Negative Correlations: These reflect inverse relationships:</w:t>
      </w:r>
    </w:p>
    <w:p w14:paraId="454A3D77"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4C24CC01" w14:textId="77777777" w:rsidR="00D41ED0" w:rsidRDefault="00CB0D2A">
      <w:pPr>
        <w:spacing w:before="120" w:after="0" w:line="360" w:lineRule="auto"/>
        <w:jc w:val="both"/>
        <w:rPr>
          <w:rFonts w:ascii="Arial" w:eastAsia="Arial" w:hAnsi="Arial" w:cs="Arial"/>
          <w:sz w:val="20"/>
          <w:szCs w:val="20"/>
        </w:rPr>
      </w:pPr>
      <w:sdt>
        <w:sdtPr>
          <w:tag w:val="goog_rdk_7"/>
          <w:id w:val="-1460495370"/>
        </w:sdtPr>
        <w:sdtEndPr/>
        <w:sdtContent>
          <w:r>
            <w:rPr>
              <w:rFonts w:ascii="Arial Unicode MS" w:eastAsia="Arial Unicode MS" w:hAnsi="Arial Unicode MS" w:cs="Arial Unicode MS"/>
              <w:sz w:val="20"/>
              <w:szCs w:val="20"/>
            </w:rPr>
            <w:t>ENVS4 ↔ ENVS3 = -0.342 (p =.000)</w:t>
          </w:r>
        </w:sdtContent>
      </w:sdt>
    </w:p>
    <w:p w14:paraId="3AB33108"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076CE49D" w14:textId="77777777" w:rsidR="00D41ED0" w:rsidRDefault="00CB0D2A">
      <w:pPr>
        <w:spacing w:before="120" w:after="0" w:line="360" w:lineRule="auto"/>
        <w:jc w:val="both"/>
        <w:rPr>
          <w:rFonts w:ascii="Arial" w:eastAsia="Arial" w:hAnsi="Arial" w:cs="Arial"/>
          <w:sz w:val="20"/>
          <w:szCs w:val="20"/>
        </w:rPr>
      </w:pPr>
      <w:sdt>
        <w:sdtPr>
          <w:tag w:val="goog_rdk_8"/>
          <w:id w:val="1390902984"/>
        </w:sdtPr>
        <w:sdtEndPr/>
        <w:sdtContent>
          <w:r>
            <w:rPr>
              <w:rFonts w:ascii="Arial Unicode MS" w:eastAsia="Arial Unicode MS" w:hAnsi="Arial Unicode MS" w:cs="Arial Unicode MS"/>
              <w:sz w:val="20"/>
              <w:szCs w:val="20"/>
            </w:rPr>
            <w:t>ENVS4 ↔ ENVS2 = -0.272 (p =.000)</w:t>
          </w:r>
        </w:sdtContent>
      </w:sdt>
    </w:p>
    <w:p w14:paraId="778B134E"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2D7080FC" w14:textId="77777777" w:rsidR="00D41ED0" w:rsidRDefault="00CB0D2A">
      <w:pPr>
        <w:spacing w:before="120" w:after="0" w:line="360" w:lineRule="auto"/>
        <w:jc w:val="both"/>
        <w:rPr>
          <w:rFonts w:ascii="Arial" w:eastAsia="Arial" w:hAnsi="Arial" w:cs="Arial"/>
          <w:sz w:val="20"/>
          <w:szCs w:val="20"/>
        </w:rPr>
      </w:pPr>
      <w:sdt>
        <w:sdtPr>
          <w:tag w:val="goog_rdk_9"/>
          <w:id w:val="1639792063"/>
        </w:sdtPr>
        <w:sdtEndPr/>
        <w:sdtContent>
          <w:r>
            <w:rPr>
              <w:rFonts w:ascii="Arial Unicode MS" w:eastAsia="Arial Unicode MS" w:hAnsi="Arial Unicode MS" w:cs="Arial Unicode MS"/>
              <w:sz w:val="20"/>
              <w:szCs w:val="20"/>
            </w:rPr>
            <w:t>ENVS5 ↔</w:t>
          </w:r>
          <w:r>
            <w:rPr>
              <w:rFonts w:ascii="Arial Unicode MS" w:eastAsia="Arial Unicode MS" w:hAnsi="Arial Unicode MS" w:cs="Arial Unicode MS"/>
              <w:sz w:val="20"/>
              <w:szCs w:val="20"/>
            </w:rPr>
            <w:t xml:space="preserve"> ENVS4 = -0.361 (p =.000)</w:t>
          </w:r>
        </w:sdtContent>
      </w:sdt>
    </w:p>
    <w:p w14:paraId="501121E2"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3C4DA8E1" w14:textId="77777777" w:rsidR="00D41ED0" w:rsidRDefault="00CB0D2A">
      <w:pPr>
        <w:spacing w:before="120" w:after="0" w:line="360" w:lineRule="auto"/>
        <w:jc w:val="both"/>
        <w:rPr>
          <w:rFonts w:ascii="Arial" w:eastAsia="Arial" w:hAnsi="Arial" w:cs="Arial"/>
          <w:sz w:val="20"/>
          <w:szCs w:val="20"/>
        </w:rPr>
      </w:pPr>
      <w:sdt>
        <w:sdtPr>
          <w:tag w:val="goog_rdk_10"/>
          <w:id w:val="423298210"/>
        </w:sdtPr>
        <w:sdtEndPr/>
        <w:sdtContent>
          <w:r>
            <w:rPr>
              <w:rFonts w:ascii="Arial Unicode MS" w:eastAsia="Arial Unicode MS" w:hAnsi="Arial Unicode MS" w:cs="Arial Unicode MS"/>
              <w:sz w:val="20"/>
              <w:szCs w:val="20"/>
            </w:rPr>
            <w:t>ENVS10 ↔ ENVS5 = -0.293 (p =.000)</w:t>
          </w:r>
        </w:sdtContent>
      </w:sdt>
    </w:p>
    <w:p w14:paraId="0A54880C" w14:textId="77777777" w:rsidR="00D41ED0" w:rsidRDefault="00CB0D2A">
      <w:pPr>
        <w:spacing w:before="120" w:after="0" w:line="360" w:lineRule="auto"/>
        <w:jc w:val="both"/>
        <w:rPr>
          <w:rFonts w:ascii="Arial" w:eastAsia="Arial" w:hAnsi="Arial" w:cs="Arial"/>
          <w:sz w:val="24"/>
          <w:szCs w:val="24"/>
        </w:rPr>
      </w:pPr>
      <w:r>
        <w:rPr>
          <w:rFonts w:ascii="Arial" w:eastAsia="Arial" w:hAnsi="Arial" w:cs="Arial"/>
          <w:sz w:val="24"/>
          <w:szCs w:val="24"/>
        </w:rPr>
        <w:t xml:space="preserve"> </w:t>
      </w:r>
    </w:p>
    <w:p w14:paraId="67F3F2B3"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Interpretation: Items like ENVS4 seem to behave differently from ENVS2, ENVS3, and ENVS5. ENVS4 may capture an opposite or contrasting perspective, possibly necessitating individual analys</w:t>
      </w:r>
      <w:r>
        <w:rPr>
          <w:rFonts w:ascii="Arial" w:eastAsia="Arial" w:hAnsi="Arial" w:cs="Arial"/>
          <w:sz w:val="20"/>
          <w:szCs w:val="20"/>
        </w:rPr>
        <w:t>is.</w:t>
      </w:r>
    </w:p>
    <w:p w14:paraId="14B29BAA"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Weak or Non-significant Correlations: Some variables reveal very low or non-significant relationship:</w:t>
      </w:r>
    </w:p>
    <w:p w14:paraId="230A8C0C" w14:textId="77777777" w:rsidR="00D41ED0" w:rsidRDefault="00CB0D2A">
      <w:pPr>
        <w:spacing w:before="120" w:after="0" w:line="360" w:lineRule="auto"/>
        <w:jc w:val="both"/>
        <w:rPr>
          <w:rFonts w:ascii="Arial" w:eastAsia="Arial" w:hAnsi="Arial" w:cs="Arial"/>
          <w:sz w:val="24"/>
          <w:szCs w:val="24"/>
        </w:rPr>
      </w:pPr>
      <w:r>
        <w:rPr>
          <w:rFonts w:ascii="Arial" w:eastAsia="Arial" w:hAnsi="Arial" w:cs="Arial"/>
          <w:sz w:val="24"/>
          <w:szCs w:val="24"/>
        </w:rPr>
        <w:t xml:space="preserve"> </w:t>
      </w:r>
    </w:p>
    <w:p w14:paraId="66AB602E" w14:textId="77777777" w:rsidR="00D41ED0" w:rsidRDefault="00CB0D2A">
      <w:pPr>
        <w:spacing w:before="120" w:after="0" w:line="360" w:lineRule="auto"/>
        <w:jc w:val="both"/>
        <w:rPr>
          <w:rFonts w:ascii="Arial" w:eastAsia="Arial" w:hAnsi="Arial" w:cs="Arial"/>
          <w:sz w:val="20"/>
          <w:szCs w:val="20"/>
        </w:rPr>
      </w:pPr>
      <w:sdt>
        <w:sdtPr>
          <w:tag w:val="goog_rdk_11"/>
          <w:id w:val="-1832514111"/>
        </w:sdtPr>
        <w:sdtEndPr/>
        <w:sdtContent>
          <w:r>
            <w:rPr>
              <w:rFonts w:ascii="Arial Unicode MS" w:eastAsia="Arial Unicode MS" w:hAnsi="Arial Unicode MS" w:cs="Arial Unicode MS"/>
              <w:sz w:val="20"/>
              <w:szCs w:val="20"/>
            </w:rPr>
            <w:t>ENVS ↔ ENVS4 = -0.018 (p = .410)</w:t>
          </w:r>
        </w:sdtContent>
      </w:sdt>
    </w:p>
    <w:p w14:paraId="5795AAE9" w14:textId="77777777" w:rsidR="00D41ED0" w:rsidRDefault="00CB0D2A">
      <w:pPr>
        <w:spacing w:before="120" w:after="0" w:line="360" w:lineRule="auto"/>
        <w:jc w:val="both"/>
        <w:rPr>
          <w:rFonts w:ascii="Arial" w:eastAsia="Arial" w:hAnsi="Arial" w:cs="Arial"/>
          <w:sz w:val="20"/>
          <w:szCs w:val="20"/>
        </w:rPr>
      </w:pPr>
      <w:r>
        <w:rPr>
          <w:rFonts w:ascii="Arial" w:eastAsia="Arial" w:hAnsi="Arial" w:cs="Arial"/>
          <w:sz w:val="20"/>
          <w:szCs w:val="20"/>
        </w:rPr>
        <w:t xml:space="preserve"> </w:t>
      </w:r>
    </w:p>
    <w:p w14:paraId="23CAA38F" w14:textId="77777777" w:rsidR="00D41ED0" w:rsidRDefault="00CB0D2A">
      <w:pPr>
        <w:spacing w:before="240" w:after="0" w:line="360" w:lineRule="auto"/>
        <w:jc w:val="both"/>
        <w:rPr>
          <w:rFonts w:ascii="Arial" w:eastAsia="Arial" w:hAnsi="Arial" w:cs="Arial"/>
          <w:sz w:val="20"/>
          <w:szCs w:val="20"/>
        </w:rPr>
      </w:pPr>
      <w:sdt>
        <w:sdtPr>
          <w:tag w:val="goog_rdk_12"/>
          <w:id w:val="-1051129455"/>
        </w:sdtPr>
        <w:sdtEndPr/>
        <w:sdtContent>
          <w:r>
            <w:rPr>
              <w:rFonts w:ascii="Arial Unicode MS" w:eastAsia="Arial Unicode MS" w:hAnsi="Arial Unicode MS" w:cs="Arial Unicode MS"/>
              <w:sz w:val="20"/>
              <w:szCs w:val="20"/>
            </w:rPr>
            <w:t>ENVS ↔ ENVS6 = -0.026 (p = .369)</w:t>
          </w:r>
        </w:sdtContent>
      </w:sdt>
    </w:p>
    <w:p w14:paraId="2FF1628B"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w:t>
      </w:r>
    </w:p>
    <w:p w14:paraId="5A5E2DCF" w14:textId="77777777" w:rsidR="00D41ED0" w:rsidRDefault="00CB0D2A">
      <w:pPr>
        <w:spacing w:before="240" w:after="0" w:line="360" w:lineRule="auto"/>
        <w:jc w:val="both"/>
        <w:rPr>
          <w:rFonts w:ascii="Arial" w:eastAsia="Arial" w:hAnsi="Arial" w:cs="Arial"/>
          <w:sz w:val="20"/>
          <w:szCs w:val="20"/>
        </w:rPr>
      </w:pPr>
      <w:sdt>
        <w:sdtPr>
          <w:tag w:val="goog_rdk_13"/>
          <w:id w:val="1862457196"/>
        </w:sdtPr>
        <w:sdtEndPr/>
        <w:sdtContent>
          <w:r>
            <w:rPr>
              <w:rFonts w:ascii="Arial Unicode MS" w:eastAsia="Arial Unicode MS" w:hAnsi="Arial Unicode MS" w:cs="Arial Unicode MS"/>
              <w:sz w:val="20"/>
              <w:szCs w:val="20"/>
            </w:rPr>
            <w:t>ENVS10 ↔ ENVS = -0.035 (p = .324)</w:t>
          </w:r>
        </w:sdtContent>
      </w:sdt>
    </w:p>
    <w:p w14:paraId="6A104AB1"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lastRenderedPageBreak/>
        <w:t xml:space="preserve"> </w:t>
      </w:r>
    </w:p>
    <w:p w14:paraId="0E0E691B"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These variables could be tapping </w:t>
      </w:r>
      <w:r>
        <w:rPr>
          <w:rFonts w:ascii="Arial" w:eastAsia="Arial" w:hAnsi="Arial" w:cs="Arial"/>
          <w:sz w:val="20"/>
          <w:szCs w:val="20"/>
        </w:rPr>
        <w:t>into a different construct or may not be strongly aligned with the primary construct.</w:t>
      </w:r>
    </w:p>
    <w:p w14:paraId="59E2ED80"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ENVS10's Mixed Pattern: Presents positive correlations with ENVS1 (0.480), ENVS4 (0.443), and ENVS9 (0.363). Presents negative or close-to-zero correlations with a few others (ENVS2, ENVS3, ENVS5, etc.). ENVS10 may be measuring a unique sub-dimension or m</w:t>
      </w:r>
      <w:r>
        <w:rPr>
          <w:rFonts w:ascii="Arial" w:eastAsia="Arial" w:hAnsi="Arial" w:cs="Arial"/>
          <w:sz w:val="20"/>
          <w:szCs w:val="20"/>
        </w:rPr>
        <w:t>ay be subject to different respondent factors.</w:t>
      </w:r>
    </w:p>
    <w:p w14:paraId="71BE2648"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Core Cluster: ENVS, ENVS2, ENVS3, ENVS8 are highly intercorrelated — indicating they assess a core aspect of environmental concern. ENVS4 and ENVS10 indicate divergent trends — potentially indicative of differ</w:t>
      </w:r>
      <w:r>
        <w:rPr>
          <w:rFonts w:ascii="Arial" w:eastAsia="Arial" w:hAnsi="Arial" w:cs="Arial"/>
          <w:sz w:val="20"/>
          <w:szCs w:val="20"/>
        </w:rPr>
        <w:t>ent outlooks or factors.</w:t>
      </w:r>
    </w:p>
    <w:p w14:paraId="26CF8FBE"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w:t>
      </w:r>
    </w:p>
    <w:p w14:paraId="03CA41F8"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The correlation analysis corroborates previous regression findings, with ENVS3, ENVS2, and ENVS8 standing out as the most influential variables in shaping overall environmental sustainability perception (ENVS). The statistically </w:t>
      </w:r>
      <w:r>
        <w:rPr>
          <w:rFonts w:ascii="Arial" w:eastAsia="Arial" w:hAnsi="Arial" w:cs="Arial"/>
          <w:sz w:val="20"/>
          <w:szCs w:val="20"/>
        </w:rPr>
        <w:t>significant relationships noted here confirm the predictive validity of these variables. ENVS4, ENVS6, and ENVS10, however, have weak or no significant relationship, which may imply that they are less useful for predicting ENVS in this model.</w:t>
      </w:r>
    </w:p>
    <w:p w14:paraId="015187B0"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w:t>
      </w:r>
    </w:p>
    <w:p w14:paraId="2FCF0E15" w14:textId="77777777" w:rsidR="00D41ED0" w:rsidRDefault="00CB0D2A">
      <w:pPr>
        <w:spacing w:before="240" w:after="0" w:line="360" w:lineRule="auto"/>
        <w:jc w:val="both"/>
        <w:rPr>
          <w:rFonts w:ascii="Arial" w:eastAsia="Arial" w:hAnsi="Arial" w:cs="Arial"/>
          <w:sz w:val="24"/>
          <w:szCs w:val="24"/>
        </w:rPr>
      </w:pPr>
      <w:r>
        <w:rPr>
          <w:rFonts w:ascii="Arial" w:eastAsia="Arial" w:hAnsi="Arial" w:cs="Arial"/>
          <w:sz w:val="24"/>
          <w:szCs w:val="24"/>
        </w:rPr>
        <w:t xml:space="preserve"> </w:t>
      </w:r>
    </w:p>
    <w:p w14:paraId="355BF660" w14:textId="36EC2C7F" w:rsidR="00D41ED0" w:rsidRDefault="00CB0D2A">
      <w:pPr>
        <w:spacing w:after="0" w:line="360" w:lineRule="auto"/>
        <w:jc w:val="both"/>
        <w:rPr>
          <w:rFonts w:ascii="Arial" w:eastAsia="Arial" w:hAnsi="Arial" w:cs="Arial"/>
          <w:b/>
          <w:sz w:val="20"/>
          <w:szCs w:val="20"/>
        </w:rPr>
      </w:pPr>
      <w:r>
        <w:rPr>
          <w:rFonts w:ascii="Arial" w:eastAsia="Arial" w:hAnsi="Arial" w:cs="Arial"/>
          <w:b/>
          <w:sz w:val="20"/>
          <w:szCs w:val="20"/>
        </w:rPr>
        <w:t xml:space="preserve">TABLE-3  </w:t>
      </w:r>
      <w:r>
        <w:rPr>
          <w:rFonts w:ascii="Arial" w:eastAsia="Arial" w:hAnsi="Arial" w:cs="Arial"/>
          <w:b/>
          <w:sz w:val="20"/>
          <w:szCs w:val="20"/>
        </w:rPr>
        <w:t xml:space="preserve">         Correlations</w:t>
      </w:r>
      <w:r w:rsidR="007F708F">
        <w:rPr>
          <w:rFonts w:ascii="Arial" w:eastAsia="Arial" w:hAnsi="Arial" w:cs="Arial"/>
          <w:b/>
          <w:sz w:val="20"/>
          <w:szCs w:val="20"/>
        </w:rPr>
        <w:t xml:space="preserve"> result</w:t>
      </w:r>
    </w:p>
    <w:tbl>
      <w:tblPr>
        <w:tblStyle w:val="a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825"/>
        <w:gridCol w:w="555"/>
        <w:gridCol w:w="690"/>
        <w:gridCol w:w="690"/>
        <w:gridCol w:w="690"/>
        <w:gridCol w:w="690"/>
        <w:gridCol w:w="690"/>
        <w:gridCol w:w="690"/>
        <w:gridCol w:w="690"/>
        <w:gridCol w:w="690"/>
        <w:gridCol w:w="690"/>
        <w:gridCol w:w="795"/>
      </w:tblGrid>
      <w:tr w:rsidR="00D41ED0" w14:paraId="5116939D" w14:textId="77777777">
        <w:trPr>
          <w:cantSplit/>
          <w:trHeight w:val="73"/>
        </w:trPr>
        <w:tc>
          <w:tcPr>
            <w:tcW w:w="9345" w:type="dxa"/>
            <w:gridSpan w:val="13"/>
            <w:tcBorders>
              <w:top w:val="nil"/>
              <w:left w:val="nil"/>
              <w:bottom w:val="single" w:sz="12" w:space="0" w:color="000000"/>
              <w:right w:val="nil"/>
            </w:tcBorders>
            <w:shd w:val="clear" w:color="auto" w:fill="FFFFFF"/>
          </w:tcPr>
          <w:p w14:paraId="24078F70" w14:textId="77777777" w:rsidR="00D41ED0" w:rsidRDefault="00D41ED0">
            <w:pPr>
              <w:spacing w:after="0"/>
              <w:ind w:left="60" w:right="60"/>
              <w:jc w:val="center"/>
              <w:rPr>
                <w:rFonts w:ascii="Arial" w:eastAsia="Arial" w:hAnsi="Arial" w:cs="Arial"/>
                <w:color w:val="000000"/>
                <w:sz w:val="20"/>
                <w:szCs w:val="20"/>
              </w:rPr>
            </w:pPr>
          </w:p>
        </w:tc>
      </w:tr>
      <w:tr w:rsidR="00D41ED0" w14:paraId="5A51B9C6" w14:textId="77777777">
        <w:trPr>
          <w:cantSplit/>
          <w:trHeight w:val="285"/>
        </w:trPr>
        <w:tc>
          <w:tcPr>
            <w:tcW w:w="1785" w:type="dxa"/>
            <w:gridSpan w:val="2"/>
            <w:tcBorders>
              <w:top w:val="single" w:sz="12" w:space="0" w:color="000000"/>
              <w:left w:val="nil"/>
              <w:bottom w:val="single" w:sz="12" w:space="0" w:color="000000"/>
              <w:right w:val="nil"/>
            </w:tcBorders>
            <w:shd w:val="clear" w:color="auto" w:fill="FFFFFF"/>
          </w:tcPr>
          <w:p w14:paraId="6A29E103" w14:textId="77777777" w:rsidR="00D41ED0" w:rsidRDefault="00D41ED0">
            <w:pPr>
              <w:spacing w:after="0"/>
              <w:ind w:left="60" w:right="60"/>
              <w:rPr>
                <w:rFonts w:ascii="Arial" w:eastAsia="Arial" w:hAnsi="Arial" w:cs="Arial"/>
                <w:color w:val="000000"/>
                <w:sz w:val="18"/>
                <w:szCs w:val="18"/>
              </w:rPr>
            </w:pPr>
          </w:p>
        </w:tc>
        <w:tc>
          <w:tcPr>
            <w:tcW w:w="555" w:type="dxa"/>
            <w:tcBorders>
              <w:top w:val="single" w:sz="12" w:space="0" w:color="000000"/>
              <w:left w:val="nil"/>
              <w:bottom w:val="single" w:sz="12" w:space="0" w:color="000000"/>
              <w:right w:val="nil"/>
            </w:tcBorders>
            <w:shd w:val="clear" w:color="auto" w:fill="FFFFFF"/>
          </w:tcPr>
          <w:p w14:paraId="63AA12B2"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w:t>
            </w:r>
          </w:p>
        </w:tc>
        <w:tc>
          <w:tcPr>
            <w:tcW w:w="690" w:type="dxa"/>
            <w:tcBorders>
              <w:top w:val="single" w:sz="12" w:space="0" w:color="000000"/>
              <w:left w:val="nil"/>
              <w:bottom w:val="single" w:sz="12" w:space="0" w:color="000000"/>
              <w:right w:val="nil"/>
            </w:tcBorders>
            <w:shd w:val="clear" w:color="auto" w:fill="FFFFFF"/>
          </w:tcPr>
          <w:p w14:paraId="0E9C1201"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ENVS1</w:t>
            </w:r>
          </w:p>
        </w:tc>
        <w:tc>
          <w:tcPr>
            <w:tcW w:w="690" w:type="dxa"/>
            <w:tcBorders>
              <w:top w:val="single" w:sz="12" w:space="0" w:color="000000"/>
              <w:left w:val="nil"/>
              <w:bottom w:val="single" w:sz="12" w:space="0" w:color="000000"/>
              <w:right w:val="nil"/>
            </w:tcBorders>
            <w:shd w:val="clear" w:color="auto" w:fill="FFFFFF"/>
          </w:tcPr>
          <w:p w14:paraId="146B73F4"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ENVS2</w:t>
            </w:r>
          </w:p>
        </w:tc>
        <w:tc>
          <w:tcPr>
            <w:tcW w:w="690" w:type="dxa"/>
            <w:tcBorders>
              <w:top w:val="single" w:sz="12" w:space="0" w:color="000000"/>
              <w:left w:val="nil"/>
              <w:bottom w:val="single" w:sz="12" w:space="0" w:color="000000"/>
              <w:right w:val="nil"/>
            </w:tcBorders>
            <w:shd w:val="clear" w:color="auto" w:fill="FFFFFF"/>
          </w:tcPr>
          <w:p w14:paraId="794C04F8"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ENVS3</w:t>
            </w:r>
          </w:p>
        </w:tc>
        <w:tc>
          <w:tcPr>
            <w:tcW w:w="690" w:type="dxa"/>
            <w:tcBorders>
              <w:top w:val="single" w:sz="12" w:space="0" w:color="000000"/>
              <w:left w:val="nil"/>
              <w:bottom w:val="single" w:sz="12" w:space="0" w:color="000000"/>
              <w:right w:val="nil"/>
            </w:tcBorders>
            <w:shd w:val="clear" w:color="auto" w:fill="FFFFFF"/>
          </w:tcPr>
          <w:p w14:paraId="74679A2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ENVS4</w:t>
            </w:r>
          </w:p>
        </w:tc>
        <w:tc>
          <w:tcPr>
            <w:tcW w:w="690" w:type="dxa"/>
            <w:tcBorders>
              <w:top w:val="single" w:sz="12" w:space="0" w:color="000000"/>
              <w:left w:val="nil"/>
              <w:bottom w:val="single" w:sz="12" w:space="0" w:color="000000"/>
              <w:right w:val="nil"/>
            </w:tcBorders>
            <w:shd w:val="clear" w:color="auto" w:fill="FFFFFF"/>
          </w:tcPr>
          <w:p w14:paraId="45928265"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ENVS5</w:t>
            </w:r>
          </w:p>
        </w:tc>
        <w:tc>
          <w:tcPr>
            <w:tcW w:w="690" w:type="dxa"/>
            <w:tcBorders>
              <w:top w:val="single" w:sz="12" w:space="0" w:color="000000"/>
              <w:left w:val="nil"/>
              <w:bottom w:val="single" w:sz="12" w:space="0" w:color="000000"/>
              <w:right w:val="nil"/>
            </w:tcBorders>
            <w:shd w:val="clear" w:color="auto" w:fill="FFFFFF"/>
          </w:tcPr>
          <w:p w14:paraId="20A132A3"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ENVS6</w:t>
            </w:r>
          </w:p>
        </w:tc>
        <w:tc>
          <w:tcPr>
            <w:tcW w:w="690" w:type="dxa"/>
            <w:tcBorders>
              <w:top w:val="single" w:sz="12" w:space="0" w:color="000000"/>
              <w:left w:val="nil"/>
              <w:bottom w:val="single" w:sz="12" w:space="0" w:color="000000"/>
              <w:right w:val="nil"/>
            </w:tcBorders>
            <w:shd w:val="clear" w:color="auto" w:fill="FFFFFF"/>
          </w:tcPr>
          <w:p w14:paraId="632057CD"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ENVS7</w:t>
            </w:r>
          </w:p>
        </w:tc>
        <w:tc>
          <w:tcPr>
            <w:tcW w:w="690" w:type="dxa"/>
            <w:tcBorders>
              <w:top w:val="single" w:sz="12" w:space="0" w:color="000000"/>
              <w:left w:val="nil"/>
              <w:bottom w:val="single" w:sz="12" w:space="0" w:color="000000"/>
              <w:right w:val="nil"/>
            </w:tcBorders>
            <w:shd w:val="clear" w:color="auto" w:fill="FFFFFF"/>
          </w:tcPr>
          <w:p w14:paraId="6AD54357"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ENVS8</w:t>
            </w:r>
          </w:p>
        </w:tc>
        <w:tc>
          <w:tcPr>
            <w:tcW w:w="690" w:type="dxa"/>
            <w:tcBorders>
              <w:top w:val="single" w:sz="12" w:space="0" w:color="000000"/>
              <w:left w:val="nil"/>
              <w:bottom w:val="single" w:sz="12" w:space="0" w:color="000000"/>
              <w:right w:val="nil"/>
            </w:tcBorders>
            <w:shd w:val="clear" w:color="auto" w:fill="FFFFFF"/>
          </w:tcPr>
          <w:p w14:paraId="128541B7"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ENVS9</w:t>
            </w:r>
          </w:p>
        </w:tc>
        <w:tc>
          <w:tcPr>
            <w:tcW w:w="795" w:type="dxa"/>
            <w:tcBorders>
              <w:top w:val="single" w:sz="12" w:space="0" w:color="000000"/>
              <w:left w:val="nil"/>
              <w:bottom w:val="single" w:sz="12" w:space="0" w:color="000000"/>
              <w:right w:val="nil"/>
            </w:tcBorders>
            <w:shd w:val="clear" w:color="auto" w:fill="FFFFFF"/>
          </w:tcPr>
          <w:p w14:paraId="1D36CC8B"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ENVS10</w:t>
            </w:r>
          </w:p>
        </w:tc>
      </w:tr>
      <w:tr w:rsidR="00D41ED0" w14:paraId="4896DA42" w14:textId="77777777">
        <w:trPr>
          <w:cantSplit/>
          <w:trHeight w:val="285"/>
        </w:trPr>
        <w:tc>
          <w:tcPr>
            <w:tcW w:w="960" w:type="dxa"/>
            <w:vMerge w:val="restart"/>
            <w:tcBorders>
              <w:top w:val="single" w:sz="12" w:space="0" w:color="000000"/>
              <w:left w:val="single" w:sz="12" w:space="0" w:color="000000"/>
              <w:bottom w:val="nil"/>
              <w:right w:val="single" w:sz="12" w:space="0" w:color="000000"/>
            </w:tcBorders>
            <w:shd w:val="clear" w:color="auto" w:fill="FFFFFF"/>
            <w:vAlign w:val="center"/>
          </w:tcPr>
          <w:p w14:paraId="0C50D380"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Pearson Correlation</w:t>
            </w:r>
          </w:p>
        </w:tc>
        <w:tc>
          <w:tcPr>
            <w:tcW w:w="825" w:type="dxa"/>
            <w:tcBorders>
              <w:top w:val="single" w:sz="12" w:space="0" w:color="000000"/>
              <w:left w:val="single" w:sz="12" w:space="0" w:color="000000"/>
              <w:bottom w:val="nil"/>
              <w:right w:val="nil"/>
            </w:tcBorders>
            <w:shd w:val="clear" w:color="auto" w:fill="FFFFFF"/>
            <w:vAlign w:val="center"/>
          </w:tcPr>
          <w:p w14:paraId="13CE7E90"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w:t>
            </w:r>
          </w:p>
        </w:tc>
        <w:tc>
          <w:tcPr>
            <w:tcW w:w="555" w:type="dxa"/>
            <w:tcBorders>
              <w:top w:val="single" w:sz="12" w:space="0" w:color="000000"/>
              <w:left w:val="nil"/>
              <w:bottom w:val="nil"/>
              <w:right w:val="nil"/>
            </w:tcBorders>
            <w:shd w:val="clear" w:color="auto" w:fill="FFFFFF"/>
            <w:vAlign w:val="center"/>
          </w:tcPr>
          <w:p w14:paraId="73DA227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single" w:sz="12" w:space="0" w:color="000000"/>
              <w:left w:val="nil"/>
              <w:bottom w:val="nil"/>
              <w:right w:val="nil"/>
            </w:tcBorders>
            <w:shd w:val="clear" w:color="auto" w:fill="FFFFFF"/>
            <w:vAlign w:val="center"/>
          </w:tcPr>
          <w:p w14:paraId="12692C5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.238</w:t>
            </w:r>
          </w:p>
        </w:tc>
        <w:tc>
          <w:tcPr>
            <w:tcW w:w="690" w:type="dxa"/>
            <w:tcBorders>
              <w:top w:val="single" w:sz="12" w:space="0" w:color="000000"/>
              <w:left w:val="nil"/>
              <w:bottom w:val="nil"/>
              <w:right w:val="nil"/>
            </w:tcBorders>
            <w:shd w:val="clear" w:color="auto" w:fill="FFFFFF"/>
            <w:vAlign w:val="center"/>
          </w:tcPr>
          <w:p w14:paraId="67D7AC7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.649</w:t>
            </w:r>
          </w:p>
        </w:tc>
        <w:tc>
          <w:tcPr>
            <w:tcW w:w="690" w:type="dxa"/>
            <w:tcBorders>
              <w:top w:val="single" w:sz="12" w:space="0" w:color="000000"/>
              <w:left w:val="nil"/>
              <w:bottom w:val="nil"/>
              <w:right w:val="nil"/>
            </w:tcBorders>
            <w:shd w:val="clear" w:color="auto" w:fill="FFFFFF"/>
            <w:vAlign w:val="center"/>
          </w:tcPr>
          <w:p w14:paraId="57FF884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.667</w:t>
            </w:r>
          </w:p>
        </w:tc>
        <w:tc>
          <w:tcPr>
            <w:tcW w:w="690" w:type="dxa"/>
            <w:tcBorders>
              <w:top w:val="single" w:sz="12" w:space="0" w:color="000000"/>
              <w:left w:val="nil"/>
              <w:bottom w:val="nil"/>
              <w:right w:val="nil"/>
            </w:tcBorders>
            <w:shd w:val="clear" w:color="auto" w:fill="FFFFFF"/>
            <w:vAlign w:val="center"/>
          </w:tcPr>
          <w:p w14:paraId="011ADC3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-.018</w:t>
            </w:r>
          </w:p>
        </w:tc>
        <w:tc>
          <w:tcPr>
            <w:tcW w:w="690" w:type="dxa"/>
            <w:tcBorders>
              <w:top w:val="single" w:sz="12" w:space="0" w:color="000000"/>
              <w:left w:val="nil"/>
              <w:bottom w:val="nil"/>
              <w:right w:val="nil"/>
            </w:tcBorders>
            <w:shd w:val="clear" w:color="auto" w:fill="FFFFFF"/>
            <w:vAlign w:val="center"/>
          </w:tcPr>
          <w:p w14:paraId="7E7FD39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.441</w:t>
            </w:r>
          </w:p>
        </w:tc>
        <w:tc>
          <w:tcPr>
            <w:tcW w:w="690" w:type="dxa"/>
            <w:tcBorders>
              <w:top w:val="single" w:sz="12" w:space="0" w:color="000000"/>
              <w:left w:val="nil"/>
              <w:bottom w:val="nil"/>
              <w:right w:val="nil"/>
            </w:tcBorders>
            <w:shd w:val="clear" w:color="auto" w:fill="FFFFFF"/>
            <w:vAlign w:val="center"/>
          </w:tcPr>
          <w:p w14:paraId="08E55A5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-.026</w:t>
            </w:r>
          </w:p>
        </w:tc>
        <w:tc>
          <w:tcPr>
            <w:tcW w:w="690" w:type="dxa"/>
            <w:tcBorders>
              <w:top w:val="single" w:sz="12" w:space="0" w:color="000000"/>
              <w:left w:val="nil"/>
              <w:bottom w:val="nil"/>
              <w:right w:val="nil"/>
            </w:tcBorders>
            <w:shd w:val="clear" w:color="auto" w:fill="FFFFFF"/>
            <w:vAlign w:val="center"/>
          </w:tcPr>
          <w:p w14:paraId="61C7A52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.062</w:t>
            </w:r>
          </w:p>
        </w:tc>
        <w:tc>
          <w:tcPr>
            <w:tcW w:w="690" w:type="dxa"/>
            <w:tcBorders>
              <w:top w:val="single" w:sz="12" w:space="0" w:color="000000"/>
              <w:left w:val="nil"/>
              <w:bottom w:val="nil"/>
              <w:right w:val="nil"/>
            </w:tcBorders>
            <w:shd w:val="clear" w:color="auto" w:fill="FFFFFF"/>
            <w:vAlign w:val="center"/>
          </w:tcPr>
          <w:p w14:paraId="4318ACE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.535</w:t>
            </w:r>
          </w:p>
        </w:tc>
        <w:tc>
          <w:tcPr>
            <w:tcW w:w="690" w:type="dxa"/>
            <w:tcBorders>
              <w:top w:val="single" w:sz="12" w:space="0" w:color="000000"/>
              <w:left w:val="nil"/>
              <w:bottom w:val="nil"/>
              <w:right w:val="nil"/>
            </w:tcBorders>
            <w:shd w:val="clear" w:color="auto" w:fill="FFFFFF"/>
            <w:vAlign w:val="center"/>
          </w:tcPr>
          <w:p w14:paraId="24AEEA6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.132</w:t>
            </w:r>
          </w:p>
        </w:tc>
        <w:tc>
          <w:tcPr>
            <w:tcW w:w="795" w:type="dxa"/>
            <w:tcBorders>
              <w:top w:val="single" w:sz="12" w:space="0" w:color="000000"/>
              <w:left w:val="nil"/>
              <w:bottom w:val="nil"/>
              <w:right w:val="nil"/>
            </w:tcBorders>
            <w:shd w:val="clear" w:color="auto" w:fill="FFFFFF"/>
            <w:vAlign w:val="center"/>
          </w:tcPr>
          <w:p w14:paraId="6564016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-.035</w:t>
            </w:r>
          </w:p>
        </w:tc>
      </w:tr>
      <w:tr w:rsidR="00D41ED0" w14:paraId="749BE33D"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5E3FE9E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4FCE0D0"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w:t>
            </w:r>
          </w:p>
        </w:tc>
        <w:tc>
          <w:tcPr>
            <w:tcW w:w="555" w:type="dxa"/>
            <w:tcBorders>
              <w:top w:val="nil"/>
              <w:left w:val="nil"/>
              <w:bottom w:val="nil"/>
              <w:right w:val="nil"/>
            </w:tcBorders>
            <w:shd w:val="clear" w:color="auto" w:fill="FFFFFF"/>
            <w:vAlign w:val="center"/>
          </w:tcPr>
          <w:p w14:paraId="0449779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.238</w:t>
            </w:r>
          </w:p>
        </w:tc>
        <w:tc>
          <w:tcPr>
            <w:tcW w:w="690" w:type="dxa"/>
            <w:tcBorders>
              <w:top w:val="nil"/>
              <w:left w:val="nil"/>
              <w:bottom w:val="nil"/>
              <w:right w:val="nil"/>
            </w:tcBorders>
            <w:shd w:val="clear" w:color="auto" w:fill="FFFFFF"/>
            <w:vAlign w:val="center"/>
          </w:tcPr>
          <w:p w14:paraId="117E72A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3B01B92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.088</w:t>
            </w:r>
          </w:p>
        </w:tc>
        <w:tc>
          <w:tcPr>
            <w:tcW w:w="690" w:type="dxa"/>
            <w:tcBorders>
              <w:top w:val="nil"/>
              <w:left w:val="nil"/>
              <w:bottom w:val="nil"/>
              <w:right w:val="nil"/>
            </w:tcBorders>
            <w:shd w:val="clear" w:color="auto" w:fill="FFFFFF"/>
            <w:vAlign w:val="center"/>
          </w:tcPr>
          <w:p w14:paraId="4C29CFE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-.106</w:t>
            </w:r>
          </w:p>
        </w:tc>
        <w:tc>
          <w:tcPr>
            <w:tcW w:w="690" w:type="dxa"/>
            <w:tcBorders>
              <w:top w:val="nil"/>
              <w:left w:val="nil"/>
              <w:bottom w:val="nil"/>
              <w:right w:val="nil"/>
            </w:tcBorders>
            <w:shd w:val="clear" w:color="auto" w:fill="FFFFFF"/>
            <w:vAlign w:val="center"/>
          </w:tcPr>
          <w:p w14:paraId="7B18F77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.388</w:t>
            </w:r>
          </w:p>
        </w:tc>
        <w:tc>
          <w:tcPr>
            <w:tcW w:w="690" w:type="dxa"/>
            <w:tcBorders>
              <w:top w:val="nil"/>
              <w:left w:val="nil"/>
              <w:bottom w:val="nil"/>
              <w:right w:val="nil"/>
            </w:tcBorders>
            <w:shd w:val="clear" w:color="auto" w:fill="FFFFFF"/>
            <w:vAlign w:val="center"/>
          </w:tcPr>
          <w:p w14:paraId="07D9FBA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-.142</w:t>
            </w:r>
          </w:p>
        </w:tc>
        <w:tc>
          <w:tcPr>
            <w:tcW w:w="690" w:type="dxa"/>
            <w:tcBorders>
              <w:top w:val="nil"/>
              <w:left w:val="nil"/>
              <w:bottom w:val="nil"/>
              <w:right w:val="nil"/>
            </w:tcBorders>
            <w:shd w:val="clear" w:color="auto" w:fill="FFFFFF"/>
            <w:vAlign w:val="center"/>
          </w:tcPr>
          <w:p w14:paraId="509704E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-.165</w:t>
            </w:r>
          </w:p>
        </w:tc>
        <w:tc>
          <w:tcPr>
            <w:tcW w:w="690" w:type="dxa"/>
            <w:tcBorders>
              <w:top w:val="nil"/>
              <w:left w:val="nil"/>
              <w:bottom w:val="nil"/>
              <w:right w:val="nil"/>
            </w:tcBorders>
            <w:shd w:val="clear" w:color="auto" w:fill="FFFFFF"/>
            <w:vAlign w:val="center"/>
          </w:tcPr>
          <w:p w14:paraId="4CA44C0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.326</w:t>
            </w:r>
          </w:p>
        </w:tc>
        <w:tc>
          <w:tcPr>
            <w:tcW w:w="690" w:type="dxa"/>
            <w:tcBorders>
              <w:top w:val="nil"/>
              <w:left w:val="nil"/>
              <w:bottom w:val="nil"/>
              <w:right w:val="nil"/>
            </w:tcBorders>
            <w:shd w:val="clear" w:color="auto" w:fill="FFFFFF"/>
            <w:vAlign w:val="center"/>
          </w:tcPr>
          <w:p w14:paraId="5605FCF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.106</w:t>
            </w:r>
          </w:p>
        </w:tc>
        <w:tc>
          <w:tcPr>
            <w:tcW w:w="690" w:type="dxa"/>
            <w:tcBorders>
              <w:top w:val="nil"/>
              <w:left w:val="nil"/>
              <w:bottom w:val="nil"/>
              <w:right w:val="nil"/>
            </w:tcBorders>
            <w:shd w:val="clear" w:color="auto" w:fill="FFFFFF"/>
            <w:vAlign w:val="center"/>
          </w:tcPr>
          <w:p w14:paraId="3EC667B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.220</w:t>
            </w:r>
          </w:p>
        </w:tc>
        <w:tc>
          <w:tcPr>
            <w:tcW w:w="795" w:type="dxa"/>
            <w:tcBorders>
              <w:top w:val="nil"/>
              <w:left w:val="nil"/>
              <w:bottom w:val="nil"/>
              <w:right w:val="nil"/>
            </w:tcBorders>
            <w:shd w:val="clear" w:color="auto" w:fill="FFFFFF"/>
            <w:vAlign w:val="center"/>
          </w:tcPr>
          <w:p w14:paraId="5C84FAF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.480</w:t>
            </w:r>
          </w:p>
        </w:tc>
      </w:tr>
      <w:tr w:rsidR="00D41ED0" w14:paraId="5C613C0F"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1B698663"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3A5534BE"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ENVS2</w:t>
            </w:r>
          </w:p>
        </w:tc>
        <w:tc>
          <w:tcPr>
            <w:tcW w:w="555" w:type="dxa"/>
            <w:tcBorders>
              <w:top w:val="nil"/>
              <w:left w:val="nil"/>
              <w:bottom w:val="nil"/>
              <w:right w:val="nil"/>
            </w:tcBorders>
            <w:shd w:val="clear" w:color="auto" w:fill="FFFFFF"/>
            <w:vAlign w:val="center"/>
          </w:tcPr>
          <w:p w14:paraId="71D5406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.649</w:t>
            </w:r>
          </w:p>
        </w:tc>
        <w:tc>
          <w:tcPr>
            <w:tcW w:w="690" w:type="dxa"/>
            <w:tcBorders>
              <w:top w:val="nil"/>
              <w:left w:val="nil"/>
              <w:bottom w:val="nil"/>
              <w:right w:val="nil"/>
            </w:tcBorders>
            <w:shd w:val="clear" w:color="auto" w:fill="FFFFFF"/>
            <w:vAlign w:val="center"/>
          </w:tcPr>
          <w:p w14:paraId="1D139D8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.088</w:t>
            </w:r>
          </w:p>
        </w:tc>
        <w:tc>
          <w:tcPr>
            <w:tcW w:w="690" w:type="dxa"/>
            <w:tcBorders>
              <w:top w:val="nil"/>
              <w:left w:val="nil"/>
              <w:bottom w:val="nil"/>
              <w:right w:val="nil"/>
            </w:tcBorders>
            <w:shd w:val="clear" w:color="auto" w:fill="FFFFFF"/>
            <w:vAlign w:val="center"/>
          </w:tcPr>
          <w:p w14:paraId="148F519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59399F8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.658</w:t>
            </w:r>
          </w:p>
        </w:tc>
        <w:tc>
          <w:tcPr>
            <w:tcW w:w="690" w:type="dxa"/>
            <w:tcBorders>
              <w:top w:val="nil"/>
              <w:left w:val="nil"/>
              <w:bottom w:val="nil"/>
              <w:right w:val="nil"/>
            </w:tcBorders>
            <w:shd w:val="clear" w:color="auto" w:fill="FFFFFF"/>
            <w:vAlign w:val="center"/>
          </w:tcPr>
          <w:p w14:paraId="12AA45E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-.272</w:t>
            </w:r>
          </w:p>
        </w:tc>
        <w:tc>
          <w:tcPr>
            <w:tcW w:w="690" w:type="dxa"/>
            <w:tcBorders>
              <w:top w:val="nil"/>
              <w:left w:val="nil"/>
              <w:bottom w:val="nil"/>
              <w:right w:val="nil"/>
            </w:tcBorders>
            <w:shd w:val="clear" w:color="auto" w:fill="FFFFFF"/>
            <w:vAlign w:val="center"/>
          </w:tcPr>
          <w:p w14:paraId="29478CE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.502</w:t>
            </w:r>
          </w:p>
        </w:tc>
        <w:tc>
          <w:tcPr>
            <w:tcW w:w="690" w:type="dxa"/>
            <w:tcBorders>
              <w:top w:val="nil"/>
              <w:left w:val="nil"/>
              <w:bottom w:val="nil"/>
              <w:right w:val="nil"/>
            </w:tcBorders>
            <w:shd w:val="clear" w:color="auto" w:fill="FFFFFF"/>
            <w:vAlign w:val="center"/>
          </w:tcPr>
          <w:p w14:paraId="38F61ED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-.069</w:t>
            </w:r>
          </w:p>
        </w:tc>
        <w:tc>
          <w:tcPr>
            <w:tcW w:w="690" w:type="dxa"/>
            <w:tcBorders>
              <w:top w:val="nil"/>
              <w:left w:val="nil"/>
              <w:bottom w:val="nil"/>
              <w:right w:val="nil"/>
            </w:tcBorders>
            <w:shd w:val="clear" w:color="auto" w:fill="FFFFFF"/>
            <w:vAlign w:val="center"/>
          </w:tcPr>
          <w:p w14:paraId="5508ECA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-.149</w:t>
            </w:r>
          </w:p>
        </w:tc>
        <w:tc>
          <w:tcPr>
            <w:tcW w:w="690" w:type="dxa"/>
            <w:tcBorders>
              <w:top w:val="nil"/>
              <w:left w:val="nil"/>
              <w:bottom w:val="nil"/>
              <w:right w:val="nil"/>
            </w:tcBorders>
            <w:shd w:val="clear" w:color="auto" w:fill="FFFFFF"/>
            <w:vAlign w:val="center"/>
          </w:tcPr>
          <w:p w14:paraId="526C7DE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.535</w:t>
            </w:r>
          </w:p>
        </w:tc>
        <w:tc>
          <w:tcPr>
            <w:tcW w:w="690" w:type="dxa"/>
            <w:tcBorders>
              <w:top w:val="nil"/>
              <w:left w:val="nil"/>
              <w:bottom w:val="nil"/>
              <w:right w:val="nil"/>
            </w:tcBorders>
            <w:shd w:val="clear" w:color="auto" w:fill="FFFFFF"/>
            <w:vAlign w:val="center"/>
          </w:tcPr>
          <w:p w14:paraId="272673E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.132</w:t>
            </w:r>
          </w:p>
        </w:tc>
        <w:tc>
          <w:tcPr>
            <w:tcW w:w="795" w:type="dxa"/>
            <w:tcBorders>
              <w:top w:val="nil"/>
              <w:left w:val="nil"/>
              <w:bottom w:val="nil"/>
              <w:right w:val="nil"/>
            </w:tcBorders>
            <w:shd w:val="clear" w:color="auto" w:fill="FFFFFF"/>
            <w:vAlign w:val="center"/>
          </w:tcPr>
          <w:p w14:paraId="0938A01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-.133</w:t>
            </w:r>
          </w:p>
        </w:tc>
      </w:tr>
      <w:tr w:rsidR="00D41ED0" w14:paraId="6CE3E96A"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1949F8C6"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5D977EE"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ENVS3</w:t>
            </w:r>
          </w:p>
        </w:tc>
        <w:tc>
          <w:tcPr>
            <w:tcW w:w="555" w:type="dxa"/>
            <w:tcBorders>
              <w:top w:val="nil"/>
              <w:left w:val="nil"/>
              <w:bottom w:val="nil"/>
              <w:right w:val="nil"/>
            </w:tcBorders>
            <w:shd w:val="clear" w:color="auto" w:fill="FFFFFF"/>
            <w:vAlign w:val="center"/>
          </w:tcPr>
          <w:p w14:paraId="42DAC18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.667</w:t>
            </w:r>
          </w:p>
        </w:tc>
        <w:tc>
          <w:tcPr>
            <w:tcW w:w="690" w:type="dxa"/>
            <w:tcBorders>
              <w:top w:val="nil"/>
              <w:left w:val="nil"/>
              <w:bottom w:val="nil"/>
              <w:right w:val="nil"/>
            </w:tcBorders>
            <w:shd w:val="clear" w:color="auto" w:fill="FFFFFF"/>
            <w:vAlign w:val="center"/>
          </w:tcPr>
          <w:p w14:paraId="5D3FFAC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-.106</w:t>
            </w:r>
          </w:p>
        </w:tc>
        <w:tc>
          <w:tcPr>
            <w:tcW w:w="690" w:type="dxa"/>
            <w:tcBorders>
              <w:top w:val="nil"/>
              <w:left w:val="nil"/>
              <w:bottom w:val="nil"/>
              <w:right w:val="nil"/>
            </w:tcBorders>
            <w:shd w:val="clear" w:color="auto" w:fill="FFFFFF"/>
            <w:vAlign w:val="center"/>
          </w:tcPr>
          <w:p w14:paraId="7A84020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.658</w:t>
            </w:r>
          </w:p>
        </w:tc>
        <w:tc>
          <w:tcPr>
            <w:tcW w:w="690" w:type="dxa"/>
            <w:tcBorders>
              <w:top w:val="nil"/>
              <w:left w:val="nil"/>
              <w:bottom w:val="nil"/>
              <w:right w:val="nil"/>
            </w:tcBorders>
            <w:shd w:val="clear" w:color="auto" w:fill="FFFFFF"/>
            <w:vAlign w:val="center"/>
          </w:tcPr>
          <w:p w14:paraId="354F863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46DBB4C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-.342</w:t>
            </w:r>
          </w:p>
        </w:tc>
        <w:tc>
          <w:tcPr>
            <w:tcW w:w="690" w:type="dxa"/>
            <w:tcBorders>
              <w:top w:val="nil"/>
              <w:left w:val="nil"/>
              <w:bottom w:val="nil"/>
              <w:right w:val="nil"/>
            </w:tcBorders>
            <w:shd w:val="clear" w:color="auto" w:fill="FFFFFF"/>
            <w:vAlign w:val="center"/>
          </w:tcPr>
          <w:p w14:paraId="75B3323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.520</w:t>
            </w:r>
          </w:p>
        </w:tc>
        <w:tc>
          <w:tcPr>
            <w:tcW w:w="690" w:type="dxa"/>
            <w:tcBorders>
              <w:top w:val="nil"/>
              <w:left w:val="nil"/>
              <w:bottom w:val="nil"/>
              <w:right w:val="nil"/>
            </w:tcBorders>
            <w:shd w:val="clear" w:color="auto" w:fill="FFFFFF"/>
            <w:vAlign w:val="center"/>
          </w:tcPr>
          <w:p w14:paraId="769A9F2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.086</w:t>
            </w:r>
          </w:p>
        </w:tc>
        <w:tc>
          <w:tcPr>
            <w:tcW w:w="690" w:type="dxa"/>
            <w:tcBorders>
              <w:top w:val="nil"/>
              <w:left w:val="nil"/>
              <w:bottom w:val="nil"/>
              <w:right w:val="nil"/>
            </w:tcBorders>
            <w:shd w:val="clear" w:color="auto" w:fill="FFFFFF"/>
            <w:vAlign w:val="center"/>
          </w:tcPr>
          <w:p w14:paraId="24D985E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-.272</w:t>
            </w:r>
          </w:p>
        </w:tc>
        <w:tc>
          <w:tcPr>
            <w:tcW w:w="690" w:type="dxa"/>
            <w:tcBorders>
              <w:top w:val="nil"/>
              <w:left w:val="nil"/>
              <w:bottom w:val="nil"/>
              <w:right w:val="nil"/>
            </w:tcBorders>
            <w:shd w:val="clear" w:color="auto" w:fill="FFFFFF"/>
            <w:vAlign w:val="center"/>
          </w:tcPr>
          <w:p w14:paraId="47F2887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.596</w:t>
            </w:r>
          </w:p>
        </w:tc>
        <w:tc>
          <w:tcPr>
            <w:tcW w:w="690" w:type="dxa"/>
            <w:tcBorders>
              <w:top w:val="nil"/>
              <w:left w:val="nil"/>
              <w:bottom w:val="nil"/>
              <w:right w:val="nil"/>
            </w:tcBorders>
            <w:shd w:val="clear" w:color="auto" w:fill="FFFFFF"/>
            <w:vAlign w:val="center"/>
          </w:tcPr>
          <w:p w14:paraId="3E6A3B1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.070</w:t>
            </w:r>
          </w:p>
        </w:tc>
        <w:tc>
          <w:tcPr>
            <w:tcW w:w="795" w:type="dxa"/>
            <w:tcBorders>
              <w:top w:val="nil"/>
              <w:left w:val="nil"/>
              <w:bottom w:val="nil"/>
              <w:right w:val="nil"/>
            </w:tcBorders>
            <w:shd w:val="clear" w:color="auto" w:fill="FFFFFF"/>
            <w:vAlign w:val="center"/>
          </w:tcPr>
          <w:p w14:paraId="0C6A810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-.248</w:t>
            </w:r>
          </w:p>
        </w:tc>
      </w:tr>
      <w:tr w:rsidR="00D41ED0" w14:paraId="555B56B4"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7E7E707B"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3AE0AF4"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ENVS4</w:t>
            </w:r>
          </w:p>
        </w:tc>
        <w:tc>
          <w:tcPr>
            <w:tcW w:w="555" w:type="dxa"/>
            <w:tcBorders>
              <w:top w:val="nil"/>
              <w:left w:val="nil"/>
              <w:bottom w:val="nil"/>
              <w:right w:val="nil"/>
            </w:tcBorders>
            <w:shd w:val="clear" w:color="auto" w:fill="FFFFFF"/>
            <w:vAlign w:val="center"/>
          </w:tcPr>
          <w:p w14:paraId="56E71E9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-.018</w:t>
            </w:r>
          </w:p>
        </w:tc>
        <w:tc>
          <w:tcPr>
            <w:tcW w:w="690" w:type="dxa"/>
            <w:tcBorders>
              <w:top w:val="nil"/>
              <w:left w:val="nil"/>
              <w:bottom w:val="nil"/>
              <w:right w:val="nil"/>
            </w:tcBorders>
            <w:shd w:val="clear" w:color="auto" w:fill="FFFFFF"/>
            <w:vAlign w:val="center"/>
          </w:tcPr>
          <w:p w14:paraId="7B8E3D0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.388</w:t>
            </w:r>
          </w:p>
        </w:tc>
        <w:tc>
          <w:tcPr>
            <w:tcW w:w="690" w:type="dxa"/>
            <w:tcBorders>
              <w:top w:val="nil"/>
              <w:left w:val="nil"/>
              <w:bottom w:val="nil"/>
              <w:right w:val="nil"/>
            </w:tcBorders>
            <w:shd w:val="clear" w:color="auto" w:fill="FFFFFF"/>
            <w:vAlign w:val="center"/>
          </w:tcPr>
          <w:p w14:paraId="1AC941F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-.272</w:t>
            </w:r>
          </w:p>
        </w:tc>
        <w:tc>
          <w:tcPr>
            <w:tcW w:w="690" w:type="dxa"/>
            <w:tcBorders>
              <w:top w:val="nil"/>
              <w:left w:val="nil"/>
              <w:bottom w:val="nil"/>
              <w:right w:val="nil"/>
            </w:tcBorders>
            <w:shd w:val="clear" w:color="auto" w:fill="FFFFFF"/>
            <w:vAlign w:val="center"/>
          </w:tcPr>
          <w:p w14:paraId="35F5632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-.342</w:t>
            </w:r>
          </w:p>
        </w:tc>
        <w:tc>
          <w:tcPr>
            <w:tcW w:w="690" w:type="dxa"/>
            <w:tcBorders>
              <w:top w:val="nil"/>
              <w:left w:val="nil"/>
              <w:bottom w:val="nil"/>
              <w:right w:val="nil"/>
            </w:tcBorders>
            <w:shd w:val="clear" w:color="auto" w:fill="FFFFFF"/>
            <w:vAlign w:val="center"/>
          </w:tcPr>
          <w:p w14:paraId="21E9734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13F8802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-.361</w:t>
            </w:r>
          </w:p>
        </w:tc>
        <w:tc>
          <w:tcPr>
            <w:tcW w:w="690" w:type="dxa"/>
            <w:tcBorders>
              <w:top w:val="nil"/>
              <w:left w:val="nil"/>
              <w:bottom w:val="nil"/>
              <w:right w:val="nil"/>
            </w:tcBorders>
            <w:shd w:val="clear" w:color="auto" w:fill="FFFFFF"/>
            <w:vAlign w:val="center"/>
          </w:tcPr>
          <w:p w14:paraId="3F5825D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-.216</w:t>
            </w:r>
          </w:p>
        </w:tc>
        <w:tc>
          <w:tcPr>
            <w:tcW w:w="690" w:type="dxa"/>
            <w:tcBorders>
              <w:top w:val="nil"/>
              <w:left w:val="nil"/>
              <w:bottom w:val="nil"/>
              <w:right w:val="nil"/>
            </w:tcBorders>
            <w:shd w:val="clear" w:color="auto" w:fill="FFFFFF"/>
            <w:vAlign w:val="center"/>
          </w:tcPr>
          <w:p w14:paraId="33B077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.658</w:t>
            </w:r>
          </w:p>
        </w:tc>
        <w:tc>
          <w:tcPr>
            <w:tcW w:w="690" w:type="dxa"/>
            <w:tcBorders>
              <w:top w:val="nil"/>
              <w:left w:val="nil"/>
              <w:bottom w:val="nil"/>
              <w:right w:val="nil"/>
            </w:tcBorders>
            <w:shd w:val="clear" w:color="auto" w:fill="FFFFFF"/>
            <w:vAlign w:val="center"/>
          </w:tcPr>
          <w:p w14:paraId="13DBE3C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-.237</w:t>
            </w:r>
          </w:p>
        </w:tc>
        <w:tc>
          <w:tcPr>
            <w:tcW w:w="690" w:type="dxa"/>
            <w:tcBorders>
              <w:top w:val="nil"/>
              <w:left w:val="nil"/>
              <w:bottom w:val="nil"/>
              <w:right w:val="nil"/>
            </w:tcBorders>
            <w:shd w:val="clear" w:color="auto" w:fill="FFFFFF"/>
            <w:vAlign w:val="center"/>
          </w:tcPr>
          <w:p w14:paraId="75BD7FE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.158</w:t>
            </w:r>
          </w:p>
        </w:tc>
        <w:tc>
          <w:tcPr>
            <w:tcW w:w="795" w:type="dxa"/>
            <w:tcBorders>
              <w:top w:val="nil"/>
              <w:left w:val="nil"/>
              <w:bottom w:val="nil"/>
              <w:right w:val="nil"/>
            </w:tcBorders>
            <w:shd w:val="clear" w:color="auto" w:fill="FFFFFF"/>
            <w:vAlign w:val="center"/>
          </w:tcPr>
          <w:p w14:paraId="01E1FAB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.443</w:t>
            </w:r>
          </w:p>
        </w:tc>
      </w:tr>
      <w:tr w:rsidR="00D41ED0" w14:paraId="326DE329"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2C1A21A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018970CA" w14:textId="77777777" w:rsidR="00D41ED0" w:rsidRDefault="00D41ED0">
            <w:pPr>
              <w:spacing w:after="0"/>
              <w:ind w:left="60" w:right="60"/>
              <w:rPr>
                <w:rFonts w:ascii="Arial" w:eastAsia="Arial" w:hAnsi="Arial" w:cs="Arial"/>
                <w:color w:val="000000"/>
                <w:sz w:val="20"/>
                <w:szCs w:val="20"/>
              </w:rPr>
            </w:pPr>
          </w:p>
        </w:tc>
        <w:tc>
          <w:tcPr>
            <w:tcW w:w="555" w:type="dxa"/>
            <w:tcBorders>
              <w:top w:val="nil"/>
              <w:left w:val="nil"/>
              <w:bottom w:val="nil"/>
              <w:right w:val="nil"/>
            </w:tcBorders>
            <w:shd w:val="clear" w:color="auto" w:fill="FFFFFF"/>
            <w:vAlign w:val="center"/>
          </w:tcPr>
          <w:p w14:paraId="10B8B18E"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18804299"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0B87946E"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6B55FB90"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5CA0C353"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1E724110"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2036CA99"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71070381"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351E6759" w14:textId="77777777" w:rsidR="00D41ED0" w:rsidRDefault="00D41ED0">
            <w:pPr>
              <w:spacing w:after="0"/>
              <w:ind w:left="60" w:right="60"/>
              <w:jc w:val="right"/>
              <w:rPr>
                <w:rFonts w:ascii="Arial" w:eastAsia="Arial" w:hAnsi="Arial" w:cs="Arial"/>
                <w:color w:val="000000"/>
                <w:sz w:val="20"/>
                <w:szCs w:val="20"/>
              </w:rPr>
            </w:pPr>
          </w:p>
        </w:tc>
        <w:tc>
          <w:tcPr>
            <w:tcW w:w="690" w:type="dxa"/>
            <w:tcBorders>
              <w:top w:val="nil"/>
              <w:left w:val="nil"/>
              <w:bottom w:val="nil"/>
              <w:right w:val="nil"/>
            </w:tcBorders>
            <w:shd w:val="clear" w:color="auto" w:fill="FFFFFF"/>
            <w:vAlign w:val="center"/>
          </w:tcPr>
          <w:p w14:paraId="6A6F81FE" w14:textId="77777777" w:rsidR="00D41ED0" w:rsidRDefault="00D41ED0">
            <w:pPr>
              <w:spacing w:after="0"/>
              <w:ind w:left="60" w:right="60"/>
              <w:jc w:val="right"/>
              <w:rPr>
                <w:rFonts w:ascii="Arial" w:eastAsia="Arial" w:hAnsi="Arial" w:cs="Arial"/>
                <w:color w:val="000000"/>
                <w:sz w:val="20"/>
                <w:szCs w:val="20"/>
              </w:rPr>
            </w:pPr>
          </w:p>
        </w:tc>
        <w:tc>
          <w:tcPr>
            <w:tcW w:w="795" w:type="dxa"/>
            <w:tcBorders>
              <w:top w:val="nil"/>
              <w:left w:val="nil"/>
              <w:bottom w:val="nil"/>
              <w:right w:val="nil"/>
            </w:tcBorders>
            <w:shd w:val="clear" w:color="auto" w:fill="FFFFFF"/>
            <w:vAlign w:val="center"/>
          </w:tcPr>
          <w:p w14:paraId="52DAE41C" w14:textId="77777777" w:rsidR="00D41ED0" w:rsidRDefault="00D41ED0">
            <w:pPr>
              <w:spacing w:after="0"/>
              <w:ind w:left="60" w:right="60"/>
              <w:jc w:val="right"/>
              <w:rPr>
                <w:rFonts w:ascii="Arial" w:eastAsia="Arial" w:hAnsi="Arial" w:cs="Arial"/>
                <w:color w:val="000000"/>
                <w:sz w:val="20"/>
                <w:szCs w:val="20"/>
              </w:rPr>
            </w:pPr>
          </w:p>
        </w:tc>
      </w:tr>
      <w:tr w:rsidR="00D41ED0" w14:paraId="0BF77C61"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3CB05F5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54605A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ENVS5</w:t>
            </w:r>
          </w:p>
        </w:tc>
        <w:tc>
          <w:tcPr>
            <w:tcW w:w="555" w:type="dxa"/>
            <w:tcBorders>
              <w:top w:val="nil"/>
              <w:left w:val="nil"/>
              <w:bottom w:val="nil"/>
              <w:right w:val="nil"/>
            </w:tcBorders>
            <w:shd w:val="clear" w:color="auto" w:fill="FFFFFF"/>
            <w:vAlign w:val="center"/>
          </w:tcPr>
          <w:p w14:paraId="7A531C2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.441</w:t>
            </w:r>
          </w:p>
        </w:tc>
        <w:tc>
          <w:tcPr>
            <w:tcW w:w="690" w:type="dxa"/>
            <w:tcBorders>
              <w:top w:val="nil"/>
              <w:left w:val="nil"/>
              <w:bottom w:val="nil"/>
              <w:right w:val="nil"/>
            </w:tcBorders>
            <w:shd w:val="clear" w:color="auto" w:fill="FFFFFF"/>
            <w:vAlign w:val="center"/>
          </w:tcPr>
          <w:p w14:paraId="616CBBA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-.142</w:t>
            </w:r>
          </w:p>
        </w:tc>
        <w:tc>
          <w:tcPr>
            <w:tcW w:w="690" w:type="dxa"/>
            <w:tcBorders>
              <w:top w:val="nil"/>
              <w:left w:val="nil"/>
              <w:bottom w:val="nil"/>
              <w:right w:val="nil"/>
            </w:tcBorders>
            <w:shd w:val="clear" w:color="auto" w:fill="FFFFFF"/>
            <w:vAlign w:val="center"/>
          </w:tcPr>
          <w:p w14:paraId="236785E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.502</w:t>
            </w:r>
          </w:p>
        </w:tc>
        <w:tc>
          <w:tcPr>
            <w:tcW w:w="690" w:type="dxa"/>
            <w:tcBorders>
              <w:top w:val="nil"/>
              <w:left w:val="nil"/>
              <w:bottom w:val="nil"/>
              <w:right w:val="nil"/>
            </w:tcBorders>
            <w:shd w:val="clear" w:color="auto" w:fill="FFFFFF"/>
            <w:vAlign w:val="center"/>
          </w:tcPr>
          <w:p w14:paraId="5589BEE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.520</w:t>
            </w:r>
          </w:p>
        </w:tc>
        <w:tc>
          <w:tcPr>
            <w:tcW w:w="690" w:type="dxa"/>
            <w:tcBorders>
              <w:top w:val="nil"/>
              <w:left w:val="nil"/>
              <w:bottom w:val="nil"/>
              <w:right w:val="nil"/>
            </w:tcBorders>
            <w:shd w:val="clear" w:color="auto" w:fill="FFFFFF"/>
            <w:vAlign w:val="center"/>
          </w:tcPr>
          <w:p w14:paraId="206D435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-.361</w:t>
            </w:r>
          </w:p>
        </w:tc>
        <w:tc>
          <w:tcPr>
            <w:tcW w:w="690" w:type="dxa"/>
            <w:tcBorders>
              <w:top w:val="nil"/>
              <w:left w:val="nil"/>
              <w:bottom w:val="nil"/>
              <w:right w:val="nil"/>
            </w:tcBorders>
            <w:shd w:val="clear" w:color="auto" w:fill="FFFFFF"/>
            <w:vAlign w:val="center"/>
          </w:tcPr>
          <w:p w14:paraId="1ABC320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40D7E17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-.061</w:t>
            </w:r>
          </w:p>
        </w:tc>
        <w:tc>
          <w:tcPr>
            <w:tcW w:w="690" w:type="dxa"/>
            <w:tcBorders>
              <w:top w:val="nil"/>
              <w:left w:val="nil"/>
              <w:bottom w:val="nil"/>
              <w:right w:val="nil"/>
            </w:tcBorders>
            <w:shd w:val="clear" w:color="auto" w:fill="FFFFFF"/>
            <w:vAlign w:val="center"/>
          </w:tcPr>
          <w:p w14:paraId="34F1E23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-.229</w:t>
            </w:r>
          </w:p>
        </w:tc>
        <w:tc>
          <w:tcPr>
            <w:tcW w:w="690" w:type="dxa"/>
            <w:tcBorders>
              <w:top w:val="nil"/>
              <w:left w:val="nil"/>
              <w:bottom w:val="nil"/>
              <w:right w:val="nil"/>
            </w:tcBorders>
            <w:shd w:val="clear" w:color="auto" w:fill="FFFFFF"/>
            <w:vAlign w:val="center"/>
          </w:tcPr>
          <w:p w14:paraId="3E80D44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.414</w:t>
            </w:r>
          </w:p>
        </w:tc>
        <w:tc>
          <w:tcPr>
            <w:tcW w:w="690" w:type="dxa"/>
            <w:tcBorders>
              <w:top w:val="nil"/>
              <w:left w:val="nil"/>
              <w:bottom w:val="nil"/>
              <w:right w:val="nil"/>
            </w:tcBorders>
            <w:shd w:val="clear" w:color="auto" w:fill="FFFFFF"/>
            <w:vAlign w:val="center"/>
          </w:tcPr>
          <w:p w14:paraId="6F5BFE9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-.123</w:t>
            </w:r>
          </w:p>
        </w:tc>
        <w:tc>
          <w:tcPr>
            <w:tcW w:w="795" w:type="dxa"/>
            <w:tcBorders>
              <w:top w:val="nil"/>
              <w:left w:val="nil"/>
              <w:bottom w:val="nil"/>
              <w:right w:val="nil"/>
            </w:tcBorders>
            <w:shd w:val="clear" w:color="auto" w:fill="FFFFFF"/>
            <w:vAlign w:val="center"/>
          </w:tcPr>
          <w:p w14:paraId="374277B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-.293</w:t>
            </w:r>
          </w:p>
        </w:tc>
      </w:tr>
      <w:tr w:rsidR="00D41ED0" w14:paraId="358A7992"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306B40FF"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1DA9537A"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ENVS6</w:t>
            </w:r>
          </w:p>
        </w:tc>
        <w:tc>
          <w:tcPr>
            <w:tcW w:w="555" w:type="dxa"/>
            <w:tcBorders>
              <w:top w:val="nil"/>
              <w:left w:val="nil"/>
              <w:bottom w:val="nil"/>
              <w:right w:val="nil"/>
            </w:tcBorders>
            <w:shd w:val="clear" w:color="auto" w:fill="FFFFFF"/>
            <w:vAlign w:val="center"/>
          </w:tcPr>
          <w:p w14:paraId="03F424D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-.026</w:t>
            </w:r>
          </w:p>
        </w:tc>
        <w:tc>
          <w:tcPr>
            <w:tcW w:w="690" w:type="dxa"/>
            <w:tcBorders>
              <w:top w:val="nil"/>
              <w:left w:val="nil"/>
              <w:bottom w:val="nil"/>
              <w:right w:val="nil"/>
            </w:tcBorders>
            <w:shd w:val="clear" w:color="auto" w:fill="FFFFFF"/>
            <w:vAlign w:val="center"/>
          </w:tcPr>
          <w:p w14:paraId="48355A4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-.165</w:t>
            </w:r>
          </w:p>
        </w:tc>
        <w:tc>
          <w:tcPr>
            <w:tcW w:w="690" w:type="dxa"/>
            <w:tcBorders>
              <w:top w:val="nil"/>
              <w:left w:val="nil"/>
              <w:bottom w:val="nil"/>
              <w:right w:val="nil"/>
            </w:tcBorders>
            <w:shd w:val="clear" w:color="auto" w:fill="FFFFFF"/>
            <w:vAlign w:val="center"/>
          </w:tcPr>
          <w:p w14:paraId="41D5A61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-.069</w:t>
            </w:r>
          </w:p>
        </w:tc>
        <w:tc>
          <w:tcPr>
            <w:tcW w:w="690" w:type="dxa"/>
            <w:tcBorders>
              <w:top w:val="nil"/>
              <w:left w:val="nil"/>
              <w:bottom w:val="nil"/>
              <w:right w:val="nil"/>
            </w:tcBorders>
            <w:shd w:val="clear" w:color="auto" w:fill="FFFFFF"/>
            <w:vAlign w:val="center"/>
          </w:tcPr>
          <w:p w14:paraId="3C51BF0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.086</w:t>
            </w:r>
          </w:p>
        </w:tc>
        <w:tc>
          <w:tcPr>
            <w:tcW w:w="690" w:type="dxa"/>
            <w:tcBorders>
              <w:top w:val="nil"/>
              <w:left w:val="nil"/>
              <w:bottom w:val="nil"/>
              <w:right w:val="nil"/>
            </w:tcBorders>
            <w:shd w:val="clear" w:color="auto" w:fill="FFFFFF"/>
            <w:vAlign w:val="center"/>
          </w:tcPr>
          <w:p w14:paraId="271B823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-.216</w:t>
            </w:r>
          </w:p>
        </w:tc>
        <w:tc>
          <w:tcPr>
            <w:tcW w:w="690" w:type="dxa"/>
            <w:tcBorders>
              <w:top w:val="nil"/>
              <w:left w:val="nil"/>
              <w:bottom w:val="nil"/>
              <w:right w:val="nil"/>
            </w:tcBorders>
            <w:shd w:val="clear" w:color="auto" w:fill="FFFFFF"/>
            <w:vAlign w:val="center"/>
          </w:tcPr>
          <w:p w14:paraId="655F0A5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-.061</w:t>
            </w:r>
          </w:p>
        </w:tc>
        <w:tc>
          <w:tcPr>
            <w:tcW w:w="690" w:type="dxa"/>
            <w:tcBorders>
              <w:top w:val="nil"/>
              <w:left w:val="nil"/>
              <w:bottom w:val="nil"/>
              <w:right w:val="nil"/>
            </w:tcBorders>
            <w:shd w:val="clear" w:color="auto" w:fill="FFFFFF"/>
            <w:vAlign w:val="center"/>
          </w:tcPr>
          <w:p w14:paraId="0A1C725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005B391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-.138</w:t>
            </w:r>
          </w:p>
        </w:tc>
        <w:tc>
          <w:tcPr>
            <w:tcW w:w="690" w:type="dxa"/>
            <w:tcBorders>
              <w:top w:val="nil"/>
              <w:left w:val="nil"/>
              <w:bottom w:val="nil"/>
              <w:right w:val="nil"/>
            </w:tcBorders>
            <w:shd w:val="clear" w:color="auto" w:fill="FFFFFF"/>
            <w:vAlign w:val="center"/>
          </w:tcPr>
          <w:p w14:paraId="46A9034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690" w:type="dxa"/>
            <w:tcBorders>
              <w:top w:val="nil"/>
              <w:left w:val="nil"/>
              <w:bottom w:val="nil"/>
              <w:right w:val="nil"/>
            </w:tcBorders>
            <w:shd w:val="clear" w:color="auto" w:fill="FFFFFF"/>
            <w:vAlign w:val="center"/>
          </w:tcPr>
          <w:p w14:paraId="5CEF031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.069</w:t>
            </w:r>
          </w:p>
        </w:tc>
        <w:tc>
          <w:tcPr>
            <w:tcW w:w="795" w:type="dxa"/>
            <w:tcBorders>
              <w:top w:val="nil"/>
              <w:left w:val="nil"/>
              <w:bottom w:val="nil"/>
              <w:right w:val="nil"/>
            </w:tcBorders>
            <w:shd w:val="clear" w:color="auto" w:fill="FFFFFF"/>
            <w:vAlign w:val="center"/>
          </w:tcPr>
          <w:p w14:paraId="5857A60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-.166</w:t>
            </w:r>
          </w:p>
        </w:tc>
      </w:tr>
      <w:tr w:rsidR="00D41ED0" w14:paraId="44A2D341"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1C66B400"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2B14354C"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ENVS7</w:t>
            </w:r>
          </w:p>
        </w:tc>
        <w:tc>
          <w:tcPr>
            <w:tcW w:w="555" w:type="dxa"/>
            <w:tcBorders>
              <w:top w:val="nil"/>
              <w:left w:val="nil"/>
              <w:bottom w:val="nil"/>
              <w:right w:val="nil"/>
            </w:tcBorders>
            <w:shd w:val="clear" w:color="auto" w:fill="FFFFFF"/>
            <w:vAlign w:val="center"/>
          </w:tcPr>
          <w:p w14:paraId="414D818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.062</w:t>
            </w:r>
          </w:p>
        </w:tc>
        <w:tc>
          <w:tcPr>
            <w:tcW w:w="690" w:type="dxa"/>
            <w:tcBorders>
              <w:top w:val="nil"/>
              <w:left w:val="nil"/>
              <w:bottom w:val="nil"/>
              <w:right w:val="nil"/>
            </w:tcBorders>
            <w:shd w:val="clear" w:color="auto" w:fill="FFFFFF"/>
            <w:vAlign w:val="center"/>
          </w:tcPr>
          <w:p w14:paraId="556EAE2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.326</w:t>
            </w:r>
          </w:p>
        </w:tc>
        <w:tc>
          <w:tcPr>
            <w:tcW w:w="690" w:type="dxa"/>
            <w:tcBorders>
              <w:top w:val="nil"/>
              <w:left w:val="nil"/>
              <w:bottom w:val="nil"/>
              <w:right w:val="nil"/>
            </w:tcBorders>
            <w:shd w:val="clear" w:color="auto" w:fill="FFFFFF"/>
            <w:vAlign w:val="center"/>
          </w:tcPr>
          <w:p w14:paraId="121BB1B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-.149</w:t>
            </w:r>
          </w:p>
        </w:tc>
        <w:tc>
          <w:tcPr>
            <w:tcW w:w="690" w:type="dxa"/>
            <w:tcBorders>
              <w:top w:val="nil"/>
              <w:left w:val="nil"/>
              <w:bottom w:val="nil"/>
              <w:right w:val="nil"/>
            </w:tcBorders>
            <w:shd w:val="clear" w:color="auto" w:fill="FFFFFF"/>
            <w:vAlign w:val="center"/>
          </w:tcPr>
          <w:p w14:paraId="4B7C642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-.272</w:t>
            </w:r>
          </w:p>
        </w:tc>
        <w:tc>
          <w:tcPr>
            <w:tcW w:w="690" w:type="dxa"/>
            <w:tcBorders>
              <w:top w:val="nil"/>
              <w:left w:val="nil"/>
              <w:bottom w:val="nil"/>
              <w:right w:val="nil"/>
            </w:tcBorders>
            <w:shd w:val="clear" w:color="auto" w:fill="FFFFFF"/>
            <w:vAlign w:val="center"/>
          </w:tcPr>
          <w:p w14:paraId="7E1B4DB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.658</w:t>
            </w:r>
          </w:p>
        </w:tc>
        <w:tc>
          <w:tcPr>
            <w:tcW w:w="690" w:type="dxa"/>
            <w:tcBorders>
              <w:top w:val="nil"/>
              <w:left w:val="nil"/>
              <w:bottom w:val="nil"/>
              <w:right w:val="nil"/>
            </w:tcBorders>
            <w:shd w:val="clear" w:color="auto" w:fill="FFFFFF"/>
            <w:vAlign w:val="center"/>
          </w:tcPr>
          <w:p w14:paraId="788130A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-.229</w:t>
            </w:r>
          </w:p>
        </w:tc>
        <w:tc>
          <w:tcPr>
            <w:tcW w:w="690" w:type="dxa"/>
            <w:tcBorders>
              <w:top w:val="nil"/>
              <w:left w:val="nil"/>
              <w:bottom w:val="nil"/>
              <w:right w:val="nil"/>
            </w:tcBorders>
            <w:shd w:val="clear" w:color="auto" w:fill="FFFFFF"/>
            <w:vAlign w:val="center"/>
          </w:tcPr>
          <w:p w14:paraId="0F3397E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-.138</w:t>
            </w:r>
          </w:p>
        </w:tc>
        <w:tc>
          <w:tcPr>
            <w:tcW w:w="690" w:type="dxa"/>
            <w:tcBorders>
              <w:top w:val="nil"/>
              <w:left w:val="nil"/>
              <w:bottom w:val="nil"/>
              <w:right w:val="nil"/>
            </w:tcBorders>
            <w:shd w:val="clear" w:color="auto" w:fill="FFFFFF"/>
            <w:vAlign w:val="center"/>
          </w:tcPr>
          <w:p w14:paraId="49569BA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1A9D6A3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-.281</w:t>
            </w:r>
          </w:p>
        </w:tc>
        <w:tc>
          <w:tcPr>
            <w:tcW w:w="690" w:type="dxa"/>
            <w:tcBorders>
              <w:top w:val="nil"/>
              <w:left w:val="nil"/>
              <w:bottom w:val="nil"/>
              <w:right w:val="nil"/>
            </w:tcBorders>
            <w:shd w:val="clear" w:color="auto" w:fill="FFFFFF"/>
            <w:vAlign w:val="center"/>
          </w:tcPr>
          <w:p w14:paraId="2400D46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.219</w:t>
            </w:r>
          </w:p>
        </w:tc>
        <w:tc>
          <w:tcPr>
            <w:tcW w:w="795" w:type="dxa"/>
            <w:tcBorders>
              <w:top w:val="nil"/>
              <w:left w:val="nil"/>
              <w:bottom w:val="nil"/>
              <w:right w:val="nil"/>
            </w:tcBorders>
            <w:shd w:val="clear" w:color="auto" w:fill="FFFFFF"/>
            <w:vAlign w:val="center"/>
          </w:tcPr>
          <w:p w14:paraId="4EE1B9D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.372</w:t>
            </w:r>
          </w:p>
        </w:tc>
      </w:tr>
      <w:tr w:rsidR="00D41ED0" w14:paraId="2E2507BF"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358F4B44"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54743B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ENVS8</w:t>
            </w:r>
          </w:p>
        </w:tc>
        <w:tc>
          <w:tcPr>
            <w:tcW w:w="555" w:type="dxa"/>
            <w:tcBorders>
              <w:top w:val="nil"/>
              <w:left w:val="nil"/>
              <w:bottom w:val="nil"/>
              <w:right w:val="nil"/>
            </w:tcBorders>
            <w:shd w:val="clear" w:color="auto" w:fill="FFFFFF"/>
            <w:vAlign w:val="center"/>
          </w:tcPr>
          <w:p w14:paraId="29FCF5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.535</w:t>
            </w:r>
          </w:p>
        </w:tc>
        <w:tc>
          <w:tcPr>
            <w:tcW w:w="690" w:type="dxa"/>
            <w:tcBorders>
              <w:top w:val="nil"/>
              <w:left w:val="nil"/>
              <w:bottom w:val="nil"/>
              <w:right w:val="nil"/>
            </w:tcBorders>
            <w:shd w:val="clear" w:color="auto" w:fill="FFFFFF"/>
            <w:vAlign w:val="center"/>
          </w:tcPr>
          <w:p w14:paraId="6859A68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.106</w:t>
            </w:r>
          </w:p>
        </w:tc>
        <w:tc>
          <w:tcPr>
            <w:tcW w:w="690" w:type="dxa"/>
            <w:tcBorders>
              <w:top w:val="nil"/>
              <w:left w:val="nil"/>
              <w:bottom w:val="nil"/>
              <w:right w:val="nil"/>
            </w:tcBorders>
            <w:shd w:val="clear" w:color="auto" w:fill="FFFFFF"/>
            <w:vAlign w:val="center"/>
          </w:tcPr>
          <w:p w14:paraId="5256D38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.535</w:t>
            </w:r>
          </w:p>
        </w:tc>
        <w:tc>
          <w:tcPr>
            <w:tcW w:w="690" w:type="dxa"/>
            <w:tcBorders>
              <w:top w:val="nil"/>
              <w:left w:val="nil"/>
              <w:bottom w:val="nil"/>
              <w:right w:val="nil"/>
            </w:tcBorders>
            <w:shd w:val="clear" w:color="auto" w:fill="FFFFFF"/>
            <w:vAlign w:val="center"/>
          </w:tcPr>
          <w:p w14:paraId="67FCA76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.596</w:t>
            </w:r>
          </w:p>
        </w:tc>
        <w:tc>
          <w:tcPr>
            <w:tcW w:w="690" w:type="dxa"/>
            <w:tcBorders>
              <w:top w:val="nil"/>
              <w:left w:val="nil"/>
              <w:bottom w:val="nil"/>
              <w:right w:val="nil"/>
            </w:tcBorders>
            <w:shd w:val="clear" w:color="auto" w:fill="FFFFFF"/>
            <w:vAlign w:val="center"/>
          </w:tcPr>
          <w:p w14:paraId="62AEBBF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-.237</w:t>
            </w:r>
          </w:p>
        </w:tc>
        <w:tc>
          <w:tcPr>
            <w:tcW w:w="690" w:type="dxa"/>
            <w:tcBorders>
              <w:top w:val="nil"/>
              <w:left w:val="nil"/>
              <w:bottom w:val="nil"/>
              <w:right w:val="nil"/>
            </w:tcBorders>
            <w:shd w:val="clear" w:color="auto" w:fill="FFFFFF"/>
            <w:vAlign w:val="center"/>
          </w:tcPr>
          <w:p w14:paraId="646E9AC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.414</w:t>
            </w:r>
          </w:p>
        </w:tc>
        <w:tc>
          <w:tcPr>
            <w:tcW w:w="690" w:type="dxa"/>
            <w:tcBorders>
              <w:top w:val="nil"/>
              <w:left w:val="nil"/>
              <w:bottom w:val="nil"/>
              <w:right w:val="nil"/>
            </w:tcBorders>
            <w:shd w:val="clear" w:color="auto" w:fill="FFFFFF"/>
            <w:vAlign w:val="center"/>
          </w:tcPr>
          <w:p w14:paraId="02346AC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690" w:type="dxa"/>
            <w:tcBorders>
              <w:top w:val="nil"/>
              <w:left w:val="nil"/>
              <w:bottom w:val="nil"/>
              <w:right w:val="nil"/>
            </w:tcBorders>
            <w:shd w:val="clear" w:color="auto" w:fill="FFFFFF"/>
            <w:vAlign w:val="center"/>
          </w:tcPr>
          <w:p w14:paraId="2FF2489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-.281</w:t>
            </w:r>
          </w:p>
        </w:tc>
        <w:tc>
          <w:tcPr>
            <w:tcW w:w="690" w:type="dxa"/>
            <w:tcBorders>
              <w:top w:val="nil"/>
              <w:left w:val="nil"/>
              <w:bottom w:val="nil"/>
              <w:right w:val="nil"/>
            </w:tcBorders>
            <w:shd w:val="clear" w:color="auto" w:fill="FFFFFF"/>
            <w:vAlign w:val="center"/>
          </w:tcPr>
          <w:p w14:paraId="7CD8787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690" w:type="dxa"/>
            <w:tcBorders>
              <w:top w:val="nil"/>
              <w:left w:val="nil"/>
              <w:bottom w:val="nil"/>
              <w:right w:val="nil"/>
            </w:tcBorders>
            <w:shd w:val="clear" w:color="auto" w:fill="FFFFFF"/>
            <w:vAlign w:val="center"/>
          </w:tcPr>
          <w:p w14:paraId="17925E6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-.044</w:t>
            </w:r>
          </w:p>
        </w:tc>
        <w:tc>
          <w:tcPr>
            <w:tcW w:w="795" w:type="dxa"/>
            <w:tcBorders>
              <w:top w:val="nil"/>
              <w:left w:val="nil"/>
              <w:bottom w:val="nil"/>
              <w:right w:val="nil"/>
            </w:tcBorders>
            <w:shd w:val="clear" w:color="auto" w:fill="FFFFFF"/>
            <w:vAlign w:val="center"/>
          </w:tcPr>
          <w:p w14:paraId="653B472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r>
      <w:tr w:rsidR="00D41ED0" w14:paraId="3B321934"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5DA6F1CB"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6896D68E"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ENVS9</w:t>
            </w:r>
          </w:p>
        </w:tc>
        <w:tc>
          <w:tcPr>
            <w:tcW w:w="555" w:type="dxa"/>
            <w:tcBorders>
              <w:top w:val="nil"/>
              <w:left w:val="nil"/>
              <w:bottom w:val="nil"/>
              <w:right w:val="nil"/>
            </w:tcBorders>
            <w:shd w:val="clear" w:color="auto" w:fill="FFFFFF"/>
            <w:vAlign w:val="center"/>
          </w:tcPr>
          <w:p w14:paraId="7DB1EF4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.132</w:t>
            </w:r>
          </w:p>
        </w:tc>
        <w:tc>
          <w:tcPr>
            <w:tcW w:w="690" w:type="dxa"/>
            <w:tcBorders>
              <w:top w:val="nil"/>
              <w:left w:val="nil"/>
              <w:bottom w:val="nil"/>
              <w:right w:val="nil"/>
            </w:tcBorders>
            <w:shd w:val="clear" w:color="auto" w:fill="FFFFFF"/>
            <w:vAlign w:val="center"/>
          </w:tcPr>
          <w:p w14:paraId="2E368ED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.220</w:t>
            </w:r>
          </w:p>
        </w:tc>
        <w:tc>
          <w:tcPr>
            <w:tcW w:w="690" w:type="dxa"/>
            <w:tcBorders>
              <w:top w:val="nil"/>
              <w:left w:val="nil"/>
              <w:bottom w:val="nil"/>
              <w:right w:val="nil"/>
            </w:tcBorders>
            <w:shd w:val="clear" w:color="auto" w:fill="FFFFFF"/>
            <w:vAlign w:val="center"/>
          </w:tcPr>
          <w:p w14:paraId="7E13236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.132</w:t>
            </w:r>
          </w:p>
        </w:tc>
        <w:tc>
          <w:tcPr>
            <w:tcW w:w="690" w:type="dxa"/>
            <w:tcBorders>
              <w:top w:val="nil"/>
              <w:left w:val="nil"/>
              <w:bottom w:val="nil"/>
              <w:right w:val="nil"/>
            </w:tcBorders>
            <w:shd w:val="clear" w:color="auto" w:fill="FFFFFF"/>
            <w:vAlign w:val="center"/>
          </w:tcPr>
          <w:p w14:paraId="3F42EB7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.070</w:t>
            </w:r>
          </w:p>
        </w:tc>
        <w:tc>
          <w:tcPr>
            <w:tcW w:w="690" w:type="dxa"/>
            <w:tcBorders>
              <w:top w:val="nil"/>
              <w:left w:val="nil"/>
              <w:bottom w:val="nil"/>
              <w:right w:val="nil"/>
            </w:tcBorders>
            <w:shd w:val="clear" w:color="auto" w:fill="FFFFFF"/>
            <w:vAlign w:val="center"/>
          </w:tcPr>
          <w:p w14:paraId="054FBFD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.158</w:t>
            </w:r>
          </w:p>
        </w:tc>
        <w:tc>
          <w:tcPr>
            <w:tcW w:w="690" w:type="dxa"/>
            <w:tcBorders>
              <w:top w:val="nil"/>
              <w:left w:val="nil"/>
              <w:bottom w:val="nil"/>
              <w:right w:val="nil"/>
            </w:tcBorders>
            <w:shd w:val="clear" w:color="auto" w:fill="FFFFFF"/>
            <w:vAlign w:val="center"/>
          </w:tcPr>
          <w:p w14:paraId="5F7FA13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-.123</w:t>
            </w:r>
          </w:p>
        </w:tc>
        <w:tc>
          <w:tcPr>
            <w:tcW w:w="690" w:type="dxa"/>
            <w:tcBorders>
              <w:top w:val="nil"/>
              <w:left w:val="nil"/>
              <w:bottom w:val="nil"/>
              <w:right w:val="nil"/>
            </w:tcBorders>
            <w:shd w:val="clear" w:color="auto" w:fill="FFFFFF"/>
            <w:vAlign w:val="center"/>
          </w:tcPr>
          <w:p w14:paraId="3E590D2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.069</w:t>
            </w:r>
          </w:p>
        </w:tc>
        <w:tc>
          <w:tcPr>
            <w:tcW w:w="690" w:type="dxa"/>
            <w:tcBorders>
              <w:top w:val="nil"/>
              <w:left w:val="nil"/>
              <w:bottom w:val="nil"/>
              <w:right w:val="nil"/>
            </w:tcBorders>
            <w:shd w:val="clear" w:color="auto" w:fill="FFFFFF"/>
            <w:vAlign w:val="center"/>
          </w:tcPr>
          <w:p w14:paraId="795A7E4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.219</w:t>
            </w:r>
          </w:p>
        </w:tc>
        <w:tc>
          <w:tcPr>
            <w:tcW w:w="690" w:type="dxa"/>
            <w:tcBorders>
              <w:top w:val="nil"/>
              <w:left w:val="nil"/>
              <w:bottom w:val="nil"/>
              <w:right w:val="nil"/>
            </w:tcBorders>
            <w:shd w:val="clear" w:color="auto" w:fill="FFFFFF"/>
            <w:vAlign w:val="center"/>
          </w:tcPr>
          <w:p w14:paraId="1FAABC2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-.044</w:t>
            </w:r>
          </w:p>
        </w:tc>
        <w:tc>
          <w:tcPr>
            <w:tcW w:w="690" w:type="dxa"/>
            <w:tcBorders>
              <w:top w:val="nil"/>
              <w:left w:val="nil"/>
              <w:bottom w:val="nil"/>
              <w:right w:val="nil"/>
            </w:tcBorders>
            <w:shd w:val="clear" w:color="auto" w:fill="FFFFFF"/>
            <w:vAlign w:val="center"/>
          </w:tcPr>
          <w:p w14:paraId="7401596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c>
          <w:tcPr>
            <w:tcW w:w="795" w:type="dxa"/>
            <w:tcBorders>
              <w:top w:val="nil"/>
              <w:left w:val="nil"/>
              <w:bottom w:val="nil"/>
              <w:right w:val="nil"/>
            </w:tcBorders>
            <w:shd w:val="clear" w:color="auto" w:fill="FFFFFF"/>
            <w:vAlign w:val="center"/>
          </w:tcPr>
          <w:p w14:paraId="72D0469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.363</w:t>
            </w:r>
          </w:p>
        </w:tc>
      </w:tr>
      <w:tr w:rsidR="00D41ED0" w14:paraId="64DE38DC" w14:textId="77777777">
        <w:trPr>
          <w:cantSplit/>
          <w:trHeight w:val="131"/>
        </w:trPr>
        <w:tc>
          <w:tcPr>
            <w:tcW w:w="960" w:type="dxa"/>
            <w:vMerge/>
            <w:tcBorders>
              <w:top w:val="single" w:sz="12" w:space="0" w:color="000000"/>
              <w:left w:val="single" w:sz="12" w:space="0" w:color="000000"/>
              <w:bottom w:val="nil"/>
              <w:right w:val="single" w:sz="12" w:space="0" w:color="000000"/>
            </w:tcBorders>
            <w:shd w:val="clear" w:color="auto" w:fill="FFFFFF"/>
            <w:vAlign w:val="center"/>
          </w:tcPr>
          <w:p w14:paraId="0BFDB8D6"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1FA88E29"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ENVS10</w:t>
            </w:r>
          </w:p>
        </w:tc>
        <w:tc>
          <w:tcPr>
            <w:tcW w:w="555" w:type="dxa"/>
            <w:tcBorders>
              <w:top w:val="nil"/>
              <w:left w:val="nil"/>
              <w:bottom w:val="nil"/>
              <w:right w:val="nil"/>
            </w:tcBorders>
            <w:shd w:val="clear" w:color="auto" w:fill="FFFFFF"/>
            <w:vAlign w:val="center"/>
          </w:tcPr>
          <w:p w14:paraId="2062790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-.035</w:t>
            </w:r>
          </w:p>
        </w:tc>
        <w:tc>
          <w:tcPr>
            <w:tcW w:w="690" w:type="dxa"/>
            <w:tcBorders>
              <w:top w:val="nil"/>
              <w:left w:val="nil"/>
              <w:bottom w:val="nil"/>
              <w:right w:val="nil"/>
            </w:tcBorders>
            <w:shd w:val="clear" w:color="auto" w:fill="FFFFFF"/>
            <w:vAlign w:val="center"/>
          </w:tcPr>
          <w:p w14:paraId="7CC931D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.480</w:t>
            </w:r>
          </w:p>
        </w:tc>
        <w:tc>
          <w:tcPr>
            <w:tcW w:w="690" w:type="dxa"/>
            <w:tcBorders>
              <w:top w:val="nil"/>
              <w:left w:val="nil"/>
              <w:bottom w:val="nil"/>
              <w:right w:val="nil"/>
            </w:tcBorders>
            <w:shd w:val="clear" w:color="auto" w:fill="FFFFFF"/>
            <w:vAlign w:val="center"/>
          </w:tcPr>
          <w:p w14:paraId="4D8914F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-.133</w:t>
            </w:r>
          </w:p>
        </w:tc>
        <w:tc>
          <w:tcPr>
            <w:tcW w:w="690" w:type="dxa"/>
            <w:tcBorders>
              <w:top w:val="nil"/>
              <w:left w:val="nil"/>
              <w:bottom w:val="nil"/>
              <w:right w:val="nil"/>
            </w:tcBorders>
            <w:shd w:val="clear" w:color="auto" w:fill="FFFFFF"/>
            <w:vAlign w:val="center"/>
          </w:tcPr>
          <w:p w14:paraId="1EF5185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-.248</w:t>
            </w:r>
          </w:p>
        </w:tc>
        <w:tc>
          <w:tcPr>
            <w:tcW w:w="690" w:type="dxa"/>
            <w:tcBorders>
              <w:top w:val="nil"/>
              <w:left w:val="nil"/>
              <w:bottom w:val="nil"/>
              <w:right w:val="nil"/>
            </w:tcBorders>
            <w:shd w:val="clear" w:color="auto" w:fill="FFFFFF"/>
            <w:vAlign w:val="center"/>
          </w:tcPr>
          <w:p w14:paraId="3BB2F98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.443</w:t>
            </w:r>
          </w:p>
        </w:tc>
        <w:tc>
          <w:tcPr>
            <w:tcW w:w="690" w:type="dxa"/>
            <w:tcBorders>
              <w:top w:val="nil"/>
              <w:left w:val="nil"/>
              <w:bottom w:val="nil"/>
              <w:right w:val="nil"/>
            </w:tcBorders>
            <w:shd w:val="clear" w:color="auto" w:fill="FFFFFF"/>
            <w:vAlign w:val="center"/>
          </w:tcPr>
          <w:p w14:paraId="5C1B6D8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-.293</w:t>
            </w:r>
          </w:p>
        </w:tc>
        <w:tc>
          <w:tcPr>
            <w:tcW w:w="690" w:type="dxa"/>
            <w:tcBorders>
              <w:top w:val="nil"/>
              <w:left w:val="nil"/>
              <w:bottom w:val="nil"/>
              <w:right w:val="nil"/>
            </w:tcBorders>
            <w:shd w:val="clear" w:color="auto" w:fill="FFFFFF"/>
            <w:vAlign w:val="center"/>
          </w:tcPr>
          <w:p w14:paraId="2346E5A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-.166</w:t>
            </w:r>
          </w:p>
        </w:tc>
        <w:tc>
          <w:tcPr>
            <w:tcW w:w="690" w:type="dxa"/>
            <w:tcBorders>
              <w:top w:val="nil"/>
              <w:left w:val="nil"/>
              <w:bottom w:val="nil"/>
              <w:right w:val="nil"/>
            </w:tcBorders>
            <w:shd w:val="clear" w:color="auto" w:fill="FFFFFF"/>
            <w:vAlign w:val="center"/>
          </w:tcPr>
          <w:p w14:paraId="71E54EA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.372</w:t>
            </w:r>
          </w:p>
        </w:tc>
        <w:tc>
          <w:tcPr>
            <w:tcW w:w="690" w:type="dxa"/>
            <w:tcBorders>
              <w:top w:val="nil"/>
              <w:left w:val="nil"/>
              <w:bottom w:val="nil"/>
              <w:right w:val="nil"/>
            </w:tcBorders>
            <w:shd w:val="clear" w:color="auto" w:fill="FFFFFF"/>
            <w:vAlign w:val="center"/>
          </w:tcPr>
          <w:p w14:paraId="0507105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690" w:type="dxa"/>
            <w:tcBorders>
              <w:top w:val="nil"/>
              <w:left w:val="nil"/>
              <w:bottom w:val="nil"/>
              <w:right w:val="nil"/>
            </w:tcBorders>
            <w:shd w:val="clear" w:color="auto" w:fill="FFFFFF"/>
            <w:vAlign w:val="center"/>
          </w:tcPr>
          <w:p w14:paraId="7B0BCCD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.363</w:t>
            </w:r>
          </w:p>
        </w:tc>
        <w:tc>
          <w:tcPr>
            <w:tcW w:w="795" w:type="dxa"/>
            <w:tcBorders>
              <w:top w:val="nil"/>
              <w:left w:val="nil"/>
              <w:bottom w:val="nil"/>
              <w:right w:val="nil"/>
            </w:tcBorders>
            <w:shd w:val="clear" w:color="auto" w:fill="FFFFFF"/>
            <w:vAlign w:val="center"/>
          </w:tcPr>
          <w:p w14:paraId="0EBF885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1.000</w:t>
            </w:r>
          </w:p>
        </w:tc>
      </w:tr>
      <w:tr w:rsidR="00D41ED0" w14:paraId="680D351F" w14:textId="77777777">
        <w:trPr>
          <w:cantSplit/>
          <w:trHeight w:val="307"/>
        </w:trPr>
        <w:tc>
          <w:tcPr>
            <w:tcW w:w="960" w:type="dxa"/>
            <w:vMerge w:val="restart"/>
            <w:tcBorders>
              <w:top w:val="nil"/>
              <w:left w:val="single" w:sz="12" w:space="0" w:color="000000"/>
              <w:bottom w:val="nil"/>
              <w:right w:val="single" w:sz="12" w:space="0" w:color="000000"/>
            </w:tcBorders>
            <w:shd w:val="clear" w:color="auto" w:fill="FFFFFF"/>
            <w:vAlign w:val="center"/>
          </w:tcPr>
          <w:p w14:paraId="3C384629"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Sig. (1-tailed)</w:t>
            </w:r>
          </w:p>
        </w:tc>
        <w:tc>
          <w:tcPr>
            <w:tcW w:w="825" w:type="dxa"/>
            <w:tcBorders>
              <w:top w:val="nil"/>
              <w:left w:val="single" w:sz="12" w:space="0" w:color="000000"/>
              <w:bottom w:val="nil"/>
              <w:right w:val="nil"/>
            </w:tcBorders>
            <w:shd w:val="clear" w:color="auto" w:fill="FFFFFF"/>
            <w:vAlign w:val="center"/>
          </w:tcPr>
          <w:p w14:paraId="55E85E7F"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w:t>
            </w:r>
          </w:p>
        </w:tc>
        <w:tc>
          <w:tcPr>
            <w:tcW w:w="555" w:type="dxa"/>
            <w:tcBorders>
              <w:top w:val="nil"/>
              <w:left w:val="nil"/>
              <w:bottom w:val="nil"/>
              <w:right w:val="nil"/>
            </w:tcBorders>
            <w:shd w:val="clear" w:color="auto" w:fill="FFFFFF"/>
            <w:vAlign w:val="center"/>
          </w:tcPr>
          <w:p w14:paraId="4E7E128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559A21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14FAB4C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0F4E01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D4506D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.410</w:t>
            </w:r>
          </w:p>
        </w:tc>
        <w:tc>
          <w:tcPr>
            <w:tcW w:w="690" w:type="dxa"/>
            <w:tcBorders>
              <w:top w:val="nil"/>
              <w:left w:val="nil"/>
              <w:bottom w:val="nil"/>
              <w:right w:val="nil"/>
            </w:tcBorders>
            <w:shd w:val="clear" w:color="auto" w:fill="FFFFFF"/>
            <w:vAlign w:val="center"/>
          </w:tcPr>
          <w:p w14:paraId="5C23C9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3ECC58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.369</w:t>
            </w:r>
          </w:p>
        </w:tc>
        <w:tc>
          <w:tcPr>
            <w:tcW w:w="690" w:type="dxa"/>
            <w:tcBorders>
              <w:top w:val="nil"/>
              <w:left w:val="nil"/>
              <w:bottom w:val="nil"/>
              <w:right w:val="nil"/>
            </w:tcBorders>
            <w:shd w:val="clear" w:color="auto" w:fill="FFFFFF"/>
            <w:vAlign w:val="center"/>
          </w:tcPr>
          <w:p w14:paraId="0D6218F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.212</w:t>
            </w:r>
          </w:p>
        </w:tc>
        <w:tc>
          <w:tcPr>
            <w:tcW w:w="690" w:type="dxa"/>
            <w:tcBorders>
              <w:top w:val="nil"/>
              <w:left w:val="nil"/>
              <w:bottom w:val="nil"/>
              <w:right w:val="nil"/>
            </w:tcBorders>
            <w:shd w:val="clear" w:color="auto" w:fill="FFFFFF"/>
            <w:vAlign w:val="center"/>
          </w:tcPr>
          <w:p w14:paraId="0763B40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16FE98F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795" w:type="dxa"/>
            <w:tcBorders>
              <w:top w:val="nil"/>
              <w:left w:val="nil"/>
              <w:bottom w:val="nil"/>
              <w:right w:val="nil"/>
            </w:tcBorders>
            <w:shd w:val="clear" w:color="auto" w:fill="FFFFFF"/>
            <w:vAlign w:val="center"/>
          </w:tcPr>
          <w:p w14:paraId="403FBB9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.324</w:t>
            </w:r>
          </w:p>
        </w:tc>
      </w:tr>
      <w:tr w:rsidR="00D41ED0" w14:paraId="1F9A8213"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5DBBE437"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0C2EF8C9"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w:t>
            </w:r>
          </w:p>
        </w:tc>
        <w:tc>
          <w:tcPr>
            <w:tcW w:w="555" w:type="dxa"/>
            <w:tcBorders>
              <w:top w:val="nil"/>
              <w:left w:val="nil"/>
              <w:bottom w:val="nil"/>
              <w:right w:val="nil"/>
            </w:tcBorders>
            <w:shd w:val="clear" w:color="auto" w:fill="FFFFFF"/>
            <w:vAlign w:val="center"/>
          </w:tcPr>
          <w:p w14:paraId="010AF29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1C094DD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2BFC19C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690" w:type="dxa"/>
            <w:tcBorders>
              <w:top w:val="nil"/>
              <w:left w:val="nil"/>
              <w:bottom w:val="nil"/>
              <w:right w:val="nil"/>
            </w:tcBorders>
            <w:shd w:val="clear" w:color="auto" w:fill="FFFFFF"/>
            <w:vAlign w:val="center"/>
          </w:tcPr>
          <w:p w14:paraId="0175E97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.084</w:t>
            </w:r>
          </w:p>
        </w:tc>
        <w:tc>
          <w:tcPr>
            <w:tcW w:w="690" w:type="dxa"/>
            <w:tcBorders>
              <w:top w:val="nil"/>
              <w:left w:val="nil"/>
              <w:bottom w:val="nil"/>
              <w:right w:val="nil"/>
            </w:tcBorders>
            <w:shd w:val="clear" w:color="auto" w:fill="FFFFFF"/>
            <w:vAlign w:val="center"/>
          </w:tcPr>
          <w:p w14:paraId="238AF16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245B08B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.032</w:t>
            </w:r>
          </w:p>
        </w:tc>
        <w:tc>
          <w:tcPr>
            <w:tcW w:w="690" w:type="dxa"/>
            <w:tcBorders>
              <w:top w:val="nil"/>
              <w:left w:val="nil"/>
              <w:bottom w:val="nil"/>
              <w:right w:val="nil"/>
            </w:tcBorders>
            <w:shd w:val="clear" w:color="auto" w:fill="FFFFFF"/>
            <w:vAlign w:val="center"/>
          </w:tcPr>
          <w:p w14:paraId="536951F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.016</w:t>
            </w:r>
          </w:p>
        </w:tc>
        <w:tc>
          <w:tcPr>
            <w:tcW w:w="690" w:type="dxa"/>
            <w:tcBorders>
              <w:top w:val="nil"/>
              <w:left w:val="nil"/>
              <w:bottom w:val="nil"/>
              <w:right w:val="nil"/>
            </w:tcBorders>
            <w:shd w:val="clear" w:color="auto" w:fill="FFFFFF"/>
            <w:vAlign w:val="center"/>
          </w:tcPr>
          <w:p w14:paraId="0A79EDD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02A4F4D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.084</w:t>
            </w:r>
          </w:p>
        </w:tc>
        <w:tc>
          <w:tcPr>
            <w:tcW w:w="690" w:type="dxa"/>
            <w:tcBorders>
              <w:top w:val="nil"/>
              <w:left w:val="nil"/>
              <w:bottom w:val="nil"/>
              <w:right w:val="nil"/>
            </w:tcBorders>
            <w:shd w:val="clear" w:color="auto" w:fill="FFFFFF"/>
            <w:vAlign w:val="center"/>
          </w:tcPr>
          <w:p w14:paraId="0D50CED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795" w:type="dxa"/>
            <w:tcBorders>
              <w:top w:val="nil"/>
              <w:left w:val="nil"/>
              <w:bottom w:val="nil"/>
              <w:right w:val="nil"/>
            </w:tcBorders>
            <w:shd w:val="clear" w:color="auto" w:fill="FFFFFF"/>
            <w:vAlign w:val="center"/>
          </w:tcPr>
          <w:p w14:paraId="701CE56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r>
      <w:tr w:rsidR="00D41ED0" w14:paraId="076D3864"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057CC46F"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1E888C46"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ENVS2</w:t>
            </w:r>
          </w:p>
        </w:tc>
        <w:tc>
          <w:tcPr>
            <w:tcW w:w="555" w:type="dxa"/>
            <w:tcBorders>
              <w:top w:val="nil"/>
              <w:left w:val="nil"/>
              <w:bottom w:val="nil"/>
              <w:right w:val="nil"/>
            </w:tcBorders>
            <w:shd w:val="clear" w:color="auto" w:fill="FFFFFF"/>
            <w:vAlign w:val="center"/>
          </w:tcPr>
          <w:p w14:paraId="777A2AE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24CBBE3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690" w:type="dxa"/>
            <w:tcBorders>
              <w:top w:val="nil"/>
              <w:left w:val="nil"/>
              <w:bottom w:val="nil"/>
              <w:right w:val="nil"/>
            </w:tcBorders>
            <w:shd w:val="clear" w:color="auto" w:fill="FFFFFF"/>
            <w:vAlign w:val="center"/>
          </w:tcPr>
          <w:p w14:paraId="374D6B7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301FCCF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4F07877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EE572C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370B76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690" w:type="dxa"/>
            <w:tcBorders>
              <w:top w:val="nil"/>
              <w:left w:val="nil"/>
              <w:bottom w:val="nil"/>
              <w:right w:val="nil"/>
            </w:tcBorders>
            <w:shd w:val="clear" w:color="auto" w:fill="FFFFFF"/>
            <w:vAlign w:val="center"/>
          </w:tcPr>
          <w:p w14:paraId="46398B9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.026</w:t>
            </w:r>
          </w:p>
        </w:tc>
        <w:tc>
          <w:tcPr>
            <w:tcW w:w="690" w:type="dxa"/>
            <w:tcBorders>
              <w:top w:val="nil"/>
              <w:left w:val="nil"/>
              <w:bottom w:val="nil"/>
              <w:right w:val="nil"/>
            </w:tcBorders>
            <w:shd w:val="clear" w:color="auto" w:fill="FFFFFF"/>
            <w:vAlign w:val="center"/>
          </w:tcPr>
          <w:p w14:paraId="28AC11B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C3083B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795" w:type="dxa"/>
            <w:tcBorders>
              <w:top w:val="nil"/>
              <w:left w:val="nil"/>
              <w:bottom w:val="nil"/>
              <w:right w:val="nil"/>
            </w:tcBorders>
            <w:shd w:val="clear" w:color="auto" w:fill="FFFFFF"/>
            <w:vAlign w:val="center"/>
          </w:tcPr>
          <w:p w14:paraId="1C3A662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.042</w:t>
            </w:r>
          </w:p>
        </w:tc>
      </w:tr>
      <w:tr w:rsidR="00D41ED0" w14:paraId="23454DBD"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0419087B"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F671A58"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ENVS3</w:t>
            </w:r>
          </w:p>
        </w:tc>
        <w:tc>
          <w:tcPr>
            <w:tcW w:w="555" w:type="dxa"/>
            <w:tcBorders>
              <w:top w:val="nil"/>
              <w:left w:val="nil"/>
              <w:bottom w:val="nil"/>
              <w:right w:val="nil"/>
            </w:tcBorders>
            <w:shd w:val="clear" w:color="auto" w:fill="FFFFFF"/>
            <w:vAlign w:val="center"/>
          </w:tcPr>
          <w:p w14:paraId="416A7CA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2D3C247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.084</w:t>
            </w:r>
          </w:p>
        </w:tc>
        <w:tc>
          <w:tcPr>
            <w:tcW w:w="690" w:type="dxa"/>
            <w:tcBorders>
              <w:top w:val="nil"/>
              <w:left w:val="nil"/>
              <w:bottom w:val="nil"/>
              <w:right w:val="nil"/>
            </w:tcBorders>
            <w:shd w:val="clear" w:color="auto" w:fill="FFFFFF"/>
            <w:vAlign w:val="center"/>
          </w:tcPr>
          <w:p w14:paraId="774F223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31DFD0E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725CECD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1F6577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1286FB3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.131</w:t>
            </w:r>
          </w:p>
        </w:tc>
        <w:tc>
          <w:tcPr>
            <w:tcW w:w="690" w:type="dxa"/>
            <w:tcBorders>
              <w:top w:val="nil"/>
              <w:left w:val="nil"/>
              <w:bottom w:val="nil"/>
              <w:right w:val="nil"/>
            </w:tcBorders>
            <w:shd w:val="clear" w:color="auto" w:fill="FFFFFF"/>
            <w:vAlign w:val="center"/>
          </w:tcPr>
          <w:p w14:paraId="5F5FB48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59EB46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47BC72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.181</w:t>
            </w:r>
          </w:p>
        </w:tc>
        <w:tc>
          <w:tcPr>
            <w:tcW w:w="795" w:type="dxa"/>
            <w:tcBorders>
              <w:top w:val="nil"/>
              <w:left w:val="nil"/>
              <w:bottom w:val="nil"/>
              <w:right w:val="nil"/>
            </w:tcBorders>
            <w:shd w:val="clear" w:color="auto" w:fill="FFFFFF"/>
            <w:vAlign w:val="center"/>
          </w:tcPr>
          <w:p w14:paraId="7B9521F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r>
      <w:tr w:rsidR="00D41ED0" w14:paraId="3EB291A2"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34C3FDF0"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DF1B574"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ENVS4</w:t>
            </w:r>
          </w:p>
        </w:tc>
        <w:tc>
          <w:tcPr>
            <w:tcW w:w="555" w:type="dxa"/>
            <w:tcBorders>
              <w:top w:val="nil"/>
              <w:left w:val="nil"/>
              <w:bottom w:val="nil"/>
              <w:right w:val="nil"/>
            </w:tcBorders>
            <w:shd w:val="clear" w:color="auto" w:fill="FFFFFF"/>
            <w:vAlign w:val="center"/>
          </w:tcPr>
          <w:p w14:paraId="1CCB181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.410</w:t>
            </w:r>
          </w:p>
        </w:tc>
        <w:tc>
          <w:tcPr>
            <w:tcW w:w="690" w:type="dxa"/>
            <w:tcBorders>
              <w:top w:val="nil"/>
              <w:left w:val="nil"/>
              <w:bottom w:val="nil"/>
              <w:right w:val="nil"/>
            </w:tcBorders>
            <w:shd w:val="clear" w:color="auto" w:fill="FFFFFF"/>
            <w:vAlign w:val="center"/>
          </w:tcPr>
          <w:p w14:paraId="36688C0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3D1395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C92ADE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5226603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2545199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6F3448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690" w:type="dxa"/>
            <w:tcBorders>
              <w:top w:val="nil"/>
              <w:left w:val="nil"/>
              <w:bottom w:val="nil"/>
              <w:right w:val="nil"/>
            </w:tcBorders>
            <w:shd w:val="clear" w:color="auto" w:fill="FFFFFF"/>
            <w:vAlign w:val="center"/>
          </w:tcPr>
          <w:p w14:paraId="1D99530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1E13E94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7CE9DEB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.020</w:t>
            </w:r>
          </w:p>
        </w:tc>
        <w:tc>
          <w:tcPr>
            <w:tcW w:w="795" w:type="dxa"/>
            <w:tcBorders>
              <w:top w:val="nil"/>
              <w:left w:val="nil"/>
              <w:bottom w:val="nil"/>
              <w:right w:val="nil"/>
            </w:tcBorders>
            <w:shd w:val="clear" w:color="auto" w:fill="FFFFFF"/>
            <w:vAlign w:val="center"/>
          </w:tcPr>
          <w:p w14:paraId="33116DE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r>
      <w:tr w:rsidR="00D41ED0" w14:paraId="726A07E7"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6389D5B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39D8632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ENVS5</w:t>
            </w:r>
          </w:p>
        </w:tc>
        <w:tc>
          <w:tcPr>
            <w:tcW w:w="555" w:type="dxa"/>
            <w:tcBorders>
              <w:top w:val="nil"/>
              <w:left w:val="nil"/>
              <w:bottom w:val="nil"/>
              <w:right w:val="nil"/>
            </w:tcBorders>
            <w:shd w:val="clear" w:color="auto" w:fill="FFFFFF"/>
            <w:vAlign w:val="center"/>
          </w:tcPr>
          <w:p w14:paraId="3D5FFC2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26590DC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.032</w:t>
            </w:r>
          </w:p>
        </w:tc>
        <w:tc>
          <w:tcPr>
            <w:tcW w:w="690" w:type="dxa"/>
            <w:tcBorders>
              <w:top w:val="nil"/>
              <w:left w:val="nil"/>
              <w:bottom w:val="nil"/>
              <w:right w:val="nil"/>
            </w:tcBorders>
            <w:shd w:val="clear" w:color="auto" w:fill="FFFFFF"/>
            <w:vAlign w:val="center"/>
          </w:tcPr>
          <w:p w14:paraId="417177A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390954D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36093F0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1BC4F2B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6D9F851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.215</w:t>
            </w:r>
          </w:p>
        </w:tc>
        <w:tc>
          <w:tcPr>
            <w:tcW w:w="690" w:type="dxa"/>
            <w:tcBorders>
              <w:top w:val="nil"/>
              <w:left w:val="nil"/>
              <w:bottom w:val="nil"/>
              <w:right w:val="nil"/>
            </w:tcBorders>
            <w:shd w:val="clear" w:color="auto" w:fill="FFFFFF"/>
            <w:vAlign w:val="center"/>
          </w:tcPr>
          <w:p w14:paraId="1BC252F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08F5DF2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5B7F3DC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.054</w:t>
            </w:r>
          </w:p>
        </w:tc>
        <w:tc>
          <w:tcPr>
            <w:tcW w:w="795" w:type="dxa"/>
            <w:tcBorders>
              <w:top w:val="nil"/>
              <w:left w:val="nil"/>
              <w:bottom w:val="nil"/>
              <w:right w:val="nil"/>
            </w:tcBorders>
            <w:shd w:val="clear" w:color="auto" w:fill="FFFFFF"/>
            <w:vAlign w:val="center"/>
          </w:tcPr>
          <w:p w14:paraId="3B70D36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r>
      <w:tr w:rsidR="00D41ED0" w14:paraId="4269D0DD"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68BE16B0"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5F793BD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ENVS6</w:t>
            </w:r>
          </w:p>
        </w:tc>
        <w:tc>
          <w:tcPr>
            <w:tcW w:w="555" w:type="dxa"/>
            <w:tcBorders>
              <w:top w:val="nil"/>
              <w:left w:val="nil"/>
              <w:bottom w:val="nil"/>
              <w:right w:val="nil"/>
            </w:tcBorders>
            <w:shd w:val="clear" w:color="auto" w:fill="FFFFFF"/>
            <w:vAlign w:val="center"/>
          </w:tcPr>
          <w:p w14:paraId="48F8D7F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.369</w:t>
            </w:r>
          </w:p>
        </w:tc>
        <w:tc>
          <w:tcPr>
            <w:tcW w:w="690" w:type="dxa"/>
            <w:tcBorders>
              <w:top w:val="nil"/>
              <w:left w:val="nil"/>
              <w:bottom w:val="nil"/>
              <w:right w:val="nil"/>
            </w:tcBorders>
            <w:shd w:val="clear" w:color="auto" w:fill="FFFFFF"/>
            <w:vAlign w:val="center"/>
          </w:tcPr>
          <w:p w14:paraId="0D82993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.016</w:t>
            </w:r>
          </w:p>
        </w:tc>
        <w:tc>
          <w:tcPr>
            <w:tcW w:w="690" w:type="dxa"/>
            <w:tcBorders>
              <w:top w:val="nil"/>
              <w:left w:val="nil"/>
              <w:bottom w:val="nil"/>
              <w:right w:val="nil"/>
            </w:tcBorders>
            <w:shd w:val="clear" w:color="auto" w:fill="FFFFFF"/>
            <w:vAlign w:val="center"/>
          </w:tcPr>
          <w:p w14:paraId="663CB56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690" w:type="dxa"/>
            <w:tcBorders>
              <w:top w:val="nil"/>
              <w:left w:val="nil"/>
              <w:bottom w:val="nil"/>
              <w:right w:val="nil"/>
            </w:tcBorders>
            <w:shd w:val="clear" w:color="auto" w:fill="FFFFFF"/>
            <w:vAlign w:val="center"/>
          </w:tcPr>
          <w:p w14:paraId="4209571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.131</w:t>
            </w:r>
          </w:p>
        </w:tc>
        <w:tc>
          <w:tcPr>
            <w:tcW w:w="690" w:type="dxa"/>
            <w:tcBorders>
              <w:top w:val="nil"/>
              <w:left w:val="nil"/>
              <w:bottom w:val="nil"/>
              <w:right w:val="nil"/>
            </w:tcBorders>
            <w:shd w:val="clear" w:color="auto" w:fill="FFFFFF"/>
            <w:vAlign w:val="center"/>
          </w:tcPr>
          <w:p w14:paraId="7B5ED92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690" w:type="dxa"/>
            <w:tcBorders>
              <w:top w:val="nil"/>
              <w:left w:val="nil"/>
              <w:bottom w:val="nil"/>
              <w:right w:val="nil"/>
            </w:tcBorders>
            <w:shd w:val="clear" w:color="auto" w:fill="FFFFFF"/>
            <w:vAlign w:val="center"/>
          </w:tcPr>
          <w:p w14:paraId="00BEB30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.215</w:t>
            </w:r>
          </w:p>
        </w:tc>
        <w:tc>
          <w:tcPr>
            <w:tcW w:w="690" w:type="dxa"/>
            <w:tcBorders>
              <w:top w:val="nil"/>
              <w:left w:val="nil"/>
              <w:bottom w:val="nil"/>
              <w:right w:val="nil"/>
            </w:tcBorders>
            <w:shd w:val="clear" w:color="auto" w:fill="FFFFFF"/>
            <w:vAlign w:val="center"/>
          </w:tcPr>
          <w:p w14:paraId="2EE6A3A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6121198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.036</w:t>
            </w:r>
          </w:p>
        </w:tc>
        <w:tc>
          <w:tcPr>
            <w:tcW w:w="690" w:type="dxa"/>
            <w:tcBorders>
              <w:top w:val="nil"/>
              <w:left w:val="nil"/>
              <w:bottom w:val="nil"/>
              <w:right w:val="nil"/>
            </w:tcBorders>
            <w:shd w:val="clear" w:color="auto" w:fill="FFFFFF"/>
            <w:vAlign w:val="center"/>
          </w:tcPr>
          <w:p w14:paraId="4DDD4FE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.288</w:t>
            </w:r>
          </w:p>
        </w:tc>
        <w:tc>
          <w:tcPr>
            <w:tcW w:w="690" w:type="dxa"/>
            <w:tcBorders>
              <w:top w:val="nil"/>
              <w:left w:val="nil"/>
              <w:bottom w:val="nil"/>
              <w:right w:val="nil"/>
            </w:tcBorders>
            <w:shd w:val="clear" w:color="auto" w:fill="FFFFFF"/>
            <w:vAlign w:val="center"/>
          </w:tcPr>
          <w:p w14:paraId="3E4F632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795" w:type="dxa"/>
            <w:tcBorders>
              <w:top w:val="nil"/>
              <w:left w:val="nil"/>
              <w:bottom w:val="nil"/>
              <w:right w:val="nil"/>
            </w:tcBorders>
            <w:shd w:val="clear" w:color="auto" w:fill="FFFFFF"/>
            <w:vAlign w:val="center"/>
          </w:tcPr>
          <w:p w14:paraId="069CA4C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.015</w:t>
            </w:r>
          </w:p>
        </w:tc>
      </w:tr>
      <w:tr w:rsidR="00D41ED0" w14:paraId="6FCC6FB4"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707E8A12"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183C1EF"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ENVS7</w:t>
            </w:r>
          </w:p>
        </w:tc>
        <w:tc>
          <w:tcPr>
            <w:tcW w:w="555" w:type="dxa"/>
            <w:tcBorders>
              <w:top w:val="nil"/>
              <w:left w:val="nil"/>
              <w:bottom w:val="nil"/>
              <w:right w:val="nil"/>
            </w:tcBorders>
            <w:shd w:val="clear" w:color="auto" w:fill="FFFFFF"/>
            <w:vAlign w:val="center"/>
          </w:tcPr>
          <w:p w14:paraId="76B3CF2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.212</w:t>
            </w:r>
          </w:p>
        </w:tc>
        <w:tc>
          <w:tcPr>
            <w:tcW w:w="690" w:type="dxa"/>
            <w:tcBorders>
              <w:top w:val="nil"/>
              <w:left w:val="nil"/>
              <w:bottom w:val="nil"/>
              <w:right w:val="nil"/>
            </w:tcBorders>
            <w:shd w:val="clear" w:color="auto" w:fill="FFFFFF"/>
            <w:vAlign w:val="center"/>
          </w:tcPr>
          <w:p w14:paraId="6B1F097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20BC309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.026</w:t>
            </w:r>
          </w:p>
        </w:tc>
        <w:tc>
          <w:tcPr>
            <w:tcW w:w="690" w:type="dxa"/>
            <w:tcBorders>
              <w:top w:val="nil"/>
              <w:left w:val="nil"/>
              <w:bottom w:val="nil"/>
              <w:right w:val="nil"/>
            </w:tcBorders>
            <w:shd w:val="clear" w:color="auto" w:fill="FFFFFF"/>
            <w:vAlign w:val="center"/>
          </w:tcPr>
          <w:p w14:paraId="6EA0060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0C138B0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4C9D27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2D9C75F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.036</w:t>
            </w:r>
          </w:p>
        </w:tc>
        <w:tc>
          <w:tcPr>
            <w:tcW w:w="690" w:type="dxa"/>
            <w:tcBorders>
              <w:top w:val="nil"/>
              <w:left w:val="nil"/>
              <w:bottom w:val="nil"/>
              <w:right w:val="nil"/>
            </w:tcBorders>
            <w:shd w:val="clear" w:color="auto" w:fill="FFFFFF"/>
            <w:vAlign w:val="center"/>
          </w:tcPr>
          <w:p w14:paraId="6666C19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0F1EEDB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30936AF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795" w:type="dxa"/>
            <w:tcBorders>
              <w:top w:val="nil"/>
              <w:left w:val="nil"/>
              <w:bottom w:val="nil"/>
              <w:right w:val="nil"/>
            </w:tcBorders>
            <w:shd w:val="clear" w:color="auto" w:fill="FFFFFF"/>
            <w:vAlign w:val="center"/>
          </w:tcPr>
          <w:p w14:paraId="227B508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r>
      <w:tr w:rsidR="00D41ED0" w14:paraId="3CB7BCD2"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10E63C7D"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6BAB30B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ENVS8</w:t>
            </w:r>
          </w:p>
        </w:tc>
        <w:tc>
          <w:tcPr>
            <w:tcW w:w="555" w:type="dxa"/>
            <w:tcBorders>
              <w:top w:val="nil"/>
              <w:left w:val="nil"/>
              <w:bottom w:val="nil"/>
              <w:right w:val="nil"/>
            </w:tcBorders>
            <w:shd w:val="clear" w:color="auto" w:fill="FFFFFF"/>
            <w:vAlign w:val="center"/>
          </w:tcPr>
          <w:p w14:paraId="2177F9B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12B41F2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.084</w:t>
            </w:r>
          </w:p>
        </w:tc>
        <w:tc>
          <w:tcPr>
            <w:tcW w:w="690" w:type="dxa"/>
            <w:tcBorders>
              <w:top w:val="nil"/>
              <w:left w:val="nil"/>
              <w:bottom w:val="nil"/>
              <w:right w:val="nil"/>
            </w:tcBorders>
            <w:shd w:val="clear" w:color="auto" w:fill="FFFFFF"/>
            <w:vAlign w:val="center"/>
          </w:tcPr>
          <w:p w14:paraId="231ADE3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58CB209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03AF424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758ED22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0320B74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.288</w:t>
            </w:r>
          </w:p>
        </w:tc>
        <w:tc>
          <w:tcPr>
            <w:tcW w:w="690" w:type="dxa"/>
            <w:tcBorders>
              <w:top w:val="nil"/>
              <w:left w:val="nil"/>
              <w:bottom w:val="nil"/>
              <w:right w:val="nil"/>
            </w:tcBorders>
            <w:shd w:val="clear" w:color="auto" w:fill="FFFFFF"/>
            <w:vAlign w:val="center"/>
          </w:tcPr>
          <w:p w14:paraId="1924C12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3212567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690" w:type="dxa"/>
            <w:tcBorders>
              <w:top w:val="nil"/>
              <w:left w:val="nil"/>
              <w:bottom w:val="nil"/>
              <w:right w:val="nil"/>
            </w:tcBorders>
            <w:shd w:val="clear" w:color="auto" w:fill="FFFFFF"/>
            <w:vAlign w:val="center"/>
          </w:tcPr>
          <w:p w14:paraId="048B587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.284</w:t>
            </w:r>
          </w:p>
        </w:tc>
        <w:tc>
          <w:tcPr>
            <w:tcW w:w="795" w:type="dxa"/>
            <w:tcBorders>
              <w:top w:val="nil"/>
              <w:left w:val="nil"/>
              <w:bottom w:val="nil"/>
              <w:right w:val="nil"/>
            </w:tcBorders>
            <w:shd w:val="clear" w:color="auto" w:fill="FFFFFF"/>
            <w:vAlign w:val="center"/>
          </w:tcPr>
          <w:p w14:paraId="70CE7DA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.007</w:t>
            </w:r>
          </w:p>
        </w:tc>
      </w:tr>
      <w:tr w:rsidR="00D41ED0" w14:paraId="7FEEBBC4"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6FD3AB03"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2654936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ENVS9</w:t>
            </w:r>
          </w:p>
        </w:tc>
        <w:tc>
          <w:tcPr>
            <w:tcW w:w="555" w:type="dxa"/>
            <w:tcBorders>
              <w:top w:val="nil"/>
              <w:left w:val="nil"/>
              <w:bottom w:val="nil"/>
              <w:right w:val="nil"/>
            </w:tcBorders>
            <w:shd w:val="clear" w:color="auto" w:fill="FFFFFF"/>
            <w:vAlign w:val="center"/>
          </w:tcPr>
          <w:p w14:paraId="15A8372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690" w:type="dxa"/>
            <w:tcBorders>
              <w:top w:val="nil"/>
              <w:left w:val="nil"/>
              <w:bottom w:val="nil"/>
              <w:right w:val="nil"/>
            </w:tcBorders>
            <w:shd w:val="clear" w:color="auto" w:fill="FFFFFF"/>
            <w:vAlign w:val="center"/>
          </w:tcPr>
          <w:p w14:paraId="7157BCD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690" w:type="dxa"/>
            <w:tcBorders>
              <w:top w:val="nil"/>
              <w:left w:val="nil"/>
              <w:bottom w:val="nil"/>
              <w:right w:val="nil"/>
            </w:tcBorders>
            <w:shd w:val="clear" w:color="auto" w:fill="FFFFFF"/>
            <w:vAlign w:val="center"/>
          </w:tcPr>
          <w:p w14:paraId="4DF535E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690" w:type="dxa"/>
            <w:tcBorders>
              <w:top w:val="nil"/>
              <w:left w:val="nil"/>
              <w:bottom w:val="nil"/>
              <w:right w:val="nil"/>
            </w:tcBorders>
            <w:shd w:val="clear" w:color="auto" w:fill="FFFFFF"/>
            <w:vAlign w:val="center"/>
          </w:tcPr>
          <w:p w14:paraId="532129F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.181</w:t>
            </w:r>
          </w:p>
        </w:tc>
        <w:tc>
          <w:tcPr>
            <w:tcW w:w="690" w:type="dxa"/>
            <w:tcBorders>
              <w:top w:val="nil"/>
              <w:left w:val="nil"/>
              <w:bottom w:val="nil"/>
              <w:right w:val="nil"/>
            </w:tcBorders>
            <w:shd w:val="clear" w:color="auto" w:fill="FFFFFF"/>
            <w:vAlign w:val="center"/>
          </w:tcPr>
          <w:p w14:paraId="3A52F2A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.020</w:t>
            </w:r>
          </w:p>
        </w:tc>
        <w:tc>
          <w:tcPr>
            <w:tcW w:w="690" w:type="dxa"/>
            <w:tcBorders>
              <w:top w:val="nil"/>
              <w:left w:val="nil"/>
              <w:bottom w:val="nil"/>
              <w:right w:val="nil"/>
            </w:tcBorders>
            <w:shd w:val="clear" w:color="auto" w:fill="FFFFFF"/>
            <w:vAlign w:val="center"/>
          </w:tcPr>
          <w:p w14:paraId="1B33739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.054</w:t>
            </w:r>
          </w:p>
        </w:tc>
        <w:tc>
          <w:tcPr>
            <w:tcW w:w="690" w:type="dxa"/>
            <w:tcBorders>
              <w:top w:val="nil"/>
              <w:left w:val="nil"/>
              <w:bottom w:val="nil"/>
              <w:right w:val="nil"/>
            </w:tcBorders>
            <w:shd w:val="clear" w:color="auto" w:fill="FFFFFF"/>
            <w:vAlign w:val="center"/>
          </w:tcPr>
          <w:p w14:paraId="1FE644E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690" w:type="dxa"/>
            <w:tcBorders>
              <w:top w:val="nil"/>
              <w:left w:val="nil"/>
              <w:bottom w:val="nil"/>
              <w:right w:val="nil"/>
            </w:tcBorders>
            <w:shd w:val="clear" w:color="auto" w:fill="FFFFFF"/>
            <w:vAlign w:val="center"/>
          </w:tcPr>
          <w:p w14:paraId="5FEEB5C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690" w:type="dxa"/>
            <w:tcBorders>
              <w:top w:val="nil"/>
              <w:left w:val="nil"/>
              <w:bottom w:val="nil"/>
              <w:right w:val="nil"/>
            </w:tcBorders>
            <w:shd w:val="clear" w:color="auto" w:fill="FFFFFF"/>
            <w:vAlign w:val="center"/>
          </w:tcPr>
          <w:p w14:paraId="63C054E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.284</w:t>
            </w:r>
          </w:p>
        </w:tc>
        <w:tc>
          <w:tcPr>
            <w:tcW w:w="690" w:type="dxa"/>
            <w:tcBorders>
              <w:top w:val="nil"/>
              <w:left w:val="nil"/>
              <w:bottom w:val="nil"/>
              <w:right w:val="nil"/>
            </w:tcBorders>
            <w:shd w:val="clear" w:color="auto" w:fill="FFFFFF"/>
            <w:vAlign w:val="center"/>
          </w:tcPr>
          <w:p w14:paraId="64870CC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c>
          <w:tcPr>
            <w:tcW w:w="795" w:type="dxa"/>
            <w:tcBorders>
              <w:top w:val="nil"/>
              <w:left w:val="nil"/>
              <w:bottom w:val="nil"/>
              <w:right w:val="nil"/>
            </w:tcBorders>
            <w:shd w:val="clear" w:color="auto" w:fill="FFFFFF"/>
            <w:vAlign w:val="center"/>
          </w:tcPr>
          <w:p w14:paraId="2C02BBE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r>
      <w:tr w:rsidR="00D41ED0" w14:paraId="7FFC7A20" w14:textId="77777777">
        <w:trPr>
          <w:cantSplit/>
          <w:trHeight w:val="131"/>
        </w:trPr>
        <w:tc>
          <w:tcPr>
            <w:tcW w:w="960" w:type="dxa"/>
            <w:vMerge/>
            <w:tcBorders>
              <w:top w:val="nil"/>
              <w:left w:val="single" w:sz="12" w:space="0" w:color="000000"/>
              <w:bottom w:val="nil"/>
              <w:right w:val="single" w:sz="12" w:space="0" w:color="000000"/>
            </w:tcBorders>
            <w:shd w:val="clear" w:color="auto" w:fill="FFFFFF"/>
            <w:vAlign w:val="center"/>
          </w:tcPr>
          <w:p w14:paraId="04A65946"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7CBB8AB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ENVS10</w:t>
            </w:r>
          </w:p>
        </w:tc>
        <w:tc>
          <w:tcPr>
            <w:tcW w:w="555" w:type="dxa"/>
            <w:tcBorders>
              <w:top w:val="nil"/>
              <w:left w:val="nil"/>
              <w:bottom w:val="nil"/>
              <w:right w:val="nil"/>
            </w:tcBorders>
            <w:shd w:val="clear" w:color="auto" w:fill="FFFFFF"/>
            <w:vAlign w:val="center"/>
          </w:tcPr>
          <w:p w14:paraId="41C4DEA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.324</w:t>
            </w:r>
          </w:p>
        </w:tc>
        <w:tc>
          <w:tcPr>
            <w:tcW w:w="690" w:type="dxa"/>
            <w:tcBorders>
              <w:top w:val="nil"/>
              <w:left w:val="nil"/>
              <w:bottom w:val="nil"/>
              <w:right w:val="nil"/>
            </w:tcBorders>
            <w:shd w:val="clear" w:color="auto" w:fill="FFFFFF"/>
            <w:vAlign w:val="center"/>
          </w:tcPr>
          <w:p w14:paraId="389F712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57C5E5D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.042</w:t>
            </w:r>
          </w:p>
        </w:tc>
        <w:tc>
          <w:tcPr>
            <w:tcW w:w="690" w:type="dxa"/>
            <w:tcBorders>
              <w:top w:val="nil"/>
              <w:left w:val="nil"/>
              <w:bottom w:val="nil"/>
              <w:right w:val="nil"/>
            </w:tcBorders>
            <w:shd w:val="clear" w:color="auto" w:fill="FFFFFF"/>
            <w:vAlign w:val="center"/>
          </w:tcPr>
          <w:p w14:paraId="5E0FA48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690" w:type="dxa"/>
            <w:tcBorders>
              <w:top w:val="nil"/>
              <w:left w:val="nil"/>
              <w:bottom w:val="nil"/>
              <w:right w:val="nil"/>
            </w:tcBorders>
            <w:shd w:val="clear" w:color="auto" w:fill="FFFFFF"/>
            <w:vAlign w:val="center"/>
          </w:tcPr>
          <w:p w14:paraId="1926A73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7AE9548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645C825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.015</w:t>
            </w:r>
          </w:p>
        </w:tc>
        <w:tc>
          <w:tcPr>
            <w:tcW w:w="690" w:type="dxa"/>
            <w:tcBorders>
              <w:top w:val="nil"/>
              <w:left w:val="nil"/>
              <w:bottom w:val="nil"/>
              <w:right w:val="nil"/>
            </w:tcBorders>
            <w:shd w:val="clear" w:color="auto" w:fill="FFFFFF"/>
            <w:vAlign w:val="center"/>
          </w:tcPr>
          <w:p w14:paraId="4C00AED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690" w:type="dxa"/>
            <w:tcBorders>
              <w:top w:val="nil"/>
              <w:left w:val="nil"/>
              <w:bottom w:val="nil"/>
              <w:right w:val="nil"/>
            </w:tcBorders>
            <w:shd w:val="clear" w:color="auto" w:fill="FFFFFF"/>
            <w:vAlign w:val="center"/>
          </w:tcPr>
          <w:p w14:paraId="5140AEF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.007</w:t>
            </w:r>
          </w:p>
        </w:tc>
        <w:tc>
          <w:tcPr>
            <w:tcW w:w="690" w:type="dxa"/>
            <w:tcBorders>
              <w:top w:val="nil"/>
              <w:left w:val="nil"/>
              <w:bottom w:val="nil"/>
              <w:right w:val="nil"/>
            </w:tcBorders>
            <w:shd w:val="clear" w:color="auto" w:fill="FFFFFF"/>
            <w:vAlign w:val="center"/>
          </w:tcPr>
          <w:p w14:paraId="39854EC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795" w:type="dxa"/>
            <w:tcBorders>
              <w:top w:val="nil"/>
              <w:left w:val="nil"/>
              <w:bottom w:val="nil"/>
              <w:right w:val="nil"/>
            </w:tcBorders>
            <w:shd w:val="clear" w:color="auto" w:fill="FFFFFF"/>
            <w:vAlign w:val="center"/>
          </w:tcPr>
          <w:p w14:paraId="4A2B738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w:t>
            </w:r>
          </w:p>
        </w:tc>
      </w:tr>
      <w:tr w:rsidR="00D41ED0" w14:paraId="39DE1284" w14:textId="77777777">
        <w:trPr>
          <w:cantSplit/>
          <w:trHeight w:val="285"/>
        </w:trPr>
        <w:tc>
          <w:tcPr>
            <w:tcW w:w="960" w:type="dxa"/>
            <w:vMerge w:val="restart"/>
            <w:tcBorders>
              <w:top w:val="nil"/>
              <w:left w:val="single" w:sz="12" w:space="0" w:color="000000"/>
              <w:bottom w:val="single" w:sz="16" w:space="0" w:color="000000"/>
              <w:right w:val="single" w:sz="12" w:space="0" w:color="000000"/>
            </w:tcBorders>
            <w:shd w:val="clear" w:color="auto" w:fill="FFFFFF"/>
            <w:vAlign w:val="center"/>
          </w:tcPr>
          <w:p w14:paraId="13E62DA4"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N</w:t>
            </w:r>
          </w:p>
        </w:tc>
        <w:tc>
          <w:tcPr>
            <w:tcW w:w="825" w:type="dxa"/>
            <w:tcBorders>
              <w:top w:val="nil"/>
              <w:left w:val="single" w:sz="12" w:space="0" w:color="000000"/>
              <w:bottom w:val="nil"/>
              <w:right w:val="nil"/>
            </w:tcBorders>
            <w:shd w:val="clear" w:color="auto" w:fill="FFFFFF"/>
            <w:vAlign w:val="center"/>
          </w:tcPr>
          <w:p w14:paraId="0071A48E"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w:t>
            </w:r>
          </w:p>
        </w:tc>
        <w:tc>
          <w:tcPr>
            <w:tcW w:w="555" w:type="dxa"/>
            <w:tcBorders>
              <w:top w:val="nil"/>
              <w:left w:val="nil"/>
              <w:bottom w:val="nil"/>
              <w:right w:val="nil"/>
            </w:tcBorders>
            <w:shd w:val="clear" w:color="auto" w:fill="FFFFFF"/>
            <w:vAlign w:val="center"/>
          </w:tcPr>
          <w:p w14:paraId="22C2830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B285F4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6DD238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CA9526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6CB96A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B6079C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F2DE9E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F73AF9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42512B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D4CF4C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4C56D2B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4BEFB091"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1779249A"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1D7DE8D6"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w:t>
            </w:r>
          </w:p>
        </w:tc>
        <w:tc>
          <w:tcPr>
            <w:tcW w:w="555" w:type="dxa"/>
            <w:tcBorders>
              <w:top w:val="nil"/>
              <w:left w:val="nil"/>
              <w:bottom w:val="nil"/>
              <w:right w:val="nil"/>
            </w:tcBorders>
            <w:shd w:val="clear" w:color="auto" w:fill="FFFFFF"/>
            <w:vAlign w:val="center"/>
          </w:tcPr>
          <w:p w14:paraId="025A18C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5749B1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56EF90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D5393E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A5EA89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C776DB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CBA02A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70427A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571A54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3DF7C4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1FB05D1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70F3A0BA"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45557E8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7BE397F8"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ENVS2</w:t>
            </w:r>
          </w:p>
        </w:tc>
        <w:tc>
          <w:tcPr>
            <w:tcW w:w="555" w:type="dxa"/>
            <w:tcBorders>
              <w:top w:val="nil"/>
              <w:left w:val="nil"/>
              <w:bottom w:val="nil"/>
              <w:right w:val="nil"/>
            </w:tcBorders>
            <w:shd w:val="clear" w:color="auto" w:fill="FFFFFF"/>
            <w:vAlign w:val="center"/>
          </w:tcPr>
          <w:p w14:paraId="6549F5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152E20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3B62CD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EE2149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23C7CF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59395C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9E4EE8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E9F5A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25645B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2BCFF4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779A2E6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336E65A6"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4D69E21A"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7213D3E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ENVS3</w:t>
            </w:r>
          </w:p>
        </w:tc>
        <w:tc>
          <w:tcPr>
            <w:tcW w:w="555" w:type="dxa"/>
            <w:tcBorders>
              <w:top w:val="nil"/>
              <w:left w:val="nil"/>
              <w:bottom w:val="nil"/>
              <w:right w:val="nil"/>
            </w:tcBorders>
            <w:shd w:val="clear" w:color="auto" w:fill="FFFFFF"/>
            <w:vAlign w:val="center"/>
          </w:tcPr>
          <w:p w14:paraId="7DB4A08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57E443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80BB33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3E8336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E07F29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1F3843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623421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1AC252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41B3CF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3FE8EC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27B7060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05425B29"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2D3E72DD"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FC94EC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ENVS4</w:t>
            </w:r>
          </w:p>
        </w:tc>
        <w:tc>
          <w:tcPr>
            <w:tcW w:w="555" w:type="dxa"/>
            <w:tcBorders>
              <w:top w:val="nil"/>
              <w:left w:val="nil"/>
              <w:bottom w:val="nil"/>
              <w:right w:val="nil"/>
            </w:tcBorders>
            <w:shd w:val="clear" w:color="auto" w:fill="FFFFFF"/>
            <w:vAlign w:val="center"/>
          </w:tcPr>
          <w:p w14:paraId="78E098A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B4D803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73C51F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0221D7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7D248A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93A45C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B948B1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CA98F8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FF33C0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151BAA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277316E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7E372B29"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5DAFF30F"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20C650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ENVS5</w:t>
            </w:r>
          </w:p>
        </w:tc>
        <w:tc>
          <w:tcPr>
            <w:tcW w:w="555" w:type="dxa"/>
            <w:tcBorders>
              <w:top w:val="nil"/>
              <w:left w:val="nil"/>
              <w:bottom w:val="nil"/>
              <w:right w:val="nil"/>
            </w:tcBorders>
            <w:shd w:val="clear" w:color="auto" w:fill="FFFFFF"/>
            <w:vAlign w:val="center"/>
          </w:tcPr>
          <w:p w14:paraId="708BE06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12CD81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06AA9D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701B15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6FDE8C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5D798F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B134B6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E40F0B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C5F297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9C5BE2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621C996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06B01021"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257FBD0E"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308490F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ENVS6</w:t>
            </w:r>
          </w:p>
        </w:tc>
        <w:tc>
          <w:tcPr>
            <w:tcW w:w="555" w:type="dxa"/>
            <w:tcBorders>
              <w:top w:val="nil"/>
              <w:left w:val="nil"/>
              <w:bottom w:val="nil"/>
              <w:right w:val="nil"/>
            </w:tcBorders>
            <w:shd w:val="clear" w:color="auto" w:fill="FFFFFF"/>
            <w:vAlign w:val="center"/>
          </w:tcPr>
          <w:p w14:paraId="68BAF7A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7BB8EE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166B1A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BB9224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866331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3C23BD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D7E7C1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86ABDF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20791F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778732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72E6434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35356730"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2B6775EA"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3B23672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ENVS7</w:t>
            </w:r>
          </w:p>
        </w:tc>
        <w:tc>
          <w:tcPr>
            <w:tcW w:w="555" w:type="dxa"/>
            <w:tcBorders>
              <w:top w:val="nil"/>
              <w:left w:val="nil"/>
              <w:bottom w:val="nil"/>
              <w:right w:val="nil"/>
            </w:tcBorders>
            <w:shd w:val="clear" w:color="auto" w:fill="FFFFFF"/>
            <w:vAlign w:val="center"/>
          </w:tcPr>
          <w:p w14:paraId="58381DA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7BD6602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A33221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6AEA9B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5B091A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1D1009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A10BF4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F85FA0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61D4C69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AD35A9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5947DEA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361D8436"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5CC470F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772E3CA5"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ENVS8</w:t>
            </w:r>
          </w:p>
        </w:tc>
        <w:tc>
          <w:tcPr>
            <w:tcW w:w="555" w:type="dxa"/>
            <w:tcBorders>
              <w:top w:val="nil"/>
              <w:left w:val="nil"/>
              <w:bottom w:val="nil"/>
              <w:right w:val="nil"/>
            </w:tcBorders>
            <w:shd w:val="clear" w:color="auto" w:fill="FFFFFF"/>
            <w:vAlign w:val="center"/>
          </w:tcPr>
          <w:p w14:paraId="43D9776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8C5C4B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619743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98BDE2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45D69A9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4F6836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01CD93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DC707E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786DD5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BE73EA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615C89C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53603106"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2565CFF4"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nil"/>
              <w:right w:val="nil"/>
            </w:tcBorders>
            <w:shd w:val="clear" w:color="auto" w:fill="FFFFFF"/>
            <w:vAlign w:val="center"/>
          </w:tcPr>
          <w:p w14:paraId="4DE7904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ENVS9</w:t>
            </w:r>
          </w:p>
        </w:tc>
        <w:tc>
          <w:tcPr>
            <w:tcW w:w="555" w:type="dxa"/>
            <w:tcBorders>
              <w:top w:val="nil"/>
              <w:left w:val="nil"/>
              <w:bottom w:val="nil"/>
              <w:right w:val="nil"/>
            </w:tcBorders>
            <w:shd w:val="clear" w:color="auto" w:fill="FFFFFF"/>
            <w:vAlign w:val="center"/>
          </w:tcPr>
          <w:p w14:paraId="4797601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54F34B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AA5435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1144C2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12BB145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E083E1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0D422B0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3E799A5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5A23AE1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nil"/>
              <w:right w:val="nil"/>
            </w:tcBorders>
            <w:shd w:val="clear" w:color="auto" w:fill="FFFFFF"/>
            <w:vAlign w:val="center"/>
          </w:tcPr>
          <w:p w14:paraId="25D9723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nil"/>
              <w:right w:val="nil"/>
            </w:tcBorders>
            <w:shd w:val="clear" w:color="auto" w:fill="FFFFFF"/>
            <w:vAlign w:val="center"/>
          </w:tcPr>
          <w:p w14:paraId="21FF1F4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r w:rsidR="00D41ED0" w14:paraId="11726987" w14:textId="77777777">
        <w:trPr>
          <w:cantSplit/>
          <w:trHeight w:val="131"/>
        </w:trPr>
        <w:tc>
          <w:tcPr>
            <w:tcW w:w="960" w:type="dxa"/>
            <w:vMerge/>
            <w:tcBorders>
              <w:top w:val="nil"/>
              <w:left w:val="single" w:sz="12" w:space="0" w:color="000000"/>
              <w:bottom w:val="single" w:sz="16" w:space="0" w:color="000000"/>
              <w:right w:val="single" w:sz="12" w:space="0" w:color="000000"/>
            </w:tcBorders>
            <w:shd w:val="clear" w:color="auto" w:fill="FFFFFF"/>
            <w:vAlign w:val="center"/>
          </w:tcPr>
          <w:p w14:paraId="2C459689"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825" w:type="dxa"/>
            <w:tcBorders>
              <w:top w:val="nil"/>
              <w:left w:val="single" w:sz="12" w:space="0" w:color="000000"/>
              <w:bottom w:val="single" w:sz="12" w:space="0" w:color="000000"/>
              <w:right w:val="nil"/>
            </w:tcBorders>
            <w:shd w:val="clear" w:color="auto" w:fill="FFFFFF"/>
            <w:vAlign w:val="center"/>
          </w:tcPr>
          <w:p w14:paraId="04ACDA1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ENVS10</w:t>
            </w:r>
          </w:p>
        </w:tc>
        <w:tc>
          <w:tcPr>
            <w:tcW w:w="555" w:type="dxa"/>
            <w:tcBorders>
              <w:top w:val="nil"/>
              <w:left w:val="nil"/>
              <w:bottom w:val="single" w:sz="12" w:space="0" w:color="000000"/>
              <w:right w:val="nil"/>
            </w:tcBorders>
            <w:shd w:val="clear" w:color="auto" w:fill="FFFFFF"/>
            <w:vAlign w:val="center"/>
          </w:tcPr>
          <w:p w14:paraId="76367EE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23AFAE7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25C44AB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76733F9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3E5C9B3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01BC635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333B642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087D454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48D8300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690" w:type="dxa"/>
            <w:tcBorders>
              <w:top w:val="nil"/>
              <w:left w:val="nil"/>
              <w:bottom w:val="single" w:sz="12" w:space="0" w:color="000000"/>
              <w:right w:val="nil"/>
            </w:tcBorders>
            <w:shd w:val="clear" w:color="auto" w:fill="FFFFFF"/>
            <w:vAlign w:val="center"/>
          </w:tcPr>
          <w:p w14:paraId="28B757F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c>
          <w:tcPr>
            <w:tcW w:w="795" w:type="dxa"/>
            <w:tcBorders>
              <w:top w:val="nil"/>
              <w:left w:val="nil"/>
              <w:bottom w:val="single" w:sz="12" w:space="0" w:color="000000"/>
              <w:right w:val="nil"/>
            </w:tcBorders>
            <w:shd w:val="clear" w:color="auto" w:fill="FFFFFF"/>
            <w:vAlign w:val="center"/>
          </w:tcPr>
          <w:p w14:paraId="1CB61C8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171</w:t>
            </w:r>
          </w:p>
        </w:tc>
      </w:tr>
    </w:tbl>
    <w:p w14:paraId="6D470FC5" w14:textId="77777777" w:rsidR="00D41ED0" w:rsidRDefault="00D41ED0">
      <w:pPr>
        <w:spacing w:after="0" w:line="360" w:lineRule="auto"/>
        <w:jc w:val="both"/>
        <w:rPr>
          <w:rFonts w:ascii="Times New Roman" w:eastAsia="Times New Roman" w:hAnsi="Times New Roman" w:cs="Times New Roman"/>
          <w:sz w:val="24"/>
          <w:szCs w:val="24"/>
        </w:rPr>
      </w:pPr>
    </w:p>
    <w:p w14:paraId="5A34ED74"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The table 4 shows a regression model that examines the relationship between ENVS (dependent variable) and predictors (ENVS1 to ENVS10).</w:t>
      </w:r>
    </w:p>
    <w:p w14:paraId="3B8662C4" w14:textId="77777777" w:rsidR="00D41ED0" w:rsidRDefault="00CB0D2A">
      <w:pPr>
        <w:numPr>
          <w:ilvl w:val="0"/>
          <w:numId w:val="1"/>
        </w:numPr>
        <w:spacing w:after="0" w:line="360" w:lineRule="auto"/>
        <w:jc w:val="both"/>
        <w:rPr>
          <w:rFonts w:ascii="Times New Roman" w:eastAsia="Times New Roman" w:hAnsi="Times New Roman" w:cs="Times New Roman"/>
          <w:sz w:val="20"/>
          <w:szCs w:val="20"/>
        </w:rPr>
      </w:pPr>
      <w:r>
        <w:rPr>
          <w:rFonts w:ascii="Arial" w:eastAsia="Arial" w:hAnsi="Arial" w:cs="Arial"/>
          <w:b/>
          <w:sz w:val="20"/>
          <w:szCs w:val="20"/>
        </w:rPr>
        <w:t>Good Fit:</w:t>
      </w:r>
      <w:r>
        <w:rPr>
          <w:rFonts w:ascii="Arial" w:eastAsia="Arial" w:hAnsi="Arial" w:cs="Arial"/>
          <w:sz w:val="20"/>
          <w:szCs w:val="20"/>
        </w:rPr>
        <w:t xml:space="preserve"> </w:t>
      </w:r>
      <w:r>
        <w:rPr>
          <w:rFonts w:ascii="Arial" w:eastAsia="Arial" w:hAnsi="Arial" w:cs="Arial"/>
          <w:b/>
          <w:sz w:val="20"/>
          <w:szCs w:val="20"/>
        </w:rPr>
        <w:t>R = 0.803</w:t>
      </w:r>
      <w:r>
        <w:rPr>
          <w:rFonts w:ascii="Arial" w:eastAsia="Arial" w:hAnsi="Arial" w:cs="Arial"/>
          <w:sz w:val="20"/>
          <w:szCs w:val="20"/>
        </w:rPr>
        <w:t xml:space="preserve"> indicates a strong positive correlation between the predictors (EVSS2 to EVSS10) and the dependent variable ENVS.</w:t>
      </w:r>
    </w:p>
    <w:p w14:paraId="2D87DB10" w14:textId="77777777" w:rsidR="00D41ED0" w:rsidRDefault="00CB0D2A">
      <w:pPr>
        <w:numPr>
          <w:ilvl w:val="0"/>
          <w:numId w:val="1"/>
        </w:numPr>
        <w:spacing w:after="0" w:line="360" w:lineRule="auto"/>
        <w:jc w:val="both"/>
        <w:rPr>
          <w:rFonts w:ascii="Times New Roman" w:eastAsia="Times New Roman" w:hAnsi="Times New Roman" w:cs="Times New Roman"/>
          <w:sz w:val="20"/>
          <w:szCs w:val="20"/>
        </w:rPr>
      </w:pPr>
      <w:r>
        <w:rPr>
          <w:rFonts w:ascii="Arial" w:eastAsia="Arial" w:hAnsi="Arial" w:cs="Arial"/>
          <w:sz w:val="20"/>
          <w:szCs w:val="20"/>
        </w:rPr>
        <w:t xml:space="preserve"> </w:t>
      </w:r>
      <w:r>
        <w:rPr>
          <w:rFonts w:ascii="Arial" w:eastAsia="Arial" w:hAnsi="Arial" w:cs="Arial"/>
          <w:b/>
          <w:sz w:val="20"/>
          <w:szCs w:val="20"/>
        </w:rPr>
        <w:t>R² = 0.645</w:t>
      </w:r>
      <w:r>
        <w:rPr>
          <w:rFonts w:ascii="Arial" w:eastAsia="Arial" w:hAnsi="Arial" w:cs="Arial"/>
          <w:sz w:val="20"/>
          <w:szCs w:val="20"/>
        </w:rPr>
        <w:t xml:space="preserve"> suggests that 64.5% of the variance in dependent variable ENVS is explained by the independent variables. This suggests a good mo</w:t>
      </w:r>
      <w:r>
        <w:rPr>
          <w:rFonts w:ascii="Arial" w:eastAsia="Arial" w:hAnsi="Arial" w:cs="Arial"/>
          <w:sz w:val="20"/>
          <w:szCs w:val="20"/>
        </w:rPr>
        <w:t>del fit.</w:t>
      </w:r>
    </w:p>
    <w:p w14:paraId="4FEBB0D4" w14:textId="77777777" w:rsidR="00D41ED0" w:rsidRDefault="00CB0D2A">
      <w:pPr>
        <w:numPr>
          <w:ilvl w:val="0"/>
          <w:numId w:val="1"/>
        </w:numPr>
        <w:spacing w:after="0" w:line="360" w:lineRule="auto"/>
        <w:jc w:val="both"/>
        <w:rPr>
          <w:rFonts w:ascii="Times New Roman" w:eastAsia="Times New Roman" w:hAnsi="Times New Roman" w:cs="Times New Roman"/>
          <w:sz w:val="20"/>
          <w:szCs w:val="20"/>
        </w:rPr>
      </w:pPr>
      <w:r>
        <w:rPr>
          <w:rFonts w:ascii="Arial" w:eastAsia="Arial" w:hAnsi="Arial" w:cs="Arial"/>
          <w:b/>
          <w:sz w:val="20"/>
          <w:szCs w:val="20"/>
        </w:rPr>
        <w:t>Adjusted R² = 0.623:</w:t>
      </w:r>
      <w:r>
        <w:rPr>
          <w:rFonts w:ascii="Arial" w:eastAsia="Arial" w:hAnsi="Arial" w:cs="Arial"/>
          <w:sz w:val="20"/>
          <w:szCs w:val="20"/>
        </w:rPr>
        <w:t xml:space="preserve">  Slightly lower than R2. After adjusting for the number of predictors, the model still explains 62.3% of the variance, which indicates a solid model fit.</w:t>
      </w:r>
    </w:p>
    <w:p w14:paraId="1FEBA1D0" w14:textId="77777777" w:rsidR="00D41ED0" w:rsidRDefault="00CB0D2A">
      <w:pPr>
        <w:numPr>
          <w:ilvl w:val="0"/>
          <w:numId w:val="1"/>
        </w:numPr>
        <w:spacing w:after="0" w:line="360" w:lineRule="auto"/>
        <w:jc w:val="both"/>
        <w:rPr>
          <w:rFonts w:ascii="Times New Roman" w:eastAsia="Times New Roman" w:hAnsi="Times New Roman" w:cs="Times New Roman"/>
          <w:sz w:val="20"/>
          <w:szCs w:val="20"/>
        </w:rPr>
      </w:pPr>
      <w:r>
        <w:rPr>
          <w:rFonts w:ascii="Arial" w:eastAsia="Arial" w:hAnsi="Arial" w:cs="Arial"/>
          <w:b/>
          <w:sz w:val="20"/>
          <w:szCs w:val="20"/>
        </w:rPr>
        <w:t>Standard Error of the Estimate = 0.503:</w:t>
      </w:r>
      <w:r>
        <w:rPr>
          <w:rFonts w:ascii="Arial" w:eastAsia="Arial" w:hAnsi="Arial" w:cs="Arial"/>
          <w:sz w:val="20"/>
          <w:szCs w:val="20"/>
        </w:rPr>
        <w:t xml:space="preserve"> This value suggests the average </w:t>
      </w:r>
      <w:r>
        <w:rPr>
          <w:rFonts w:ascii="Arial" w:eastAsia="Arial" w:hAnsi="Arial" w:cs="Arial"/>
          <w:sz w:val="20"/>
          <w:szCs w:val="20"/>
        </w:rPr>
        <w:t>deviation of the observed values from the predicted ones. A lower value indicates better model accuracy.</w:t>
      </w:r>
    </w:p>
    <w:p w14:paraId="2DAB7883" w14:textId="77777777" w:rsidR="00D41ED0" w:rsidRDefault="00CB0D2A">
      <w:pPr>
        <w:numPr>
          <w:ilvl w:val="0"/>
          <w:numId w:val="1"/>
        </w:numPr>
        <w:spacing w:after="240" w:line="360" w:lineRule="auto"/>
        <w:jc w:val="both"/>
        <w:rPr>
          <w:rFonts w:ascii="Times New Roman" w:eastAsia="Times New Roman" w:hAnsi="Times New Roman" w:cs="Times New Roman"/>
          <w:sz w:val="20"/>
          <w:szCs w:val="20"/>
        </w:rPr>
      </w:pPr>
      <w:r>
        <w:rPr>
          <w:rFonts w:ascii="Arial" w:eastAsia="Arial" w:hAnsi="Arial" w:cs="Arial"/>
          <w:b/>
          <w:sz w:val="20"/>
          <w:szCs w:val="20"/>
        </w:rPr>
        <w:t xml:space="preserve">Durbin-Watson = 2.899 </w:t>
      </w:r>
      <w:r>
        <w:rPr>
          <w:rFonts w:ascii="Arial" w:eastAsia="Arial" w:hAnsi="Arial" w:cs="Arial"/>
          <w:sz w:val="20"/>
          <w:szCs w:val="20"/>
        </w:rPr>
        <w:t>Since a value close to 2 suggests no autocorrelation, 2.899 indicates potential positive autocorrelation, meaning residuals might</w:t>
      </w:r>
      <w:r>
        <w:rPr>
          <w:rFonts w:ascii="Arial" w:eastAsia="Arial" w:hAnsi="Arial" w:cs="Arial"/>
          <w:sz w:val="20"/>
          <w:szCs w:val="20"/>
        </w:rPr>
        <w:t xml:space="preserve"> be correlated.</w:t>
      </w:r>
    </w:p>
    <w:p w14:paraId="263B0C2A"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lastRenderedPageBreak/>
        <w:t>The model shows strong explanatory power (R² = 64.5%) and potential autocorrelation (Durbin-Watson = 2.899) indicating some positive autocorrelation. In summary, the model is well-fitted and explains a substantial amount of variance, predic</w:t>
      </w:r>
      <w:r>
        <w:rPr>
          <w:rFonts w:ascii="Arial" w:eastAsia="Arial" w:hAnsi="Arial" w:cs="Arial"/>
          <w:sz w:val="20"/>
          <w:szCs w:val="20"/>
        </w:rPr>
        <w:t>tion accuracy is reasonably high.</w:t>
      </w:r>
    </w:p>
    <w:p w14:paraId="424E612D" w14:textId="77777777" w:rsidR="00D41ED0" w:rsidRDefault="00D41ED0">
      <w:pPr>
        <w:spacing w:after="0" w:line="360" w:lineRule="auto"/>
        <w:jc w:val="both"/>
        <w:rPr>
          <w:rFonts w:ascii="Times New Roman" w:eastAsia="Times New Roman" w:hAnsi="Times New Roman" w:cs="Times New Roman"/>
          <w:sz w:val="24"/>
          <w:szCs w:val="24"/>
        </w:rPr>
      </w:pPr>
    </w:p>
    <w:p w14:paraId="53F2E4D9" w14:textId="77777777" w:rsidR="00D41ED0" w:rsidRDefault="00D41ED0">
      <w:pPr>
        <w:spacing w:after="0" w:line="360" w:lineRule="auto"/>
        <w:jc w:val="both"/>
        <w:rPr>
          <w:rFonts w:ascii="Times New Roman" w:eastAsia="Times New Roman" w:hAnsi="Times New Roman" w:cs="Times New Roman"/>
          <w:sz w:val="24"/>
          <w:szCs w:val="24"/>
        </w:rPr>
      </w:pPr>
    </w:p>
    <w:p w14:paraId="28422915" w14:textId="77777777" w:rsidR="00D41ED0" w:rsidRDefault="00D41ED0">
      <w:pPr>
        <w:spacing w:after="0" w:line="360" w:lineRule="auto"/>
        <w:jc w:val="both"/>
        <w:rPr>
          <w:rFonts w:ascii="Times New Roman" w:eastAsia="Times New Roman" w:hAnsi="Times New Roman" w:cs="Times New Roman"/>
          <w:sz w:val="24"/>
          <w:szCs w:val="24"/>
        </w:rPr>
      </w:pPr>
    </w:p>
    <w:p w14:paraId="0D2ED2B7" w14:textId="77777777" w:rsidR="00D41ED0" w:rsidRDefault="00CB0D2A">
      <w:pPr>
        <w:spacing w:after="0" w:line="360" w:lineRule="auto"/>
        <w:jc w:val="both"/>
        <w:rPr>
          <w:rFonts w:ascii="Arial" w:eastAsia="Arial" w:hAnsi="Arial" w:cs="Arial"/>
          <w:b/>
          <w:sz w:val="20"/>
          <w:szCs w:val="20"/>
        </w:rPr>
      </w:pPr>
      <w:r>
        <w:rPr>
          <w:rFonts w:ascii="Arial" w:eastAsia="Arial" w:hAnsi="Arial" w:cs="Arial"/>
          <w:b/>
          <w:sz w:val="20"/>
          <w:szCs w:val="20"/>
        </w:rPr>
        <w:t xml:space="preserve">TABLE-4           Model </w:t>
      </w:r>
      <w:proofErr w:type="spellStart"/>
      <w:r>
        <w:rPr>
          <w:rFonts w:ascii="Arial" w:eastAsia="Arial" w:hAnsi="Arial" w:cs="Arial"/>
          <w:b/>
          <w:sz w:val="20"/>
          <w:szCs w:val="20"/>
        </w:rPr>
        <w:t>Summary</w:t>
      </w:r>
      <w:r>
        <w:rPr>
          <w:rFonts w:ascii="Arial" w:eastAsia="Arial" w:hAnsi="Arial" w:cs="Arial"/>
          <w:b/>
          <w:sz w:val="20"/>
          <w:szCs w:val="20"/>
          <w:vertAlign w:val="superscript"/>
        </w:rPr>
        <w:t>b</w:t>
      </w:r>
      <w:proofErr w:type="spellEnd"/>
    </w:p>
    <w:tbl>
      <w:tblPr>
        <w:tblStyle w:val="ab"/>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0"/>
        <w:gridCol w:w="1110"/>
        <w:gridCol w:w="1185"/>
        <w:gridCol w:w="1620"/>
        <w:gridCol w:w="1620"/>
        <w:gridCol w:w="2385"/>
      </w:tblGrid>
      <w:tr w:rsidR="00D41ED0" w14:paraId="04AA7F02" w14:textId="77777777">
        <w:trPr>
          <w:cantSplit/>
        </w:trPr>
        <w:tc>
          <w:tcPr>
            <w:tcW w:w="8790" w:type="dxa"/>
            <w:gridSpan w:val="6"/>
            <w:tcBorders>
              <w:top w:val="nil"/>
              <w:left w:val="nil"/>
              <w:bottom w:val="nil"/>
              <w:right w:val="nil"/>
            </w:tcBorders>
            <w:shd w:val="clear" w:color="auto" w:fill="FFFFFF"/>
          </w:tcPr>
          <w:p w14:paraId="58565FEA" w14:textId="77777777" w:rsidR="00D41ED0" w:rsidRDefault="00D41ED0">
            <w:pPr>
              <w:spacing w:after="0"/>
              <w:ind w:left="60" w:right="60"/>
              <w:jc w:val="center"/>
              <w:rPr>
                <w:rFonts w:ascii="Arial" w:eastAsia="Arial" w:hAnsi="Arial" w:cs="Arial"/>
                <w:color w:val="000000"/>
                <w:sz w:val="18"/>
                <w:szCs w:val="18"/>
              </w:rPr>
            </w:pPr>
          </w:p>
        </w:tc>
      </w:tr>
      <w:tr w:rsidR="00D41ED0" w14:paraId="2659B678" w14:textId="77777777">
        <w:trPr>
          <w:cantSplit/>
        </w:trPr>
        <w:tc>
          <w:tcPr>
            <w:tcW w:w="870" w:type="dxa"/>
            <w:tcBorders>
              <w:top w:val="single" w:sz="16" w:space="0" w:color="000000"/>
              <w:left w:val="nil"/>
              <w:bottom w:val="single" w:sz="16" w:space="0" w:color="000000"/>
              <w:right w:val="nil"/>
            </w:tcBorders>
            <w:shd w:val="clear" w:color="auto" w:fill="FFFFFF"/>
          </w:tcPr>
          <w:p w14:paraId="1BD731E4"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Model</w:t>
            </w:r>
          </w:p>
        </w:tc>
        <w:tc>
          <w:tcPr>
            <w:tcW w:w="1110" w:type="dxa"/>
            <w:tcBorders>
              <w:top w:val="single" w:sz="16" w:space="0" w:color="000000"/>
              <w:left w:val="nil"/>
              <w:bottom w:val="single" w:sz="16" w:space="0" w:color="000000"/>
              <w:right w:val="nil"/>
            </w:tcBorders>
            <w:shd w:val="clear" w:color="auto" w:fill="FFFFFF"/>
          </w:tcPr>
          <w:p w14:paraId="29A1BA37"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R</w:t>
            </w:r>
          </w:p>
        </w:tc>
        <w:tc>
          <w:tcPr>
            <w:tcW w:w="1185" w:type="dxa"/>
            <w:tcBorders>
              <w:top w:val="single" w:sz="16" w:space="0" w:color="000000"/>
              <w:left w:val="nil"/>
              <w:bottom w:val="single" w:sz="16" w:space="0" w:color="000000"/>
              <w:right w:val="nil"/>
            </w:tcBorders>
            <w:shd w:val="clear" w:color="auto" w:fill="FFFFFF"/>
          </w:tcPr>
          <w:p w14:paraId="3C71A746"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R Square</w:t>
            </w:r>
          </w:p>
        </w:tc>
        <w:tc>
          <w:tcPr>
            <w:tcW w:w="1620" w:type="dxa"/>
            <w:tcBorders>
              <w:top w:val="single" w:sz="16" w:space="0" w:color="000000"/>
              <w:left w:val="nil"/>
              <w:bottom w:val="single" w:sz="16" w:space="0" w:color="000000"/>
              <w:right w:val="nil"/>
            </w:tcBorders>
            <w:shd w:val="clear" w:color="auto" w:fill="FFFFFF"/>
          </w:tcPr>
          <w:p w14:paraId="6F2AF35B"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Adjusted R Square</w:t>
            </w:r>
          </w:p>
        </w:tc>
        <w:tc>
          <w:tcPr>
            <w:tcW w:w="1620" w:type="dxa"/>
            <w:tcBorders>
              <w:top w:val="single" w:sz="16" w:space="0" w:color="000000"/>
              <w:left w:val="nil"/>
              <w:bottom w:val="single" w:sz="16" w:space="0" w:color="000000"/>
              <w:right w:val="nil"/>
            </w:tcBorders>
            <w:shd w:val="clear" w:color="auto" w:fill="FFFFFF"/>
          </w:tcPr>
          <w:p w14:paraId="5DC6DC79"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Std. Error of the Estimate</w:t>
            </w:r>
          </w:p>
        </w:tc>
        <w:tc>
          <w:tcPr>
            <w:tcW w:w="2385" w:type="dxa"/>
            <w:tcBorders>
              <w:top w:val="single" w:sz="16" w:space="0" w:color="000000"/>
              <w:left w:val="nil"/>
              <w:bottom w:val="single" w:sz="16" w:space="0" w:color="000000"/>
              <w:right w:val="nil"/>
            </w:tcBorders>
            <w:shd w:val="clear" w:color="auto" w:fill="FFFFFF"/>
          </w:tcPr>
          <w:p w14:paraId="3104F5E2"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Durbin-Watson</w:t>
            </w:r>
          </w:p>
        </w:tc>
      </w:tr>
      <w:tr w:rsidR="00D41ED0" w14:paraId="7066417E" w14:textId="77777777">
        <w:trPr>
          <w:cantSplit/>
        </w:trPr>
        <w:tc>
          <w:tcPr>
            <w:tcW w:w="870" w:type="dxa"/>
            <w:tcBorders>
              <w:top w:val="single" w:sz="16" w:space="0" w:color="000000"/>
              <w:left w:val="nil"/>
              <w:bottom w:val="single" w:sz="16" w:space="0" w:color="000000"/>
              <w:right w:val="nil"/>
            </w:tcBorders>
            <w:shd w:val="clear" w:color="auto" w:fill="FFFFFF"/>
            <w:vAlign w:val="center"/>
          </w:tcPr>
          <w:p w14:paraId="5AB9EB7D"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1</w:t>
            </w:r>
          </w:p>
        </w:tc>
        <w:tc>
          <w:tcPr>
            <w:tcW w:w="1110" w:type="dxa"/>
            <w:tcBorders>
              <w:top w:val="single" w:sz="16" w:space="0" w:color="000000"/>
              <w:left w:val="nil"/>
              <w:bottom w:val="single" w:sz="16" w:space="0" w:color="000000"/>
              <w:right w:val="nil"/>
            </w:tcBorders>
            <w:shd w:val="clear" w:color="auto" w:fill="FFFFFF"/>
            <w:vAlign w:val="center"/>
          </w:tcPr>
          <w:p w14:paraId="298C08B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.803</w:t>
            </w:r>
            <w:r>
              <w:rPr>
                <w:rFonts w:ascii="Arial" w:eastAsia="Arial" w:hAnsi="Arial" w:cs="Arial"/>
                <w:color w:val="000000"/>
                <w:sz w:val="20"/>
                <w:szCs w:val="20"/>
                <w:vertAlign w:val="superscript"/>
              </w:rPr>
              <w:t>a</w:t>
            </w:r>
          </w:p>
        </w:tc>
        <w:tc>
          <w:tcPr>
            <w:tcW w:w="1185" w:type="dxa"/>
            <w:tcBorders>
              <w:top w:val="single" w:sz="16" w:space="0" w:color="000000"/>
              <w:left w:val="nil"/>
              <w:bottom w:val="single" w:sz="16" w:space="0" w:color="000000"/>
              <w:right w:val="nil"/>
            </w:tcBorders>
            <w:shd w:val="clear" w:color="auto" w:fill="FFFFFF"/>
            <w:vAlign w:val="center"/>
          </w:tcPr>
          <w:p w14:paraId="7C36C99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.645</w:t>
            </w:r>
          </w:p>
        </w:tc>
        <w:tc>
          <w:tcPr>
            <w:tcW w:w="1620" w:type="dxa"/>
            <w:tcBorders>
              <w:top w:val="single" w:sz="16" w:space="0" w:color="000000"/>
              <w:left w:val="nil"/>
              <w:bottom w:val="single" w:sz="16" w:space="0" w:color="000000"/>
              <w:right w:val="nil"/>
            </w:tcBorders>
            <w:shd w:val="clear" w:color="auto" w:fill="FFFFFF"/>
            <w:vAlign w:val="center"/>
          </w:tcPr>
          <w:p w14:paraId="5CE17F4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.623</w:t>
            </w:r>
          </w:p>
        </w:tc>
        <w:tc>
          <w:tcPr>
            <w:tcW w:w="1620" w:type="dxa"/>
            <w:tcBorders>
              <w:top w:val="single" w:sz="16" w:space="0" w:color="000000"/>
              <w:left w:val="nil"/>
              <w:bottom w:val="single" w:sz="16" w:space="0" w:color="000000"/>
              <w:right w:val="nil"/>
            </w:tcBorders>
            <w:shd w:val="clear" w:color="auto" w:fill="FFFFFF"/>
            <w:vAlign w:val="center"/>
          </w:tcPr>
          <w:p w14:paraId="51DC885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.503</w:t>
            </w:r>
          </w:p>
        </w:tc>
        <w:tc>
          <w:tcPr>
            <w:tcW w:w="2385" w:type="dxa"/>
            <w:tcBorders>
              <w:top w:val="single" w:sz="16" w:space="0" w:color="000000"/>
              <w:left w:val="nil"/>
              <w:bottom w:val="single" w:sz="16" w:space="0" w:color="000000"/>
              <w:right w:val="nil"/>
            </w:tcBorders>
            <w:shd w:val="clear" w:color="auto" w:fill="FFFFFF"/>
            <w:vAlign w:val="center"/>
          </w:tcPr>
          <w:p w14:paraId="1467E26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2.899</w:t>
            </w:r>
          </w:p>
        </w:tc>
      </w:tr>
      <w:tr w:rsidR="00D41ED0" w14:paraId="6BC40D66" w14:textId="77777777">
        <w:trPr>
          <w:cantSplit/>
        </w:trPr>
        <w:tc>
          <w:tcPr>
            <w:tcW w:w="8790" w:type="dxa"/>
            <w:gridSpan w:val="6"/>
            <w:tcBorders>
              <w:top w:val="nil"/>
              <w:left w:val="nil"/>
              <w:bottom w:val="nil"/>
              <w:right w:val="nil"/>
            </w:tcBorders>
            <w:shd w:val="clear" w:color="auto" w:fill="FFFFFF"/>
          </w:tcPr>
          <w:p w14:paraId="1DEB6D12" w14:textId="77777777" w:rsidR="00D41ED0" w:rsidRDefault="00CB0D2A">
            <w:pPr>
              <w:spacing w:after="0"/>
              <w:ind w:left="60" w:right="60"/>
              <w:rPr>
                <w:rFonts w:ascii="Arial" w:eastAsia="Arial" w:hAnsi="Arial" w:cs="Arial"/>
                <w:color w:val="000000"/>
                <w:sz w:val="18"/>
                <w:szCs w:val="18"/>
              </w:rPr>
            </w:pPr>
            <w:r>
              <w:rPr>
                <w:rFonts w:ascii="Arial" w:eastAsia="Arial" w:hAnsi="Arial" w:cs="Arial"/>
                <w:color w:val="000000"/>
                <w:sz w:val="18"/>
                <w:szCs w:val="18"/>
              </w:rPr>
              <w:t xml:space="preserve">a. Predictors: (Constant), ENVS10, ENVS2, ENVS6, ENVS7, ENVS9, ENVS1, ENVS5, </w:t>
            </w:r>
            <w:r>
              <w:rPr>
                <w:rFonts w:ascii="Arial" w:eastAsia="Arial" w:hAnsi="Arial" w:cs="Arial"/>
                <w:color w:val="000000"/>
                <w:sz w:val="18"/>
                <w:szCs w:val="18"/>
              </w:rPr>
              <w:t>ENVS8, ENVS4, ENVS3</w:t>
            </w:r>
          </w:p>
        </w:tc>
      </w:tr>
      <w:tr w:rsidR="00D41ED0" w14:paraId="32C9262C" w14:textId="77777777">
        <w:trPr>
          <w:cantSplit/>
        </w:trPr>
        <w:tc>
          <w:tcPr>
            <w:tcW w:w="8790" w:type="dxa"/>
            <w:gridSpan w:val="6"/>
            <w:tcBorders>
              <w:top w:val="nil"/>
              <w:left w:val="nil"/>
              <w:bottom w:val="nil"/>
              <w:right w:val="nil"/>
            </w:tcBorders>
            <w:shd w:val="clear" w:color="auto" w:fill="FFFFFF"/>
          </w:tcPr>
          <w:p w14:paraId="5B42F54B" w14:textId="77777777" w:rsidR="00D41ED0" w:rsidRDefault="00CB0D2A">
            <w:pPr>
              <w:spacing w:after="0"/>
              <w:ind w:left="60" w:right="60"/>
              <w:rPr>
                <w:rFonts w:ascii="Arial" w:eastAsia="Arial" w:hAnsi="Arial" w:cs="Arial"/>
                <w:color w:val="000000"/>
                <w:sz w:val="18"/>
                <w:szCs w:val="18"/>
              </w:rPr>
            </w:pPr>
            <w:r>
              <w:rPr>
                <w:rFonts w:ascii="Arial" w:eastAsia="Arial" w:hAnsi="Arial" w:cs="Arial"/>
                <w:color w:val="000000"/>
                <w:sz w:val="18"/>
                <w:szCs w:val="18"/>
              </w:rPr>
              <w:t>b. Dependent Variable: ENVS</w:t>
            </w:r>
          </w:p>
        </w:tc>
      </w:tr>
      <w:tr w:rsidR="00D41ED0" w14:paraId="0EA07798" w14:textId="77777777">
        <w:trPr>
          <w:cantSplit/>
        </w:trPr>
        <w:tc>
          <w:tcPr>
            <w:tcW w:w="8790" w:type="dxa"/>
            <w:gridSpan w:val="6"/>
            <w:tcBorders>
              <w:top w:val="nil"/>
              <w:left w:val="nil"/>
              <w:bottom w:val="nil"/>
              <w:right w:val="nil"/>
            </w:tcBorders>
            <w:shd w:val="clear" w:color="auto" w:fill="FFFFFF"/>
          </w:tcPr>
          <w:p w14:paraId="69CA3D59" w14:textId="77777777" w:rsidR="00D41ED0" w:rsidRDefault="00D41ED0">
            <w:pPr>
              <w:spacing w:after="0"/>
              <w:ind w:right="60"/>
              <w:rPr>
                <w:rFonts w:ascii="Arial" w:eastAsia="Arial" w:hAnsi="Arial" w:cs="Arial"/>
                <w:color w:val="000000"/>
                <w:sz w:val="18"/>
                <w:szCs w:val="18"/>
              </w:rPr>
            </w:pPr>
          </w:p>
        </w:tc>
      </w:tr>
    </w:tbl>
    <w:p w14:paraId="3D18CA27"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Table 5 shows Regression Sum of Squares (SSR = 73.519): This is the variation accounted for by your model — i.e., how much variance in the dependent variable (ENVS) is accounted for by the predictors </w:t>
      </w:r>
      <w:r>
        <w:rPr>
          <w:rFonts w:ascii="Arial" w:eastAsia="Arial" w:hAnsi="Arial" w:cs="Arial"/>
          <w:sz w:val="20"/>
          <w:szCs w:val="20"/>
        </w:rPr>
        <w:t>(ENVS1 through ENVS10).</w:t>
      </w:r>
    </w:p>
    <w:p w14:paraId="7B0FFC07"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Residual Sum of Squares (SSE = 40.458): This is the variation unexplained — the portion of the dependent variable the model failed to predict. Total Sum of Squares (SST = 113.977): Total variance in the dependent variable (SSR + SSE</w:t>
      </w:r>
      <w:r>
        <w:rPr>
          <w:rFonts w:ascii="Arial" w:eastAsia="Arial" w:hAnsi="Arial" w:cs="Arial"/>
          <w:sz w:val="20"/>
          <w:szCs w:val="20"/>
        </w:rPr>
        <w:t>).</w:t>
      </w:r>
    </w:p>
    <w:p w14:paraId="2F448BC9"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w:t>
      </w:r>
    </w:p>
    <w:p w14:paraId="73B35F94"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Mean Square: Regression: 73.519 / 10 = 7.352, Residual: 40.458 / 160 = 0.253</w:t>
      </w:r>
    </w:p>
    <w:p w14:paraId="4366AE7F"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F-statistic = 29.075: This is the ratio of explained to unexplained variance. A large F-value indicates that the model improves prediction a lot more than using the mean </w:t>
      </w:r>
      <w:r>
        <w:rPr>
          <w:rFonts w:ascii="Arial" w:eastAsia="Arial" w:hAnsi="Arial" w:cs="Arial"/>
          <w:sz w:val="20"/>
          <w:szCs w:val="20"/>
        </w:rPr>
        <w:t>alone.</w:t>
      </w:r>
    </w:p>
    <w:p w14:paraId="5541102F"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Sig. (p-value) = 0.000: Because p &lt; 0.05, the model is statistically significant — that is, at least one of the predictors has a significant linear relationship with the dependent variable.</w:t>
      </w:r>
    </w:p>
    <w:p w14:paraId="3C16B0F1"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 </w:t>
      </w:r>
    </w:p>
    <w:p w14:paraId="4D8EED89"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Here for this study the ANOVA table verifies that the reg</w:t>
      </w:r>
      <w:r>
        <w:rPr>
          <w:rFonts w:ascii="Arial" w:eastAsia="Arial" w:hAnsi="Arial" w:cs="Arial"/>
          <w:sz w:val="20"/>
          <w:szCs w:val="20"/>
        </w:rPr>
        <w:t>ression model is significantly significant (p &lt; 0.001). This indicates the group of predictors (ENVS1 through ENVS10) as a group make a significant contribution towards explaining the variance in the dependent variable (ENVS). The large F-value and small p</w:t>
      </w:r>
      <w:r>
        <w:rPr>
          <w:rFonts w:ascii="Arial" w:eastAsia="Arial" w:hAnsi="Arial" w:cs="Arial"/>
          <w:sz w:val="20"/>
          <w:szCs w:val="20"/>
        </w:rPr>
        <w:t>-value further add to the reliability of the model, complementing the previous good R-squared values.</w:t>
      </w:r>
    </w:p>
    <w:p w14:paraId="7F3B6E64" w14:textId="77777777" w:rsidR="00D41ED0" w:rsidRDefault="00D41ED0">
      <w:pPr>
        <w:spacing w:after="0" w:line="360" w:lineRule="auto"/>
        <w:jc w:val="both"/>
        <w:rPr>
          <w:rFonts w:ascii="Arial" w:eastAsia="Arial" w:hAnsi="Arial" w:cs="Arial"/>
          <w:sz w:val="20"/>
          <w:szCs w:val="20"/>
        </w:rPr>
      </w:pPr>
    </w:p>
    <w:p w14:paraId="2606F96D" w14:textId="77777777" w:rsidR="00D41ED0" w:rsidRDefault="00D41ED0">
      <w:pPr>
        <w:spacing w:after="0" w:line="360" w:lineRule="auto"/>
        <w:jc w:val="both"/>
        <w:rPr>
          <w:rFonts w:ascii="Arial" w:eastAsia="Arial" w:hAnsi="Arial" w:cs="Arial"/>
          <w:b/>
          <w:sz w:val="20"/>
          <w:szCs w:val="20"/>
        </w:rPr>
      </w:pPr>
    </w:p>
    <w:p w14:paraId="749B9141" w14:textId="77777777" w:rsidR="00D41ED0" w:rsidRDefault="00D41ED0">
      <w:pPr>
        <w:spacing w:after="0" w:line="360" w:lineRule="auto"/>
        <w:jc w:val="both"/>
        <w:rPr>
          <w:rFonts w:ascii="Arial" w:eastAsia="Arial" w:hAnsi="Arial" w:cs="Arial"/>
          <w:b/>
          <w:sz w:val="20"/>
          <w:szCs w:val="20"/>
        </w:rPr>
      </w:pPr>
    </w:p>
    <w:p w14:paraId="0F204F78" w14:textId="6F2F66DF" w:rsidR="00D41ED0" w:rsidRPr="007F708F" w:rsidRDefault="00CB0D2A">
      <w:pPr>
        <w:spacing w:after="0" w:line="360" w:lineRule="auto"/>
        <w:jc w:val="both"/>
        <w:rPr>
          <w:rFonts w:ascii="Arial" w:eastAsia="Arial" w:hAnsi="Arial" w:cs="Arial"/>
          <w:b/>
          <w:sz w:val="20"/>
          <w:szCs w:val="20"/>
        </w:rPr>
      </w:pPr>
      <w:r>
        <w:rPr>
          <w:rFonts w:ascii="Arial" w:eastAsia="Arial" w:hAnsi="Arial" w:cs="Arial"/>
          <w:b/>
          <w:sz w:val="20"/>
          <w:szCs w:val="20"/>
        </w:rPr>
        <w:t xml:space="preserve">TABLE-5       </w:t>
      </w:r>
      <w:proofErr w:type="spellStart"/>
      <w:r>
        <w:rPr>
          <w:rFonts w:ascii="Arial" w:eastAsia="Arial" w:hAnsi="Arial" w:cs="Arial"/>
          <w:b/>
          <w:sz w:val="20"/>
          <w:szCs w:val="20"/>
        </w:rPr>
        <w:t>ANOVA</w:t>
      </w:r>
      <w:r>
        <w:rPr>
          <w:rFonts w:ascii="Arial" w:eastAsia="Arial" w:hAnsi="Arial" w:cs="Arial"/>
          <w:b/>
          <w:sz w:val="20"/>
          <w:szCs w:val="20"/>
          <w:vertAlign w:val="superscript"/>
        </w:rPr>
        <w:t>a</w:t>
      </w:r>
      <w:proofErr w:type="spellEnd"/>
      <w:r w:rsidR="007F708F">
        <w:rPr>
          <w:rFonts w:ascii="Arial" w:eastAsia="Arial" w:hAnsi="Arial" w:cs="Arial"/>
          <w:b/>
          <w:sz w:val="20"/>
          <w:szCs w:val="20"/>
        </w:rPr>
        <w:t xml:space="preserve"> Result</w:t>
      </w:r>
    </w:p>
    <w:tbl>
      <w:tblPr>
        <w:tblStyle w:val="ac"/>
        <w:tblW w:w="1014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26"/>
        <w:gridCol w:w="1575"/>
        <w:gridCol w:w="1800"/>
        <w:gridCol w:w="1245"/>
        <w:gridCol w:w="1725"/>
        <w:gridCol w:w="1245"/>
        <w:gridCol w:w="1230"/>
      </w:tblGrid>
      <w:tr w:rsidR="00D41ED0" w14:paraId="31B47D9F" w14:textId="77777777" w:rsidTr="009D4653">
        <w:trPr>
          <w:cantSplit/>
        </w:trPr>
        <w:tc>
          <w:tcPr>
            <w:tcW w:w="10146" w:type="dxa"/>
            <w:gridSpan w:val="7"/>
            <w:tcBorders>
              <w:top w:val="nil"/>
              <w:left w:val="nil"/>
              <w:bottom w:val="nil"/>
              <w:right w:val="nil"/>
            </w:tcBorders>
            <w:shd w:val="clear" w:color="auto" w:fill="FFFFFF"/>
          </w:tcPr>
          <w:p w14:paraId="659574F3" w14:textId="77777777" w:rsidR="00D41ED0" w:rsidRDefault="00D41ED0">
            <w:pPr>
              <w:spacing w:after="0"/>
              <w:ind w:left="60" w:right="60"/>
              <w:jc w:val="center"/>
              <w:rPr>
                <w:rFonts w:ascii="Arial" w:eastAsia="Arial" w:hAnsi="Arial" w:cs="Arial"/>
                <w:color w:val="000000"/>
                <w:sz w:val="18"/>
                <w:szCs w:val="18"/>
              </w:rPr>
            </w:pPr>
          </w:p>
        </w:tc>
      </w:tr>
      <w:tr w:rsidR="00D41ED0" w14:paraId="20BD2714" w14:textId="77777777" w:rsidTr="009D4653">
        <w:trPr>
          <w:cantSplit/>
        </w:trPr>
        <w:tc>
          <w:tcPr>
            <w:tcW w:w="2901" w:type="dxa"/>
            <w:gridSpan w:val="2"/>
            <w:tcBorders>
              <w:top w:val="single" w:sz="16" w:space="0" w:color="000000"/>
              <w:left w:val="nil"/>
              <w:bottom w:val="single" w:sz="16" w:space="0" w:color="000000"/>
              <w:right w:val="nil"/>
            </w:tcBorders>
            <w:shd w:val="clear" w:color="auto" w:fill="FFFFFF"/>
          </w:tcPr>
          <w:p w14:paraId="74441373"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Model</w:t>
            </w:r>
          </w:p>
        </w:tc>
        <w:tc>
          <w:tcPr>
            <w:tcW w:w="1800" w:type="dxa"/>
            <w:tcBorders>
              <w:top w:val="single" w:sz="16" w:space="0" w:color="000000"/>
              <w:left w:val="nil"/>
              <w:bottom w:val="single" w:sz="16" w:space="0" w:color="000000"/>
              <w:right w:val="nil"/>
            </w:tcBorders>
            <w:shd w:val="clear" w:color="auto" w:fill="FFFFFF"/>
          </w:tcPr>
          <w:p w14:paraId="72AB290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Sum of Squares</w:t>
            </w:r>
          </w:p>
        </w:tc>
        <w:tc>
          <w:tcPr>
            <w:tcW w:w="1245" w:type="dxa"/>
            <w:tcBorders>
              <w:top w:val="single" w:sz="16" w:space="0" w:color="000000"/>
              <w:left w:val="nil"/>
              <w:bottom w:val="single" w:sz="16" w:space="0" w:color="000000"/>
              <w:right w:val="nil"/>
            </w:tcBorders>
            <w:shd w:val="clear" w:color="auto" w:fill="FFFFFF"/>
          </w:tcPr>
          <w:p w14:paraId="2B529E62"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df</w:t>
            </w:r>
          </w:p>
        </w:tc>
        <w:tc>
          <w:tcPr>
            <w:tcW w:w="1725" w:type="dxa"/>
            <w:tcBorders>
              <w:top w:val="single" w:sz="16" w:space="0" w:color="000000"/>
              <w:left w:val="nil"/>
              <w:bottom w:val="single" w:sz="16" w:space="0" w:color="000000"/>
              <w:right w:val="nil"/>
            </w:tcBorders>
            <w:shd w:val="clear" w:color="auto" w:fill="FFFFFF"/>
          </w:tcPr>
          <w:p w14:paraId="1B92D42B"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Mean Square</w:t>
            </w:r>
          </w:p>
        </w:tc>
        <w:tc>
          <w:tcPr>
            <w:tcW w:w="1245" w:type="dxa"/>
            <w:tcBorders>
              <w:top w:val="single" w:sz="16" w:space="0" w:color="000000"/>
              <w:left w:val="nil"/>
              <w:bottom w:val="single" w:sz="16" w:space="0" w:color="000000"/>
              <w:right w:val="nil"/>
            </w:tcBorders>
            <w:shd w:val="clear" w:color="auto" w:fill="FFFFFF"/>
          </w:tcPr>
          <w:p w14:paraId="6AE242C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F</w:t>
            </w:r>
          </w:p>
        </w:tc>
        <w:tc>
          <w:tcPr>
            <w:tcW w:w="1230" w:type="dxa"/>
            <w:tcBorders>
              <w:top w:val="single" w:sz="16" w:space="0" w:color="000000"/>
              <w:left w:val="nil"/>
              <w:bottom w:val="single" w:sz="16" w:space="0" w:color="000000"/>
              <w:right w:val="nil"/>
            </w:tcBorders>
            <w:shd w:val="clear" w:color="auto" w:fill="FFFFFF"/>
          </w:tcPr>
          <w:p w14:paraId="05296966"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Sig.</w:t>
            </w:r>
          </w:p>
        </w:tc>
      </w:tr>
      <w:tr w:rsidR="00D41ED0" w14:paraId="446A07FF" w14:textId="77777777" w:rsidTr="009D4653">
        <w:trPr>
          <w:cantSplit/>
        </w:trPr>
        <w:tc>
          <w:tcPr>
            <w:tcW w:w="1326" w:type="dxa"/>
            <w:vMerge w:val="restart"/>
            <w:tcBorders>
              <w:top w:val="single" w:sz="16" w:space="0" w:color="000000"/>
              <w:left w:val="nil"/>
              <w:bottom w:val="single" w:sz="16" w:space="0" w:color="000000"/>
              <w:right w:val="nil"/>
            </w:tcBorders>
            <w:shd w:val="clear" w:color="auto" w:fill="FFFFFF"/>
            <w:vAlign w:val="center"/>
          </w:tcPr>
          <w:p w14:paraId="1390E683"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1</w:t>
            </w:r>
          </w:p>
        </w:tc>
        <w:tc>
          <w:tcPr>
            <w:tcW w:w="1575" w:type="dxa"/>
            <w:tcBorders>
              <w:top w:val="single" w:sz="16" w:space="0" w:color="000000"/>
              <w:left w:val="nil"/>
              <w:bottom w:val="nil"/>
              <w:right w:val="nil"/>
            </w:tcBorders>
            <w:shd w:val="clear" w:color="auto" w:fill="FFFFFF"/>
            <w:vAlign w:val="center"/>
          </w:tcPr>
          <w:p w14:paraId="38E7E491"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Regression</w:t>
            </w:r>
          </w:p>
        </w:tc>
        <w:tc>
          <w:tcPr>
            <w:tcW w:w="1800" w:type="dxa"/>
            <w:tcBorders>
              <w:top w:val="single" w:sz="16" w:space="0" w:color="000000"/>
              <w:left w:val="nil"/>
              <w:bottom w:val="nil"/>
              <w:right w:val="nil"/>
            </w:tcBorders>
            <w:shd w:val="clear" w:color="auto" w:fill="FFFFFF"/>
            <w:vAlign w:val="center"/>
          </w:tcPr>
          <w:p w14:paraId="3338524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73.519</w:t>
            </w:r>
          </w:p>
        </w:tc>
        <w:tc>
          <w:tcPr>
            <w:tcW w:w="1245" w:type="dxa"/>
            <w:tcBorders>
              <w:top w:val="single" w:sz="16" w:space="0" w:color="000000"/>
              <w:left w:val="nil"/>
              <w:bottom w:val="nil"/>
              <w:right w:val="nil"/>
            </w:tcBorders>
            <w:shd w:val="clear" w:color="auto" w:fill="FFFFFF"/>
            <w:vAlign w:val="center"/>
          </w:tcPr>
          <w:p w14:paraId="12B8A80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w:t>
            </w:r>
          </w:p>
        </w:tc>
        <w:tc>
          <w:tcPr>
            <w:tcW w:w="1725" w:type="dxa"/>
            <w:tcBorders>
              <w:top w:val="single" w:sz="16" w:space="0" w:color="000000"/>
              <w:left w:val="nil"/>
              <w:bottom w:val="nil"/>
              <w:right w:val="nil"/>
            </w:tcBorders>
            <w:shd w:val="clear" w:color="auto" w:fill="FFFFFF"/>
            <w:vAlign w:val="center"/>
          </w:tcPr>
          <w:p w14:paraId="511336F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7.352</w:t>
            </w:r>
          </w:p>
        </w:tc>
        <w:tc>
          <w:tcPr>
            <w:tcW w:w="1245" w:type="dxa"/>
            <w:tcBorders>
              <w:top w:val="single" w:sz="16" w:space="0" w:color="000000"/>
              <w:left w:val="nil"/>
              <w:bottom w:val="nil"/>
              <w:right w:val="nil"/>
            </w:tcBorders>
            <w:shd w:val="clear" w:color="auto" w:fill="FFFFFF"/>
            <w:vAlign w:val="center"/>
          </w:tcPr>
          <w:p w14:paraId="693159F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29.075</w:t>
            </w:r>
          </w:p>
        </w:tc>
        <w:tc>
          <w:tcPr>
            <w:tcW w:w="1230" w:type="dxa"/>
            <w:tcBorders>
              <w:top w:val="single" w:sz="16" w:space="0" w:color="000000"/>
              <w:left w:val="nil"/>
              <w:bottom w:val="nil"/>
              <w:right w:val="nil"/>
            </w:tcBorders>
            <w:shd w:val="clear" w:color="auto" w:fill="FFFFFF"/>
            <w:vAlign w:val="center"/>
          </w:tcPr>
          <w:p w14:paraId="2554E1E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r>
              <w:rPr>
                <w:rFonts w:ascii="Arial" w:eastAsia="Arial" w:hAnsi="Arial" w:cs="Arial"/>
                <w:color w:val="000000"/>
                <w:sz w:val="20"/>
                <w:szCs w:val="20"/>
                <w:vertAlign w:val="superscript"/>
              </w:rPr>
              <w:t>b</w:t>
            </w:r>
          </w:p>
        </w:tc>
      </w:tr>
      <w:tr w:rsidR="00D41ED0" w14:paraId="3ED179F3" w14:textId="77777777" w:rsidTr="009D4653">
        <w:trPr>
          <w:cantSplit/>
        </w:trPr>
        <w:tc>
          <w:tcPr>
            <w:tcW w:w="1326" w:type="dxa"/>
            <w:vMerge/>
            <w:tcBorders>
              <w:top w:val="single" w:sz="16" w:space="0" w:color="000000"/>
              <w:left w:val="nil"/>
              <w:bottom w:val="single" w:sz="16" w:space="0" w:color="000000"/>
              <w:right w:val="nil"/>
            </w:tcBorders>
            <w:shd w:val="clear" w:color="auto" w:fill="FFFFFF"/>
            <w:vAlign w:val="center"/>
          </w:tcPr>
          <w:p w14:paraId="32C18F43"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1575" w:type="dxa"/>
            <w:tcBorders>
              <w:top w:val="nil"/>
              <w:left w:val="nil"/>
              <w:bottom w:val="nil"/>
              <w:right w:val="nil"/>
            </w:tcBorders>
            <w:shd w:val="clear" w:color="auto" w:fill="FFFFFF"/>
            <w:vAlign w:val="center"/>
          </w:tcPr>
          <w:p w14:paraId="46A1DE1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Residual</w:t>
            </w:r>
          </w:p>
        </w:tc>
        <w:tc>
          <w:tcPr>
            <w:tcW w:w="1800" w:type="dxa"/>
            <w:tcBorders>
              <w:top w:val="nil"/>
              <w:left w:val="nil"/>
              <w:bottom w:val="nil"/>
              <w:right w:val="nil"/>
            </w:tcBorders>
            <w:shd w:val="clear" w:color="auto" w:fill="FFFFFF"/>
            <w:vAlign w:val="center"/>
          </w:tcPr>
          <w:p w14:paraId="4AD1457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40.458</w:t>
            </w:r>
          </w:p>
        </w:tc>
        <w:tc>
          <w:tcPr>
            <w:tcW w:w="1245" w:type="dxa"/>
            <w:tcBorders>
              <w:top w:val="nil"/>
              <w:left w:val="nil"/>
              <w:bottom w:val="nil"/>
              <w:right w:val="nil"/>
            </w:tcBorders>
            <w:shd w:val="clear" w:color="auto" w:fill="FFFFFF"/>
            <w:vAlign w:val="center"/>
          </w:tcPr>
          <w:p w14:paraId="596383E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160</w:t>
            </w:r>
          </w:p>
        </w:tc>
        <w:tc>
          <w:tcPr>
            <w:tcW w:w="1725" w:type="dxa"/>
            <w:tcBorders>
              <w:top w:val="nil"/>
              <w:left w:val="nil"/>
              <w:bottom w:val="nil"/>
              <w:right w:val="nil"/>
            </w:tcBorders>
            <w:shd w:val="clear" w:color="auto" w:fill="FFFFFF"/>
            <w:vAlign w:val="center"/>
          </w:tcPr>
          <w:p w14:paraId="59C9322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.253</w:t>
            </w:r>
          </w:p>
        </w:tc>
        <w:tc>
          <w:tcPr>
            <w:tcW w:w="1245" w:type="dxa"/>
            <w:tcBorders>
              <w:top w:val="nil"/>
              <w:left w:val="nil"/>
              <w:bottom w:val="nil"/>
              <w:right w:val="nil"/>
            </w:tcBorders>
            <w:shd w:val="clear" w:color="auto" w:fill="FFFFFF"/>
          </w:tcPr>
          <w:p w14:paraId="1695E334" w14:textId="77777777" w:rsidR="00D41ED0" w:rsidRDefault="00D41ED0">
            <w:pPr>
              <w:spacing w:after="0" w:line="240" w:lineRule="auto"/>
              <w:rPr>
                <w:rFonts w:ascii="Arial" w:eastAsia="Arial" w:hAnsi="Arial" w:cs="Arial"/>
                <w:sz w:val="20"/>
                <w:szCs w:val="20"/>
              </w:rPr>
            </w:pPr>
          </w:p>
        </w:tc>
        <w:tc>
          <w:tcPr>
            <w:tcW w:w="1230" w:type="dxa"/>
            <w:tcBorders>
              <w:top w:val="nil"/>
              <w:left w:val="nil"/>
              <w:bottom w:val="nil"/>
              <w:right w:val="nil"/>
            </w:tcBorders>
            <w:shd w:val="clear" w:color="auto" w:fill="FFFFFF"/>
          </w:tcPr>
          <w:p w14:paraId="0F39FDFD" w14:textId="77777777" w:rsidR="00D41ED0" w:rsidRDefault="00D41ED0">
            <w:pPr>
              <w:spacing w:after="0" w:line="240" w:lineRule="auto"/>
              <w:rPr>
                <w:rFonts w:ascii="Arial" w:eastAsia="Arial" w:hAnsi="Arial" w:cs="Arial"/>
                <w:sz w:val="20"/>
                <w:szCs w:val="20"/>
              </w:rPr>
            </w:pPr>
          </w:p>
        </w:tc>
      </w:tr>
      <w:tr w:rsidR="00D41ED0" w14:paraId="2264AE32" w14:textId="77777777" w:rsidTr="009D4653">
        <w:trPr>
          <w:cantSplit/>
        </w:trPr>
        <w:tc>
          <w:tcPr>
            <w:tcW w:w="1326" w:type="dxa"/>
            <w:vMerge/>
            <w:tcBorders>
              <w:top w:val="single" w:sz="16" w:space="0" w:color="000000"/>
              <w:left w:val="nil"/>
              <w:bottom w:val="single" w:sz="16" w:space="0" w:color="000000"/>
              <w:right w:val="nil"/>
            </w:tcBorders>
            <w:shd w:val="clear" w:color="auto" w:fill="FFFFFF"/>
            <w:vAlign w:val="center"/>
          </w:tcPr>
          <w:p w14:paraId="05402B1C" w14:textId="77777777" w:rsidR="00D41ED0" w:rsidRDefault="00D41ED0">
            <w:pPr>
              <w:widowControl w:val="0"/>
              <w:pBdr>
                <w:top w:val="nil"/>
                <w:left w:val="nil"/>
                <w:bottom w:val="nil"/>
                <w:right w:val="nil"/>
                <w:between w:val="nil"/>
              </w:pBdr>
              <w:spacing w:after="0"/>
              <w:rPr>
                <w:rFonts w:ascii="Arial" w:eastAsia="Arial" w:hAnsi="Arial" w:cs="Arial"/>
                <w:sz w:val="20"/>
                <w:szCs w:val="20"/>
              </w:rPr>
            </w:pPr>
          </w:p>
        </w:tc>
        <w:tc>
          <w:tcPr>
            <w:tcW w:w="1575" w:type="dxa"/>
            <w:tcBorders>
              <w:top w:val="nil"/>
              <w:left w:val="nil"/>
              <w:bottom w:val="single" w:sz="16" w:space="0" w:color="000000"/>
              <w:right w:val="nil"/>
            </w:tcBorders>
            <w:shd w:val="clear" w:color="auto" w:fill="FFFFFF"/>
            <w:vAlign w:val="center"/>
          </w:tcPr>
          <w:p w14:paraId="09C27DC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1800" w:type="dxa"/>
            <w:tcBorders>
              <w:top w:val="nil"/>
              <w:left w:val="nil"/>
              <w:bottom w:val="single" w:sz="16" w:space="0" w:color="000000"/>
              <w:right w:val="nil"/>
            </w:tcBorders>
            <w:shd w:val="clear" w:color="auto" w:fill="FFFFFF"/>
            <w:vAlign w:val="center"/>
          </w:tcPr>
          <w:p w14:paraId="055F31E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113.977</w:t>
            </w:r>
          </w:p>
        </w:tc>
        <w:tc>
          <w:tcPr>
            <w:tcW w:w="1245" w:type="dxa"/>
            <w:tcBorders>
              <w:top w:val="nil"/>
              <w:left w:val="nil"/>
              <w:bottom w:val="single" w:sz="16" w:space="0" w:color="000000"/>
              <w:right w:val="nil"/>
            </w:tcBorders>
            <w:shd w:val="clear" w:color="auto" w:fill="FFFFFF"/>
            <w:vAlign w:val="center"/>
          </w:tcPr>
          <w:p w14:paraId="3009334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170</w:t>
            </w:r>
          </w:p>
        </w:tc>
        <w:tc>
          <w:tcPr>
            <w:tcW w:w="1725" w:type="dxa"/>
            <w:tcBorders>
              <w:top w:val="nil"/>
              <w:left w:val="nil"/>
              <w:bottom w:val="single" w:sz="16" w:space="0" w:color="000000"/>
              <w:right w:val="nil"/>
            </w:tcBorders>
            <w:shd w:val="clear" w:color="auto" w:fill="FFFFFF"/>
          </w:tcPr>
          <w:p w14:paraId="6C00B02F" w14:textId="77777777" w:rsidR="00D41ED0" w:rsidRDefault="00D41ED0">
            <w:pPr>
              <w:spacing w:after="0" w:line="240" w:lineRule="auto"/>
              <w:rPr>
                <w:rFonts w:ascii="Arial" w:eastAsia="Arial" w:hAnsi="Arial" w:cs="Arial"/>
                <w:sz w:val="20"/>
                <w:szCs w:val="20"/>
              </w:rPr>
            </w:pPr>
          </w:p>
        </w:tc>
        <w:tc>
          <w:tcPr>
            <w:tcW w:w="1245" w:type="dxa"/>
            <w:tcBorders>
              <w:top w:val="nil"/>
              <w:left w:val="nil"/>
              <w:bottom w:val="single" w:sz="16" w:space="0" w:color="000000"/>
              <w:right w:val="nil"/>
            </w:tcBorders>
            <w:shd w:val="clear" w:color="auto" w:fill="FFFFFF"/>
          </w:tcPr>
          <w:p w14:paraId="7173FE45" w14:textId="77777777" w:rsidR="00D41ED0" w:rsidRDefault="00D41ED0">
            <w:pPr>
              <w:spacing w:after="0" w:line="240" w:lineRule="auto"/>
              <w:rPr>
                <w:rFonts w:ascii="Arial" w:eastAsia="Arial" w:hAnsi="Arial" w:cs="Arial"/>
                <w:sz w:val="20"/>
                <w:szCs w:val="20"/>
              </w:rPr>
            </w:pPr>
          </w:p>
        </w:tc>
        <w:tc>
          <w:tcPr>
            <w:tcW w:w="1230" w:type="dxa"/>
            <w:tcBorders>
              <w:top w:val="nil"/>
              <w:left w:val="nil"/>
              <w:bottom w:val="single" w:sz="16" w:space="0" w:color="000000"/>
              <w:right w:val="nil"/>
            </w:tcBorders>
            <w:shd w:val="clear" w:color="auto" w:fill="FFFFFF"/>
          </w:tcPr>
          <w:p w14:paraId="09EE9F5F" w14:textId="77777777" w:rsidR="00D41ED0" w:rsidRDefault="00D41ED0">
            <w:pPr>
              <w:spacing w:after="0" w:line="240" w:lineRule="auto"/>
              <w:rPr>
                <w:rFonts w:ascii="Arial" w:eastAsia="Arial" w:hAnsi="Arial" w:cs="Arial"/>
                <w:sz w:val="20"/>
                <w:szCs w:val="20"/>
              </w:rPr>
            </w:pPr>
          </w:p>
        </w:tc>
      </w:tr>
      <w:tr w:rsidR="00D41ED0" w14:paraId="19326585" w14:textId="77777777" w:rsidTr="009D4653">
        <w:trPr>
          <w:cantSplit/>
        </w:trPr>
        <w:tc>
          <w:tcPr>
            <w:tcW w:w="10146" w:type="dxa"/>
            <w:gridSpan w:val="7"/>
            <w:tcBorders>
              <w:top w:val="nil"/>
              <w:left w:val="nil"/>
              <w:bottom w:val="nil"/>
              <w:right w:val="nil"/>
            </w:tcBorders>
            <w:shd w:val="clear" w:color="auto" w:fill="FFFFFF"/>
          </w:tcPr>
          <w:p w14:paraId="0B7B6DDD" w14:textId="77777777" w:rsidR="00D41ED0" w:rsidRDefault="00CB0D2A">
            <w:pPr>
              <w:spacing w:after="0"/>
              <w:ind w:left="60" w:right="60"/>
              <w:rPr>
                <w:rFonts w:ascii="Arial" w:eastAsia="Arial" w:hAnsi="Arial" w:cs="Arial"/>
                <w:color w:val="000000"/>
                <w:sz w:val="18"/>
                <w:szCs w:val="18"/>
              </w:rPr>
            </w:pPr>
            <w:r>
              <w:rPr>
                <w:rFonts w:ascii="Arial" w:eastAsia="Arial" w:hAnsi="Arial" w:cs="Arial"/>
                <w:color w:val="000000"/>
                <w:sz w:val="18"/>
                <w:szCs w:val="18"/>
              </w:rPr>
              <w:t>a. Dependent Variable: ENVS</w:t>
            </w:r>
          </w:p>
        </w:tc>
      </w:tr>
      <w:tr w:rsidR="00D41ED0" w14:paraId="267862A2" w14:textId="77777777" w:rsidTr="009D4653">
        <w:trPr>
          <w:cantSplit/>
        </w:trPr>
        <w:tc>
          <w:tcPr>
            <w:tcW w:w="10146" w:type="dxa"/>
            <w:gridSpan w:val="7"/>
            <w:tcBorders>
              <w:top w:val="nil"/>
              <w:left w:val="nil"/>
              <w:bottom w:val="nil"/>
              <w:right w:val="nil"/>
            </w:tcBorders>
            <w:shd w:val="clear" w:color="auto" w:fill="FFFFFF"/>
          </w:tcPr>
          <w:p w14:paraId="3D6D5591" w14:textId="77777777" w:rsidR="00D41ED0" w:rsidRDefault="00CB0D2A">
            <w:pPr>
              <w:spacing w:after="0"/>
              <w:ind w:left="60" w:right="60"/>
              <w:rPr>
                <w:rFonts w:ascii="Arial" w:eastAsia="Arial" w:hAnsi="Arial" w:cs="Arial"/>
                <w:color w:val="000000"/>
                <w:sz w:val="18"/>
                <w:szCs w:val="18"/>
              </w:rPr>
            </w:pPr>
            <w:r>
              <w:rPr>
                <w:rFonts w:ascii="Arial" w:eastAsia="Arial" w:hAnsi="Arial" w:cs="Arial"/>
                <w:color w:val="000000"/>
                <w:sz w:val="18"/>
                <w:szCs w:val="18"/>
              </w:rPr>
              <w:t>b. Predictors: (Constant), ENVS10, ENVS2, ENVS6, ENVS7, ENVS9, ENVS1, ENVS5, ENVS8, ENVS4, ENVS3</w:t>
            </w:r>
          </w:p>
        </w:tc>
      </w:tr>
    </w:tbl>
    <w:p w14:paraId="736CBB36"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Table 6 represents Significant Predictors (p &lt; 0.05): ENVS1, ENVS2, ENVS3, ENVS5, ENVS7 are significant.</w:t>
      </w:r>
    </w:p>
    <w:p w14:paraId="2D570912"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Of </w:t>
      </w:r>
      <w:r>
        <w:rPr>
          <w:rFonts w:ascii="Arial" w:eastAsia="Arial" w:hAnsi="Arial" w:cs="Arial"/>
          <w:sz w:val="20"/>
          <w:szCs w:val="20"/>
        </w:rPr>
        <w:t>these, ENVS3 (B = 0.448, Beta = 0.448) has the highest impact, i.e., it has the maximum contribution in predicting the dependent variable (ENVS). ENVS4 (p = 0.070) and ENVS8 (p = 0.052) are weakly non-significant. ENVS6, ENVS9, ENVS10 do not have a contrib</w:t>
      </w:r>
      <w:r>
        <w:rPr>
          <w:rFonts w:ascii="Arial" w:eastAsia="Arial" w:hAnsi="Arial" w:cs="Arial"/>
          <w:sz w:val="20"/>
          <w:szCs w:val="20"/>
        </w:rPr>
        <w:t>ution to the model. VIF values for all variables are less than 5, which implies no severe multicollinearity.</w:t>
      </w:r>
    </w:p>
    <w:p w14:paraId="7F03B427"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 xml:space="preserve">The regression model specifies ENVS3, ENVS2, and ENVS1 as the most significant predictors of the dependent variable ENVS, with statistically </w:t>
      </w:r>
      <w:r>
        <w:rPr>
          <w:rFonts w:ascii="Arial" w:eastAsia="Arial" w:hAnsi="Arial" w:cs="Arial"/>
          <w:sz w:val="20"/>
          <w:szCs w:val="20"/>
        </w:rPr>
        <w:t>significant positive impacts. Other significant factors are ENVS5 and ENVS7.</w:t>
      </w:r>
    </w:p>
    <w:p w14:paraId="4C233A59" w14:textId="77777777" w:rsidR="00D41ED0" w:rsidRDefault="00CB0D2A">
      <w:pPr>
        <w:spacing w:before="240" w:after="0" w:line="360" w:lineRule="auto"/>
        <w:jc w:val="both"/>
        <w:rPr>
          <w:rFonts w:ascii="Arial" w:eastAsia="Arial" w:hAnsi="Arial" w:cs="Arial"/>
          <w:sz w:val="20"/>
          <w:szCs w:val="20"/>
        </w:rPr>
      </w:pPr>
      <w:r>
        <w:rPr>
          <w:rFonts w:ascii="Arial" w:eastAsia="Arial" w:hAnsi="Arial" w:cs="Arial"/>
          <w:sz w:val="20"/>
          <w:szCs w:val="20"/>
        </w:rPr>
        <w:t>Variables such as ENVS6, ENVS9, and ENVS10 have negligible and non-significant effects and could potentially be excluded in model refinement.</w:t>
      </w:r>
    </w:p>
    <w:p w14:paraId="7E823DAC" w14:textId="77777777" w:rsidR="00D41ED0" w:rsidRDefault="00D41ED0">
      <w:pPr>
        <w:spacing w:after="0" w:line="360" w:lineRule="auto"/>
        <w:jc w:val="both"/>
        <w:rPr>
          <w:rFonts w:ascii="Times New Roman" w:eastAsia="Times New Roman" w:hAnsi="Times New Roman" w:cs="Times New Roman"/>
          <w:sz w:val="24"/>
          <w:szCs w:val="24"/>
        </w:rPr>
      </w:pPr>
    </w:p>
    <w:p w14:paraId="6584EB6A" w14:textId="77777777" w:rsidR="00D41ED0" w:rsidRDefault="00D41ED0">
      <w:pPr>
        <w:spacing w:after="0" w:line="360" w:lineRule="auto"/>
        <w:jc w:val="both"/>
        <w:rPr>
          <w:rFonts w:ascii="Times New Roman" w:eastAsia="Times New Roman" w:hAnsi="Times New Roman" w:cs="Times New Roman"/>
          <w:b/>
          <w:sz w:val="24"/>
          <w:szCs w:val="24"/>
        </w:rPr>
      </w:pPr>
    </w:p>
    <w:p w14:paraId="37482C22" w14:textId="07163CDC" w:rsidR="00D41ED0" w:rsidRPr="007F708F" w:rsidRDefault="00CB0D2A">
      <w:pPr>
        <w:spacing w:after="0" w:line="360" w:lineRule="auto"/>
        <w:jc w:val="both"/>
        <w:rPr>
          <w:rFonts w:ascii="Arial" w:eastAsia="Arial" w:hAnsi="Arial" w:cs="Arial"/>
          <w:b/>
          <w:sz w:val="20"/>
          <w:szCs w:val="20"/>
        </w:rPr>
      </w:pPr>
      <w:r>
        <w:rPr>
          <w:rFonts w:ascii="Arial" w:eastAsia="Arial" w:hAnsi="Arial" w:cs="Arial"/>
          <w:b/>
          <w:sz w:val="20"/>
          <w:szCs w:val="20"/>
        </w:rPr>
        <w:t xml:space="preserve">TABLE-6             </w:t>
      </w:r>
      <w:proofErr w:type="spellStart"/>
      <w:r>
        <w:rPr>
          <w:rFonts w:ascii="Arial" w:eastAsia="Arial" w:hAnsi="Arial" w:cs="Arial"/>
          <w:b/>
          <w:sz w:val="20"/>
          <w:szCs w:val="20"/>
        </w:rPr>
        <w:t>Coefficients</w:t>
      </w:r>
      <w:r>
        <w:rPr>
          <w:rFonts w:ascii="Arial" w:eastAsia="Arial" w:hAnsi="Arial" w:cs="Arial"/>
          <w:b/>
          <w:sz w:val="20"/>
          <w:szCs w:val="20"/>
          <w:vertAlign w:val="superscript"/>
        </w:rPr>
        <w:t>a</w:t>
      </w:r>
      <w:proofErr w:type="spellEnd"/>
      <w:r w:rsidR="007F708F">
        <w:rPr>
          <w:rFonts w:ascii="Arial" w:eastAsia="Arial" w:hAnsi="Arial" w:cs="Arial"/>
          <w:b/>
          <w:sz w:val="20"/>
          <w:szCs w:val="20"/>
        </w:rPr>
        <w:t xml:space="preserve"> Result</w:t>
      </w:r>
    </w:p>
    <w:tbl>
      <w:tblPr>
        <w:tblStyle w:val="ad"/>
        <w:tblW w:w="1056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5"/>
        <w:gridCol w:w="975"/>
        <w:gridCol w:w="915"/>
        <w:gridCol w:w="915"/>
        <w:gridCol w:w="1200"/>
        <w:gridCol w:w="675"/>
        <w:gridCol w:w="675"/>
        <w:gridCol w:w="1005"/>
        <w:gridCol w:w="1005"/>
        <w:gridCol w:w="915"/>
        <w:gridCol w:w="1395"/>
      </w:tblGrid>
      <w:tr w:rsidR="00D41ED0" w14:paraId="1BA66244" w14:textId="77777777">
        <w:trPr>
          <w:cantSplit/>
          <w:trHeight w:val="331"/>
        </w:trPr>
        <w:tc>
          <w:tcPr>
            <w:tcW w:w="10560" w:type="dxa"/>
            <w:gridSpan w:val="11"/>
            <w:tcBorders>
              <w:top w:val="nil"/>
              <w:left w:val="nil"/>
              <w:bottom w:val="nil"/>
              <w:right w:val="nil"/>
            </w:tcBorders>
            <w:shd w:val="clear" w:color="auto" w:fill="FFFFFF"/>
          </w:tcPr>
          <w:p w14:paraId="66D1DA08" w14:textId="77777777" w:rsidR="00D41ED0" w:rsidRDefault="00D41ED0">
            <w:pPr>
              <w:spacing w:after="0"/>
              <w:ind w:left="60" w:right="60"/>
              <w:jc w:val="center"/>
              <w:rPr>
                <w:rFonts w:ascii="Arial" w:eastAsia="Arial" w:hAnsi="Arial" w:cs="Arial"/>
                <w:color w:val="000000"/>
                <w:sz w:val="18"/>
                <w:szCs w:val="18"/>
              </w:rPr>
            </w:pPr>
          </w:p>
        </w:tc>
      </w:tr>
      <w:tr w:rsidR="00D41ED0" w14:paraId="15572ACA" w14:textId="77777777">
        <w:trPr>
          <w:cantSplit/>
          <w:trHeight w:val="688"/>
        </w:trPr>
        <w:tc>
          <w:tcPr>
            <w:tcW w:w="1860" w:type="dxa"/>
            <w:gridSpan w:val="2"/>
            <w:vMerge w:val="restart"/>
            <w:tcBorders>
              <w:top w:val="single" w:sz="16" w:space="0" w:color="000000"/>
              <w:left w:val="nil"/>
              <w:bottom w:val="nil"/>
              <w:right w:val="nil"/>
            </w:tcBorders>
            <w:shd w:val="clear" w:color="auto" w:fill="FFFFFF"/>
          </w:tcPr>
          <w:p w14:paraId="591479C2" w14:textId="77777777" w:rsidR="00D41ED0" w:rsidRDefault="00CB0D2A">
            <w:pPr>
              <w:spacing w:after="0"/>
              <w:ind w:left="60" w:right="60"/>
              <w:rPr>
                <w:rFonts w:ascii="Arial" w:eastAsia="Arial" w:hAnsi="Arial" w:cs="Arial"/>
                <w:b/>
                <w:color w:val="000000"/>
                <w:sz w:val="20"/>
                <w:szCs w:val="20"/>
              </w:rPr>
            </w:pPr>
            <w:r>
              <w:rPr>
                <w:rFonts w:ascii="Arial" w:eastAsia="Arial" w:hAnsi="Arial" w:cs="Arial"/>
                <w:b/>
                <w:color w:val="000000"/>
                <w:sz w:val="20"/>
                <w:szCs w:val="20"/>
              </w:rPr>
              <w:t>Model</w:t>
            </w:r>
          </w:p>
        </w:tc>
        <w:tc>
          <w:tcPr>
            <w:tcW w:w="1830" w:type="dxa"/>
            <w:gridSpan w:val="2"/>
            <w:tcBorders>
              <w:top w:val="single" w:sz="16" w:space="0" w:color="000000"/>
              <w:left w:val="single" w:sz="12" w:space="0" w:color="000000"/>
              <w:bottom w:val="single" w:sz="12" w:space="0" w:color="000000"/>
            </w:tcBorders>
            <w:shd w:val="clear" w:color="auto" w:fill="FFFFFF"/>
          </w:tcPr>
          <w:p w14:paraId="018FE404"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Unstandardized Coefficients</w:t>
            </w:r>
          </w:p>
        </w:tc>
        <w:tc>
          <w:tcPr>
            <w:tcW w:w="1200" w:type="dxa"/>
            <w:tcBorders>
              <w:top w:val="single" w:sz="16" w:space="0" w:color="000000"/>
              <w:left w:val="single" w:sz="12" w:space="0" w:color="000000"/>
              <w:bottom w:val="single" w:sz="12" w:space="0" w:color="000000"/>
              <w:right w:val="single" w:sz="12" w:space="0" w:color="000000"/>
            </w:tcBorders>
            <w:shd w:val="clear" w:color="auto" w:fill="FFFFFF"/>
          </w:tcPr>
          <w:p w14:paraId="082B2D72"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Standardized Coefficients</w:t>
            </w:r>
          </w:p>
        </w:tc>
        <w:tc>
          <w:tcPr>
            <w:tcW w:w="675" w:type="dxa"/>
            <w:vMerge w:val="restart"/>
            <w:tcBorders>
              <w:top w:val="single" w:sz="16" w:space="0" w:color="000000"/>
              <w:left w:val="single" w:sz="12" w:space="0" w:color="000000"/>
              <w:right w:val="single" w:sz="12" w:space="0" w:color="000000"/>
            </w:tcBorders>
            <w:shd w:val="clear" w:color="auto" w:fill="FFFFFF"/>
          </w:tcPr>
          <w:p w14:paraId="7B7B2689"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t</w:t>
            </w:r>
          </w:p>
        </w:tc>
        <w:tc>
          <w:tcPr>
            <w:tcW w:w="675" w:type="dxa"/>
            <w:vMerge w:val="restart"/>
            <w:tcBorders>
              <w:top w:val="single" w:sz="16" w:space="0" w:color="000000"/>
              <w:left w:val="single" w:sz="12" w:space="0" w:color="000000"/>
              <w:right w:val="single" w:sz="12" w:space="0" w:color="000000"/>
            </w:tcBorders>
            <w:shd w:val="clear" w:color="auto" w:fill="FFFFFF"/>
          </w:tcPr>
          <w:p w14:paraId="3E823CF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Sig.</w:t>
            </w:r>
          </w:p>
        </w:tc>
        <w:tc>
          <w:tcPr>
            <w:tcW w:w="2010" w:type="dxa"/>
            <w:gridSpan w:val="2"/>
            <w:tcBorders>
              <w:top w:val="single" w:sz="16" w:space="0" w:color="000000"/>
              <w:left w:val="single" w:sz="12" w:space="0" w:color="000000"/>
              <w:bottom w:val="single" w:sz="12" w:space="0" w:color="000000"/>
            </w:tcBorders>
            <w:shd w:val="clear" w:color="auto" w:fill="FFFFFF"/>
          </w:tcPr>
          <w:p w14:paraId="256A5E4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95.0% Confidence Interval for B</w:t>
            </w:r>
          </w:p>
        </w:tc>
        <w:tc>
          <w:tcPr>
            <w:tcW w:w="2310" w:type="dxa"/>
            <w:gridSpan w:val="2"/>
            <w:tcBorders>
              <w:top w:val="single" w:sz="16" w:space="0" w:color="000000"/>
              <w:left w:val="single" w:sz="12" w:space="0" w:color="000000"/>
              <w:bottom w:val="single" w:sz="12" w:space="0" w:color="000000"/>
            </w:tcBorders>
            <w:shd w:val="clear" w:color="auto" w:fill="FFFFFF"/>
          </w:tcPr>
          <w:p w14:paraId="7CB05FC6"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Collinearity Statistics</w:t>
            </w:r>
          </w:p>
        </w:tc>
      </w:tr>
      <w:tr w:rsidR="00D41ED0" w14:paraId="0CB1A4EB" w14:textId="77777777">
        <w:trPr>
          <w:cantSplit/>
          <w:trHeight w:val="152"/>
        </w:trPr>
        <w:tc>
          <w:tcPr>
            <w:tcW w:w="1860" w:type="dxa"/>
            <w:gridSpan w:val="2"/>
            <w:vMerge/>
            <w:tcBorders>
              <w:top w:val="single" w:sz="16" w:space="0" w:color="000000"/>
              <w:left w:val="nil"/>
              <w:bottom w:val="nil"/>
              <w:right w:val="nil"/>
            </w:tcBorders>
            <w:shd w:val="clear" w:color="auto" w:fill="FFFFFF"/>
          </w:tcPr>
          <w:p w14:paraId="4C114499" w14:textId="77777777" w:rsidR="00D41ED0" w:rsidRDefault="00D41ED0">
            <w:pPr>
              <w:widowControl w:val="0"/>
              <w:pBdr>
                <w:top w:val="nil"/>
                <w:left w:val="nil"/>
                <w:bottom w:val="nil"/>
                <w:right w:val="nil"/>
                <w:between w:val="nil"/>
              </w:pBdr>
              <w:spacing w:after="0"/>
              <w:rPr>
                <w:rFonts w:ascii="Arial" w:eastAsia="Arial" w:hAnsi="Arial" w:cs="Arial"/>
                <w:b/>
                <w:color w:val="000000"/>
                <w:sz w:val="20"/>
                <w:szCs w:val="20"/>
              </w:rPr>
            </w:pPr>
          </w:p>
        </w:tc>
        <w:tc>
          <w:tcPr>
            <w:tcW w:w="915" w:type="dxa"/>
            <w:tcBorders>
              <w:top w:val="single" w:sz="12" w:space="0" w:color="000000"/>
              <w:left w:val="single" w:sz="12" w:space="0" w:color="000000"/>
              <w:bottom w:val="single" w:sz="16" w:space="0" w:color="000000"/>
              <w:right w:val="single" w:sz="12" w:space="0" w:color="000000"/>
            </w:tcBorders>
            <w:shd w:val="clear" w:color="auto" w:fill="FFFFFF"/>
          </w:tcPr>
          <w:p w14:paraId="4D818AC8"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B</w:t>
            </w:r>
          </w:p>
        </w:tc>
        <w:tc>
          <w:tcPr>
            <w:tcW w:w="915" w:type="dxa"/>
            <w:tcBorders>
              <w:top w:val="single" w:sz="12" w:space="0" w:color="000000"/>
              <w:left w:val="single" w:sz="12" w:space="0" w:color="000000"/>
              <w:bottom w:val="single" w:sz="16" w:space="0" w:color="000000"/>
              <w:right w:val="single" w:sz="12" w:space="0" w:color="000000"/>
            </w:tcBorders>
            <w:shd w:val="clear" w:color="auto" w:fill="FFFFFF"/>
          </w:tcPr>
          <w:p w14:paraId="7DB5F564"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Std. Error</w:t>
            </w:r>
          </w:p>
        </w:tc>
        <w:tc>
          <w:tcPr>
            <w:tcW w:w="1200" w:type="dxa"/>
            <w:tcBorders>
              <w:top w:val="single" w:sz="12" w:space="0" w:color="000000"/>
              <w:left w:val="single" w:sz="12" w:space="0" w:color="000000"/>
              <w:bottom w:val="single" w:sz="16" w:space="0" w:color="000000"/>
              <w:right w:val="single" w:sz="12" w:space="0" w:color="000000"/>
            </w:tcBorders>
            <w:shd w:val="clear" w:color="auto" w:fill="FFFFFF"/>
          </w:tcPr>
          <w:p w14:paraId="4893FC42"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Beta</w:t>
            </w:r>
          </w:p>
        </w:tc>
        <w:tc>
          <w:tcPr>
            <w:tcW w:w="675" w:type="dxa"/>
            <w:vMerge/>
            <w:tcBorders>
              <w:top w:val="single" w:sz="16" w:space="0" w:color="000000"/>
              <w:left w:val="single" w:sz="12" w:space="0" w:color="000000"/>
              <w:right w:val="single" w:sz="12" w:space="0" w:color="000000"/>
            </w:tcBorders>
            <w:shd w:val="clear" w:color="auto" w:fill="FFFFFF"/>
          </w:tcPr>
          <w:p w14:paraId="70413E6D" w14:textId="77777777" w:rsidR="00D41ED0" w:rsidRDefault="00D41ED0">
            <w:pPr>
              <w:widowControl w:val="0"/>
              <w:pBdr>
                <w:top w:val="nil"/>
                <w:left w:val="nil"/>
                <w:bottom w:val="nil"/>
                <w:right w:val="nil"/>
                <w:between w:val="nil"/>
              </w:pBdr>
              <w:spacing w:after="0"/>
              <w:rPr>
                <w:rFonts w:ascii="Arial" w:eastAsia="Arial" w:hAnsi="Arial" w:cs="Arial"/>
                <w:b/>
                <w:color w:val="000000"/>
                <w:sz w:val="20"/>
                <w:szCs w:val="20"/>
              </w:rPr>
            </w:pPr>
          </w:p>
        </w:tc>
        <w:tc>
          <w:tcPr>
            <w:tcW w:w="675" w:type="dxa"/>
            <w:vMerge/>
            <w:tcBorders>
              <w:top w:val="single" w:sz="16" w:space="0" w:color="000000"/>
              <w:left w:val="single" w:sz="12" w:space="0" w:color="000000"/>
              <w:right w:val="single" w:sz="12" w:space="0" w:color="000000"/>
            </w:tcBorders>
            <w:shd w:val="clear" w:color="auto" w:fill="FFFFFF"/>
          </w:tcPr>
          <w:p w14:paraId="1204BC42" w14:textId="77777777" w:rsidR="00D41ED0" w:rsidRDefault="00D41ED0">
            <w:pPr>
              <w:widowControl w:val="0"/>
              <w:pBdr>
                <w:top w:val="nil"/>
                <w:left w:val="nil"/>
                <w:bottom w:val="nil"/>
                <w:right w:val="nil"/>
                <w:between w:val="nil"/>
              </w:pBdr>
              <w:spacing w:after="0"/>
              <w:rPr>
                <w:rFonts w:ascii="Arial" w:eastAsia="Arial" w:hAnsi="Arial" w:cs="Arial"/>
                <w:b/>
                <w:color w:val="000000"/>
                <w:sz w:val="20"/>
                <w:szCs w:val="20"/>
              </w:rPr>
            </w:pPr>
          </w:p>
        </w:tc>
        <w:tc>
          <w:tcPr>
            <w:tcW w:w="1005" w:type="dxa"/>
            <w:tcBorders>
              <w:top w:val="single" w:sz="12" w:space="0" w:color="000000"/>
              <w:left w:val="single" w:sz="12" w:space="0" w:color="000000"/>
              <w:bottom w:val="single" w:sz="16" w:space="0" w:color="000000"/>
              <w:right w:val="single" w:sz="12" w:space="0" w:color="000000"/>
            </w:tcBorders>
            <w:shd w:val="clear" w:color="auto" w:fill="FFFFFF"/>
          </w:tcPr>
          <w:p w14:paraId="5AB6EFBD"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Lower Bound</w:t>
            </w:r>
          </w:p>
        </w:tc>
        <w:tc>
          <w:tcPr>
            <w:tcW w:w="1005" w:type="dxa"/>
            <w:tcBorders>
              <w:top w:val="single" w:sz="12" w:space="0" w:color="000000"/>
              <w:left w:val="single" w:sz="12" w:space="0" w:color="000000"/>
              <w:bottom w:val="single" w:sz="16" w:space="0" w:color="000000"/>
              <w:right w:val="single" w:sz="12" w:space="0" w:color="000000"/>
            </w:tcBorders>
            <w:shd w:val="clear" w:color="auto" w:fill="FFFFFF"/>
          </w:tcPr>
          <w:p w14:paraId="3718159B"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Upper Bound</w:t>
            </w:r>
          </w:p>
        </w:tc>
        <w:tc>
          <w:tcPr>
            <w:tcW w:w="915" w:type="dxa"/>
            <w:tcBorders>
              <w:top w:val="single" w:sz="12" w:space="0" w:color="000000"/>
              <w:left w:val="single" w:sz="12" w:space="0" w:color="000000"/>
              <w:bottom w:val="single" w:sz="16" w:space="0" w:color="000000"/>
              <w:right w:val="single" w:sz="12" w:space="0" w:color="000000"/>
            </w:tcBorders>
            <w:shd w:val="clear" w:color="auto" w:fill="FFFFFF"/>
          </w:tcPr>
          <w:p w14:paraId="32019D06"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Tolerance</w:t>
            </w:r>
          </w:p>
        </w:tc>
        <w:tc>
          <w:tcPr>
            <w:tcW w:w="1395" w:type="dxa"/>
            <w:tcBorders>
              <w:top w:val="single" w:sz="12" w:space="0" w:color="000000"/>
              <w:left w:val="single" w:sz="12" w:space="0" w:color="000000"/>
              <w:bottom w:val="single" w:sz="16" w:space="0" w:color="000000"/>
              <w:right w:val="nil"/>
            </w:tcBorders>
            <w:shd w:val="clear" w:color="auto" w:fill="FFFFFF"/>
          </w:tcPr>
          <w:p w14:paraId="02F1AE20"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VIF</w:t>
            </w:r>
          </w:p>
        </w:tc>
      </w:tr>
      <w:tr w:rsidR="00D41ED0" w14:paraId="5896498E" w14:textId="77777777">
        <w:trPr>
          <w:cantSplit/>
          <w:trHeight w:val="331"/>
        </w:trPr>
        <w:tc>
          <w:tcPr>
            <w:tcW w:w="885" w:type="dxa"/>
            <w:vMerge w:val="restart"/>
            <w:tcBorders>
              <w:top w:val="single" w:sz="16" w:space="0" w:color="000000"/>
              <w:left w:val="nil"/>
              <w:bottom w:val="single" w:sz="16" w:space="0" w:color="000000"/>
              <w:right w:val="nil"/>
            </w:tcBorders>
            <w:shd w:val="clear" w:color="auto" w:fill="FFFFFF"/>
            <w:vAlign w:val="center"/>
          </w:tcPr>
          <w:p w14:paraId="1610940F"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1</w:t>
            </w:r>
          </w:p>
        </w:tc>
        <w:tc>
          <w:tcPr>
            <w:tcW w:w="975" w:type="dxa"/>
            <w:tcBorders>
              <w:top w:val="single" w:sz="16" w:space="0" w:color="000000"/>
              <w:left w:val="nil"/>
              <w:bottom w:val="nil"/>
              <w:right w:val="nil"/>
            </w:tcBorders>
            <w:shd w:val="clear" w:color="auto" w:fill="FFFFFF"/>
            <w:vAlign w:val="center"/>
          </w:tcPr>
          <w:p w14:paraId="150CAEE7"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(Constant)</w:t>
            </w:r>
          </w:p>
        </w:tc>
        <w:tc>
          <w:tcPr>
            <w:tcW w:w="915" w:type="dxa"/>
            <w:tcBorders>
              <w:top w:val="single" w:sz="16" w:space="0" w:color="000000"/>
              <w:left w:val="nil"/>
              <w:bottom w:val="nil"/>
              <w:right w:val="nil"/>
            </w:tcBorders>
            <w:shd w:val="clear" w:color="auto" w:fill="FFFFFF"/>
            <w:vAlign w:val="center"/>
          </w:tcPr>
          <w:p w14:paraId="229E85A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-2.705</w:t>
            </w:r>
          </w:p>
        </w:tc>
        <w:tc>
          <w:tcPr>
            <w:tcW w:w="915" w:type="dxa"/>
            <w:tcBorders>
              <w:top w:val="single" w:sz="16" w:space="0" w:color="000000"/>
              <w:left w:val="nil"/>
              <w:bottom w:val="nil"/>
              <w:right w:val="nil"/>
            </w:tcBorders>
            <w:shd w:val="clear" w:color="auto" w:fill="FFFFFF"/>
            <w:vAlign w:val="center"/>
          </w:tcPr>
          <w:p w14:paraId="3679726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.787</w:t>
            </w:r>
          </w:p>
        </w:tc>
        <w:tc>
          <w:tcPr>
            <w:tcW w:w="1200" w:type="dxa"/>
            <w:tcBorders>
              <w:top w:val="single" w:sz="16" w:space="0" w:color="000000"/>
              <w:left w:val="nil"/>
              <w:bottom w:val="nil"/>
              <w:right w:val="nil"/>
            </w:tcBorders>
            <w:shd w:val="clear" w:color="auto" w:fill="FFFFFF"/>
          </w:tcPr>
          <w:p w14:paraId="6C26B3BE" w14:textId="77777777" w:rsidR="00D41ED0" w:rsidRDefault="00D41ED0">
            <w:pPr>
              <w:spacing w:after="0" w:line="240" w:lineRule="auto"/>
              <w:rPr>
                <w:rFonts w:ascii="Times New Roman" w:eastAsia="Times New Roman" w:hAnsi="Times New Roman" w:cs="Times New Roman"/>
                <w:sz w:val="20"/>
                <w:szCs w:val="20"/>
              </w:rPr>
            </w:pPr>
          </w:p>
        </w:tc>
        <w:tc>
          <w:tcPr>
            <w:tcW w:w="675" w:type="dxa"/>
            <w:tcBorders>
              <w:top w:val="single" w:sz="16" w:space="0" w:color="000000"/>
              <w:left w:val="nil"/>
              <w:bottom w:val="nil"/>
              <w:right w:val="nil"/>
            </w:tcBorders>
            <w:shd w:val="clear" w:color="auto" w:fill="FFFFFF"/>
            <w:vAlign w:val="center"/>
          </w:tcPr>
          <w:p w14:paraId="23CA6BC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-3.437</w:t>
            </w:r>
          </w:p>
        </w:tc>
        <w:tc>
          <w:tcPr>
            <w:tcW w:w="675" w:type="dxa"/>
            <w:tcBorders>
              <w:top w:val="single" w:sz="16" w:space="0" w:color="000000"/>
              <w:left w:val="nil"/>
              <w:bottom w:val="nil"/>
              <w:right w:val="nil"/>
            </w:tcBorders>
            <w:shd w:val="clear" w:color="auto" w:fill="FFFFFF"/>
            <w:vAlign w:val="center"/>
          </w:tcPr>
          <w:p w14:paraId="2795463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1005" w:type="dxa"/>
            <w:tcBorders>
              <w:top w:val="single" w:sz="16" w:space="0" w:color="000000"/>
              <w:left w:val="nil"/>
              <w:bottom w:val="nil"/>
              <w:right w:val="nil"/>
            </w:tcBorders>
            <w:shd w:val="clear" w:color="auto" w:fill="FFFFFF"/>
            <w:vAlign w:val="center"/>
          </w:tcPr>
          <w:p w14:paraId="24B2E00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-4.258</w:t>
            </w:r>
          </w:p>
        </w:tc>
        <w:tc>
          <w:tcPr>
            <w:tcW w:w="1005" w:type="dxa"/>
            <w:tcBorders>
              <w:top w:val="single" w:sz="16" w:space="0" w:color="000000"/>
              <w:left w:val="nil"/>
              <w:bottom w:val="nil"/>
              <w:right w:val="nil"/>
            </w:tcBorders>
            <w:shd w:val="clear" w:color="auto" w:fill="FFFFFF"/>
            <w:vAlign w:val="center"/>
          </w:tcPr>
          <w:p w14:paraId="7D48592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-1.151</w:t>
            </w:r>
          </w:p>
        </w:tc>
        <w:tc>
          <w:tcPr>
            <w:tcW w:w="915" w:type="dxa"/>
            <w:tcBorders>
              <w:top w:val="single" w:sz="16" w:space="0" w:color="000000"/>
              <w:left w:val="nil"/>
              <w:bottom w:val="nil"/>
              <w:right w:val="nil"/>
            </w:tcBorders>
            <w:shd w:val="clear" w:color="auto" w:fill="FFFFFF"/>
          </w:tcPr>
          <w:p w14:paraId="5B9148B8" w14:textId="77777777" w:rsidR="00D41ED0" w:rsidRDefault="00D41ED0">
            <w:pPr>
              <w:spacing w:after="0" w:line="240" w:lineRule="auto"/>
              <w:rPr>
                <w:rFonts w:ascii="Times New Roman" w:eastAsia="Times New Roman" w:hAnsi="Times New Roman" w:cs="Times New Roman"/>
                <w:sz w:val="20"/>
                <w:szCs w:val="20"/>
              </w:rPr>
            </w:pPr>
          </w:p>
        </w:tc>
        <w:tc>
          <w:tcPr>
            <w:tcW w:w="1395" w:type="dxa"/>
            <w:tcBorders>
              <w:top w:val="single" w:sz="16" w:space="0" w:color="000000"/>
              <w:left w:val="nil"/>
              <w:bottom w:val="nil"/>
              <w:right w:val="nil"/>
            </w:tcBorders>
            <w:shd w:val="clear" w:color="auto" w:fill="FFFFFF"/>
          </w:tcPr>
          <w:p w14:paraId="6F9F97FA" w14:textId="77777777" w:rsidR="00D41ED0" w:rsidRDefault="00D41ED0">
            <w:pPr>
              <w:spacing w:after="0" w:line="240" w:lineRule="auto"/>
              <w:rPr>
                <w:rFonts w:ascii="Times New Roman" w:eastAsia="Times New Roman" w:hAnsi="Times New Roman" w:cs="Times New Roman"/>
                <w:sz w:val="20"/>
                <w:szCs w:val="20"/>
              </w:rPr>
            </w:pPr>
          </w:p>
        </w:tc>
      </w:tr>
      <w:tr w:rsidR="00D41ED0" w14:paraId="3F5986DC"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1890B09E" w14:textId="77777777" w:rsidR="00D41ED0" w:rsidRDefault="00D41ED0">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FFFFFF"/>
            <w:vAlign w:val="center"/>
          </w:tcPr>
          <w:p w14:paraId="01D463AF"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w:t>
            </w:r>
          </w:p>
        </w:tc>
        <w:tc>
          <w:tcPr>
            <w:tcW w:w="915" w:type="dxa"/>
            <w:tcBorders>
              <w:top w:val="nil"/>
              <w:left w:val="nil"/>
              <w:bottom w:val="nil"/>
              <w:right w:val="nil"/>
            </w:tcBorders>
            <w:shd w:val="clear" w:color="auto" w:fill="FFFFFF"/>
            <w:vAlign w:val="center"/>
          </w:tcPr>
          <w:p w14:paraId="4C00F29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w:t>
            </w:r>
          </w:p>
        </w:tc>
        <w:tc>
          <w:tcPr>
            <w:tcW w:w="915" w:type="dxa"/>
            <w:tcBorders>
              <w:top w:val="nil"/>
              <w:left w:val="nil"/>
              <w:bottom w:val="nil"/>
              <w:right w:val="nil"/>
            </w:tcBorders>
            <w:shd w:val="clear" w:color="auto" w:fill="FFFFFF"/>
            <w:vAlign w:val="center"/>
          </w:tcPr>
          <w:p w14:paraId="5B673F4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.059</w:t>
            </w:r>
          </w:p>
        </w:tc>
        <w:tc>
          <w:tcPr>
            <w:tcW w:w="1200" w:type="dxa"/>
            <w:tcBorders>
              <w:top w:val="nil"/>
              <w:left w:val="nil"/>
              <w:bottom w:val="nil"/>
              <w:right w:val="nil"/>
            </w:tcBorders>
            <w:shd w:val="clear" w:color="auto" w:fill="FFFFFF"/>
            <w:vAlign w:val="center"/>
          </w:tcPr>
          <w:p w14:paraId="22F489E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.185</w:t>
            </w:r>
          </w:p>
        </w:tc>
        <w:tc>
          <w:tcPr>
            <w:tcW w:w="675" w:type="dxa"/>
            <w:tcBorders>
              <w:top w:val="nil"/>
              <w:left w:val="nil"/>
              <w:bottom w:val="nil"/>
              <w:right w:val="nil"/>
            </w:tcBorders>
            <w:shd w:val="clear" w:color="auto" w:fill="FFFFFF"/>
            <w:vAlign w:val="center"/>
          </w:tcPr>
          <w:p w14:paraId="1A5A177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3.127</w:t>
            </w:r>
          </w:p>
        </w:tc>
        <w:tc>
          <w:tcPr>
            <w:tcW w:w="675" w:type="dxa"/>
            <w:tcBorders>
              <w:top w:val="nil"/>
              <w:left w:val="nil"/>
              <w:bottom w:val="nil"/>
              <w:right w:val="nil"/>
            </w:tcBorders>
            <w:shd w:val="clear" w:color="auto" w:fill="FFFFFF"/>
            <w:vAlign w:val="center"/>
          </w:tcPr>
          <w:p w14:paraId="0D43EA5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.002</w:t>
            </w:r>
          </w:p>
        </w:tc>
        <w:tc>
          <w:tcPr>
            <w:tcW w:w="1005" w:type="dxa"/>
            <w:tcBorders>
              <w:top w:val="nil"/>
              <w:left w:val="nil"/>
              <w:bottom w:val="nil"/>
              <w:right w:val="nil"/>
            </w:tcBorders>
            <w:shd w:val="clear" w:color="auto" w:fill="FFFFFF"/>
            <w:vAlign w:val="center"/>
          </w:tcPr>
          <w:p w14:paraId="0181832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.068</w:t>
            </w:r>
          </w:p>
        </w:tc>
        <w:tc>
          <w:tcPr>
            <w:tcW w:w="1005" w:type="dxa"/>
            <w:tcBorders>
              <w:top w:val="nil"/>
              <w:left w:val="nil"/>
              <w:bottom w:val="nil"/>
              <w:right w:val="nil"/>
            </w:tcBorders>
            <w:shd w:val="clear" w:color="auto" w:fill="FFFFFF"/>
            <w:vAlign w:val="center"/>
          </w:tcPr>
          <w:p w14:paraId="6090C1C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.303</w:t>
            </w:r>
          </w:p>
        </w:tc>
        <w:tc>
          <w:tcPr>
            <w:tcW w:w="915" w:type="dxa"/>
            <w:tcBorders>
              <w:top w:val="nil"/>
              <w:left w:val="nil"/>
              <w:bottom w:val="nil"/>
              <w:right w:val="nil"/>
            </w:tcBorders>
            <w:shd w:val="clear" w:color="auto" w:fill="FFFFFF"/>
            <w:vAlign w:val="center"/>
          </w:tcPr>
          <w:p w14:paraId="2C662CD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.636</w:t>
            </w:r>
          </w:p>
        </w:tc>
        <w:tc>
          <w:tcPr>
            <w:tcW w:w="1395" w:type="dxa"/>
            <w:tcBorders>
              <w:top w:val="nil"/>
              <w:left w:val="nil"/>
              <w:bottom w:val="nil"/>
              <w:right w:val="nil"/>
            </w:tcBorders>
            <w:shd w:val="clear" w:color="auto" w:fill="FFFFFF"/>
            <w:vAlign w:val="center"/>
          </w:tcPr>
          <w:p w14:paraId="66D2C84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1.572</w:t>
            </w:r>
          </w:p>
        </w:tc>
      </w:tr>
      <w:tr w:rsidR="00D41ED0" w14:paraId="235438A9"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68977B90"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166C34C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ENVS2</w:t>
            </w:r>
          </w:p>
        </w:tc>
        <w:tc>
          <w:tcPr>
            <w:tcW w:w="915" w:type="dxa"/>
            <w:tcBorders>
              <w:top w:val="nil"/>
              <w:left w:val="nil"/>
              <w:bottom w:val="nil"/>
              <w:right w:val="nil"/>
            </w:tcBorders>
            <w:shd w:val="clear" w:color="auto" w:fill="FFFFFF"/>
            <w:vAlign w:val="center"/>
          </w:tcPr>
          <w:p w14:paraId="5030AA1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.266</w:t>
            </w:r>
          </w:p>
        </w:tc>
        <w:tc>
          <w:tcPr>
            <w:tcW w:w="915" w:type="dxa"/>
            <w:tcBorders>
              <w:top w:val="nil"/>
              <w:left w:val="nil"/>
              <w:bottom w:val="nil"/>
              <w:right w:val="nil"/>
            </w:tcBorders>
            <w:shd w:val="clear" w:color="auto" w:fill="FFFFFF"/>
            <w:vAlign w:val="center"/>
          </w:tcPr>
          <w:p w14:paraId="75FA870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.070</w:t>
            </w:r>
          </w:p>
        </w:tc>
        <w:tc>
          <w:tcPr>
            <w:tcW w:w="1200" w:type="dxa"/>
            <w:tcBorders>
              <w:top w:val="nil"/>
              <w:left w:val="nil"/>
              <w:bottom w:val="nil"/>
              <w:right w:val="nil"/>
            </w:tcBorders>
            <w:shd w:val="clear" w:color="auto" w:fill="FFFFFF"/>
            <w:vAlign w:val="center"/>
          </w:tcPr>
          <w:p w14:paraId="271BF53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.266</w:t>
            </w:r>
          </w:p>
        </w:tc>
        <w:tc>
          <w:tcPr>
            <w:tcW w:w="675" w:type="dxa"/>
            <w:tcBorders>
              <w:top w:val="nil"/>
              <w:left w:val="nil"/>
              <w:bottom w:val="nil"/>
              <w:right w:val="nil"/>
            </w:tcBorders>
            <w:shd w:val="clear" w:color="auto" w:fill="FFFFFF"/>
            <w:vAlign w:val="center"/>
          </w:tcPr>
          <w:p w14:paraId="769BCDD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3.822</w:t>
            </w:r>
          </w:p>
        </w:tc>
        <w:tc>
          <w:tcPr>
            <w:tcW w:w="675" w:type="dxa"/>
            <w:tcBorders>
              <w:top w:val="nil"/>
              <w:left w:val="nil"/>
              <w:bottom w:val="nil"/>
              <w:right w:val="nil"/>
            </w:tcBorders>
            <w:shd w:val="clear" w:color="auto" w:fill="FFFFFF"/>
            <w:vAlign w:val="center"/>
          </w:tcPr>
          <w:p w14:paraId="5234C98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1005" w:type="dxa"/>
            <w:tcBorders>
              <w:top w:val="nil"/>
              <w:left w:val="nil"/>
              <w:bottom w:val="nil"/>
              <w:right w:val="nil"/>
            </w:tcBorders>
            <w:shd w:val="clear" w:color="auto" w:fill="FFFFFF"/>
            <w:vAlign w:val="center"/>
          </w:tcPr>
          <w:p w14:paraId="4E236BC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.129</w:t>
            </w:r>
          </w:p>
        </w:tc>
        <w:tc>
          <w:tcPr>
            <w:tcW w:w="1005" w:type="dxa"/>
            <w:tcBorders>
              <w:top w:val="nil"/>
              <w:left w:val="nil"/>
              <w:bottom w:val="nil"/>
              <w:right w:val="nil"/>
            </w:tcBorders>
            <w:shd w:val="clear" w:color="auto" w:fill="FFFFFF"/>
            <w:vAlign w:val="center"/>
          </w:tcPr>
          <w:p w14:paraId="3FE9715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.403</w:t>
            </w:r>
          </w:p>
        </w:tc>
        <w:tc>
          <w:tcPr>
            <w:tcW w:w="915" w:type="dxa"/>
            <w:tcBorders>
              <w:top w:val="nil"/>
              <w:left w:val="nil"/>
              <w:bottom w:val="nil"/>
              <w:right w:val="nil"/>
            </w:tcBorders>
            <w:shd w:val="clear" w:color="auto" w:fill="FFFFFF"/>
            <w:vAlign w:val="center"/>
          </w:tcPr>
          <w:p w14:paraId="79AD6F6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.458</w:t>
            </w:r>
          </w:p>
        </w:tc>
        <w:tc>
          <w:tcPr>
            <w:tcW w:w="1395" w:type="dxa"/>
            <w:tcBorders>
              <w:top w:val="nil"/>
              <w:left w:val="nil"/>
              <w:bottom w:val="nil"/>
              <w:right w:val="nil"/>
            </w:tcBorders>
            <w:shd w:val="clear" w:color="auto" w:fill="FFFFFF"/>
            <w:vAlign w:val="center"/>
          </w:tcPr>
          <w:p w14:paraId="0D9835C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2.182</w:t>
            </w:r>
          </w:p>
        </w:tc>
      </w:tr>
      <w:tr w:rsidR="00D41ED0" w14:paraId="10EBF526"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710E80A9"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546AC85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ENVS3</w:t>
            </w:r>
          </w:p>
        </w:tc>
        <w:tc>
          <w:tcPr>
            <w:tcW w:w="915" w:type="dxa"/>
            <w:tcBorders>
              <w:top w:val="nil"/>
              <w:left w:val="nil"/>
              <w:bottom w:val="nil"/>
              <w:right w:val="nil"/>
            </w:tcBorders>
            <w:shd w:val="clear" w:color="auto" w:fill="FFFFFF"/>
            <w:vAlign w:val="center"/>
          </w:tcPr>
          <w:p w14:paraId="1F9539B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.448</w:t>
            </w:r>
          </w:p>
        </w:tc>
        <w:tc>
          <w:tcPr>
            <w:tcW w:w="915" w:type="dxa"/>
            <w:tcBorders>
              <w:top w:val="nil"/>
              <w:left w:val="nil"/>
              <w:bottom w:val="nil"/>
              <w:right w:val="nil"/>
            </w:tcBorders>
            <w:shd w:val="clear" w:color="auto" w:fill="FFFFFF"/>
            <w:vAlign w:val="center"/>
          </w:tcPr>
          <w:p w14:paraId="3AD4794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.073</w:t>
            </w:r>
          </w:p>
        </w:tc>
        <w:tc>
          <w:tcPr>
            <w:tcW w:w="1200" w:type="dxa"/>
            <w:tcBorders>
              <w:top w:val="nil"/>
              <w:left w:val="nil"/>
              <w:bottom w:val="nil"/>
              <w:right w:val="nil"/>
            </w:tcBorders>
            <w:shd w:val="clear" w:color="auto" w:fill="FFFFFF"/>
            <w:vAlign w:val="center"/>
          </w:tcPr>
          <w:p w14:paraId="043D511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.448</w:t>
            </w:r>
          </w:p>
        </w:tc>
        <w:tc>
          <w:tcPr>
            <w:tcW w:w="675" w:type="dxa"/>
            <w:tcBorders>
              <w:top w:val="nil"/>
              <w:left w:val="nil"/>
              <w:bottom w:val="nil"/>
              <w:right w:val="nil"/>
            </w:tcBorders>
            <w:shd w:val="clear" w:color="auto" w:fill="FFFFFF"/>
            <w:vAlign w:val="center"/>
          </w:tcPr>
          <w:p w14:paraId="3F5BBC7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6.117</w:t>
            </w:r>
          </w:p>
        </w:tc>
        <w:tc>
          <w:tcPr>
            <w:tcW w:w="675" w:type="dxa"/>
            <w:tcBorders>
              <w:top w:val="nil"/>
              <w:left w:val="nil"/>
              <w:bottom w:val="nil"/>
              <w:right w:val="nil"/>
            </w:tcBorders>
            <w:shd w:val="clear" w:color="auto" w:fill="FFFFFF"/>
            <w:vAlign w:val="center"/>
          </w:tcPr>
          <w:p w14:paraId="3D59D90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.000</w:t>
            </w:r>
          </w:p>
        </w:tc>
        <w:tc>
          <w:tcPr>
            <w:tcW w:w="1005" w:type="dxa"/>
            <w:tcBorders>
              <w:top w:val="nil"/>
              <w:left w:val="nil"/>
              <w:bottom w:val="nil"/>
              <w:right w:val="nil"/>
            </w:tcBorders>
            <w:shd w:val="clear" w:color="auto" w:fill="FFFFFF"/>
            <w:vAlign w:val="center"/>
          </w:tcPr>
          <w:p w14:paraId="3AE8ADE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.303</w:t>
            </w:r>
          </w:p>
        </w:tc>
        <w:tc>
          <w:tcPr>
            <w:tcW w:w="1005" w:type="dxa"/>
            <w:tcBorders>
              <w:top w:val="nil"/>
              <w:left w:val="nil"/>
              <w:bottom w:val="nil"/>
              <w:right w:val="nil"/>
            </w:tcBorders>
            <w:shd w:val="clear" w:color="auto" w:fill="FFFFFF"/>
            <w:vAlign w:val="center"/>
          </w:tcPr>
          <w:p w14:paraId="0B652DA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.593</w:t>
            </w:r>
          </w:p>
        </w:tc>
        <w:tc>
          <w:tcPr>
            <w:tcW w:w="915" w:type="dxa"/>
            <w:tcBorders>
              <w:top w:val="nil"/>
              <w:left w:val="nil"/>
              <w:bottom w:val="nil"/>
              <w:right w:val="nil"/>
            </w:tcBorders>
            <w:shd w:val="clear" w:color="auto" w:fill="FFFFFF"/>
            <w:vAlign w:val="center"/>
          </w:tcPr>
          <w:p w14:paraId="4394F6E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.413</w:t>
            </w:r>
          </w:p>
        </w:tc>
        <w:tc>
          <w:tcPr>
            <w:tcW w:w="1395" w:type="dxa"/>
            <w:tcBorders>
              <w:top w:val="nil"/>
              <w:left w:val="nil"/>
              <w:bottom w:val="nil"/>
              <w:right w:val="nil"/>
            </w:tcBorders>
            <w:shd w:val="clear" w:color="auto" w:fill="FFFFFF"/>
            <w:vAlign w:val="center"/>
          </w:tcPr>
          <w:p w14:paraId="44D094D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2.420</w:t>
            </w:r>
          </w:p>
        </w:tc>
      </w:tr>
      <w:tr w:rsidR="00D41ED0" w14:paraId="0EDDE419"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472866E1"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73FFA8CA"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ENVS4</w:t>
            </w:r>
          </w:p>
        </w:tc>
        <w:tc>
          <w:tcPr>
            <w:tcW w:w="915" w:type="dxa"/>
            <w:tcBorders>
              <w:top w:val="nil"/>
              <w:left w:val="nil"/>
              <w:bottom w:val="nil"/>
              <w:right w:val="nil"/>
            </w:tcBorders>
            <w:shd w:val="clear" w:color="auto" w:fill="FFFFFF"/>
            <w:vAlign w:val="center"/>
          </w:tcPr>
          <w:p w14:paraId="31FB528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.128</w:t>
            </w:r>
          </w:p>
        </w:tc>
        <w:tc>
          <w:tcPr>
            <w:tcW w:w="915" w:type="dxa"/>
            <w:tcBorders>
              <w:top w:val="nil"/>
              <w:left w:val="nil"/>
              <w:bottom w:val="nil"/>
              <w:right w:val="nil"/>
            </w:tcBorders>
            <w:shd w:val="clear" w:color="auto" w:fill="FFFFFF"/>
            <w:vAlign w:val="center"/>
          </w:tcPr>
          <w:p w14:paraId="1199FCB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.070</w:t>
            </w:r>
          </w:p>
        </w:tc>
        <w:tc>
          <w:tcPr>
            <w:tcW w:w="1200" w:type="dxa"/>
            <w:tcBorders>
              <w:top w:val="nil"/>
              <w:left w:val="nil"/>
              <w:bottom w:val="nil"/>
              <w:right w:val="nil"/>
            </w:tcBorders>
            <w:shd w:val="clear" w:color="auto" w:fill="FFFFFF"/>
            <w:vAlign w:val="center"/>
          </w:tcPr>
          <w:p w14:paraId="5B80624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.128</w:t>
            </w:r>
          </w:p>
        </w:tc>
        <w:tc>
          <w:tcPr>
            <w:tcW w:w="675" w:type="dxa"/>
            <w:tcBorders>
              <w:top w:val="nil"/>
              <w:left w:val="nil"/>
              <w:bottom w:val="nil"/>
              <w:right w:val="nil"/>
            </w:tcBorders>
            <w:shd w:val="clear" w:color="auto" w:fill="FFFFFF"/>
            <w:vAlign w:val="center"/>
          </w:tcPr>
          <w:p w14:paraId="674806C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1.827</w:t>
            </w:r>
          </w:p>
        </w:tc>
        <w:tc>
          <w:tcPr>
            <w:tcW w:w="675" w:type="dxa"/>
            <w:tcBorders>
              <w:top w:val="nil"/>
              <w:left w:val="nil"/>
              <w:bottom w:val="nil"/>
              <w:right w:val="nil"/>
            </w:tcBorders>
            <w:shd w:val="clear" w:color="auto" w:fill="FFFFFF"/>
            <w:vAlign w:val="center"/>
          </w:tcPr>
          <w:p w14:paraId="5139D6B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.070</w:t>
            </w:r>
          </w:p>
        </w:tc>
        <w:tc>
          <w:tcPr>
            <w:tcW w:w="1005" w:type="dxa"/>
            <w:tcBorders>
              <w:top w:val="nil"/>
              <w:left w:val="nil"/>
              <w:bottom w:val="nil"/>
              <w:right w:val="nil"/>
            </w:tcBorders>
            <w:shd w:val="clear" w:color="auto" w:fill="FFFFFF"/>
            <w:vAlign w:val="center"/>
          </w:tcPr>
          <w:p w14:paraId="32EF081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-.010</w:t>
            </w:r>
          </w:p>
        </w:tc>
        <w:tc>
          <w:tcPr>
            <w:tcW w:w="1005" w:type="dxa"/>
            <w:tcBorders>
              <w:top w:val="nil"/>
              <w:left w:val="nil"/>
              <w:bottom w:val="nil"/>
              <w:right w:val="nil"/>
            </w:tcBorders>
            <w:shd w:val="clear" w:color="auto" w:fill="FFFFFF"/>
            <w:vAlign w:val="center"/>
          </w:tcPr>
          <w:p w14:paraId="171548FF"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.266</w:t>
            </w:r>
          </w:p>
        </w:tc>
        <w:tc>
          <w:tcPr>
            <w:tcW w:w="915" w:type="dxa"/>
            <w:tcBorders>
              <w:top w:val="nil"/>
              <w:left w:val="nil"/>
              <w:bottom w:val="nil"/>
              <w:right w:val="nil"/>
            </w:tcBorders>
            <w:shd w:val="clear" w:color="auto" w:fill="FFFFFF"/>
            <w:vAlign w:val="center"/>
          </w:tcPr>
          <w:p w14:paraId="269E29C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.452</w:t>
            </w:r>
          </w:p>
        </w:tc>
        <w:tc>
          <w:tcPr>
            <w:tcW w:w="1395" w:type="dxa"/>
            <w:tcBorders>
              <w:top w:val="nil"/>
              <w:left w:val="nil"/>
              <w:bottom w:val="nil"/>
              <w:right w:val="nil"/>
            </w:tcBorders>
            <w:shd w:val="clear" w:color="auto" w:fill="FFFFFF"/>
            <w:vAlign w:val="center"/>
          </w:tcPr>
          <w:p w14:paraId="1CB60B5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2.214</w:t>
            </w:r>
          </w:p>
        </w:tc>
      </w:tr>
      <w:tr w:rsidR="00D41ED0" w14:paraId="22BBA946"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71843E3D"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79549BF9"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ENVS5</w:t>
            </w:r>
          </w:p>
        </w:tc>
        <w:tc>
          <w:tcPr>
            <w:tcW w:w="915" w:type="dxa"/>
            <w:tcBorders>
              <w:top w:val="nil"/>
              <w:left w:val="nil"/>
              <w:bottom w:val="nil"/>
              <w:right w:val="nil"/>
            </w:tcBorders>
            <w:shd w:val="clear" w:color="auto" w:fill="FFFFFF"/>
            <w:vAlign w:val="center"/>
          </w:tcPr>
          <w:p w14:paraId="3DF09C5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915" w:type="dxa"/>
            <w:tcBorders>
              <w:top w:val="nil"/>
              <w:left w:val="nil"/>
              <w:bottom w:val="nil"/>
              <w:right w:val="nil"/>
            </w:tcBorders>
            <w:shd w:val="clear" w:color="auto" w:fill="FFFFFF"/>
            <w:vAlign w:val="center"/>
          </w:tcPr>
          <w:p w14:paraId="52AB6DD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.061</w:t>
            </w:r>
          </w:p>
        </w:tc>
        <w:tc>
          <w:tcPr>
            <w:tcW w:w="1200" w:type="dxa"/>
            <w:tcBorders>
              <w:top w:val="nil"/>
              <w:left w:val="nil"/>
              <w:bottom w:val="nil"/>
              <w:right w:val="nil"/>
            </w:tcBorders>
            <w:shd w:val="clear" w:color="auto" w:fill="FFFFFF"/>
            <w:vAlign w:val="center"/>
          </w:tcPr>
          <w:p w14:paraId="15A15A4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675" w:type="dxa"/>
            <w:tcBorders>
              <w:top w:val="nil"/>
              <w:left w:val="nil"/>
              <w:bottom w:val="nil"/>
              <w:right w:val="nil"/>
            </w:tcBorders>
            <w:shd w:val="clear" w:color="auto" w:fill="FFFFFF"/>
            <w:vAlign w:val="center"/>
          </w:tcPr>
          <w:p w14:paraId="6A1002D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2.078</w:t>
            </w:r>
          </w:p>
        </w:tc>
        <w:tc>
          <w:tcPr>
            <w:tcW w:w="675" w:type="dxa"/>
            <w:tcBorders>
              <w:top w:val="nil"/>
              <w:left w:val="nil"/>
              <w:bottom w:val="nil"/>
              <w:right w:val="nil"/>
            </w:tcBorders>
            <w:shd w:val="clear" w:color="auto" w:fill="FFFFFF"/>
            <w:vAlign w:val="center"/>
          </w:tcPr>
          <w:p w14:paraId="034AF2A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.039</w:t>
            </w:r>
          </w:p>
        </w:tc>
        <w:tc>
          <w:tcPr>
            <w:tcW w:w="1005" w:type="dxa"/>
            <w:tcBorders>
              <w:top w:val="nil"/>
              <w:left w:val="nil"/>
              <w:bottom w:val="nil"/>
              <w:right w:val="nil"/>
            </w:tcBorders>
            <w:shd w:val="clear" w:color="auto" w:fill="FFFFFF"/>
            <w:vAlign w:val="center"/>
          </w:tcPr>
          <w:p w14:paraId="6D4B37F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.006</w:t>
            </w:r>
          </w:p>
        </w:tc>
        <w:tc>
          <w:tcPr>
            <w:tcW w:w="1005" w:type="dxa"/>
            <w:tcBorders>
              <w:top w:val="nil"/>
              <w:left w:val="nil"/>
              <w:bottom w:val="nil"/>
              <w:right w:val="nil"/>
            </w:tcBorders>
            <w:shd w:val="clear" w:color="auto" w:fill="FFFFFF"/>
            <w:vAlign w:val="center"/>
          </w:tcPr>
          <w:p w14:paraId="79AE2BD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.246</w:t>
            </w:r>
          </w:p>
        </w:tc>
        <w:tc>
          <w:tcPr>
            <w:tcW w:w="915" w:type="dxa"/>
            <w:tcBorders>
              <w:top w:val="nil"/>
              <w:left w:val="nil"/>
              <w:bottom w:val="nil"/>
              <w:right w:val="nil"/>
            </w:tcBorders>
            <w:shd w:val="clear" w:color="auto" w:fill="FFFFFF"/>
            <w:vAlign w:val="center"/>
          </w:tcPr>
          <w:p w14:paraId="29D58BE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.606</w:t>
            </w:r>
          </w:p>
        </w:tc>
        <w:tc>
          <w:tcPr>
            <w:tcW w:w="1395" w:type="dxa"/>
            <w:tcBorders>
              <w:top w:val="nil"/>
              <w:left w:val="nil"/>
              <w:bottom w:val="nil"/>
              <w:right w:val="nil"/>
            </w:tcBorders>
            <w:shd w:val="clear" w:color="auto" w:fill="FFFFFF"/>
            <w:vAlign w:val="center"/>
          </w:tcPr>
          <w:p w14:paraId="00644BC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1.651</w:t>
            </w:r>
          </w:p>
        </w:tc>
      </w:tr>
      <w:tr w:rsidR="00D41ED0" w14:paraId="46664B5E"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14599AB5"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4C90BD10"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ENVS6</w:t>
            </w:r>
          </w:p>
        </w:tc>
        <w:tc>
          <w:tcPr>
            <w:tcW w:w="915" w:type="dxa"/>
            <w:tcBorders>
              <w:top w:val="nil"/>
              <w:left w:val="nil"/>
              <w:bottom w:val="nil"/>
              <w:right w:val="nil"/>
            </w:tcBorders>
            <w:shd w:val="clear" w:color="auto" w:fill="FFFFFF"/>
            <w:vAlign w:val="center"/>
          </w:tcPr>
          <w:p w14:paraId="67B1E83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.042</w:t>
            </w:r>
          </w:p>
        </w:tc>
        <w:tc>
          <w:tcPr>
            <w:tcW w:w="915" w:type="dxa"/>
            <w:tcBorders>
              <w:top w:val="nil"/>
              <w:left w:val="nil"/>
              <w:bottom w:val="nil"/>
              <w:right w:val="nil"/>
            </w:tcBorders>
            <w:shd w:val="clear" w:color="auto" w:fill="FFFFFF"/>
            <w:vAlign w:val="center"/>
          </w:tcPr>
          <w:p w14:paraId="2F25E11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.050</w:t>
            </w:r>
          </w:p>
        </w:tc>
        <w:tc>
          <w:tcPr>
            <w:tcW w:w="1200" w:type="dxa"/>
            <w:tcBorders>
              <w:top w:val="nil"/>
              <w:left w:val="nil"/>
              <w:bottom w:val="nil"/>
              <w:right w:val="nil"/>
            </w:tcBorders>
            <w:shd w:val="clear" w:color="auto" w:fill="FFFFFF"/>
            <w:vAlign w:val="center"/>
          </w:tcPr>
          <w:p w14:paraId="5B3A07A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.043</w:t>
            </w:r>
          </w:p>
        </w:tc>
        <w:tc>
          <w:tcPr>
            <w:tcW w:w="675" w:type="dxa"/>
            <w:tcBorders>
              <w:top w:val="nil"/>
              <w:left w:val="nil"/>
              <w:bottom w:val="nil"/>
              <w:right w:val="nil"/>
            </w:tcBorders>
            <w:shd w:val="clear" w:color="auto" w:fill="FFFFFF"/>
            <w:vAlign w:val="center"/>
          </w:tcPr>
          <w:p w14:paraId="5C445DA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.856</w:t>
            </w:r>
          </w:p>
        </w:tc>
        <w:tc>
          <w:tcPr>
            <w:tcW w:w="675" w:type="dxa"/>
            <w:tcBorders>
              <w:top w:val="nil"/>
              <w:left w:val="nil"/>
              <w:bottom w:val="nil"/>
              <w:right w:val="nil"/>
            </w:tcBorders>
            <w:shd w:val="clear" w:color="auto" w:fill="FFFFFF"/>
            <w:vAlign w:val="center"/>
          </w:tcPr>
          <w:p w14:paraId="45C963D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.393</w:t>
            </w:r>
          </w:p>
        </w:tc>
        <w:tc>
          <w:tcPr>
            <w:tcW w:w="1005" w:type="dxa"/>
            <w:tcBorders>
              <w:top w:val="nil"/>
              <w:left w:val="nil"/>
              <w:bottom w:val="nil"/>
              <w:right w:val="nil"/>
            </w:tcBorders>
            <w:shd w:val="clear" w:color="auto" w:fill="FFFFFF"/>
            <w:vAlign w:val="center"/>
          </w:tcPr>
          <w:p w14:paraId="5A076A2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-.055</w:t>
            </w:r>
          </w:p>
        </w:tc>
        <w:tc>
          <w:tcPr>
            <w:tcW w:w="1005" w:type="dxa"/>
            <w:tcBorders>
              <w:top w:val="nil"/>
              <w:left w:val="nil"/>
              <w:bottom w:val="nil"/>
              <w:right w:val="nil"/>
            </w:tcBorders>
            <w:shd w:val="clear" w:color="auto" w:fill="FFFFFF"/>
            <w:vAlign w:val="center"/>
          </w:tcPr>
          <w:p w14:paraId="6980EFA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.140</w:t>
            </w:r>
          </w:p>
        </w:tc>
        <w:tc>
          <w:tcPr>
            <w:tcW w:w="915" w:type="dxa"/>
            <w:tcBorders>
              <w:top w:val="nil"/>
              <w:left w:val="nil"/>
              <w:bottom w:val="nil"/>
              <w:right w:val="nil"/>
            </w:tcBorders>
            <w:shd w:val="clear" w:color="auto" w:fill="FFFFFF"/>
            <w:vAlign w:val="center"/>
          </w:tcPr>
          <w:p w14:paraId="1275BE9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.872</w:t>
            </w:r>
          </w:p>
        </w:tc>
        <w:tc>
          <w:tcPr>
            <w:tcW w:w="1395" w:type="dxa"/>
            <w:tcBorders>
              <w:top w:val="nil"/>
              <w:left w:val="nil"/>
              <w:bottom w:val="nil"/>
              <w:right w:val="nil"/>
            </w:tcBorders>
            <w:shd w:val="clear" w:color="auto" w:fill="FFFFFF"/>
            <w:vAlign w:val="center"/>
          </w:tcPr>
          <w:p w14:paraId="4A1C9AA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1.147</w:t>
            </w:r>
          </w:p>
        </w:tc>
      </w:tr>
      <w:tr w:rsidR="00D41ED0" w14:paraId="1750BC1E"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5D66264B"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32D80096"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ENVS7</w:t>
            </w:r>
          </w:p>
        </w:tc>
        <w:tc>
          <w:tcPr>
            <w:tcW w:w="915" w:type="dxa"/>
            <w:tcBorders>
              <w:top w:val="nil"/>
              <w:left w:val="nil"/>
              <w:bottom w:val="nil"/>
              <w:right w:val="nil"/>
            </w:tcBorders>
            <w:shd w:val="clear" w:color="auto" w:fill="FFFFFF"/>
            <w:vAlign w:val="center"/>
          </w:tcPr>
          <w:p w14:paraId="239B3F34"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.159</w:t>
            </w:r>
          </w:p>
        </w:tc>
        <w:tc>
          <w:tcPr>
            <w:tcW w:w="915" w:type="dxa"/>
            <w:tcBorders>
              <w:top w:val="nil"/>
              <w:left w:val="nil"/>
              <w:bottom w:val="nil"/>
              <w:right w:val="nil"/>
            </w:tcBorders>
            <w:shd w:val="clear" w:color="auto" w:fill="FFFFFF"/>
            <w:vAlign w:val="center"/>
          </w:tcPr>
          <w:p w14:paraId="15D4770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.065</w:t>
            </w:r>
          </w:p>
        </w:tc>
        <w:tc>
          <w:tcPr>
            <w:tcW w:w="1200" w:type="dxa"/>
            <w:tcBorders>
              <w:top w:val="nil"/>
              <w:left w:val="nil"/>
              <w:bottom w:val="nil"/>
              <w:right w:val="nil"/>
            </w:tcBorders>
            <w:shd w:val="clear" w:color="auto" w:fill="FFFFFF"/>
            <w:vAlign w:val="center"/>
          </w:tcPr>
          <w:p w14:paraId="12E6DF7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.159</w:t>
            </w:r>
          </w:p>
        </w:tc>
        <w:tc>
          <w:tcPr>
            <w:tcW w:w="675" w:type="dxa"/>
            <w:tcBorders>
              <w:top w:val="nil"/>
              <w:left w:val="nil"/>
              <w:bottom w:val="nil"/>
              <w:right w:val="nil"/>
            </w:tcBorders>
            <w:shd w:val="clear" w:color="auto" w:fill="FFFFFF"/>
            <w:vAlign w:val="center"/>
          </w:tcPr>
          <w:p w14:paraId="3E16F01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2.427</w:t>
            </w:r>
          </w:p>
        </w:tc>
        <w:tc>
          <w:tcPr>
            <w:tcW w:w="675" w:type="dxa"/>
            <w:tcBorders>
              <w:top w:val="nil"/>
              <w:left w:val="nil"/>
              <w:bottom w:val="nil"/>
              <w:right w:val="nil"/>
            </w:tcBorders>
            <w:shd w:val="clear" w:color="auto" w:fill="FFFFFF"/>
            <w:vAlign w:val="center"/>
          </w:tcPr>
          <w:p w14:paraId="11051D0A"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.016</w:t>
            </w:r>
          </w:p>
        </w:tc>
        <w:tc>
          <w:tcPr>
            <w:tcW w:w="1005" w:type="dxa"/>
            <w:tcBorders>
              <w:top w:val="nil"/>
              <w:left w:val="nil"/>
              <w:bottom w:val="nil"/>
              <w:right w:val="nil"/>
            </w:tcBorders>
            <w:shd w:val="clear" w:color="auto" w:fill="FFFFFF"/>
            <w:vAlign w:val="center"/>
          </w:tcPr>
          <w:p w14:paraId="0C37C01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.030</w:t>
            </w:r>
          </w:p>
        </w:tc>
        <w:tc>
          <w:tcPr>
            <w:tcW w:w="1005" w:type="dxa"/>
            <w:tcBorders>
              <w:top w:val="nil"/>
              <w:left w:val="nil"/>
              <w:bottom w:val="nil"/>
              <w:right w:val="nil"/>
            </w:tcBorders>
            <w:shd w:val="clear" w:color="auto" w:fill="FFFFFF"/>
            <w:vAlign w:val="center"/>
          </w:tcPr>
          <w:p w14:paraId="51D0A8FD"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.288</w:t>
            </w:r>
          </w:p>
        </w:tc>
        <w:tc>
          <w:tcPr>
            <w:tcW w:w="915" w:type="dxa"/>
            <w:tcBorders>
              <w:top w:val="nil"/>
              <w:left w:val="nil"/>
              <w:bottom w:val="nil"/>
              <w:right w:val="nil"/>
            </w:tcBorders>
            <w:shd w:val="clear" w:color="auto" w:fill="FFFFFF"/>
            <w:vAlign w:val="center"/>
          </w:tcPr>
          <w:p w14:paraId="4CEFD710"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.519</w:t>
            </w:r>
          </w:p>
        </w:tc>
        <w:tc>
          <w:tcPr>
            <w:tcW w:w="1395" w:type="dxa"/>
            <w:tcBorders>
              <w:top w:val="nil"/>
              <w:left w:val="nil"/>
              <w:bottom w:val="nil"/>
              <w:right w:val="nil"/>
            </w:tcBorders>
            <w:shd w:val="clear" w:color="auto" w:fill="FFFFFF"/>
            <w:vAlign w:val="center"/>
          </w:tcPr>
          <w:p w14:paraId="281A62E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1.926</w:t>
            </w:r>
          </w:p>
        </w:tc>
      </w:tr>
      <w:tr w:rsidR="00D41ED0" w14:paraId="2427EB4D"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0F4D84F9"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2BF2EF2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ENVS8</w:t>
            </w:r>
          </w:p>
        </w:tc>
        <w:tc>
          <w:tcPr>
            <w:tcW w:w="915" w:type="dxa"/>
            <w:tcBorders>
              <w:top w:val="nil"/>
              <w:left w:val="nil"/>
              <w:bottom w:val="nil"/>
              <w:right w:val="nil"/>
            </w:tcBorders>
            <w:shd w:val="clear" w:color="auto" w:fill="FFFFFF"/>
            <w:vAlign w:val="center"/>
          </w:tcPr>
          <w:p w14:paraId="21CE0CA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915" w:type="dxa"/>
            <w:tcBorders>
              <w:top w:val="nil"/>
              <w:left w:val="nil"/>
              <w:bottom w:val="nil"/>
              <w:right w:val="nil"/>
            </w:tcBorders>
            <w:shd w:val="clear" w:color="auto" w:fill="FFFFFF"/>
            <w:vAlign w:val="center"/>
          </w:tcPr>
          <w:p w14:paraId="78C7455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.064</w:t>
            </w:r>
          </w:p>
        </w:tc>
        <w:tc>
          <w:tcPr>
            <w:tcW w:w="1200" w:type="dxa"/>
            <w:tcBorders>
              <w:top w:val="nil"/>
              <w:left w:val="nil"/>
              <w:bottom w:val="nil"/>
              <w:right w:val="nil"/>
            </w:tcBorders>
            <w:shd w:val="clear" w:color="auto" w:fill="FFFFFF"/>
            <w:vAlign w:val="center"/>
          </w:tcPr>
          <w:p w14:paraId="0FBB238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.126</w:t>
            </w:r>
          </w:p>
        </w:tc>
        <w:tc>
          <w:tcPr>
            <w:tcW w:w="675" w:type="dxa"/>
            <w:tcBorders>
              <w:top w:val="nil"/>
              <w:left w:val="nil"/>
              <w:bottom w:val="nil"/>
              <w:right w:val="nil"/>
            </w:tcBorders>
            <w:shd w:val="clear" w:color="auto" w:fill="FFFFFF"/>
            <w:vAlign w:val="center"/>
          </w:tcPr>
          <w:p w14:paraId="194F73B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1.955</w:t>
            </w:r>
          </w:p>
        </w:tc>
        <w:tc>
          <w:tcPr>
            <w:tcW w:w="675" w:type="dxa"/>
            <w:tcBorders>
              <w:top w:val="nil"/>
              <w:left w:val="nil"/>
              <w:bottom w:val="nil"/>
              <w:right w:val="nil"/>
            </w:tcBorders>
            <w:shd w:val="clear" w:color="auto" w:fill="FFFFFF"/>
            <w:vAlign w:val="center"/>
          </w:tcPr>
          <w:p w14:paraId="18174D1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.052</w:t>
            </w:r>
          </w:p>
        </w:tc>
        <w:tc>
          <w:tcPr>
            <w:tcW w:w="1005" w:type="dxa"/>
            <w:tcBorders>
              <w:top w:val="nil"/>
              <w:left w:val="nil"/>
              <w:bottom w:val="nil"/>
              <w:right w:val="nil"/>
            </w:tcBorders>
            <w:shd w:val="clear" w:color="auto" w:fill="FFFFFF"/>
            <w:vAlign w:val="center"/>
          </w:tcPr>
          <w:p w14:paraId="50F50667"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-.001</w:t>
            </w:r>
          </w:p>
        </w:tc>
        <w:tc>
          <w:tcPr>
            <w:tcW w:w="1005" w:type="dxa"/>
            <w:tcBorders>
              <w:top w:val="nil"/>
              <w:left w:val="nil"/>
              <w:bottom w:val="nil"/>
              <w:right w:val="nil"/>
            </w:tcBorders>
            <w:shd w:val="clear" w:color="auto" w:fill="FFFFFF"/>
            <w:vAlign w:val="center"/>
          </w:tcPr>
          <w:p w14:paraId="63038D36"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.253</w:t>
            </w:r>
          </w:p>
        </w:tc>
        <w:tc>
          <w:tcPr>
            <w:tcW w:w="915" w:type="dxa"/>
            <w:tcBorders>
              <w:top w:val="nil"/>
              <w:left w:val="nil"/>
              <w:bottom w:val="nil"/>
              <w:right w:val="nil"/>
            </w:tcBorders>
            <w:shd w:val="clear" w:color="auto" w:fill="FFFFFF"/>
            <w:vAlign w:val="center"/>
          </w:tcPr>
          <w:p w14:paraId="1A4D2AC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.535</w:t>
            </w:r>
          </w:p>
        </w:tc>
        <w:tc>
          <w:tcPr>
            <w:tcW w:w="1395" w:type="dxa"/>
            <w:tcBorders>
              <w:top w:val="nil"/>
              <w:left w:val="nil"/>
              <w:bottom w:val="nil"/>
              <w:right w:val="nil"/>
            </w:tcBorders>
            <w:shd w:val="clear" w:color="auto" w:fill="FFFFFF"/>
            <w:vAlign w:val="center"/>
          </w:tcPr>
          <w:p w14:paraId="1D6E1BA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1.869</w:t>
            </w:r>
          </w:p>
        </w:tc>
      </w:tr>
      <w:tr w:rsidR="00D41ED0" w14:paraId="37B00C7D"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2A7AB8B3"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nil"/>
              <w:right w:val="nil"/>
            </w:tcBorders>
            <w:shd w:val="clear" w:color="auto" w:fill="FFFFFF"/>
            <w:vAlign w:val="center"/>
          </w:tcPr>
          <w:p w14:paraId="410C68B2"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ENVS9</w:t>
            </w:r>
          </w:p>
        </w:tc>
        <w:tc>
          <w:tcPr>
            <w:tcW w:w="915" w:type="dxa"/>
            <w:tcBorders>
              <w:top w:val="nil"/>
              <w:left w:val="nil"/>
              <w:bottom w:val="nil"/>
              <w:right w:val="nil"/>
            </w:tcBorders>
            <w:shd w:val="clear" w:color="auto" w:fill="FFFFFF"/>
            <w:vAlign w:val="center"/>
          </w:tcPr>
          <w:p w14:paraId="14193AF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-.003</w:t>
            </w:r>
          </w:p>
        </w:tc>
        <w:tc>
          <w:tcPr>
            <w:tcW w:w="915" w:type="dxa"/>
            <w:tcBorders>
              <w:top w:val="nil"/>
              <w:left w:val="nil"/>
              <w:bottom w:val="nil"/>
              <w:right w:val="nil"/>
            </w:tcBorders>
            <w:shd w:val="clear" w:color="auto" w:fill="FFFFFF"/>
            <w:vAlign w:val="center"/>
          </w:tcPr>
          <w:p w14:paraId="26F73E4B"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.054</w:t>
            </w:r>
          </w:p>
        </w:tc>
        <w:tc>
          <w:tcPr>
            <w:tcW w:w="1200" w:type="dxa"/>
            <w:tcBorders>
              <w:top w:val="nil"/>
              <w:left w:val="nil"/>
              <w:bottom w:val="nil"/>
              <w:right w:val="nil"/>
            </w:tcBorders>
            <w:shd w:val="clear" w:color="auto" w:fill="FFFFFF"/>
            <w:vAlign w:val="center"/>
          </w:tcPr>
          <w:p w14:paraId="761D77B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-.003</w:t>
            </w:r>
          </w:p>
        </w:tc>
        <w:tc>
          <w:tcPr>
            <w:tcW w:w="675" w:type="dxa"/>
            <w:tcBorders>
              <w:top w:val="nil"/>
              <w:left w:val="nil"/>
              <w:bottom w:val="nil"/>
              <w:right w:val="nil"/>
            </w:tcBorders>
            <w:shd w:val="clear" w:color="auto" w:fill="FFFFFF"/>
            <w:vAlign w:val="center"/>
          </w:tcPr>
          <w:p w14:paraId="6385C732"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-.064</w:t>
            </w:r>
          </w:p>
        </w:tc>
        <w:tc>
          <w:tcPr>
            <w:tcW w:w="675" w:type="dxa"/>
            <w:tcBorders>
              <w:top w:val="nil"/>
              <w:left w:val="nil"/>
              <w:bottom w:val="nil"/>
              <w:right w:val="nil"/>
            </w:tcBorders>
            <w:shd w:val="clear" w:color="auto" w:fill="FFFFFF"/>
            <w:vAlign w:val="center"/>
          </w:tcPr>
          <w:p w14:paraId="1E37B9C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.949</w:t>
            </w:r>
          </w:p>
        </w:tc>
        <w:tc>
          <w:tcPr>
            <w:tcW w:w="1005" w:type="dxa"/>
            <w:tcBorders>
              <w:top w:val="nil"/>
              <w:left w:val="nil"/>
              <w:bottom w:val="nil"/>
              <w:right w:val="nil"/>
            </w:tcBorders>
            <w:shd w:val="clear" w:color="auto" w:fill="FFFFFF"/>
            <w:vAlign w:val="center"/>
          </w:tcPr>
          <w:p w14:paraId="5ADF07B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-.109</w:t>
            </w:r>
          </w:p>
        </w:tc>
        <w:tc>
          <w:tcPr>
            <w:tcW w:w="1005" w:type="dxa"/>
            <w:tcBorders>
              <w:top w:val="nil"/>
              <w:left w:val="nil"/>
              <w:bottom w:val="nil"/>
              <w:right w:val="nil"/>
            </w:tcBorders>
            <w:shd w:val="clear" w:color="auto" w:fill="FFFFFF"/>
            <w:vAlign w:val="center"/>
          </w:tcPr>
          <w:p w14:paraId="3938046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.102</w:t>
            </w:r>
          </w:p>
        </w:tc>
        <w:tc>
          <w:tcPr>
            <w:tcW w:w="915" w:type="dxa"/>
            <w:tcBorders>
              <w:top w:val="nil"/>
              <w:left w:val="nil"/>
              <w:bottom w:val="nil"/>
              <w:right w:val="nil"/>
            </w:tcBorders>
            <w:shd w:val="clear" w:color="auto" w:fill="FFFFFF"/>
            <w:vAlign w:val="center"/>
          </w:tcPr>
          <w:p w14:paraId="350E704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.774</w:t>
            </w:r>
          </w:p>
        </w:tc>
        <w:tc>
          <w:tcPr>
            <w:tcW w:w="1395" w:type="dxa"/>
            <w:tcBorders>
              <w:top w:val="nil"/>
              <w:left w:val="nil"/>
              <w:bottom w:val="nil"/>
              <w:right w:val="nil"/>
            </w:tcBorders>
            <w:shd w:val="clear" w:color="auto" w:fill="FFFFFF"/>
            <w:vAlign w:val="center"/>
          </w:tcPr>
          <w:p w14:paraId="05F589B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1.292</w:t>
            </w:r>
          </w:p>
        </w:tc>
      </w:tr>
      <w:tr w:rsidR="00D41ED0" w14:paraId="38B6640B" w14:textId="77777777">
        <w:trPr>
          <w:cantSplit/>
          <w:trHeight w:val="152"/>
        </w:trPr>
        <w:tc>
          <w:tcPr>
            <w:tcW w:w="885" w:type="dxa"/>
            <w:vMerge/>
            <w:tcBorders>
              <w:top w:val="single" w:sz="16" w:space="0" w:color="000000"/>
              <w:left w:val="nil"/>
              <w:bottom w:val="single" w:sz="16" w:space="0" w:color="000000"/>
              <w:right w:val="nil"/>
            </w:tcBorders>
            <w:shd w:val="clear" w:color="auto" w:fill="FFFFFF"/>
            <w:vAlign w:val="center"/>
          </w:tcPr>
          <w:p w14:paraId="77DBF24C" w14:textId="77777777" w:rsidR="00D41ED0" w:rsidRDefault="00D41ED0">
            <w:pPr>
              <w:widowControl w:val="0"/>
              <w:pBdr>
                <w:top w:val="nil"/>
                <w:left w:val="nil"/>
                <w:bottom w:val="nil"/>
                <w:right w:val="nil"/>
                <w:between w:val="nil"/>
              </w:pBdr>
              <w:spacing w:after="0"/>
              <w:rPr>
                <w:rFonts w:ascii="Arial" w:eastAsia="Arial" w:hAnsi="Arial" w:cs="Arial"/>
                <w:color w:val="000000"/>
                <w:sz w:val="20"/>
                <w:szCs w:val="20"/>
              </w:rPr>
            </w:pPr>
          </w:p>
        </w:tc>
        <w:tc>
          <w:tcPr>
            <w:tcW w:w="975" w:type="dxa"/>
            <w:tcBorders>
              <w:top w:val="nil"/>
              <w:left w:val="nil"/>
              <w:bottom w:val="single" w:sz="16" w:space="0" w:color="000000"/>
              <w:right w:val="nil"/>
            </w:tcBorders>
            <w:shd w:val="clear" w:color="auto" w:fill="FFFFFF"/>
            <w:vAlign w:val="center"/>
          </w:tcPr>
          <w:p w14:paraId="4BEB341C"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ENVS10</w:t>
            </w:r>
          </w:p>
        </w:tc>
        <w:tc>
          <w:tcPr>
            <w:tcW w:w="915" w:type="dxa"/>
            <w:tcBorders>
              <w:top w:val="nil"/>
              <w:left w:val="nil"/>
              <w:bottom w:val="single" w:sz="16" w:space="0" w:color="000000"/>
              <w:right w:val="nil"/>
            </w:tcBorders>
            <w:shd w:val="clear" w:color="auto" w:fill="FFFFFF"/>
            <w:vAlign w:val="center"/>
          </w:tcPr>
          <w:p w14:paraId="193B029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-.025</w:t>
            </w:r>
          </w:p>
        </w:tc>
        <w:tc>
          <w:tcPr>
            <w:tcW w:w="915" w:type="dxa"/>
            <w:tcBorders>
              <w:top w:val="nil"/>
              <w:left w:val="nil"/>
              <w:bottom w:val="single" w:sz="16" w:space="0" w:color="000000"/>
              <w:right w:val="nil"/>
            </w:tcBorders>
            <w:shd w:val="clear" w:color="auto" w:fill="FFFFFF"/>
            <w:vAlign w:val="center"/>
          </w:tcPr>
          <w:p w14:paraId="07DF54B1"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.062</w:t>
            </w:r>
          </w:p>
        </w:tc>
        <w:tc>
          <w:tcPr>
            <w:tcW w:w="1200" w:type="dxa"/>
            <w:tcBorders>
              <w:top w:val="nil"/>
              <w:left w:val="nil"/>
              <w:bottom w:val="single" w:sz="16" w:space="0" w:color="000000"/>
              <w:right w:val="nil"/>
            </w:tcBorders>
            <w:shd w:val="clear" w:color="auto" w:fill="FFFFFF"/>
            <w:vAlign w:val="center"/>
          </w:tcPr>
          <w:p w14:paraId="1DC0CB1E"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-.024</w:t>
            </w:r>
          </w:p>
        </w:tc>
        <w:tc>
          <w:tcPr>
            <w:tcW w:w="675" w:type="dxa"/>
            <w:tcBorders>
              <w:top w:val="nil"/>
              <w:left w:val="nil"/>
              <w:bottom w:val="single" w:sz="16" w:space="0" w:color="000000"/>
              <w:right w:val="nil"/>
            </w:tcBorders>
            <w:shd w:val="clear" w:color="auto" w:fill="FFFFFF"/>
            <w:vAlign w:val="center"/>
          </w:tcPr>
          <w:p w14:paraId="083CF5F3"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-.400</w:t>
            </w:r>
          </w:p>
        </w:tc>
        <w:tc>
          <w:tcPr>
            <w:tcW w:w="675" w:type="dxa"/>
            <w:tcBorders>
              <w:top w:val="nil"/>
              <w:left w:val="nil"/>
              <w:bottom w:val="single" w:sz="16" w:space="0" w:color="000000"/>
              <w:right w:val="nil"/>
            </w:tcBorders>
            <w:shd w:val="clear" w:color="auto" w:fill="FFFFFF"/>
            <w:vAlign w:val="center"/>
          </w:tcPr>
          <w:p w14:paraId="25B419A9"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.690</w:t>
            </w:r>
          </w:p>
        </w:tc>
        <w:tc>
          <w:tcPr>
            <w:tcW w:w="1005" w:type="dxa"/>
            <w:tcBorders>
              <w:top w:val="nil"/>
              <w:left w:val="nil"/>
              <w:bottom w:val="single" w:sz="16" w:space="0" w:color="000000"/>
              <w:right w:val="nil"/>
            </w:tcBorders>
            <w:shd w:val="clear" w:color="auto" w:fill="FFFFFF"/>
            <w:vAlign w:val="center"/>
          </w:tcPr>
          <w:p w14:paraId="09492C9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-.146</w:t>
            </w:r>
          </w:p>
        </w:tc>
        <w:tc>
          <w:tcPr>
            <w:tcW w:w="1005" w:type="dxa"/>
            <w:tcBorders>
              <w:top w:val="nil"/>
              <w:left w:val="nil"/>
              <w:bottom w:val="single" w:sz="16" w:space="0" w:color="000000"/>
              <w:right w:val="nil"/>
            </w:tcBorders>
            <w:shd w:val="clear" w:color="auto" w:fill="FFFFFF"/>
            <w:vAlign w:val="center"/>
          </w:tcPr>
          <w:p w14:paraId="57400ED8"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.097</w:t>
            </w:r>
          </w:p>
        </w:tc>
        <w:tc>
          <w:tcPr>
            <w:tcW w:w="915" w:type="dxa"/>
            <w:tcBorders>
              <w:top w:val="nil"/>
              <w:left w:val="nil"/>
              <w:bottom w:val="single" w:sz="16" w:space="0" w:color="000000"/>
              <w:right w:val="nil"/>
            </w:tcBorders>
            <w:shd w:val="clear" w:color="auto" w:fill="FFFFFF"/>
            <w:vAlign w:val="center"/>
          </w:tcPr>
          <w:p w14:paraId="4F864F95"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.594</w:t>
            </w:r>
          </w:p>
        </w:tc>
        <w:tc>
          <w:tcPr>
            <w:tcW w:w="1395" w:type="dxa"/>
            <w:tcBorders>
              <w:top w:val="nil"/>
              <w:left w:val="nil"/>
              <w:bottom w:val="single" w:sz="16" w:space="0" w:color="000000"/>
              <w:right w:val="nil"/>
            </w:tcBorders>
            <w:shd w:val="clear" w:color="auto" w:fill="FFFFFF"/>
            <w:vAlign w:val="center"/>
          </w:tcPr>
          <w:p w14:paraId="6EA7DC2C" w14:textId="77777777" w:rsidR="00D41ED0" w:rsidRDefault="00CB0D2A">
            <w:pPr>
              <w:spacing w:after="0"/>
              <w:ind w:left="60" w:right="60"/>
              <w:jc w:val="right"/>
              <w:rPr>
                <w:rFonts w:ascii="Arial" w:eastAsia="Arial" w:hAnsi="Arial" w:cs="Arial"/>
                <w:color w:val="000000"/>
                <w:sz w:val="20"/>
                <w:szCs w:val="20"/>
              </w:rPr>
            </w:pPr>
            <w:r>
              <w:rPr>
                <w:rFonts w:ascii="Arial" w:eastAsia="Arial" w:hAnsi="Arial" w:cs="Arial"/>
                <w:color w:val="000000"/>
                <w:sz w:val="20"/>
                <w:szCs w:val="20"/>
              </w:rPr>
              <w:t>1.684</w:t>
            </w:r>
          </w:p>
        </w:tc>
      </w:tr>
      <w:tr w:rsidR="00D41ED0" w14:paraId="60901335" w14:textId="77777777">
        <w:trPr>
          <w:cantSplit/>
          <w:trHeight w:val="331"/>
        </w:trPr>
        <w:tc>
          <w:tcPr>
            <w:tcW w:w="10560" w:type="dxa"/>
            <w:gridSpan w:val="11"/>
            <w:tcBorders>
              <w:top w:val="nil"/>
              <w:left w:val="nil"/>
              <w:bottom w:val="nil"/>
              <w:right w:val="nil"/>
            </w:tcBorders>
            <w:shd w:val="clear" w:color="auto" w:fill="FFFFFF"/>
          </w:tcPr>
          <w:p w14:paraId="4828CEBD" w14:textId="77777777" w:rsidR="00D41ED0" w:rsidRDefault="00CB0D2A">
            <w:pPr>
              <w:spacing w:after="0"/>
              <w:ind w:left="60" w:right="60"/>
              <w:rPr>
                <w:rFonts w:ascii="Arial" w:eastAsia="Arial" w:hAnsi="Arial" w:cs="Arial"/>
                <w:color w:val="000000"/>
                <w:sz w:val="18"/>
                <w:szCs w:val="18"/>
              </w:rPr>
            </w:pPr>
            <w:r>
              <w:rPr>
                <w:rFonts w:ascii="Arial" w:eastAsia="Arial" w:hAnsi="Arial" w:cs="Arial"/>
                <w:color w:val="000000"/>
                <w:sz w:val="18"/>
                <w:szCs w:val="18"/>
              </w:rPr>
              <w:t>a. Dependent Variable: ENVS</w:t>
            </w:r>
          </w:p>
        </w:tc>
      </w:tr>
    </w:tbl>
    <w:p w14:paraId="123DBD56"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Table </w:t>
      </w:r>
      <w:proofErr w:type="gramStart"/>
      <w:r>
        <w:rPr>
          <w:rFonts w:ascii="Arial" w:eastAsia="Arial" w:hAnsi="Arial" w:cs="Arial"/>
          <w:sz w:val="20"/>
          <w:szCs w:val="20"/>
        </w:rPr>
        <w:t>7  presents</w:t>
      </w:r>
      <w:proofErr w:type="gramEnd"/>
      <w:r>
        <w:rPr>
          <w:rFonts w:ascii="Arial" w:eastAsia="Arial" w:hAnsi="Arial" w:cs="Arial"/>
          <w:sz w:val="20"/>
          <w:szCs w:val="20"/>
        </w:rPr>
        <w:t xml:space="preserve"> the estimated values for ENVS are between 4.79 and 7.18 (M = 6.01, SD = 0.658), which closely approximate the observed mean, reflecting precise model estimation. Residuals are evenly distributed around zero (M = 0.000, SD = 0.488) with a decent spread (ra</w:t>
      </w:r>
      <w:r>
        <w:rPr>
          <w:rFonts w:ascii="Arial" w:eastAsia="Arial" w:hAnsi="Arial" w:cs="Arial"/>
          <w:sz w:val="20"/>
          <w:szCs w:val="20"/>
        </w:rPr>
        <w:t xml:space="preserve">nge: -1.461 to 1.699), reflecting no significant bias. Standardized residuals are largely within ±3, reflecting good model fit without extreme outliers. The standardized predicted values (M = 0, SD = 1) also attest to normality and scaling assumptions. As </w:t>
      </w:r>
      <w:r>
        <w:rPr>
          <w:rFonts w:ascii="Arial" w:eastAsia="Arial" w:hAnsi="Arial" w:cs="Arial"/>
          <w:sz w:val="20"/>
          <w:szCs w:val="20"/>
        </w:rPr>
        <w:t>a whole, the diagnostics confirm the goodness of the regression model, but the slight variability of residuals points toward minor unexplained variance.</w:t>
      </w:r>
    </w:p>
    <w:p w14:paraId="659540FD"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This residual analysis confirms that the regression model is well-behaved, no major outliers or influen</w:t>
      </w:r>
      <w:r>
        <w:rPr>
          <w:rFonts w:ascii="Arial" w:eastAsia="Arial" w:hAnsi="Arial" w:cs="Arial"/>
          <w:sz w:val="20"/>
          <w:szCs w:val="20"/>
        </w:rPr>
        <w:t>tial residuals, errors are centered around zero, predictions are consistent with moderate spread.</w:t>
      </w:r>
    </w:p>
    <w:p w14:paraId="29EB2552" w14:textId="77777777" w:rsidR="00D41ED0" w:rsidRDefault="00D41ED0">
      <w:pPr>
        <w:spacing w:after="0" w:line="360" w:lineRule="auto"/>
        <w:jc w:val="both"/>
        <w:rPr>
          <w:rFonts w:ascii="Times New Roman" w:eastAsia="Times New Roman" w:hAnsi="Times New Roman" w:cs="Times New Roman"/>
          <w:b/>
          <w:sz w:val="24"/>
          <w:szCs w:val="24"/>
        </w:rPr>
      </w:pPr>
    </w:p>
    <w:p w14:paraId="3D03747C" w14:textId="77777777" w:rsidR="00D41ED0" w:rsidRDefault="00D41ED0">
      <w:pPr>
        <w:spacing w:after="0" w:line="360" w:lineRule="auto"/>
        <w:jc w:val="both"/>
        <w:rPr>
          <w:rFonts w:ascii="Times New Roman" w:eastAsia="Times New Roman" w:hAnsi="Times New Roman" w:cs="Times New Roman"/>
          <w:b/>
          <w:sz w:val="24"/>
          <w:szCs w:val="24"/>
        </w:rPr>
      </w:pPr>
    </w:p>
    <w:p w14:paraId="48988DA4" w14:textId="3672050A" w:rsidR="00D41ED0" w:rsidRDefault="00CB0D2A">
      <w:pPr>
        <w:spacing w:after="0" w:line="360" w:lineRule="auto"/>
        <w:jc w:val="both"/>
        <w:rPr>
          <w:rFonts w:ascii="Times New Roman" w:eastAsia="Times New Roman" w:hAnsi="Times New Roman" w:cs="Times New Roman"/>
          <w:b/>
          <w:sz w:val="24"/>
          <w:szCs w:val="24"/>
        </w:rPr>
      </w:pPr>
      <w:r>
        <w:rPr>
          <w:rFonts w:ascii="Arial" w:eastAsia="Arial" w:hAnsi="Arial" w:cs="Arial"/>
          <w:b/>
          <w:sz w:val="20"/>
          <w:szCs w:val="20"/>
        </w:rPr>
        <w:t>TABLE-7             Residuals Statistics</w:t>
      </w:r>
      <w:r w:rsidR="007F708F">
        <w:rPr>
          <w:rFonts w:ascii="Arial" w:eastAsia="Arial" w:hAnsi="Arial" w:cs="Arial"/>
          <w:b/>
          <w:sz w:val="20"/>
          <w:szCs w:val="20"/>
        </w:rPr>
        <w:t xml:space="preserve"> Result</w:t>
      </w:r>
    </w:p>
    <w:tbl>
      <w:tblPr>
        <w:tblStyle w:val="ae"/>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1185"/>
        <w:gridCol w:w="1230"/>
        <w:gridCol w:w="1140"/>
        <w:gridCol w:w="1905"/>
        <w:gridCol w:w="840"/>
      </w:tblGrid>
      <w:tr w:rsidR="00D41ED0" w14:paraId="422483D7" w14:textId="77777777">
        <w:trPr>
          <w:cantSplit/>
        </w:trPr>
        <w:tc>
          <w:tcPr>
            <w:tcW w:w="8505" w:type="dxa"/>
            <w:gridSpan w:val="6"/>
            <w:tcBorders>
              <w:top w:val="nil"/>
              <w:left w:val="nil"/>
              <w:bottom w:val="nil"/>
              <w:right w:val="nil"/>
            </w:tcBorders>
            <w:shd w:val="clear" w:color="auto" w:fill="FFFFFF"/>
          </w:tcPr>
          <w:p w14:paraId="1F7EA931" w14:textId="77777777" w:rsidR="00D41ED0" w:rsidRDefault="00D41ED0">
            <w:pPr>
              <w:spacing w:after="0"/>
              <w:ind w:right="60"/>
              <w:rPr>
                <w:rFonts w:ascii="Arial" w:eastAsia="Arial" w:hAnsi="Arial" w:cs="Arial"/>
                <w:b/>
                <w:sz w:val="18"/>
                <w:szCs w:val="18"/>
              </w:rPr>
            </w:pPr>
          </w:p>
          <w:p w14:paraId="592D83C2" w14:textId="77777777" w:rsidR="00D41ED0" w:rsidRDefault="00D41ED0">
            <w:pPr>
              <w:spacing w:after="0"/>
              <w:ind w:left="60" w:right="60"/>
              <w:jc w:val="center"/>
              <w:rPr>
                <w:rFonts w:ascii="Arial" w:eastAsia="Arial" w:hAnsi="Arial" w:cs="Arial"/>
                <w:color w:val="000000"/>
                <w:sz w:val="18"/>
                <w:szCs w:val="18"/>
              </w:rPr>
            </w:pPr>
          </w:p>
        </w:tc>
      </w:tr>
      <w:tr w:rsidR="00D41ED0" w14:paraId="3A62AC83" w14:textId="77777777">
        <w:trPr>
          <w:cantSplit/>
        </w:trPr>
        <w:tc>
          <w:tcPr>
            <w:tcW w:w="2205" w:type="dxa"/>
            <w:tcBorders>
              <w:top w:val="single" w:sz="16" w:space="0" w:color="000000"/>
              <w:left w:val="nil"/>
              <w:bottom w:val="single" w:sz="16" w:space="0" w:color="000000"/>
              <w:right w:val="nil"/>
            </w:tcBorders>
            <w:shd w:val="clear" w:color="auto" w:fill="FFFFFF"/>
          </w:tcPr>
          <w:p w14:paraId="0DE2AB32" w14:textId="77777777" w:rsidR="00D41ED0" w:rsidRDefault="00D41ED0">
            <w:pPr>
              <w:spacing w:after="0"/>
              <w:ind w:left="60" w:right="60"/>
              <w:jc w:val="center"/>
              <w:rPr>
                <w:rFonts w:ascii="Arial" w:eastAsia="Arial" w:hAnsi="Arial" w:cs="Arial"/>
                <w:b/>
                <w:color w:val="000000"/>
                <w:sz w:val="20"/>
                <w:szCs w:val="20"/>
              </w:rPr>
            </w:pPr>
          </w:p>
        </w:tc>
        <w:tc>
          <w:tcPr>
            <w:tcW w:w="1185" w:type="dxa"/>
            <w:tcBorders>
              <w:top w:val="single" w:sz="16" w:space="0" w:color="000000"/>
              <w:left w:val="nil"/>
              <w:bottom w:val="single" w:sz="16" w:space="0" w:color="000000"/>
              <w:right w:val="nil"/>
            </w:tcBorders>
            <w:shd w:val="clear" w:color="auto" w:fill="FFFFFF"/>
          </w:tcPr>
          <w:p w14:paraId="4BCE59B5"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Minimum</w:t>
            </w:r>
          </w:p>
        </w:tc>
        <w:tc>
          <w:tcPr>
            <w:tcW w:w="1230" w:type="dxa"/>
            <w:tcBorders>
              <w:top w:val="single" w:sz="16" w:space="0" w:color="000000"/>
              <w:left w:val="nil"/>
              <w:bottom w:val="single" w:sz="16" w:space="0" w:color="000000"/>
              <w:right w:val="nil"/>
            </w:tcBorders>
            <w:shd w:val="clear" w:color="auto" w:fill="FFFFFF"/>
          </w:tcPr>
          <w:p w14:paraId="4654459A"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Maximum</w:t>
            </w:r>
          </w:p>
        </w:tc>
        <w:tc>
          <w:tcPr>
            <w:tcW w:w="1140" w:type="dxa"/>
            <w:tcBorders>
              <w:top w:val="single" w:sz="16" w:space="0" w:color="000000"/>
              <w:left w:val="nil"/>
              <w:bottom w:val="single" w:sz="16" w:space="0" w:color="000000"/>
              <w:right w:val="nil"/>
            </w:tcBorders>
            <w:shd w:val="clear" w:color="auto" w:fill="FFFFFF"/>
          </w:tcPr>
          <w:p w14:paraId="29FEFE69"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color w:val="000000"/>
                <w:sz w:val="20"/>
                <w:szCs w:val="20"/>
              </w:rPr>
              <w:t>Mean</w:t>
            </w:r>
          </w:p>
        </w:tc>
        <w:tc>
          <w:tcPr>
            <w:tcW w:w="1905" w:type="dxa"/>
            <w:tcBorders>
              <w:top w:val="single" w:sz="16" w:space="0" w:color="000000"/>
              <w:left w:val="nil"/>
              <w:bottom w:val="single" w:sz="16" w:space="0" w:color="000000"/>
              <w:right w:val="nil"/>
            </w:tcBorders>
            <w:shd w:val="clear" w:color="auto" w:fill="FFFFFF"/>
          </w:tcPr>
          <w:p w14:paraId="3672D757"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sz w:val="20"/>
                <w:szCs w:val="20"/>
              </w:rPr>
              <w:t xml:space="preserve">  </w:t>
            </w:r>
            <w:r>
              <w:rPr>
                <w:rFonts w:ascii="Arial" w:eastAsia="Arial" w:hAnsi="Arial" w:cs="Arial"/>
                <w:b/>
                <w:color w:val="000000"/>
                <w:sz w:val="20"/>
                <w:szCs w:val="20"/>
              </w:rPr>
              <w:t>Std. Deviation</w:t>
            </w:r>
          </w:p>
        </w:tc>
        <w:tc>
          <w:tcPr>
            <w:tcW w:w="840" w:type="dxa"/>
            <w:tcBorders>
              <w:top w:val="single" w:sz="16" w:space="0" w:color="000000"/>
              <w:left w:val="nil"/>
              <w:bottom w:val="single" w:sz="16" w:space="0" w:color="000000"/>
              <w:right w:val="nil"/>
            </w:tcBorders>
            <w:shd w:val="clear" w:color="auto" w:fill="FFFFFF"/>
          </w:tcPr>
          <w:p w14:paraId="6EBBEC3C" w14:textId="77777777" w:rsidR="00D41ED0" w:rsidRDefault="00CB0D2A">
            <w:pPr>
              <w:spacing w:after="0"/>
              <w:ind w:left="60" w:right="60"/>
              <w:jc w:val="center"/>
              <w:rPr>
                <w:rFonts w:ascii="Arial" w:eastAsia="Arial" w:hAnsi="Arial" w:cs="Arial"/>
                <w:b/>
                <w:color w:val="000000"/>
                <w:sz w:val="20"/>
                <w:szCs w:val="20"/>
              </w:rPr>
            </w:pPr>
            <w:r>
              <w:rPr>
                <w:rFonts w:ascii="Arial" w:eastAsia="Arial" w:hAnsi="Arial" w:cs="Arial"/>
                <w:b/>
                <w:sz w:val="20"/>
                <w:szCs w:val="20"/>
              </w:rPr>
              <w:t>N</w:t>
            </w:r>
          </w:p>
        </w:tc>
      </w:tr>
      <w:tr w:rsidR="00D41ED0" w14:paraId="5CC04823" w14:textId="77777777">
        <w:trPr>
          <w:cantSplit/>
          <w:trHeight w:val="163"/>
        </w:trPr>
        <w:tc>
          <w:tcPr>
            <w:tcW w:w="2205" w:type="dxa"/>
            <w:tcBorders>
              <w:top w:val="single" w:sz="16" w:space="0" w:color="000000"/>
              <w:left w:val="nil"/>
              <w:bottom w:val="nil"/>
              <w:right w:val="nil"/>
            </w:tcBorders>
            <w:shd w:val="clear" w:color="auto" w:fill="FFFFFF"/>
            <w:vAlign w:val="center"/>
          </w:tcPr>
          <w:p w14:paraId="7680FB06"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Predicted Value</w:t>
            </w:r>
          </w:p>
        </w:tc>
        <w:tc>
          <w:tcPr>
            <w:tcW w:w="1185" w:type="dxa"/>
            <w:tcBorders>
              <w:top w:val="single" w:sz="16" w:space="0" w:color="000000"/>
              <w:left w:val="nil"/>
              <w:bottom w:val="nil"/>
              <w:right w:val="nil"/>
            </w:tcBorders>
            <w:shd w:val="clear" w:color="auto" w:fill="FFFFFF"/>
            <w:vAlign w:val="center"/>
          </w:tcPr>
          <w:p w14:paraId="4D2B026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4.79</w:t>
            </w:r>
          </w:p>
        </w:tc>
        <w:tc>
          <w:tcPr>
            <w:tcW w:w="1230" w:type="dxa"/>
            <w:tcBorders>
              <w:top w:val="single" w:sz="16" w:space="0" w:color="000000"/>
              <w:left w:val="nil"/>
              <w:bottom w:val="nil"/>
              <w:right w:val="nil"/>
            </w:tcBorders>
            <w:shd w:val="clear" w:color="auto" w:fill="FFFFFF"/>
            <w:vAlign w:val="center"/>
          </w:tcPr>
          <w:p w14:paraId="0608E326"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7.18</w:t>
            </w:r>
          </w:p>
        </w:tc>
        <w:tc>
          <w:tcPr>
            <w:tcW w:w="1140" w:type="dxa"/>
            <w:tcBorders>
              <w:top w:val="single" w:sz="16" w:space="0" w:color="000000"/>
              <w:left w:val="nil"/>
              <w:bottom w:val="nil"/>
              <w:right w:val="nil"/>
            </w:tcBorders>
            <w:shd w:val="clear" w:color="auto" w:fill="FFFFFF"/>
            <w:vAlign w:val="center"/>
          </w:tcPr>
          <w:p w14:paraId="1DFECA3A"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6.01</w:t>
            </w:r>
          </w:p>
        </w:tc>
        <w:tc>
          <w:tcPr>
            <w:tcW w:w="1905" w:type="dxa"/>
            <w:tcBorders>
              <w:top w:val="single" w:sz="16" w:space="0" w:color="000000"/>
              <w:left w:val="nil"/>
              <w:bottom w:val="nil"/>
              <w:right w:val="nil"/>
            </w:tcBorders>
            <w:shd w:val="clear" w:color="auto" w:fill="FFFFFF"/>
            <w:vAlign w:val="center"/>
          </w:tcPr>
          <w:p w14:paraId="52A0C6FF"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.658</w:t>
            </w:r>
          </w:p>
        </w:tc>
        <w:tc>
          <w:tcPr>
            <w:tcW w:w="840" w:type="dxa"/>
            <w:tcBorders>
              <w:top w:val="single" w:sz="16" w:space="0" w:color="000000"/>
              <w:left w:val="nil"/>
              <w:bottom w:val="nil"/>
              <w:right w:val="nil"/>
            </w:tcBorders>
            <w:shd w:val="clear" w:color="auto" w:fill="FFFFFF"/>
            <w:vAlign w:val="center"/>
          </w:tcPr>
          <w:p w14:paraId="7CFEF9C0"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6BC4D1E9" w14:textId="77777777">
        <w:trPr>
          <w:cantSplit/>
        </w:trPr>
        <w:tc>
          <w:tcPr>
            <w:tcW w:w="2205" w:type="dxa"/>
            <w:tcBorders>
              <w:top w:val="nil"/>
              <w:left w:val="nil"/>
              <w:bottom w:val="nil"/>
              <w:right w:val="nil"/>
            </w:tcBorders>
            <w:shd w:val="clear" w:color="auto" w:fill="FFFFFF"/>
            <w:vAlign w:val="center"/>
          </w:tcPr>
          <w:p w14:paraId="579C5DA0"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Residual</w:t>
            </w:r>
          </w:p>
        </w:tc>
        <w:tc>
          <w:tcPr>
            <w:tcW w:w="1185" w:type="dxa"/>
            <w:tcBorders>
              <w:top w:val="nil"/>
              <w:left w:val="nil"/>
              <w:bottom w:val="nil"/>
              <w:right w:val="nil"/>
            </w:tcBorders>
            <w:shd w:val="clear" w:color="auto" w:fill="FFFFFF"/>
            <w:vAlign w:val="center"/>
          </w:tcPr>
          <w:p w14:paraId="24C0A715"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-1.461</w:t>
            </w:r>
          </w:p>
        </w:tc>
        <w:tc>
          <w:tcPr>
            <w:tcW w:w="1230" w:type="dxa"/>
            <w:tcBorders>
              <w:top w:val="nil"/>
              <w:left w:val="nil"/>
              <w:bottom w:val="nil"/>
              <w:right w:val="nil"/>
            </w:tcBorders>
            <w:shd w:val="clear" w:color="auto" w:fill="FFFFFF"/>
            <w:vAlign w:val="center"/>
          </w:tcPr>
          <w:p w14:paraId="0DD68FF2"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1.699</w:t>
            </w:r>
          </w:p>
        </w:tc>
        <w:tc>
          <w:tcPr>
            <w:tcW w:w="1140" w:type="dxa"/>
            <w:tcBorders>
              <w:top w:val="nil"/>
              <w:left w:val="nil"/>
              <w:bottom w:val="nil"/>
              <w:right w:val="nil"/>
            </w:tcBorders>
            <w:shd w:val="clear" w:color="auto" w:fill="FFFFFF"/>
            <w:vAlign w:val="center"/>
          </w:tcPr>
          <w:p w14:paraId="7B5CFD0B"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.000</w:t>
            </w:r>
          </w:p>
        </w:tc>
        <w:tc>
          <w:tcPr>
            <w:tcW w:w="1905" w:type="dxa"/>
            <w:tcBorders>
              <w:top w:val="nil"/>
              <w:left w:val="nil"/>
              <w:bottom w:val="nil"/>
              <w:right w:val="nil"/>
            </w:tcBorders>
            <w:shd w:val="clear" w:color="auto" w:fill="FFFFFF"/>
            <w:vAlign w:val="center"/>
          </w:tcPr>
          <w:p w14:paraId="39648FCC"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.488</w:t>
            </w:r>
          </w:p>
        </w:tc>
        <w:tc>
          <w:tcPr>
            <w:tcW w:w="840" w:type="dxa"/>
            <w:tcBorders>
              <w:top w:val="nil"/>
              <w:left w:val="nil"/>
              <w:bottom w:val="nil"/>
              <w:right w:val="nil"/>
            </w:tcBorders>
            <w:shd w:val="clear" w:color="auto" w:fill="FFFFFF"/>
            <w:vAlign w:val="center"/>
          </w:tcPr>
          <w:p w14:paraId="61ED683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5B3E3CA8" w14:textId="77777777">
        <w:trPr>
          <w:cantSplit/>
        </w:trPr>
        <w:tc>
          <w:tcPr>
            <w:tcW w:w="2205" w:type="dxa"/>
            <w:tcBorders>
              <w:top w:val="nil"/>
              <w:left w:val="nil"/>
              <w:bottom w:val="nil"/>
              <w:right w:val="nil"/>
            </w:tcBorders>
            <w:shd w:val="clear" w:color="auto" w:fill="FFFFFF"/>
            <w:vAlign w:val="center"/>
          </w:tcPr>
          <w:p w14:paraId="78B5CB1B"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Std. Predicted Value</w:t>
            </w:r>
          </w:p>
        </w:tc>
        <w:tc>
          <w:tcPr>
            <w:tcW w:w="1185" w:type="dxa"/>
            <w:tcBorders>
              <w:top w:val="nil"/>
              <w:left w:val="nil"/>
              <w:bottom w:val="nil"/>
              <w:right w:val="nil"/>
            </w:tcBorders>
            <w:shd w:val="clear" w:color="auto" w:fill="FFFFFF"/>
            <w:vAlign w:val="center"/>
          </w:tcPr>
          <w:p w14:paraId="713DC790"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-1.862</w:t>
            </w:r>
          </w:p>
        </w:tc>
        <w:tc>
          <w:tcPr>
            <w:tcW w:w="1230" w:type="dxa"/>
            <w:tcBorders>
              <w:top w:val="nil"/>
              <w:left w:val="nil"/>
              <w:bottom w:val="nil"/>
              <w:right w:val="nil"/>
            </w:tcBorders>
            <w:shd w:val="clear" w:color="auto" w:fill="FFFFFF"/>
            <w:vAlign w:val="center"/>
          </w:tcPr>
          <w:p w14:paraId="6A1DC9C9"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1.774</w:t>
            </w:r>
          </w:p>
        </w:tc>
        <w:tc>
          <w:tcPr>
            <w:tcW w:w="1140" w:type="dxa"/>
            <w:tcBorders>
              <w:top w:val="nil"/>
              <w:left w:val="nil"/>
              <w:bottom w:val="nil"/>
              <w:right w:val="nil"/>
            </w:tcBorders>
            <w:shd w:val="clear" w:color="auto" w:fill="FFFFFF"/>
            <w:vAlign w:val="center"/>
          </w:tcPr>
          <w:p w14:paraId="13D30235"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.000</w:t>
            </w:r>
          </w:p>
        </w:tc>
        <w:tc>
          <w:tcPr>
            <w:tcW w:w="1905" w:type="dxa"/>
            <w:tcBorders>
              <w:top w:val="nil"/>
              <w:left w:val="nil"/>
              <w:bottom w:val="nil"/>
              <w:right w:val="nil"/>
            </w:tcBorders>
            <w:shd w:val="clear" w:color="auto" w:fill="FFFFFF"/>
            <w:vAlign w:val="center"/>
          </w:tcPr>
          <w:p w14:paraId="21086B18"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1.000</w:t>
            </w:r>
          </w:p>
        </w:tc>
        <w:tc>
          <w:tcPr>
            <w:tcW w:w="840" w:type="dxa"/>
            <w:tcBorders>
              <w:top w:val="nil"/>
              <w:left w:val="nil"/>
              <w:bottom w:val="nil"/>
              <w:right w:val="nil"/>
            </w:tcBorders>
            <w:shd w:val="clear" w:color="auto" w:fill="FFFFFF"/>
            <w:vAlign w:val="center"/>
          </w:tcPr>
          <w:p w14:paraId="5B014844"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28B3B8A2" w14:textId="77777777">
        <w:trPr>
          <w:cantSplit/>
        </w:trPr>
        <w:tc>
          <w:tcPr>
            <w:tcW w:w="2205" w:type="dxa"/>
            <w:tcBorders>
              <w:top w:val="nil"/>
              <w:left w:val="nil"/>
              <w:bottom w:val="single" w:sz="16" w:space="0" w:color="000000"/>
              <w:right w:val="nil"/>
            </w:tcBorders>
            <w:shd w:val="clear" w:color="auto" w:fill="FFFFFF"/>
            <w:vAlign w:val="center"/>
          </w:tcPr>
          <w:p w14:paraId="7DA9DEB5" w14:textId="77777777" w:rsidR="00D41ED0" w:rsidRDefault="00CB0D2A">
            <w:pPr>
              <w:spacing w:after="0"/>
              <w:ind w:left="60" w:right="60"/>
              <w:rPr>
                <w:rFonts w:ascii="Arial" w:eastAsia="Arial" w:hAnsi="Arial" w:cs="Arial"/>
                <w:color w:val="000000"/>
                <w:sz w:val="20"/>
                <w:szCs w:val="20"/>
              </w:rPr>
            </w:pPr>
            <w:r>
              <w:rPr>
                <w:rFonts w:ascii="Arial" w:eastAsia="Arial" w:hAnsi="Arial" w:cs="Arial"/>
                <w:color w:val="000000"/>
                <w:sz w:val="20"/>
                <w:szCs w:val="20"/>
              </w:rPr>
              <w:t>Std. Residual</w:t>
            </w:r>
          </w:p>
        </w:tc>
        <w:tc>
          <w:tcPr>
            <w:tcW w:w="1185" w:type="dxa"/>
            <w:tcBorders>
              <w:top w:val="nil"/>
              <w:left w:val="nil"/>
              <w:bottom w:val="single" w:sz="16" w:space="0" w:color="000000"/>
              <w:right w:val="nil"/>
            </w:tcBorders>
            <w:shd w:val="clear" w:color="auto" w:fill="FFFFFF"/>
            <w:vAlign w:val="center"/>
          </w:tcPr>
          <w:p w14:paraId="78D1B23F"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-2.905</w:t>
            </w:r>
          </w:p>
        </w:tc>
        <w:tc>
          <w:tcPr>
            <w:tcW w:w="1230" w:type="dxa"/>
            <w:tcBorders>
              <w:top w:val="nil"/>
              <w:left w:val="nil"/>
              <w:bottom w:val="single" w:sz="16" w:space="0" w:color="000000"/>
              <w:right w:val="nil"/>
            </w:tcBorders>
            <w:shd w:val="clear" w:color="auto" w:fill="FFFFFF"/>
            <w:vAlign w:val="center"/>
          </w:tcPr>
          <w:p w14:paraId="1FB01BB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3.378</w:t>
            </w:r>
          </w:p>
        </w:tc>
        <w:tc>
          <w:tcPr>
            <w:tcW w:w="1140" w:type="dxa"/>
            <w:tcBorders>
              <w:top w:val="nil"/>
              <w:left w:val="nil"/>
              <w:bottom w:val="single" w:sz="16" w:space="0" w:color="000000"/>
              <w:right w:val="nil"/>
            </w:tcBorders>
            <w:shd w:val="clear" w:color="auto" w:fill="FFFFFF"/>
            <w:vAlign w:val="center"/>
          </w:tcPr>
          <w:p w14:paraId="42231211"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.000</w:t>
            </w:r>
          </w:p>
        </w:tc>
        <w:tc>
          <w:tcPr>
            <w:tcW w:w="1905" w:type="dxa"/>
            <w:tcBorders>
              <w:top w:val="nil"/>
              <w:left w:val="nil"/>
              <w:bottom w:val="single" w:sz="16" w:space="0" w:color="000000"/>
              <w:right w:val="nil"/>
            </w:tcBorders>
            <w:shd w:val="clear" w:color="auto" w:fill="FFFFFF"/>
            <w:vAlign w:val="center"/>
          </w:tcPr>
          <w:p w14:paraId="5678FBED"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.970</w:t>
            </w:r>
          </w:p>
        </w:tc>
        <w:tc>
          <w:tcPr>
            <w:tcW w:w="840" w:type="dxa"/>
            <w:tcBorders>
              <w:top w:val="nil"/>
              <w:left w:val="nil"/>
              <w:bottom w:val="single" w:sz="16" w:space="0" w:color="000000"/>
              <w:right w:val="nil"/>
            </w:tcBorders>
            <w:shd w:val="clear" w:color="auto" w:fill="FFFFFF"/>
            <w:vAlign w:val="center"/>
          </w:tcPr>
          <w:p w14:paraId="7A65A68F" w14:textId="77777777" w:rsidR="00D41ED0" w:rsidRDefault="00CB0D2A">
            <w:pPr>
              <w:spacing w:after="0"/>
              <w:ind w:left="60" w:right="60"/>
              <w:jc w:val="center"/>
              <w:rPr>
                <w:rFonts w:ascii="Arial" w:eastAsia="Arial" w:hAnsi="Arial" w:cs="Arial"/>
                <w:color w:val="000000"/>
                <w:sz w:val="20"/>
                <w:szCs w:val="20"/>
              </w:rPr>
            </w:pPr>
            <w:r>
              <w:rPr>
                <w:rFonts w:ascii="Arial" w:eastAsia="Arial" w:hAnsi="Arial" w:cs="Arial"/>
                <w:color w:val="000000"/>
                <w:sz w:val="20"/>
                <w:szCs w:val="20"/>
              </w:rPr>
              <w:t>171</w:t>
            </w:r>
          </w:p>
        </w:tc>
      </w:tr>
      <w:tr w:rsidR="00D41ED0" w14:paraId="6207A1A2" w14:textId="77777777">
        <w:trPr>
          <w:cantSplit/>
        </w:trPr>
        <w:tc>
          <w:tcPr>
            <w:tcW w:w="8505" w:type="dxa"/>
            <w:gridSpan w:val="6"/>
            <w:tcBorders>
              <w:top w:val="nil"/>
              <w:left w:val="nil"/>
              <w:bottom w:val="nil"/>
              <w:right w:val="nil"/>
            </w:tcBorders>
            <w:shd w:val="clear" w:color="auto" w:fill="FFFFFF"/>
          </w:tcPr>
          <w:p w14:paraId="11BEDBEC" w14:textId="77777777" w:rsidR="00D41ED0" w:rsidRDefault="00CB0D2A">
            <w:pPr>
              <w:spacing w:after="0"/>
              <w:ind w:left="60" w:right="60"/>
              <w:jc w:val="center"/>
              <w:rPr>
                <w:rFonts w:ascii="Arial" w:eastAsia="Arial" w:hAnsi="Arial" w:cs="Arial"/>
                <w:color w:val="000000"/>
                <w:sz w:val="18"/>
                <w:szCs w:val="18"/>
              </w:rPr>
            </w:pPr>
            <w:r>
              <w:rPr>
                <w:rFonts w:ascii="Arial" w:eastAsia="Arial" w:hAnsi="Arial" w:cs="Arial"/>
                <w:color w:val="000000"/>
                <w:sz w:val="18"/>
                <w:szCs w:val="18"/>
              </w:rPr>
              <w:t>a. Dependent Variable: ENVS</w:t>
            </w:r>
          </w:p>
        </w:tc>
      </w:tr>
    </w:tbl>
    <w:p w14:paraId="59D0A6D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The full examination of all tables shows a solid and dependable regression model in determining environmental sustainability </w:t>
      </w:r>
      <w:r>
        <w:rPr>
          <w:rFonts w:ascii="Arial" w:eastAsia="Arial" w:hAnsi="Arial" w:cs="Arial"/>
          <w:sz w:val="20"/>
          <w:szCs w:val="20"/>
        </w:rPr>
        <w:t>perceptions (ENVS). Descriptive statistics reveal stable respondent attitudes, and residual and correlation tests show the model to be stable and predictive. ENVS3, ENVS2, and ENVS1 are significant predictors with strong positive influences on ENVS, and hi</w:t>
      </w:r>
      <w:r>
        <w:rPr>
          <w:rFonts w:ascii="Arial" w:eastAsia="Arial" w:hAnsi="Arial" w:cs="Arial"/>
          <w:sz w:val="20"/>
          <w:szCs w:val="20"/>
        </w:rPr>
        <w:t>gh R² (64.5%) with significant ANOVA (p &lt; 0.001). ENVS5 and ENVS7 also significantly add. Variables such as ENVS6, ENVS9, and ENVS10 have negligible effects, indicating model simplification potential. Generally, the model is statistically robust, well-fitt</w:t>
      </w:r>
      <w:r>
        <w:rPr>
          <w:rFonts w:ascii="Arial" w:eastAsia="Arial" w:hAnsi="Arial" w:cs="Arial"/>
          <w:sz w:val="20"/>
          <w:szCs w:val="20"/>
        </w:rPr>
        <w:t>ed, and well-explains sustainability perception. Overall, the model effectively captures the relationships among environmental sustainability factors, providing valuable insights for strategic decision-making in sustainability initiatives in steel manufact</w:t>
      </w:r>
      <w:r>
        <w:rPr>
          <w:rFonts w:ascii="Arial" w:eastAsia="Arial" w:hAnsi="Arial" w:cs="Arial"/>
          <w:sz w:val="20"/>
          <w:szCs w:val="20"/>
        </w:rPr>
        <w:t>uring industries.</w:t>
      </w:r>
    </w:p>
    <w:p w14:paraId="5DC5BA40" w14:textId="7C6C4231" w:rsidR="009D4653" w:rsidRPr="009D4653" w:rsidRDefault="00CB0D2A" w:rsidP="009D4653">
      <w:pPr>
        <w:spacing w:before="240" w:after="240" w:line="360" w:lineRule="auto"/>
        <w:jc w:val="both"/>
        <w:rPr>
          <w:rFonts w:ascii="Arial" w:eastAsia="Arial" w:hAnsi="Arial" w:cs="Arial"/>
          <w:b/>
          <w:bCs/>
          <w:sz w:val="24"/>
          <w:szCs w:val="24"/>
          <w:u w:val="single"/>
        </w:rPr>
      </w:pPr>
      <w:proofErr w:type="gramStart"/>
      <w:r w:rsidRPr="009D4653">
        <w:rPr>
          <w:rFonts w:ascii="Arial" w:eastAsia="Arial" w:hAnsi="Arial" w:cs="Arial"/>
          <w:b/>
          <w:sz w:val="24"/>
          <w:szCs w:val="24"/>
          <w:u w:val="single"/>
        </w:rPr>
        <w:lastRenderedPageBreak/>
        <w:t>C</w:t>
      </w:r>
      <w:r w:rsidR="009D4653">
        <w:rPr>
          <w:rFonts w:ascii="Arial" w:eastAsia="Arial" w:hAnsi="Arial" w:cs="Arial"/>
          <w:b/>
          <w:sz w:val="24"/>
          <w:szCs w:val="24"/>
          <w:u w:val="single"/>
        </w:rPr>
        <w:t>onclusion</w:t>
      </w:r>
      <w:r w:rsidR="009D4653" w:rsidRPr="009D4653">
        <w:rPr>
          <w:b/>
          <w:bCs/>
          <w:sz w:val="24"/>
          <w:szCs w:val="24"/>
          <w:u w:val="single"/>
        </w:rPr>
        <w:t>:-</w:t>
      </w:r>
      <w:proofErr w:type="gramEnd"/>
    </w:p>
    <w:p w14:paraId="697FE97E" w14:textId="1442B27A" w:rsidR="009D4653" w:rsidRPr="009D4653" w:rsidRDefault="009D4653" w:rsidP="009D4653">
      <w:pPr>
        <w:spacing w:before="240" w:after="240" w:line="360" w:lineRule="auto"/>
        <w:jc w:val="both"/>
        <w:rPr>
          <w:rFonts w:ascii="Arial" w:eastAsia="Arial" w:hAnsi="Arial" w:cs="Arial"/>
          <w:bCs/>
        </w:rPr>
      </w:pPr>
      <w:r w:rsidRPr="009D4653">
        <w:rPr>
          <w:rFonts w:ascii="Arial" w:eastAsia="Arial" w:hAnsi="Arial" w:cs="Arial"/>
          <w:bCs/>
        </w:rPr>
        <w:t>The results of this research highly confirm the validity and reliability of environmental sustainability (ENVS) construct indicated by ten variables (ENVS1–ENVS10) in steel manufacturing industries in Odisha. High mean ratings (from 5.99 to 6.01) and low standard deviations reflect positive and consistent environmental sustainability practices perceptions among respondents.</w:t>
      </w:r>
    </w:p>
    <w:p w14:paraId="6B2D7464" w14:textId="77777777" w:rsidR="009D4653" w:rsidRPr="009D4653" w:rsidRDefault="009D4653" w:rsidP="009D4653">
      <w:pPr>
        <w:spacing w:before="240" w:after="240" w:line="360" w:lineRule="auto"/>
        <w:jc w:val="both"/>
        <w:rPr>
          <w:rFonts w:ascii="Arial" w:eastAsia="Arial" w:hAnsi="Arial" w:cs="Arial"/>
          <w:bCs/>
        </w:rPr>
      </w:pPr>
    </w:p>
    <w:p w14:paraId="49D71691" w14:textId="77777777" w:rsidR="009D4653" w:rsidRPr="009D4653" w:rsidRDefault="009D4653" w:rsidP="009D4653">
      <w:pPr>
        <w:spacing w:before="240" w:after="240" w:line="360" w:lineRule="auto"/>
        <w:jc w:val="both"/>
        <w:rPr>
          <w:rFonts w:ascii="Arial" w:eastAsia="Arial" w:hAnsi="Arial" w:cs="Arial"/>
          <w:bCs/>
        </w:rPr>
      </w:pPr>
      <w:r w:rsidRPr="009D4653">
        <w:rPr>
          <w:rFonts w:ascii="Arial" w:eastAsia="Arial" w:hAnsi="Arial" w:cs="Arial"/>
          <w:bCs/>
        </w:rPr>
        <w:t>Correlation analysis also validates that the majority of variables are positively and significantly correlated, most notably ENVS3, ENVS2, and ENVS8, which demonstrate high correlations with the overall ENVS score. Regression analysis underscores this by ranking ENVS3 (sustainable practice adoption), ENVS2 (environmental standards compliance), and ENVS1 (commitment to environmental policy) as the best predictors of environmental sustainability. These variables have statistically significant positive effects, indicating they are key areas to focus on for improving sustainability in the steel industry.</w:t>
      </w:r>
    </w:p>
    <w:p w14:paraId="5B89846D" w14:textId="77777777" w:rsidR="009D4653" w:rsidRPr="009D4653" w:rsidRDefault="009D4653" w:rsidP="009D4653">
      <w:pPr>
        <w:spacing w:before="240" w:after="240" w:line="360" w:lineRule="auto"/>
        <w:jc w:val="both"/>
        <w:rPr>
          <w:rFonts w:ascii="Arial" w:eastAsia="Arial" w:hAnsi="Arial" w:cs="Arial"/>
          <w:bCs/>
        </w:rPr>
      </w:pPr>
    </w:p>
    <w:p w14:paraId="45AA3BF0" w14:textId="77777777" w:rsidR="009D4653" w:rsidRPr="009D4653" w:rsidRDefault="009D4653" w:rsidP="009D4653">
      <w:pPr>
        <w:spacing w:before="240" w:after="240" w:line="360" w:lineRule="auto"/>
        <w:jc w:val="both"/>
        <w:rPr>
          <w:rFonts w:ascii="Arial" w:eastAsia="Arial" w:hAnsi="Arial" w:cs="Arial"/>
          <w:bCs/>
        </w:rPr>
      </w:pPr>
      <w:r w:rsidRPr="009D4653">
        <w:rPr>
          <w:rFonts w:ascii="Arial" w:eastAsia="Arial" w:hAnsi="Arial" w:cs="Arial"/>
          <w:bCs/>
        </w:rPr>
        <w:t>In contrast, variables such as ENVS6, ENVS9, and ENVS10 indicate weak or non-significant effects, which suggest minimal influence in explaining ENVS and can be potential candidates for removal in future model refinement.</w:t>
      </w:r>
    </w:p>
    <w:p w14:paraId="2ECA4712" w14:textId="77777777" w:rsidR="009D4653" w:rsidRPr="009D4653" w:rsidRDefault="009D4653" w:rsidP="009D4653">
      <w:pPr>
        <w:spacing w:before="240" w:after="240" w:line="360" w:lineRule="auto"/>
        <w:jc w:val="both"/>
        <w:rPr>
          <w:rFonts w:ascii="Arial" w:eastAsia="Arial" w:hAnsi="Arial" w:cs="Arial"/>
          <w:bCs/>
        </w:rPr>
      </w:pPr>
    </w:p>
    <w:p w14:paraId="2115520F" w14:textId="77777777" w:rsidR="009D4653" w:rsidRPr="009D4653" w:rsidRDefault="009D4653" w:rsidP="009D4653">
      <w:pPr>
        <w:spacing w:before="240" w:after="240" w:line="360" w:lineRule="auto"/>
        <w:jc w:val="both"/>
        <w:rPr>
          <w:rFonts w:ascii="Arial" w:eastAsia="Arial" w:hAnsi="Arial" w:cs="Arial"/>
          <w:bCs/>
        </w:rPr>
      </w:pPr>
      <w:r w:rsidRPr="009D4653">
        <w:rPr>
          <w:rFonts w:ascii="Arial" w:eastAsia="Arial" w:hAnsi="Arial" w:cs="Arial"/>
          <w:bCs/>
        </w:rPr>
        <w:t>The regression model shows high explanatory capacity (R² = 64.5%), with diagnostic metrics like normal distribution of residuals, reasonable standard errors, and significant ANOVA F-statistic (p &lt; 0.001), all supporting a good-fitting model. Although the Durbin-Watson test (2.899) indicates weak positive autocorrelation, it does not seriously challenge the reliability of the model.</w:t>
      </w:r>
    </w:p>
    <w:p w14:paraId="49F9DF18" w14:textId="77777777" w:rsidR="009D4653" w:rsidRPr="009D4653" w:rsidRDefault="009D4653" w:rsidP="009D4653">
      <w:pPr>
        <w:spacing w:before="240" w:after="240" w:line="360" w:lineRule="auto"/>
        <w:jc w:val="both"/>
        <w:rPr>
          <w:rFonts w:ascii="Arial" w:eastAsia="Arial" w:hAnsi="Arial" w:cs="Arial"/>
          <w:bCs/>
        </w:rPr>
      </w:pPr>
    </w:p>
    <w:p w14:paraId="349D1132" w14:textId="11F066CD" w:rsidR="00D41ED0" w:rsidRPr="009D4653" w:rsidRDefault="009D4653" w:rsidP="009D4653">
      <w:pPr>
        <w:spacing w:before="240" w:after="240" w:line="360" w:lineRule="auto"/>
        <w:jc w:val="both"/>
        <w:rPr>
          <w:rFonts w:ascii="Arial" w:eastAsia="Arial" w:hAnsi="Arial" w:cs="Arial"/>
          <w:bCs/>
        </w:rPr>
      </w:pPr>
      <w:r w:rsidRPr="009D4653">
        <w:rPr>
          <w:rFonts w:ascii="Arial" w:eastAsia="Arial" w:hAnsi="Arial" w:cs="Arial"/>
          <w:bCs/>
        </w:rPr>
        <w:t xml:space="preserve">In conclusion, the research finds that specific green activities—more specifically, those embodied in ENVS1 through ENVS3—are critical to promoting environmental sustainability in Odisha's steel industry. The findings offer a sound empirical base for policymakers and business leaders to target improving particular sustainability activities with the largest predictive </w:t>
      </w:r>
      <w:proofErr w:type="spellStart"/>
      <w:proofErr w:type="gramStart"/>
      <w:r w:rsidRPr="009D4653">
        <w:rPr>
          <w:rFonts w:ascii="Arial" w:eastAsia="Arial" w:hAnsi="Arial" w:cs="Arial"/>
          <w:bCs/>
        </w:rPr>
        <w:t>effects.clusion</w:t>
      </w:r>
      <w:proofErr w:type="spellEnd"/>
      <w:proofErr w:type="gramEnd"/>
      <w:r w:rsidRPr="009D4653">
        <w:rPr>
          <w:rFonts w:ascii="Arial" w:eastAsia="Arial" w:hAnsi="Arial" w:cs="Arial"/>
          <w:bCs/>
        </w:rPr>
        <w:t>: -</w:t>
      </w:r>
    </w:p>
    <w:p w14:paraId="38B042BC" w14:textId="77777777" w:rsidR="009D4653" w:rsidRPr="009D4653" w:rsidRDefault="009D4653">
      <w:pPr>
        <w:spacing w:before="240" w:after="240" w:line="360" w:lineRule="auto"/>
        <w:jc w:val="both"/>
        <w:rPr>
          <w:rFonts w:ascii="Arial" w:eastAsia="Arial" w:hAnsi="Arial" w:cs="Arial"/>
          <w:bCs/>
        </w:rPr>
      </w:pPr>
    </w:p>
    <w:p w14:paraId="0FAF248C" w14:textId="77777777" w:rsidR="00D41ED0" w:rsidRDefault="00CB0D2A">
      <w:pPr>
        <w:spacing w:before="240" w:after="240" w:line="360" w:lineRule="auto"/>
        <w:jc w:val="both"/>
        <w:rPr>
          <w:rFonts w:ascii="Arial" w:eastAsia="Arial" w:hAnsi="Arial" w:cs="Arial"/>
          <w:b/>
          <w:u w:val="single"/>
        </w:rPr>
      </w:pPr>
      <w:proofErr w:type="gramStart"/>
      <w:r>
        <w:rPr>
          <w:rFonts w:ascii="Arial" w:eastAsia="Arial" w:hAnsi="Arial" w:cs="Arial"/>
          <w:b/>
          <w:u w:val="single"/>
        </w:rPr>
        <w:lastRenderedPageBreak/>
        <w:t>Recommendation:-</w:t>
      </w:r>
      <w:proofErr w:type="gramEnd"/>
    </w:p>
    <w:p w14:paraId="4D19CC1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 To encourage sustainability in the steel industry of Odisha, companies must embrace green production techniques, optimize resource utilization, and follow environmental policies. Green innovations like energy-efficient technologies, electric arc furnaces,</w:t>
      </w:r>
      <w:r>
        <w:rPr>
          <w:rFonts w:ascii="Arial" w:eastAsia="Arial" w:hAnsi="Arial" w:cs="Arial"/>
          <w:sz w:val="20"/>
          <w:szCs w:val="20"/>
        </w:rPr>
        <w:t xml:space="preserve"> hydrogen-based steelmaking, and CCUS should be emphasized. Switching to renewable energy sources such as solar, wind, and biomass is crucial, and incentives for companies adopting these need to be extended. Industry-wide cooperation, including a sustainab</w:t>
      </w:r>
      <w:r>
        <w:rPr>
          <w:rFonts w:ascii="Arial" w:eastAsia="Arial" w:hAnsi="Arial" w:cs="Arial"/>
          <w:sz w:val="20"/>
          <w:szCs w:val="20"/>
        </w:rPr>
        <w:t>ility consortium, can encourage knowledge sharing and innovation. Benchmarking with the world's best practices and addressing competitive pressures will also propel improvements further. Such steps will aid sustainable growth, emissions reduction, and alig</w:t>
      </w:r>
      <w:r>
        <w:rPr>
          <w:rFonts w:ascii="Arial" w:eastAsia="Arial" w:hAnsi="Arial" w:cs="Arial"/>
          <w:sz w:val="20"/>
          <w:szCs w:val="20"/>
        </w:rPr>
        <w:t>nment of the sector with national and international climate targets.</w:t>
      </w:r>
    </w:p>
    <w:p w14:paraId="71B6DE19" w14:textId="77777777" w:rsidR="00D41ED0" w:rsidRPr="007F708F" w:rsidRDefault="00CB0D2A">
      <w:pPr>
        <w:rPr>
          <w:b/>
          <w:highlight w:val="yellow"/>
        </w:rPr>
      </w:pPr>
      <w:r w:rsidRPr="007F708F">
        <w:rPr>
          <w:b/>
          <w:highlight w:val="yellow"/>
        </w:rPr>
        <w:t>Disclaimer (Artificial intelligence)</w:t>
      </w:r>
    </w:p>
    <w:p w14:paraId="0F736630" w14:textId="77777777" w:rsidR="00D41ED0" w:rsidRDefault="00CB0D2A">
      <w:pPr>
        <w:rPr>
          <w:highlight w:val="yellow"/>
        </w:rPr>
      </w:pPr>
      <w:r>
        <w:rPr>
          <w:highlight w:val="yellow"/>
        </w:rPr>
        <w:t xml:space="preserve">Option 1: </w:t>
      </w:r>
    </w:p>
    <w:p w14:paraId="5923F1B7" w14:textId="77777777" w:rsidR="00D41ED0" w:rsidRDefault="00CB0D2A">
      <w:pPr>
        <w:rPr>
          <w:highlight w:val="yellow"/>
        </w:rPr>
      </w:pPr>
      <w:r>
        <w:rPr>
          <w:highlight w:val="yellow"/>
        </w:rPr>
        <w:t>Author(s) hereby declare that NO generative AI technologies such as Large Language Models (ChatGPT, COPILOT, etc.) and text-to-image genera</w:t>
      </w:r>
      <w:r>
        <w:rPr>
          <w:highlight w:val="yellow"/>
        </w:rPr>
        <w:t xml:space="preserve">tors have been used during the writing or editing of this manuscript. </w:t>
      </w:r>
    </w:p>
    <w:p w14:paraId="52FCCEBF" w14:textId="77777777" w:rsidR="00D41ED0" w:rsidRDefault="00CB0D2A">
      <w:pPr>
        <w:rPr>
          <w:highlight w:val="yellow"/>
        </w:rPr>
      </w:pPr>
      <w:r>
        <w:rPr>
          <w:highlight w:val="yellow"/>
        </w:rPr>
        <w:t xml:space="preserve">Option 2: </w:t>
      </w:r>
    </w:p>
    <w:p w14:paraId="47946A5A" w14:textId="77777777" w:rsidR="00D41ED0" w:rsidRDefault="00CB0D2A">
      <w:pPr>
        <w:rPr>
          <w:highlight w:val="yellow"/>
        </w:rPr>
      </w:pPr>
      <w:r>
        <w:rPr>
          <w:highlight w:val="yellow"/>
        </w:rPr>
        <w:t>Author(s) hereby declare</w:t>
      </w:r>
      <w:r>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w:t>
      </w:r>
      <w:r>
        <w:rPr>
          <w:highlight w:val="yellow"/>
        </w:rPr>
        <w:t>ompts provided to the generative AI technology</w:t>
      </w:r>
    </w:p>
    <w:p w14:paraId="23C0C6EE" w14:textId="77777777" w:rsidR="00D41ED0" w:rsidRDefault="00CB0D2A">
      <w:pPr>
        <w:rPr>
          <w:highlight w:val="yellow"/>
        </w:rPr>
      </w:pPr>
      <w:r>
        <w:rPr>
          <w:highlight w:val="yellow"/>
        </w:rPr>
        <w:t>Details of the AI usage are given below:</w:t>
      </w:r>
    </w:p>
    <w:p w14:paraId="359C4FD5" w14:textId="77777777" w:rsidR="00D41ED0" w:rsidRDefault="00CB0D2A">
      <w:pPr>
        <w:rPr>
          <w:highlight w:val="yellow"/>
        </w:rPr>
      </w:pPr>
      <w:r>
        <w:rPr>
          <w:highlight w:val="yellow"/>
        </w:rPr>
        <w:t>1.</w:t>
      </w:r>
    </w:p>
    <w:p w14:paraId="48AF8122" w14:textId="77777777" w:rsidR="00D41ED0" w:rsidRDefault="00CB0D2A">
      <w:pPr>
        <w:rPr>
          <w:highlight w:val="yellow"/>
        </w:rPr>
      </w:pPr>
      <w:r>
        <w:rPr>
          <w:highlight w:val="yellow"/>
        </w:rPr>
        <w:t>2.</w:t>
      </w:r>
    </w:p>
    <w:p w14:paraId="0FF9DEA1" w14:textId="77777777" w:rsidR="00D41ED0" w:rsidRDefault="00CB0D2A">
      <w:r>
        <w:rPr>
          <w:highlight w:val="yellow"/>
        </w:rPr>
        <w:t>3.</w:t>
      </w:r>
    </w:p>
    <w:p w14:paraId="7FDE81D4" w14:textId="77777777" w:rsidR="00D41ED0" w:rsidRDefault="00D41ED0">
      <w:pPr>
        <w:spacing w:before="280" w:after="280" w:line="360" w:lineRule="auto"/>
        <w:jc w:val="both"/>
        <w:rPr>
          <w:rFonts w:ascii="Arial" w:eastAsia="Arial" w:hAnsi="Arial" w:cs="Arial"/>
          <w:sz w:val="20"/>
          <w:szCs w:val="20"/>
        </w:rPr>
      </w:pPr>
      <w:bookmarkStart w:id="11" w:name="_heading=h.nfcu1kot4dn7" w:colFirst="0" w:colLast="0"/>
      <w:bookmarkEnd w:id="11"/>
    </w:p>
    <w:p w14:paraId="16279CD3" w14:textId="77777777" w:rsidR="00D41ED0" w:rsidRDefault="00D41ED0">
      <w:pPr>
        <w:spacing w:before="280" w:after="280" w:line="360" w:lineRule="auto"/>
        <w:jc w:val="both"/>
        <w:rPr>
          <w:rFonts w:ascii="Arial" w:eastAsia="Arial" w:hAnsi="Arial" w:cs="Arial"/>
          <w:sz w:val="20"/>
          <w:szCs w:val="20"/>
        </w:rPr>
      </w:pPr>
    </w:p>
    <w:p w14:paraId="08B81968" w14:textId="77777777" w:rsidR="00D41ED0" w:rsidRDefault="00D41ED0">
      <w:pPr>
        <w:spacing w:before="280" w:after="280" w:line="360" w:lineRule="auto"/>
        <w:jc w:val="both"/>
        <w:rPr>
          <w:rFonts w:ascii="Arial" w:eastAsia="Arial" w:hAnsi="Arial" w:cs="Arial"/>
          <w:sz w:val="20"/>
          <w:szCs w:val="20"/>
        </w:rPr>
      </w:pPr>
    </w:p>
    <w:p w14:paraId="19B35A97" w14:textId="77777777" w:rsidR="00D41ED0" w:rsidRDefault="00D41ED0">
      <w:pPr>
        <w:spacing w:before="280" w:after="280" w:line="360" w:lineRule="auto"/>
        <w:jc w:val="both"/>
        <w:rPr>
          <w:rFonts w:ascii="Arial" w:eastAsia="Arial" w:hAnsi="Arial" w:cs="Arial"/>
          <w:sz w:val="20"/>
          <w:szCs w:val="20"/>
        </w:rPr>
      </w:pPr>
    </w:p>
    <w:p w14:paraId="10A701FD" w14:textId="77777777" w:rsidR="00D41ED0" w:rsidRDefault="00CB0D2A">
      <w:pPr>
        <w:spacing w:before="240" w:after="240" w:line="360" w:lineRule="auto"/>
        <w:jc w:val="both"/>
        <w:rPr>
          <w:rFonts w:ascii="Arial" w:eastAsia="Arial" w:hAnsi="Arial" w:cs="Arial"/>
          <w:b/>
          <w:u w:val="single"/>
        </w:rPr>
      </w:pPr>
      <w:proofErr w:type="gramStart"/>
      <w:r>
        <w:rPr>
          <w:rFonts w:ascii="Arial" w:eastAsia="Arial" w:hAnsi="Arial" w:cs="Arial"/>
          <w:b/>
          <w:u w:val="single"/>
        </w:rPr>
        <w:t>REFERENCE :</w:t>
      </w:r>
      <w:proofErr w:type="gramEnd"/>
      <w:r>
        <w:rPr>
          <w:rFonts w:ascii="Arial" w:eastAsia="Arial" w:hAnsi="Arial" w:cs="Arial"/>
          <w:b/>
          <w:u w:val="single"/>
        </w:rPr>
        <w:t>-</w:t>
      </w:r>
    </w:p>
    <w:p w14:paraId="7204040D"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 xml:space="preserve">Andrade, J. B., &amp; Bragança, L. (2011, March). Analysis of the impacts of economic and social indicators to sustainability assessment. In </w:t>
      </w:r>
      <w:r>
        <w:rPr>
          <w:rFonts w:ascii="Arial" w:eastAsia="Arial" w:hAnsi="Arial" w:cs="Arial"/>
          <w:i/>
          <w:sz w:val="20"/>
          <w:szCs w:val="20"/>
        </w:rPr>
        <w:t>the I</w:t>
      </w:r>
      <w:r>
        <w:rPr>
          <w:rFonts w:ascii="Arial" w:eastAsia="Arial" w:hAnsi="Arial" w:cs="Arial"/>
          <w:i/>
          <w:sz w:val="20"/>
          <w:szCs w:val="20"/>
        </w:rPr>
        <w:t>nternational Conference Sustainability of Constructions-Towards a better built environment. COST Action C</w:t>
      </w:r>
      <w:r>
        <w:rPr>
          <w:rFonts w:ascii="Arial" w:eastAsia="Arial" w:hAnsi="Arial" w:cs="Arial"/>
          <w:sz w:val="20"/>
          <w:szCs w:val="20"/>
        </w:rPr>
        <w:t xml:space="preserve"> (Vol. 25, pp. 163-168).</w:t>
      </w:r>
    </w:p>
    <w:p w14:paraId="1F1C48F5"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Sala, S., Ciuffo, B., &amp; Nijkamp, P. (2015). A systemic framework for sustainability assessment. </w:t>
      </w:r>
      <w:r>
        <w:rPr>
          <w:rFonts w:ascii="Arial" w:eastAsia="Arial" w:hAnsi="Arial" w:cs="Arial"/>
          <w:i/>
          <w:sz w:val="20"/>
          <w:szCs w:val="20"/>
        </w:rPr>
        <w:t>Ecological economics</w:t>
      </w:r>
      <w:r>
        <w:rPr>
          <w:rFonts w:ascii="Arial" w:eastAsia="Arial" w:hAnsi="Arial" w:cs="Arial"/>
          <w:sz w:val="20"/>
          <w:szCs w:val="20"/>
        </w:rPr>
        <w:t xml:space="preserve">, </w:t>
      </w:r>
      <w:r>
        <w:rPr>
          <w:rFonts w:ascii="Arial" w:eastAsia="Arial" w:hAnsi="Arial" w:cs="Arial"/>
          <w:i/>
          <w:sz w:val="20"/>
          <w:szCs w:val="20"/>
        </w:rPr>
        <w:t>119</w:t>
      </w:r>
      <w:r>
        <w:rPr>
          <w:rFonts w:ascii="Arial" w:eastAsia="Arial" w:hAnsi="Arial" w:cs="Arial"/>
          <w:sz w:val="20"/>
          <w:szCs w:val="20"/>
        </w:rPr>
        <w:t>, 314</w:t>
      </w:r>
      <w:r>
        <w:rPr>
          <w:rFonts w:ascii="Arial" w:eastAsia="Arial" w:hAnsi="Arial" w:cs="Arial"/>
          <w:sz w:val="20"/>
          <w:szCs w:val="20"/>
        </w:rPr>
        <w:t>-325.</w:t>
      </w:r>
    </w:p>
    <w:p w14:paraId="1B279794"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Schneider, D. R., </w:t>
      </w:r>
      <w:proofErr w:type="spellStart"/>
      <w:r>
        <w:rPr>
          <w:rFonts w:ascii="Arial" w:eastAsia="Arial" w:hAnsi="Arial" w:cs="Arial"/>
          <w:sz w:val="20"/>
          <w:szCs w:val="20"/>
        </w:rPr>
        <w:t>Kirac</w:t>
      </w:r>
      <w:proofErr w:type="spellEnd"/>
      <w:r>
        <w:rPr>
          <w:rFonts w:ascii="Arial" w:eastAsia="Arial" w:hAnsi="Arial" w:cs="Arial"/>
          <w:sz w:val="20"/>
          <w:szCs w:val="20"/>
        </w:rPr>
        <w:t xml:space="preserve">, M., &amp; </w:t>
      </w:r>
      <w:proofErr w:type="spellStart"/>
      <w:r>
        <w:rPr>
          <w:rFonts w:ascii="Arial" w:eastAsia="Arial" w:hAnsi="Arial" w:cs="Arial"/>
          <w:sz w:val="20"/>
          <w:szCs w:val="20"/>
        </w:rPr>
        <w:t>Hublin</w:t>
      </w:r>
      <w:proofErr w:type="spellEnd"/>
      <w:r>
        <w:rPr>
          <w:rFonts w:ascii="Arial" w:eastAsia="Arial" w:hAnsi="Arial" w:cs="Arial"/>
          <w:sz w:val="20"/>
          <w:szCs w:val="20"/>
        </w:rPr>
        <w:t xml:space="preserve">, A. (2012). Cost-effectiveness of GHG emission reduction measures and energy recovery from municipal waste in Croatia. </w:t>
      </w:r>
      <w:r>
        <w:rPr>
          <w:rFonts w:ascii="Arial" w:eastAsia="Arial" w:hAnsi="Arial" w:cs="Arial"/>
          <w:i/>
          <w:sz w:val="20"/>
          <w:szCs w:val="20"/>
        </w:rPr>
        <w:t>Energy</w:t>
      </w:r>
      <w:r>
        <w:rPr>
          <w:rFonts w:ascii="Arial" w:eastAsia="Arial" w:hAnsi="Arial" w:cs="Arial"/>
          <w:sz w:val="20"/>
          <w:szCs w:val="20"/>
        </w:rPr>
        <w:t xml:space="preserve">, </w:t>
      </w:r>
      <w:r>
        <w:rPr>
          <w:rFonts w:ascii="Arial" w:eastAsia="Arial" w:hAnsi="Arial" w:cs="Arial"/>
          <w:i/>
          <w:sz w:val="20"/>
          <w:szCs w:val="20"/>
        </w:rPr>
        <w:t>48</w:t>
      </w:r>
      <w:r>
        <w:rPr>
          <w:rFonts w:ascii="Arial" w:eastAsia="Arial" w:hAnsi="Arial" w:cs="Arial"/>
          <w:sz w:val="20"/>
          <w:szCs w:val="20"/>
        </w:rPr>
        <w:t>(1), 203-211.</w:t>
      </w:r>
    </w:p>
    <w:p w14:paraId="58EEC18F"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Bradford, M., Earp, J. B., Showalter, D. S., &amp; Williams, P. F. (2017)</w:t>
      </w:r>
      <w:r>
        <w:rPr>
          <w:rFonts w:ascii="Arial" w:eastAsia="Arial" w:hAnsi="Arial" w:cs="Arial"/>
          <w:sz w:val="20"/>
          <w:szCs w:val="20"/>
        </w:rPr>
        <w:t xml:space="preserve">. Corporate sustainability reporting and stakeholder concerns: is there a disconnect? </w:t>
      </w:r>
      <w:r>
        <w:rPr>
          <w:rFonts w:ascii="Arial" w:eastAsia="Arial" w:hAnsi="Arial" w:cs="Arial"/>
          <w:i/>
          <w:sz w:val="20"/>
          <w:szCs w:val="20"/>
        </w:rPr>
        <w:t>Accounting Horizons</w:t>
      </w:r>
      <w:r>
        <w:rPr>
          <w:rFonts w:ascii="Arial" w:eastAsia="Arial" w:hAnsi="Arial" w:cs="Arial"/>
          <w:sz w:val="20"/>
          <w:szCs w:val="20"/>
        </w:rPr>
        <w:t xml:space="preserve">, </w:t>
      </w:r>
      <w:r>
        <w:rPr>
          <w:rFonts w:ascii="Arial" w:eastAsia="Arial" w:hAnsi="Arial" w:cs="Arial"/>
          <w:i/>
          <w:sz w:val="20"/>
          <w:szCs w:val="20"/>
        </w:rPr>
        <w:t>31</w:t>
      </w:r>
      <w:r>
        <w:rPr>
          <w:rFonts w:ascii="Arial" w:eastAsia="Arial" w:hAnsi="Arial" w:cs="Arial"/>
          <w:sz w:val="20"/>
          <w:szCs w:val="20"/>
        </w:rPr>
        <w:t>(1), 83-102</w:t>
      </w:r>
    </w:p>
    <w:p w14:paraId="5A847F0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Smith, A. (2007). Translating </w:t>
      </w:r>
      <w:proofErr w:type="spellStart"/>
      <w:r>
        <w:rPr>
          <w:rFonts w:ascii="Arial" w:eastAsia="Arial" w:hAnsi="Arial" w:cs="Arial"/>
          <w:sz w:val="20"/>
          <w:szCs w:val="20"/>
        </w:rPr>
        <w:t>sustainabilities</w:t>
      </w:r>
      <w:proofErr w:type="spellEnd"/>
      <w:r>
        <w:rPr>
          <w:rFonts w:ascii="Arial" w:eastAsia="Arial" w:hAnsi="Arial" w:cs="Arial"/>
          <w:sz w:val="20"/>
          <w:szCs w:val="20"/>
        </w:rPr>
        <w:t xml:space="preserve"> between green niches and socio-technical regimes. </w:t>
      </w:r>
      <w:r>
        <w:rPr>
          <w:rFonts w:ascii="Arial" w:eastAsia="Arial" w:hAnsi="Arial" w:cs="Arial"/>
          <w:i/>
          <w:sz w:val="20"/>
          <w:szCs w:val="20"/>
        </w:rPr>
        <w:t>Technology analysis &amp; strategic manage</w:t>
      </w:r>
      <w:r>
        <w:rPr>
          <w:rFonts w:ascii="Arial" w:eastAsia="Arial" w:hAnsi="Arial" w:cs="Arial"/>
          <w:i/>
          <w:sz w:val="20"/>
          <w:szCs w:val="20"/>
        </w:rPr>
        <w:t>ment</w:t>
      </w:r>
      <w:r>
        <w:rPr>
          <w:rFonts w:ascii="Arial" w:eastAsia="Arial" w:hAnsi="Arial" w:cs="Arial"/>
          <w:sz w:val="20"/>
          <w:szCs w:val="20"/>
        </w:rPr>
        <w:t xml:space="preserve">, </w:t>
      </w:r>
      <w:r>
        <w:rPr>
          <w:rFonts w:ascii="Arial" w:eastAsia="Arial" w:hAnsi="Arial" w:cs="Arial"/>
          <w:i/>
          <w:sz w:val="20"/>
          <w:szCs w:val="20"/>
        </w:rPr>
        <w:t>19</w:t>
      </w:r>
      <w:r>
        <w:rPr>
          <w:rFonts w:ascii="Arial" w:eastAsia="Arial" w:hAnsi="Arial" w:cs="Arial"/>
          <w:sz w:val="20"/>
          <w:szCs w:val="20"/>
        </w:rPr>
        <w:t>(4), 427-450.</w:t>
      </w:r>
    </w:p>
    <w:p w14:paraId="28097DC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Lu, Y., Jenkins, A., Ferrier, R. C., Bailey, M., Gordon, I. J., Song, S., ... &amp; Zhang, Z. (2015). Addressing China’s grand challenge of achieving food security while ensuring environmental sustainability. </w:t>
      </w:r>
      <w:r>
        <w:rPr>
          <w:rFonts w:ascii="Arial" w:eastAsia="Arial" w:hAnsi="Arial" w:cs="Arial"/>
          <w:i/>
          <w:sz w:val="20"/>
          <w:szCs w:val="20"/>
        </w:rPr>
        <w:t>Science advances</w:t>
      </w:r>
      <w:r>
        <w:rPr>
          <w:rFonts w:ascii="Arial" w:eastAsia="Arial" w:hAnsi="Arial" w:cs="Arial"/>
          <w:sz w:val="20"/>
          <w:szCs w:val="20"/>
        </w:rPr>
        <w:t xml:space="preserve">, </w:t>
      </w:r>
      <w:r>
        <w:rPr>
          <w:rFonts w:ascii="Arial" w:eastAsia="Arial" w:hAnsi="Arial" w:cs="Arial"/>
          <w:i/>
          <w:sz w:val="20"/>
          <w:szCs w:val="20"/>
        </w:rPr>
        <w:t>1</w:t>
      </w:r>
      <w:r>
        <w:rPr>
          <w:rFonts w:ascii="Arial" w:eastAsia="Arial" w:hAnsi="Arial" w:cs="Arial"/>
          <w:sz w:val="20"/>
          <w:szCs w:val="20"/>
        </w:rPr>
        <w:t>(1), e1400</w:t>
      </w:r>
      <w:r>
        <w:rPr>
          <w:rFonts w:ascii="Arial" w:eastAsia="Arial" w:hAnsi="Arial" w:cs="Arial"/>
          <w:sz w:val="20"/>
          <w:szCs w:val="20"/>
        </w:rPr>
        <w:t>039.</w:t>
      </w:r>
    </w:p>
    <w:p w14:paraId="0F2B9736"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Breuer, A., </w:t>
      </w:r>
      <w:proofErr w:type="spellStart"/>
      <w:r>
        <w:rPr>
          <w:rFonts w:ascii="Arial" w:eastAsia="Arial" w:hAnsi="Arial" w:cs="Arial"/>
          <w:sz w:val="20"/>
          <w:szCs w:val="20"/>
        </w:rPr>
        <w:t>Janetschek</w:t>
      </w:r>
      <w:proofErr w:type="spellEnd"/>
      <w:r>
        <w:rPr>
          <w:rFonts w:ascii="Arial" w:eastAsia="Arial" w:hAnsi="Arial" w:cs="Arial"/>
          <w:sz w:val="20"/>
          <w:szCs w:val="20"/>
        </w:rPr>
        <w:t xml:space="preserve">, H., &amp; Malerba, D. (2019). Translating sustainable development goal (SDG) interdependencies into policy advice. </w:t>
      </w:r>
      <w:r>
        <w:rPr>
          <w:rFonts w:ascii="Arial" w:eastAsia="Arial" w:hAnsi="Arial" w:cs="Arial"/>
          <w:i/>
          <w:sz w:val="20"/>
          <w:szCs w:val="20"/>
        </w:rPr>
        <w:t>Sustainability</w:t>
      </w:r>
      <w:r>
        <w:rPr>
          <w:rFonts w:ascii="Arial" w:eastAsia="Arial" w:hAnsi="Arial" w:cs="Arial"/>
          <w:sz w:val="20"/>
          <w:szCs w:val="20"/>
        </w:rPr>
        <w:t xml:space="preserve">, </w:t>
      </w:r>
      <w:r>
        <w:rPr>
          <w:rFonts w:ascii="Arial" w:eastAsia="Arial" w:hAnsi="Arial" w:cs="Arial"/>
          <w:i/>
          <w:sz w:val="20"/>
          <w:szCs w:val="20"/>
        </w:rPr>
        <w:t>11</w:t>
      </w:r>
      <w:r>
        <w:rPr>
          <w:rFonts w:ascii="Arial" w:eastAsia="Arial" w:hAnsi="Arial" w:cs="Arial"/>
          <w:sz w:val="20"/>
          <w:szCs w:val="20"/>
        </w:rPr>
        <w:t>(7), 2092.</w:t>
      </w:r>
    </w:p>
    <w:p w14:paraId="1654AA84"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Ibisch</w:t>
      </w:r>
      <w:proofErr w:type="spellEnd"/>
      <w:r>
        <w:rPr>
          <w:rFonts w:ascii="Arial" w:eastAsia="Arial" w:hAnsi="Arial" w:cs="Arial"/>
          <w:sz w:val="20"/>
          <w:szCs w:val="20"/>
        </w:rPr>
        <w:t xml:space="preserve">, R. B., </w:t>
      </w:r>
      <w:proofErr w:type="spellStart"/>
      <w:r>
        <w:rPr>
          <w:rFonts w:ascii="Arial" w:eastAsia="Arial" w:hAnsi="Arial" w:cs="Arial"/>
          <w:sz w:val="20"/>
          <w:szCs w:val="20"/>
        </w:rPr>
        <w:t>Bogardi</w:t>
      </w:r>
      <w:proofErr w:type="spellEnd"/>
      <w:r>
        <w:rPr>
          <w:rFonts w:ascii="Arial" w:eastAsia="Arial" w:hAnsi="Arial" w:cs="Arial"/>
          <w:sz w:val="20"/>
          <w:szCs w:val="20"/>
        </w:rPr>
        <w:t xml:space="preserve">, J. J., &amp; Borchardt, D. (2016). </w:t>
      </w:r>
      <w:r>
        <w:rPr>
          <w:rFonts w:ascii="Arial" w:eastAsia="Arial" w:hAnsi="Arial" w:cs="Arial"/>
          <w:i/>
          <w:sz w:val="20"/>
          <w:szCs w:val="20"/>
        </w:rPr>
        <w:t>Integrated water resources manag</w:t>
      </w:r>
      <w:r>
        <w:rPr>
          <w:rFonts w:ascii="Arial" w:eastAsia="Arial" w:hAnsi="Arial" w:cs="Arial"/>
          <w:i/>
          <w:sz w:val="20"/>
          <w:szCs w:val="20"/>
        </w:rPr>
        <w:t>ement: concept, research and implementation</w:t>
      </w:r>
      <w:r>
        <w:rPr>
          <w:rFonts w:ascii="Arial" w:eastAsia="Arial" w:hAnsi="Arial" w:cs="Arial"/>
          <w:sz w:val="20"/>
          <w:szCs w:val="20"/>
        </w:rPr>
        <w:t xml:space="preserve"> (pp. 3-32). Springer International Publishing.</w:t>
      </w:r>
    </w:p>
    <w:p w14:paraId="491E50C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Lusseau, D., &amp; Mancini, F. (2019). Income-based variation in Sustainable Development Goal interaction networks. </w:t>
      </w:r>
      <w:r>
        <w:rPr>
          <w:rFonts w:ascii="Arial" w:eastAsia="Arial" w:hAnsi="Arial" w:cs="Arial"/>
          <w:i/>
          <w:sz w:val="20"/>
          <w:szCs w:val="20"/>
        </w:rPr>
        <w:t>Nature Sustainability</w:t>
      </w:r>
      <w:r>
        <w:rPr>
          <w:rFonts w:ascii="Arial" w:eastAsia="Arial" w:hAnsi="Arial" w:cs="Arial"/>
          <w:sz w:val="20"/>
          <w:szCs w:val="20"/>
        </w:rPr>
        <w:t xml:space="preserve">, </w:t>
      </w:r>
      <w:r>
        <w:rPr>
          <w:rFonts w:ascii="Arial" w:eastAsia="Arial" w:hAnsi="Arial" w:cs="Arial"/>
          <w:i/>
          <w:sz w:val="20"/>
          <w:szCs w:val="20"/>
        </w:rPr>
        <w:t>2</w:t>
      </w:r>
      <w:r>
        <w:rPr>
          <w:rFonts w:ascii="Arial" w:eastAsia="Arial" w:hAnsi="Arial" w:cs="Arial"/>
          <w:sz w:val="20"/>
          <w:szCs w:val="20"/>
        </w:rPr>
        <w:t>(3), 242-247.</w:t>
      </w:r>
    </w:p>
    <w:p w14:paraId="2B0D1545"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Byravan</w:t>
      </w:r>
      <w:proofErr w:type="spellEnd"/>
      <w:r>
        <w:rPr>
          <w:rFonts w:ascii="Arial" w:eastAsia="Arial" w:hAnsi="Arial" w:cs="Arial"/>
          <w:sz w:val="20"/>
          <w:szCs w:val="20"/>
        </w:rPr>
        <w:t xml:space="preserve">, S., Ali, M. S., Ananthakumar, M. R., Goyal, N., </w:t>
      </w:r>
      <w:proofErr w:type="spellStart"/>
      <w:r>
        <w:rPr>
          <w:rFonts w:ascii="Arial" w:eastAsia="Arial" w:hAnsi="Arial" w:cs="Arial"/>
          <w:sz w:val="20"/>
          <w:szCs w:val="20"/>
        </w:rPr>
        <w:t>Kanudia</w:t>
      </w:r>
      <w:proofErr w:type="spellEnd"/>
      <w:r>
        <w:rPr>
          <w:rFonts w:ascii="Arial" w:eastAsia="Arial" w:hAnsi="Arial" w:cs="Arial"/>
          <w:sz w:val="20"/>
          <w:szCs w:val="20"/>
        </w:rPr>
        <w:t xml:space="preserve">, A., Ramamurthi, P. V., ... &amp; </w:t>
      </w:r>
      <w:proofErr w:type="spellStart"/>
      <w:r>
        <w:rPr>
          <w:rFonts w:ascii="Arial" w:eastAsia="Arial" w:hAnsi="Arial" w:cs="Arial"/>
          <w:sz w:val="20"/>
          <w:szCs w:val="20"/>
        </w:rPr>
        <w:t>Paladugula</w:t>
      </w:r>
      <w:proofErr w:type="spellEnd"/>
      <w:r>
        <w:rPr>
          <w:rFonts w:ascii="Arial" w:eastAsia="Arial" w:hAnsi="Arial" w:cs="Arial"/>
          <w:sz w:val="20"/>
          <w:szCs w:val="20"/>
        </w:rPr>
        <w:t xml:space="preserve">, A. L. (2017). Quality of life for all: A sustainable development framework for India's climate policy reduces greenhouse gas emissions. </w:t>
      </w:r>
      <w:r>
        <w:rPr>
          <w:rFonts w:ascii="Arial" w:eastAsia="Arial" w:hAnsi="Arial" w:cs="Arial"/>
          <w:i/>
          <w:sz w:val="20"/>
          <w:szCs w:val="20"/>
        </w:rPr>
        <w:t>Energy for Sustainab</w:t>
      </w:r>
      <w:r>
        <w:rPr>
          <w:rFonts w:ascii="Arial" w:eastAsia="Arial" w:hAnsi="Arial" w:cs="Arial"/>
          <w:i/>
          <w:sz w:val="20"/>
          <w:szCs w:val="20"/>
        </w:rPr>
        <w:t>le Development</w:t>
      </w:r>
      <w:r>
        <w:rPr>
          <w:rFonts w:ascii="Arial" w:eastAsia="Arial" w:hAnsi="Arial" w:cs="Arial"/>
          <w:sz w:val="20"/>
          <w:szCs w:val="20"/>
        </w:rPr>
        <w:t xml:space="preserve">, </w:t>
      </w:r>
      <w:r>
        <w:rPr>
          <w:rFonts w:ascii="Arial" w:eastAsia="Arial" w:hAnsi="Arial" w:cs="Arial"/>
          <w:i/>
          <w:sz w:val="20"/>
          <w:szCs w:val="20"/>
        </w:rPr>
        <w:t>39</w:t>
      </w:r>
      <w:r>
        <w:rPr>
          <w:rFonts w:ascii="Arial" w:eastAsia="Arial" w:hAnsi="Arial" w:cs="Arial"/>
          <w:sz w:val="20"/>
          <w:szCs w:val="20"/>
        </w:rPr>
        <w:t>, 48-58.</w:t>
      </w:r>
    </w:p>
    <w:p w14:paraId="2FF5B609"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Lohan, S. K., Narang, M. K., Manes, G. S., &amp; Grover, N. (2015). Farm power availability for sustainable agriculture development in Punjab state of India. </w:t>
      </w:r>
      <w:r>
        <w:rPr>
          <w:rFonts w:ascii="Arial" w:eastAsia="Arial" w:hAnsi="Arial" w:cs="Arial"/>
          <w:i/>
          <w:sz w:val="20"/>
          <w:szCs w:val="20"/>
        </w:rPr>
        <w:t>Agricultural Engineering International: CIGR Journal</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(3).</w:t>
      </w:r>
    </w:p>
    <w:p w14:paraId="00553311"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Jewitt, S., &amp; </w:t>
      </w:r>
      <w:r>
        <w:rPr>
          <w:rFonts w:ascii="Arial" w:eastAsia="Arial" w:hAnsi="Arial" w:cs="Arial"/>
          <w:sz w:val="20"/>
          <w:szCs w:val="20"/>
        </w:rPr>
        <w:t xml:space="preserve">Raman, S. (2017). Energy poverty, institutional reform and challenges of sustainable development: The case of India. </w:t>
      </w:r>
      <w:r>
        <w:rPr>
          <w:rFonts w:ascii="Arial" w:eastAsia="Arial" w:hAnsi="Arial" w:cs="Arial"/>
          <w:i/>
          <w:sz w:val="20"/>
          <w:szCs w:val="20"/>
        </w:rPr>
        <w:t>Progress in Development Studies</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(2), 173-185.</w:t>
      </w:r>
    </w:p>
    <w:p w14:paraId="5F94C4B4"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Wang, R., Wen, X., Wang, X., Fu, Y., &amp; Zhang, Y. (2022). Low carbon optimal operation of i</w:t>
      </w:r>
      <w:r>
        <w:rPr>
          <w:rFonts w:ascii="Arial" w:eastAsia="Arial" w:hAnsi="Arial" w:cs="Arial"/>
          <w:sz w:val="20"/>
          <w:szCs w:val="20"/>
        </w:rPr>
        <w:t xml:space="preserve">ntegrated energy system based on carbon capture technology, LCA carbon emissions and ladder-type carbon trading. </w:t>
      </w:r>
      <w:r>
        <w:rPr>
          <w:rFonts w:ascii="Arial" w:eastAsia="Arial" w:hAnsi="Arial" w:cs="Arial"/>
          <w:i/>
          <w:sz w:val="20"/>
          <w:szCs w:val="20"/>
        </w:rPr>
        <w:t>Applied Energy</w:t>
      </w:r>
      <w:r>
        <w:rPr>
          <w:rFonts w:ascii="Arial" w:eastAsia="Arial" w:hAnsi="Arial" w:cs="Arial"/>
          <w:sz w:val="20"/>
          <w:szCs w:val="20"/>
        </w:rPr>
        <w:t xml:space="preserve">, </w:t>
      </w:r>
      <w:r>
        <w:rPr>
          <w:rFonts w:ascii="Arial" w:eastAsia="Arial" w:hAnsi="Arial" w:cs="Arial"/>
          <w:i/>
          <w:sz w:val="20"/>
          <w:szCs w:val="20"/>
        </w:rPr>
        <w:t>311</w:t>
      </w:r>
      <w:r>
        <w:rPr>
          <w:rFonts w:ascii="Arial" w:eastAsia="Arial" w:hAnsi="Arial" w:cs="Arial"/>
          <w:sz w:val="20"/>
          <w:szCs w:val="20"/>
        </w:rPr>
        <w:t>, 118664.</w:t>
      </w:r>
    </w:p>
    <w:p w14:paraId="694B09B4"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Swennenhuis, F., de </w:t>
      </w:r>
      <w:proofErr w:type="spellStart"/>
      <w:r>
        <w:rPr>
          <w:rFonts w:ascii="Arial" w:eastAsia="Arial" w:hAnsi="Arial" w:cs="Arial"/>
          <w:sz w:val="20"/>
          <w:szCs w:val="20"/>
        </w:rPr>
        <w:t>Gooyert</w:t>
      </w:r>
      <w:proofErr w:type="spellEnd"/>
      <w:r>
        <w:rPr>
          <w:rFonts w:ascii="Arial" w:eastAsia="Arial" w:hAnsi="Arial" w:cs="Arial"/>
          <w:sz w:val="20"/>
          <w:szCs w:val="20"/>
        </w:rPr>
        <w:t>, V., &amp; de Coninck, H. (2022). Towards a CO2-neutral steel industry: Justice aspects of</w:t>
      </w:r>
      <w:r>
        <w:rPr>
          <w:rFonts w:ascii="Arial" w:eastAsia="Arial" w:hAnsi="Arial" w:cs="Arial"/>
          <w:sz w:val="20"/>
          <w:szCs w:val="20"/>
        </w:rPr>
        <w:t xml:space="preserve"> CO2 capture and storage, biomass-and green hydrogen-based emission reductions. </w:t>
      </w:r>
      <w:r>
        <w:rPr>
          <w:rFonts w:ascii="Arial" w:eastAsia="Arial" w:hAnsi="Arial" w:cs="Arial"/>
          <w:i/>
          <w:sz w:val="20"/>
          <w:szCs w:val="20"/>
        </w:rPr>
        <w:t>Energy Research &amp; Social Science</w:t>
      </w:r>
      <w:r>
        <w:rPr>
          <w:rFonts w:ascii="Arial" w:eastAsia="Arial" w:hAnsi="Arial" w:cs="Arial"/>
          <w:sz w:val="20"/>
          <w:szCs w:val="20"/>
        </w:rPr>
        <w:t xml:space="preserve">, </w:t>
      </w:r>
      <w:r>
        <w:rPr>
          <w:rFonts w:ascii="Arial" w:eastAsia="Arial" w:hAnsi="Arial" w:cs="Arial"/>
          <w:i/>
          <w:sz w:val="20"/>
          <w:szCs w:val="20"/>
        </w:rPr>
        <w:t>88</w:t>
      </w:r>
      <w:r>
        <w:rPr>
          <w:rFonts w:ascii="Arial" w:eastAsia="Arial" w:hAnsi="Arial" w:cs="Arial"/>
          <w:sz w:val="20"/>
          <w:szCs w:val="20"/>
        </w:rPr>
        <w:t>, 102598.</w:t>
      </w:r>
    </w:p>
    <w:p w14:paraId="7EC01E38"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Skoczkowski</w:t>
      </w:r>
      <w:proofErr w:type="spellEnd"/>
      <w:r>
        <w:rPr>
          <w:rFonts w:ascii="Arial" w:eastAsia="Arial" w:hAnsi="Arial" w:cs="Arial"/>
          <w:sz w:val="20"/>
          <w:szCs w:val="20"/>
        </w:rPr>
        <w:t xml:space="preserve">, T., Bielecki, S., </w:t>
      </w:r>
      <w:proofErr w:type="spellStart"/>
      <w:r>
        <w:rPr>
          <w:rFonts w:ascii="Arial" w:eastAsia="Arial" w:hAnsi="Arial" w:cs="Arial"/>
          <w:sz w:val="20"/>
          <w:szCs w:val="20"/>
        </w:rPr>
        <w:t>Kochański</w:t>
      </w:r>
      <w:proofErr w:type="spellEnd"/>
      <w:r>
        <w:rPr>
          <w:rFonts w:ascii="Arial" w:eastAsia="Arial" w:hAnsi="Arial" w:cs="Arial"/>
          <w:sz w:val="20"/>
          <w:szCs w:val="20"/>
        </w:rPr>
        <w:t xml:space="preserve">, M., &amp; Korczak, K. (2020). Climate-change induced uncertainties, risks and opportunities </w:t>
      </w:r>
      <w:r>
        <w:rPr>
          <w:rFonts w:ascii="Arial" w:eastAsia="Arial" w:hAnsi="Arial" w:cs="Arial"/>
          <w:sz w:val="20"/>
          <w:szCs w:val="20"/>
        </w:rPr>
        <w:t xml:space="preserve">for the coal-based region of Silesia: Stakeholders' perspectives. </w:t>
      </w:r>
      <w:r>
        <w:rPr>
          <w:rFonts w:ascii="Arial" w:eastAsia="Arial" w:hAnsi="Arial" w:cs="Arial"/>
          <w:i/>
          <w:sz w:val="20"/>
          <w:szCs w:val="20"/>
        </w:rPr>
        <w:t>Environmental Innovation and Societal Transitions</w:t>
      </w:r>
      <w:r>
        <w:rPr>
          <w:rFonts w:ascii="Arial" w:eastAsia="Arial" w:hAnsi="Arial" w:cs="Arial"/>
          <w:sz w:val="20"/>
          <w:szCs w:val="20"/>
        </w:rPr>
        <w:t xml:space="preserve">, </w:t>
      </w:r>
      <w:r>
        <w:rPr>
          <w:rFonts w:ascii="Arial" w:eastAsia="Arial" w:hAnsi="Arial" w:cs="Arial"/>
          <w:i/>
          <w:sz w:val="20"/>
          <w:szCs w:val="20"/>
        </w:rPr>
        <w:t>35</w:t>
      </w:r>
      <w:r>
        <w:rPr>
          <w:rFonts w:ascii="Arial" w:eastAsia="Arial" w:hAnsi="Arial" w:cs="Arial"/>
          <w:sz w:val="20"/>
          <w:szCs w:val="20"/>
        </w:rPr>
        <w:t>, 460-481.</w:t>
      </w:r>
    </w:p>
    <w:p w14:paraId="2B5456C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Durand, R., Paugam, L., &amp; </w:t>
      </w:r>
      <w:proofErr w:type="spellStart"/>
      <w:r>
        <w:rPr>
          <w:rFonts w:ascii="Arial" w:eastAsia="Arial" w:hAnsi="Arial" w:cs="Arial"/>
          <w:sz w:val="20"/>
          <w:szCs w:val="20"/>
        </w:rPr>
        <w:t>Stolowy</w:t>
      </w:r>
      <w:proofErr w:type="spellEnd"/>
      <w:r>
        <w:rPr>
          <w:rFonts w:ascii="Arial" w:eastAsia="Arial" w:hAnsi="Arial" w:cs="Arial"/>
          <w:sz w:val="20"/>
          <w:szCs w:val="20"/>
        </w:rPr>
        <w:t xml:space="preserve">, H. (2019). Do investors actually value sustainability indices? Replication, development, and new evidence on CSR visibility. </w:t>
      </w:r>
      <w:r>
        <w:rPr>
          <w:rFonts w:ascii="Arial" w:eastAsia="Arial" w:hAnsi="Arial" w:cs="Arial"/>
          <w:i/>
          <w:sz w:val="20"/>
          <w:szCs w:val="20"/>
        </w:rPr>
        <w:t>Strategic Management Journal</w:t>
      </w:r>
      <w:r>
        <w:rPr>
          <w:rFonts w:ascii="Arial" w:eastAsia="Arial" w:hAnsi="Arial" w:cs="Arial"/>
          <w:sz w:val="20"/>
          <w:szCs w:val="20"/>
        </w:rPr>
        <w:t xml:space="preserve">, </w:t>
      </w:r>
      <w:r>
        <w:rPr>
          <w:rFonts w:ascii="Arial" w:eastAsia="Arial" w:hAnsi="Arial" w:cs="Arial"/>
          <w:i/>
          <w:sz w:val="20"/>
          <w:szCs w:val="20"/>
        </w:rPr>
        <w:t>40</w:t>
      </w:r>
      <w:r>
        <w:rPr>
          <w:rFonts w:ascii="Arial" w:eastAsia="Arial" w:hAnsi="Arial" w:cs="Arial"/>
          <w:sz w:val="20"/>
          <w:szCs w:val="20"/>
        </w:rPr>
        <w:t>(9), 1471-1490.</w:t>
      </w:r>
    </w:p>
    <w:p w14:paraId="5D913999"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Chatterjee, U., Biswas, A., Mukherjee, J., &amp; Majumdar, S. (Eds.). (2022). </w:t>
      </w:r>
      <w:r>
        <w:rPr>
          <w:rFonts w:ascii="Arial" w:eastAsia="Arial" w:hAnsi="Arial" w:cs="Arial"/>
          <w:i/>
          <w:sz w:val="20"/>
          <w:szCs w:val="20"/>
        </w:rPr>
        <w:t>Advance</w:t>
      </w:r>
      <w:r>
        <w:rPr>
          <w:rFonts w:ascii="Arial" w:eastAsia="Arial" w:hAnsi="Arial" w:cs="Arial"/>
          <w:i/>
          <w:sz w:val="20"/>
          <w:szCs w:val="20"/>
        </w:rPr>
        <w:t>s in Urbanism, Smart Cities, and Sustainability</w:t>
      </w:r>
      <w:r>
        <w:rPr>
          <w:rFonts w:ascii="Arial" w:eastAsia="Arial" w:hAnsi="Arial" w:cs="Arial"/>
          <w:sz w:val="20"/>
          <w:szCs w:val="20"/>
        </w:rPr>
        <w:t>. CRC Press.</w:t>
      </w:r>
    </w:p>
    <w:p w14:paraId="275B9CB8"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Chen, C., Xu, R., Tong, D., Qin, X., Cheng, J., Liu, J., ... &amp; Zhang, Q. (2022). A striking growth of CO2 emissions from the global cement industry driven by new facilities in emerging countries. </w:t>
      </w:r>
      <w:r>
        <w:rPr>
          <w:rFonts w:ascii="Arial" w:eastAsia="Arial" w:hAnsi="Arial" w:cs="Arial"/>
          <w:i/>
          <w:sz w:val="20"/>
          <w:szCs w:val="20"/>
        </w:rPr>
        <w:t>Environmental Research Letters</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(4), 044007.</w:t>
      </w:r>
    </w:p>
    <w:p w14:paraId="0097F52C"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Desheng</w:t>
      </w:r>
      <w:proofErr w:type="spellEnd"/>
      <w:r>
        <w:rPr>
          <w:rFonts w:ascii="Arial" w:eastAsia="Arial" w:hAnsi="Arial" w:cs="Arial"/>
          <w:sz w:val="20"/>
          <w:szCs w:val="20"/>
        </w:rPr>
        <w:t xml:space="preserve">, L., </w:t>
      </w:r>
      <w:proofErr w:type="spellStart"/>
      <w:r>
        <w:rPr>
          <w:rFonts w:ascii="Arial" w:eastAsia="Arial" w:hAnsi="Arial" w:cs="Arial"/>
          <w:sz w:val="20"/>
          <w:szCs w:val="20"/>
        </w:rPr>
        <w:t>Jiakui</w:t>
      </w:r>
      <w:proofErr w:type="spellEnd"/>
      <w:r>
        <w:rPr>
          <w:rFonts w:ascii="Arial" w:eastAsia="Arial" w:hAnsi="Arial" w:cs="Arial"/>
          <w:sz w:val="20"/>
          <w:szCs w:val="20"/>
        </w:rPr>
        <w:t xml:space="preserve">, C., &amp; Ning, Z. (2021). Political connections and green technology innovations under an environmental regulation. </w:t>
      </w:r>
      <w:r>
        <w:rPr>
          <w:rFonts w:ascii="Arial" w:eastAsia="Arial" w:hAnsi="Arial" w:cs="Arial"/>
          <w:i/>
          <w:sz w:val="20"/>
          <w:szCs w:val="20"/>
        </w:rPr>
        <w:t>Journal of Cleaner Production</w:t>
      </w:r>
      <w:r>
        <w:rPr>
          <w:rFonts w:ascii="Arial" w:eastAsia="Arial" w:hAnsi="Arial" w:cs="Arial"/>
          <w:sz w:val="20"/>
          <w:szCs w:val="20"/>
        </w:rPr>
        <w:t xml:space="preserve">, </w:t>
      </w:r>
      <w:r>
        <w:rPr>
          <w:rFonts w:ascii="Arial" w:eastAsia="Arial" w:hAnsi="Arial" w:cs="Arial"/>
          <w:i/>
          <w:sz w:val="20"/>
          <w:szCs w:val="20"/>
        </w:rPr>
        <w:t>298</w:t>
      </w:r>
      <w:r>
        <w:rPr>
          <w:rFonts w:ascii="Arial" w:eastAsia="Arial" w:hAnsi="Arial" w:cs="Arial"/>
          <w:sz w:val="20"/>
          <w:szCs w:val="20"/>
        </w:rPr>
        <w:t>, 126778.</w:t>
      </w:r>
    </w:p>
    <w:p w14:paraId="60A5408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Hall, B. H., &amp; Helmers, C. (201</w:t>
      </w:r>
      <w:r>
        <w:rPr>
          <w:rFonts w:ascii="Arial" w:eastAsia="Arial" w:hAnsi="Arial" w:cs="Arial"/>
          <w:sz w:val="20"/>
          <w:szCs w:val="20"/>
        </w:rPr>
        <w:t xml:space="preserve">3). Journal of Environmental Economics and Management. </w:t>
      </w:r>
      <w:r>
        <w:rPr>
          <w:rFonts w:ascii="Arial" w:eastAsia="Arial" w:hAnsi="Arial" w:cs="Arial"/>
          <w:i/>
          <w:sz w:val="20"/>
          <w:szCs w:val="20"/>
        </w:rPr>
        <w:t>Journal of Environmental Economics and Management</w:t>
      </w:r>
      <w:r>
        <w:rPr>
          <w:rFonts w:ascii="Arial" w:eastAsia="Arial" w:hAnsi="Arial" w:cs="Arial"/>
          <w:sz w:val="20"/>
          <w:szCs w:val="20"/>
        </w:rPr>
        <w:t xml:space="preserve">, </w:t>
      </w:r>
      <w:r>
        <w:rPr>
          <w:rFonts w:ascii="Arial" w:eastAsia="Arial" w:hAnsi="Arial" w:cs="Arial"/>
          <w:i/>
          <w:sz w:val="20"/>
          <w:szCs w:val="20"/>
        </w:rPr>
        <w:t>66</w:t>
      </w:r>
      <w:r>
        <w:rPr>
          <w:rFonts w:ascii="Arial" w:eastAsia="Arial" w:hAnsi="Arial" w:cs="Arial"/>
          <w:sz w:val="20"/>
          <w:szCs w:val="20"/>
        </w:rPr>
        <w:t>, 33-51.</w:t>
      </w:r>
    </w:p>
    <w:p w14:paraId="3EAA111A"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Urbaniec</w:t>
      </w:r>
      <w:proofErr w:type="spellEnd"/>
      <w:r>
        <w:rPr>
          <w:rFonts w:ascii="Arial" w:eastAsia="Arial" w:hAnsi="Arial" w:cs="Arial"/>
          <w:sz w:val="20"/>
          <w:szCs w:val="20"/>
        </w:rPr>
        <w:t>, M., Tomala, J., &amp; Martinez, S. (2021). Measurements and trends in technological eco-innovation: Evidence from environment-related</w:t>
      </w:r>
      <w:r>
        <w:rPr>
          <w:rFonts w:ascii="Arial" w:eastAsia="Arial" w:hAnsi="Arial" w:cs="Arial"/>
          <w:sz w:val="20"/>
          <w:szCs w:val="20"/>
        </w:rPr>
        <w:t xml:space="preserve"> patents. </w:t>
      </w:r>
      <w:r>
        <w:rPr>
          <w:rFonts w:ascii="Arial" w:eastAsia="Arial" w:hAnsi="Arial" w:cs="Arial"/>
          <w:i/>
          <w:sz w:val="20"/>
          <w:szCs w:val="20"/>
        </w:rPr>
        <w:t>Resources</w:t>
      </w:r>
      <w:r>
        <w:rPr>
          <w:rFonts w:ascii="Arial" w:eastAsia="Arial" w:hAnsi="Arial" w:cs="Arial"/>
          <w:sz w:val="20"/>
          <w:szCs w:val="20"/>
        </w:rPr>
        <w:t xml:space="preserve">, </w:t>
      </w:r>
      <w:r>
        <w:rPr>
          <w:rFonts w:ascii="Arial" w:eastAsia="Arial" w:hAnsi="Arial" w:cs="Arial"/>
          <w:i/>
          <w:sz w:val="20"/>
          <w:szCs w:val="20"/>
        </w:rPr>
        <w:t>10</w:t>
      </w:r>
      <w:r>
        <w:rPr>
          <w:rFonts w:ascii="Arial" w:eastAsia="Arial" w:hAnsi="Arial" w:cs="Arial"/>
          <w:sz w:val="20"/>
          <w:szCs w:val="20"/>
        </w:rPr>
        <w:t>(7), 68.</w:t>
      </w:r>
    </w:p>
    <w:p w14:paraId="1D5EFA60"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Johnstone, I. (2022). Global governance and the Global Green New Deal: the G7’s role. </w:t>
      </w:r>
      <w:r>
        <w:rPr>
          <w:rFonts w:ascii="Arial" w:eastAsia="Arial" w:hAnsi="Arial" w:cs="Arial"/>
          <w:i/>
          <w:sz w:val="20"/>
          <w:szCs w:val="20"/>
        </w:rPr>
        <w:t>Humanities and Social Sciences Communications</w:t>
      </w:r>
      <w:r>
        <w:rPr>
          <w:rFonts w:ascii="Arial" w:eastAsia="Arial" w:hAnsi="Arial" w:cs="Arial"/>
          <w:sz w:val="20"/>
          <w:szCs w:val="20"/>
        </w:rPr>
        <w:t xml:space="preserve">, </w:t>
      </w:r>
      <w:r>
        <w:rPr>
          <w:rFonts w:ascii="Arial" w:eastAsia="Arial" w:hAnsi="Arial" w:cs="Arial"/>
          <w:i/>
          <w:sz w:val="20"/>
          <w:szCs w:val="20"/>
        </w:rPr>
        <w:t>9</w:t>
      </w:r>
      <w:r>
        <w:rPr>
          <w:rFonts w:ascii="Arial" w:eastAsia="Arial" w:hAnsi="Arial" w:cs="Arial"/>
          <w:sz w:val="20"/>
          <w:szCs w:val="20"/>
        </w:rPr>
        <w:t>(1).</w:t>
      </w:r>
    </w:p>
    <w:p w14:paraId="5FB7E5E0"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Wang, M., Pang, S., </w:t>
      </w:r>
      <w:proofErr w:type="spellStart"/>
      <w:r>
        <w:rPr>
          <w:rFonts w:ascii="Arial" w:eastAsia="Arial" w:hAnsi="Arial" w:cs="Arial"/>
          <w:sz w:val="20"/>
          <w:szCs w:val="20"/>
        </w:rPr>
        <w:t>Hmani</w:t>
      </w:r>
      <w:proofErr w:type="spellEnd"/>
      <w:r>
        <w:rPr>
          <w:rFonts w:ascii="Arial" w:eastAsia="Arial" w:hAnsi="Arial" w:cs="Arial"/>
          <w:sz w:val="20"/>
          <w:szCs w:val="20"/>
        </w:rPr>
        <w:t xml:space="preserve">, I., </w:t>
      </w:r>
      <w:proofErr w:type="spellStart"/>
      <w:r>
        <w:rPr>
          <w:rFonts w:ascii="Arial" w:eastAsia="Arial" w:hAnsi="Arial" w:cs="Arial"/>
          <w:sz w:val="20"/>
          <w:szCs w:val="20"/>
        </w:rPr>
        <w:t>Hmani</w:t>
      </w:r>
      <w:proofErr w:type="spellEnd"/>
      <w:r>
        <w:rPr>
          <w:rFonts w:ascii="Arial" w:eastAsia="Arial" w:hAnsi="Arial" w:cs="Arial"/>
          <w:sz w:val="20"/>
          <w:szCs w:val="20"/>
        </w:rPr>
        <w:t>, I., Li, C., &amp; He, Z. (2021). Towards sustainabl</w:t>
      </w:r>
      <w:r>
        <w:rPr>
          <w:rFonts w:ascii="Arial" w:eastAsia="Arial" w:hAnsi="Arial" w:cs="Arial"/>
          <w:sz w:val="20"/>
          <w:szCs w:val="20"/>
        </w:rPr>
        <w:t xml:space="preserve">e development: How does technological innovation drive the increase in green total factor </w:t>
      </w:r>
      <w:proofErr w:type="gramStart"/>
      <w:r>
        <w:rPr>
          <w:rFonts w:ascii="Arial" w:eastAsia="Arial" w:hAnsi="Arial" w:cs="Arial"/>
          <w:sz w:val="20"/>
          <w:szCs w:val="20"/>
        </w:rPr>
        <w:t>productivity?.</w:t>
      </w:r>
      <w:proofErr w:type="gramEnd"/>
      <w:r>
        <w:rPr>
          <w:rFonts w:ascii="Arial" w:eastAsia="Arial" w:hAnsi="Arial" w:cs="Arial"/>
          <w:sz w:val="20"/>
          <w:szCs w:val="20"/>
        </w:rPr>
        <w:t xml:space="preserve"> </w:t>
      </w:r>
      <w:r>
        <w:rPr>
          <w:rFonts w:ascii="Arial" w:eastAsia="Arial" w:hAnsi="Arial" w:cs="Arial"/>
          <w:i/>
          <w:sz w:val="20"/>
          <w:szCs w:val="20"/>
        </w:rPr>
        <w:t>Sustainable Development</w:t>
      </w:r>
      <w:r>
        <w:rPr>
          <w:rFonts w:ascii="Arial" w:eastAsia="Arial" w:hAnsi="Arial" w:cs="Arial"/>
          <w:sz w:val="20"/>
          <w:szCs w:val="20"/>
        </w:rPr>
        <w:t xml:space="preserve">, </w:t>
      </w:r>
      <w:r>
        <w:rPr>
          <w:rFonts w:ascii="Arial" w:eastAsia="Arial" w:hAnsi="Arial" w:cs="Arial"/>
          <w:i/>
          <w:sz w:val="20"/>
          <w:szCs w:val="20"/>
        </w:rPr>
        <w:t>29</w:t>
      </w:r>
      <w:r>
        <w:rPr>
          <w:rFonts w:ascii="Arial" w:eastAsia="Arial" w:hAnsi="Arial" w:cs="Arial"/>
          <w:sz w:val="20"/>
          <w:szCs w:val="20"/>
        </w:rPr>
        <w:t>(1), 217-227.</w:t>
      </w:r>
    </w:p>
    <w:p w14:paraId="2CFABAA3" w14:textId="77777777" w:rsidR="00D41ED0" w:rsidRDefault="00D41ED0">
      <w:pPr>
        <w:spacing w:before="240" w:after="240" w:line="360" w:lineRule="auto"/>
        <w:jc w:val="both"/>
        <w:rPr>
          <w:rFonts w:ascii="Arial" w:eastAsia="Arial" w:hAnsi="Arial" w:cs="Arial"/>
          <w:sz w:val="20"/>
          <w:szCs w:val="20"/>
        </w:rPr>
      </w:pPr>
    </w:p>
    <w:p w14:paraId="29D6C726" w14:textId="77777777" w:rsidR="00D41ED0" w:rsidRDefault="00D41ED0">
      <w:pPr>
        <w:spacing w:before="240" w:after="240" w:line="360" w:lineRule="auto"/>
        <w:jc w:val="both"/>
        <w:rPr>
          <w:rFonts w:ascii="Arial" w:eastAsia="Arial" w:hAnsi="Arial" w:cs="Arial"/>
          <w:sz w:val="20"/>
          <w:szCs w:val="20"/>
          <w:highlight w:val="cyan"/>
        </w:rPr>
      </w:pPr>
    </w:p>
    <w:p w14:paraId="2FA2BEAB"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Eiadat</w:t>
      </w:r>
      <w:proofErr w:type="spellEnd"/>
      <w:r>
        <w:rPr>
          <w:rFonts w:ascii="Arial" w:eastAsia="Arial" w:hAnsi="Arial" w:cs="Arial"/>
          <w:sz w:val="20"/>
          <w:szCs w:val="20"/>
        </w:rPr>
        <w:t xml:space="preserve">, Y., Kelly, A., Roche, F., &amp; </w:t>
      </w:r>
      <w:proofErr w:type="spellStart"/>
      <w:r>
        <w:rPr>
          <w:rFonts w:ascii="Arial" w:eastAsia="Arial" w:hAnsi="Arial" w:cs="Arial"/>
          <w:sz w:val="20"/>
          <w:szCs w:val="20"/>
        </w:rPr>
        <w:t>Eyadat</w:t>
      </w:r>
      <w:proofErr w:type="spellEnd"/>
      <w:r>
        <w:rPr>
          <w:rFonts w:ascii="Arial" w:eastAsia="Arial" w:hAnsi="Arial" w:cs="Arial"/>
          <w:sz w:val="20"/>
          <w:szCs w:val="20"/>
        </w:rPr>
        <w:t xml:space="preserve">, H. (2008). Green and competitive? An empirical test of the mediating role of environmental innovation strategy. </w:t>
      </w:r>
      <w:r>
        <w:rPr>
          <w:rFonts w:ascii="Arial" w:eastAsia="Arial" w:hAnsi="Arial" w:cs="Arial"/>
          <w:i/>
          <w:sz w:val="20"/>
          <w:szCs w:val="20"/>
        </w:rPr>
        <w:t>Journal of World business</w:t>
      </w:r>
      <w:r>
        <w:rPr>
          <w:rFonts w:ascii="Arial" w:eastAsia="Arial" w:hAnsi="Arial" w:cs="Arial"/>
          <w:sz w:val="20"/>
          <w:szCs w:val="20"/>
        </w:rPr>
        <w:t xml:space="preserve">, </w:t>
      </w:r>
      <w:r>
        <w:rPr>
          <w:rFonts w:ascii="Arial" w:eastAsia="Arial" w:hAnsi="Arial" w:cs="Arial"/>
          <w:i/>
          <w:sz w:val="20"/>
          <w:szCs w:val="20"/>
        </w:rPr>
        <w:t>43</w:t>
      </w:r>
      <w:r>
        <w:rPr>
          <w:rFonts w:ascii="Arial" w:eastAsia="Arial" w:hAnsi="Arial" w:cs="Arial"/>
          <w:sz w:val="20"/>
          <w:szCs w:val="20"/>
        </w:rPr>
        <w:t>(2), 131-145.</w:t>
      </w:r>
    </w:p>
    <w:p w14:paraId="11797300"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Song, W., Yu, H., &amp; Xu, H. (2021). Effects of green human resource management and managerial enviro</w:t>
      </w:r>
      <w:r>
        <w:rPr>
          <w:rFonts w:ascii="Arial" w:eastAsia="Arial" w:hAnsi="Arial" w:cs="Arial"/>
          <w:sz w:val="20"/>
          <w:szCs w:val="20"/>
        </w:rPr>
        <w:t xml:space="preserve">nmental concern on green innovation. </w:t>
      </w:r>
      <w:r>
        <w:rPr>
          <w:rFonts w:ascii="Arial" w:eastAsia="Arial" w:hAnsi="Arial" w:cs="Arial"/>
          <w:i/>
          <w:sz w:val="20"/>
          <w:szCs w:val="20"/>
        </w:rPr>
        <w:t>European journal of innovation management</w:t>
      </w:r>
      <w:r>
        <w:rPr>
          <w:rFonts w:ascii="Arial" w:eastAsia="Arial" w:hAnsi="Arial" w:cs="Arial"/>
          <w:sz w:val="20"/>
          <w:szCs w:val="20"/>
        </w:rPr>
        <w:t xml:space="preserve">, </w:t>
      </w:r>
      <w:r>
        <w:rPr>
          <w:rFonts w:ascii="Arial" w:eastAsia="Arial" w:hAnsi="Arial" w:cs="Arial"/>
          <w:i/>
          <w:sz w:val="20"/>
          <w:szCs w:val="20"/>
        </w:rPr>
        <w:t>24</w:t>
      </w:r>
      <w:r>
        <w:rPr>
          <w:rFonts w:ascii="Arial" w:eastAsia="Arial" w:hAnsi="Arial" w:cs="Arial"/>
          <w:sz w:val="20"/>
          <w:szCs w:val="20"/>
        </w:rPr>
        <w:t>(3), 951-967.</w:t>
      </w:r>
    </w:p>
    <w:p w14:paraId="7B3D8869"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Pekovic, S., </w:t>
      </w:r>
      <w:proofErr w:type="spellStart"/>
      <w:r>
        <w:rPr>
          <w:rFonts w:ascii="Arial" w:eastAsia="Arial" w:hAnsi="Arial" w:cs="Arial"/>
          <w:sz w:val="20"/>
          <w:szCs w:val="20"/>
        </w:rPr>
        <w:t>Grolleau</w:t>
      </w:r>
      <w:proofErr w:type="spellEnd"/>
      <w:r>
        <w:rPr>
          <w:rFonts w:ascii="Arial" w:eastAsia="Arial" w:hAnsi="Arial" w:cs="Arial"/>
          <w:sz w:val="20"/>
          <w:szCs w:val="20"/>
        </w:rPr>
        <w:t xml:space="preserve">, G., &amp; Mzoughi, N. (2018). Environmental investments: too much of a good </w:t>
      </w:r>
      <w:proofErr w:type="gramStart"/>
      <w:r>
        <w:rPr>
          <w:rFonts w:ascii="Arial" w:eastAsia="Arial" w:hAnsi="Arial" w:cs="Arial"/>
          <w:sz w:val="20"/>
          <w:szCs w:val="20"/>
        </w:rPr>
        <w:t>thing?.</w:t>
      </w:r>
      <w:proofErr w:type="gramEnd"/>
      <w:r>
        <w:rPr>
          <w:rFonts w:ascii="Arial" w:eastAsia="Arial" w:hAnsi="Arial" w:cs="Arial"/>
          <w:sz w:val="20"/>
          <w:szCs w:val="20"/>
        </w:rPr>
        <w:t xml:space="preserve"> </w:t>
      </w:r>
      <w:r>
        <w:rPr>
          <w:rFonts w:ascii="Arial" w:eastAsia="Arial" w:hAnsi="Arial" w:cs="Arial"/>
          <w:i/>
          <w:sz w:val="20"/>
          <w:szCs w:val="20"/>
        </w:rPr>
        <w:t>International Journal of Production Economics</w:t>
      </w:r>
      <w:r>
        <w:rPr>
          <w:rFonts w:ascii="Arial" w:eastAsia="Arial" w:hAnsi="Arial" w:cs="Arial"/>
          <w:sz w:val="20"/>
          <w:szCs w:val="20"/>
        </w:rPr>
        <w:t xml:space="preserve">, </w:t>
      </w:r>
      <w:r>
        <w:rPr>
          <w:rFonts w:ascii="Arial" w:eastAsia="Arial" w:hAnsi="Arial" w:cs="Arial"/>
          <w:i/>
          <w:sz w:val="20"/>
          <w:szCs w:val="20"/>
        </w:rPr>
        <w:t>197</w:t>
      </w:r>
      <w:r>
        <w:rPr>
          <w:rFonts w:ascii="Arial" w:eastAsia="Arial" w:hAnsi="Arial" w:cs="Arial"/>
          <w:sz w:val="20"/>
          <w:szCs w:val="20"/>
        </w:rPr>
        <w:t>, 297-3</w:t>
      </w:r>
      <w:r>
        <w:rPr>
          <w:rFonts w:ascii="Arial" w:eastAsia="Arial" w:hAnsi="Arial" w:cs="Arial"/>
          <w:sz w:val="20"/>
          <w:szCs w:val="20"/>
        </w:rPr>
        <w:t>02.</w:t>
      </w:r>
    </w:p>
    <w:p w14:paraId="02A713F1"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Shi, Y., Long, G., Ma, C., Xie, Y., &amp; He, J. (2019). Design and preparation of ultra-</w:t>
      </w:r>
      <w:proofErr w:type="gramStart"/>
      <w:r>
        <w:rPr>
          <w:rFonts w:ascii="Arial" w:eastAsia="Arial" w:hAnsi="Arial" w:cs="Arial"/>
          <w:sz w:val="20"/>
          <w:szCs w:val="20"/>
        </w:rPr>
        <w:t>high performance</w:t>
      </w:r>
      <w:proofErr w:type="gramEnd"/>
      <w:r>
        <w:rPr>
          <w:rFonts w:ascii="Arial" w:eastAsia="Arial" w:hAnsi="Arial" w:cs="Arial"/>
          <w:sz w:val="20"/>
          <w:szCs w:val="20"/>
        </w:rPr>
        <w:t xml:space="preserve"> concrete with low environmental impact. </w:t>
      </w:r>
      <w:r>
        <w:rPr>
          <w:rFonts w:ascii="Arial" w:eastAsia="Arial" w:hAnsi="Arial" w:cs="Arial"/>
          <w:i/>
          <w:sz w:val="20"/>
          <w:szCs w:val="20"/>
        </w:rPr>
        <w:t>Journal of Cleaner Production</w:t>
      </w:r>
      <w:r>
        <w:rPr>
          <w:rFonts w:ascii="Arial" w:eastAsia="Arial" w:hAnsi="Arial" w:cs="Arial"/>
          <w:sz w:val="20"/>
          <w:szCs w:val="20"/>
        </w:rPr>
        <w:t xml:space="preserve">, </w:t>
      </w:r>
      <w:r>
        <w:rPr>
          <w:rFonts w:ascii="Arial" w:eastAsia="Arial" w:hAnsi="Arial" w:cs="Arial"/>
          <w:i/>
          <w:sz w:val="20"/>
          <w:szCs w:val="20"/>
        </w:rPr>
        <w:t>214</w:t>
      </w:r>
      <w:r>
        <w:rPr>
          <w:rFonts w:ascii="Arial" w:eastAsia="Arial" w:hAnsi="Arial" w:cs="Arial"/>
          <w:sz w:val="20"/>
          <w:szCs w:val="20"/>
        </w:rPr>
        <w:t>, 633-643.</w:t>
      </w:r>
    </w:p>
    <w:p w14:paraId="5EB4B85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Yan, Z., Zou, B., Du, K., &amp; Li, K. (2020). Do renewable energy te</w:t>
      </w:r>
      <w:r>
        <w:rPr>
          <w:rFonts w:ascii="Arial" w:eastAsia="Arial" w:hAnsi="Arial" w:cs="Arial"/>
          <w:sz w:val="20"/>
          <w:szCs w:val="20"/>
        </w:rPr>
        <w:t xml:space="preserve">chnology innovations promote China's green productivity growth? Fresh evidence from partially linear functional-coefficient models. </w:t>
      </w:r>
      <w:r>
        <w:rPr>
          <w:rFonts w:ascii="Arial" w:eastAsia="Arial" w:hAnsi="Arial" w:cs="Arial"/>
          <w:i/>
          <w:sz w:val="20"/>
          <w:szCs w:val="20"/>
        </w:rPr>
        <w:t>Energy Economics</w:t>
      </w:r>
      <w:r>
        <w:rPr>
          <w:rFonts w:ascii="Arial" w:eastAsia="Arial" w:hAnsi="Arial" w:cs="Arial"/>
          <w:sz w:val="20"/>
          <w:szCs w:val="20"/>
        </w:rPr>
        <w:t xml:space="preserve">, </w:t>
      </w:r>
      <w:r>
        <w:rPr>
          <w:rFonts w:ascii="Arial" w:eastAsia="Arial" w:hAnsi="Arial" w:cs="Arial"/>
          <w:i/>
          <w:sz w:val="20"/>
          <w:szCs w:val="20"/>
        </w:rPr>
        <w:t>90</w:t>
      </w:r>
      <w:r>
        <w:rPr>
          <w:rFonts w:ascii="Arial" w:eastAsia="Arial" w:hAnsi="Arial" w:cs="Arial"/>
          <w:sz w:val="20"/>
          <w:szCs w:val="20"/>
        </w:rPr>
        <w:t>, 104842.</w:t>
      </w:r>
    </w:p>
    <w:p w14:paraId="561035B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Ganda, F., &amp; </w:t>
      </w:r>
      <w:proofErr w:type="spellStart"/>
      <w:r>
        <w:rPr>
          <w:rFonts w:ascii="Arial" w:eastAsia="Arial" w:hAnsi="Arial" w:cs="Arial"/>
          <w:sz w:val="20"/>
          <w:szCs w:val="20"/>
        </w:rPr>
        <w:t>Milondzo</w:t>
      </w:r>
      <w:proofErr w:type="spellEnd"/>
      <w:r>
        <w:rPr>
          <w:rFonts w:ascii="Arial" w:eastAsia="Arial" w:hAnsi="Arial" w:cs="Arial"/>
          <w:sz w:val="20"/>
          <w:szCs w:val="20"/>
        </w:rPr>
        <w:t>, K. S. (2018). The impact of carbon emissions on corporate financial per</w:t>
      </w:r>
      <w:r>
        <w:rPr>
          <w:rFonts w:ascii="Arial" w:eastAsia="Arial" w:hAnsi="Arial" w:cs="Arial"/>
          <w:sz w:val="20"/>
          <w:szCs w:val="20"/>
        </w:rPr>
        <w:t xml:space="preserve">formance: Evidence from the South African firms. </w:t>
      </w:r>
      <w:r>
        <w:rPr>
          <w:rFonts w:ascii="Arial" w:eastAsia="Arial" w:hAnsi="Arial" w:cs="Arial"/>
          <w:i/>
          <w:sz w:val="20"/>
          <w:szCs w:val="20"/>
        </w:rPr>
        <w:t>Sustainability</w:t>
      </w:r>
      <w:r>
        <w:rPr>
          <w:rFonts w:ascii="Arial" w:eastAsia="Arial" w:hAnsi="Arial" w:cs="Arial"/>
          <w:sz w:val="20"/>
          <w:szCs w:val="20"/>
        </w:rPr>
        <w:t xml:space="preserve">, </w:t>
      </w:r>
      <w:r>
        <w:rPr>
          <w:rFonts w:ascii="Arial" w:eastAsia="Arial" w:hAnsi="Arial" w:cs="Arial"/>
          <w:i/>
          <w:sz w:val="20"/>
          <w:szCs w:val="20"/>
        </w:rPr>
        <w:t>10</w:t>
      </w:r>
      <w:r>
        <w:rPr>
          <w:rFonts w:ascii="Arial" w:eastAsia="Arial" w:hAnsi="Arial" w:cs="Arial"/>
          <w:sz w:val="20"/>
          <w:szCs w:val="20"/>
        </w:rPr>
        <w:t>(7), 2398.</w:t>
      </w:r>
    </w:p>
    <w:p w14:paraId="46E8F3EF"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Ghosh, D., Shah, J., &amp; Swami, S. (2020). Product greening and pricing strategies of firms under green sensitive consumer demand and environmental regulations. </w:t>
      </w:r>
      <w:r>
        <w:rPr>
          <w:rFonts w:ascii="Arial" w:eastAsia="Arial" w:hAnsi="Arial" w:cs="Arial"/>
          <w:i/>
          <w:sz w:val="20"/>
          <w:szCs w:val="20"/>
        </w:rPr>
        <w:t>Annals of Operation</w:t>
      </w:r>
      <w:r>
        <w:rPr>
          <w:rFonts w:ascii="Arial" w:eastAsia="Arial" w:hAnsi="Arial" w:cs="Arial"/>
          <w:i/>
          <w:sz w:val="20"/>
          <w:szCs w:val="20"/>
        </w:rPr>
        <w:t>s Research</w:t>
      </w:r>
      <w:r>
        <w:rPr>
          <w:rFonts w:ascii="Arial" w:eastAsia="Arial" w:hAnsi="Arial" w:cs="Arial"/>
          <w:sz w:val="20"/>
          <w:szCs w:val="20"/>
        </w:rPr>
        <w:t xml:space="preserve">, </w:t>
      </w:r>
      <w:r>
        <w:rPr>
          <w:rFonts w:ascii="Arial" w:eastAsia="Arial" w:hAnsi="Arial" w:cs="Arial"/>
          <w:i/>
          <w:sz w:val="20"/>
          <w:szCs w:val="20"/>
        </w:rPr>
        <w:t>290</w:t>
      </w:r>
      <w:r>
        <w:rPr>
          <w:rFonts w:ascii="Arial" w:eastAsia="Arial" w:hAnsi="Arial" w:cs="Arial"/>
          <w:sz w:val="20"/>
          <w:szCs w:val="20"/>
        </w:rPr>
        <w:t>(1), 491-520.</w:t>
      </w:r>
    </w:p>
    <w:p w14:paraId="71E304D8"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Atif, M., Alam, M. S., &amp; Hossain, M. (2020). Firm sustainable investment: Are female directors greener? </w:t>
      </w:r>
      <w:r>
        <w:rPr>
          <w:rFonts w:ascii="Arial" w:eastAsia="Arial" w:hAnsi="Arial" w:cs="Arial"/>
          <w:i/>
          <w:sz w:val="20"/>
          <w:szCs w:val="20"/>
        </w:rPr>
        <w:t>Business Strategy and the Environment</w:t>
      </w:r>
      <w:r>
        <w:rPr>
          <w:rFonts w:ascii="Arial" w:eastAsia="Arial" w:hAnsi="Arial" w:cs="Arial"/>
          <w:sz w:val="20"/>
          <w:szCs w:val="20"/>
        </w:rPr>
        <w:t xml:space="preserve">, </w:t>
      </w:r>
      <w:r>
        <w:rPr>
          <w:rFonts w:ascii="Arial" w:eastAsia="Arial" w:hAnsi="Arial" w:cs="Arial"/>
          <w:i/>
          <w:sz w:val="20"/>
          <w:szCs w:val="20"/>
        </w:rPr>
        <w:t>29</w:t>
      </w:r>
      <w:r>
        <w:rPr>
          <w:rFonts w:ascii="Arial" w:eastAsia="Arial" w:hAnsi="Arial" w:cs="Arial"/>
          <w:sz w:val="20"/>
          <w:szCs w:val="20"/>
        </w:rPr>
        <w:t>(8), 3449-3469.</w:t>
      </w:r>
    </w:p>
    <w:p w14:paraId="2D3DB75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Birat, J. P. (2019). The environment and materials, from the stand</w:t>
      </w:r>
      <w:r>
        <w:rPr>
          <w:rFonts w:ascii="Arial" w:eastAsia="Arial" w:hAnsi="Arial" w:cs="Arial"/>
          <w:sz w:val="20"/>
          <w:szCs w:val="20"/>
        </w:rPr>
        <w:t xml:space="preserve">points of ethics, social sciences, law and politics. </w:t>
      </w:r>
      <w:proofErr w:type="spellStart"/>
      <w:r>
        <w:rPr>
          <w:rFonts w:ascii="Arial" w:eastAsia="Arial" w:hAnsi="Arial" w:cs="Arial"/>
          <w:i/>
          <w:sz w:val="20"/>
          <w:szCs w:val="20"/>
        </w:rPr>
        <w:t>Matériaux</w:t>
      </w:r>
      <w:proofErr w:type="spellEnd"/>
      <w:r>
        <w:rPr>
          <w:rFonts w:ascii="Arial" w:eastAsia="Arial" w:hAnsi="Arial" w:cs="Arial"/>
          <w:i/>
          <w:sz w:val="20"/>
          <w:szCs w:val="20"/>
        </w:rPr>
        <w:t xml:space="preserve"> &amp; Techniques</w:t>
      </w:r>
      <w:r>
        <w:rPr>
          <w:rFonts w:ascii="Arial" w:eastAsia="Arial" w:hAnsi="Arial" w:cs="Arial"/>
          <w:sz w:val="20"/>
          <w:szCs w:val="20"/>
        </w:rPr>
        <w:t xml:space="preserve">, </w:t>
      </w:r>
      <w:r>
        <w:rPr>
          <w:rFonts w:ascii="Arial" w:eastAsia="Arial" w:hAnsi="Arial" w:cs="Arial"/>
          <w:i/>
          <w:sz w:val="20"/>
          <w:szCs w:val="20"/>
        </w:rPr>
        <w:t>107</w:t>
      </w:r>
      <w:r>
        <w:rPr>
          <w:rFonts w:ascii="Arial" w:eastAsia="Arial" w:hAnsi="Arial" w:cs="Arial"/>
          <w:sz w:val="20"/>
          <w:szCs w:val="20"/>
        </w:rPr>
        <w:t>(1), 102.</w:t>
      </w:r>
    </w:p>
    <w:p w14:paraId="33AEB18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Birat, J. P. (2023). Net-Zero transition in the steel sector: beyond the simple emphasis on hydrogen, did we miss anything? </w:t>
      </w:r>
      <w:proofErr w:type="spellStart"/>
      <w:r>
        <w:rPr>
          <w:rFonts w:ascii="Arial" w:eastAsia="Arial" w:hAnsi="Arial" w:cs="Arial"/>
          <w:i/>
          <w:sz w:val="20"/>
          <w:szCs w:val="20"/>
        </w:rPr>
        <w:t>Matériaux</w:t>
      </w:r>
      <w:proofErr w:type="spellEnd"/>
      <w:r>
        <w:rPr>
          <w:rFonts w:ascii="Arial" w:eastAsia="Arial" w:hAnsi="Arial" w:cs="Arial"/>
          <w:i/>
          <w:sz w:val="20"/>
          <w:szCs w:val="20"/>
        </w:rPr>
        <w:t xml:space="preserve"> &amp; Techniques</w:t>
      </w:r>
      <w:r>
        <w:rPr>
          <w:rFonts w:ascii="Arial" w:eastAsia="Arial" w:hAnsi="Arial" w:cs="Arial"/>
          <w:sz w:val="20"/>
          <w:szCs w:val="20"/>
        </w:rPr>
        <w:t xml:space="preserve">, </w:t>
      </w:r>
      <w:r>
        <w:rPr>
          <w:rFonts w:ascii="Arial" w:eastAsia="Arial" w:hAnsi="Arial" w:cs="Arial"/>
          <w:i/>
          <w:sz w:val="20"/>
          <w:szCs w:val="20"/>
        </w:rPr>
        <w:t>111</w:t>
      </w:r>
      <w:r>
        <w:rPr>
          <w:rFonts w:ascii="Arial" w:eastAsia="Arial" w:hAnsi="Arial" w:cs="Arial"/>
          <w:sz w:val="20"/>
          <w:szCs w:val="20"/>
        </w:rPr>
        <w:t>(2), 201.</w:t>
      </w:r>
    </w:p>
    <w:p w14:paraId="4FDCB792"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Conej</w:t>
      </w:r>
      <w:r>
        <w:rPr>
          <w:rFonts w:ascii="Arial" w:eastAsia="Arial" w:hAnsi="Arial" w:cs="Arial"/>
          <w:sz w:val="20"/>
          <w:szCs w:val="20"/>
        </w:rPr>
        <w:t xml:space="preserve">o, A. N., Birat, J. P., &amp; Dutta, A. (2020). A review of the current environmental challenges of the steel industry and its value chain. </w:t>
      </w:r>
      <w:r>
        <w:rPr>
          <w:rFonts w:ascii="Arial" w:eastAsia="Arial" w:hAnsi="Arial" w:cs="Arial"/>
          <w:i/>
          <w:sz w:val="20"/>
          <w:szCs w:val="20"/>
        </w:rPr>
        <w:t>Journal of environmental management</w:t>
      </w:r>
      <w:r>
        <w:rPr>
          <w:rFonts w:ascii="Arial" w:eastAsia="Arial" w:hAnsi="Arial" w:cs="Arial"/>
          <w:sz w:val="20"/>
          <w:szCs w:val="20"/>
        </w:rPr>
        <w:t xml:space="preserve">, </w:t>
      </w:r>
      <w:r>
        <w:rPr>
          <w:rFonts w:ascii="Arial" w:eastAsia="Arial" w:hAnsi="Arial" w:cs="Arial"/>
          <w:i/>
          <w:sz w:val="20"/>
          <w:szCs w:val="20"/>
        </w:rPr>
        <w:t>259</w:t>
      </w:r>
      <w:r>
        <w:rPr>
          <w:rFonts w:ascii="Arial" w:eastAsia="Arial" w:hAnsi="Arial" w:cs="Arial"/>
          <w:sz w:val="20"/>
          <w:szCs w:val="20"/>
        </w:rPr>
        <w:t>, 109782.</w:t>
      </w:r>
    </w:p>
    <w:p w14:paraId="617B32B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Xin, H., Wang, S., Chun, T., Xue, X., Long, W., Xue, R., &amp; Zhang, R. (</w:t>
      </w:r>
      <w:r>
        <w:rPr>
          <w:rFonts w:ascii="Arial" w:eastAsia="Arial" w:hAnsi="Arial" w:cs="Arial"/>
          <w:sz w:val="20"/>
          <w:szCs w:val="20"/>
        </w:rPr>
        <w:t xml:space="preserve">2023). Effective pathways for energy conservation and emission reduction in iron and steel industry towards peaking carbon emissions in China: Case study of Henan. </w:t>
      </w:r>
      <w:r>
        <w:rPr>
          <w:rFonts w:ascii="Arial" w:eastAsia="Arial" w:hAnsi="Arial" w:cs="Arial"/>
          <w:i/>
          <w:sz w:val="20"/>
          <w:szCs w:val="20"/>
        </w:rPr>
        <w:t>Journal of Cleaner Production</w:t>
      </w:r>
      <w:r>
        <w:rPr>
          <w:rFonts w:ascii="Arial" w:eastAsia="Arial" w:hAnsi="Arial" w:cs="Arial"/>
          <w:sz w:val="20"/>
          <w:szCs w:val="20"/>
        </w:rPr>
        <w:t xml:space="preserve">, </w:t>
      </w:r>
      <w:r>
        <w:rPr>
          <w:rFonts w:ascii="Arial" w:eastAsia="Arial" w:hAnsi="Arial" w:cs="Arial"/>
          <w:i/>
          <w:sz w:val="20"/>
          <w:szCs w:val="20"/>
        </w:rPr>
        <w:t>399</w:t>
      </w:r>
      <w:r>
        <w:rPr>
          <w:rFonts w:ascii="Arial" w:eastAsia="Arial" w:hAnsi="Arial" w:cs="Arial"/>
          <w:sz w:val="20"/>
          <w:szCs w:val="20"/>
        </w:rPr>
        <w:t>, 136637.</w:t>
      </w:r>
    </w:p>
    <w:p w14:paraId="4E560FD7"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 xml:space="preserve">Liu, W., Zuo, H., Wang, J., Xue, Q., Ren, B., &amp; Yang, F. (2021). The production and application of hydrogen in steel industry. </w:t>
      </w:r>
      <w:r>
        <w:rPr>
          <w:rFonts w:ascii="Arial" w:eastAsia="Arial" w:hAnsi="Arial" w:cs="Arial"/>
          <w:i/>
          <w:sz w:val="20"/>
          <w:szCs w:val="20"/>
        </w:rPr>
        <w:t>International Journal of Hydrogen Energy</w:t>
      </w:r>
      <w:r>
        <w:rPr>
          <w:rFonts w:ascii="Arial" w:eastAsia="Arial" w:hAnsi="Arial" w:cs="Arial"/>
          <w:sz w:val="20"/>
          <w:szCs w:val="20"/>
        </w:rPr>
        <w:t xml:space="preserve">, </w:t>
      </w:r>
      <w:r>
        <w:rPr>
          <w:rFonts w:ascii="Arial" w:eastAsia="Arial" w:hAnsi="Arial" w:cs="Arial"/>
          <w:i/>
          <w:sz w:val="20"/>
          <w:szCs w:val="20"/>
        </w:rPr>
        <w:t>46</w:t>
      </w:r>
      <w:r>
        <w:rPr>
          <w:rFonts w:ascii="Arial" w:eastAsia="Arial" w:hAnsi="Arial" w:cs="Arial"/>
          <w:sz w:val="20"/>
          <w:szCs w:val="20"/>
        </w:rPr>
        <w:t>(17), 10548-10569.</w:t>
      </w:r>
    </w:p>
    <w:p w14:paraId="56AA9820"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Szekely, J. (1996). Steelmaking and industrial ecology–is steel a </w:t>
      </w:r>
      <w:r>
        <w:rPr>
          <w:rFonts w:ascii="Arial" w:eastAsia="Arial" w:hAnsi="Arial" w:cs="Arial"/>
          <w:sz w:val="20"/>
          <w:szCs w:val="20"/>
        </w:rPr>
        <w:t xml:space="preserve">green </w:t>
      </w:r>
      <w:proofErr w:type="gramStart"/>
      <w:r>
        <w:rPr>
          <w:rFonts w:ascii="Arial" w:eastAsia="Arial" w:hAnsi="Arial" w:cs="Arial"/>
          <w:sz w:val="20"/>
          <w:szCs w:val="20"/>
        </w:rPr>
        <w:t>material?.</w:t>
      </w:r>
      <w:proofErr w:type="gramEnd"/>
      <w:r>
        <w:rPr>
          <w:rFonts w:ascii="Arial" w:eastAsia="Arial" w:hAnsi="Arial" w:cs="Arial"/>
          <w:sz w:val="20"/>
          <w:szCs w:val="20"/>
        </w:rPr>
        <w:t xml:space="preserve"> </w:t>
      </w:r>
      <w:r>
        <w:rPr>
          <w:rFonts w:ascii="Arial" w:eastAsia="Arial" w:hAnsi="Arial" w:cs="Arial"/>
          <w:i/>
          <w:sz w:val="20"/>
          <w:szCs w:val="20"/>
        </w:rPr>
        <w:t>ISIJ international</w:t>
      </w:r>
      <w:r>
        <w:rPr>
          <w:rFonts w:ascii="Arial" w:eastAsia="Arial" w:hAnsi="Arial" w:cs="Arial"/>
          <w:sz w:val="20"/>
          <w:szCs w:val="20"/>
        </w:rPr>
        <w:t xml:space="preserve">, </w:t>
      </w:r>
      <w:r>
        <w:rPr>
          <w:rFonts w:ascii="Arial" w:eastAsia="Arial" w:hAnsi="Arial" w:cs="Arial"/>
          <w:i/>
          <w:sz w:val="20"/>
          <w:szCs w:val="20"/>
        </w:rPr>
        <w:t>36</w:t>
      </w:r>
      <w:r>
        <w:rPr>
          <w:rFonts w:ascii="Arial" w:eastAsia="Arial" w:hAnsi="Arial" w:cs="Arial"/>
          <w:sz w:val="20"/>
          <w:szCs w:val="20"/>
        </w:rPr>
        <w:t>(1), 121-132.</w:t>
      </w:r>
    </w:p>
    <w:p w14:paraId="699AE87A"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Javad, M. O. M., Darvishi, M., &amp; Javad, A. O. M. (2020). Green supplier selection for the steel industry using BWM and fuzzy TOPSIS: A case study of </w:t>
      </w:r>
      <w:proofErr w:type="spellStart"/>
      <w:r>
        <w:rPr>
          <w:rFonts w:ascii="Arial" w:eastAsia="Arial" w:hAnsi="Arial" w:cs="Arial"/>
          <w:sz w:val="20"/>
          <w:szCs w:val="20"/>
        </w:rPr>
        <w:t>Khouzestan</w:t>
      </w:r>
      <w:proofErr w:type="spellEnd"/>
      <w:r>
        <w:rPr>
          <w:rFonts w:ascii="Arial" w:eastAsia="Arial" w:hAnsi="Arial" w:cs="Arial"/>
          <w:sz w:val="20"/>
          <w:szCs w:val="20"/>
        </w:rPr>
        <w:t xml:space="preserve"> steel company. </w:t>
      </w:r>
      <w:r>
        <w:rPr>
          <w:rFonts w:ascii="Arial" w:eastAsia="Arial" w:hAnsi="Arial" w:cs="Arial"/>
          <w:i/>
          <w:sz w:val="20"/>
          <w:szCs w:val="20"/>
        </w:rPr>
        <w:t>Sustainable Futures</w:t>
      </w:r>
      <w:r>
        <w:rPr>
          <w:rFonts w:ascii="Arial" w:eastAsia="Arial" w:hAnsi="Arial" w:cs="Arial"/>
          <w:sz w:val="20"/>
          <w:szCs w:val="20"/>
        </w:rPr>
        <w:t xml:space="preserve">, </w:t>
      </w:r>
      <w:r>
        <w:rPr>
          <w:rFonts w:ascii="Arial" w:eastAsia="Arial" w:hAnsi="Arial" w:cs="Arial"/>
          <w:i/>
          <w:sz w:val="20"/>
          <w:szCs w:val="20"/>
        </w:rPr>
        <w:t>2</w:t>
      </w:r>
      <w:r>
        <w:rPr>
          <w:rFonts w:ascii="Arial" w:eastAsia="Arial" w:hAnsi="Arial" w:cs="Arial"/>
          <w:sz w:val="20"/>
          <w:szCs w:val="20"/>
        </w:rPr>
        <w:t>, 1000</w:t>
      </w:r>
      <w:r>
        <w:rPr>
          <w:rFonts w:ascii="Arial" w:eastAsia="Arial" w:hAnsi="Arial" w:cs="Arial"/>
          <w:sz w:val="20"/>
          <w:szCs w:val="20"/>
        </w:rPr>
        <w:t>12.</w:t>
      </w:r>
    </w:p>
    <w:p w14:paraId="76D57CE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Nwachukwu, C. M. (2021). </w:t>
      </w:r>
      <w:proofErr w:type="spellStart"/>
      <w:r>
        <w:rPr>
          <w:rFonts w:ascii="Arial" w:eastAsia="Arial" w:hAnsi="Arial" w:cs="Arial"/>
          <w:i/>
          <w:sz w:val="20"/>
          <w:szCs w:val="20"/>
        </w:rPr>
        <w:t>Utilising</w:t>
      </w:r>
      <w:proofErr w:type="spellEnd"/>
      <w:r>
        <w:rPr>
          <w:rFonts w:ascii="Arial" w:eastAsia="Arial" w:hAnsi="Arial" w:cs="Arial"/>
          <w:i/>
          <w:sz w:val="20"/>
          <w:szCs w:val="20"/>
        </w:rPr>
        <w:t xml:space="preserve"> forest biomass in iron and steel production: investigating supply chain and competition aspects</w:t>
      </w:r>
      <w:r>
        <w:rPr>
          <w:rFonts w:ascii="Arial" w:eastAsia="Arial" w:hAnsi="Arial" w:cs="Arial"/>
          <w:sz w:val="20"/>
          <w:szCs w:val="20"/>
        </w:rPr>
        <w:t xml:space="preserve"> (Doctoral dissertation, </w:t>
      </w:r>
      <w:proofErr w:type="spellStart"/>
      <w:r>
        <w:rPr>
          <w:rFonts w:ascii="Arial" w:eastAsia="Arial" w:hAnsi="Arial" w:cs="Arial"/>
          <w:sz w:val="20"/>
          <w:szCs w:val="20"/>
        </w:rPr>
        <w:t>Luleå</w:t>
      </w:r>
      <w:proofErr w:type="spellEnd"/>
      <w:r>
        <w:rPr>
          <w:rFonts w:ascii="Arial" w:eastAsia="Arial" w:hAnsi="Arial" w:cs="Arial"/>
          <w:sz w:val="20"/>
          <w:szCs w:val="20"/>
        </w:rPr>
        <w:t xml:space="preserve"> University of Technology).</w:t>
      </w:r>
    </w:p>
    <w:p w14:paraId="7725183B" w14:textId="77777777" w:rsidR="00D41ED0" w:rsidRDefault="00D41ED0">
      <w:pPr>
        <w:spacing w:before="240" w:after="240" w:line="360" w:lineRule="auto"/>
        <w:jc w:val="both"/>
        <w:rPr>
          <w:rFonts w:ascii="Arial" w:eastAsia="Arial" w:hAnsi="Arial" w:cs="Arial"/>
          <w:sz w:val="20"/>
          <w:szCs w:val="20"/>
        </w:rPr>
      </w:pPr>
    </w:p>
    <w:p w14:paraId="651F94B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Buysse, K., &amp; Verbeke, A. (2003). Proactive environmental strat</w:t>
      </w:r>
      <w:r>
        <w:rPr>
          <w:rFonts w:ascii="Arial" w:eastAsia="Arial" w:hAnsi="Arial" w:cs="Arial"/>
          <w:sz w:val="20"/>
          <w:szCs w:val="20"/>
        </w:rPr>
        <w:t xml:space="preserve">egies: A stakeholder management perspective. </w:t>
      </w:r>
      <w:r>
        <w:rPr>
          <w:rFonts w:ascii="Arial" w:eastAsia="Arial" w:hAnsi="Arial" w:cs="Arial"/>
          <w:i/>
          <w:sz w:val="20"/>
          <w:szCs w:val="20"/>
        </w:rPr>
        <w:t>Strategic management journal</w:t>
      </w:r>
      <w:r>
        <w:rPr>
          <w:rFonts w:ascii="Arial" w:eastAsia="Arial" w:hAnsi="Arial" w:cs="Arial"/>
          <w:sz w:val="20"/>
          <w:szCs w:val="20"/>
        </w:rPr>
        <w:t xml:space="preserve">, </w:t>
      </w:r>
      <w:r>
        <w:rPr>
          <w:rFonts w:ascii="Arial" w:eastAsia="Arial" w:hAnsi="Arial" w:cs="Arial"/>
          <w:i/>
          <w:sz w:val="20"/>
          <w:szCs w:val="20"/>
        </w:rPr>
        <w:t>24</w:t>
      </w:r>
      <w:r>
        <w:rPr>
          <w:rFonts w:ascii="Arial" w:eastAsia="Arial" w:hAnsi="Arial" w:cs="Arial"/>
          <w:sz w:val="20"/>
          <w:szCs w:val="20"/>
        </w:rPr>
        <w:t>(5), 453-470.</w:t>
      </w:r>
    </w:p>
    <w:p w14:paraId="0799A92C"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Van Verbeke, W. (2013). 1 Improving smallholder canal irrigation in Vhembe: Setting the research agenda. </w:t>
      </w:r>
      <w:r>
        <w:rPr>
          <w:rFonts w:ascii="Arial" w:eastAsia="Arial" w:hAnsi="Arial" w:cs="Arial"/>
          <w:i/>
          <w:sz w:val="20"/>
          <w:szCs w:val="20"/>
        </w:rPr>
        <w:t>Obtainable from</w:t>
      </w:r>
      <w:r>
        <w:rPr>
          <w:rFonts w:ascii="Arial" w:eastAsia="Arial" w:hAnsi="Arial" w:cs="Arial"/>
          <w:sz w:val="20"/>
          <w:szCs w:val="20"/>
        </w:rPr>
        <w:t>, 1.</w:t>
      </w:r>
    </w:p>
    <w:p w14:paraId="2CFBAB4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Henriques, I., &amp; </w:t>
      </w:r>
      <w:proofErr w:type="spellStart"/>
      <w:r>
        <w:rPr>
          <w:rFonts w:ascii="Arial" w:eastAsia="Arial" w:hAnsi="Arial" w:cs="Arial"/>
          <w:sz w:val="20"/>
          <w:szCs w:val="20"/>
        </w:rPr>
        <w:t>Sadorsky</w:t>
      </w:r>
      <w:proofErr w:type="spellEnd"/>
      <w:r>
        <w:rPr>
          <w:rFonts w:ascii="Arial" w:eastAsia="Arial" w:hAnsi="Arial" w:cs="Arial"/>
          <w:sz w:val="20"/>
          <w:szCs w:val="20"/>
        </w:rPr>
        <w:t xml:space="preserve">, P. (1996). The determinants of an environmentally responsive firm: An empirical approach. </w:t>
      </w:r>
      <w:r>
        <w:rPr>
          <w:rFonts w:ascii="Arial" w:eastAsia="Arial" w:hAnsi="Arial" w:cs="Arial"/>
          <w:i/>
          <w:sz w:val="20"/>
          <w:szCs w:val="20"/>
        </w:rPr>
        <w:t>Journal of environmental economics and management</w:t>
      </w:r>
      <w:r>
        <w:rPr>
          <w:rFonts w:ascii="Arial" w:eastAsia="Arial" w:hAnsi="Arial" w:cs="Arial"/>
          <w:sz w:val="20"/>
          <w:szCs w:val="20"/>
        </w:rPr>
        <w:t xml:space="preserve">, </w:t>
      </w:r>
      <w:r>
        <w:rPr>
          <w:rFonts w:ascii="Arial" w:eastAsia="Arial" w:hAnsi="Arial" w:cs="Arial"/>
          <w:i/>
          <w:sz w:val="20"/>
          <w:szCs w:val="20"/>
        </w:rPr>
        <w:t>30</w:t>
      </w:r>
      <w:r>
        <w:rPr>
          <w:rFonts w:ascii="Arial" w:eastAsia="Arial" w:hAnsi="Arial" w:cs="Arial"/>
          <w:sz w:val="20"/>
          <w:szCs w:val="20"/>
        </w:rPr>
        <w:t>(3), 381-395.</w:t>
      </w:r>
    </w:p>
    <w:p w14:paraId="4DE71976"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Lee, J. W., Kim, Y. M., &amp; Kim, Y. E. (2018). Antecedents of adopting corporate environmental resp</w:t>
      </w:r>
      <w:r>
        <w:rPr>
          <w:rFonts w:ascii="Arial" w:eastAsia="Arial" w:hAnsi="Arial" w:cs="Arial"/>
          <w:sz w:val="20"/>
          <w:szCs w:val="20"/>
        </w:rPr>
        <w:t xml:space="preserve">onsibility and green practices. </w:t>
      </w:r>
      <w:r>
        <w:rPr>
          <w:rFonts w:ascii="Arial" w:eastAsia="Arial" w:hAnsi="Arial" w:cs="Arial"/>
          <w:i/>
          <w:sz w:val="20"/>
          <w:szCs w:val="20"/>
        </w:rPr>
        <w:t>Journal of Business Ethics</w:t>
      </w:r>
      <w:r>
        <w:rPr>
          <w:rFonts w:ascii="Arial" w:eastAsia="Arial" w:hAnsi="Arial" w:cs="Arial"/>
          <w:sz w:val="20"/>
          <w:szCs w:val="20"/>
        </w:rPr>
        <w:t xml:space="preserve">, </w:t>
      </w:r>
      <w:r>
        <w:rPr>
          <w:rFonts w:ascii="Arial" w:eastAsia="Arial" w:hAnsi="Arial" w:cs="Arial"/>
          <w:i/>
          <w:sz w:val="20"/>
          <w:szCs w:val="20"/>
        </w:rPr>
        <w:t>148</w:t>
      </w:r>
      <w:r>
        <w:rPr>
          <w:rFonts w:ascii="Arial" w:eastAsia="Arial" w:hAnsi="Arial" w:cs="Arial"/>
          <w:sz w:val="20"/>
          <w:szCs w:val="20"/>
        </w:rPr>
        <w:t>, 397-409.</w:t>
      </w:r>
    </w:p>
    <w:p w14:paraId="35C8AD11"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Kelly, J. G. (2006). </w:t>
      </w:r>
      <w:r>
        <w:rPr>
          <w:rFonts w:ascii="Arial" w:eastAsia="Arial" w:hAnsi="Arial" w:cs="Arial"/>
          <w:i/>
          <w:sz w:val="20"/>
          <w:szCs w:val="20"/>
        </w:rPr>
        <w:t>Becoming ecological: An expedition into community psychology</w:t>
      </w:r>
      <w:r>
        <w:rPr>
          <w:rFonts w:ascii="Arial" w:eastAsia="Arial" w:hAnsi="Arial" w:cs="Arial"/>
          <w:sz w:val="20"/>
          <w:szCs w:val="20"/>
        </w:rPr>
        <w:t>. Oxford University Press.</w:t>
      </w:r>
    </w:p>
    <w:p w14:paraId="6EA43FE9"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Saygin</w:t>
      </w:r>
      <w:proofErr w:type="spellEnd"/>
      <w:r>
        <w:rPr>
          <w:rFonts w:ascii="Arial" w:eastAsia="Arial" w:hAnsi="Arial" w:cs="Arial"/>
          <w:sz w:val="20"/>
          <w:szCs w:val="20"/>
        </w:rPr>
        <w:t>, D., Van den Broek, M., Ramírez, A., Patel, M. K., &amp; Worrell, E. (2</w:t>
      </w:r>
      <w:r>
        <w:rPr>
          <w:rFonts w:ascii="Arial" w:eastAsia="Arial" w:hAnsi="Arial" w:cs="Arial"/>
          <w:sz w:val="20"/>
          <w:szCs w:val="20"/>
        </w:rPr>
        <w:t xml:space="preserve">013). Modelling the future CO2 abatement potentials of energy efficiency and CCS: The case of the Dutch industry. </w:t>
      </w:r>
      <w:r>
        <w:rPr>
          <w:rFonts w:ascii="Arial" w:eastAsia="Arial" w:hAnsi="Arial" w:cs="Arial"/>
          <w:i/>
          <w:sz w:val="20"/>
          <w:szCs w:val="20"/>
        </w:rPr>
        <w:t>International Journal of Greenhouse Gas Control</w:t>
      </w:r>
      <w:r>
        <w:rPr>
          <w:rFonts w:ascii="Arial" w:eastAsia="Arial" w:hAnsi="Arial" w:cs="Arial"/>
          <w:sz w:val="20"/>
          <w:szCs w:val="20"/>
        </w:rPr>
        <w:t xml:space="preserve">, </w:t>
      </w:r>
      <w:r>
        <w:rPr>
          <w:rFonts w:ascii="Arial" w:eastAsia="Arial" w:hAnsi="Arial" w:cs="Arial"/>
          <w:i/>
          <w:sz w:val="20"/>
          <w:szCs w:val="20"/>
        </w:rPr>
        <w:t>18</w:t>
      </w:r>
      <w:r>
        <w:rPr>
          <w:rFonts w:ascii="Arial" w:eastAsia="Arial" w:hAnsi="Arial" w:cs="Arial"/>
          <w:sz w:val="20"/>
          <w:szCs w:val="20"/>
        </w:rPr>
        <w:t>, 23-37.</w:t>
      </w:r>
    </w:p>
    <w:p w14:paraId="2E34CC9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Joo, Y. J., Kim, C. S., &amp; Yoo, S. H. (2015). Energy consumption, CO2 emission, and</w:t>
      </w:r>
      <w:r>
        <w:rPr>
          <w:rFonts w:ascii="Arial" w:eastAsia="Arial" w:hAnsi="Arial" w:cs="Arial"/>
          <w:sz w:val="20"/>
          <w:szCs w:val="20"/>
        </w:rPr>
        <w:t xml:space="preserve"> economic growth: evidence from Chile. </w:t>
      </w:r>
      <w:r>
        <w:rPr>
          <w:rFonts w:ascii="Arial" w:eastAsia="Arial" w:hAnsi="Arial" w:cs="Arial"/>
          <w:i/>
          <w:sz w:val="20"/>
          <w:szCs w:val="20"/>
        </w:rPr>
        <w:t>International journal of green energy</w:t>
      </w:r>
      <w:r>
        <w:rPr>
          <w:rFonts w:ascii="Arial" w:eastAsia="Arial" w:hAnsi="Arial" w:cs="Arial"/>
          <w:sz w:val="20"/>
          <w:szCs w:val="20"/>
        </w:rPr>
        <w:t xml:space="preserve">, </w:t>
      </w:r>
      <w:r>
        <w:rPr>
          <w:rFonts w:ascii="Arial" w:eastAsia="Arial" w:hAnsi="Arial" w:cs="Arial"/>
          <w:i/>
          <w:sz w:val="20"/>
          <w:szCs w:val="20"/>
        </w:rPr>
        <w:t>12</w:t>
      </w:r>
      <w:r>
        <w:rPr>
          <w:rFonts w:ascii="Arial" w:eastAsia="Arial" w:hAnsi="Arial" w:cs="Arial"/>
          <w:sz w:val="20"/>
          <w:szCs w:val="20"/>
        </w:rPr>
        <w:t>(5), 543-550.</w:t>
      </w:r>
    </w:p>
    <w:p w14:paraId="3A98F1DA"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Kiron, K. R., &amp; Kannan, K. (2018). Innovation capability for sustainable development of SMEs: an interpretive structural modelling methodology for </w:t>
      </w:r>
      <w:proofErr w:type="spellStart"/>
      <w:r>
        <w:rPr>
          <w:rFonts w:ascii="Arial" w:eastAsia="Arial" w:hAnsi="Arial" w:cs="Arial"/>
          <w:sz w:val="20"/>
          <w:szCs w:val="20"/>
        </w:rPr>
        <w:t>analysing</w:t>
      </w:r>
      <w:proofErr w:type="spellEnd"/>
      <w:r>
        <w:rPr>
          <w:rFonts w:ascii="Arial" w:eastAsia="Arial" w:hAnsi="Arial" w:cs="Arial"/>
          <w:sz w:val="20"/>
          <w:szCs w:val="20"/>
        </w:rPr>
        <w:t xml:space="preserve"> the i</w:t>
      </w:r>
      <w:r>
        <w:rPr>
          <w:rFonts w:ascii="Arial" w:eastAsia="Arial" w:hAnsi="Arial" w:cs="Arial"/>
          <w:sz w:val="20"/>
          <w:szCs w:val="20"/>
        </w:rPr>
        <w:t xml:space="preserve">nteractions among factors. </w:t>
      </w:r>
      <w:r>
        <w:rPr>
          <w:rFonts w:ascii="Arial" w:eastAsia="Arial" w:hAnsi="Arial" w:cs="Arial"/>
          <w:i/>
          <w:sz w:val="20"/>
          <w:szCs w:val="20"/>
        </w:rPr>
        <w:t>International Journal of Business Innovation and Research</w:t>
      </w:r>
      <w:r>
        <w:rPr>
          <w:rFonts w:ascii="Arial" w:eastAsia="Arial" w:hAnsi="Arial" w:cs="Arial"/>
          <w:sz w:val="20"/>
          <w:szCs w:val="20"/>
        </w:rPr>
        <w:t xml:space="preserve">, </w:t>
      </w:r>
      <w:r>
        <w:rPr>
          <w:rFonts w:ascii="Arial" w:eastAsia="Arial" w:hAnsi="Arial" w:cs="Arial"/>
          <w:i/>
          <w:sz w:val="20"/>
          <w:szCs w:val="20"/>
        </w:rPr>
        <w:t>15</w:t>
      </w:r>
      <w:r>
        <w:rPr>
          <w:rFonts w:ascii="Arial" w:eastAsia="Arial" w:hAnsi="Arial" w:cs="Arial"/>
          <w:sz w:val="20"/>
          <w:szCs w:val="20"/>
        </w:rPr>
        <w:t>(4), 514-535.</w:t>
      </w:r>
    </w:p>
    <w:p w14:paraId="188318D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 xml:space="preserve">Dornfeld, D. A. (2014). Moving towards green and sustainable manufacturing. </w:t>
      </w:r>
      <w:r>
        <w:rPr>
          <w:rFonts w:ascii="Arial" w:eastAsia="Arial" w:hAnsi="Arial" w:cs="Arial"/>
          <w:i/>
          <w:sz w:val="20"/>
          <w:szCs w:val="20"/>
        </w:rPr>
        <w:t>International Journal of Precision Engineering and Manufacturing-Green Technol</w:t>
      </w:r>
      <w:r>
        <w:rPr>
          <w:rFonts w:ascii="Arial" w:eastAsia="Arial" w:hAnsi="Arial" w:cs="Arial"/>
          <w:i/>
          <w:sz w:val="20"/>
          <w:szCs w:val="20"/>
        </w:rPr>
        <w:t>ogy</w:t>
      </w:r>
      <w:r>
        <w:rPr>
          <w:rFonts w:ascii="Arial" w:eastAsia="Arial" w:hAnsi="Arial" w:cs="Arial"/>
          <w:sz w:val="20"/>
          <w:szCs w:val="20"/>
        </w:rPr>
        <w:t xml:space="preserve">, </w:t>
      </w:r>
      <w:r>
        <w:rPr>
          <w:rFonts w:ascii="Arial" w:eastAsia="Arial" w:hAnsi="Arial" w:cs="Arial"/>
          <w:i/>
          <w:sz w:val="20"/>
          <w:szCs w:val="20"/>
        </w:rPr>
        <w:t>1</w:t>
      </w:r>
      <w:r>
        <w:rPr>
          <w:rFonts w:ascii="Arial" w:eastAsia="Arial" w:hAnsi="Arial" w:cs="Arial"/>
          <w:sz w:val="20"/>
          <w:szCs w:val="20"/>
        </w:rPr>
        <w:t>, 63-66.</w:t>
      </w:r>
    </w:p>
    <w:p w14:paraId="785D492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Pei, Y., Zhu, Y., Liu, S., Wang, X., &amp; Cao, J. (2019). Environmental regulation and carbon emission: The mediation effect of technical efficiency. </w:t>
      </w:r>
      <w:r>
        <w:rPr>
          <w:rFonts w:ascii="Arial" w:eastAsia="Arial" w:hAnsi="Arial" w:cs="Arial"/>
          <w:i/>
          <w:sz w:val="20"/>
          <w:szCs w:val="20"/>
        </w:rPr>
        <w:t>Journal of Cleaner Production</w:t>
      </w:r>
      <w:r>
        <w:rPr>
          <w:rFonts w:ascii="Arial" w:eastAsia="Arial" w:hAnsi="Arial" w:cs="Arial"/>
          <w:sz w:val="20"/>
          <w:szCs w:val="20"/>
        </w:rPr>
        <w:t xml:space="preserve">, </w:t>
      </w:r>
      <w:r>
        <w:rPr>
          <w:rFonts w:ascii="Arial" w:eastAsia="Arial" w:hAnsi="Arial" w:cs="Arial"/>
          <w:i/>
          <w:sz w:val="20"/>
          <w:szCs w:val="20"/>
        </w:rPr>
        <w:t>236</w:t>
      </w:r>
      <w:r>
        <w:rPr>
          <w:rFonts w:ascii="Arial" w:eastAsia="Arial" w:hAnsi="Arial" w:cs="Arial"/>
          <w:sz w:val="20"/>
          <w:szCs w:val="20"/>
        </w:rPr>
        <w:t>, 117599.</w:t>
      </w:r>
    </w:p>
    <w:p w14:paraId="2DCCFEFE"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Rout, S. K., Gupta, M., &amp; Sahoo, M. (2022). The ro</w:t>
      </w:r>
      <w:r>
        <w:rPr>
          <w:rFonts w:ascii="Arial" w:eastAsia="Arial" w:hAnsi="Arial" w:cs="Arial"/>
          <w:sz w:val="20"/>
          <w:szCs w:val="20"/>
        </w:rPr>
        <w:t xml:space="preserve">le of technological innovation and diffusion, energy consumption and financial development in affecting ecological footprint in BRICS: an empirical analysis. </w:t>
      </w:r>
      <w:r>
        <w:rPr>
          <w:rFonts w:ascii="Arial" w:eastAsia="Arial" w:hAnsi="Arial" w:cs="Arial"/>
          <w:i/>
          <w:sz w:val="20"/>
          <w:szCs w:val="20"/>
        </w:rPr>
        <w:t>Environmental Science and Pollution Research</w:t>
      </w:r>
      <w:r>
        <w:rPr>
          <w:rFonts w:ascii="Arial" w:eastAsia="Arial" w:hAnsi="Arial" w:cs="Arial"/>
          <w:sz w:val="20"/>
          <w:szCs w:val="20"/>
        </w:rPr>
        <w:t>, 1-18.</w:t>
      </w:r>
    </w:p>
    <w:p w14:paraId="2C5F203B"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Haldar, A., &amp; Sethi, N. (2022). Environmental </w:t>
      </w:r>
      <w:r>
        <w:rPr>
          <w:rFonts w:ascii="Arial" w:eastAsia="Arial" w:hAnsi="Arial" w:cs="Arial"/>
          <w:sz w:val="20"/>
          <w:szCs w:val="20"/>
        </w:rPr>
        <w:t xml:space="preserve">effects of Information and Communication Technology-Exploring the roles of renewable energy, innovation, trade and financial development. </w:t>
      </w:r>
      <w:r>
        <w:rPr>
          <w:rFonts w:ascii="Arial" w:eastAsia="Arial" w:hAnsi="Arial" w:cs="Arial"/>
          <w:i/>
          <w:sz w:val="20"/>
          <w:szCs w:val="20"/>
        </w:rPr>
        <w:t>Renewable and Sustainable Energy Reviews</w:t>
      </w:r>
      <w:r>
        <w:rPr>
          <w:rFonts w:ascii="Arial" w:eastAsia="Arial" w:hAnsi="Arial" w:cs="Arial"/>
          <w:sz w:val="20"/>
          <w:szCs w:val="20"/>
        </w:rPr>
        <w:t xml:space="preserve">, </w:t>
      </w:r>
      <w:r>
        <w:rPr>
          <w:rFonts w:ascii="Arial" w:eastAsia="Arial" w:hAnsi="Arial" w:cs="Arial"/>
          <w:i/>
          <w:sz w:val="20"/>
          <w:szCs w:val="20"/>
        </w:rPr>
        <w:t>153</w:t>
      </w:r>
      <w:r>
        <w:rPr>
          <w:rFonts w:ascii="Arial" w:eastAsia="Arial" w:hAnsi="Arial" w:cs="Arial"/>
          <w:sz w:val="20"/>
          <w:szCs w:val="20"/>
        </w:rPr>
        <w:t>, 111754.</w:t>
      </w:r>
    </w:p>
    <w:p w14:paraId="5864359F" w14:textId="77777777" w:rsidR="00D41ED0" w:rsidRDefault="00CB0D2A">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Mäkitie</w:t>
      </w:r>
      <w:proofErr w:type="spellEnd"/>
      <w:r>
        <w:rPr>
          <w:rFonts w:ascii="Arial" w:eastAsia="Arial" w:hAnsi="Arial" w:cs="Arial"/>
          <w:sz w:val="20"/>
          <w:szCs w:val="20"/>
        </w:rPr>
        <w:t xml:space="preserve">, T., Hanson, J., Damman, S., &amp; </w:t>
      </w:r>
      <w:proofErr w:type="spellStart"/>
      <w:r>
        <w:rPr>
          <w:rFonts w:ascii="Arial" w:eastAsia="Arial" w:hAnsi="Arial" w:cs="Arial"/>
          <w:sz w:val="20"/>
          <w:szCs w:val="20"/>
        </w:rPr>
        <w:t>Wardeberg</w:t>
      </w:r>
      <w:proofErr w:type="spellEnd"/>
      <w:r>
        <w:rPr>
          <w:rFonts w:ascii="Arial" w:eastAsia="Arial" w:hAnsi="Arial" w:cs="Arial"/>
          <w:sz w:val="20"/>
          <w:szCs w:val="20"/>
        </w:rPr>
        <w:t xml:space="preserve">, M. (2023). Digital innovation's contribution to sustainability transitions. </w:t>
      </w:r>
      <w:r>
        <w:rPr>
          <w:rFonts w:ascii="Arial" w:eastAsia="Arial" w:hAnsi="Arial" w:cs="Arial"/>
          <w:i/>
          <w:sz w:val="20"/>
          <w:szCs w:val="20"/>
        </w:rPr>
        <w:t>Technology in Society</w:t>
      </w:r>
      <w:r>
        <w:rPr>
          <w:rFonts w:ascii="Arial" w:eastAsia="Arial" w:hAnsi="Arial" w:cs="Arial"/>
          <w:sz w:val="20"/>
          <w:szCs w:val="20"/>
        </w:rPr>
        <w:t xml:space="preserve">, </w:t>
      </w:r>
      <w:r>
        <w:rPr>
          <w:rFonts w:ascii="Arial" w:eastAsia="Arial" w:hAnsi="Arial" w:cs="Arial"/>
          <w:i/>
          <w:sz w:val="20"/>
          <w:szCs w:val="20"/>
        </w:rPr>
        <w:t>73</w:t>
      </w:r>
      <w:r>
        <w:rPr>
          <w:rFonts w:ascii="Arial" w:eastAsia="Arial" w:hAnsi="Arial" w:cs="Arial"/>
          <w:sz w:val="20"/>
          <w:szCs w:val="20"/>
        </w:rPr>
        <w:t>, 102255.</w:t>
      </w:r>
    </w:p>
    <w:p w14:paraId="176A0BD3"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 xml:space="preserve">Guo, M., &amp; Peng, F. (2023, May). A Survey of Green Development Level for Logistics Enterprises based on Likert Scale using the R Language. In </w:t>
      </w:r>
      <w:r>
        <w:rPr>
          <w:rFonts w:ascii="Arial" w:eastAsia="Arial" w:hAnsi="Arial" w:cs="Arial"/>
          <w:i/>
          <w:sz w:val="20"/>
          <w:szCs w:val="20"/>
        </w:rPr>
        <w:t>2</w:t>
      </w:r>
      <w:r>
        <w:rPr>
          <w:rFonts w:ascii="Arial" w:eastAsia="Arial" w:hAnsi="Arial" w:cs="Arial"/>
          <w:i/>
          <w:sz w:val="20"/>
          <w:szCs w:val="20"/>
        </w:rPr>
        <w:t>023 IEEE 3rd International Conference on Information Technology, Big Data and Artificial Intelligence (ICIBA)</w:t>
      </w:r>
      <w:r>
        <w:rPr>
          <w:rFonts w:ascii="Arial" w:eastAsia="Arial" w:hAnsi="Arial" w:cs="Arial"/>
          <w:sz w:val="20"/>
          <w:szCs w:val="20"/>
        </w:rPr>
        <w:t xml:space="preserve"> (Vol. 3, pp. 1156-1159). IEEE.</w:t>
      </w:r>
    </w:p>
    <w:p w14:paraId="5A54692E" w14:textId="77777777" w:rsidR="00D41ED0" w:rsidRDefault="00CB0D2A">
      <w:pPr>
        <w:spacing w:before="240" w:after="240" w:line="360" w:lineRule="auto"/>
        <w:jc w:val="both"/>
        <w:rPr>
          <w:rFonts w:ascii="Arial" w:eastAsia="Arial" w:hAnsi="Arial" w:cs="Arial"/>
          <w:sz w:val="20"/>
          <w:szCs w:val="20"/>
        </w:rPr>
      </w:pPr>
      <w:r>
        <w:rPr>
          <w:rFonts w:ascii="Arial" w:eastAsia="Arial" w:hAnsi="Arial" w:cs="Arial"/>
          <w:sz w:val="20"/>
          <w:szCs w:val="20"/>
        </w:rPr>
        <w:t>Jager, J., Putnick, D. L., &amp; Bornstein, M. H. (2017). II. More than just convenient: The scientific merits of homog</w:t>
      </w:r>
      <w:r>
        <w:rPr>
          <w:rFonts w:ascii="Arial" w:eastAsia="Arial" w:hAnsi="Arial" w:cs="Arial"/>
          <w:sz w:val="20"/>
          <w:szCs w:val="20"/>
        </w:rPr>
        <w:t xml:space="preserve">eneous convenience samples. </w:t>
      </w:r>
      <w:r>
        <w:rPr>
          <w:rFonts w:ascii="Arial" w:eastAsia="Arial" w:hAnsi="Arial" w:cs="Arial"/>
          <w:i/>
          <w:sz w:val="20"/>
          <w:szCs w:val="20"/>
        </w:rPr>
        <w:t>Monographs of the society for research in child development</w:t>
      </w:r>
      <w:r>
        <w:rPr>
          <w:rFonts w:ascii="Arial" w:eastAsia="Arial" w:hAnsi="Arial" w:cs="Arial"/>
          <w:sz w:val="20"/>
          <w:szCs w:val="20"/>
        </w:rPr>
        <w:t xml:space="preserve">, </w:t>
      </w:r>
      <w:r>
        <w:rPr>
          <w:rFonts w:ascii="Arial" w:eastAsia="Arial" w:hAnsi="Arial" w:cs="Arial"/>
          <w:i/>
          <w:sz w:val="20"/>
          <w:szCs w:val="20"/>
        </w:rPr>
        <w:t>82</w:t>
      </w:r>
      <w:r>
        <w:rPr>
          <w:rFonts w:ascii="Arial" w:eastAsia="Arial" w:hAnsi="Arial" w:cs="Arial"/>
          <w:sz w:val="20"/>
          <w:szCs w:val="20"/>
        </w:rPr>
        <w:t>(2), 13-30.</w:t>
      </w:r>
    </w:p>
    <w:p w14:paraId="7353E725" w14:textId="77777777" w:rsidR="00D41ED0" w:rsidRDefault="00D41ED0">
      <w:pPr>
        <w:spacing w:before="240" w:after="240" w:line="360" w:lineRule="auto"/>
        <w:jc w:val="both"/>
        <w:rPr>
          <w:rFonts w:ascii="Arial" w:eastAsia="Arial" w:hAnsi="Arial" w:cs="Arial"/>
          <w:sz w:val="20"/>
          <w:szCs w:val="20"/>
        </w:rPr>
      </w:pPr>
    </w:p>
    <w:p w14:paraId="74D763AF" w14:textId="77777777" w:rsidR="00D41ED0" w:rsidRDefault="00D41ED0">
      <w:pPr>
        <w:spacing w:before="240" w:after="240" w:line="360" w:lineRule="auto"/>
        <w:jc w:val="both"/>
        <w:rPr>
          <w:rFonts w:ascii="Arial" w:eastAsia="Arial" w:hAnsi="Arial" w:cs="Arial"/>
          <w:sz w:val="20"/>
          <w:szCs w:val="20"/>
        </w:rPr>
      </w:pPr>
    </w:p>
    <w:p w14:paraId="06182A7D" w14:textId="77777777" w:rsidR="00D41ED0" w:rsidRDefault="00D41ED0">
      <w:pPr>
        <w:spacing w:before="240" w:after="240" w:line="360" w:lineRule="auto"/>
        <w:ind w:left="1440" w:right="540"/>
        <w:jc w:val="both"/>
        <w:rPr>
          <w:rFonts w:ascii="Arial" w:eastAsia="Arial" w:hAnsi="Arial" w:cs="Arial"/>
          <w:sz w:val="20"/>
          <w:szCs w:val="20"/>
        </w:rPr>
      </w:pPr>
    </w:p>
    <w:p w14:paraId="68229EE7" w14:textId="77777777" w:rsidR="00D41ED0" w:rsidRDefault="00D41ED0">
      <w:pPr>
        <w:spacing w:before="240" w:after="240" w:line="360" w:lineRule="auto"/>
        <w:jc w:val="both"/>
        <w:rPr>
          <w:rFonts w:ascii="Arial" w:eastAsia="Arial" w:hAnsi="Arial" w:cs="Arial"/>
          <w:sz w:val="20"/>
          <w:szCs w:val="20"/>
        </w:rPr>
      </w:pPr>
    </w:p>
    <w:sectPr w:rsidR="00D41E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8FBF" w14:textId="77777777" w:rsidR="00CB0D2A" w:rsidRDefault="00CB0D2A">
      <w:pPr>
        <w:spacing w:after="0" w:line="240" w:lineRule="auto"/>
      </w:pPr>
      <w:r>
        <w:separator/>
      </w:r>
    </w:p>
  </w:endnote>
  <w:endnote w:type="continuationSeparator" w:id="0">
    <w:p w14:paraId="72A13F77" w14:textId="77777777" w:rsidR="00CB0D2A" w:rsidRDefault="00CB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0BCB" w14:textId="77777777" w:rsidR="00D41ED0" w:rsidRDefault="00D41ED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6BFC" w14:textId="77777777" w:rsidR="00D41ED0" w:rsidRDefault="00D41ED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CB2C" w14:textId="77777777" w:rsidR="00D41ED0" w:rsidRDefault="00D41ED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052B" w14:textId="77777777" w:rsidR="00CB0D2A" w:rsidRDefault="00CB0D2A">
      <w:pPr>
        <w:spacing w:after="0" w:line="240" w:lineRule="auto"/>
      </w:pPr>
      <w:r>
        <w:separator/>
      </w:r>
    </w:p>
  </w:footnote>
  <w:footnote w:type="continuationSeparator" w:id="0">
    <w:p w14:paraId="6FF5DD38" w14:textId="77777777" w:rsidR="00CB0D2A" w:rsidRDefault="00CB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7BD9" w14:textId="77777777" w:rsidR="00D41ED0" w:rsidRDefault="00CB0D2A">
    <w:pPr>
      <w:pBdr>
        <w:top w:val="nil"/>
        <w:left w:val="nil"/>
        <w:bottom w:val="nil"/>
        <w:right w:val="nil"/>
        <w:between w:val="nil"/>
      </w:pBdr>
      <w:tabs>
        <w:tab w:val="center" w:pos="4513"/>
        <w:tab w:val="right" w:pos="9026"/>
      </w:tabs>
      <w:spacing w:after="0" w:line="240" w:lineRule="auto"/>
      <w:rPr>
        <w:color w:val="000000"/>
      </w:rPr>
    </w:pPr>
    <w:r>
      <w:rPr>
        <w:color w:val="000000"/>
      </w:rPr>
      <w:pict w14:anchorId="04FEC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55.6pt;height:104.1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60CA" w14:textId="77777777" w:rsidR="00D41ED0" w:rsidRDefault="00CB0D2A">
    <w:pPr>
      <w:pBdr>
        <w:top w:val="nil"/>
        <w:left w:val="nil"/>
        <w:bottom w:val="nil"/>
        <w:right w:val="nil"/>
        <w:between w:val="nil"/>
      </w:pBdr>
      <w:tabs>
        <w:tab w:val="center" w:pos="4513"/>
        <w:tab w:val="right" w:pos="9026"/>
      </w:tabs>
      <w:spacing w:after="0" w:line="240" w:lineRule="auto"/>
      <w:rPr>
        <w:color w:val="000000"/>
      </w:rPr>
    </w:pPr>
    <w:r>
      <w:rPr>
        <w:color w:val="000000"/>
      </w:rPr>
      <w:pict w14:anchorId="3C6A3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5.6pt;height:104.1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A23C" w14:textId="77777777" w:rsidR="00D41ED0" w:rsidRDefault="00CB0D2A">
    <w:pPr>
      <w:pBdr>
        <w:top w:val="nil"/>
        <w:left w:val="nil"/>
        <w:bottom w:val="nil"/>
        <w:right w:val="nil"/>
        <w:between w:val="nil"/>
      </w:pBdr>
      <w:tabs>
        <w:tab w:val="center" w:pos="4513"/>
        <w:tab w:val="right" w:pos="9026"/>
      </w:tabs>
      <w:spacing w:after="0" w:line="240" w:lineRule="auto"/>
      <w:rPr>
        <w:color w:val="000000"/>
      </w:rPr>
    </w:pPr>
    <w:r>
      <w:rPr>
        <w:color w:val="000000"/>
      </w:rPr>
      <w:pict w14:anchorId="5295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5.6pt;height:104.1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93CCB"/>
    <w:multiLevelType w:val="multilevel"/>
    <w:tmpl w:val="EB7A3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D0"/>
    <w:rsid w:val="000B07B6"/>
    <w:rsid w:val="0011134D"/>
    <w:rsid w:val="007F708F"/>
    <w:rsid w:val="009D4653"/>
    <w:rsid w:val="00A93377"/>
    <w:rsid w:val="00BB044A"/>
    <w:rsid w:val="00CB0D2A"/>
    <w:rsid w:val="00CC20A0"/>
    <w:rsid w:val="00D41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21EC9"/>
  <w15:docId w15:val="{01FD1260-472E-4A0A-BAF8-55894B14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6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ListParagraph">
    <w:name w:val="List Paragraph"/>
    <w:basedOn w:val="Normal"/>
    <w:uiPriority w:val="34"/>
    <w:qFormat/>
    <w:rsid w:val="00FE31CF"/>
    <w:pPr>
      <w:ind w:left="720"/>
      <w:contextualSpacing/>
    </w:pPr>
  </w:style>
  <w:style w:type="character" w:styleId="Hyperlink">
    <w:name w:val="Hyperlink"/>
    <w:basedOn w:val="DefaultParagraphFont"/>
    <w:uiPriority w:val="99"/>
    <w:unhideWhenUsed/>
    <w:rsid w:val="00DF205B"/>
    <w:rPr>
      <w:color w:val="0000FF"/>
      <w:u w:val="single"/>
    </w:rPr>
  </w:style>
  <w:style w:type="paragraph" w:styleId="Header">
    <w:name w:val="header"/>
    <w:basedOn w:val="Normal"/>
    <w:link w:val="HeaderChar"/>
    <w:uiPriority w:val="99"/>
    <w:unhideWhenUsed/>
    <w:rsid w:val="007B6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AF9"/>
  </w:style>
  <w:style w:type="paragraph" w:styleId="Footer">
    <w:name w:val="footer"/>
    <w:basedOn w:val="Normal"/>
    <w:link w:val="FooterChar"/>
    <w:uiPriority w:val="99"/>
    <w:unhideWhenUsed/>
    <w:rsid w:val="007B6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AF9"/>
  </w:style>
  <w:style w:type="table" w:styleId="TableGrid">
    <w:name w:val="Table Grid"/>
    <w:basedOn w:val="TableNormal"/>
    <w:uiPriority w:val="59"/>
    <w:rsid w:val="0090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2B3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3A2B3E"/>
    <w:rPr>
      <w:b/>
      <w:bCs/>
    </w:rPr>
  </w:style>
  <w:style w:type="character" w:customStyle="1" w:styleId="line-clamp-1">
    <w:name w:val="line-clamp-1"/>
    <w:basedOn w:val="DefaultParagraphFont"/>
    <w:rsid w:val="00AF3756"/>
  </w:style>
  <w:style w:type="character" w:customStyle="1" w:styleId="Heading3Char">
    <w:name w:val="Heading 3 Char"/>
    <w:basedOn w:val="DefaultParagraphFont"/>
    <w:link w:val="Heading3"/>
    <w:uiPriority w:val="9"/>
    <w:rsid w:val="005D7AB3"/>
    <w:rPr>
      <w:rFonts w:ascii="Times New Roman" w:eastAsia="Times New Roman" w:hAnsi="Times New Roman" w:cs="Times New Roman"/>
      <w:b/>
      <w:bCs/>
      <w:kern w:val="0"/>
      <w:sz w:val="27"/>
      <w:szCs w:val="27"/>
      <w:lang w:val="en-IN" w:eastAsia="en-IN"/>
    </w:rPr>
  </w:style>
  <w:style w:type="character" w:customStyle="1" w:styleId="Heading4Char">
    <w:name w:val="Heading 4 Char"/>
    <w:basedOn w:val="DefaultParagraphFont"/>
    <w:link w:val="Heading4"/>
    <w:uiPriority w:val="9"/>
    <w:rsid w:val="00E60234"/>
    <w:rPr>
      <w:rFonts w:asciiTheme="majorHAnsi" w:eastAsiaTheme="majorEastAsia" w:hAnsiTheme="majorHAnsi" w:cstheme="majorBidi"/>
      <w:i/>
      <w:iCs/>
      <w:color w:val="365F91" w:themeColor="accent1" w:themeShade="BF"/>
      <w:kern w:val="0"/>
    </w:rPr>
  </w:style>
  <w:style w:type="paragraph" w:styleId="z-TopofForm">
    <w:name w:val="HTML Top of Form"/>
    <w:basedOn w:val="Normal"/>
    <w:next w:val="Normal"/>
    <w:link w:val="z-TopofFormChar"/>
    <w:hidden/>
    <w:uiPriority w:val="99"/>
    <w:semiHidden/>
    <w:unhideWhenUsed/>
    <w:rsid w:val="00E60234"/>
    <w:pPr>
      <w:pBdr>
        <w:bottom w:val="single" w:sz="6" w:space="1" w:color="auto"/>
      </w:pBdr>
      <w:spacing w:after="0" w:line="240" w:lineRule="auto"/>
      <w:jc w:val="center"/>
    </w:pPr>
    <w:rPr>
      <w:rFonts w:ascii="Arial" w:eastAsia="Times New Roman" w:hAnsi="Arial" w:cs="Arial"/>
      <w:vanish/>
      <w:sz w:val="16"/>
      <w:szCs w:val="16"/>
      <w:lang w:val="en-IN"/>
    </w:rPr>
  </w:style>
  <w:style w:type="character" w:customStyle="1" w:styleId="z-TopofFormChar">
    <w:name w:val="z-Top of Form Char"/>
    <w:basedOn w:val="DefaultParagraphFont"/>
    <w:link w:val="z-TopofForm"/>
    <w:uiPriority w:val="99"/>
    <w:semiHidden/>
    <w:rsid w:val="00E60234"/>
    <w:rPr>
      <w:rFonts w:ascii="Arial" w:eastAsia="Times New Roman" w:hAnsi="Arial" w:cs="Arial"/>
      <w:vanish/>
      <w:kern w:val="0"/>
      <w:sz w:val="16"/>
      <w:szCs w:val="16"/>
      <w:lang w:val="en-IN" w:eastAsia="en-IN"/>
    </w:rPr>
  </w:style>
  <w:style w:type="paragraph" w:styleId="z-BottomofForm">
    <w:name w:val="HTML Bottom of Form"/>
    <w:basedOn w:val="Normal"/>
    <w:next w:val="Normal"/>
    <w:link w:val="z-BottomofFormChar"/>
    <w:hidden/>
    <w:uiPriority w:val="99"/>
    <w:semiHidden/>
    <w:unhideWhenUsed/>
    <w:rsid w:val="00E60234"/>
    <w:pPr>
      <w:pBdr>
        <w:top w:val="single" w:sz="6" w:space="1" w:color="auto"/>
      </w:pBdr>
      <w:spacing w:after="0" w:line="240" w:lineRule="auto"/>
      <w:jc w:val="center"/>
    </w:pPr>
    <w:rPr>
      <w:rFonts w:ascii="Arial" w:eastAsia="Times New Roman" w:hAnsi="Arial" w:cs="Arial"/>
      <w:vanish/>
      <w:sz w:val="16"/>
      <w:szCs w:val="16"/>
      <w:lang w:val="en-IN"/>
    </w:rPr>
  </w:style>
  <w:style w:type="character" w:customStyle="1" w:styleId="z-BottomofFormChar">
    <w:name w:val="z-Bottom of Form Char"/>
    <w:basedOn w:val="DefaultParagraphFont"/>
    <w:link w:val="z-BottomofForm"/>
    <w:uiPriority w:val="99"/>
    <w:semiHidden/>
    <w:rsid w:val="00E60234"/>
    <w:rPr>
      <w:rFonts w:ascii="Arial" w:eastAsia="Times New Roman" w:hAnsi="Arial" w:cs="Arial"/>
      <w:vanish/>
      <w:kern w:val="0"/>
      <w:sz w:val="16"/>
      <w:szCs w:val="16"/>
      <w:lang w:val="en-IN" w:eastAsia="en-IN"/>
    </w:rPr>
  </w:style>
  <w:style w:type="character" w:styleId="UnresolvedMention">
    <w:name w:val="Unresolved Mention"/>
    <w:basedOn w:val="DefaultParagraphFont"/>
    <w:uiPriority w:val="99"/>
    <w:semiHidden/>
    <w:unhideWhenUsed/>
    <w:rsid w:val="000E7F83"/>
    <w:rPr>
      <w:color w:val="605E5C"/>
      <w:shd w:val="clear" w:color="auto" w:fill="E1DFDD"/>
    </w:rPr>
  </w:style>
  <w:style w:type="character" w:styleId="CommentReference">
    <w:name w:val="annotation reference"/>
    <w:basedOn w:val="DefaultParagraphFont"/>
    <w:uiPriority w:val="99"/>
    <w:semiHidden/>
    <w:unhideWhenUsed/>
    <w:rsid w:val="00F10457"/>
    <w:rPr>
      <w:sz w:val="16"/>
      <w:szCs w:val="16"/>
    </w:rPr>
  </w:style>
  <w:style w:type="paragraph" w:styleId="CommentText">
    <w:name w:val="annotation text"/>
    <w:basedOn w:val="Normal"/>
    <w:link w:val="CommentTextChar"/>
    <w:uiPriority w:val="99"/>
    <w:semiHidden/>
    <w:unhideWhenUsed/>
    <w:rsid w:val="00F10457"/>
    <w:pPr>
      <w:spacing w:line="240" w:lineRule="auto"/>
    </w:pPr>
    <w:rPr>
      <w:sz w:val="20"/>
      <w:szCs w:val="20"/>
    </w:rPr>
  </w:style>
  <w:style w:type="character" w:customStyle="1" w:styleId="CommentTextChar">
    <w:name w:val="Comment Text Char"/>
    <w:basedOn w:val="DefaultParagraphFont"/>
    <w:link w:val="CommentText"/>
    <w:uiPriority w:val="99"/>
    <w:semiHidden/>
    <w:rsid w:val="00F10457"/>
    <w:rPr>
      <w:sz w:val="20"/>
      <w:szCs w:val="20"/>
    </w:rPr>
  </w:style>
  <w:style w:type="paragraph" w:styleId="CommentSubject">
    <w:name w:val="annotation subject"/>
    <w:basedOn w:val="CommentText"/>
    <w:next w:val="CommentText"/>
    <w:link w:val="CommentSubjectChar"/>
    <w:uiPriority w:val="99"/>
    <w:semiHidden/>
    <w:unhideWhenUsed/>
    <w:rsid w:val="00F10457"/>
    <w:rPr>
      <w:b/>
      <w:bCs/>
    </w:rPr>
  </w:style>
  <w:style w:type="character" w:customStyle="1" w:styleId="CommentSubjectChar">
    <w:name w:val="Comment Subject Char"/>
    <w:basedOn w:val="CommentTextChar"/>
    <w:link w:val="CommentSubject"/>
    <w:uiPriority w:val="99"/>
    <w:semiHidden/>
    <w:rsid w:val="00F10457"/>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OJXZkMRLaLsi0g5zMYTEPzdw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zIOaC4xMzExOXg4am1qZDcyDmguYjc1Yjg5bmtoY2V4Mg5oLnFvYWJsa2Vzdm1jcjIOaC45eDhjaW40dTVuNm4yDmguNnBhcmd6eTJiYzRhMg5oLnQ3cG16ZGtkOTJnNTIOaC4yNm96dTI3cG1qbmgyDmguajc3NXRqdHZyaDhlMg5oLjhwYXI3dnB0eTQ2NDIOaC45MGswODNzZjFwYmMyDmgubmZjdTFrb3Q0ZG43OAByITFVMEpVZlhFdERpSktYbEN5YXNjVTNiWlAtaUVKbDBI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8514</Words>
  <Characters>48534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LIPSA MOHANTY</dc:creator>
  <cp:lastModifiedBy>SDI 1183</cp:lastModifiedBy>
  <cp:revision>3</cp:revision>
  <dcterms:created xsi:type="dcterms:W3CDTF">2025-06-24T09:05:00Z</dcterms:created>
  <dcterms:modified xsi:type="dcterms:W3CDTF">2025-07-03T09:51:00Z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243b5e67-fa89-4eb2-b898-1356f7c0172a</vt:lpwstr>
  </property>
</Properties>
</file>