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444AC" w14:textId="532F3905" w:rsidR="00263B93" w:rsidRPr="00220EC7" w:rsidRDefault="00527BA6" w:rsidP="00220EC7">
      <w:pPr>
        <w:jc w:val="center"/>
        <w:rPr>
          <w:rFonts w:ascii="Arial" w:hAnsi="Arial" w:cs="Arial"/>
          <w:b/>
          <w:sz w:val="24"/>
          <w:szCs w:val="20"/>
        </w:rPr>
      </w:pPr>
      <w:bookmarkStart w:id="0" w:name="_GoBack"/>
      <w:bookmarkEnd w:id="0"/>
      <w:r w:rsidRPr="00220EC7">
        <w:rPr>
          <w:rFonts w:ascii="Arial" w:hAnsi="Arial" w:cs="Arial"/>
          <w:b/>
          <w:sz w:val="24"/>
          <w:szCs w:val="20"/>
        </w:rPr>
        <w:t xml:space="preserve">Computational Evaluation </w:t>
      </w:r>
      <w:r w:rsidR="00105A1D" w:rsidRPr="00220EC7">
        <w:rPr>
          <w:rFonts w:ascii="Arial" w:hAnsi="Arial" w:cs="Arial"/>
          <w:b/>
          <w:sz w:val="24"/>
          <w:szCs w:val="20"/>
        </w:rPr>
        <w:t>o</w:t>
      </w:r>
      <w:r w:rsidRPr="00220EC7">
        <w:rPr>
          <w:rFonts w:ascii="Arial" w:hAnsi="Arial" w:cs="Arial"/>
          <w:b/>
          <w:sz w:val="24"/>
          <w:szCs w:val="20"/>
        </w:rPr>
        <w:t xml:space="preserve">f Some Schiff-Bases </w:t>
      </w:r>
      <w:r w:rsidR="007814E6" w:rsidRPr="00220EC7">
        <w:rPr>
          <w:rFonts w:ascii="Arial" w:hAnsi="Arial" w:cs="Arial"/>
          <w:b/>
          <w:sz w:val="24"/>
          <w:szCs w:val="20"/>
        </w:rPr>
        <w:t>o</w:t>
      </w:r>
      <w:r w:rsidRPr="00220EC7">
        <w:rPr>
          <w:rFonts w:ascii="Arial" w:hAnsi="Arial" w:cs="Arial"/>
          <w:b/>
          <w:sz w:val="24"/>
          <w:szCs w:val="20"/>
        </w:rPr>
        <w:t xml:space="preserve">f Phenylisocytosine </w:t>
      </w:r>
      <w:r w:rsidR="001F44F2" w:rsidRPr="00220EC7">
        <w:rPr>
          <w:rFonts w:ascii="Arial" w:hAnsi="Arial" w:cs="Arial"/>
          <w:b/>
          <w:sz w:val="24"/>
          <w:szCs w:val="20"/>
        </w:rPr>
        <w:t>a</w:t>
      </w:r>
      <w:r w:rsidRPr="00220EC7">
        <w:rPr>
          <w:rFonts w:ascii="Arial" w:hAnsi="Arial" w:cs="Arial"/>
          <w:b/>
          <w:sz w:val="24"/>
          <w:szCs w:val="20"/>
        </w:rPr>
        <w:t xml:space="preserve">s Potent Inhibitors </w:t>
      </w:r>
      <w:r w:rsidR="001F44F2" w:rsidRPr="00220EC7">
        <w:rPr>
          <w:rFonts w:ascii="Arial" w:hAnsi="Arial" w:cs="Arial"/>
          <w:b/>
          <w:sz w:val="24"/>
          <w:szCs w:val="20"/>
        </w:rPr>
        <w:t>o</w:t>
      </w:r>
      <w:r w:rsidRPr="00220EC7">
        <w:rPr>
          <w:rFonts w:ascii="Arial" w:hAnsi="Arial" w:cs="Arial"/>
          <w:b/>
          <w:sz w:val="24"/>
          <w:szCs w:val="20"/>
        </w:rPr>
        <w:t xml:space="preserve">f </w:t>
      </w:r>
      <w:r w:rsidRPr="00220EC7">
        <w:rPr>
          <w:rFonts w:ascii="Arial" w:hAnsi="Arial" w:cs="Arial"/>
          <w:b/>
          <w:i/>
          <w:iCs/>
          <w:sz w:val="24"/>
          <w:szCs w:val="20"/>
        </w:rPr>
        <w:t xml:space="preserve">Plasmodium </w:t>
      </w:r>
      <w:r w:rsidR="001F44F2" w:rsidRPr="00220EC7">
        <w:rPr>
          <w:rFonts w:ascii="Arial" w:hAnsi="Arial" w:cs="Arial"/>
          <w:b/>
          <w:i/>
          <w:iCs/>
          <w:sz w:val="24"/>
          <w:szCs w:val="20"/>
        </w:rPr>
        <w:t>f</w:t>
      </w:r>
      <w:r w:rsidRPr="00220EC7">
        <w:rPr>
          <w:rFonts w:ascii="Arial" w:hAnsi="Arial" w:cs="Arial"/>
          <w:b/>
          <w:i/>
          <w:iCs/>
          <w:sz w:val="24"/>
          <w:szCs w:val="20"/>
        </w:rPr>
        <w:t>alciparum</w:t>
      </w:r>
      <w:r w:rsidRPr="00220EC7">
        <w:rPr>
          <w:rFonts w:ascii="Arial" w:hAnsi="Arial" w:cs="Arial"/>
          <w:b/>
          <w:sz w:val="24"/>
          <w:szCs w:val="20"/>
        </w:rPr>
        <w:t xml:space="preserve"> Transketolase </w:t>
      </w:r>
      <w:r w:rsidR="001F44F2" w:rsidRPr="00220EC7">
        <w:rPr>
          <w:rFonts w:ascii="Arial" w:hAnsi="Arial" w:cs="Arial"/>
          <w:b/>
          <w:sz w:val="24"/>
          <w:szCs w:val="20"/>
        </w:rPr>
        <w:t>i</w:t>
      </w:r>
      <w:r w:rsidRPr="00220EC7">
        <w:rPr>
          <w:rFonts w:ascii="Arial" w:hAnsi="Arial" w:cs="Arial"/>
          <w:b/>
          <w:sz w:val="24"/>
          <w:szCs w:val="20"/>
        </w:rPr>
        <w:t>n Anti-Malarial Drug Discovery</w:t>
      </w:r>
    </w:p>
    <w:p w14:paraId="3938FE39" w14:textId="77777777" w:rsidR="00263B93" w:rsidRDefault="00263B93" w:rsidP="00527E16">
      <w:pPr>
        <w:jc w:val="center"/>
        <w:rPr>
          <w:rFonts w:ascii="Arial" w:hAnsi="Arial" w:cs="Arial"/>
          <w:b/>
          <w:bCs/>
        </w:rPr>
      </w:pPr>
    </w:p>
    <w:p w14:paraId="3055DDD5" w14:textId="77777777" w:rsidR="00322064" w:rsidRDefault="00322064" w:rsidP="000D36CD">
      <w:pPr>
        <w:rPr>
          <w:rFonts w:ascii="Arial" w:hAnsi="Arial" w:cs="Arial"/>
        </w:rPr>
      </w:pPr>
    </w:p>
    <w:p w14:paraId="5E172876" w14:textId="77777777" w:rsidR="000016BB" w:rsidRPr="000016BB" w:rsidRDefault="000016BB" w:rsidP="000016BB">
      <w:pPr>
        <w:spacing w:line="360" w:lineRule="auto"/>
        <w:jc w:val="center"/>
        <w:rPr>
          <w:rFonts w:ascii="Arial" w:hAnsi="Arial" w:cs="Arial"/>
          <w:b/>
          <w:bCs/>
          <w:lang w:val="en-GB"/>
        </w:rPr>
      </w:pPr>
      <w:r w:rsidRPr="000016BB">
        <w:rPr>
          <w:rFonts w:ascii="Arial" w:hAnsi="Arial" w:cs="Arial"/>
          <w:b/>
          <w:bCs/>
          <w:lang w:val="en-GB"/>
        </w:rPr>
        <w:t>ABSTRACT</w:t>
      </w:r>
    </w:p>
    <w:p w14:paraId="397823AA" w14:textId="27ABA8B2"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Background: </w:t>
      </w:r>
      <w:r w:rsidR="00F5497F" w:rsidRPr="00F5497F">
        <w:rPr>
          <w:rFonts w:ascii="Arial" w:hAnsi="Arial" w:cs="Arial"/>
          <w:sz w:val="20"/>
          <w:szCs w:val="20"/>
        </w:rPr>
        <w:t xml:space="preserve">The increasing prevalence of drug-resistant </w:t>
      </w:r>
      <w:r w:rsidR="00F5497F" w:rsidRPr="00F5497F">
        <w:rPr>
          <w:rFonts w:ascii="Arial" w:hAnsi="Arial" w:cs="Arial"/>
          <w:i/>
          <w:iCs/>
          <w:sz w:val="20"/>
          <w:szCs w:val="20"/>
        </w:rPr>
        <w:t>Plasmodium falciparum</w:t>
      </w:r>
      <w:r w:rsidR="00F5497F" w:rsidRPr="00F5497F">
        <w:rPr>
          <w:rFonts w:ascii="Arial" w:hAnsi="Arial" w:cs="Arial"/>
          <w:sz w:val="20"/>
          <w:szCs w:val="20"/>
        </w:rPr>
        <w:t xml:space="preserve"> strains, particularly resistance to frontline therapies such as artemisinin and its derivatives, poses a significant challenge to malaria control and eradication efforts. This necessitates the development of novel antimalarial agents targeting alternative biochemical pathways</w:t>
      </w:r>
      <w:r w:rsidRPr="000016BB">
        <w:rPr>
          <w:rFonts w:ascii="Arial" w:hAnsi="Arial" w:cs="Arial"/>
          <w:sz w:val="20"/>
          <w:szCs w:val="20"/>
          <w:lang w:val="en-GB"/>
        </w:rPr>
        <w:t>.</w:t>
      </w:r>
    </w:p>
    <w:p w14:paraId="50FD00B5"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Aim: </w:t>
      </w:r>
      <w:r w:rsidRPr="000016BB">
        <w:rPr>
          <w:rFonts w:ascii="Arial" w:hAnsi="Arial" w:cs="Arial"/>
          <w:sz w:val="20"/>
          <w:szCs w:val="20"/>
          <w:lang w:val="en-GB"/>
        </w:rPr>
        <w:t xml:space="preserve">This study investigated six Schiff bases of phenylisocytosine as potential inhibitors of </w:t>
      </w:r>
      <w:r w:rsidRPr="000016BB">
        <w:rPr>
          <w:rFonts w:ascii="Arial" w:hAnsi="Arial" w:cs="Arial"/>
          <w:i/>
          <w:iCs/>
          <w:sz w:val="20"/>
          <w:szCs w:val="20"/>
          <w:lang w:val="en-GB"/>
        </w:rPr>
        <w:t>Plasmodium falciparum</w:t>
      </w:r>
      <w:r w:rsidRPr="000016BB">
        <w:rPr>
          <w:rFonts w:ascii="Arial" w:hAnsi="Arial" w:cs="Arial"/>
          <w:sz w:val="20"/>
          <w:szCs w:val="20"/>
          <w:lang w:val="en-GB"/>
        </w:rPr>
        <w:t xml:space="preserve"> transketolase, a key enzyme in the pentose phosphate pathway critical for parasite survival.</w:t>
      </w:r>
    </w:p>
    <w:p w14:paraId="1510F254" w14:textId="7F508B6F"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Methodology: </w:t>
      </w:r>
      <w:r w:rsidRPr="000016BB">
        <w:rPr>
          <w:rFonts w:ascii="Arial" w:hAnsi="Arial" w:cs="Arial"/>
          <w:sz w:val="20"/>
          <w:szCs w:val="20"/>
          <w:lang w:val="en-GB"/>
        </w:rPr>
        <w:t xml:space="preserve">An integrated computer-aided drug design comprising ligand-based and structure-based approaches was employed. Molecular docking analyses </w:t>
      </w:r>
      <w:r w:rsidR="006F6B10">
        <w:rPr>
          <w:rFonts w:ascii="Arial" w:hAnsi="Arial" w:cs="Arial"/>
          <w:sz w:val="20"/>
          <w:szCs w:val="20"/>
          <w:lang w:val="en-GB"/>
        </w:rPr>
        <w:t>was</w:t>
      </w:r>
      <w:r w:rsidRPr="000016BB">
        <w:rPr>
          <w:rFonts w:ascii="Arial" w:hAnsi="Arial" w:cs="Arial"/>
          <w:sz w:val="20"/>
          <w:szCs w:val="20"/>
          <w:lang w:val="en-GB"/>
        </w:rPr>
        <w:t xml:space="preserve"> conducted using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Vina</w:t>
      </w:r>
      <w:proofErr w:type="spellEnd"/>
      <w:r w:rsidRPr="000016BB">
        <w:rPr>
          <w:rFonts w:ascii="Arial" w:hAnsi="Arial" w:cs="Arial"/>
          <w:sz w:val="20"/>
          <w:szCs w:val="20"/>
          <w:lang w:val="en-GB"/>
        </w:rPr>
        <w:t xml:space="preserve"> and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to evaluate binding affinities and interactions. Pharmacokinetic and toxicological profiling were evaluated using Lipinski’s Rule of Five and ADMET prediction via </w:t>
      </w:r>
      <w:proofErr w:type="spellStart"/>
      <w:r w:rsidRPr="000016BB">
        <w:rPr>
          <w:rFonts w:ascii="Arial" w:hAnsi="Arial" w:cs="Arial"/>
          <w:sz w:val="20"/>
          <w:szCs w:val="20"/>
          <w:lang w:val="en-GB"/>
        </w:rPr>
        <w:t>pkCSM</w:t>
      </w:r>
      <w:proofErr w:type="spellEnd"/>
      <w:r w:rsidRPr="000016BB">
        <w:rPr>
          <w:rFonts w:ascii="Arial" w:hAnsi="Arial" w:cs="Arial"/>
          <w:sz w:val="20"/>
          <w:szCs w:val="20"/>
          <w:lang w:val="en-GB"/>
        </w:rPr>
        <w:t xml:space="preserve"> and the </w:t>
      </w:r>
      <w:proofErr w:type="spellStart"/>
      <w:r w:rsidRPr="000016BB">
        <w:rPr>
          <w:rFonts w:ascii="Arial" w:hAnsi="Arial" w:cs="Arial"/>
          <w:sz w:val="20"/>
          <w:szCs w:val="20"/>
          <w:lang w:val="en-GB"/>
        </w:rPr>
        <w:t>ADMETLab</w:t>
      </w:r>
      <w:proofErr w:type="spellEnd"/>
      <w:r w:rsidRPr="000016BB">
        <w:rPr>
          <w:rFonts w:ascii="Arial" w:hAnsi="Arial" w:cs="Arial"/>
          <w:sz w:val="20"/>
          <w:szCs w:val="20"/>
          <w:lang w:val="en-GB"/>
        </w:rPr>
        <w:t xml:space="preserve"> 3.0 webserver. Molecular mechanics generalized Born surface area (MM/GBSA) calculations </w:t>
      </w:r>
      <w:r w:rsidR="006F6B10">
        <w:rPr>
          <w:rFonts w:ascii="Arial" w:hAnsi="Arial" w:cs="Arial"/>
          <w:sz w:val="20"/>
          <w:szCs w:val="20"/>
          <w:lang w:val="en-GB"/>
        </w:rPr>
        <w:t>was</w:t>
      </w:r>
      <w:r w:rsidRPr="000016BB">
        <w:rPr>
          <w:rFonts w:ascii="Arial" w:hAnsi="Arial" w:cs="Arial"/>
          <w:sz w:val="20"/>
          <w:szCs w:val="20"/>
          <w:lang w:val="en-GB"/>
        </w:rPr>
        <w:t xml:space="preserve"> performed using </w:t>
      </w:r>
      <w:proofErr w:type="spellStart"/>
      <w:r w:rsidRPr="000016BB">
        <w:rPr>
          <w:rFonts w:ascii="Arial" w:hAnsi="Arial" w:cs="Arial"/>
          <w:sz w:val="20"/>
          <w:szCs w:val="20"/>
          <w:lang w:val="en-GB"/>
        </w:rPr>
        <w:t>Schrondiger</w:t>
      </w:r>
      <w:proofErr w:type="spellEnd"/>
      <w:r w:rsidRPr="000016BB">
        <w:rPr>
          <w:rFonts w:ascii="Arial" w:hAnsi="Arial" w:cs="Arial"/>
          <w:sz w:val="20"/>
          <w:szCs w:val="20"/>
          <w:lang w:val="en-GB"/>
        </w:rPr>
        <w:t xml:space="preserve"> Maestro 12.5 to determine binding free energies. Molecular dynamics (MD) simulations </w:t>
      </w:r>
      <w:r w:rsidR="006F6B10">
        <w:rPr>
          <w:rFonts w:ascii="Arial" w:hAnsi="Arial" w:cs="Arial"/>
          <w:sz w:val="20"/>
          <w:szCs w:val="20"/>
          <w:lang w:val="en-GB"/>
        </w:rPr>
        <w:t>was</w:t>
      </w:r>
      <w:r w:rsidRPr="000016BB">
        <w:rPr>
          <w:rFonts w:ascii="Arial" w:hAnsi="Arial" w:cs="Arial"/>
          <w:sz w:val="20"/>
          <w:szCs w:val="20"/>
          <w:lang w:val="en-GB"/>
        </w:rPr>
        <w:t xml:space="preserve"> carried out using GROMACS 2023 to evaluate the stability, flexibility, and compactness of protein-ligand complexes over 50 nanoseconds.</w:t>
      </w:r>
    </w:p>
    <w:p w14:paraId="462D3A6F"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Results: </w:t>
      </w:r>
      <w:r w:rsidRPr="000016BB">
        <w:rPr>
          <w:rFonts w:ascii="Arial" w:hAnsi="Arial" w:cs="Arial"/>
          <w:sz w:val="20"/>
          <w:szCs w:val="20"/>
          <w:lang w:val="en-GB"/>
        </w:rPr>
        <w:t>Molecular docking identified (E)-2-((3,4-Dimethoxybenzylidene)amino)-6-Phenylpyrimidin-4(1H)-One and (E)-2-((3-Hydroxybenzylidene)amino)-6-Phenylpyrimidin-4(1H)-One as the top-performing ligands with binding energies of -7.7 and -7.5 kcal/</w:t>
      </w:r>
      <w:proofErr w:type="spellStart"/>
      <w:r w:rsidRPr="000016BB">
        <w:rPr>
          <w:rFonts w:ascii="Arial" w:hAnsi="Arial" w:cs="Arial"/>
          <w:sz w:val="20"/>
          <w:szCs w:val="20"/>
          <w:lang w:val="en-GB"/>
        </w:rPr>
        <w:t>mol</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Vina</w:t>
      </w:r>
      <w:proofErr w:type="spellEnd"/>
      <w:r w:rsidRPr="000016BB">
        <w:rPr>
          <w:rFonts w:ascii="Arial" w:hAnsi="Arial" w:cs="Arial"/>
          <w:sz w:val="20"/>
          <w:szCs w:val="20"/>
          <w:lang w:val="en-GB"/>
        </w:rPr>
        <w:t>) and -10.3 and -9.7 kcal/</w:t>
      </w:r>
      <w:proofErr w:type="spellStart"/>
      <w:r w:rsidRPr="000016BB">
        <w:rPr>
          <w:rFonts w:ascii="Arial" w:hAnsi="Arial" w:cs="Arial"/>
          <w:sz w:val="20"/>
          <w:szCs w:val="20"/>
          <w:lang w:val="en-GB"/>
        </w:rPr>
        <w:t>mol</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Vina</w:t>
      </w:r>
      <w:proofErr w:type="spellEnd"/>
      <w:r w:rsidRPr="000016BB">
        <w:rPr>
          <w:rFonts w:ascii="Arial" w:hAnsi="Arial" w:cs="Arial"/>
          <w:sz w:val="20"/>
          <w:szCs w:val="20"/>
          <w:lang w:val="en-GB"/>
        </w:rPr>
        <w:t>), respectively, outperforming oxythiamine binding energies of -5.2 kcal/</w:t>
      </w:r>
      <w:proofErr w:type="spellStart"/>
      <w:r w:rsidRPr="000016BB">
        <w:rPr>
          <w:rFonts w:ascii="Arial" w:hAnsi="Arial" w:cs="Arial"/>
          <w:sz w:val="20"/>
          <w:szCs w:val="20"/>
          <w:lang w:val="en-GB"/>
        </w:rPr>
        <w:t>mol</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Vina</w:t>
      </w:r>
      <w:proofErr w:type="spellEnd"/>
      <w:r w:rsidRPr="000016BB">
        <w:rPr>
          <w:rFonts w:ascii="Arial" w:hAnsi="Arial" w:cs="Arial"/>
          <w:sz w:val="20"/>
          <w:szCs w:val="20"/>
          <w:lang w:val="en-GB"/>
        </w:rPr>
        <w:t>) and -7.1 kcal/</w:t>
      </w:r>
      <w:proofErr w:type="spellStart"/>
      <w:r w:rsidRPr="000016BB">
        <w:rPr>
          <w:rFonts w:ascii="Arial" w:hAnsi="Arial" w:cs="Arial"/>
          <w:sz w:val="20"/>
          <w:szCs w:val="20"/>
          <w:lang w:val="en-GB"/>
        </w:rPr>
        <w:t>mol</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w:t>
      </w:r>
      <w:proofErr w:type="spellStart"/>
      <w:r w:rsidRPr="000016BB">
        <w:rPr>
          <w:rFonts w:ascii="Arial" w:hAnsi="Arial" w:cs="Arial"/>
          <w:sz w:val="20"/>
          <w:szCs w:val="20"/>
          <w:lang w:val="en-GB"/>
        </w:rPr>
        <w:t>Vina</w:t>
      </w:r>
      <w:proofErr w:type="spellEnd"/>
      <w:r w:rsidRPr="000016BB">
        <w:rPr>
          <w:rFonts w:ascii="Arial" w:hAnsi="Arial" w:cs="Arial"/>
          <w:sz w:val="20"/>
          <w:szCs w:val="20"/>
          <w:lang w:val="en-GB"/>
        </w:rPr>
        <w:t xml:space="preserve">). Pharmacokinetic evaluations confirmed </w:t>
      </w:r>
      <w:proofErr w:type="spellStart"/>
      <w:r w:rsidRPr="000016BB">
        <w:rPr>
          <w:rFonts w:ascii="Arial" w:hAnsi="Arial" w:cs="Arial"/>
          <w:sz w:val="20"/>
          <w:szCs w:val="20"/>
          <w:lang w:val="en-GB"/>
        </w:rPr>
        <w:t>favorable</w:t>
      </w:r>
      <w:proofErr w:type="spellEnd"/>
      <w:r w:rsidRPr="000016BB">
        <w:rPr>
          <w:rFonts w:ascii="Arial" w:hAnsi="Arial" w:cs="Arial"/>
          <w:sz w:val="20"/>
          <w:szCs w:val="20"/>
          <w:lang w:val="en-GB"/>
        </w:rPr>
        <w:t xml:space="preserve"> drug-likeness and low toxicity profiles for the selected Schiff bases. MM/GBSA calculations demonstrated strong binding free energies of -31.21 and -31.01 kcal/mol for these compounds, compared to -16.85 kcal/mol for oxythiamine. MD simulations validated their exceptional stability, with RMSD values of 0.313 and 0.277 nm, RMSF values of 0.142 and 0.130 nm, and compact ROG values of 2.997 and 3.007 nm, respectively. H-bonding analysis revealed consistent and strong interactions, further supporting the stability of these complexes.</w:t>
      </w:r>
    </w:p>
    <w:p w14:paraId="50279DD3"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Conclusion: </w:t>
      </w:r>
      <w:r w:rsidRPr="000016BB">
        <w:rPr>
          <w:rFonts w:ascii="Arial" w:hAnsi="Arial" w:cs="Arial"/>
          <w:sz w:val="20"/>
          <w:szCs w:val="20"/>
          <w:lang w:val="en-GB"/>
        </w:rPr>
        <w:t>The findings establish (E)-2-((3</w:t>
      </w:r>
      <w:proofErr w:type="gramStart"/>
      <w:r w:rsidRPr="000016BB">
        <w:rPr>
          <w:rFonts w:ascii="Arial" w:hAnsi="Arial" w:cs="Arial"/>
          <w:sz w:val="20"/>
          <w:szCs w:val="20"/>
          <w:lang w:val="en-GB"/>
        </w:rPr>
        <w:t>,4</w:t>
      </w:r>
      <w:proofErr w:type="gramEnd"/>
      <w:r w:rsidRPr="000016BB">
        <w:rPr>
          <w:rFonts w:ascii="Arial" w:hAnsi="Arial" w:cs="Arial"/>
          <w:sz w:val="20"/>
          <w:szCs w:val="20"/>
          <w:lang w:val="en-GB"/>
        </w:rPr>
        <w:t xml:space="preserve">-Dimethoxybenzylidene)amino)-6-Phenylpyrimidin-4(1H)-One and (E)-2-((3-Hydroxybenzylidene)amino)-6-Phenylpyrimidin-4(1H)-One as promising candidates for further experimental validation. Their strong binding affinities, stability, and </w:t>
      </w:r>
      <w:proofErr w:type="spellStart"/>
      <w:r w:rsidRPr="000016BB">
        <w:rPr>
          <w:rFonts w:ascii="Arial" w:hAnsi="Arial" w:cs="Arial"/>
          <w:sz w:val="20"/>
          <w:szCs w:val="20"/>
          <w:lang w:val="en-GB"/>
        </w:rPr>
        <w:t>favorable</w:t>
      </w:r>
      <w:proofErr w:type="spellEnd"/>
      <w:r w:rsidRPr="000016BB">
        <w:rPr>
          <w:rFonts w:ascii="Arial" w:hAnsi="Arial" w:cs="Arial"/>
          <w:sz w:val="20"/>
          <w:szCs w:val="20"/>
          <w:lang w:val="en-GB"/>
        </w:rPr>
        <w:t xml:space="preserve"> safety profiles underscore their potential as novel antimalarial agents to combat drug-resistant malaria.</w:t>
      </w:r>
    </w:p>
    <w:p w14:paraId="07616306" w14:textId="77777777" w:rsidR="00007256" w:rsidRDefault="00007256" w:rsidP="00903660">
      <w:pPr>
        <w:spacing w:line="360" w:lineRule="auto"/>
        <w:jc w:val="both"/>
        <w:rPr>
          <w:rFonts w:ascii="Arial" w:hAnsi="Arial" w:cs="Arial"/>
          <w:b/>
          <w:bCs/>
          <w:sz w:val="20"/>
          <w:szCs w:val="20"/>
        </w:rPr>
      </w:pPr>
    </w:p>
    <w:p w14:paraId="55478B0D" w14:textId="59A0C2E3" w:rsidR="00BD377E" w:rsidRDefault="00BD377E" w:rsidP="00903660">
      <w:pPr>
        <w:spacing w:line="360" w:lineRule="auto"/>
        <w:jc w:val="both"/>
        <w:rPr>
          <w:rFonts w:ascii="Arial" w:hAnsi="Arial" w:cs="Arial"/>
          <w:b/>
          <w:bCs/>
          <w:sz w:val="20"/>
          <w:szCs w:val="20"/>
        </w:rPr>
      </w:pPr>
      <w:r>
        <w:rPr>
          <w:rFonts w:ascii="Arial" w:hAnsi="Arial" w:cs="Arial"/>
          <w:b/>
          <w:bCs/>
          <w:sz w:val="20"/>
          <w:szCs w:val="20"/>
        </w:rPr>
        <w:t xml:space="preserve">                                                                 </w:t>
      </w:r>
      <w:r w:rsidRPr="00BD377E">
        <w:rPr>
          <w:rFonts w:ascii="Arial" w:hAnsi="Arial" w:cs="Arial"/>
          <w:b/>
          <w:bCs/>
          <w:sz w:val="20"/>
          <w:szCs w:val="20"/>
        </w:rPr>
        <w:t>Graphical Abstract</w:t>
      </w:r>
    </w:p>
    <w:p w14:paraId="27915BA5" w14:textId="04F671AC" w:rsidR="00BD377E" w:rsidRPr="00BD377E" w:rsidRDefault="00045A9C" w:rsidP="00441C65">
      <w:pPr>
        <w:spacing w:line="360" w:lineRule="auto"/>
        <w:jc w:val="center"/>
        <w:rPr>
          <w:rFonts w:ascii="Arial" w:hAnsi="Arial" w:cs="Arial"/>
          <w:b/>
          <w:bCs/>
          <w:sz w:val="20"/>
          <w:szCs w:val="20"/>
          <w:lang w:val="en-GB"/>
        </w:rPr>
      </w:pPr>
      <w:r w:rsidRPr="00045A9C">
        <w:rPr>
          <w:rFonts w:ascii="Arial" w:hAnsi="Arial" w:cs="Arial"/>
          <w:b/>
          <w:bCs/>
          <w:noProof/>
          <w:sz w:val="20"/>
          <w:szCs w:val="20"/>
        </w:rPr>
        <w:drawing>
          <wp:inline distT="0" distB="0" distL="0" distR="0" wp14:anchorId="64EE007B" wp14:editId="448357D7">
            <wp:extent cx="5943600" cy="4160520"/>
            <wp:effectExtent l="38100" t="38100" r="38100" b="30480"/>
            <wp:docPr id="15471367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w="25400">
                      <a:solidFill>
                        <a:schemeClr val="tx1"/>
                      </a:solidFill>
                    </a:ln>
                  </pic:spPr>
                </pic:pic>
              </a:graphicData>
            </a:graphic>
          </wp:inline>
        </w:drawing>
      </w:r>
    </w:p>
    <w:p w14:paraId="7BEF9EC7" w14:textId="07CC9777" w:rsidR="00C51105" w:rsidRPr="00F1016A" w:rsidRDefault="00C51105" w:rsidP="00C51105">
      <w:pPr>
        <w:spacing w:before="100" w:beforeAutospacing="1" w:after="100" w:afterAutospacing="1" w:line="360" w:lineRule="auto"/>
        <w:jc w:val="both"/>
        <w:rPr>
          <w:rFonts w:ascii="Arial" w:hAnsi="Arial" w:cs="Arial"/>
          <w:sz w:val="20"/>
          <w:szCs w:val="20"/>
        </w:rPr>
      </w:pPr>
      <w:r w:rsidRPr="00F1016A">
        <w:rPr>
          <w:rFonts w:ascii="Arial" w:eastAsia="Times New Roman" w:hAnsi="Arial" w:cs="Arial"/>
          <w:b/>
          <w:bCs/>
          <w:kern w:val="0"/>
          <w:sz w:val="20"/>
          <w:szCs w:val="20"/>
        </w:rPr>
        <w:t>Keywords</w:t>
      </w:r>
      <w:r w:rsidRPr="00F1016A">
        <w:rPr>
          <w:rFonts w:ascii="Arial" w:eastAsia="Times New Roman" w:hAnsi="Arial" w:cs="Arial"/>
          <w:kern w:val="0"/>
          <w:sz w:val="20"/>
          <w:szCs w:val="20"/>
        </w:rPr>
        <w:t>: Anti</w:t>
      </w:r>
      <w:r w:rsidR="00866DC6">
        <w:rPr>
          <w:rFonts w:ascii="Arial" w:eastAsia="Times New Roman" w:hAnsi="Arial" w:cs="Arial"/>
          <w:kern w:val="0"/>
          <w:sz w:val="20"/>
          <w:szCs w:val="20"/>
        </w:rPr>
        <w:t>-</w:t>
      </w:r>
      <w:r w:rsidRPr="00F1016A">
        <w:rPr>
          <w:rFonts w:ascii="Arial" w:eastAsia="Times New Roman" w:hAnsi="Arial" w:cs="Arial"/>
          <w:kern w:val="0"/>
          <w:sz w:val="20"/>
          <w:szCs w:val="20"/>
        </w:rPr>
        <w:t xml:space="preserve">malarial resistance, </w:t>
      </w:r>
      <w:r w:rsidR="002D7A66">
        <w:rPr>
          <w:rFonts w:ascii="Arial" w:eastAsia="Times New Roman" w:hAnsi="Arial" w:cs="Arial"/>
          <w:kern w:val="0"/>
          <w:sz w:val="20"/>
          <w:szCs w:val="20"/>
        </w:rPr>
        <w:t>Computer</w:t>
      </w:r>
      <w:r w:rsidR="00D951E3">
        <w:rPr>
          <w:rFonts w:ascii="Arial" w:eastAsia="Times New Roman" w:hAnsi="Arial" w:cs="Arial"/>
          <w:kern w:val="0"/>
          <w:sz w:val="20"/>
          <w:szCs w:val="20"/>
        </w:rPr>
        <w:t xml:space="preserve">-aided drug design, </w:t>
      </w:r>
      <w:r w:rsidRPr="00F1016A">
        <w:rPr>
          <w:rFonts w:ascii="Arial" w:eastAsia="Times New Roman" w:hAnsi="Arial" w:cs="Arial"/>
          <w:i/>
          <w:iCs/>
          <w:kern w:val="0"/>
          <w:sz w:val="20"/>
          <w:szCs w:val="20"/>
        </w:rPr>
        <w:t>Plasmodium falciparum</w:t>
      </w:r>
      <w:r w:rsidRPr="00F1016A">
        <w:rPr>
          <w:rFonts w:ascii="Arial" w:eastAsia="Times New Roman" w:hAnsi="Arial" w:cs="Arial"/>
          <w:kern w:val="0"/>
          <w:sz w:val="20"/>
          <w:szCs w:val="20"/>
        </w:rPr>
        <w:t xml:space="preserve"> transketolase, Oxythiamine, Phenylisocytosine</w:t>
      </w:r>
      <w:r w:rsidRPr="00F1016A">
        <w:rPr>
          <w:rFonts w:ascii="Arial" w:hAnsi="Arial" w:cs="Arial"/>
          <w:sz w:val="20"/>
          <w:szCs w:val="20"/>
        </w:rPr>
        <w:t>.</w:t>
      </w:r>
    </w:p>
    <w:p w14:paraId="0FF1EB30" w14:textId="77777777" w:rsidR="00BD377E" w:rsidRDefault="00BD377E" w:rsidP="00903660">
      <w:pPr>
        <w:spacing w:line="360" w:lineRule="auto"/>
        <w:jc w:val="both"/>
        <w:rPr>
          <w:rFonts w:ascii="Arial" w:hAnsi="Arial" w:cs="Arial"/>
          <w:b/>
          <w:bCs/>
          <w:sz w:val="20"/>
          <w:szCs w:val="20"/>
        </w:rPr>
      </w:pPr>
    </w:p>
    <w:p w14:paraId="0E709680" w14:textId="77777777" w:rsidR="00C51105" w:rsidRDefault="00C51105" w:rsidP="00903660">
      <w:pPr>
        <w:spacing w:line="360" w:lineRule="auto"/>
        <w:jc w:val="both"/>
        <w:rPr>
          <w:rFonts w:ascii="Arial" w:hAnsi="Arial" w:cs="Arial"/>
          <w:b/>
          <w:bCs/>
          <w:sz w:val="20"/>
          <w:szCs w:val="20"/>
        </w:rPr>
      </w:pPr>
    </w:p>
    <w:p w14:paraId="1386E682" w14:textId="77777777" w:rsidR="00C51105" w:rsidRPr="00BD377E" w:rsidRDefault="00C51105" w:rsidP="00903660">
      <w:pPr>
        <w:spacing w:line="360" w:lineRule="auto"/>
        <w:jc w:val="both"/>
        <w:rPr>
          <w:rFonts w:ascii="Arial" w:hAnsi="Arial" w:cs="Arial"/>
          <w:b/>
          <w:bCs/>
          <w:sz w:val="20"/>
          <w:szCs w:val="20"/>
        </w:rPr>
      </w:pPr>
    </w:p>
    <w:p w14:paraId="3F44541A" w14:textId="77777777" w:rsidR="00CD3ADC" w:rsidRDefault="00CD3ADC" w:rsidP="00903660">
      <w:pPr>
        <w:spacing w:line="360" w:lineRule="auto"/>
        <w:jc w:val="both"/>
        <w:rPr>
          <w:rFonts w:ascii="Arial" w:hAnsi="Arial" w:cs="Arial"/>
          <w:sz w:val="20"/>
          <w:szCs w:val="20"/>
        </w:rPr>
      </w:pPr>
    </w:p>
    <w:p w14:paraId="38256E33" w14:textId="77777777" w:rsidR="00CD3ADC" w:rsidRDefault="00CD3ADC" w:rsidP="00903660">
      <w:pPr>
        <w:spacing w:line="360" w:lineRule="auto"/>
        <w:jc w:val="both"/>
        <w:rPr>
          <w:rFonts w:ascii="Arial" w:hAnsi="Arial" w:cs="Arial"/>
          <w:sz w:val="20"/>
          <w:szCs w:val="20"/>
        </w:rPr>
      </w:pPr>
    </w:p>
    <w:p w14:paraId="521373CD" w14:textId="77777777" w:rsidR="00441C65" w:rsidRPr="00903660" w:rsidRDefault="00441C65" w:rsidP="00903660">
      <w:pPr>
        <w:spacing w:line="360" w:lineRule="auto"/>
        <w:jc w:val="both"/>
        <w:rPr>
          <w:rFonts w:ascii="Arial" w:hAnsi="Arial" w:cs="Arial"/>
          <w:sz w:val="20"/>
          <w:szCs w:val="20"/>
        </w:rPr>
      </w:pPr>
    </w:p>
    <w:p w14:paraId="5A6F0B1C" w14:textId="77777777" w:rsidR="00815F41" w:rsidRPr="005C23EE" w:rsidRDefault="00815F41" w:rsidP="005C23EE">
      <w:pPr>
        <w:pStyle w:val="ListParagraph"/>
        <w:numPr>
          <w:ilvl w:val="0"/>
          <w:numId w:val="1"/>
        </w:numPr>
        <w:spacing w:after="0" w:line="360" w:lineRule="auto"/>
        <w:jc w:val="both"/>
        <w:rPr>
          <w:rFonts w:ascii="Arial" w:eastAsia="Times New Roman" w:hAnsi="Arial" w:cs="Arial"/>
          <w:b/>
          <w:bCs/>
          <w:kern w:val="0"/>
          <w:sz w:val="20"/>
          <w:szCs w:val="20"/>
        </w:rPr>
      </w:pPr>
      <w:bookmarkStart w:id="1" w:name="_Hlk187122856"/>
      <w:r w:rsidRPr="005C23EE">
        <w:rPr>
          <w:rFonts w:ascii="Arial" w:eastAsia="Times New Roman" w:hAnsi="Arial" w:cs="Arial"/>
          <w:b/>
          <w:bCs/>
          <w:kern w:val="0"/>
          <w:sz w:val="20"/>
          <w:szCs w:val="20"/>
        </w:rPr>
        <w:t>INTRODUCTION</w:t>
      </w:r>
    </w:p>
    <w:bookmarkEnd w:id="1"/>
    <w:p w14:paraId="307010E5" w14:textId="517936C9" w:rsidR="00C14EC8" w:rsidRPr="005C23EE" w:rsidRDefault="00C14EC8"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lastRenderedPageBreak/>
        <w:t>Malaria remains a significant global health challenge, particularly in tropical and subtropical regions where Plasmodium falciparum is the primary cause of severe malaria</w:t>
      </w:r>
      <w:r w:rsidR="007D723F" w:rsidRPr="005C23EE">
        <w:rPr>
          <w:rFonts w:ascii="Arial" w:hAnsi="Arial" w:cs="Arial"/>
          <w:sz w:val="20"/>
          <w:szCs w:val="20"/>
        </w:rPr>
        <w:t xml:space="preserve"> [1]</w:t>
      </w:r>
      <w:r w:rsidRPr="005C23EE">
        <w:rPr>
          <w:rFonts w:ascii="Arial" w:hAnsi="Arial" w:cs="Arial"/>
          <w:sz w:val="20"/>
          <w:szCs w:val="20"/>
        </w:rPr>
        <w:t xml:space="preserve">. </w:t>
      </w:r>
      <w:r w:rsidR="00590F5B" w:rsidRPr="005C23EE">
        <w:rPr>
          <w:rFonts w:ascii="Arial" w:hAnsi="Arial" w:cs="Arial"/>
          <w:sz w:val="20"/>
          <w:szCs w:val="20"/>
        </w:rPr>
        <w:t>Despite decades of progress, malaria continues to account for significant morbidity and mortality, especially in sub-Saharan Africa and Southeast Asia.</w:t>
      </w:r>
      <w:r w:rsidRPr="005C23EE">
        <w:rPr>
          <w:rFonts w:ascii="Arial" w:hAnsi="Arial" w:cs="Arial"/>
          <w:sz w:val="20"/>
          <w:szCs w:val="20"/>
        </w:rPr>
        <w:t xml:space="preserve"> The rapid emergence of resistance to artemisinin-based combination therapies (ACTs), the cornerstone of malaria treatment, underscores the urgent need for novel therapeutic strategies targeting drug-resistant strains</w:t>
      </w:r>
      <w:r w:rsidR="009D76E2" w:rsidRPr="005C23EE">
        <w:rPr>
          <w:rFonts w:ascii="Arial" w:hAnsi="Arial" w:cs="Arial"/>
          <w:sz w:val="20"/>
          <w:szCs w:val="20"/>
        </w:rPr>
        <w:t xml:space="preserve"> [2, 3]</w:t>
      </w:r>
      <w:r w:rsidRPr="005C23EE">
        <w:rPr>
          <w:rFonts w:ascii="Arial" w:hAnsi="Arial" w:cs="Arial"/>
          <w:sz w:val="20"/>
          <w:szCs w:val="20"/>
        </w:rPr>
        <w:t>. Recent reports from the World Health Organization (WHO) emphasize that drug resistance significantly contributes to ongoing malaria transmission and mortality, highlighting the critical need for innovative approaches in antimalarial drug discovery</w:t>
      </w:r>
      <w:r w:rsidR="003F598A" w:rsidRPr="005C23EE">
        <w:rPr>
          <w:rFonts w:ascii="Arial" w:hAnsi="Arial" w:cs="Arial"/>
          <w:sz w:val="20"/>
          <w:szCs w:val="20"/>
        </w:rPr>
        <w:t xml:space="preserve"> [4]</w:t>
      </w:r>
      <w:r w:rsidRPr="005C23EE">
        <w:rPr>
          <w:rFonts w:ascii="Arial" w:hAnsi="Arial" w:cs="Arial"/>
          <w:sz w:val="20"/>
          <w:szCs w:val="20"/>
        </w:rPr>
        <w:t>.</w:t>
      </w:r>
    </w:p>
    <w:p w14:paraId="78122A47" w14:textId="7E1C78AF" w:rsidR="00CC0192" w:rsidRPr="005C23EE" w:rsidRDefault="00CB5D8C"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 xml:space="preserve">Historically, antimalarial drugs such as quinine, chloroquine, and </w:t>
      </w:r>
      <w:proofErr w:type="spellStart"/>
      <w:r w:rsidRPr="005C23EE">
        <w:rPr>
          <w:rFonts w:ascii="Arial" w:hAnsi="Arial" w:cs="Arial"/>
          <w:sz w:val="20"/>
          <w:szCs w:val="20"/>
        </w:rPr>
        <w:t>sulfadoxine-pyrimethamine</w:t>
      </w:r>
      <w:proofErr w:type="spellEnd"/>
      <w:r w:rsidRPr="005C23EE">
        <w:rPr>
          <w:rFonts w:ascii="Arial" w:hAnsi="Arial" w:cs="Arial"/>
          <w:sz w:val="20"/>
          <w:szCs w:val="20"/>
        </w:rPr>
        <w:t xml:space="preserve"> played pivotal roles in malaria control. However, the widespread resistance to these drugs, including the declining efficacy of ACTs, has prompted researchers to explore novel molecular targets within Plasmodium falciparum for drug development [</w:t>
      </w:r>
      <w:r w:rsidR="00802EB4" w:rsidRPr="005C23EE">
        <w:rPr>
          <w:rFonts w:ascii="Arial" w:hAnsi="Arial" w:cs="Arial"/>
          <w:sz w:val="20"/>
          <w:szCs w:val="20"/>
        </w:rPr>
        <w:t>5</w:t>
      </w:r>
      <w:r w:rsidRPr="005C23EE">
        <w:rPr>
          <w:rFonts w:ascii="Arial" w:hAnsi="Arial" w:cs="Arial"/>
          <w:sz w:val="20"/>
          <w:szCs w:val="20"/>
        </w:rPr>
        <w:t>,</w:t>
      </w:r>
      <w:r w:rsidR="00802EB4" w:rsidRPr="005C23EE">
        <w:rPr>
          <w:rFonts w:ascii="Arial" w:hAnsi="Arial" w:cs="Arial"/>
          <w:sz w:val="20"/>
          <w:szCs w:val="20"/>
        </w:rPr>
        <w:t xml:space="preserve"> 6, 7</w:t>
      </w:r>
      <w:r w:rsidRPr="005C23EE">
        <w:rPr>
          <w:rFonts w:ascii="Arial" w:hAnsi="Arial" w:cs="Arial"/>
          <w:sz w:val="20"/>
          <w:szCs w:val="20"/>
        </w:rPr>
        <w:t>]. One promising avenue is the pentose phosphate pathway (PPP), a critical metabolic pathway in Plasmodium falciparum responsible for maintaining redox homeostasis and synthesizing essential nucleotides required for parasite proliferation [</w:t>
      </w:r>
      <w:r w:rsidR="000A33B1" w:rsidRPr="005C23EE">
        <w:rPr>
          <w:rFonts w:ascii="Arial" w:hAnsi="Arial" w:cs="Arial"/>
          <w:sz w:val="20"/>
          <w:szCs w:val="20"/>
        </w:rPr>
        <w:t>8</w:t>
      </w:r>
      <w:r w:rsidRPr="005C23EE">
        <w:rPr>
          <w:rFonts w:ascii="Arial" w:hAnsi="Arial" w:cs="Arial"/>
          <w:sz w:val="20"/>
          <w:szCs w:val="20"/>
        </w:rPr>
        <w:t>]. Within the non-oxidative branch of the PPP, the transketolase enzyme has emerged as a highly attractive target for antimalarial therapy due to its indispensable role in parasite survival and its absence in human erythrocytes, offering a selective therapeutic window [</w:t>
      </w:r>
      <w:r w:rsidR="00F12031" w:rsidRPr="005C23EE">
        <w:rPr>
          <w:rFonts w:ascii="Arial" w:hAnsi="Arial" w:cs="Arial"/>
          <w:sz w:val="20"/>
          <w:szCs w:val="20"/>
        </w:rPr>
        <w:t>9</w:t>
      </w:r>
      <w:r w:rsidR="00F90D67" w:rsidRPr="005C23EE">
        <w:rPr>
          <w:rFonts w:ascii="Arial" w:hAnsi="Arial" w:cs="Arial"/>
          <w:sz w:val="20"/>
          <w:szCs w:val="20"/>
        </w:rPr>
        <w:t>, 10</w:t>
      </w:r>
      <w:r w:rsidRPr="005C23EE">
        <w:rPr>
          <w:rFonts w:ascii="Arial" w:hAnsi="Arial" w:cs="Arial"/>
          <w:sz w:val="20"/>
          <w:szCs w:val="20"/>
        </w:rPr>
        <w:t>].</w:t>
      </w:r>
      <w:r w:rsidR="005C1593" w:rsidRPr="005C23EE">
        <w:rPr>
          <w:rFonts w:ascii="Arial" w:hAnsi="Arial" w:cs="Arial"/>
          <w:sz w:val="20"/>
          <w:szCs w:val="20"/>
        </w:rPr>
        <w:t xml:space="preserve"> </w:t>
      </w:r>
      <w:r w:rsidR="00BE579A" w:rsidRPr="005C23EE">
        <w:rPr>
          <w:rFonts w:ascii="Arial" w:hAnsi="Arial" w:cs="Arial"/>
          <w:sz w:val="20"/>
          <w:szCs w:val="20"/>
        </w:rPr>
        <w:t xml:space="preserve">Pyrimidine-based compounds have demonstrated significant potential as antimalarial agents </w:t>
      </w:r>
      <w:r w:rsidR="00E51C9C" w:rsidRPr="005C23EE">
        <w:rPr>
          <w:rFonts w:ascii="Arial" w:hAnsi="Arial" w:cs="Arial"/>
          <w:sz w:val="20"/>
          <w:szCs w:val="20"/>
        </w:rPr>
        <w:t>due</w:t>
      </w:r>
      <w:r w:rsidR="00BE579A" w:rsidRPr="005C23EE">
        <w:rPr>
          <w:rFonts w:ascii="Arial" w:hAnsi="Arial" w:cs="Arial"/>
          <w:sz w:val="20"/>
          <w:szCs w:val="20"/>
        </w:rPr>
        <w:t xml:space="preserve"> to their structural similarity to oxythiamine, a potent transketolase inhibitor</w:t>
      </w:r>
      <w:r w:rsidR="00E46E44" w:rsidRPr="005C23EE">
        <w:rPr>
          <w:rFonts w:ascii="Arial" w:hAnsi="Arial" w:cs="Arial"/>
          <w:sz w:val="20"/>
          <w:szCs w:val="20"/>
        </w:rPr>
        <w:t xml:space="preserve"> [11]</w:t>
      </w:r>
      <w:r w:rsidR="00BE579A" w:rsidRPr="005C23EE">
        <w:rPr>
          <w:rFonts w:ascii="Arial" w:hAnsi="Arial" w:cs="Arial"/>
          <w:sz w:val="20"/>
          <w:szCs w:val="20"/>
        </w:rPr>
        <w:t xml:space="preserve">. While oxythiamine effectively inhibits Plasmodium falciparum transketolase, its clinical application is limited by severe adverse effects, such as nephrotoxicity and carcinogenicity. </w:t>
      </w:r>
      <w:r w:rsidR="00BA6BB9" w:rsidRPr="005C23EE">
        <w:rPr>
          <w:rFonts w:ascii="Arial" w:hAnsi="Arial" w:cs="Arial"/>
          <w:sz w:val="20"/>
          <w:szCs w:val="20"/>
        </w:rPr>
        <w:t xml:space="preserve">Phenylisocytosine, a pyrimidine-based compound, has demonstrated potent inhibitory activity against Plasmodium falciparum transketolase, making it a candidate of interest in antimalarial drug discovery [12]. </w:t>
      </w:r>
    </w:p>
    <w:p w14:paraId="41E05F8F" w14:textId="0221C34C" w:rsidR="00CC2476" w:rsidRPr="005C23EE" w:rsidRDefault="00366B23"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 xml:space="preserve">Advancements in computational drug discovery have revolutionized the identification and optimization of potential drug candidates </w:t>
      </w:r>
      <w:r w:rsidR="007A7466" w:rsidRPr="005C23EE">
        <w:rPr>
          <w:rFonts w:ascii="Arial" w:hAnsi="Arial" w:cs="Arial"/>
          <w:sz w:val="20"/>
          <w:szCs w:val="20"/>
        </w:rPr>
        <w:t>[13]</w:t>
      </w:r>
      <w:r w:rsidR="00CB5D8C" w:rsidRPr="005C23EE">
        <w:rPr>
          <w:rFonts w:ascii="Arial" w:hAnsi="Arial" w:cs="Arial"/>
          <w:sz w:val="20"/>
          <w:szCs w:val="20"/>
        </w:rPr>
        <w:t>. Structure-based drug design (SBDD) and ligand-based drug design (LBDD) have become pivotal tools in the identification of novel inhibitors, providing detailed insights into ligand-receptor interactions, binding affinities, and pharmacodynamic properties [1</w:t>
      </w:r>
      <w:r w:rsidR="007A7466" w:rsidRPr="005C23EE">
        <w:rPr>
          <w:rFonts w:ascii="Arial" w:hAnsi="Arial" w:cs="Arial"/>
          <w:sz w:val="20"/>
          <w:szCs w:val="20"/>
        </w:rPr>
        <w:t>4</w:t>
      </w:r>
      <w:r w:rsidR="00CB5D8C" w:rsidRPr="005C23EE">
        <w:rPr>
          <w:rFonts w:ascii="Arial" w:hAnsi="Arial" w:cs="Arial"/>
          <w:sz w:val="20"/>
          <w:szCs w:val="20"/>
        </w:rPr>
        <w:t>]. Techniques such as molecular docking, molecular mechanics-generalized Born surface area (MM-GBSA) calculations, and molecular dynamics (MD) simulations have further facilitated the prediction of binding stability and the dynamic behavior of drug candidates under physiological conditions [1</w:t>
      </w:r>
      <w:r w:rsidR="007A7466" w:rsidRPr="005C23EE">
        <w:rPr>
          <w:rFonts w:ascii="Arial" w:hAnsi="Arial" w:cs="Arial"/>
          <w:sz w:val="20"/>
          <w:szCs w:val="20"/>
        </w:rPr>
        <w:t>5</w:t>
      </w:r>
      <w:r w:rsidR="00CB5D8C" w:rsidRPr="005C23EE">
        <w:rPr>
          <w:rFonts w:ascii="Arial" w:hAnsi="Arial" w:cs="Arial"/>
          <w:sz w:val="20"/>
          <w:szCs w:val="20"/>
        </w:rPr>
        <w:t xml:space="preserve">]. </w:t>
      </w:r>
      <w:r w:rsidR="00CC73CC" w:rsidRPr="005C23EE">
        <w:rPr>
          <w:rFonts w:ascii="Arial" w:hAnsi="Arial" w:cs="Arial"/>
          <w:sz w:val="20"/>
          <w:szCs w:val="20"/>
        </w:rPr>
        <w:t xml:space="preserve">This study integrates these computational </w:t>
      </w:r>
      <w:r w:rsidR="00C349FC" w:rsidRPr="005C23EE">
        <w:rPr>
          <w:rFonts w:ascii="Arial" w:hAnsi="Arial" w:cs="Arial"/>
          <w:sz w:val="20"/>
          <w:szCs w:val="20"/>
        </w:rPr>
        <w:t>methods</w:t>
      </w:r>
      <w:r w:rsidR="00CC73CC" w:rsidRPr="005C23EE">
        <w:rPr>
          <w:rFonts w:ascii="Arial" w:hAnsi="Arial" w:cs="Arial"/>
          <w:sz w:val="20"/>
          <w:szCs w:val="20"/>
        </w:rPr>
        <w:t xml:space="preserve"> to identify lead compounds with optimal drug-like properties by evaluating six Schiff bases of phenylisocytosine as potential inhibitors of </w:t>
      </w:r>
      <w:r w:rsidR="00CC73CC" w:rsidRPr="005C23EE">
        <w:rPr>
          <w:rFonts w:ascii="Arial" w:hAnsi="Arial" w:cs="Arial"/>
          <w:i/>
          <w:iCs/>
          <w:sz w:val="20"/>
          <w:szCs w:val="20"/>
        </w:rPr>
        <w:t>Plasmodium falciparum</w:t>
      </w:r>
      <w:r w:rsidR="00CC73CC" w:rsidRPr="005C23EE">
        <w:rPr>
          <w:rFonts w:ascii="Arial" w:hAnsi="Arial" w:cs="Arial"/>
          <w:sz w:val="20"/>
          <w:szCs w:val="20"/>
        </w:rPr>
        <w:t xml:space="preserve"> transketolase. By targeting the non-oxidative branch of the PPP, this research aims to address the growing challenge of drug resistance and contribute to the development of next-generation antimalarial therapies.</w:t>
      </w:r>
      <w:r w:rsidR="00CD3ADC" w:rsidRPr="005C23EE">
        <w:rPr>
          <w:rFonts w:ascii="Arial" w:hAnsi="Arial" w:cs="Arial"/>
          <w:sz w:val="20"/>
          <w:szCs w:val="20"/>
        </w:rPr>
        <w:t xml:space="preserve"> </w:t>
      </w:r>
    </w:p>
    <w:p w14:paraId="2985CA58" w14:textId="77777777" w:rsidR="005C23EE" w:rsidRDefault="005C23EE" w:rsidP="005F0F0B">
      <w:pPr>
        <w:spacing w:line="360" w:lineRule="auto"/>
        <w:rPr>
          <w:rFonts w:ascii="Arial" w:hAnsi="Arial" w:cs="Arial"/>
          <w:b/>
          <w:bCs/>
        </w:rPr>
      </w:pPr>
    </w:p>
    <w:p w14:paraId="671EF621" w14:textId="77777777" w:rsidR="005C23EE" w:rsidRDefault="005C23EE" w:rsidP="005F0F0B">
      <w:pPr>
        <w:spacing w:line="360" w:lineRule="auto"/>
        <w:rPr>
          <w:rFonts w:ascii="Arial" w:hAnsi="Arial" w:cs="Arial"/>
          <w:b/>
          <w:bCs/>
        </w:rPr>
      </w:pPr>
    </w:p>
    <w:p w14:paraId="55FE2EE6" w14:textId="0CB06BA9" w:rsidR="005F0F0B" w:rsidRPr="00541197" w:rsidRDefault="005F0F0B" w:rsidP="005C23EE">
      <w:pPr>
        <w:spacing w:after="0" w:line="360" w:lineRule="auto"/>
        <w:rPr>
          <w:rFonts w:ascii="Arial" w:hAnsi="Arial" w:cs="Arial"/>
          <w:b/>
          <w:bCs/>
        </w:rPr>
      </w:pPr>
      <w:r w:rsidRPr="00541197">
        <w:rPr>
          <w:rFonts w:ascii="Arial" w:hAnsi="Arial" w:cs="Arial"/>
          <w:b/>
          <w:bCs/>
        </w:rPr>
        <w:t xml:space="preserve">2.0 </w:t>
      </w:r>
      <w:bookmarkStart w:id="2" w:name="_Hlk177735165"/>
      <w:r w:rsidRPr="00541197">
        <w:rPr>
          <w:rFonts w:ascii="Arial" w:hAnsi="Arial" w:cs="Arial"/>
          <w:b/>
          <w:bCs/>
        </w:rPr>
        <w:t>METHODOLOGY</w:t>
      </w:r>
    </w:p>
    <w:p w14:paraId="135A2358" w14:textId="77777777" w:rsidR="005F0F0B" w:rsidRPr="00CD3ADC" w:rsidRDefault="005F0F0B" w:rsidP="005C23EE">
      <w:pPr>
        <w:spacing w:after="0" w:line="360" w:lineRule="auto"/>
        <w:jc w:val="both"/>
        <w:rPr>
          <w:rFonts w:ascii="Arial" w:hAnsi="Arial" w:cs="Arial"/>
          <w:b/>
          <w:bCs/>
          <w:sz w:val="20"/>
          <w:szCs w:val="20"/>
        </w:rPr>
      </w:pPr>
      <w:r w:rsidRPr="00CD3ADC">
        <w:rPr>
          <w:rFonts w:ascii="Arial" w:hAnsi="Arial" w:cs="Arial"/>
          <w:b/>
          <w:bCs/>
          <w:sz w:val="20"/>
          <w:szCs w:val="20"/>
        </w:rPr>
        <w:lastRenderedPageBreak/>
        <w:t>2.1 Preparation of target protein and determination of active site.</w:t>
      </w:r>
    </w:p>
    <w:p w14:paraId="74413B47" w14:textId="3658D507" w:rsidR="005862C2" w:rsidRPr="00CD3ADC" w:rsidRDefault="00E5510F" w:rsidP="00CD3ADC">
      <w:pPr>
        <w:spacing w:line="360" w:lineRule="auto"/>
        <w:jc w:val="both"/>
        <w:rPr>
          <w:rFonts w:ascii="Arial" w:hAnsi="Arial" w:cs="Arial"/>
          <w:sz w:val="20"/>
          <w:szCs w:val="20"/>
        </w:rPr>
      </w:pPr>
      <w:r w:rsidRPr="00CD3ADC">
        <w:rPr>
          <w:rFonts w:ascii="Arial" w:hAnsi="Arial" w:cs="Arial"/>
          <w:sz w:val="20"/>
          <w:szCs w:val="20"/>
        </w:rPr>
        <w:t xml:space="preserve">The </w:t>
      </w:r>
      <w:r w:rsidR="00973159" w:rsidRPr="00CD3ADC">
        <w:rPr>
          <w:rFonts w:ascii="Arial" w:hAnsi="Arial" w:cs="Arial"/>
          <w:sz w:val="20"/>
          <w:szCs w:val="20"/>
        </w:rPr>
        <w:t>essentia</w:t>
      </w:r>
      <w:r w:rsidR="009C0A09" w:rsidRPr="00CD3ADC">
        <w:rPr>
          <w:rFonts w:ascii="Arial" w:hAnsi="Arial" w:cs="Arial"/>
          <w:sz w:val="20"/>
          <w:szCs w:val="20"/>
        </w:rPr>
        <w:t>l</w:t>
      </w:r>
      <w:r w:rsidRPr="00CD3ADC">
        <w:rPr>
          <w:rFonts w:ascii="Arial" w:hAnsi="Arial" w:cs="Arial"/>
          <w:sz w:val="20"/>
          <w:szCs w:val="20"/>
        </w:rPr>
        <w:t xml:space="preserve"> information on Plasmodium falciparum transketolase was sourced from the Protein Data Bank (PDB) </w:t>
      </w:r>
      <w:r w:rsidR="00326898" w:rsidRPr="00CD3ADC">
        <w:rPr>
          <w:rFonts w:ascii="Arial" w:hAnsi="Arial" w:cs="Arial"/>
          <w:sz w:val="20"/>
          <w:szCs w:val="20"/>
        </w:rPr>
        <w:t>(</w:t>
      </w:r>
      <w:hyperlink r:id="rId8" w:tgtFrame="_new" w:history="1">
        <w:r w:rsidR="00326898" w:rsidRPr="00CD3ADC">
          <w:rPr>
            <w:rStyle w:val="Hyperlink"/>
            <w:rFonts w:ascii="Arial" w:hAnsi="Arial" w:cs="Arial"/>
            <w:sz w:val="20"/>
            <w:szCs w:val="20"/>
          </w:rPr>
          <w:t>https://www.rcsb.org</w:t>
        </w:r>
      </w:hyperlink>
      <w:r w:rsidR="00326898" w:rsidRPr="00CD3ADC">
        <w:rPr>
          <w:rFonts w:ascii="Arial" w:hAnsi="Arial" w:cs="Arial"/>
          <w:sz w:val="20"/>
          <w:szCs w:val="20"/>
        </w:rPr>
        <w:t xml:space="preserve">). </w:t>
      </w:r>
      <w:r w:rsidRPr="00CD3ADC">
        <w:rPr>
          <w:rFonts w:ascii="Arial" w:hAnsi="Arial" w:cs="Arial"/>
          <w:sz w:val="20"/>
          <w:szCs w:val="20"/>
        </w:rPr>
        <w:t xml:space="preserve">The study utilized the homo-domain three-dimensional structure of Plasmodium falciparum transketolase, focusing on its domain D (PDB ID: 8R3Q) with a resolution of 1.88 Å </w:t>
      </w:r>
      <w:hyperlink r:id="rId9" w:history="1">
        <w:r w:rsidR="00E72F93" w:rsidRPr="00CD3ADC">
          <w:rPr>
            <w:rStyle w:val="Hyperlink"/>
            <w:rFonts w:ascii="Arial" w:hAnsi="Arial" w:cs="Arial"/>
            <w:sz w:val="20"/>
            <w:szCs w:val="20"/>
          </w:rPr>
          <w:t>(https://doi.org/10.2210/pdb8r3q/pdb).</w:t>
        </w:r>
      </w:hyperlink>
      <w:r w:rsidRPr="00CD3ADC">
        <w:rPr>
          <w:rFonts w:ascii="Arial" w:hAnsi="Arial" w:cs="Arial"/>
          <w:sz w:val="20"/>
          <w:szCs w:val="20"/>
        </w:rPr>
        <w:t xml:space="preserve">. Biovia Discovery Studio 2021 </w:t>
      </w:r>
      <w:r w:rsidR="00E6229C" w:rsidRPr="00CD3ADC">
        <w:rPr>
          <w:rFonts w:ascii="Arial" w:hAnsi="Arial" w:cs="Arial"/>
          <w:sz w:val="20"/>
          <w:szCs w:val="20"/>
        </w:rPr>
        <w:t>(</w:t>
      </w:r>
      <w:hyperlink r:id="rId10" w:tgtFrame="_new" w:history="1">
        <w:r w:rsidR="00E6229C" w:rsidRPr="00CD3ADC">
          <w:rPr>
            <w:rStyle w:val="Hyperlink"/>
            <w:rFonts w:ascii="Arial" w:hAnsi="Arial" w:cs="Arial"/>
            <w:sz w:val="20"/>
            <w:szCs w:val="20"/>
          </w:rPr>
          <w:t>http://www.accelrys.com</w:t>
        </w:r>
      </w:hyperlink>
      <w:r w:rsidR="00E6229C" w:rsidRPr="00CD3ADC">
        <w:rPr>
          <w:rFonts w:ascii="Arial" w:hAnsi="Arial" w:cs="Arial"/>
          <w:sz w:val="20"/>
          <w:szCs w:val="20"/>
        </w:rPr>
        <w:t>)</w:t>
      </w:r>
      <w:r w:rsidRPr="00CD3ADC">
        <w:rPr>
          <w:rFonts w:ascii="Arial" w:hAnsi="Arial" w:cs="Arial"/>
          <w:sz w:val="20"/>
          <w:szCs w:val="20"/>
        </w:rPr>
        <w:t xml:space="preserve"> was employed to optimize the protein structure to eliminate unintended interactions that might compromise the virtual screening process</w:t>
      </w:r>
      <w:r w:rsidR="0078138B" w:rsidRPr="00CD3ADC">
        <w:rPr>
          <w:rFonts w:ascii="Arial" w:hAnsi="Arial" w:cs="Arial"/>
          <w:sz w:val="20"/>
          <w:szCs w:val="20"/>
        </w:rPr>
        <w:t xml:space="preserve"> [16]</w:t>
      </w:r>
      <w:r w:rsidRPr="00CD3ADC">
        <w:rPr>
          <w:rFonts w:ascii="Arial" w:hAnsi="Arial" w:cs="Arial"/>
          <w:sz w:val="20"/>
          <w:szCs w:val="20"/>
        </w:rPr>
        <w:t>. The CASTp 3.0 web server was used to predict the active site of the target protein, enabling precise site-specific docking by accurately identifying potential drug interaction sites [1</w:t>
      </w:r>
      <w:r w:rsidR="0078138B" w:rsidRPr="00CD3ADC">
        <w:rPr>
          <w:rFonts w:ascii="Arial" w:hAnsi="Arial" w:cs="Arial"/>
          <w:sz w:val="20"/>
          <w:szCs w:val="20"/>
        </w:rPr>
        <w:t>7</w:t>
      </w:r>
      <w:r w:rsidRPr="00CD3ADC">
        <w:rPr>
          <w:rFonts w:ascii="Arial" w:hAnsi="Arial" w:cs="Arial"/>
          <w:sz w:val="20"/>
          <w:szCs w:val="20"/>
        </w:rPr>
        <w:t>].</w:t>
      </w:r>
    </w:p>
    <w:p w14:paraId="76A88DB2" w14:textId="77777777" w:rsidR="00B713E5" w:rsidRPr="00CD3ADC" w:rsidRDefault="00B713E5" w:rsidP="005C23EE">
      <w:pPr>
        <w:pStyle w:val="NormalWeb"/>
        <w:spacing w:before="0" w:beforeAutospacing="0" w:after="0" w:afterAutospacing="0" w:line="360" w:lineRule="auto"/>
        <w:jc w:val="both"/>
        <w:rPr>
          <w:rFonts w:ascii="Arial" w:hAnsi="Arial" w:cs="Arial"/>
          <w:b/>
          <w:bCs/>
          <w:sz w:val="20"/>
          <w:szCs w:val="20"/>
        </w:rPr>
      </w:pPr>
      <w:r w:rsidRPr="00CD3ADC">
        <w:rPr>
          <w:rFonts w:ascii="Arial" w:hAnsi="Arial" w:cs="Arial"/>
          <w:b/>
          <w:bCs/>
          <w:sz w:val="20"/>
          <w:szCs w:val="20"/>
        </w:rPr>
        <w:t>2.2 Preparation of Ligands</w:t>
      </w:r>
    </w:p>
    <w:p w14:paraId="41E2ED24" w14:textId="1FD5BE70" w:rsidR="00E92FF0" w:rsidRPr="00CD3ADC" w:rsidRDefault="0022382F" w:rsidP="005C23EE">
      <w:pPr>
        <w:pStyle w:val="NormalWeb"/>
        <w:spacing w:before="0" w:beforeAutospacing="0" w:after="0" w:afterAutospacing="0" w:line="360" w:lineRule="auto"/>
        <w:jc w:val="both"/>
        <w:rPr>
          <w:rFonts w:ascii="Arial" w:hAnsi="Arial" w:cs="Arial"/>
          <w:sz w:val="20"/>
          <w:szCs w:val="20"/>
        </w:rPr>
      </w:pPr>
      <w:r w:rsidRPr="00CD3ADC">
        <w:rPr>
          <w:rFonts w:ascii="Arial" w:hAnsi="Arial" w:cs="Arial"/>
          <w:sz w:val="20"/>
          <w:szCs w:val="20"/>
        </w:rPr>
        <w:t xml:space="preserve">Oxythiamine, the reference drug, was retrieved from the PubChem database </w:t>
      </w:r>
      <w:r w:rsidR="000E2154" w:rsidRPr="00CD3ADC">
        <w:rPr>
          <w:rFonts w:ascii="Arial" w:hAnsi="Arial" w:cs="Arial"/>
          <w:sz w:val="20"/>
          <w:szCs w:val="20"/>
        </w:rPr>
        <w:t>(</w:t>
      </w:r>
      <w:hyperlink r:id="rId11" w:tgtFrame="_new" w:history="1">
        <w:r w:rsidR="000E2154" w:rsidRPr="00CD3ADC">
          <w:rPr>
            <w:rStyle w:val="Hyperlink"/>
            <w:rFonts w:ascii="Arial" w:eastAsia="Noto Serif CJK SC" w:hAnsi="Arial" w:cs="Arial"/>
            <w:sz w:val="20"/>
            <w:szCs w:val="20"/>
          </w:rPr>
          <w:t>https://pubchem.ncbi.nlm.nih.gov/</w:t>
        </w:r>
      </w:hyperlink>
      <w:r w:rsidR="000E2154" w:rsidRPr="00CD3ADC">
        <w:rPr>
          <w:rFonts w:ascii="Arial" w:hAnsi="Arial" w:cs="Arial"/>
          <w:sz w:val="20"/>
          <w:szCs w:val="20"/>
        </w:rPr>
        <w:t xml:space="preserve">). </w:t>
      </w:r>
      <w:r w:rsidRPr="00CD3ADC">
        <w:rPr>
          <w:rFonts w:ascii="Arial" w:hAnsi="Arial" w:cs="Arial"/>
          <w:sz w:val="20"/>
          <w:szCs w:val="20"/>
        </w:rPr>
        <w:t xml:space="preserve">Pharmacophore modeling of phenylisocytosine was </w:t>
      </w:r>
      <w:r w:rsidR="0071073A" w:rsidRPr="00CD3ADC">
        <w:rPr>
          <w:rFonts w:ascii="Arial" w:hAnsi="Arial" w:cs="Arial"/>
          <w:sz w:val="20"/>
          <w:szCs w:val="20"/>
        </w:rPr>
        <w:t>carried out</w:t>
      </w:r>
      <w:r w:rsidRPr="00CD3ADC">
        <w:rPr>
          <w:rFonts w:ascii="Arial" w:hAnsi="Arial" w:cs="Arial"/>
          <w:sz w:val="20"/>
          <w:szCs w:val="20"/>
        </w:rPr>
        <w:t xml:space="preserve"> using the ZINC20 database </w:t>
      </w:r>
      <w:r w:rsidR="000E2154" w:rsidRPr="00CD3ADC">
        <w:rPr>
          <w:rFonts w:ascii="Arial" w:hAnsi="Arial" w:cs="Arial"/>
          <w:sz w:val="20"/>
          <w:szCs w:val="20"/>
        </w:rPr>
        <w:t>(</w:t>
      </w:r>
      <w:hyperlink r:id="rId12" w:history="1">
        <w:r w:rsidR="00893E47" w:rsidRPr="003C22FC">
          <w:rPr>
            <w:rStyle w:val="Hyperlink"/>
            <w:rFonts w:ascii="Arial" w:eastAsia="Noto Serif CJK SC" w:hAnsi="Arial" w:cs="Arial"/>
            <w:sz w:val="20"/>
            <w:szCs w:val="20"/>
          </w:rPr>
          <w:t>https://zinc20.docking.org/</w:t>
        </w:r>
      </w:hyperlink>
      <w:r w:rsidR="000E2154" w:rsidRPr="00CD3ADC">
        <w:rPr>
          <w:rFonts w:ascii="Arial" w:hAnsi="Arial" w:cs="Arial"/>
          <w:sz w:val="20"/>
          <w:szCs w:val="20"/>
        </w:rPr>
        <w:t>)</w:t>
      </w:r>
      <w:r w:rsidRPr="00CD3ADC">
        <w:rPr>
          <w:rFonts w:ascii="Arial" w:hAnsi="Arial" w:cs="Arial"/>
          <w:sz w:val="20"/>
          <w:szCs w:val="20"/>
        </w:rPr>
        <w:t xml:space="preserve">, yielding six Schiff bases: 2-((3-hydroxybenzylidene)amino)-6-phenylpyrimidin-4(1H)-one, 2-((3,4-dimethoxybenzylidene)amino)-6-phenylpyrimidin-4(1H)-one, 2-((2,4-dihydroxybenzylidene)amino)-6-phenylpyrimidin-4(1H)-one, 2-((4-dimethylamino)benzylidene)amino)-6-phenylpyrimidin-4(1H)-one, 2-((4-methoxybenzylidene)amino)-6-phenylpyrimidin-4(1H)-one, and 2-((2-hydroxybenzylidene)amino)-6-phenylpyrimidin-4(1H)-one. These </w:t>
      </w:r>
      <w:r w:rsidR="00AA5CE3" w:rsidRPr="00CD3ADC">
        <w:rPr>
          <w:rFonts w:ascii="Arial" w:hAnsi="Arial" w:cs="Arial"/>
          <w:sz w:val="20"/>
          <w:szCs w:val="20"/>
        </w:rPr>
        <w:t>S</w:t>
      </w:r>
      <w:r w:rsidR="00A36CD8" w:rsidRPr="00CD3ADC">
        <w:rPr>
          <w:rFonts w:ascii="Arial" w:hAnsi="Arial" w:cs="Arial"/>
          <w:sz w:val="20"/>
          <w:szCs w:val="20"/>
        </w:rPr>
        <w:t>chiff bases</w:t>
      </w:r>
      <w:r w:rsidRPr="00CD3ADC">
        <w:rPr>
          <w:rFonts w:ascii="Arial" w:hAnsi="Arial" w:cs="Arial"/>
          <w:sz w:val="20"/>
          <w:szCs w:val="20"/>
        </w:rPr>
        <w:t xml:space="preserve"> were optimized </w:t>
      </w:r>
      <w:r w:rsidR="00BE2C53" w:rsidRPr="00E92FF0">
        <w:rPr>
          <w:rFonts w:ascii="Arial" w:hAnsi="Arial" w:cs="Arial"/>
          <w:sz w:val="20"/>
          <w:szCs w:val="20"/>
        </w:rPr>
        <w:t xml:space="preserve">using </w:t>
      </w:r>
      <w:r w:rsidR="00BE2C53" w:rsidRPr="00CD3ADC">
        <w:rPr>
          <w:rFonts w:ascii="Arial" w:hAnsi="Arial" w:cs="Arial"/>
          <w:sz w:val="20"/>
          <w:szCs w:val="20"/>
        </w:rPr>
        <w:t xml:space="preserve">Spartan 14 software </w:t>
      </w:r>
      <w:r w:rsidR="00B35496" w:rsidRPr="00CD3ADC">
        <w:rPr>
          <w:rFonts w:ascii="Arial" w:hAnsi="Arial" w:cs="Arial"/>
          <w:sz w:val="20"/>
          <w:szCs w:val="20"/>
        </w:rPr>
        <w:t>before being</w:t>
      </w:r>
      <w:r w:rsidRPr="00CD3ADC">
        <w:rPr>
          <w:rFonts w:ascii="Arial" w:hAnsi="Arial" w:cs="Arial"/>
          <w:sz w:val="20"/>
          <w:szCs w:val="20"/>
        </w:rPr>
        <w:t xml:space="preserve"> saved in PDB format </w:t>
      </w:r>
      <w:r w:rsidR="00B55EA7" w:rsidRPr="00CD3ADC">
        <w:rPr>
          <w:rFonts w:ascii="Arial" w:hAnsi="Arial" w:cs="Arial"/>
          <w:sz w:val="20"/>
          <w:szCs w:val="20"/>
        </w:rPr>
        <w:t xml:space="preserve">to enable </w:t>
      </w:r>
      <w:r w:rsidRPr="00CD3ADC">
        <w:rPr>
          <w:rFonts w:ascii="Arial" w:hAnsi="Arial" w:cs="Arial"/>
          <w:sz w:val="20"/>
          <w:szCs w:val="20"/>
        </w:rPr>
        <w:t>compatib</w:t>
      </w:r>
      <w:r w:rsidR="00B55EA7" w:rsidRPr="00CD3ADC">
        <w:rPr>
          <w:rFonts w:ascii="Arial" w:hAnsi="Arial" w:cs="Arial"/>
          <w:sz w:val="20"/>
          <w:szCs w:val="20"/>
        </w:rPr>
        <w:t>ility</w:t>
      </w:r>
      <w:r w:rsidRPr="00CD3ADC">
        <w:rPr>
          <w:rFonts w:ascii="Arial" w:hAnsi="Arial" w:cs="Arial"/>
          <w:sz w:val="20"/>
          <w:szCs w:val="20"/>
        </w:rPr>
        <w:t xml:space="preserve"> with the </w:t>
      </w:r>
      <w:proofErr w:type="spellStart"/>
      <w:r w:rsidRPr="00CD3ADC">
        <w:rPr>
          <w:rFonts w:ascii="Arial" w:hAnsi="Arial" w:cs="Arial"/>
          <w:sz w:val="20"/>
          <w:szCs w:val="20"/>
        </w:rPr>
        <w:t>iGEMDock</w:t>
      </w:r>
      <w:proofErr w:type="spellEnd"/>
      <w:r w:rsidRPr="00CD3ADC">
        <w:rPr>
          <w:rFonts w:ascii="Arial" w:hAnsi="Arial" w:cs="Arial"/>
          <w:sz w:val="20"/>
          <w:szCs w:val="20"/>
        </w:rPr>
        <w:t xml:space="preserve"> and Molecular Operating Environment (MOE) docking algorithms. Open Babel was used to convert all </w:t>
      </w:r>
      <w:r w:rsidR="00004B75" w:rsidRPr="00CD3ADC">
        <w:rPr>
          <w:rFonts w:ascii="Arial" w:hAnsi="Arial" w:cs="Arial"/>
          <w:sz w:val="20"/>
          <w:szCs w:val="20"/>
        </w:rPr>
        <w:t>ligands</w:t>
      </w:r>
      <w:r w:rsidRPr="00CD3ADC">
        <w:rPr>
          <w:rFonts w:ascii="Arial" w:hAnsi="Arial" w:cs="Arial"/>
          <w:sz w:val="20"/>
          <w:szCs w:val="20"/>
        </w:rPr>
        <w:t xml:space="preserve"> to PDBQT format for compatibility with the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w:t>
      </w:r>
      <w:proofErr w:type="spellStart"/>
      <w:r w:rsidRPr="00CD3ADC">
        <w:rPr>
          <w:rFonts w:ascii="Arial" w:hAnsi="Arial" w:cs="Arial"/>
          <w:sz w:val="20"/>
          <w:szCs w:val="20"/>
        </w:rPr>
        <w:t>Vina</w:t>
      </w:r>
      <w:proofErr w:type="spellEnd"/>
      <w:r w:rsidRPr="00CD3ADC">
        <w:rPr>
          <w:rFonts w:ascii="Arial" w:hAnsi="Arial" w:cs="Arial"/>
          <w:sz w:val="20"/>
          <w:szCs w:val="20"/>
        </w:rPr>
        <w:t xml:space="preserve"> algorithm, facilitating an in-depth analysis of binding interactions</w:t>
      </w:r>
      <w:r w:rsidR="0078138B" w:rsidRPr="00CD3ADC">
        <w:rPr>
          <w:rFonts w:ascii="Arial" w:hAnsi="Arial" w:cs="Arial"/>
          <w:sz w:val="20"/>
          <w:szCs w:val="20"/>
        </w:rPr>
        <w:t xml:space="preserve"> [18]</w:t>
      </w:r>
      <w:r w:rsidRPr="00CD3ADC">
        <w:rPr>
          <w:rFonts w:ascii="Arial" w:hAnsi="Arial" w:cs="Arial"/>
          <w:sz w:val="20"/>
          <w:szCs w:val="20"/>
        </w:rPr>
        <w:t>.</w:t>
      </w:r>
    </w:p>
    <w:p w14:paraId="2ECFD652" w14:textId="77777777" w:rsidR="005F0F0B" w:rsidRPr="00CD3ADC" w:rsidRDefault="005F0F0B" w:rsidP="005C23EE">
      <w:pPr>
        <w:pStyle w:val="NormalWeb"/>
        <w:spacing w:before="0" w:beforeAutospacing="0" w:after="0" w:afterAutospacing="0" w:line="360" w:lineRule="auto"/>
        <w:jc w:val="both"/>
        <w:rPr>
          <w:rFonts w:ascii="Arial" w:hAnsi="Arial" w:cs="Arial"/>
          <w:b/>
          <w:bCs/>
          <w:sz w:val="20"/>
          <w:szCs w:val="20"/>
        </w:rPr>
      </w:pPr>
      <w:r w:rsidRPr="00CD3ADC">
        <w:rPr>
          <w:rFonts w:ascii="Arial" w:hAnsi="Arial" w:cs="Arial"/>
          <w:b/>
          <w:bCs/>
          <w:sz w:val="20"/>
          <w:szCs w:val="20"/>
        </w:rPr>
        <w:t xml:space="preserve">2.3 Molecular Docking Validation </w:t>
      </w:r>
    </w:p>
    <w:p w14:paraId="22FEC312" w14:textId="4FB39D1C" w:rsidR="005F12A7" w:rsidRPr="00CD3ADC" w:rsidRDefault="005F12A7" w:rsidP="005C23EE">
      <w:pPr>
        <w:pStyle w:val="NormalWeb"/>
        <w:spacing w:before="0" w:beforeAutospacing="0" w:after="0" w:afterAutospacing="0" w:line="360" w:lineRule="auto"/>
        <w:jc w:val="both"/>
        <w:rPr>
          <w:rFonts w:ascii="Arial" w:hAnsi="Arial" w:cs="Arial"/>
          <w:sz w:val="20"/>
          <w:szCs w:val="20"/>
        </w:rPr>
      </w:pPr>
      <w:r w:rsidRPr="00CD3ADC">
        <w:rPr>
          <w:rFonts w:ascii="Arial" w:hAnsi="Arial" w:cs="Arial"/>
          <w:sz w:val="20"/>
          <w:szCs w:val="20"/>
        </w:rPr>
        <w:t xml:space="preserve">To enhance the accuracy of virtual screening, consensus scoring was applied using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w:t>
      </w:r>
      <w:proofErr w:type="spellStart"/>
      <w:r w:rsidRPr="00CD3ADC">
        <w:rPr>
          <w:rFonts w:ascii="Arial" w:hAnsi="Arial" w:cs="Arial"/>
          <w:sz w:val="20"/>
          <w:szCs w:val="20"/>
        </w:rPr>
        <w:t>Vina</w:t>
      </w:r>
      <w:proofErr w:type="spellEnd"/>
      <w:r w:rsidRPr="00CD3ADC">
        <w:rPr>
          <w:rFonts w:ascii="Arial" w:hAnsi="Arial" w:cs="Arial"/>
          <w:sz w:val="20"/>
          <w:szCs w:val="20"/>
        </w:rPr>
        <w:t xml:space="preserve">, </w:t>
      </w:r>
      <w:proofErr w:type="spellStart"/>
      <w:r w:rsidRPr="00CD3ADC">
        <w:rPr>
          <w:rFonts w:ascii="Arial" w:hAnsi="Arial" w:cs="Arial"/>
          <w:sz w:val="20"/>
          <w:szCs w:val="20"/>
        </w:rPr>
        <w:t>iGEMDock</w:t>
      </w:r>
      <w:proofErr w:type="spellEnd"/>
      <w:r w:rsidRPr="00CD3ADC">
        <w:rPr>
          <w:rFonts w:ascii="Arial" w:hAnsi="Arial" w:cs="Arial"/>
          <w:sz w:val="20"/>
          <w:szCs w:val="20"/>
        </w:rPr>
        <w:t>, and MOE, each employing distinct algorithms [1</w:t>
      </w:r>
      <w:r w:rsidR="001E0D44" w:rsidRPr="00CD3ADC">
        <w:rPr>
          <w:rFonts w:ascii="Arial" w:hAnsi="Arial" w:cs="Arial"/>
          <w:sz w:val="20"/>
          <w:szCs w:val="20"/>
        </w:rPr>
        <w:t>9</w:t>
      </w:r>
      <w:r w:rsidRPr="00CD3ADC">
        <w:rPr>
          <w:rFonts w:ascii="Arial" w:hAnsi="Arial" w:cs="Arial"/>
          <w:sz w:val="20"/>
          <w:szCs w:val="20"/>
        </w:rPr>
        <w:t>-</w:t>
      </w:r>
      <w:r w:rsidR="001E0D44" w:rsidRPr="00CD3ADC">
        <w:rPr>
          <w:rFonts w:ascii="Arial" w:hAnsi="Arial" w:cs="Arial"/>
          <w:sz w:val="20"/>
          <w:szCs w:val="20"/>
        </w:rPr>
        <w:t>21</w:t>
      </w:r>
      <w:r w:rsidRPr="00CD3ADC">
        <w:rPr>
          <w:rFonts w:ascii="Arial" w:hAnsi="Arial" w:cs="Arial"/>
          <w:sz w:val="20"/>
          <w:szCs w:val="20"/>
        </w:rPr>
        <w:t xml:space="preserve">]. These tools evaluated the binding affinity and interactions of the co-crystallized ligand, thiamine pyrophosphate, within the active site of the D-domain of Plasmodium falciparum transketolase.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w:t>
      </w:r>
      <w:proofErr w:type="spellStart"/>
      <w:r w:rsidRPr="00CD3ADC">
        <w:rPr>
          <w:rFonts w:ascii="Arial" w:hAnsi="Arial" w:cs="Arial"/>
          <w:sz w:val="20"/>
          <w:szCs w:val="20"/>
        </w:rPr>
        <w:t>Vina</w:t>
      </w:r>
      <w:proofErr w:type="spellEnd"/>
      <w:r w:rsidRPr="00CD3ADC">
        <w:rPr>
          <w:rFonts w:ascii="Arial" w:hAnsi="Arial" w:cs="Arial"/>
          <w:sz w:val="20"/>
          <w:szCs w:val="20"/>
        </w:rPr>
        <w:t xml:space="preserve"> and </w:t>
      </w:r>
      <w:proofErr w:type="spellStart"/>
      <w:r w:rsidRPr="00CD3ADC">
        <w:rPr>
          <w:rFonts w:ascii="Arial" w:hAnsi="Arial" w:cs="Arial"/>
          <w:sz w:val="20"/>
          <w:szCs w:val="20"/>
        </w:rPr>
        <w:t>iGEMDock</w:t>
      </w:r>
      <w:proofErr w:type="spellEnd"/>
      <w:r w:rsidRPr="00CD3ADC">
        <w:rPr>
          <w:rFonts w:ascii="Arial" w:hAnsi="Arial" w:cs="Arial"/>
          <w:sz w:val="20"/>
          <w:szCs w:val="20"/>
        </w:rPr>
        <w:t xml:space="preserve"> produced consistent binding scores and structural conformations, establishing their reliability for primary docking. This consensus scoring approach minimized false positives and negatives, ensuring robust predictions of potential drug efficacy.</w:t>
      </w:r>
    </w:p>
    <w:p w14:paraId="75BB0651" w14:textId="701E587D"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 Molecular Docking</w:t>
      </w:r>
    </w:p>
    <w:p w14:paraId="678A113B" w14:textId="3A86CF1A" w:rsidR="00EA03C3" w:rsidRPr="00034A24" w:rsidRDefault="00EA03C3" w:rsidP="005C23EE">
      <w:pPr>
        <w:pStyle w:val="NormalWeb"/>
        <w:spacing w:before="0" w:beforeAutospacing="0" w:after="0" w:afterAutospacing="0" w:line="360" w:lineRule="auto"/>
        <w:jc w:val="both"/>
        <w:rPr>
          <w:rFonts w:ascii="Arial" w:hAnsi="Arial" w:cs="Arial"/>
          <w:sz w:val="20"/>
          <w:szCs w:val="20"/>
        </w:rPr>
      </w:pPr>
      <w:r w:rsidRPr="00EA03C3">
        <w:rPr>
          <w:rFonts w:ascii="Arial" w:hAnsi="Arial" w:cs="Arial"/>
          <w:sz w:val="20"/>
          <w:szCs w:val="20"/>
        </w:rPr>
        <w:t>Molecular docking techniques were utilized to assess the binding interactions of oxythiamine and the six Schiff bases of phenylisocytosine with the Plasmodium falciparum transketolase enzyme (PDB ID: 8R3Q).</w:t>
      </w:r>
    </w:p>
    <w:p w14:paraId="29A1F78D" w14:textId="4091D2B8"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.1 </w:t>
      </w:r>
      <w:proofErr w:type="spellStart"/>
      <w:r w:rsidRPr="00F1016A">
        <w:rPr>
          <w:rFonts w:ascii="Arial" w:hAnsi="Arial" w:cs="Arial"/>
          <w:b/>
          <w:bCs/>
          <w:sz w:val="20"/>
          <w:szCs w:val="20"/>
        </w:rPr>
        <w:t>AutoDock</w:t>
      </w:r>
      <w:proofErr w:type="spellEnd"/>
      <w:r w:rsidRPr="00F1016A">
        <w:rPr>
          <w:rFonts w:ascii="Arial" w:hAnsi="Arial" w:cs="Arial"/>
          <w:b/>
          <w:bCs/>
          <w:sz w:val="20"/>
          <w:szCs w:val="20"/>
        </w:rPr>
        <w:t xml:space="preserve"> </w:t>
      </w:r>
      <w:proofErr w:type="spellStart"/>
      <w:r w:rsidRPr="00F1016A">
        <w:rPr>
          <w:rFonts w:ascii="Arial" w:hAnsi="Arial" w:cs="Arial"/>
          <w:b/>
          <w:bCs/>
          <w:sz w:val="20"/>
          <w:szCs w:val="20"/>
        </w:rPr>
        <w:t>Vina</w:t>
      </w:r>
      <w:proofErr w:type="spellEnd"/>
    </w:p>
    <w:p w14:paraId="0BAA0F6D" w14:textId="3A44AE3E" w:rsidR="006D29CE" w:rsidRPr="006D29CE" w:rsidRDefault="006D29CE" w:rsidP="005C23EE">
      <w:pPr>
        <w:pStyle w:val="NormalWeb"/>
        <w:spacing w:before="0" w:beforeAutospacing="0" w:after="0" w:afterAutospacing="0" w:line="360" w:lineRule="auto"/>
        <w:jc w:val="both"/>
        <w:rPr>
          <w:rFonts w:ascii="Arial" w:hAnsi="Arial" w:cs="Arial"/>
          <w:sz w:val="20"/>
          <w:szCs w:val="20"/>
        </w:rPr>
      </w:pPr>
      <w:proofErr w:type="spellStart"/>
      <w:r w:rsidRPr="006D29CE">
        <w:rPr>
          <w:rFonts w:ascii="Arial" w:hAnsi="Arial" w:cs="Arial"/>
          <w:sz w:val="20"/>
          <w:szCs w:val="20"/>
        </w:rPr>
        <w:t>AutoDock</w:t>
      </w:r>
      <w:proofErr w:type="spellEnd"/>
      <w:r w:rsidRPr="006D29CE">
        <w:rPr>
          <w:rFonts w:ascii="Arial" w:hAnsi="Arial" w:cs="Arial"/>
          <w:sz w:val="20"/>
          <w:szCs w:val="20"/>
        </w:rPr>
        <w:t xml:space="preserve"> </w:t>
      </w:r>
      <w:proofErr w:type="spellStart"/>
      <w:r w:rsidRPr="006D29CE">
        <w:rPr>
          <w:rFonts w:ascii="Arial" w:hAnsi="Arial" w:cs="Arial"/>
          <w:sz w:val="20"/>
          <w:szCs w:val="20"/>
        </w:rPr>
        <w:t>Vina</w:t>
      </w:r>
      <w:proofErr w:type="spellEnd"/>
      <w:r w:rsidRPr="006D29CE">
        <w:rPr>
          <w:rFonts w:ascii="Arial" w:hAnsi="Arial" w:cs="Arial"/>
          <w:sz w:val="20"/>
          <w:szCs w:val="20"/>
        </w:rPr>
        <w:t xml:space="preserve"> was employed for structure-based virtual screening to predict ligand binding affinity to Plasmodium falciparum transketolase. Docking was conducted with an exhaustiveness level of 8 to thoroughly explore conformational space [</w:t>
      </w:r>
      <w:r w:rsidR="001E0D44">
        <w:rPr>
          <w:rFonts w:ascii="Arial" w:hAnsi="Arial" w:cs="Arial"/>
          <w:sz w:val="20"/>
          <w:szCs w:val="20"/>
        </w:rPr>
        <w:t>22</w:t>
      </w:r>
      <w:r w:rsidRPr="006D29CE">
        <w:rPr>
          <w:rFonts w:ascii="Arial" w:hAnsi="Arial" w:cs="Arial"/>
          <w:sz w:val="20"/>
          <w:szCs w:val="20"/>
        </w:rPr>
        <w:t xml:space="preserve">]. The grid box, defining the docking site, was positioned around the active pocket of the 8R3Q receptor with dimensions of 44 × 44 × 44 along the X, Y, and Z axes, and a spacing of 1Å centered on specific active pocket residues (Trp46, Ser47, Tyr48, Met50, Arg62, </w:t>
      </w:r>
      <w:r w:rsidRPr="006D29CE">
        <w:rPr>
          <w:rFonts w:ascii="Arial" w:hAnsi="Arial" w:cs="Arial"/>
          <w:sz w:val="20"/>
          <w:szCs w:val="20"/>
        </w:rPr>
        <w:lastRenderedPageBreak/>
        <w:t>Asp63, His109, Thr111, Val114, Glu115, Tyr153, Asp160, Asn190, Ile194, Cys253, His266, Lys306, Asn310, Val427). Polar hydrogen atoms were added, and Gasteiger charges were applied before converting the protein structure to PDBQT format [</w:t>
      </w:r>
      <w:r w:rsidR="001E0D44">
        <w:rPr>
          <w:rFonts w:ascii="Arial" w:hAnsi="Arial" w:cs="Arial"/>
          <w:sz w:val="20"/>
          <w:szCs w:val="20"/>
        </w:rPr>
        <w:t>12</w:t>
      </w:r>
      <w:r w:rsidRPr="006D29CE">
        <w:rPr>
          <w:rFonts w:ascii="Arial" w:hAnsi="Arial" w:cs="Arial"/>
          <w:sz w:val="20"/>
          <w:szCs w:val="20"/>
        </w:rPr>
        <w:t>,2</w:t>
      </w:r>
      <w:r w:rsidR="001E0D44">
        <w:rPr>
          <w:rFonts w:ascii="Arial" w:hAnsi="Arial" w:cs="Arial"/>
          <w:sz w:val="20"/>
          <w:szCs w:val="20"/>
        </w:rPr>
        <w:t>2</w:t>
      </w:r>
      <w:r w:rsidRPr="006D29CE">
        <w:rPr>
          <w:rFonts w:ascii="Arial" w:hAnsi="Arial" w:cs="Arial"/>
          <w:sz w:val="20"/>
          <w:szCs w:val="20"/>
        </w:rPr>
        <w:t xml:space="preserve">]. Eight docking conformations were generated for each ligand, scored using the London </w:t>
      </w:r>
      <w:proofErr w:type="spellStart"/>
      <w:r w:rsidRPr="006D29CE">
        <w:rPr>
          <w:rFonts w:ascii="Arial" w:hAnsi="Arial" w:cs="Arial"/>
          <w:sz w:val="20"/>
          <w:szCs w:val="20"/>
        </w:rPr>
        <w:t>dG</w:t>
      </w:r>
      <w:proofErr w:type="spellEnd"/>
      <w:r w:rsidRPr="006D29CE">
        <w:rPr>
          <w:rFonts w:ascii="Arial" w:hAnsi="Arial" w:cs="Arial"/>
          <w:sz w:val="20"/>
          <w:szCs w:val="20"/>
        </w:rPr>
        <w:t xml:space="preserve"> function, and the lowest-energy pose was selected for further analysis [2</w:t>
      </w:r>
      <w:r w:rsidR="001E0D44">
        <w:rPr>
          <w:rFonts w:ascii="Arial" w:hAnsi="Arial" w:cs="Arial"/>
          <w:sz w:val="20"/>
          <w:szCs w:val="20"/>
        </w:rPr>
        <w:t>3</w:t>
      </w:r>
      <w:r w:rsidRPr="006D29CE">
        <w:rPr>
          <w:rFonts w:ascii="Arial" w:hAnsi="Arial" w:cs="Arial"/>
          <w:sz w:val="20"/>
          <w:szCs w:val="20"/>
        </w:rPr>
        <w:t>].</w:t>
      </w:r>
    </w:p>
    <w:p w14:paraId="0A891F85" w14:textId="002157DD"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.2 </w:t>
      </w:r>
      <w:proofErr w:type="spellStart"/>
      <w:r w:rsidRPr="00F1016A">
        <w:rPr>
          <w:rFonts w:ascii="Arial" w:hAnsi="Arial" w:cs="Arial"/>
          <w:b/>
          <w:bCs/>
          <w:sz w:val="20"/>
          <w:szCs w:val="20"/>
        </w:rPr>
        <w:t>iGEMDock</w:t>
      </w:r>
      <w:proofErr w:type="spellEnd"/>
    </w:p>
    <w:p w14:paraId="2D44BD87" w14:textId="251554FA" w:rsidR="00D05FAB" w:rsidRPr="008F1F2B" w:rsidRDefault="00D05FAB" w:rsidP="005C23EE">
      <w:pPr>
        <w:pStyle w:val="NormalWeb"/>
        <w:spacing w:before="0" w:beforeAutospacing="0" w:after="0" w:afterAutospacing="0" w:line="360" w:lineRule="auto"/>
        <w:jc w:val="both"/>
        <w:rPr>
          <w:rFonts w:ascii="Arial" w:hAnsi="Arial" w:cs="Arial"/>
          <w:sz w:val="20"/>
          <w:szCs w:val="20"/>
        </w:rPr>
      </w:pPr>
      <w:r w:rsidRPr="00D05FAB">
        <w:rPr>
          <w:rFonts w:ascii="Arial" w:hAnsi="Arial" w:cs="Arial"/>
          <w:sz w:val="20"/>
          <w:szCs w:val="20"/>
        </w:rPr>
        <w:t xml:space="preserve">Molecular docking was </w:t>
      </w:r>
      <w:r w:rsidR="00A56630">
        <w:rPr>
          <w:rFonts w:ascii="Arial" w:hAnsi="Arial" w:cs="Arial"/>
          <w:sz w:val="20"/>
          <w:szCs w:val="20"/>
        </w:rPr>
        <w:t xml:space="preserve">also </w:t>
      </w:r>
      <w:r w:rsidR="00EF35B8">
        <w:rPr>
          <w:rFonts w:ascii="Arial" w:hAnsi="Arial" w:cs="Arial"/>
          <w:sz w:val="20"/>
          <w:szCs w:val="20"/>
        </w:rPr>
        <w:t>conducted</w:t>
      </w:r>
      <w:r w:rsidRPr="00D05FAB">
        <w:rPr>
          <w:rFonts w:ascii="Arial" w:hAnsi="Arial" w:cs="Arial"/>
          <w:sz w:val="20"/>
          <w:szCs w:val="20"/>
        </w:rPr>
        <w:t xml:space="preserve"> using </w:t>
      </w:r>
      <w:proofErr w:type="spellStart"/>
      <w:r w:rsidRPr="00D05FAB">
        <w:rPr>
          <w:rFonts w:ascii="Arial" w:hAnsi="Arial" w:cs="Arial"/>
          <w:sz w:val="20"/>
          <w:szCs w:val="20"/>
        </w:rPr>
        <w:t>iGEMDock</w:t>
      </w:r>
      <w:proofErr w:type="spellEnd"/>
      <w:r w:rsidRPr="00D05FAB">
        <w:rPr>
          <w:rFonts w:ascii="Arial" w:hAnsi="Arial" w:cs="Arial"/>
          <w:sz w:val="20"/>
          <w:szCs w:val="20"/>
        </w:rPr>
        <w:t xml:space="preserve"> version 2.1. The "prepare binding site" feature was used to define docking parameters, creating a grid with an 8.0 Å radius centered on the active site. Precision parameters included a population size of 800, 10 solutions, and 80 generations [2</w:t>
      </w:r>
      <w:r w:rsidR="00A11C38">
        <w:rPr>
          <w:rFonts w:ascii="Arial" w:hAnsi="Arial" w:cs="Arial"/>
          <w:sz w:val="20"/>
          <w:szCs w:val="20"/>
        </w:rPr>
        <w:t>0</w:t>
      </w:r>
      <w:r w:rsidRPr="00D05FAB">
        <w:rPr>
          <w:rFonts w:ascii="Arial" w:hAnsi="Arial" w:cs="Arial"/>
          <w:sz w:val="20"/>
          <w:szCs w:val="20"/>
        </w:rPr>
        <w:t>,</w:t>
      </w:r>
      <w:r w:rsidR="00A11C38">
        <w:rPr>
          <w:rFonts w:ascii="Arial" w:hAnsi="Arial" w:cs="Arial"/>
          <w:sz w:val="20"/>
          <w:szCs w:val="20"/>
        </w:rPr>
        <w:t>23</w:t>
      </w:r>
      <w:r w:rsidRPr="00D05FAB">
        <w:rPr>
          <w:rFonts w:ascii="Arial" w:hAnsi="Arial" w:cs="Arial"/>
          <w:sz w:val="20"/>
          <w:szCs w:val="20"/>
        </w:rPr>
        <w:t>]. This setup enabled exhaustive exploration of binding orientations and affinities, providing robust validation.</w:t>
      </w:r>
    </w:p>
    <w:p w14:paraId="0AA2CF4B" w14:textId="360EEF10"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 Physicochemical, Pharmacokinetic and Toxicological </w:t>
      </w:r>
      <w:r w:rsidR="005C23EE">
        <w:rPr>
          <w:rFonts w:ascii="Arial" w:hAnsi="Arial" w:cs="Arial"/>
          <w:b/>
          <w:iCs/>
          <w:sz w:val="20"/>
          <w:szCs w:val="20"/>
        </w:rPr>
        <w:t>Evaluation</w:t>
      </w:r>
      <w:r w:rsidRPr="00F1016A">
        <w:rPr>
          <w:rFonts w:ascii="Arial" w:hAnsi="Arial" w:cs="Arial"/>
          <w:b/>
          <w:iCs/>
          <w:sz w:val="20"/>
          <w:szCs w:val="20"/>
        </w:rPr>
        <w:t xml:space="preserve">. </w:t>
      </w:r>
    </w:p>
    <w:p w14:paraId="22F72778" w14:textId="2BAB514E"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.1 Drug-likeness </w:t>
      </w:r>
      <w:r w:rsidR="005C23EE">
        <w:rPr>
          <w:rFonts w:ascii="Arial" w:hAnsi="Arial" w:cs="Arial"/>
          <w:b/>
          <w:iCs/>
          <w:sz w:val="20"/>
          <w:szCs w:val="20"/>
        </w:rPr>
        <w:t>Prediction</w:t>
      </w:r>
      <w:r w:rsidRPr="00F1016A">
        <w:rPr>
          <w:rFonts w:ascii="Arial" w:hAnsi="Arial" w:cs="Arial"/>
          <w:b/>
          <w:iCs/>
          <w:sz w:val="20"/>
          <w:szCs w:val="20"/>
        </w:rPr>
        <w:t xml:space="preserve"> </w:t>
      </w:r>
    </w:p>
    <w:p w14:paraId="7975B917" w14:textId="6CC75610" w:rsidR="008151C2" w:rsidRPr="00AE3720" w:rsidRDefault="00224F3E" w:rsidP="005C23EE">
      <w:pPr>
        <w:pStyle w:val="NormalWeb"/>
        <w:spacing w:before="0" w:beforeAutospacing="0" w:after="0" w:afterAutospacing="0" w:line="360" w:lineRule="auto"/>
        <w:jc w:val="both"/>
        <w:rPr>
          <w:rFonts w:ascii="Arial" w:hAnsi="Arial" w:cs="Arial"/>
          <w:sz w:val="20"/>
          <w:szCs w:val="20"/>
        </w:rPr>
      </w:pPr>
      <w:r w:rsidRPr="00224F3E">
        <w:rPr>
          <w:rFonts w:ascii="Arial" w:hAnsi="Arial" w:cs="Arial"/>
          <w:sz w:val="20"/>
          <w:szCs w:val="20"/>
        </w:rPr>
        <w:t>Lipinski’s Rule of Five (RO5) was used to evaluate the drug-likeness characteristics of the compounds</w:t>
      </w:r>
      <w:r w:rsidR="00A11C38">
        <w:rPr>
          <w:rFonts w:ascii="Arial" w:hAnsi="Arial" w:cs="Arial"/>
          <w:sz w:val="20"/>
          <w:szCs w:val="20"/>
        </w:rPr>
        <w:t xml:space="preserve"> [24]</w:t>
      </w:r>
      <w:r w:rsidRPr="00224F3E">
        <w:rPr>
          <w:rFonts w:ascii="Arial" w:hAnsi="Arial" w:cs="Arial"/>
          <w:sz w:val="20"/>
          <w:szCs w:val="20"/>
        </w:rPr>
        <w:t>. This analysis</w:t>
      </w:r>
      <w:r w:rsidR="00D950CB">
        <w:rPr>
          <w:rFonts w:ascii="Arial" w:hAnsi="Arial" w:cs="Arial"/>
          <w:sz w:val="20"/>
          <w:szCs w:val="20"/>
        </w:rPr>
        <w:t xml:space="preserve"> was</w:t>
      </w:r>
      <w:r w:rsidRPr="00224F3E">
        <w:rPr>
          <w:rFonts w:ascii="Arial" w:hAnsi="Arial" w:cs="Arial"/>
          <w:sz w:val="20"/>
          <w:szCs w:val="20"/>
        </w:rPr>
        <w:t xml:space="preserve"> performed using </w:t>
      </w:r>
      <w:proofErr w:type="spellStart"/>
      <w:r w:rsidRPr="00224F3E">
        <w:rPr>
          <w:rFonts w:ascii="Arial" w:hAnsi="Arial" w:cs="Arial"/>
          <w:sz w:val="20"/>
          <w:szCs w:val="20"/>
        </w:rPr>
        <w:t>pkCSM</w:t>
      </w:r>
      <w:proofErr w:type="spellEnd"/>
      <w:r w:rsidRPr="00224F3E">
        <w:rPr>
          <w:rFonts w:ascii="Arial" w:hAnsi="Arial" w:cs="Arial"/>
          <w:sz w:val="20"/>
          <w:szCs w:val="20"/>
        </w:rPr>
        <w:t xml:space="preserve"> and </w:t>
      </w:r>
      <w:proofErr w:type="spellStart"/>
      <w:r w:rsidRPr="00224F3E">
        <w:rPr>
          <w:rFonts w:ascii="Arial" w:hAnsi="Arial" w:cs="Arial"/>
          <w:sz w:val="20"/>
          <w:szCs w:val="20"/>
        </w:rPr>
        <w:t>ADMETLab</w:t>
      </w:r>
      <w:proofErr w:type="spellEnd"/>
      <w:r w:rsidRPr="00224F3E">
        <w:rPr>
          <w:rFonts w:ascii="Arial" w:hAnsi="Arial" w:cs="Arial"/>
          <w:sz w:val="20"/>
          <w:szCs w:val="20"/>
        </w:rPr>
        <w:t xml:space="preserve"> 3.0, assess</w:t>
      </w:r>
      <w:r w:rsidR="00886FDC">
        <w:rPr>
          <w:rFonts w:ascii="Arial" w:hAnsi="Arial" w:cs="Arial"/>
          <w:sz w:val="20"/>
          <w:szCs w:val="20"/>
        </w:rPr>
        <w:t>ing</w:t>
      </w:r>
      <w:r w:rsidRPr="00224F3E">
        <w:rPr>
          <w:rFonts w:ascii="Arial" w:hAnsi="Arial" w:cs="Arial"/>
          <w:sz w:val="20"/>
          <w:szCs w:val="20"/>
        </w:rPr>
        <w:t xml:space="preserve"> essential molecular properties such as molecular weight</w:t>
      </w:r>
      <w:r w:rsidR="008C36A9">
        <w:rPr>
          <w:rFonts w:ascii="Arial" w:hAnsi="Arial" w:cs="Arial"/>
          <w:sz w:val="20"/>
          <w:szCs w:val="20"/>
        </w:rPr>
        <w:t xml:space="preserve"> (MW)</w:t>
      </w:r>
      <w:r w:rsidRPr="00224F3E">
        <w:rPr>
          <w:rFonts w:ascii="Arial" w:hAnsi="Arial" w:cs="Arial"/>
          <w:sz w:val="20"/>
          <w:szCs w:val="20"/>
        </w:rPr>
        <w:t>, octanol-water partition coefficient (</w:t>
      </w:r>
      <w:proofErr w:type="spellStart"/>
      <w:r w:rsidRPr="00224F3E">
        <w:rPr>
          <w:rFonts w:ascii="Arial" w:hAnsi="Arial" w:cs="Arial"/>
          <w:sz w:val="20"/>
          <w:szCs w:val="20"/>
        </w:rPr>
        <w:t>logP</w:t>
      </w:r>
      <w:proofErr w:type="spellEnd"/>
      <w:r w:rsidRPr="00224F3E">
        <w:rPr>
          <w:rFonts w:ascii="Arial" w:hAnsi="Arial" w:cs="Arial"/>
          <w:sz w:val="20"/>
          <w:szCs w:val="20"/>
        </w:rPr>
        <w:t>), and hydrogen bond acceptors and donors [2</w:t>
      </w:r>
      <w:r w:rsidR="00A11C38">
        <w:rPr>
          <w:rFonts w:ascii="Arial" w:hAnsi="Arial" w:cs="Arial"/>
          <w:sz w:val="20"/>
          <w:szCs w:val="20"/>
        </w:rPr>
        <w:t>5,26</w:t>
      </w:r>
      <w:r w:rsidRPr="00224F3E">
        <w:rPr>
          <w:rFonts w:ascii="Arial" w:hAnsi="Arial" w:cs="Arial"/>
          <w:sz w:val="20"/>
          <w:szCs w:val="20"/>
        </w:rPr>
        <w:t>]. The RO5 criteria help predict whether a compound exhibits pharmacological or biological activity suitable for oral administration</w:t>
      </w:r>
      <w:r w:rsidR="00A11C38">
        <w:rPr>
          <w:rFonts w:ascii="Arial" w:hAnsi="Arial" w:cs="Arial"/>
          <w:sz w:val="20"/>
          <w:szCs w:val="20"/>
        </w:rPr>
        <w:t xml:space="preserve"> [27]</w:t>
      </w:r>
      <w:r w:rsidRPr="00224F3E">
        <w:rPr>
          <w:rFonts w:ascii="Arial" w:hAnsi="Arial" w:cs="Arial"/>
          <w:sz w:val="20"/>
          <w:szCs w:val="20"/>
        </w:rPr>
        <w:t>.</w:t>
      </w:r>
    </w:p>
    <w:p w14:paraId="0D06DCAA" w14:textId="3AB2D3D7"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.2 ADMET Prediction </w:t>
      </w:r>
    </w:p>
    <w:p w14:paraId="5AE3F895" w14:textId="4A7E4FBE" w:rsidR="00126190" w:rsidRPr="00F1016A" w:rsidRDefault="00126190" w:rsidP="005C23EE">
      <w:pPr>
        <w:pStyle w:val="NormalWeb"/>
        <w:spacing w:before="0" w:beforeAutospacing="0" w:after="0" w:afterAutospacing="0" w:line="360" w:lineRule="auto"/>
        <w:jc w:val="both"/>
        <w:rPr>
          <w:rFonts w:ascii="Arial" w:hAnsi="Arial" w:cs="Arial"/>
          <w:sz w:val="20"/>
          <w:szCs w:val="20"/>
        </w:rPr>
      </w:pPr>
      <w:r w:rsidRPr="00126190">
        <w:rPr>
          <w:rFonts w:ascii="Arial" w:hAnsi="Arial" w:cs="Arial"/>
          <w:sz w:val="20"/>
          <w:szCs w:val="20"/>
        </w:rPr>
        <w:t xml:space="preserve">ADMET properties—Absorption, Distribution, Metabolism, Excretion, and Toxicity—were evaluated using </w:t>
      </w:r>
      <w:proofErr w:type="spellStart"/>
      <w:r w:rsidRPr="00126190">
        <w:rPr>
          <w:rFonts w:ascii="Arial" w:hAnsi="Arial" w:cs="Arial"/>
          <w:sz w:val="20"/>
          <w:szCs w:val="20"/>
        </w:rPr>
        <w:t>pkCSM</w:t>
      </w:r>
      <w:proofErr w:type="spellEnd"/>
      <w:r w:rsidRPr="00126190">
        <w:rPr>
          <w:rFonts w:ascii="Arial" w:hAnsi="Arial" w:cs="Arial"/>
          <w:sz w:val="20"/>
          <w:szCs w:val="20"/>
        </w:rPr>
        <w:t xml:space="preserve"> and </w:t>
      </w:r>
      <w:proofErr w:type="spellStart"/>
      <w:r w:rsidRPr="00126190">
        <w:rPr>
          <w:rFonts w:ascii="Arial" w:hAnsi="Arial" w:cs="Arial"/>
          <w:sz w:val="20"/>
          <w:szCs w:val="20"/>
        </w:rPr>
        <w:t>ADMETLab</w:t>
      </w:r>
      <w:proofErr w:type="spellEnd"/>
      <w:r w:rsidRPr="00126190">
        <w:rPr>
          <w:rFonts w:ascii="Arial" w:hAnsi="Arial" w:cs="Arial"/>
          <w:sz w:val="20"/>
          <w:szCs w:val="20"/>
        </w:rPr>
        <w:t xml:space="preserve"> 3.0 to determine clinical efficacy and safety [2</w:t>
      </w:r>
      <w:r w:rsidR="00A11C38">
        <w:rPr>
          <w:rFonts w:ascii="Arial" w:hAnsi="Arial" w:cs="Arial"/>
          <w:sz w:val="20"/>
          <w:szCs w:val="20"/>
        </w:rPr>
        <w:t>5,26</w:t>
      </w:r>
      <w:r w:rsidRPr="00126190">
        <w:rPr>
          <w:rFonts w:ascii="Arial" w:hAnsi="Arial" w:cs="Arial"/>
          <w:sz w:val="20"/>
          <w:szCs w:val="20"/>
        </w:rPr>
        <w:t xml:space="preserve">]. Key parameters assessed included caco2 permeability, human intestinal absorption, P-glycoprotein inhibition, cytochrome P450 enzyme inhibition, half-life (t1/2), total clearance, acute oral toxicity, </w:t>
      </w:r>
      <w:proofErr w:type="spellStart"/>
      <w:r w:rsidRPr="00126190">
        <w:rPr>
          <w:rFonts w:ascii="Arial" w:hAnsi="Arial" w:cs="Arial"/>
          <w:sz w:val="20"/>
          <w:szCs w:val="20"/>
        </w:rPr>
        <w:t>ames</w:t>
      </w:r>
      <w:proofErr w:type="spellEnd"/>
      <w:r w:rsidRPr="00126190">
        <w:rPr>
          <w:rFonts w:ascii="Arial" w:hAnsi="Arial" w:cs="Arial"/>
          <w:sz w:val="20"/>
          <w:szCs w:val="20"/>
        </w:rPr>
        <w:t xml:space="preserve"> toxicity, carcinogenicity, hepatotoxicity, </w:t>
      </w:r>
      <w:proofErr w:type="spellStart"/>
      <w:r w:rsidRPr="00126190">
        <w:rPr>
          <w:rFonts w:ascii="Arial" w:hAnsi="Arial" w:cs="Arial"/>
          <w:sz w:val="20"/>
          <w:szCs w:val="20"/>
        </w:rPr>
        <w:t>hematotoxicity</w:t>
      </w:r>
      <w:proofErr w:type="spellEnd"/>
      <w:r w:rsidRPr="00126190">
        <w:rPr>
          <w:rFonts w:ascii="Arial" w:hAnsi="Arial" w:cs="Arial"/>
          <w:sz w:val="20"/>
          <w:szCs w:val="20"/>
        </w:rPr>
        <w:t>, nephrotoxicity, and human ether-a-go-go related gene (</w:t>
      </w:r>
      <w:proofErr w:type="spellStart"/>
      <w:r w:rsidRPr="00126190">
        <w:rPr>
          <w:rFonts w:ascii="Arial" w:hAnsi="Arial" w:cs="Arial"/>
          <w:sz w:val="20"/>
          <w:szCs w:val="20"/>
        </w:rPr>
        <w:t>hERG</w:t>
      </w:r>
      <w:proofErr w:type="spellEnd"/>
      <w:r w:rsidRPr="00126190">
        <w:rPr>
          <w:rFonts w:ascii="Arial" w:hAnsi="Arial" w:cs="Arial"/>
          <w:sz w:val="20"/>
          <w:szCs w:val="20"/>
        </w:rPr>
        <w:t>) inhibition [2</w:t>
      </w:r>
      <w:r w:rsidR="004E3BF2">
        <w:rPr>
          <w:rFonts w:ascii="Arial" w:hAnsi="Arial" w:cs="Arial"/>
          <w:sz w:val="20"/>
          <w:szCs w:val="20"/>
        </w:rPr>
        <w:t>8</w:t>
      </w:r>
      <w:r w:rsidRPr="00126190">
        <w:rPr>
          <w:rFonts w:ascii="Arial" w:hAnsi="Arial" w:cs="Arial"/>
          <w:sz w:val="20"/>
          <w:szCs w:val="20"/>
        </w:rPr>
        <w:t>-</w:t>
      </w:r>
      <w:r w:rsidR="004E3BF2">
        <w:rPr>
          <w:rFonts w:ascii="Arial" w:hAnsi="Arial" w:cs="Arial"/>
          <w:sz w:val="20"/>
          <w:szCs w:val="20"/>
        </w:rPr>
        <w:t>31</w:t>
      </w:r>
      <w:r w:rsidRPr="00126190">
        <w:rPr>
          <w:rFonts w:ascii="Arial" w:hAnsi="Arial" w:cs="Arial"/>
          <w:sz w:val="20"/>
          <w:szCs w:val="20"/>
        </w:rPr>
        <w:t xml:space="preserve">]. SMILES strings of the ligands from PubChem were inputted into </w:t>
      </w:r>
      <w:proofErr w:type="spellStart"/>
      <w:r w:rsidRPr="00126190">
        <w:rPr>
          <w:rFonts w:ascii="Arial" w:hAnsi="Arial" w:cs="Arial"/>
          <w:sz w:val="20"/>
          <w:szCs w:val="20"/>
        </w:rPr>
        <w:t>pkCSM</w:t>
      </w:r>
      <w:proofErr w:type="spellEnd"/>
      <w:r w:rsidRPr="00126190">
        <w:rPr>
          <w:rFonts w:ascii="Arial" w:hAnsi="Arial" w:cs="Arial"/>
          <w:sz w:val="20"/>
          <w:szCs w:val="20"/>
        </w:rPr>
        <w:t xml:space="preserve"> and </w:t>
      </w:r>
      <w:proofErr w:type="spellStart"/>
      <w:r w:rsidRPr="00126190">
        <w:rPr>
          <w:rFonts w:ascii="Arial" w:hAnsi="Arial" w:cs="Arial"/>
          <w:sz w:val="20"/>
          <w:szCs w:val="20"/>
        </w:rPr>
        <w:t>ADMETLab</w:t>
      </w:r>
      <w:proofErr w:type="spellEnd"/>
      <w:r w:rsidRPr="00126190">
        <w:rPr>
          <w:rFonts w:ascii="Arial" w:hAnsi="Arial" w:cs="Arial"/>
          <w:sz w:val="20"/>
          <w:szCs w:val="20"/>
        </w:rPr>
        <w:t xml:space="preserve"> 3.0 for evaluation.</w:t>
      </w:r>
    </w:p>
    <w:p w14:paraId="3E2FC007" w14:textId="77777777" w:rsidR="005F0F0B" w:rsidRPr="00F1016A" w:rsidRDefault="005F0F0B" w:rsidP="005C23EE">
      <w:pPr>
        <w:pStyle w:val="NormalWeb"/>
        <w:spacing w:before="0" w:beforeAutospacing="0" w:after="0" w:afterAutospacing="0" w:line="360" w:lineRule="auto"/>
        <w:rPr>
          <w:rFonts w:ascii="Arial" w:hAnsi="Arial" w:cs="Arial"/>
          <w:b/>
          <w:sz w:val="20"/>
          <w:szCs w:val="20"/>
        </w:rPr>
      </w:pPr>
      <w:r w:rsidRPr="00F1016A">
        <w:rPr>
          <w:rFonts w:ascii="Arial" w:hAnsi="Arial" w:cs="Arial"/>
          <w:b/>
          <w:sz w:val="20"/>
          <w:szCs w:val="20"/>
        </w:rPr>
        <w:t xml:space="preserve">2.6 Molecular Mechanics (MM-GBSA) </w:t>
      </w:r>
    </w:p>
    <w:p w14:paraId="77D6DD86" w14:textId="662EF3A4" w:rsidR="00167A1F" w:rsidRPr="00167A1F" w:rsidRDefault="00167A1F" w:rsidP="00875A30">
      <w:pPr>
        <w:pStyle w:val="NormalWeb"/>
        <w:spacing w:before="0" w:beforeAutospacing="0" w:after="0" w:afterAutospacing="0" w:line="360" w:lineRule="auto"/>
        <w:jc w:val="both"/>
        <w:rPr>
          <w:rFonts w:ascii="Arial" w:hAnsi="Arial" w:cs="Arial"/>
          <w:sz w:val="20"/>
          <w:szCs w:val="20"/>
        </w:rPr>
      </w:pPr>
      <w:r w:rsidRPr="00167A1F">
        <w:rPr>
          <w:rFonts w:ascii="Arial" w:hAnsi="Arial" w:cs="Arial"/>
          <w:sz w:val="20"/>
          <w:szCs w:val="20"/>
        </w:rPr>
        <w:t>MM-GBSA analysis was performed using the Prime MM-GBSA tool in Maestro version 12.5 to calculate the relative binding free energies of each ligand. The analysis decomposed energy contributions, including electrostatic interactions, van der Waals forces, hydrogen bonds, and solvation energies, to determine binding free energy [</w:t>
      </w:r>
      <w:r w:rsidR="004E3BF2">
        <w:rPr>
          <w:rFonts w:ascii="Arial" w:hAnsi="Arial" w:cs="Arial"/>
          <w:sz w:val="20"/>
          <w:szCs w:val="20"/>
        </w:rPr>
        <w:t>12</w:t>
      </w:r>
      <w:r w:rsidRPr="00167A1F">
        <w:rPr>
          <w:rFonts w:ascii="Arial" w:hAnsi="Arial" w:cs="Arial"/>
          <w:sz w:val="20"/>
          <w:szCs w:val="20"/>
        </w:rPr>
        <w:t>,32]. The binding free energy (</w:t>
      </w:r>
      <w:proofErr w:type="spellStart"/>
      <w:r w:rsidRPr="00167A1F">
        <w:rPr>
          <w:rFonts w:ascii="Arial" w:hAnsi="Arial" w:cs="Arial"/>
          <w:sz w:val="20"/>
          <w:szCs w:val="20"/>
        </w:rPr>
        <w:t>ΔG_bind</w:t>
      </w:r>
      <w:proofErr w:type="spellEnd"/>
      <w:r w:rsidRPr="00167A1F">
        <w:rPr>
          <w:rFonts w:ascii="Arial" w:hAnsi="Arial" w:cs="Arial"/>
          <w:sz w:val="20"/>
          <w:szCs w:val="20"/>
        </w:rPr>
        <w:t>) was calculated as:</w:t>
      </w:r>
    </w:p>
    <w:p w14:paraId="692B9D70" w14:textId="77777777" w:rsidR="00E43EFE" w:rsidRDefault="00E43EFE" w:rsidP="005C23EE">
      <w:pPr>
        <w:pStyle w:val="NormalWeb"/>
        <w:spacing w:before="0" w:beforeAutospacing="0" w:after="0" w:afterAutospacing="0" w:line="360" w:lineRule="auto"/>
        <w:jc w:val="both"/>
        <w:rPr>
          <w:rFonts w:ascii="Arial" w:hAnsi="Arial" w:cs="Arial"/>
          <w:sz w:val="20"/>
          <w:szCs w:val="20"/>
        </w:rPr>
      </w:pPr>
      <w:proofErr w:type="spellStart"/>
      <w:r w:rsidRPr="00F1016A">
        <w:rPr>
          <w:rFonts w:ascii="Arial" w:hAnsi="Arial" w:cs="Arial"/>
          <w:b/>
          <w:sz w:val="20"/>
          <w:szCs w:val="20"/>
        </w:rPr>
        <w:t>ΔG</w:t>
      </w:r>
      <w:r w:rsidRPr="00F1016A">
        <w:rPr>
          <w:rFonts w:ascii="Arial" w:hAnsi="Arial" w:cs="Arial"/>
          <w:b/>
          <w:sz w:val="20"/>
          <w:szCs w:val="20"/>
          <w:vertAlign w:val="subscript"/>
        </w:rPr>
        <w:t>bind</w:t>
      </w:r>
      <w:proofErr w:type="spellEnd"/>
      <w:r w:rsidRPr="00F1016A">
        <w:rPr>
          <w:rFonts w:ascii="Arial" w:hAnsi="Arial" w:cs="Arial"/>
          <w:sz w:val="20"/>
          <w:szCs w:val="20"/>
        </w:rPr>
        <w:t xml:space="preserve"> ​ = </w:t>
      </w:r>
      <w:r w:rsidRPr="00F1016A">
        <w:rPr>
          <w:rFonts w:ascii="Arial" w:hAnsi="Arial" w:cs="Arial"/>
          <w:b/>
          <w:sz w:val="20"/>
          <w:szCs w:val="20"/>
        </w:rPr>
        <w:t>ΔE</w:t>
      </w:r>
      <w:r w:rsidRPr="00F1016A">
        <w:rPr>
          <w:rFonts w:ascii="Arial" w:hAnsi="Arial" w:cs="Arial"/>
          <w:b/>
          <w:sz w:val="20"/>
          <w:szCs w:val="20"/>
          <w:vertAlign w:val="subscript"/>
        </w:rPr>
        <w:t>MM</w:t>
      </w:r>
      <w:r w:rsidRPr="00F1016A">
        <w:rPr>
          <w:rFonts w:ascii="Arial" w:hAnsi="Arial" w:cs="Arial"/>
          <w:sz w:val="20"/>
          <w:szCs w:val="20"/>
        </w:rPr>
        <w:t xml:space="preserve"> ​+</w:t>
      </w:r>
      <w:r w:rsidRPr="00F1016A">
        <w:rPr>
          <w:rFonts w:ascii="Arial" w:hAnsi="Arial" w:cs="Arial"/>
          <w:b/>
          <w:sz w:val="20"/>
          <w:szCs w:val="20"/>
        </w:rPr>
        <w:t xml:space="preserve"> ΔG</w:t>
      </w:r>
      <w:r w:rsidRPr="00F1016A">
        <w:rPr>
          <w:rFonts w:ascii="Arial" w:hAnsi="Arial" w:cs="Arial"/>
          <w:b/>
          <w:sz w:val="20"/>
          <w:szCs w:val="20"/>
          <w:vertAlign w:val="subscript"/>
        </w:rPr>
        <w:t>GB</w:t>
      </w:r>
      <w:r w:rsidRPr="00F1016A">
        <w:rPr>
          <w:rFonts w:ascii="Arial" w:hAnsi="Arial" w:cs="Arial"/>
          <w:sz w:val="20"/>
          <w:szCs w:val="20"/>
        </w:rPr>
        <w:t xml:space="preserve"> ​+</w:t>
      </w:r>
      <w:r w:rsidRPr="00F1016A">
        <w:rPr>
          <w:rFonts w:ascii="Arial" w:hAnsi="Arial" w:cs="Arial"/>
          <w:b/>
          <w:sz w:val="20"/>
          <w:szCs w:val="20"/>
        </w:rPr>
        <w:t xml:space="preserve"> ΔG</w:t>
      </w:r>
      <w:r w:rsidRPr="00F1016A">
        <w:rPr>
          <w:rFonts w:ascii="Arial" w:hAnsi="Arial" w:cs="Arial"/>
          <w:b/>
          <w:sz w:val="20"/>
          <w:szCs w:val="20"/>
          <w:vertAlign w:val="subscript"/>
        </w:rPr>
        <w:t>SA</w:t>
      </w:r>
      <w:r w:rsidRPr="00F1016A">
        <w:rPr>
          <w:rFonts w:ascii="Arial" w:hAnsi="Arial" w:cs="Arial"/>
          <w:sz w:val="20"/>
          <w:szCs w:val="20"/>
        </w:rPr>
        <w:t xml:space="preserve"> ​</w:t>
      </w:r>
    </w:p>
    <w:p w14:paraId="7AC27BF3" w14:textId="68AD3BC8" w:rsidR="00167A1F" w:rsidRPr="00167A1F" w:rsidRDefault="00167A1F" w:rsidP="005C23EE">
      <w:pPr>
        <w:pStyle w:val="NormalWeb"/>
        <w:spacing w:before="0" w:beforeAutospacing="0" w:after="0" w:afterAutospacing="0" w:line="360" w:lineRule="auto"/>
        <w:jc w:val="both"/>
        <w:rPr>
          <w:rFonts w:ascii="Arial" w:hAnsi="Arial" w:cs="Arial"/>
          <w:sz w:val="20"/>
          <w:szCs w:val="20"/>
        </w:rPr>
      </w:pPr>
      <w:r w:rsidRPr="00167A1F">
        <w:rPr>
          <w:rFonts w:ascii="Arial" w:hAnsi="Arial" w:cs="Arial"/>
          <w:sz w:val="20"/>
          <w:szCs w:val="20"/>
        </w:rPr>
        <w:t xml:space="preserve">where </w:t>
      </w:r>
      <w:r w:rsidR="00415737" w:rsidRPr="00F1016A">
        <w:rPr>
          <w:rFonts w:ascii="Arial" w:hAnsi="Arial" w:cs="Arial"/>
          <w:b/>
          <w:sz w:val="20"/>
          <w:szCs w:val="20"/>
        </w:rPr>
        <w:t>ΔE</w:t>
      </w:r>
      <w:r w:rsidR="00415737" w:rsidRPr="00F1016A">
        <w:rPr>
          <w:rFonts w:ascii="Arial" w:hAnsi="Arial" w:cs="Arial"/>
          <w:b/>
          <w:sz w:val="20"/>
          <w:szCs w:val="20"/>
          <w:vertAlign w:val="subscript"/>
        </w:rPr>
        <w:t>MM</w:t>
      </w:r>
      <w:r w:rsidR="00415737" w:rsidRPr="00167A1F">
        <w:rPr>
          <w:rFonts w:ascii="Arial" w:hAnsi="Arial" w:cs="Arial"/>
          <w:sz w:val="20"/>
          <w:szCs w:val="20"/>
        </w:rPr>
        <w:t xml:space="preserve"> </w:t>
      </w:r>
      <w:r w:rsidRPr="00167A1F">
        <w:rPr>
          <w:rFonts w:ascii="Arial" w:hAnsi="Arial" w:cs="Arial"/>
          <w:sz w:val="20"/>
          <w:szCs w:val="20"/>
        </w:rPr>
        <w:t xml:space="preserve">represents molecular mechanical energy, </w:t>
      </w:r>
      <w:r w:rsidR="00A669C7" w:rsidRPr="00F1016A">
        <w:rPr>
          <w:rFonts w:ascii="Arial" w:hAnsi="Arial" w:cs="Arial"/>
          <w:b/>
          <w:sz w:val="20"/>
          <w:szCs w:val="20"/>
        </w:rPr>
        <w:t>ΔG</w:t>
      </w:r>
      <w:r w:rsidR="00A669C7" w:rsidRPr="00F1016A">
        <w:rPr>
          <w:rFonts w:ascii="Arial" w:hAnsi="Arial" w:cs="Arial"/>
          <w:b/>
          <w:sz w:val="20"/>
          <w:szCs w:val="20"/>
          <w:vertAlign w:val="subscript"/>
        </w:rPr>
        <w:t>GB</w:t>
      </w:r>
      <w:r w:rsidR="00A669C7" w:rsidRPr="00167A1F">
        <w:rPr>
          <w:rFonts w:ascii="Arial" w:hAnsi="Arial" w:cs="Arial"/>
          <w:sz w:val="20"/>
          <w:szCs w:val="20"/>
        </w:rPr>
        <w:t xml:space="preserve"> </w:t>
      </w:r>
      <w:r w:rsidRPr="00167A1F">
        <w:rPr>
          <w:rFonts w:ascii="Arial" w:hAnsi="Arial" w:cs="Arial"/>
          <w:sz w:val="20"/>
          <w:szCs w:val="20"/>
        </w:rPr>
        <w:t xml:space="preserve">is the polar solvation energy, and </w:t>
      </w:r>
      <w:r w:rsidR="00A669C7" w:rsidRPr="00F1016A">
        <w:rPr>
          <w:rFonts w:ascii="Arial" w:hAnsi="Arial" w:cs="Arial"/>
          <w:b/>
          <w:sz w:val="20"/>
          <w:szCs w:val="20"/>
        </w:rPr>
        <w:t>ΔG</w:t>
      </w:r>
      <w:r w:rsidR="00A669C7" w:rsidRPr="00F1016A">
        <w:rPr>
          <w:rFonts w:ascii="Arial" w:hAnsi="Arial" w:cs="Arial"/>
          <w:b/>
          <w:sz w:val="20"/>
          <w:szCs w:val="20"/>
          <w:vertAlign w:val="subscript"/>
        </w:rPr>
        <w:t>SA</w:t>
      </w:r>
      <w:r w:rsidR="00A669C7" w:rsidRPr="00F1016A">
        <w:rPr>
          <w:rFonts w:ascii="Arial" w:hAnsi="Arial" w:cs="Arial"/>
          <w:sz w:val="20"/>
          <w:szCs w:val="20"/>
        </w:rPr>
        <w:t xml:space="preserve"> ​</w:t>
      </w:r>
      <w:r w:rsidRPr="00167A1F">
        <w:rPr>
          <w:rFonts w:ascii="Arial" w:hAnsi="Arial" w:cs="Arial"/>
          <w:sz w:val="20"/>
          <w:szCs w:val="20"/>
        </w:rPr>
        <w:t xml:space="preserve"> is the nonpolar solvation energy. The results provided insights into ligand binding stability [</w:t>
      </w:r>
      <w:r w:rsidR="004E3BF2">
        <w:rPr>
          <w:rFonts w:ascii="Arial" w:hAnsi="Arial" w:cs="Arial"/>
          <w:sz w:val="20"/>
          <w:szCs w:val="20"/>
        </w:rPr>
        <w:t>22</w:t>
      </w:r>
      <w:r w:rsidRPr="00167A1F">
        <w:rPr>
          <w:rFonts w:ascii="Arial" w:hAnsi="Arial" w:cs="Arial"/>
          <w:sz w:val="20"/>
          <w:szCs w:val="20"/>
        </w:rPr>
        <w:t>,3</w:t>
      </w:r>
      <w:r w:rsidR="004E3BF2">
        <w:rPr>
          <w:rFonts w:ascii="Arial" w:hAnsi="Arial" w:cs="Arial"/>
          <w:sz w:val="20"/>
          <w:szCs w:val="20"/>
        </w:rPr>
        <w:t>2</w:t>
      </w:r>
      <w:r w:rsidRPr="00167A1F">
        <w:rPr>
          <w:rFonts w:ascii="Arial" w:hAnsi="Arial" w:cs="Arial"/>
          <w:sz w:val="20"/>
          <w:szCs w:val="20"/>
        </w:rPr>
        <w:t>].</w:t>
      </w:r>
    </w:p>
    <w:p w14:paraId="2033EA52" w14:textId="77777777" w:rsidR="005F0F0B" w:rsidRPr="00043801" w:rsidRDefault="005F0F0B" w:rsidP="005C23EE">
      <w:pPr>
        <w:pStyle w:val="NormalWeb"/>
        <w:spacing w:before="0" w:beforeAutospacing="0" w:after="0" w:afterAutospacing="0" w:line="360" w:lineRule="auto"/>
        <w:jc w:val="both"/>
        <w:rPr>
          <w:rFonts w:ascii="Arial" w:hAnsi="Arial" w:cs="Arial"/>
          <w:b/>
          <w:bCs/>
          <w:sz w:val="20"/>
          <w:szCs w:val="20"/>
        </w:rPr>
      </w:pPr>
      <w:r w:rsidRPr="00043801">
        <w:rPr>
          <w:rFonts w:ascii="Arial" w:hAnsi="Arial" w:cs="Arial"/>
          <w:b/>
          <w:bCs/>
          <w:sz w:val="20"/>
          <w:szCs w:val="20"/>
        </w:rPr>
        <w:t>2.7 Molecular Dynamic (MD) Simulation</w:t>
      </w:r>
    </w:p>
    <w:bookmarkEnd w:id="2"/>
    <w:p w14:paraId="0909D4DE" w14:textId="03E6290F" w:rsidR="003F32CA" w:rsidRPr="003F32CA" w:rsidRDefault="003F32CA" w:rsidP="005C23EE">
      <w:pPr>
        <w:pStyle w:val="NormalWeb"/>
        <w:spacing w:before="0" w:beforeAutospacing="0" w:after="0" w:afterAutospacing="0" w:line="360" w:lineRule="auto"/>
        <w:jc w:val="both"/>
        <w:rPr>
          <w:rFonts w:ascii="Arial" w:hAnsi="Arial" w:cs="Arial"/>
          <w:sz w:val="20"/>
          <w:szCs w:val="20"/>
        </w:rPr>
      </w:pPr>
      <w:r w:rsidRPr="003F32CA">
        <w:rPr>
          <w:rFonts w:ascii="Arial" w:hAnsi="Arial" w:cs="Arial"/>
          <w:sz w:val="20"/>
          <w:szCs w:val="20"/>
        </w:rPr>
        <w:t>Molecular dynamics (MD) simulations were conducted to evaluate the structural binding stability, conformational dynamics, and interaction modes of the protein-ligand complexes [3</w:t>
      </w:r>
      <w:r w:rsidR="004E3BF2">
        <w:rPr>
          <w:rFonts w:ascii="Arial" w:hAnsi="Arial" w:cs="Arial"/>
          <w:sz w:val="20"/>
          <w:szCs w:val="20"/>
        </w:rPr>
        <w:t>3</w:t>
      </w:r>
      <w:r w:rsidRPr="003F32CA">
        <w:rPr>
          <w:rFonts w:ascii="Arial" w:hAnsi="Arial" w:cs="Arial"/>
          <w:sz w:val="20"/>
          <w:szCs w:val="20"/>
        </w:rPr>
        <w:t xml:space="preserve">]. These simulations, performed using GROMACS software version 2022, provided a detailed atomic-level understanding of the </w:t>
      </w:r>
      <w:r w:rsidRPr="003F32CA">
        <w:rPr>
          <w:rFonts w:ascii="Arial" w:hAnsi="Arial" w:cs="Arial"/>
          <w:sz w:val="20"/>
          <w:szCs w:val="20"/>
        </w:rPr>
        <w:lastRenderedPageBreak/>
        <w:t>complexes under dynamic conditions [</w:t>
      </w:r>
      <w:r w:rsidR="004E3BF2">
        <w:rPr>
          <w:rFonts w:ascii="Arial" w:hAnsi="Arial" w:cs="Arial"/>
          <w:sz w:val="20"/>
          <w:szCs w:val="20"/>
        </w:rPr>
        <w:t>23</w:t>
      </w:r>
      <w:r w:rsidRPr="003F32CA">
        <w:rPr>
          <w:rFonts w:ascii="Arial" w:hAnsi="Arial" w:cs="Arial"/>
          <w:sz w:val="20"/>
          <w:szCs w:val="20"/>
        </w:rPr>
        <w:t xml:space="preserve">]. Protein and ligand topologies were generated using CHARMM36 force fields, refined using GROMACS and </w:t>
      </w:r>
      <w:proofErr w:type="spellStart"/>
      <w:r w:rsidRPr="003F32CA">
        <w:rPr>
          <w:rFonts w:ascii="Arial" w:hAnsi="Arial" w:cs="Arial"/>
          <w:sz w:val="20"/>
          <w:szCs w:val="20"/>
        </w:rPr>
        <w:t>CgenFF</w:t>
      </w:r>
      <w:proofErr w:type="spellEnd"/>
      <w:r w:rsidRPr="003F32CA">
        <w:rPr>
          <w:rFonts w:ascii="Arial" w:hAnsi="Arial" w:cs="Arial"/>
          <w:sz w:val="20"/>
          <w:szCs w:val="20"/>
        </w:rPr>
        <w:t xml:space="preserve"> protocols, and placed within a dodecahedron box filled with SPC water molecules and counterions to create a neutralized environment [</w:t>
      </w:r>
      <w:r w:rsidR="002F6E73">
        <w:rPr>
          <w:rFonts w:ascii="Arial" w:hAnsi="Arial" w:cs="Arial"/>
          <w:sz w:val="20"/>
          <w:szCs w:val="20"/>
        </w:rPr>
        <w:t>8</w:t>
      </w:r>
      <w:r w:rsidRPr="003F32CA">
        <w:rPr>
          <w:rFonts w:ascii="Arial" w:hAnsi="Arial" w:cs="Arial"/>
          <w:sz w:val="20"/>
          <w:szCs w:val="20"/>
        </w:rPr>
        <w:t>,3</w:t>
      </w:r>
      <w:r w:rsidR="004E3BF2">
        <w:rPr>
          <w:rFonts w:ascii="Arial" w:hAnsi="Arial" w:cs="Arial"/>
          <w:sz w:val="20"/>
          <w:szCs w:val="20"/>
        </w:rPr>
        <w:t>4</w:t>
      </w:r>
      <w:r w:rsidRPr="003F32CA">
        <w:rPr>
          <w:rFonts w:ascii="Arial" w:hAnsi="Arial" w:cs="Arial"/>
          <w:sz w:val="20"/>
          <w:szCs w:val="20"/>
        </w:rPr>
        <w:t>].</w:t>
      </w:r>
    </w:p>
    <w:p w14:paraId="2F28A4D6" w14:textId="2F612BF8" w:rsidR="00CD3ADC" w:rsidRDefault="003F32CA" w:rsidP="00C40671">
      <w:pPr>
        <w:pStyle w:val="NormalWeb"/>
        <w:spacing w:before="0" w:beforeAutospacing="0" w:after="0" w:afterAutospacing="0" w:line="360" w:lineRule="auto"/>
        <w:jc w:val="both"/>
        <w:rPr>
          <w:rFonts w:ascii="Arial" w:hAnsi="Arial" w:cs="Arial"/>
          <w:sz w:val="20"/>
          <w:szCs w:val="20"/>
        </w:rPr>
      </w:pPr>
      <w:r w:rsidRPr="003F32CA">
        <w:rPr>
          <w:rFonts w:ascii="Arial" w:hAnsi="Arial" w:cs="Arial"/>
          <w:sz w:val="20"/>
          <w:szCs w:val="20"/>
        </w:rPr>
        <w:t>To stabilize the system, iterative energy minimization was performed until the maximum force was reduced to below 100 kJ/mol/nm using steepest descent and conjugate gradient methods [</w:t>
      </w:r>
      <w:r w:rsidR="004E3BF2">
        <w:rPr>
          <w:rFonts w:ascii="Arial" w:hAnsi="Arial" w:cs="Arial"/>
          <w:sz w:val="20"/>
          <w:szCs w:val="20"/>
        </w:rPr>
        <w:t>22</w:t>
      </w:r>
      <w:r w:rsidRPr="003F32CA">
        <w:rPr>
          <w:rFonts w:ascii="Arial" w:hAnsi="Arial" w:cs="Arial"/>
          <w:sz w:val="20"/>
          <w:szCs w:val="20"/>
        </w:rPr>
        <w:t xml:space="preserve">]. Equilibration was achieved using the </w:t>
      </w:r>
      <w:proofErr w:type="spellStart"/>
      <w:r w:rsidRPr="003F32CA">
        <w:rPr>
          <w:rFonts w:ascii="Arial" w:hAnsi="Arial" w:cs="Arial"/>
          <w:sz w:val="20"/>
          <w:szCs w:val="20"/>
        </w:rPr>
        <w:t>Verlet</w:t>
      </w:r>
      <w:proofErr w:type="spellEnd"/>
      <w:r w:rsidRPr="003F32CA">
        <w:rPr>
          <w:rFonts w:ascii="Arial" w:hAnsi="Arial" w:cs="Arial"/>
          <w:sz w:val="20"/>
          <w:szCs w:val="20"/>
        </w:rPr>
        <w:t xml:space="preserve"> algorithm for 100 picoseconds (</w:t>
      </w:r>
      <w:proofErr w:type="spellStart"/>
      <w:r w:rsidRPr="003F32CA">
        <w:rPr>
          <w:rFonts w:ascii="Arial" w:hAnsi="Arial" w:cs="Arial"/>
          <w:sz w:val="20"/>
          <w:szCs w:val="20"/>
        </w:rPr>
        <w:t>ps</w:t>
      </w:r>
      <w:proofErr w:type="spellEnd"/>
      <w:r w:rsidRPr="003F32CA">
        <w:rPr>
          <w:rFonts w:ascii="Arial" w:hAnsi="Arial" w:cs="Arial"/>
          <w:sz w:val="20"/>
          <w:szCs w:val="20"/>
        </w:rPr>
        <w:t xml:space="preserve">) in the NVT ensemble, followed by the Berendsen algorithm for another 100 </w:t>
      </w:r>
      <w:proofErr w:type="spellStart"/>
      <w:r w:rsidRPr="003F32CA">
        <w:rPr>
          <w:rFonts w:ascii="Arial" w:hAnsi="Arial" w:cs="Arial"/>
          <w:sz w:val="20"/>
          <w:szCs w:val="20"/>
        </w:rPr>
        <w:t>ps</w:t>
      </w:r>
      <w:proofErr w:type="spellEnd"/>
      <w:r w:rsidRPr="003F32CA">
        <w:rPr>
          <w:rFonts w:ascii="Arial" w:hAnsi="Arial" w:cs="Arial"/>
          <w:sz w:val="20"/>
          <w:szCs w:val="20"/>
        </w:rPr>
        <w:t xml:space="preserve"> in the NPT ensemble. A 50-nanosecond (ns) production run was conducted with a 2 femtosecond (fs) time step. Post-simulation analysis using </w:t>
      </w:r>
      <w:proofErr w:type="spellStart"/>
      <w:r w:rsidRPr="003F32CA">
        <w:rPr>
          <w:rFonts w:ascii="Arial" w:hAnsi="Arial" w:cs="Arial"/>
          <w:sz w:val="20"/>
          <w:szCs w:val="20"/>
        </w:rPr>
        <w:t>Xmgrace</w:t>
      </w:r>
      <w:proofErr w:type="spellEnd"/>
      <w:r w:rsidRPr="003F32CA">
        <w:rPr>
          <w:rFonts w:ascii="Arial" w:hAnsi="Arial" w:cs="Arial"/>
          <w:sz w:val="20"/>
          <w:szCs w:val="20"/>
        </w:rPr>
        <w:t xml:space="preserve"> focused on Root Mean Square Deviation (RMSD), Root Mean Square Fluctuation (RMSF), Radius of Gyration (ROG), and Intermolecular Hydrogen Bonds [</w:t>
      </w:r>
      <w:r w:rsidR="002F6E73">
        <w:rPr>
          <w:rFonts w:ascii="Arial" w:hAnsi="Arial" w:cs="Arial"/>
          <w:sz w:val="20"/>
          <w:szCs w:val="20"/>
        </w:rPr>
        <w:t>12</w:t>
      </w:r>
      <w:r w:rsidRPr="003F32CA">
        <w:rPr>
          <w:rFonts w:ascii="Arial" w:hAnsi="Arial" w:cs="Arial"/>
          <w:sz w:val="20"/>
          <w:szCs w:val="20"/>
        </w:rPr>
        <w:t>,3</w:t>
      </w:r>
      <w:r w:rsidR="002F6E73">
        <w:rPr>
          <w:rFonts w:ascii="Arial" w:hAnsi="Arial" w:cs="Arial"/>
          <w:sz w:val="20"/>
          <w:szCs w:val="20"/>
        </w:rPr>
        <w:t>5</w:t>
      </w:r>
      <w:r w:rsidRPr="003F32CA">
        <w:rPr>
          <w:rFonts w:ascii="Arial" w:hAnsi="Arial" w:cs="Arial"/>
          <w:sz w:val="20"/>
          <w:szCs w:val="20"/>
        </w:rPr>
        <w:t>]. These analyses provided critical insights into the interaction mechanisms and stability of the protein-ligand complexes under physiological conditions.</w:t>
      </w:r>
    </w:p>
    <w:p w14:paraId="1DBF2205" w14:textId="55B356EE" w:rsidR="00D10E13" w:rsidRPr="003A1AEA" w:rsidRDefault="00D10E13" w:rsidP="00D10E13">
      <w:pPr>
        <w:pStyle w:val="NormalWeb"/>
        <w:spacing w:line="360" w:lineRule="auto"/>
        <w:jc w:val="both"/>
        <w:rPr>
          <w:rFonts w:ascii="Arial" w:hAnsi="Arial" w:cs="Arial"/>
          <w:b/>
          <w:bCs/>
          <w:sz w:val="20"/>
          <w:szCs w:val="20"/>
        </w:rPr>
      </w:pPr>
      <w:r w:rsidRPr="00253CEE">
        <w:rPr>
          <w:rFonts w:ascii="Arial" w:hAnsi="Arial" w:cs="Arial"/>
          <w:b/>
          <w:bCs/>
          <w:sz w:val="22"/>
          <w:szCs w:val="22"/>
        </w:rPr>
        <w:t>3.0 RESULTS AND DISCUSSION</w:t>
      </w:r>
    </w:p>
    <w:p w14:paraId="7FBC8578" w14:textId="7C55AEB9" w:rsidR="00D76FCE" w:rsidRPr="00002D52" w:rsidRDefault="00D76FCE" w:rsidP="00C40671">
      <w:pPr>
        <w:pStyle w:val="NormalWeb"/>
        <w:spacing w:after="0" w:afterAutospacing="0" w:line="360" w:lineRule="auto"/>
        <w:jc w:val="both"/>
        <w:rPr>
          <w:rFonts w:ascii="Arial" w:hAnsi="Arial" w:cs="Arial"/>
          <w:b/>
          <w:bCs/>
          <w:sz w:val="20"/>
          <w:szCs w:val="20"/>
        </w:rPr>
      </w:pPr>
      <w:r w:rsidRPr="00002D52">
        <w:rPr>
          <w:rFonts w:ascii="Arial" w:hAnsi="Arial" w:cs="Arial"/>
          <w:b/>
          <w:bCs/>
          <w:sz w:val="20"/>
          <w:szCs w:val="20"/>
        </w:rPr>
        <w:t>3.</w:t>
      </w:r>
      <w:r w:rsidR="005274E0">
        <w:rPr>
          <w:rFonts w:ascii="Arial" w:hAnsi="Arial" w:cs="Arial"/>
          <w:b/>
          <w:bCs/>
          <w:sz w:val="20"/>
          <w:szCs w:val="20"/>
        </w:rPr>
        <w:t>1</w:t>
      </w:r>
      <w:r w:rsidRPr="00002D52">
        <w:rPr>
          <w:rFonts w:ascii="Arial" w:hAnsi="Arial" w:cs="Arial"/>
          <w:b/>
          <w:bCs/>
          <w:sz w:val="20"/>
          <w:szCs w:val="20"/>
        </w:rPr>
        <w:t xml:space="preserve"> MOLECULAR DOCKING</w:t>
      </w:r>
    </w:p>
    <w:p w14:paraId="23CAA545" w14:textId="77777777" w:rsidR="00EF0626" w:rsidRPr="00EF0626" w:rsidRDefault="00EF0626" w:rsidP="00C40671">
      <w:pPr>
        <w:pStyle w:val="NormalWeb"/>
        <w:spacing w:before="0" w:beforeAutospacing="0" w:line="360" w:lineRule="auto"/>
        <w:jc w:val="both"/>
        <w:rPr>
          <w:rFonts w:ascii="Arial" w:hAnsi="Arial" w:cs="Arial"/>
          <w:sz w:val="20"/>
          <w:szCs w:val="20"/>
        </w:rPr>
      </w:pPr>
      <w:r w:rsidRPr="00EF0626">
        <w:rPr>
          <w:rFonts w:ascii="Arial" w:hAnsi="Arial" w:cs="Arial"/>
          <w:sz w:val="20"/>
          <w:szCs w:val="20"/>
        </w:rPr>
        <w:t xml:space="preserve">Molecular docking analysis provided critical insights into the binding interactions between Plasmodium falciparum transketolase (PDB ID: 8R3Q) and the ligands, including six Schiff bases of phenylisocytosine and the reference drug oxythiamine. Binding affinities, hydrogen bond interactions, and other stabilizing forces were evaluated using </w:t>
      </w:r>
      <w:proofErr w:type="spellStart"/>
      <w:r w:rsidRPr="00EF0626">
        <w:rPr>
          <w:rFonts w:ascii="Arial" w:hAnsi="Arial" w:cs="Arial"/>
          <w:sz w:val="20"/>
          <w:szCs w:val="20"/>
        </w:rPr>
        <w:t>AutoDock</w:t>
      </w:r>
      <w:proofErr w:type="spellEnd"/>
      <w:r w:rsidRPr="00EF0626">
        <w:rPr>
          <w:rFonts w:ascii="Arial" w:hAnsi="Arial" w:cs="Arial"/>
          <w:sz w:val="20"/>
          <w:szCs w:val="20"/>
        </w:rPr>
        <w:t xml:space="preserve"> </w:t>
      </w:r>
      <w:proofErr w:type="spellStart"/>
      <w:r w:rsidRPr="00EF0626">
        <w:rPr>
          <w:rFonts w:ascii="Arial" w:hAnsi="Arial" w:cs="Arial"/>
          <w:sz w:val="20"/>
          <w:szCs w:val="20"/>
        </w:rPr>
        <w:t>Vina</w:t>
      </w:r>
      <w:proofErr w:type="spellEnd"/>
      <w:r w:rsidRPr="00EF0626">
        <w:rPr>
          <w:rFonts w:ascii="Arial" w:hAnsi="Arial" w:cs="Arial"/>
          <w:sz w:val="20"/>
          <w:szCs w:val="20"/>
        </w:rPr>
        <w:t xml:space="preserve"> and </w:t>
      </w:r>
      <w:proofErr w:type="spellStart"/>
      <w:r w:rsidRPr="00EF0626">
        <w:rPr>
          <w:rFonts w:ascii="Arial" w:hAnsi="Arial" w:cs="Arial"/>
          <w:sz w:val="20"/>
          <w:szCs w:val="20"/>
        </w:rPr>
        <w:t>iGEMDock</w:t>
      </w:r>
      <w:proofErr w:type="spellEnd"/>
      <w:r w:rsidRPr="00EF0626">
        <w:rPr>
          <w:rFonts w:ascii="Arial" w:hAnsi="Arial" w:cs="Arial"/>
          <w:sz w:val="20"/>
          <w:szCs w:val="20"/>
        </w:rPr>
        <w:t>, with the results summarized in Table 1, Figure 1, and Figure 2.</w:t>
      </w:r>
    </w:p>
    <w:p w14:paraId="7B9AE90B" w14:textId="77777777" w:rsidR="00B20F74" w:rsidRPr="002F4A65" w:rsidRDefault="00B20F74" w:rsidP="00630B0C">
      <w:pPr>
        <w:autoSpaceDE w:val="0"/>
        <w:autoSpaceDN w:val="0"/>
        <w:adjustRightInd w:val="0"/>
        <w:spacing w:after="0" w:line="360" w:lineRule="auto"/>
        <w:jc w:val="center"/>
        <w:rPr>
          <w:rFonts w:ascii="Arial" w:hAnsi="Arial" w:cs="Arial"/>
          <w:sz w:val="20"/>
          <w:szCs w:val="20"/>
        </w:rPr>
      </w:pPr>
      <w:r>
        <w:rPr>
          <w:noProof/>
        </w:rPr>
        <w:drawing>
          <wp:inline distT="0" distB="0" distL="0" distR="0" wp14:anchorId="5C0188AC" wp14:editId="3CD33963">
            <wp:extent cx="6448425" cy="2209800"/>
            <wp:effectExtent l="0" t="0" r="9525" b="0"/>
            <wp:docPr id="1384864602" name="Chart 1">
              <a:extLst xmlns:a="http://schemas.openxmlformats.org/drawingml/2006/main">
                <a:ext uri="{FF2B5EF4-FFF2-40B4-BE49-F238E27FC236}">
                  <a16:creationId xmlns:a16="http://schemas.microsoft.com/office/drawing/2014/main" id="{8DE97105-CEE3-5909-E853-223A36378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C32F52" w14:textId="3DB3B1DA" w:rsidR="00B20F74" w:rsidRDefault="00B20F74" w:rsidP="00B20F74">
      <w:pPr>
        <w:autoSpaceDE w:val="0"/>
        <w:autoSpaceDN w:val="0"/>
        <w:adjustRightInd w:val="0"/>
        <w:spacing w:after="0" w:line="360" w:lineRule="auto"/>
        <w:jc w:val="both"/>
        <w:rPr>
          <w:rFonts w:ascii="Arial" w:hAnsi="Arial" w:cs="Arial"/>
          <w:sz w:val="20"/>
          <w:szCs w:val="20"/>
        </w:rPr>
      </w:pPr>
      <w:r w:rsidRPr="00E37D41">
        <w:rPr>
          <w:rFonts w:ascii="Arial" w:hAnsi="Arial" w:cs="Arial"/>
          <w:b/>
          <w:bCs/>
          <w:sz w:val="20"/>
          <w:szCs w:val="20"/>
        </w:rPr>
        <w:t xml:space="preserve">Figure </w:t>
      </w:r>
      <w:r>
        <w:rPr>
          <w:rFonts w:ascii="Arial" w:hAnsi="Arial" w:cs="Arial"/>
          <w:b/>
          <w:bCs/>
          <w:sz w:val="20"/>
          <w:szCs w:val="20"/>
        </w:rPr>
        <w:t>1</w:t>
      </w:r>
      <w:r w:rsidRPr="00E37D41">
        <w:rPr>
          <w:rFonts w:ascii="Arial" w:hAnsi="Arial" w:cs="Arial"/>
          <w:b/>
          <w:bCs/>
          <w:sz w:val="20"/>
          <w:szCs w:val="20"/>
        </w:rPr>
        <w:t>:</w:t>
      </w:r>
      <w:r w:rsidRPr="00E37D41">
        <w:rPr>
          <w:rFonts w:ascii="Arial" w:hAnsi="Arial" w:cs="Arial"/>
          <w:sz w:val="20"/>
          <w:szCs w:val="20"/>
        </w:rPr>
        <w:t xml:space="preserve"> Binding </w:t>
      </w:r>
      <w:r w:rsidR="00E026FF">
        <w:rPr>
          <w:rFonts w:ascii="Arial" w:hAnsi="Arial" w:cs="Arial"/>
          <w:sz w:val="20"/>
          <w:szCs w:val="20"/>
        </w:rPr>
        <w:t>energies</w:t>
      </w:r>
      <w:r w:rsidRPr="00E37D41">
        <w:rPr>
          <w:rFonts w:ascii="Arial" w:hAnsi="Arial" w:cs="Arial"/>
          <w:sz w:val="20"/>
          <w:szCs w:val="20"/>
        </w:rPr>
        <w:t xml:space="preserve"> of </w:t>
      </w:r>
      <w:r>
        <w:rPr>
          <w:rFonts w:ascii="Arial" w:hAnsi="Arial" w:cs="Arial"/>
          <w:sz w:val="20"/>
          <w:szCs w:val="20"/>
        </w:rPr>
        <w:t>oxythiamine and the</w:t>
      </w:r>
      <w:r w:rsidRPr="00E37D41">
        <w:rPr>
          <w:rFonts w:ascii="Arial" w:hAnsi="Arial" w:cs="Arial"/>
          <w:sz w:val="20"/>
          <w:szCs w:val="20"/>
        </w:rPr>
        <w:t xml:space="preserve"> </w:t>
      </w:r>
      <w:r>
        <w:rPr>
          <w:rFonts w:ascii="Arial" w:hAnsi="Arial" w:cs="Arial"/>
          <w:sz w:val="20"/>
          <w:szCs w:val="20"/>
        </w:rPr>
        <w:t>six</w:t>
      </w:r>
      <w:r w:rsidRPr="00E37D41">
        <w:rPr>
          <w:rFonts w:ascii="Arial" w:hAnsi="Arial" w:cs="Arial"/>
          <w:sz w:val="20"/>
          <w:szCs w:val="20"/>
        </w:rPr>
        <w:t xml:space="preserve"> </w:t>
      </w:r>
      <w:r w:rsidR="007D282F">
        <w:rPr>
          <w:rFonts w:ascii="Arial" w:hAnsi="Arial" w:cs="Arial"/>
          <w:bCs/>
          <w:noProof/>
          <w:sz w:val="20"/>
          <w:szCs w:val="20"/>
        </w:rPr>
        <w:t xml:space="preserve">Schiff-bases </w:t>
      </w:r>
      <w:r w:rsidRPr="00E37D41">
        <w:rPr>
          <w:rFonts w:ascii="Arial" w:hAnsi="Arial" w:cs="Arial"/>
          <w:sz w:val="20"/>
          <w:szCs w:val="20"/>
        </w:rPr>
        <w:t>in Auto-dock vina and IGEM Dock.</w:t>
      </w:r>
    </w:p>
    <w:p w14:paraId="49F12E16" w14:textId="77777777" w:rsidR="00B20F74" w:rsidRPr="00B20F74" w:rsidRDefault="00B20F74" w:rsidP="00B20F74">
      <w:pPr>
        <w:autoSpaceDE w:val="0"/>
        <w:autoSpaceDN w:val="0"/>
        <w:adjustRightInd w:val="0"/>
        <w:spacing w:after="0" w:line="360" w:lineRule="auto"/>
        <w:jc w:val="both"/>
        <w:rPr>
          <w:rFonts w:ascii="Arial" w:hAnsi="Arial" w:cs="Arial"/>
          <w:sz w:val="20"/>
          <w:szCs w:val="20"/>
        </w:rPr>
      </w:pPr>
    </w:p>
    <w:p w14:paraId="19F9F07F" w14:textId="07A5A704" w:rsidR="00B20F74" w:rsidRPr="00B20F74" w:rsidRDefault="00B20F74" w:rsidP="00B20F74">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The docking studies revealed that all six Schiff bases exhibited significantly stronger binding affinities compared to the reference drug oxythiamine. Oxythiamine demonstrated binding affinities of -5.2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w:t>
      </w:r>
      <w:proofErr w:type="spellStart"/>
      <w:r w:rsidRPr="00C270C5">
        <w:rPr>
          <w:rFonts w:ascii="Arial" w:hAnsi="Arial" w:cs="Arial"/>
          <w:sz w:val="20"/>
          <w:szCs w:val="20"/>
        </w:rPr>
        <w:t>Vina</w:t>
      </w:r>
      <w:proofErr w:type="spellEnd"/>
      <w:r w:rsidRPr="00C270C5">
        <w:rPr>
          <w:rFonts w:ascii="Arial" w:hAnsi="Arial" w:cs="Arial"/>
          <w:sz w:val="20"/>
          <w:szCs w:val="20"/>
        </w:rPr>
        <w:t>) and -7.1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iGEMDock</w:t>
      </w:r>
      <w:proofErr w:type="spellEnd"/>
      <w:r w:rsidRPr="00C270C5">
        <w:rPr>
          <w:rFonts w:ascii="Arial" w:hAnsi="Arial" w:cs="Arial"/>
          <w:sz w:val="20"/>
          <w:szCs w:val="20"/>
        </w:rPr>
        <w:t xml:space="preserve">), forming hydrogen bonds with Met50, Asp63, and Asn310, along with additional interactions involving Ser47, Tyr153, and Lys306. These interactions, while stabilizing, </w:t>
      </w:r>
      <w:r w:rsidRPr="00C270C5">
        <w:rPr>
          <w:rFonts w:ascii="Arial" w:hAnsi="Arial" w:cs="Arial"/>
          <w:sz w:val="20"/>
          <w:szCs w:val="20"/>
        </w:rPr>
        <w:lastRenderedPageBreak/>
        <w:t>indicate relatively weaker inhibition compared to the Schiff bases. The lower binding energies observed for oxythiamine align with its limited efficacy and adverse effects, such as nephrotoxicity and carcinogenicity, further limiting its utility as a direct antimalarial treatment (Table 1, Figure 2).</w:t>
      </w:r>
    </w:p>
    <w:p w14:paraId="248BF4FB" w14:textId="77777777" w:rsidR="00B20F74" w:rsidRPr="00C270C5" w:rsidRDefault="00B20F74" w:rsidP="00B20F74">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Among the Schiff bases, (E)-2-((3-hydroxybenzylidene</w:t>
      </w:r>
      <w:proofErr w:type="gramStart"/>
      <w:r w:rsidRPr="00C270C5">
        <w:rPr>
          <w:rFonts w:ascii="Arial" w:hAnsi="Arial" w:cs="Arial"/>
          <w:sz w:val="20"/>
          <w:szCs w:val="20"/>
        </w:rPr>
        <w:t>)amino</w:t>
      </w:r>
      <w:proofErr w:type="gramEnd"/>
      <w:r w:rsidRPr="00C270C5">
        <w:rPr>
          <w:rFonts w:ascii="Arial" w:hAnsi="Arial" w:cs="Arial"/>
          <w:sz w:val="20"/>
          <w:szCs w:val="20"/>
        </w:rPr>
        <w:t>)-6-phenylpyrimidin-4(1H)-one displayed the highest binding affinity, scoring -7.7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w:t>
      </w:r>
      <w:proofErr w:type="spellStart"/>
      <w:r w:rsidRPr="00C270C5">
        <w:rPr>
          <w:rFonts w:ascii="Arial" w:hAnsi="Arial" w:cs="Arial"/>
          <w:sz w:val="20"/>
          <w:szCs w:val="20"/>
        </w:rPr>
        <w:t>Vina</w:t>
      </w:r>
      <w:proofErr w:type="spellEnd"/>
      <w:r w:rsidRPr="00C270C5">
        <w:rPr>
          <w:rFonts w:ascii="Arial" w:hAnsi="Arial" w:cs="Arial"/>
          <w:sz w:val="20"/>
          <w:szCs w:val="20"/>
        </w:rPr>
        <w:t>) and -10.3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iGEMDock</w:t>
      </w:r>
      <w:proofErr w:type="spellEnd"/>
      <w:r w:rsidRPr="00C270C5">
        <w:rPr>
          <w:rFonts w:ascii="Arial" w:hAnsi="Arial" w:cs="Arial"/>
          <w:sz w:val="20"/>
          <w:szCs w:val="20"/>
        </w:rPr>
        <w:t>). It formed hydrogen bonds with Asp56, Asn108, Thr111, Val114, and Gly429 and interacted with residues such as Thr57, Arg62, His109, Lys112, and Pro514. These extensive interactions contribute to its strong stabilization within the enzyme’s active site. Similarly, (E)-2-((3,4-dimethoxybenzylidene)amino)-6-phenylpyrimidin-4(1H)-one showed robust binding affinities of -7.5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w:t>
      </w:r>
      <w:proofErr w:type="spellStart"/>
      <w:r w:rsidRPr="00C270C5">
        <w:rPr>
          <w:rFonts w:ascii="Arial" w:hAnsi="Arial" w:cs="Arial"/>
          <w:sz w:val="20"/>
          <w:szCs w:val="20"/>
        </w:rPr>
        <w:t>Vina</w:t>
      </w:r>
      <w:proofErr w:type="spellEnd"/>
      <w:r w:rsidRPr="00C270C5">
        <w:rPr>
          <w:rFonts w:ascii="Arial" w:hAnsi="Arial" w:cs="Arial"/>
          <w:sz w:val="20"/>
          <w:szCs w:val="20"/>
        </w:rPr>
        <w:t>) and -9.7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iGEMDock</w:t>
      </w:r>
      <w:proofErr w:type="spellEnd"/>
      <w:r w:rsidRPr="00C270C5">
        <w:rPr>
          <w:rFonts w:ascii="Arial" w:hAnsi="Arial" w:cs="Arial"/>
          <w:sz w:val="20"/>
          <w:szCs w:val="20"/>
        </w:rPr>
        <w:t>), forming hydrogen bonds with Ala34, Asn190, and Ile192 while engaging additional residues such as Gln164 and Glu165. These interactions underscore its potential as a potent inhibitor (Table 1, Figures 1 and 2).</w:t>
      </w:r>
    </w:p>
    <w:p w14:paraId="20AF7B7A" w14:textId="77777777" w:rsidR="00B20F74" w:rsidRDefault="00B20F74" w:rsidP="00D76FCE">
      <w:pPr>
        <w:pStyle w:val="NormalWeb"/>
        <w:spacing w:line="360" w:lineRule="auto"/>
        <w:jc w:val="both"/>
        <w:rPr>
          <w:rFonts w:ascii="Arial" w:hAnsi="Arial" w:cs="Arial"/>
          <w:b/>
          <w:bCs/>
          <w:sz w:val="20"/>
          <w:szCs w:val="20"/>
        </w:rPr>
        <w:sectPr w:rsidR="00B20F74" w:rsidSect="00D76FC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431D7D45" w14:textId="455A2B28" w:rsidR="00D76FCE" w:rsidRPr="00540A82" w:rsidRDefault="00D76FCE" w:rsidP="00D76FCE">
      <w:pPr>
        <w:pStyle w:val="NormalWeb"/>
        <w:spacing w:line="360" w:lineRule="auto"/>
        <w:jc w:val="both"/>
        <w:rPr>
          <w:rFonts w:ascii="Arial" w:hAnsi="Arial" w:cs="Arial"/>
          <w:b/>
          <w:bCs/>
          <w:sz w:val="20"/>
          <w:szCs w:val="20"/>
        </w:rPr>
      </w:pPr>
      <w:r w:rsidRPr="00540A82">
        <w:rPr>
          <w:rFonts w:ascii="Arial" w:hAnsi="Arial" w:cs="Arial"/>
          <w:b/>
          <w:bCs/>
          <w:sz w:val="20"/>
          <w:szCs w:val="20"/>
        </w:rPr>
        <w:lastRenderedPageBreak/>
        <w:t>Table 1:</w:t>
      </w:r>
      <w:r w:rsidRPr="00540A82">
        <w:rPr>
          <w:rFonts w:ascii="Arial" w:hAnsi="Arial" w:cs="Arial"/>
          <w:sz w:val="20"/>
          <w:szCs w:val="20"/>
        </w:rPr>
        <w:t xml:space="preserve"> </w:t>
      </w:r>
      <w:r w:rsidR="009E3E2F" w:rsidRPr="003C3FC6">
        <w:t xml:space="preserve">Binding </w:t>
      </w:r>
      <w:r w:rsidR="00FC0382">
        <w:t>energies</w:t>
      </w:r>
      <w:r w:rsidR="009E3E2F" w:rsidRPr="003C3FC6">
        <w:t>, interactions, and 2D structures of oxythiamine and the</w:t>
      </w:r>
      <w:r w:rsidR="009E3E2F">
        <w:t xml:space="preserve"> six </w:t>
      </w:r>
      <w:r w:rsidR="009E3E2F">
        <w:rPr>
          <w:rFonts w:ascii="Arial" w:hAnsi="Arial" w:cs="Arial"/>
          <w:bCs/>
          <w:noProof/>
          <w:sz w:val="20"/>
          <w:szCs w:val="20"/>
        </w:rPr>
        <w:t xml:space="preserve">Schiff-bases </w:t>
      </w:r>
      <w:r w:rsidR="009E3E2F">
        <w:t>of phenylisocytosine</w:t>
      </w:r>
      <w:r w:rsidRPr="00540A82">
        <w:rPr>
          <w:rFonts w:ascii="Arial" w:hAnsi="Arial" w:cs="Arial"/>
          <w:sz w:val="20"/>
          <w:szCs w:val="20"/>
        </w:rPr>
        <w:t xml:space="preserve">. </w:t>
      </w:r>
    </w:p>
    <w:tbl>
      <w:tblPr>
        <w:tblStyle w:val="TableGridLight"/>
        <w:tblW w:w="14130" w:type="dxa"/>
        <w:tblInd w:w="-545" w:type="dxa"/>
        <w:tblLayout w:type="fixed"/>
        <w:tblLook w:val="04A0" w:firstRow="1" w:lastRow="0" w:firstColumn="1" w:lastColumn="0" w:noHBand="0" w:noVBand="1"/>
      </w:tblPr>
      <w:tblGrid>
        <w:gridCol w:w="2790"/>
        <w:gridCol w:w="1800"/>
        <w:gridCol w:w="1710"/>
        <w:gridCol w:w="2250"/>
        <w:gridCol w:w="2610"/>
        <w:gridCol w:w="2970"/>
      </w:tblGrid>
      <w:tr w:rsidR="00D76FCE" w:rsidRPr="00540A82" w14:paraId="75A5F6DE" w14:textId="77777777" w:rsidTr="00E829E0">
        <w:tc>
          <w:tcPr>
            <w:tcW w:w="2790" w:type="dxa"/>
          </w:tcPr>
          <w:p w14:paraId="5D5B9ACE" w14:textId="77777777" w:rsidR="00D76FCE" w:rsidRPr="00540A82" w:rsidRDefault="00D76FCE" w:rsidP="0001741A">
            <w:pPr>
              <w:spacing w:line="360" w:lineRule="auto"/>
              <w:jc w:val="center"/>
              <w:rPr>
                <w:rFonts w:ascii="Arial" w:hAnsi="Arial" w:cs="Arial"/>
                <w:b/>
                <w:sz w:val="20"/>
                <w:szCs w:val="20"/>
              </w:rPr>
            </w:pPr>
            <w:r w:rsidRPr="00540A82">
              <w:rPr>
                <w:rFonts w:ascii="Arial" w:hAnsi="Arial" w:cs="Arial"/>
                <w:b/>
                <w:sz w:val="20"/>
                <w:szCs w:val="20"/>
              </w:rPr>
              <w:t>Compound</w:t>
            </w:r>
          </w:p>
          <w:p w14:paraId="1E4EA967"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Identifier</w:t>
            </w:r>
          </w:p>
          <w:p w14:paraId="4AC5A2B8" w14:textId="77777777" w:rsidR="00D76FCE" w:rsidRPr="00540A82" w:rsidRDefault="00D76FCE" w:rsidP="0001741A">
            <w:pPr>
              <w:jc w:val="center"/>
              <w:rPr>
                <w:rFonts w:ascii="Arial" w:hAnsi="Arial" w:cs="Arial"/>
                <w:b/>
                <w:sz w:val="20"/>
                <w:szCs w:val="20"/>
              </w:rPr>
            </w:pPr>
          </w:p>
        </w:tc>
        <w:tc>
          <w:tcPr>
            <w:tcW w:w="1800" w:type="dxa"/>
          </w:tcPr>
          <w:p w14:paraId="1B003F91" w14:textId="180F0A68"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 xml:space="preserve">Binding </w:t>
            </w:r>
            <w:r w:rsidR="00FC0382">
              <w:rPr>
                <w:rFonts w:ascii="Arial" w:hAnsi="Arial" w:cs="Arial"/>
                <w:b/>
                <w:sz w:val="20"/>
                <w:szCs w:val="20"/>
              </w:rPr>
              <w:t>energy</w:t>
            </w:r>
          </w:p>
          <w:p w14:paraId="73936587"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w:t>
            </w:r>
            <w:proofErr w:type="spellStart"/>
            <w:r w:rsidRPr="00540A82">
              <w:rPr>
                <w:rFonts w:ascii="Arial" w:hAnsi="Arial" w:cs="Arial"/>
                <w:b/>
                <w:sz w:val="20"/>
                <w:szCs w:val="20"/>
              </w:rPr>
              <w:t>AutoDock</w:t>
            </w:r>
            <w:proofErr w:type="spellEnd"/>
            <w:r w:rsidRPr="00540A82">
              <w:rPr>
                <w:rFonts w:ascii="Arial" w:hAnsi="Arial" w:cs="Arial"/>
                <w:b/>
                <w:sz w:val="20"/>
                <w:szCs w:val="20"/>
              </w:rPr>
              <w:t xml:space="preserve"> </w:t>
            </w:r>
            <w:proofErr w:type="spellStart"/>
            <w:r w:rsidRPr="00540A82">
              <w:rPr>
                <w:rFonts w:ascii="Arial" w:hAnsi="Arial" w:cs="Arial"/>
                <w:b/>
                <w:sz w:val="20"/>
                <w:szCs w:val="20"/>
              </w:rPr>
              <w:t>Vina</w:t>
            </w:r>
            <w:proofErr w:type="spellEnd"/>
            <w:r w:rsidRPr="00540A82">
              <w:rPr>
                <w:rFonts w:ascii="Arial" w:hAnsi="Arial" w:cs="Arial"/>
                <w:b/>
                <w:sz w:val="20"/>
                <w:szCs w:val="20"/>
              </w:rPr>
              <w:t>)</w:t>
            </w:r>
          </w:p>
          <w:p w14:paraId="78AAF3A9" w14:textId="77777777" w:rsidR="00D76FCE" w:rsidRPr="00540A82" w:rsidRDefault="00D76FCE" w:rsidP="0001741A">
            <w:pPr>
              <w:jc w:val="center"/>
              <w:rPr>
                <w:rFonts w:ascii="Arial" w:hAnsi="Arial" w:cs="Arial"/>
                <w:b/>
                <w:sz w:val="20"/>
                <w:szCs w:val="20"/>
              </w:rPr>
            </w:pPr>
            <w:r w:rsidRPr="00540A82">
              <w:rPr>
                <w:rFonts w:ascii="Arial" w:hAnsi="Arial" w:cs="Arial"/>
                <w:b/>
                <w:sz w:val="20"/>
                <w:szCs w:val="20"/>
              </w:rPr>
              <w:t>Kcal/mol)</w:t>
            </w:r>
          </w:p>
        </w:tc>
        <w:tc>
          <w:tcPr>
            <w:tcW w:w="1710" w:type="dxa"/>
          </w:tcPr>
          <w:p w14:paraId="515291E8" w14:textId="1C17B577" w:rsidR="00D76FCE" w:rsidRPr="00C85D5C" w:rsidRDefault="00D76FCE" w:rsidP="0001741A">
            <w:pPr>
              <w:spacing w:line="360" w:lineRule="auto"/>
              <w:jc w:val="center"/>
              <w:rPr>
                <w:rFonts w:ascii="Arial" w:hAnsi="Arial" w:cs="Arial"/>
                <w:b/>
                <w:bCs/>
                <w:sz w:val="20"/>
                <w:szCs w:val="20"/>
                <w:lang w:val="nl-BE"/>
              </w:rPr>
            </w:pPr>
            <w:r w:rsidRPr="00C85D5C">
              <w:rPr>
                <w:rFonts w:ascii="Arial" w:hAnsi="Arial" w:cs="Arial"/>
                <w:b/>
                <w:sz w:val="20"/>
                <w:szCs w:val="20"/>
                <w:lang w:val="nl-BE"/>
              </w:rPr>
              <w:t xml:space="preserve">Binding </w:t>
            </w:r>
            <w:r w:rsidR="00FC0382" w:rsidRPr="00C85D5C">
              <w:rPr>
                <w:rFonts w:ascii="Arial" w:hAnsi="Arial" w:cs="Arial"/>
                <w:b/>
                <w:sz w:val="20"/>
                <w:szCs w:val="20"/>
                <w:lang w:val="nl-BE"/>
              </w:rPr>
              <w:t>energy</w:t>
            </w:r>
          </w:p>
          <w:p w14:paraId="67B44054" w14:textId="77777777" w:rsidR="00D76FCE" w:rsidRPr="00C85D5C" w:rsidRDefault="00D76FCE" w:rsidP="0001741A">
            <w:pPr>
              <w:spacing w:line="360" w:lineRule="auto"/>
              <w:jc w:val="center"/>
              <w:rPr>
                <w:rFonts w:ascii="Arial" w:hAnsi="Arial" w:cs="Arial"/>
                <w:b/>
                <w:bCs/>
                <w:sz w:val="20"/>
                <w:szCs w:val="20"/>
                <w:lang w:val="nl-BE"/>
              </w:rPr>
            </w:pPr>
            <w:r w:rsidRPr="00C85D5C">
              <w:rPr>
                <w:rFonts w:ascii="Arial" w:hAnsi="Arial" w:cs="Arial"/>
                <w:b/>
                <w:sz w:val="20"/>
                <w:szCs w:val="20"/>
                <w:lang w:val="nl-BE"/>
              </w:rPr>
              <w:t>(iGEMDock)</w:t>
            </w:r>
            <w:r w:rsidRPr="00C85D5C">
              <w:rPr>
                <w:rFonts w:ascii="Arial" w:hAnsi="Arial" w:cs="Arial"/>
                <w:b/>
                <w:bCs/>
                <w:sz w:val="20"/>
                <w:szCs w:val="20"/>
                <w:lang w:val="nl-BE"/>
              </w:rPr>
              <w:t xml:space="preserve"> </w:t>
            </w:r>
            <w:r w:rsidRPr="00C85D5C">
              <w:rPr>
                <w:rFonts w:ascii="Arial" w:hAnsi="Arial" w:cs="Arial"/>
                <w:b/>
                <w:sz w:val="20"/>
                <w:szCs w:val="20"/>
                <w:lang w:val="nl-BE"/>
              </w:rPr>
              <w:t>Kcal/mol)</w:t>
            </w:r>
          </w:p>
        </w:tc>
        <w:tc>
          <w:tcPr>
            <w:tcW w:w="2250" w:type="dxa"/>
          </w:tcPr>
          <w:p w14:paraId="0914C88F" w14:textId="77777777" w:rsidR="00D76FCE" w:rsidRPr="00540A82" w:rsidRDefault="00D76FCE" w:rsidP="0001741A">
            <w:pPr>
              <w:jc w:val="center"/>
              <w:rPr>
                <w:rFonts w:ascii="Arial" w:hAnsi="Arial" w:cs="Arial"/>
                <w:b/>
                <w:bCs/>
                <w:sz w:val="20"/>
                <w:szCs w:val="20"/>
              </w:rPr>
            </w:pPr>
            <w:r w:rsidRPr="00540A82">
              <w:rPr>
                <w:rFonts w:ascii="Arial" w:hAnsi="Arial" w:cs="Arial"/>
                <w:b/>
                <w:bCs/>
                <w:sz w:val="20"/>
                <w:szCs w:val="20"/>
              </w:rPr>
              <w:t>H-bond interaction</w:t>
            </w:r>
          </w:p>
        </w:tc>
        <w:tc>
          <w:tcPr>
            <w:tcW w:w="2610" w:type="dxa"/>
          </w:tcPr>
          <w:p w14:paraId="7D5EDAF4" w14:textId="77777777" w:rsidR="00D76FCE" w:rsidRPr="00540A82" w:rsidRDefault="00D76FCE" w:rsidP="0001741A">
            <w:pPr>
              <w:jc w:val="center"/>
              <w:rPr>
                <w:rFonts w:ascii="Arial" w:hAnsi="Arial" w:cs="Arial"/>
                <w:b/>
                <w:bCs/>
                <w:sz w:val="20"/>
                <w:szCs w:val="20"/>
              </w:rPr>
            </w:pPr>
            <w:r w:rsidRPr="00540A82">
              <w:rPr>
                <w:rFonts w:ascii="Arial" w:hAnsi="Arial" w:cs="Arial"/>
                <w:b/>
                <w:bCs/>
                <w:sz w:val="20"/>
                <w:szCs w:val="20"/>
              </w:rPr>
              <w:t>Other Interaction</w:t>
            </w:r>
          </w:p>
        </w:tc>
        <w:tc>
          <w:tcPr>
            <w:tcW w:w="2970" w:type="dxa"/>
          </w:tcPr>
          <w:p w14:paraId="3B02CE02" w14:textId="77777777" w:rsidR="00D76FCE" w:rsidRPr="00540A82" w:rsidRDefault="00D76FCE" w:rsidP="0001741A">
            <w:pPr>
              <w:jc w:val="center"/>
              <w:rPr>
                <w:rFonts w:ascii="Arial" w:hAnsi="Arial" w:cs="Arial"/>
                <w:b/>
                <w:sz w:val="20"/>
                <w:szCs w:val="20"/>
              </w:rPr>
            </w:pPr>
            <w:r w:rsidRPr="00540A82">
              <w:rPr>
                <w:rFonts w:ascii="Arial" w:hAnsi="Arial" w:cs="Arial"/>
                <w:b/>
                <w:bCs/>
                <w:sz w:val="20"/>
                <w:szCs w:val="20"/>
              </w:rPr>
              <w:t>2-D structure</w:t>
            </w:r>
          </w:p>
        </w:tc>
      </w:tr>
      <w:tr w:rsidR="00D76FCE" w:rsidRPr="00540A82" w14:paraId="2A0F2559" w14:textId="77777777" w:rsidTr="00C40671">
        <w:trPr>
          <w:trHeight w:val="1313"/>
        </w:trPr>
        <w:tc>
          <w:tcPr>
            <w:tcW w:w="2790" w:type="dxa"/>
          </w:tcPr>
          <w:p w14:paraId="7AFCA22C"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Oxythiamine</w:t>
            </w:r>
          </w:p>
          <w:p w14:paraId="48E6782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(Standard Drug)</w:t>
            </w:r>
          </w:p>
        </w:tc>
        <w:tc>
          <w:tcPr>
            <w:tcW w:w="1800" w:type="dxa"/>
          </w:tcPr>
          <w:p w14:paraId="4C9D62D6"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-5.2</w:t>
            </w:r>
          </w:p>
        </w:tc>
        <w:tc>
          <w:tcPr>
            <w:tcW w:w="1710" w:type="dxa"/>
          </w:tcPr>
          <w:p w14:paraId="4CE59BA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-7.1</w:t>
            </w:r>
          </w:p>
        </w:tc>
        <w:tc>
          <w:tcPr>
            <w:tcW w:w="2250" w:type="dxa"/>
          </w:tcPr>
          <w:p w14:paraId="1F9270A7"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Met50, Asp63,</w:t>
            </w:r>
          </w:p>
          <w:p w14:paraId="4FF8759B"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Asn310</w:t>
            </w:r>
          </w:p>
        </w:tc>
        <w:tc>
          <w:tcPr>
            <w:tcW w:w="2610" w:type="dxa"/>
          </w:tcPr>
          <w:p w14:paraId="09C4AB54"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Ser47, Tyr153, Lys306</w:t>
            </w:r>
          </w:p>
        </w:tc>
        <w:tc>
          <w:tcPr>
            <w:tcW w:w="2970" w:type="dxa"/>
          </w:tcPr>
          <w:p w14:paraId="58ED7E32"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22966E2B" wp14:editId="481E3AB0">
                  <wp:extent cx="1247775" cy="800100"/>
                  <wp:effectExtent l="0" t="0" r="9525" b="0"/>
                  <wp:docPr id="525399605" name="Picture 52539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91959" cy="828432"/>
                          </a:xfrm>
                          <a:prstGeom prst="rect">
                            <a:avLst/>
                          </a:prstGeom>
                        </pic:spPr>
                      </pic:pic>
                    </a:graphicData>
                  </a:graphic>
                </wp:inline>
              </w:drawing>
            </w:r>
          </w:p>
        </w:tc>
      </w:tr>
      <w:tr w:rsidR="00D76FCE" w:rsidRPr="00540A82" w14:paraId="307DD991" w14:textId="77777777" w:rsidTr="00E829E0">
        <w:trPr>
          <w:trHeight w:val="1880"/>
        </w:trPr>
        <w:tc>
          <w:tcPr>
            <w:tcW w:w="2790" w:type="dxa"/>
          </w:tcPr>
          <w:p w14:paraId="2218915D"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(E)-2-((3-hydroxybenzylidene)amino)-6-phenylpyrimidin-4(1H)-one</w:t>
            </w:r>
          </w:p>
        </w:tc>
        <w:tc>
          <w:tcPr>
            <w:tcW w:w="1800" w:type="dxa"/>
          </w:tcPr>
          <w:p w14:paraId="238D61F2"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-7.7</w:t>
            </w:r>
          </w:p>
        </w:tc>
        <w:tc>
          <w:tcPr>
            <w:tcW w:w="1710" w:type="dxa"/>
          </w:tcPr>
          <w:p w14:paraId="01F34D7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-10.3</w:t>
            </w:r>
          </w:p>
        </w:tc>
        <w:tc>
          <w:tcPr>
            <w:tcW w:w="2250" w:type="dxa"/>
          </w:tcPr>
          <w:p w14:paraId="6DF0A6A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Asp56, Asn108, Thr111, Val114, Gly429</w:t>
            </w:r>
          </w:p>
        </w:tc>
        <w:tc>
          <w:tcPr>
            <w:tcW w:w="2610" w:type="dxa"/>
          </w:tcPr>
          <w:p w14:paraId="443714C4"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Thr57, Arg62, His109, Lys112, Gly113, Gly115, Asn338, Gly430, Pro514, His515</w:t>
            </w:r>
          </w:p>
          <w:p w14:paraId="10246C90" w14:textId="77777777" w:rsidR="00D76FCE" w:rsidRPr="00540A82" w:rsidRDefault="00D76FCE" w:rsidP="0001741A">
            <w:pPr>
              <w:jc w:val="center"/>
              <w:rPr>
                <w:rFonts w:ascii="Arial" w:hAnsi="Arial" w:cs="Arial"/>
                <w:bCs/>
                <w:noProof/>
                <w:sz w:val="20"/>
                <w:szCs w:val="20"/>
              </w:rPr>
            </w:pPr>
          </w:p>
        </w:tc>
        <w:tc>
          <w:tcPr>
            <w:tcW w:w="2970" w:type="dxa"/>
          </w:tcPr>
          <w:p w14:paraId="60657D1E"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1528397A" wp14:editId="4331B824">
                  <wp:extent cx="1236980" cy="1152525"/>
                  <wp:effectExtent l="0" t="0" r="1270" b="9525"/>
                  <wp:docPr id="2096181447" name="Picture 2096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80508" cy="1193081"/>
                          </a:xfrm>
                          <a:prstGeom prst="rect">
                            <a:avLst/>
                          </a:prstGeom>
                        </pic:spPr>
                      </pic:pic>
                    </a:graphicData>
                  </a:graphic>
                </wp:inline>
              </w:drawing>
            </w:r>
          </w:p>
        </w:tc>
      </w:tr>
      <w:tr w:rsidR="00D76FCE" w:rsidRPr="00540A82" w14:paraId="0A9BD2DE" w14:textId="77777777" w:rsidTr="00E829E0">
        <w:tc>
          <w:tcPr>
            <w:tcW w:w="2790" w:type="dxa"/>
          </w:tcPr>
          <w:p w14:paraId="6710583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(E)-2-((3,4-dimethoxybenzylidene)amino)-6-phenylpyrimidin-4(1H)-one</w:t>
            </w:r>
          </w:p>
        </w:tc>
        <w:tc>
          <w:tcPr>
            <w:tcW w:w="1800" w:type="dxa"/>
          </w:tcPr>
          <w:p w14:paraId="7914BC7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-7.5</w:t>
            </w:r>
          </w:p>
        </w:tc>
        <w:tc>
          <w:tcPr>
            <w:tcW w:w="1710" w:type="dxa"/>
          </w:tcPr>
          <w:p w14:paraId="2B904CC6"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-9.7</w:t>
            </w:r>
          </w:p>
        </w:tc>
        <w:tc>
          <w:tcPr>
            <w:tcW w:w="2250" w:type="dxa"/>
          </w:tcPr>
          <w:p w14:paraId="59DE0C7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Ala34, Asn190, Ile192, Cys253, His266</w:t>
            </w:r>
          </w:p>
        </w:tc>
        <w:tc>
          <w:tcPr>
            <w:tcW w:w="2610" w:type="dxa"/>
          </w:tcPr>
          <w:p w14:paraId="3691F8F8"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Asn69, His71, Leu121, Gly159, Asp160, Gly161, Gln164, Glu165, Asp188, Ile194, Thr193</w:t>
            </w:r>
          </w:p>
        </w:tc>
        <w:tc>
          <w:tcPr>
            <w:tcW w:w="2970" w:type="dxa"/>
          </w:tcPr>
          <w:p w14:paraId="1909089B"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657214C3" wp14:editId="649362BE">
                  <wp:extent cx="125730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65421" cy="1370873"/>
                          </a:xfrm>
                          <a:prstGeom prst="rect">
                            <a:avLst/>
                          </a:prstGeom>
                        </pic:spPr>
                      </pic:pic>
                    </a:graphicData>
                  </a:graphic>
                </wp:inline>
              </w:drawing>
            </w:r>
          </w:p>
        </w:tc>
      </w:tr>
      <w:tr w:rsidR="00D76FCE" w:rsidRPr="00540A82" w14:paraId="51F41D6D" w14:textId="77777777" w:rsidTr="00E829E0">
        <w:trPr>
          <w:trHeight w:val="1493"/>
        </w:trPr>
        <w:tc>
          <w:tcPr>
            <w:tcW w:w="2790" w:type="dxa"/>
          </w:tcPr>
          <w:p w14:paraId="16F536BD"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(E)-2-((2,4-dihydroxybenzylidene)amino)-6-phenylpyrimidin-4(1H)-one</w:t>
            </w:r>
          </w:p>
        </w:tc>
        <w:tc>
          <w:tcPr>
            <w:tcW w:w="1800" w:type="dxa"/>
          </w:tcPr>
          <w:p w14:paraId="5841AAF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-7.4</w:t>
            </w:r>
          </w:p>
        </w:tc>
        <w:tc>
          <w:tcPr>
            <w:tcW w:w="1710" w:type="dxa"/>
          </w:tcPr>
          <w:p w14:paraId="6A48389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-9.9</w:t>
            </w:r>
          </w:p>
        </w:tc>
        <w:tc>
          <w:tcPr>
            <w:tcW w:w="2250" w:type="dxa"/>
          </w:tcPr>
          <w:p w14:paraId="6FB0E767"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Asp384, Ser386, Ser388</w:t>
            </w:r>
          </w:p>
        </w:tc>
        <w:tc>
          <w:tcPr>
            <w:tcW w:w="2610" w:type="dxa"/>
          </w:tcPr>
          <w:p w14:paraId="70AA4AB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Ser382, Leu385, Glu387, Tyr408, Arg410, Arg414, Phe411, Gly412</w:t>
            </w:r>
          </w:p>
          <w:p w14:paraId="5001F2ED" w14:textId="77777777" w:rsidR="00D76FCE" w:rsidRPr="00540A82" w:rsidRDefault="00D76FCE" w:rsidP="0001741A">
            <w:pPr>
              <w:jc w:val="center"/>
              <w:rPr>
                <w:rFonts w:ascii="Arial" w:hAnsi="Arial" w:cs="Arial"/>
                <w:bCs/>
                <w:noProof/>
                <w:sz w:val="20"/>
                <w:szCs w:val="20"/>
              </w:rPr>
            </w:pPr>
          </w:p>
          <w:p w14:paraId="75D145D6" w14:textId="77777777" w:rsidR="00D76FCE" w:rsidRPr="00540A82" w:rsidRDefault="00D76FCE" w:rsidP="0001741A">
            <w:pPr>
              <w:jc w:val="center"/>
              <w:rPr>
                <w:rFonts w:ascii="Arial" w:hAnsi="Arial" w:cs="Arial"/>
                <w:bCs/>
                <w:noProof/>
                <w:sz w:val="20"/>
                <w:szCs w:val="20"/>
              </w:rPr>
            </w:pPr>
          </w:p>
          <w:p w14:paraId="7871177A" w14:textId="77777777" w:rsidR="00D76FCE" w:rsidRPr="00540A82" w:rsidRDefault="00D76FCE" w:rsidP="0001741A">
            <w:pPr>
              <w:jc w:val="center"/>
              <w:rPr>
                <w:rFonts w:ascii="Arial" w:hAnsi="Arial" w:cs="Arial"/>
                <w:bCs/>
                <w:noProof/>
                <w:sz w:val="20"/>
                <w:szCs w:val="20"/>
              </w:rPr>
            </w:pPr>
          </w:p>
        </w:tc>
        <w:tc>
          <w:tcPr>
            <w:tcW w:w="2970" w:type="dxa"/>
          </w:tcPr>
          <w:p w14:paraId="259EA386"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053FEE11" wp14:editId="009CA9E4">
                  <wp:extent cx="1351280" cy="13239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5872" cy="1367666"/>
                          </a:xfrm>
                          <a:prstGeom prst="rect">
                            <a:avLst/>
                          </a:prstGeom>
                        </pic:spPr>
                      </pic:pic>
                    </a:graphicData>
                  </a:graphic>
                </wp:inline>
              </w:drawing>
            </w:r>
          </w:p>
        </w:tc>
      </w:tr>
      <w:tr w:rsidR="00D76FCE" w:rsidRPr="00540A82" w14:paraId="3DB4C283" w14:textId="77777777" w:rsidTr="00E829E0">
        <w:trPr>
          <w:trHeight w:val="1493"/>
        </w:trPr>
        <w:tc>
          <w:tcPr>
            <w:tcW w:w="2790" w:type="dxa"/>
          </w:tcPr>
          <w:p w14:paraId="1D19BEF5"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lastRenderedPageBreak/>
              <w:t>(E)-2-((4-dimethylamino)benzylidene)amino)-6-phenylpyrimidin-4(1H)-one</w:t>
            </w:r>
          </w:p>
        </w:tc>
        <w:tc>
          <w:tcPr>
            <w:tcW w:w="1800" w:type="dxa"/>
          </w:tcPr>
          <w:p w14:paraId="7FBF871B"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-7.3</w:t>
            </w:r>
          </w:p>
        </w:tc>
        <w:tc>
          <w:tcPr>
            <w:tcW w:w="1710" w:type="dxa"/>
          </w:tcPr>
          <w:p w14:paraId="71AF094C"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-9.2</w:t>
            </w:r>
          </w:p>
        </w:tc>
        <w:tc>
          <w:tcPr>
            <w:tcW w:w="2250" w:type="dxa"/>
          </w:tcPr>
          <w:p w14:paraId="6304976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Lys112, Tyr426</w:t>
            </w:r>
          </w:p>
        </w:tc>
        <w:tc>
          <w:tcPr>
            <w:tcW w:w="2610" w:type="dxa"/>
          </w:tcPr>
          <w:p w14:paraId="42322350"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His109</w:t>
            </w:r>
          </w:p>
        </w:tc>
        <w:tc>
          <w:tcPr>
            <w:tcW w:w="2970" w:type="dxa"/>
          </w:tcPr>
          <w:p w14:paraId="1881916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152E4DA6" wp14:editId="2C65872A">
                  <wp:extent cx="1143000"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64188" cy="1290308"/>
                          </a:xfrm>
                          <a:prstGeom prst="rect">
                            <a:avLst/>
                          </a:prstGeom>
                        </pic:spPr>
                      </pic:pic>
                    </a:graphicData>
                  </a:graphic>
                </wp:inline>
              </w:drawing>
            </w:r>
          </w:p>
        </w:tc>
      </w:tr>
      <w:tr w:rsidR="00D76FCE" w:rsidRPr="00540A82" w14:paraId="7535BB9A" w14:textId="77777777" w:rsidTr="00E829E0">
        <w:trPr>
          <w:trHeight w:val="1493"/>
        </w:trPr>
        <w:tc>
          <w:tcPr>
            <w:tcW w:w="2790" w:type="dxa"/>
          </w:tcPr>
          <w:p w14:paraId="5A96F31B"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(E)-2-((4-methoxybenzylidene)amino)-6-phenylpyrimidin-4(1H)-one</w:t>
            </w:r>
          </w:p>
        </w:tc>
        <w:tc>
          <w:tcPr>
            <w:tcW w:w="1800" w:type="dxa"/>
          </w:tcPr>
          <w:p w14:paraId="6BF932A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-7.2</w:t>
            </w:r>
          </w:p>
        </w:tc>
        <w:tc>
          <w:tcPr>
            <w:tcW w:w="1710" w:type="dxa"/>
          </w:tcPr>
          <w:p w14:paraId="5218A3A1"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-9.5</w:t>
            </w:r>
          </w:p>
        </w:tc>
        <w:tc>
          <w:tcPr>
            <w:tcW w:w="2250" w:type="dxa"/>
          </w:tcPr>
          <w:p w14:paraId="164A409E"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His4162</w:t>
            </w:r>
          </w:p>
        </w:tc>
        <w:tc>
          <w:tcPr>
            <w:tcW w:w="2610" w:type="dxa"/>
          </w:tcPr>
          <w:p w14:paraId="399D9ACE"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Val413, Arg414, Phe441, Tyr444</w:t>
            </w:r>
          </w:p>
        </w:tc>
        <w:tc>
          <w:tcPr>
            <w:tcW w:w="2970" w:type="dxa"/>
          </w:tcPr>
          <w:p w14:paraId="6E48AD85"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4DFF1B87" wp14:editId="4ECFF441">
                  <wp:extent cx="13144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4287" cy="1392299"/>
                          </a:xfrm>
                          <a:prstGeom prst="rect">
                            <a:avLst/>
                          </a:prstGeom>
                        </pic:spPr>
                      </pic:pic>
                    </a:graphicData>
                  </a:graphic>
                </wp:inline>
              </w:drawing>
            </w:r>
          </w:p>
        </w:tc>
      </w:tr>
      <w:tr w:rsidR="00D76FCE" w:rsidRPr="00540A82" w14:paraId="49157273" w14:textId="77777777" w:rsidTr="00E829E0">
        <w:trPr>
          <w:trHeight w:val="2150"/>
        </w:trPr>
        <w:tc>
          <w:tcPr>
            <w:tcW w:w="2790" w:type="dxa"/>
          </w:tcPr>
          <w:p w14:paraId="296AFF8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(E)-2-((2-hydroxybenzylidene)amino)-6-phenylpyrimidin-4(1H)-one</w:t>
            </w:r>
          </w:p>
        </w:tc>
        <w:tc>
          <w:tcPr>
            <w:tcW w:w="1800" w:type="dxa"/>
          </w:tcPr>
          <w:p w14:paraId="08DAA0C3"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-7.2</w:t>
            </w:r>
          </w:p>
        </w:tc>
        <w:tc>
          <w:tcPr>
            <w:tcW w:w="1710" w:type="dxa"/>
          </w:tcPr>
          <w:p w14:paraId="465618D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-9.4</w:t>
            </w:r>
          </w:p>
        </w:tc>
        <w:tc>
          <w:tcPr>
            <w:tcW w:w="2250" w:type="dxa"/>
          </w:tcPr>
          <w:p w14:paraId="70035B7F"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His71, Asp160, Ile192, Thr193, Ile194</w:t>
            </w:r>
          </w:p>
        </w:tc>
        <w:tc>
          <w:tcPr>
            <w:tcW w:w="2610" w:type="dxa"/>
          </w:tcPr>
          <w:p w14:paraId="4BDA1936"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Ala34, Leu121</w:t>
            </w:r>
          </w:p>
        </w:tc>
        <w:tc>
          <w:tcPr>
            <w:tcW w:w="2970" w:type="dxa"/>
          </w:tcPr>
          <w:p w14:paraId="0906130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1ADA3A7B" wp14:editId="4102447E">
                  <wp:extent cx="122872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9882" cy="1277552"/>
                          </a:xfrm>
                          <a:prstGeom prst="rect">
                            <a:avLst/>
                          </a:prstGeom>
                        </pic:spPr>
                      </pic:pic>
                    </a:graphicData>
                  </a:graphic>
                </wp:inline>
              </w:drawing>
            </w:r>
          </w:p>
        </w:tc>
      </w:tr>
    </w:tbl>
    <w:p w14:paraId="56D47D5E" w14:textId="77777777" w:rsidR="00D76FCE" w:rsidRDefault="00D76FCE" w:rsidP="00D76FCE">
      <w:pPr>
        <w:sectPr w:rsidR="00D76FCE" w:rsidSect="00B20F74">
          <w:pgSz w:w="15840" w:h="12240" w:orient="landscape"/>
          <w:pgMar w:top="1440" w:right="1440" w:bottom="1440" w:left="1440" w:header="720" w:footer="720" w:gutter="0"/>
          <w:cols w:space="720"/>
          <w:docGrid w:linePitch="360"/>
        </w:sectPr>
      </w:pPr>
    </w:p>
    <w:p w14:paraId="78E2CDC4" w14:textId="5E5B6125" w:rsidR="00C270C5" w:rsidRPr="00C270C5" w:rsidRDefault="00C270C5" w:rsidP="00540A82">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lastRenderedPageBreak/>
        <w:t>(E)-2-((2</w:t>
      </w:r>
      <w:proofErr w:type="gramStart"/>
      <w:r w:rsidRPr="00C270C5">
        <w:rPr>
          <w:rFonts w:ascii="Arial" w:hAnsi="Arial" w:cs="Arial"/>
          <w:sz w:val="20"/>
          <w:szCs w:val="20"/>
        </w:rPr>
        <w:t>,4</w:t>
      </w:r>
      <w:proofErr w:type="gramEnd"/>
      <w:r w:rsidRPr="00C270C5">
        <w:rPr>
          <w:rFonts w:ascii="Arial" w:hAnsi="Arial" w:cs="Arial"/>
          <w:sz w:val="20"/>
          <w:szCs w:val="20"/>
        </w:rPr>
        <w:t>-dihydroxybenzylidene)amino)-6-phenylpyrimidin-4(1H)-one exhibited binding affinities of -7.4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w:t>
      </w:r>
      <w:proofErr w:type="spellStart"/>
      <w:r w:rsidRPr="00C270C5">
        <w:rPr>
          <w:rFonts w:ascii="Arial" w:hAnsi="Arial" w:cs="Arial"/>
          <w:sz w:val="20"/>
          <w:szCs w:val="20"/>
        </w:rPr>
        <w:t>Vina</w:t>
      </w:r>
      <w:proofErr w:type="spellEnd"/>
      <w:r w:rsidRPr="00C270C5">
        <w:rPr>
          <w:rFonts w:ascii="Arial" w:hAnsi="Arial" w:cs="Arial"/>
          <w:sz w:val="20"/>
          <w:szCs w:val="20"/>
        </w:rPr>
        <w:t>) and -9.9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iGEMDock</w:t>
      </w:r>
      <w:proofErr w:type="spellEnd"/>
      <w:r w:rsidRPr="00C270C5">
        <w:rPr>
          <w:rFonts w:ascii="Arial" w:hAnsi="Arial" w:cs="Arial"/>
          <w:sz w:val="20"/>
          <w:szCs w:val="20"/>
        </w:rPr>
        <w:t>). It formed hydrogen bonds with Asp384, Ser386, and Ser388 and engaged with residues including Arg410, Phe411, and Gly412, contributing to its strong inhibitory potential. Meanwhile, (E)-2-((4-dimethylamino)benzylidene)amino)-6-phenylpyrimidin-4(1H)-one demonstrated binding affinities of -7.3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w:t>
      </w:r>
      <w:proofErr w:type="spellStart"/>
      <w:r w:rsidRPr="00C270C5">
        <w:rPr>
          <w:rFonts w:ascii="Arial" w:hAnsi="Arial" w:cs="Arial"/>
          <w:sz w:val="20"/>
          <w:szCs w:val="20"/>
        </w:rPr>
        <w:t>Vina</w:t>
      </w:r>
      <w:proofErr w:type="spellEnd"/>
      <w:r w:rsidRPr="00C270C5">
        <w:rPr>
          <w:rFonts w:ascii="Arial" w:hAnsi="Arial" w:cs="Arial"/>
          <w:sz w:val="20"/>
          <w:szCs w:val="20"/>
        </w:rPr>
        <w:t>) and -9.2 kcal/</w:t>
      </w:r>
      <w:proofErr w:type="spellStart"/>
      <w:r w:rsidRPr="00C270C5">
        <w:rPr>
          <w:rFonts w:ascii="Arial" w:hAnsi="Arial" w:cs="Arial"/>
          <w:sz w:val="20"/>
          <w:szCs w:val="20"/>
        </w:rPr>
        <w:t>mol</w:t>
      </w:r>
      <w:proofErr w:type="spellEnd"/>
      <w:r w:rsidRPr="00C270C5">
        <w:rPr>
          <w:rFonts w:ascii="Arial" w:hAnsi="Arial" w:cs="Arial"/>
          <w:sz w:val="20"/>
          <w:szCs w:val="20"/>
        </w:rPr>
        <w:t xml:space="preserve"> (</w:t>
      </w:r>
      <w:proofErr w:type="spellStart"/>
      <w:r w:rsidRPr="00C270C5">
        <w:rPr>
          <w:rFonts w:ascii="Arial" w:hAnsi="Arial" w:cs="Arial"/>
          <w:sz w:val="20"/>
          <w:szCs w:val="20"/>
        </w:rPr>
        <w:t>iGEMDock</w:t>
      </w:r>
      <w:proofErr w:type="spellEnd"/>
      <w:r w:rsidRPr="00C270C5">
        <w:rPr>
          <w:rFonts w:ascii="Arial" w:hAnsi="Arial" w:cs="Arial"/>
          <w:sz w:val="20"/>
          <w:szCs w:val="20"/>
        </w:rPr>
        <w:t>), stabilizing through hydrogen bonds with Lys112 and Tyr426 and interactions with His109. Other Schiff bases, such as (E)-2-((4-methoxybenzylidene</w:t>
      </w:r>
      <w:proofErr w:type="gramStart"/>
      <w:r w:rsidRPr="00C270C5">
        <w:rPr>
          <w:rFonts w:ascii="Arial" w:hAnsi="Arial" w:cs="Arial"/>
          <w:sz w:val="20"/>
          <w:szCs w:val="20"/>
        </w:rPr>
        <w:t>)amino</w:t>
      </w:r>
      <w:proofErr w:type="gramEnd"/>
      <w:r w:rsidRPr="00C270C5">
        <w:rPr>
          <w:rFonts w:ascii="Arial" w:hAnsi="Arial" w:cs="Arial"/>
          <w:sz w:val="20"/>
          <w:szCs w:val="20"/>
        </w:rPr>
        <w:t>)-6-phenylpyrimidin-4(1H)-one and (E)-2-((2-hydroxybenzylidene)amino)-6-phenylpyrimidin-4(1H)-one, also displayed strong binding affinities and interactions, further supporting their potential as inhibitors (Table 1).</w:t>
      </w:r>
    </w:p>
    <w:p w14:paraId="427E00FD" w14:textId="7E0FF49A" w:rsidR="00063E23" w:rsidRDefault="00C270C5" w:rsidP="00540A82">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The lower binding energies, equivalent to high binding affinities and extensive interaction profiles of the Schiff bases, position them as promising candidates for antimalarial drug development, particularly in overcoming drug resistance challenges. These findings align with previous studies that emphasize stable binding as a determinant of inhibitor efficacy and highlight their potential in addressing the limitations of current antimalarial therapies</w:t>
      </w:r>
      <w:r w:rsidR="00AB6F3E">
        <w:rPr>
          <w:rFonts w:ascii="Arial" w:hAnsi="Arial" w:cs="Arial"/>
          <w:sz w:val="20"/>
          <w:szCs w:val="20"/>
        </w:rPr>
        <w:t xml:space="preserve"> [12]</w:t>
      </w:r>
      <w:r w:rsidRPr="00C270C5">
        <w:rPr>
          <w:rFonts w:ascii="Arial" w:hAnsi="Arial" w:cs="Arial"/>
          <w:sz w:val="20"/>
          <w:szCs w:val="20"/>
        </w:rPr>
        <w:t xml:space="preserve">. </w:t>
      </w:r>
    </w:p>
    <w:p w14:paraId="49713204" w14:textId="77777777" w:rsidR="008B1A62" w:rsidRPr="00063E23" w:rsidRDefault="008B1A62" w:rsidP="00540A82">
      <w:pPr>
        <w:autoSpaceDE w:val="0"/>
        <w:autoSpaceDN w:val="0"/>
        <w:adjustRightInd w:val="0"/>
        <w:spacing w:after="0" w:line="360" w:lineRule="auto"/>
        <w:jc w:val="both"/>
        <w:rPr>
          <w:rFonts w:ascii="Arial" w:hAnsi="Arial" w:cs="Arial"/>
          <w:sz w:val="20"/>
          <w:szCs w:val="20"/>
        </w:rPr>
      </w:pPr>
    </w:p>
    <w:p w14:paraId="30DA65F4" w14:textId="0322389D"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2a</w:t>
      </w:r>
      <w:r>
        <w:rPr>
          <w:rFonts w:ascii="Times New Roman" w:eastAsia="Times New Roman" w:hAnsi="Times New Roman" w:cs="Times New Roman"/>
          <w:noProof/>
          <w:sz w:val="24"/>
          <w:szCs w:val="24"/>
        </w:rPr>
        <w:t>)</w:t>
      </w:r>
    </w:p>
    <w:p w14:paraId="4585FD35" w14:textId="42A526CC" w:rsidR="00D76FCE" w:rsidRDefault="00783A4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EA75491" wp14:editId="2594653C">
                <wp:simplePos x="0" y="0"/>
                <wp:positionH relativeFrom="column">
                  <wp:posOffset>2085975</wp:posOffset>
                </wp:positionH>
                <wp:positionV relativeFrom="paragraph">
                  <wp:posOffset>2776220</wp:posOffset>
                </wp:positionV>
                <wp:extent cx="1127125" cy="185420"/>
                <wp:effectExtent l="0" t="0" r="34925" b="24130"/>
                <wp:wrapNone/>
                <wp:docPr id="1627943512" name="Straight Connector 11"/>
                <wp:cNvGraphicFramePr/>
                <a:graphic xmlns:a="http://schemas.openxmlformats.org/drawingml/2006/main">
                  <a:graphicData uri="http://schemas.microsoft.com/office/word/2010/wordprocessingShape">
                    <wps:wsp>
                      <wps:cNvCnPr/>
                      <wps:spPr>
                        <a:xfrm>
                          <a:off x="0" y="0"/>
                          <a:ext cx="1127125" cy="1854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6B532C"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18.6pt" to="25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" strokecolor="black [3200]" strokeweight=".5pt">
                <v:stroke dashstyle="dash" joinstyle="miter"/>
              </v:line>
            </w:pict>
          </mc:Fallback>
        </mc:AlternateContent>
      </w:r>
      <w:r w:rsidR="008B1A62">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E105D01" wp14:editId="14E63D34">
                <wp:simplePos x="0" y="0"/>
                <wp:positionH relativeFrom="column">
                  <wp:posOffset>3181350</wp:posOffset>
                </wp:positionH>
                <wp:positionV relativeFrom="paragraph">
                  <wp:posOffset>33020</wp:posOffset>
                </wp:positionV>
                <wp:extent cx="2971800" cy="2927985"/>
                <wp:effectExtent l="0" t="0" r="19050" b="24765"/>
                <wp:wrapNone/>
                <wp:docPr id="490458211" name="Text Box 10"/>
                <wp:cNvGraphicFramePr/>
                <a:graphic xmlns:a="http://schemas.openxmlformats.org/drawingml/2006/main">
                  <a:graphicData uri="http://schemas.microsoft.com/office/word/2010/wordprocessingShape">
                    <wps:wsp>
                      <wps:cNvSpPr txBox="1"/>
                      <wps:spPr>
                        <a:xfrm>
                          <a:off x="0" y="0"/>
                          <a:ext cx="2971800" cy="2927985"/>
                        </a:xfrm>
                        <a:prstGeom prst="rect">
                          <a:avLst/>
                        </a:prstGeom>
                        <a:noFill/>
                        <a:ln w="6350">
                          <a:solidFill>
                            <a:prstClr val="black"/>
                          </a:solidFill>
                          <a:prstDash val="dash"/>
                        </a:ln>
                      </wps:spPr>
                      <wps:txbx>
                        <w:txbxContent>
                          <w:p w14:paraId="59FFECF8" w14:textId="77777777" w:rsidR="00D76FCE" w:rsidRDefault="00D76FCE" w:rsidP="00D76FCE">
                            <w:r>
                              <w:rPr>
                                <w:rFonts w:ascii="Times New Roman" w:eastAsia="Times New Roman" w:hAnsi="Times New Roman" w:cs="Times New Roman"/>
                                <w:noProof/>
                                <w:sz w:val="24"/>
                                <w:szCs w:val="24"/>
                              </w:rPr>
                              <w:drawing>
                                <wp:inline distT="0" distB="0" distL="0" distR="0" wp14:anchorId="4A32D85C" wp14:editId="6896029B">
                                  <wp:extent cx="3009900" cy="2857500"/>
                                  <wp:effectExtent l="0" t="0" r="9525" b="9525"/>
                                  <wp:docPr id="20" name="Picture 20"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85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105D01" id="_x0000_t202" coordsize="21600,21600" o:spt="202" path="m,l,21600r21600,l21600,xe">
                <v:stroke joinstyle="miter"/>
                <v:path gradientshapeok="t" o:connecttype="rect"/>
              </v:shapetype>
              <v:shape id="Text Box 10" o:spid="_x0000_s1026" type="#_x0000_t202" style="position:absolute;margin-left:250.5pt;margin-top:2.6pt;width:234pt;height:230.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" filled="f" strokeweight=".5pt">
                <v:stroke dashstyle="dash"/>
                <v:textbox>
                  <w:txbxContent>
                    <w:p w14:paraId="59FFECF8" w14:textId="77777777" w:rsidR="00D76FCE" w:rsidRDefault="00D76FCE" w:rsidP="00D76FCE">
                      <w:r>
                        <w:rPr>
                          <w:rFonts w:ascii="Times New Roman" w:eastAsia="Times New Roman" w:hAnsi="Times New Roman" w:cs="Times New Roman"/>
                          <w:noProof/>
                          <w:sz w:val="24"/>
                          <w:szCs w:val="24"/>
                        </w:rPr>
                        <w:drawing>
                          <wp:inline distT="0" distB="0" distL="0" distR="0" wp14:anchorId="4A32D85C" wp14:editId="6896029B">
                            <wp:extent cx="3009900" cy="2857500"/>
                            <wp:effectExtent l="0" t="0" r="9525" b="9525"/>
                            <wp:docPr id="20" name="Picture 20"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2857500"/>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F0A7E60" wp14:editId="209EF23B">
                <wp:simplePos x="0" y="0"/>
                <wp:positionH relativeFrom="column">
                  <wp:posOffset>1057275</wp:posOffset>
                </wp:positionH>
                <wp:positionV relativeFrom="paragraph">
                  <wp:posOffset>280671</wp:posOffset>
                </wp:positionV>
                <wp:extent cx="1011474" cy="2495550"/>
                <wp:effectExtent l="0" t="0" r="17780" b="19050"/>
                <wp:wrapNone/>
                <wp:docPr id="1932433582" name="Text Box 9"/>
                <wp:cNvGraphicFramePr/>
                <a:graphic xmlns:a="http://schemas.openxmlformats.org/drawingml/2006/main">
                  <a:graphicData uri="http://schemas.microsoft.com/office/word/2010/wordprocessingShape">
                    <wps:wsp>
                      <wps:cNvSpPr txBox="1"/>
                      <wps:spPr>
                        <a:xfrm>
                          <a:off x="0" y="0"/>
                          <a:ext cx="1011474" cy="2495550"/>
                        </a:xfrm>
                        <a:prstGeom prst="rect">
                          <a:avLst/>
                        </a:prstGeom>
                        <a:noFill/>
                        <a:ln w="6350">
                          <a:solidFill>
                            <a:prstClr val="black"/>
                          </a:solidFill>
                          <a:prstDash val="dash"/>
                        </a:ln>
                      </wps:spPr>
                      <wps:txbx>
                        <w:txbxContent>
                          <w:p w14:paraId="596A31A8"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A7E60" id="Text Box 9" o:spid="_x0000_s1027" type="#_x0000_t202" style="position:absolute;margin-left:83.25pt;margin-top:22.1pt;width:79.6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" filled="f" strokeweight=".5pt">
                <v:stroke dashstyle="dash"/>
                <v:textbox>
                  <w:txbxContent>
                    <w:p w14:paraId="596A31A8"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BF949C" wp14:editId="23492507">
                <wp:simplePos x="0" y="0"/>
                <wp:positionH relativeFrom="column">
                  <wp:posOffset>2076355</wp:posOffset>
                </wp:positionH>
                <wp:positionV relativeFrom="paragraph">
                  <wp:posOffset>47125</wp:posOffset>
                </wp:positionV>
                <wp:extent cx="1108954" cy="243192"/>
                <wp:effectExtent l="0" t="0" r="34290" b="24130"/>
                <wp:wrapNone/>
                <wp:docPr id="1624346304" name="Straight Connector 12"/>
                <wp:cNvGraphicFramePr/>
                <a:graphic xmlns:a="http://schemas.openxmlformats.org/drawingml/2006/main">
                  <a:graphicData uri="http://schemas.microsoft.com/office/word/2010/wordprocessingShape">
                    <wps:wsp>
                      <wps:cNvCnPr/>
                      <wps:spPr>
                        <a:xfrm flipV="1">
                          <a:off x="0" y="0"/>
                          <a:ext cx="1108954" cy="2431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8D7248" id="Straight Connector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63.5pt,3.7pt" to="25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drawing>
          <wp:inline distT="0" distB="0" distL="0" distR="0" wp14:anchorId="41D94469" wp14:editId="5DEEF243">
            <wp:extent cx="3149208" cy="2995768"/>
            <wp:effectExtent l="0" t="0" r="0" b="0"/>
            <wp:docPr id="19" name="Picture 19" descr="C:\Users\RICHARD EMMANUEL\Desktop\Opeyemi compounds\M.TECH_PROJECT_IGEMDOCK\3D_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 EMMANUEL\Desktop\Opeyemi compounds\M.TECH_PROJECT_IGEMDOCK\3D_igpu_modelled_cleaned-oxythiamine-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869" cy="3014471"/>
                    </a:xfrm>
                    <a:prstGeom prst="rect">
                      <a:avLst/>
                    </a:prstGeom>
                    <a:noFill/>
                    <a:ln>
                      <a:noFill/>
                    </a:ln>
                  </pic:spPr>
                </pic:pic>
              </a:graphicData>
            </a:graphic>
          </wp:inline>
        </w:drawing>
      </w:r>
    </w:p>
    <w:p w14:paraId="404FC39A" w14:textId="77777777" w:rsidR="00D76FCE" w:rsidRPr="006404F2" w:rsidRDefault="00D76FCE" w:rsidP="00D76FCE">
      <w:pPr>
        <w:rPr>
          <w:rFonts w:ascii="Arial" w:eastAsia="Times New Roman" w:hAnsi="Arial" w:cs="Arial"/>
          <w:noProof/>
          <w:sz w:val="20"/>
          <w:szCs w:val="20"/>
        </w:rPr>
      </w:pPr>
      <w:r w:rsidRPr="006404F2">
        <w:rPr>
          <w:rFonts w:ascii="Arial" w:eastAsia="Times New Roman" w:hAnsi="Arial" w:cs="Arial"/>
          <w:b/>
          <w:sz w:val="20"/>
          <w:szCs w:val="20"/>
        </w:rPr>
        <w:t>8R3Q_OXYTHIAMINE</w:t>
      </w:r>
    </w:p>
    <w:p w14:paraId="19551AEF" w14:textId="77777777" w:rsidR="00783A44" w:rsidRDefault="00783A44" w:rsidP="00D76FCE">
      <w:pPr>
        <w:rPr>
          <w:rFonts w:ascii="Times New Roman" w:eastAsia="Times New Roman" w:hAnsi="Times New Roman" w:cs="Times New Roman"/>
          <w:noProof/>
          <w:sz w:val="24"/>
          <w:szCs w:val="24"/>
        </w:rPr>
      </w:pPr>
    </w:p>
    <w:p w14:paraId="50FFAF5B" w14:textId="77777777" w:rsidR="00783A44" w:rsidRDefault="00783A44" w:rsidP="00D76FCE">
      <w:pPr>
        <w:rPr>
          <w:rFonts w:ascii="Times New Roman" w:eastAsia="Times New Roman" w:hAnsi="Times New Roman" w:cs="Times New Roman"/>
          <w:noProof/>
          <w:sz w:val="24"/>
          <w:szCs w:val="24"/>
        </w:rPr>
      </w:pPr>
    </w:p>
    <w:p w14:paraId="4F608547" w14:textId="77777777" w:rsidR="00783A44" w:rsidRDefault="00783A44" w:rsidP="00D76FCE">
      <w:pPr>
        <w:rPr>
          <w:rFonts w:ascii="Times New Roman" w:eastAsia="Times New Roman" w:hAnsi="Times New Roman" w:cs="Times New Roman"/>
          <w:noProof/>
          <w:sz w:val="24"/>
          <w:szCs w:val="24"/>
        </w:rPr>
      </w:pPr>
    </w:p>
    <w:p w14:paraId="2ADDED69" w14:textId="77777777" w:rsidR="00783A44" w:rsidRDefault="00783A44" w:rsidP="00D76FCE">
      <w:pPr>
        <w:rPr>
          <w:rFonts w:ascii="Times New Roman" w:eastAsia="Times New Roman" w:hAnsi="Times New Roman" w:cs="Times New Roman"/>
          <w:noProof/>
          <w:sz w:val="24"/>
          <w:szCs w:val="24"/>
        </w:rPr>
      </w:pPr>
    </w:p>
    <w:p w14:paraId="4F0FD39F" w14:textId="6AD0E031" w:rsidR="00D76FCE" w:rsidRDefault="00B20F74" w:rsidP="00B20F74">
      <w:pPr>
        <w:tabs>
          <w:tab w:val="left" w:pos="7560"/>
        </w:tab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1DC20352" wp14:editId="382FBF4C">
                <wp:simplePos x="0" y="0"/>
                <wp:positionH relativeFrom="column">
                  <wp:posOffset>2066925</wp:posOffset>
                </wp:positionH>
                <wp:positionV relativeFrom="paragraph">
                  <wp:posOffset>123824</wp:posOffset>
                </wp:positionV>
                <wp:extent cx="1143000" cy="523875"/>
                <wp:effectExtent l="0" t="0" r="19050" b="28575"/>
                <wp:wrapNone/>
                <wp:docPr id="242748472" name="Straight Connector 12"/>
                <wp:cNvGraphicFramePr/>
                <a:graphic xmlns:a="http://schemas.openxmlformats.org/drawingml/2006/main">
                  <a:graphicData uri="http://schemas.microsoft.com/office/word/2010/wordprocessingShape">
                    <wps:wsp>
                      <wps:cNvCnPr/>
                      <wps:spPr>
                        <a:xfrm flipV="1">
                          <a:off x="0" y="0"/>
                          <a:ext cx="1143000" cy="5238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48A8D7" id="Straight Connector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9.75pt" to="252.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1832C84" wp14:editId="56E33099">
                <wp:simplePos x="0" y="0"/>
                <wp:positionH relativeFrom="column">
                  <wp:posOffset>3181350</wp:posOffset>
                </wp:positionH>
                <wp:positionV relativeFrom="paragraph">
                  <wp:posOffset>133350</wp:posOffset>
                </wp:positionV>
                <wp:extent cx="2933700" cy="3267075"/>
                <wp:effectExtent l="0" t="0" r="19050" b="28575"/>
                <wp:wrapNone/>
                <wp:docPr id="449901694" name="Text Box 10"/>
                <wp:cNvGraphicFramePr/>
                <a:graphic xmlns:a="http://schemas.openxmlformats.org/drawingml/2006/main">
                  <a:graphicData uri="http://schemas.microsoft.com/office/word/2010/wordprocessingShape">
                    <wps:wsp>
                      <wps:cNvSpPr txBox="1"/>
                      <wps:spPr>
                        <a:xfrm>
                          <a:off x="0" y="0"/>
                          <a:ext cx="2933700" cy="3267075"/>
                        </a:xfrm>
                        <a:prstGeom prst="rect">
                          <a:avLst/>
                        </a:prstGeom>
                        <a:noFill/>
                        <a:ln w="6350">
                          <a:solidFill>
                            <a:prstClr val="black"/>
                          </a:solidFill>
                          <a:prstDash val="dash"/>
                        </a:ln>
                      </wps:spPr>
                      <wps:txbx>
                        <w:txbxContent>
                          <w:p w14:paraId="0848D560" w14:textId="77777777" w:rsidR="00D76FCE" w:rsidRDefault="00D76FCE" w:rsidP="00D76FCE">
                            <w:r>
                              <w:rPr>
                                <w:rFonts w:ascii="Times New Roman" w:eastAsia="Times New Roman" w:hAnsi="Times New Roman" w:cs="Times New Roman"/>
                                <w:noProof/>
                                <w:sz w:val="24"/>
                                <w:szCs w:val="24"/>
                              </w:rPr>
                              <w:drawing>
                                <wp:inline distT="0" distB="0" distL="0" distR="0" wp14:anchorId="6D2E6C1C" wp14:editId="308D75D5">
                                  <wp:extent cx="2867025" cy="3190875"/>
                                  <wp:effectExtent l="0" t="0" r="9525" b="9525"/>
                                  <wp:docPr id="23" name="Picture 23" descr="C:\Users\RICHARD EMMANUEL\Desktop\Opeyemi compounds\M.TECH_PROJECT_IGEMDOCK\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 EMMANUEL\Desktop\Opeyemi compounds\M.TECH_PROJECT_IGEMDOCK\igpu_modelled_cleaned-(E)-2-((3-HYDROXYBENZYLIDENE)AMINO)-6-PHENYLPYRIMIDIN-4(1H)-ONE-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8091" cy="320319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E51A8F1" wp14:editId="6DCAE1F1">
                                  <wp:extent cx="3009900" cy="2857500"/>
                                  <wp:effectExtent l="0" t="0" r="0" b="0"/>
                                  <wp:docPr id="1450303083" name="Picture 1450303083"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7278" cy="2864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32C84" id="_x0000_s1028" type="#_x0000_t202" style="position:absolute;margin-left:250.5pt;margin-top:10.5pt;width:231pt;height:25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" filled="f" strokeweight=".5pt">
                <v:stroke dashstyle="dash"/>
                <v:textbox>
                  <w:txbxContent>
                    <w:p w14:paraId="0848D560" w14:textId="77777777" w:rsidR="00D76FCE" w:rsidRDefault="00D76FCE" w:rsidP="00D76FCE">
                      <w:r>
                        <w:rPr>
                          <w:rFonts w:ascii="Times New Roman" w:eastAsia="Times New Roman" w:hAnsi="Times New Roman" w:cs="Times New Roman"/>
                          <w:noProof/>
                          <w:sz w:val="24"/>
                          <w:szCs w:val="24"/>
                        </w:rPr>
                        <w:drawing>
                          <wp:inline distT="0" distB="0" distL="0" distR="0" wp14:anchorId="6D2E6C1C" wp14:editId="308D75D5">
                            <wp:extent cx="2867025" cy="3190875"/>
                            <wp:effectExtent l="0" t="0" r="9525" b="9525"/>
                            <wp:docPr id="23" name="Picture 23" descr="C:\Users\RICHARD EMMANUEL\Desktop\Opeyemi compounds\M.TECH_PROJECT_IGEMDOCK\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 EMMANUEL\Desktop\Opeyemi compounds\M.TECH_PROJECT_IGEMDOCK\igpu_modelled_cleaned-(E)-2-((3-HYDROXYBENZYLIDENE)AMINO)-6-PHENYLPYRIMIDIN-4(1H)-ONE-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8091" cy="320319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E51A8F1" wp14:editId="6DCAE1F1">
                            <wp:extent cx="3009900" cy="2857500"/>
                            <wp:effectExtent l="0" t="0" r="0" b="0"/>
                            <wp:docPr id="1450303083" name="Picture 1450303083"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7278" cy="2864504"/>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2b</w:t>
      </w:r>
      <w:r w:rsidR="00D76FCE">
        <w:rPr>
          <w:rFonts w:ascii="Times New Roman" w:eastAsia="Times New Roman" w:hAnsi="Times New Roman" w:cs="Times New Roman"/>
          <w:noProof/>
          <w:sz w:val="24"/>
          <w:szCs w:val="24"/>
        </w:rPr>
        <w:t>)</w:t>
      </w:r>
    </w:p>
    <w:p w14:paraId="2D364B16" w14:textId="57211F33"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8DF0156" wp14:editId="6E42EFBF">
                <wp:simplePos x="0" y="0"/>
                <wp:positionH relativeFrom="column">
                  <wp:posOffset>2085975</wp:posOffset>
                </wp:positionH>
                <wp:positionV relativeFrom="paragraph">
                  <wp:posOffset>2365374</wp:posOffset>
                </wp:positionV>
                <wp:extent cx="1114425" cy="733425"/>
                <wp:effectExtent l="0" t="0" r="28575" b="28575"/>
                <wp:wrapNone/>
                <wp:docPr id="661338266" name="Straight Connector 11"/>
                <wp:cNvGraphicFramePr/>
                <a:graphic xmlns:a="http://schemas.openxmlformats.org/drawingml/2006/main">
                  <a:graphicData uri="http://schemas.microsoft.com/office/word/2010/wordprocessingShape">
                    <wps:wsp>
                      <wps:cNvCnPr/>
                      <wps:spPr>
                        <a:xfrm>
                          <a:off x="0" y="0"/>
                          <a:ext cx="1114425" cy="733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E0B57C"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86.25pt" to="25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8F4525F" wp14:editId="326F18EA">
                <wp:simplePos x="0" y="0"/>
                <wp:positionH relativeFrom="column">
                  <wp:posOffset>1057275</wp:posOffset>
                </wp:positionH>
                <wp:positionV relativeFrom="paragraph">
                  <wp:posOffset>365126</wp:posOffset>
                </wp:positionV>
                <wp:extent cx="1010920" cy="2000250"/>
                <wp:effectExtent l="0" t="0" r="17780" b="19050"/>
                <wp:wrapNone/>
                <wp:docPr id="901651670" name="Text Box 9"/>
                <wp:cNvGraphicFramePr/>
                <a:graphic xmlns:a="http://schemas.openxmlformats.org/drawingml/2006/main">
                  <a:graphicData uri="http://schemas.microsoft.com/office/word/2010/wordprocessingShape">
                    <wps:wsp>
                      <wps:cNvSpPr txBox="1"/>
                      <wps:spPr>
                        <a:xfrm>
                          <a:off x="0" y="0"/>
                          <a:ext cx="1010920" cy="2000250"/>
                        </a:xfrm>
                        <a:prstGeom prst="rect">
                          <a:avLst/>
                        </a:prstGeom>
                        <a:noFill/>
                        <a:ln w="6350">
                          <a:solidFill>
                            <a:prstClr val="black"/>
                          </a:solidFill>
                          <a:prstDash val="dash"/>
                        </a:ln>
                      </wps:spPr>
                      <wps:txbx>
                        <w:txbxContent>
                          <w:p w14:paraId="5B5C8AE2"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4525F" id="_x0000_s1029" type="#_x0000_t202" style="position:absolute;margin-left:83.25pt;margin-top:28.75pt;width:79.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" filled="f" strokeweight=".5pt">
                <v:stroke dashstyle="dash"/>
                <v:textbox>
                  <w:txbxContent>
                    <w:p w14:paraId="5B5C8AE2"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rFonts w:ascii="Times New Roman" w:eastAsia="Times New Roman" w:hAnsi="Times New Roman" w:cs="Times New Roman"/>
          <w:noProof/>
          <w:sz w:val="24"/>
          <w:szCs w:val="24"/>
        </w:rPr>
        <w:drawing>
          <wp:inline distT="0" distB="0" distL="0" distR="0" wp14:anchorId="20CB697C" wp14:editId="369A8384">
            <wp:extent cx="2908300" cy="2695575"/>
            <wp:effectExtent l="0" t="0" r="6350" b="9525"/>
            <wp:docPr id="24" name="Picture 24" descr="C:\Users\RICHARD EMMANUEL\Desktop\Opeyemi compounds\M.TECH_PROJECT_IGEMDOCK\3D_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 EMMANUEL\Desktop\Opeyemi compounds\M.TECH_PROJECT_IGEMDOCK\3D_igpu_modelled_cleaned-(E)-2-((3-HYDROXYBENZYLIDENE)AMINO)-6-PHENYLPYRIMIDIN-4(1H)-ONE-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109" cy="2700959"/>
                    </a:xfrm>
                    <a:prstGeom prst="rect">
                      <a:avLst/>
                    </a:prstGeom>
                    <a:noFill/>
                    <a:ln>
                      <a:noFill/>
                    </a:ln>
                  </pic:spPr>
                </pic:pic>
              </a:graphicData>
            </a:graphic>
          </wp:inline>
        </w:drawing>
      </w:r>
    </w:p>
    <w:p w14:paraId="16EB5A0B" w14:textId="77777777" w:rsidR="00D76FCE" w:rsidRDefault="00D76FCE" w:rsidP="00D76FCE">
      <w:pPr>
        <w:rPr>
          <w:rFonts w:ascii="Times New Roman" w:hAnsi="Times New Roman" w:cs="Times New Roman"/>
          <w:b/>
          <w:sz w:val="24"/>
          <w:szCs w:val="24"/>
        </w:rPr>
      </w:pPr>
    </w:p>
    <w:p w14:paraId="7A6768DA" w14:textId="70A287E0" w:rsidR="00D76FCE" w:rsidRPr="004678C4" w:rsidRDefault="00D76FCE" w:rsidP="00D76FCE">
      <w:pPr>
        <w:spacing w:before="100" w:beforeAutospacing="1" w:after="100" w:afterAutospacing="1"/>
        <w:rPr>
          <w:rFonts w:ascii="Arial" w:eastAsia="Times New Roman" w:hAnsi="Arial" w:cs="Arial"/>
          <w:b/>
          <w:sz w:val="20"/>
          <w:szCs w:val="20"/>
        </w:rPr>
      </w:pPr>
      <w:r w:rsidRPr="006404F2">
        <w:rPr>
          <w:rFonts w:ascii="Arial" w:hAnsi="Arial" w:cs="Arial"/>
          <w:b/>
          <w:sz w:val="20"/>
          <w:szCs w:val="20"/>
        </w:rPr>
        <w:t>8R3Q_2-</w:t>
      </w:r>
      <w:r w:rsidRPr="006404F2">
        <w:rPr>
          <w:rFonts w:ascii="Arial" w:eastAsia="Times New Roman" w:hAnsi="Arial" w:cs="Arial"/>
          <w:b/>
          <w:sz w:val="20"/>
          <w:szCs w:val="20"/>
        </w:rPr>
        <w:t>_(E)-2-((3-HYDROXYBENZYLIDENE) AMINO)-6-PHENYLPYRIMIDIN-4(1H)-ONE</w:t>
      </w:r>
    </w:p>
    <w:p w14:paraId="6C2E7E8F" w14:textId="7FF57719" w:rsidR="00D76FCE" w:rsidRDefault="00973D12"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9702EDF" wp14:editId="447F89B3">
                <wp:simplePos x="0" y="0"/>
                <wp:positionH relativeFrom="column">
                  <wp:posOffset>3181350</wp:posOffset>
                </wp:positionH>
                <wp:positionV relativeFrom="paragraph">
                  <wp:posOffset>5716</wp:posOffset>
                </wp:positionV>
                <wp:extent cx="2895600" cy="3295650"/>
                <wp:effectExtent l="0" t="0" r="19050" b="19050"/>
                <wp:wrapNone/>
                <wp:docPr id="197136001" name="Text Box 10"/>
                <wp:cNvGraphicFramePr/>
                <a:graphic xmlns:a="http://schemas.openxmlformats.org/drawingml/2006/main">
                  <a:graphicData uri="http://schemas.microsoft.com/office/word/2010/wordprocessingShape">
                    <wps:wsp>
                      <wps:cNvSpPr txBox="1"/>
                      <wps:spPr>
                        <a:xfrm>
                          <a:off x="0" y="0"/>
                          <a:ext cx="2895600" cy="3295650"/>
                        </a:xfrm>
                        <a:prstGeom prst="rect">
                          <a:avLst/>
                        </a:prstGeom>
                        <a:noFill/>
                        <a:ln w="6350">
                          <a:solidFill>
                            <a:prstClr val="black"/>
                          </a:solidFill>
                          <a:prstDash val="dash"/>
                        </a:ln>
                      </wps:spPr>
                      <wps:txbx>
                        <w:txbxContent>
                          <w:p w14:paraId="1B4AC3D4" w14:textId="77777777" w:rsidR="00D76FCE" w:rsidRDefault="00D76FCE" w:rsidP="00D76FCE">
                            <w:r>
                              <w:rPr>
                                <w:rFonts w:ascii="Times New Roman" w:eastAsia="Times New Roman" w:hAnsi="Times New Roman" w:cs="Times New Roman"/>
                                <w:noProof/>
                                <w:sz w:val="24"/>
                                <w:szCs w:val="24"/>
                              </w:rPr>
                              <w:drawing>
                                <wp:inline distT="0" distB="0" distL="0" distR="0" wp14:anchorId="1E475770" wp14:editId="726251B7">
                                  <wp:extent cx="2762250" cy="3228975"/>
                                  <wp:effectExtent l="0" t="0" r="0" b="9525"/>
                                  <wp:docPr id="25" name="Picture 25" descr="C:\Users\RICHARD EMMANUEL\Desktop\Opeyemi compounds\M.TECH_PROJECT_IGEMDOCK\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 EMMANUEL\Desktop\Opeyemi compounds\M.TECH_PROJECT_IGEMDOCK\igpu_modelled_cleaned-(E)-2-((3,4-DIMETHOXYBENZYLIDENE)AMINO)-6-PHENYLPYRIMIDIN-4(1H)-ONE-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0008" cy="3238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02EDF" id="_x0000_s1030" type="#_x0000_t202" style="position:absolute;margin-left:250.5pt;margin-top:.45pt;width:228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" filled="f" strokeweight=".5pt">
                <v:stroke dashstyle="dash"/>
                <v:textbox>
                  <w:txbxContent>
                    <w:p w14:paraId="1B4AC3D4" w14:textId="77777777" w:rsidR="00D76FCE" w:rsidRDefault="00D76FCE" w:rsidP="00D76FCE">
                      <w:r>
                        <w:rPr>
                          <w:rFonts w:ascii="Times New Roman" w:eastAsia="Times New Roman" w:hAnsi="Times New Roman" w:cs="Times New Roman"/>
                          <w:noProof/>
                          <w:sz w:val="24"/>
                          <w:szCs w:val="24"/>
                        </w:rPr>
                        <w:drawing>
                          <wp:inline distT="0" distB="0" distL="0" distR="0" wp14:anchorId="1E475770" wp14:editId="726251B7">
                            <wp:extent cx="2762250" cy="3228975"/>
                            <wp:effectExtent l="0" t="0" r="0" b="9525"/>
                            <wp:docPr id="25" name="Picture 25" descr="C:\Users\RICHARD EMMANUEL\Desktop\Opeyemi compounds\M.TECH_PROJECT_IGEMDOCK\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 EMMANUEL\Desktop\Opeyemi compounds\M.TECH_PROJECT_IGEMDOCK\igpu_modelled_cleaned-(E)-2-((3,4-DIMETHOXYBENZYLIDENE)AMINO)-6-PHENYLPYRIMIDIN-4(1H)-ONE-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0008" cy="3238044"/>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0B42965" wp14:editId="4D22AD34">
                <wp:simplePos x="0" y="0"/>
                <wp:positionH relativeFrom="column">
                  <wp:posOffset>2076451</wp:posOffset>
                </wp:positionH>
                <wp:positionV relativeFrom="paragraph">
                  <wp:posOffset>5715</wp:posOffset>
                </wp:positionV>
                <wp:extent cx="1085850" cy="438150"/>
                <wp:effectExtent l="0" t="0" r="19050" b="19050"/>
                <wp:wrapNone/>
                <wp:docPr id="2065419408" name="Straight Connector 12"/>
                <wp:cNvGraphicFramePr/>
                <a:graphic xmlns:a="http://schemas.openxmlformats.org/drawingml/2006/main">
                  <a:graphicData uri="http://schemas.microsoft.com/office/word/2010/wordprocessingShape">
                    <wps:wsp>
                      <wps:cNvCnPr/>
                      <wps:spPr>
                        <a:xfrm flipV="1">
                          <a:off x="0" y="0"/>
                          <a:ext cx="1085850" cy="4381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A58FA5"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45pt" to="2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2c</w:t>
      </w:r>
      <w:r w:rsidR="00D76FCE">
        <w:rPr>
          <w:rFonts w:ascii="Times New Roman" w:eastAsia="Times New Roman" w:hAnsi="Times New Roman" w:cs="Times New Roman"/>
          <w:noProof/>
          <w:sz w:val="24"/>
          <w:szCs w:val="24"/>
        </w:rPr>
        <w:t>)</w:t>
      </w:r>
    </w:p>
    <w:p w14:paraId="4EBA2E75" w14:textId="4F24B4BE"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23092CC" wp14:editId="0B39DB87">
                <wp:simplePos x="0" y="0"/>
                <wp:positionH relativeFrom="column">
                  <wp:posOffset>2066925</wp:posOffset>
                </wp:positionH>
                <wp:positionV relativeFrom="paragraph">
                  <wp:posOffset>2581910</wp:posOffset>
                </wp:positionV>
                <wp:extent cx="1114425" cy="419100"/>
                <wp:effectExtent l="0" t="0" r="9525" b="19050"/>
                <wp:wrapNone/>
                <wp:docPr id="179098337" name="Straight Connector 11"/>
                <wp:cNvGraphicFramePr/>
                <a:graphic xmlns:a="http://schemas.openxmlformats.org/drawingml/2006/main">
                  <a:graphicData uri="http://schemas.microsoft.com/office/word/2010/wordprocessingShape">
                    <wps:wsp>
                      <wps:cNvCnPr/>
                      <wps:spPr>
                        <a:xfrm>
                          <a:off x="0" y="0"/>
                          <a:ext cx="1114425" cy="419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E39B47" id="Straight Connector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203.3pt" to="250.5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2F97314" wp14:editId="16C0A2A8">
                <wp:simplePos x="0" y="0"/>
                <wp:positionH relativeFrom="column">
                  <wp:posOffset>1057275</wp:posOffset>
                </wp:positionH>
                <wp:positionV relativeFrom="paragraph">
                  <wp:posOffset>156845</wp:posOffset>
                </wp:positionV>
                <wp:extent cx="1011474" cy="2428875"/>
                <wp:effectExtent l="0" t="0" r="17780" b="28575"/>
                <wp:wrapNone/>
                <wp:docPr id="570107581" name="Text Box 9"/>
                <wp:cNvGraphicFramePr/>
                <a:graphic xmlns:a="http://schemas.openxmlformats.org/drawingml/2006/main">
                  <a:graphicData uri="http://schemas.microsoft.com/office/word/2010/wordprocessingShape">
                    <wps:wsp>
                      <wps:cNvSpPr txBox="1"/>
                      <wps:spPr>
                        <a:xfrm>
                          <a:off x="0" y="0"/>
                          <a:ext cx="1011474" cy="2428875"/>
                        </a:xfrm>
                        <a:prstGeom prst="rect">
                          <a:avLst/>
                        </a:prstGeom>
                        <a:noFill/>
                        <a:ln w="6350">
                          <a:solidFill>
                            <a:prstClr val="black"/>
                          </a:solidFill>
                          <a:prstDash val="dash"/>
                        </a:ln>
                      </wps:spPr>
                      <wps:txbx>
                        <w:txbxContent>
                          <w:p w14:paraId="2FABD537"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97314" id="_x0000_s1031" type="#_x0000_t202" style="position:absolute;margin-left:83.25pt;margin-top:12.35pt;width:79.65pt;height:19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" filled="f" strokeweight=".5pt">
                <v:stroke dashstyle="dash"/>
                <v:textbox>
                  <w:txbxContent>
                    <w:p w14:paraId="2FABD537"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rFonts w:ascii="Times New Roman" w:eastAsia="Times New Roman" w:hAnsi="Times New Roman" w:cs="Times New Roman"/>
          <w:noProof/>
          <w:sz w:val="24"/>
          <w:szCs w:val="24"/>
        </w:rPr>
        <w:drawing>
          <wp:inline distT="0" distB="0" distL="0" distR="0" wp14:anchorId="772CB915" wp14:editId="09C5415C">
            <wp:extent cx="3276600" cy="2981325"/>
            <wp:effectExtent l="0" t="0" r="0" b="9525"/>
            <wp:docPr id="26" name="Picture 26" descr="C:\Users\RICHARD EMMANUEL\Desktop\Opeyemi compounds\M.TECH_PROJECT_IGEMDOCK\3D_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ARD EMMANUEL\Desktop\Opeyemi compounds\M.TECH_PROJECT_IGEMDOCK\3D_igpu_modelled_cleaned-(E)-2-((3,4-DIMETHOXYBENZYLIDENE)AMINO)-6-PHENYLPYRIMIDIN-4(1H)-ONE-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5032" cy="2988997"/>
                    </a:xfrm>
                    <a:prstGeom prst="rect">
                      <a:avLst/>
                    </a:prstGeom>
                    <a:noFill/>
                    <a:ln>
                      <a:noFill/>
                    </a:ln>
                  </pic:spPr>
                </pic:pic>
              </a:graphicData>
            </a:graphic>
          </wp:inline>
        </w:drawing>
      </w:r>
    </w:p>
    <w:p w14:paraId="24D64CCB" w14:textId="77777777" w:rsidR="00783A44" w:rsidRDefault="00783A44" w:rsidP="00831B53">
      <w:pPr>
        <w:rPr>
          <w:rFonts w:ascii="Arial" w:eastAsia="Times New Roman" w:hAnsi="Arial" w:cs="Arial"/>
          <w:b/>
          <w:sz w:val="20"/>
          <w:szCs w:val="20"/>
        </w:rPr>
      </w:pPr>
    </w:p>
    <w:p w14:paraId="0DBCBAAE" w14:textId="10D05EEC" w:rsidR="00D76FCE" w:rsidRPr="00831B53" w:rsidRDefault="00D76FCE" w:rsidP="00831B53">
      <w:pPr>
        <w:rPr>
          <w:rFonts w:ascii="Arial" w:eastAsia="Times New Roman" w:hAnsi="Arial" w:cs="Arial"/>
          <w:b/>
          <w:sz w:val="20"/>
          <w:szCs w:val="20"/>
        </w:rPr>
      </w:pPr>
      <w:r w:rsidRPr="006404F2">
        <w:rPr>
          <w:rFonts w:ascii="Arial" w:eastAsia="Times New Roman" w:hAnsi="Arial" w:cs="Arial"/>
          <w:b/>
          <w:sz w:val="20"/>
          <w:szCs w:val="20"/>
        </w:rPr>
        <w:t>8R3Q</w:t>
      </w:r>
      <w:proofErr w:type="gramStart"/>
      <w:r w:rsidRPr="006404F2">
        <w:rPr>
          <w:rFonts w:ascii="Arial" w:eastAsia="Times New Roman" w:hAnsi="Arial" w:cs="Arial"/>
          <w:b/>
          <w:sz w:val="20"/>
          <w:szCs w:val="20"/>
        </w:rPr>
        <w:t>_(</w:t>
      </w:r>
      <w:proofErr w:type="gramEnd"/>
      <w:r w:rsidRPr="006404F2">
        <w:rPr>
          <w:rFonts w:ascii="Arial" w:eastAsia="Times New Roman" w:hAnsi="Arial" w:cs="Arial"/>
          <w:b/>
          <w:sz w:val="20"/>
          <w:szCs w:val="20"/>
        </w:rPr>
        <w:t>E)-2-((3,4-DIMETHOXYBENZYLIDENE)AMINO)-6-PHENYLPYRIMIDIN-4(1H)-ONE</w:t>
      </w:r>
    </w:p>
    <w:p w14:paraId="3749E4C9" w14:textId="77777777" w:rsidR="00783A44" w:rsidRDefault="00783A44" w:rsidP="00D76FCE">
      <w:pPr>
        <w:rPr>
          <w:rFonts w:ascii="Times New Roman" w:eastAsia="Times New Roman" w:hAnsi="Times New Roman" w:cs="Times New Roman"/>
          <w:noProof/>
          <w:sz w:val="24"/>
          <w:szCs w:val="24"/>
        </w:rPr>
      </w:pPr>
    </w:p>
    <w:p w14:paraId="6A20660D" w14:textId="77777777" w:rsidR="00783A44" w:rsidRDefault="00783A44" w:rsidP="00D76FCE">
      <w:pPr>
        <w:rPr>
          <w:rFonts w:ascii="Times New Roman" w:eastAsia="Times New Roman" w:hAnsi="Times New Roman" w:cs="Times New Roman"/>
          <w:noProof/>
          <w:sz w:val="24"/>
          <w:szCs w:val="24"/>
        </w:rPr>
      </w:pPr>
    </w:p>
    <w:p w14:paraId="1C5252D8" w14:textId="60149645"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w:t>
      </w:r>
      <w:r w:rsidR="00E829E0">
        <w:rPr>
          <w:rFonts w:ascii="Times New Roman" w:eastAsia="Times New Roman" w:hAnsi="Times New Roman" w:cs="Times New Roman"/>
          <w:noProof/>
          <w:sz w:val="24"/>
          <w:szCs w:val="24"/>
        </w:rPr>
        <w:t>2d</w:t>
      </w:r>
      <w:r>
        <w:rPr>
          <w:rFonts w:ascii="Times New Roman" w:eastAsia="Times New Roman" w:hAnsi="Times New Roman" w:cs="Times New Roman"/>
          <w:noProof/>
          <w:sz w:val="24"/>
          <w:szCs w:val="24"/>
        </w:rPr>
        <w:t>)</w:t>
      </w:r>
    </w:p>
    <w:p w14:paraId="1D40F3B3" w14:textId="3C8894A2" w:rsidR="00D76FCE" w:rsidRDefault="00973D12"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C794EDD" wp14:editId="6ABA5886">
                <wp:simplePos x="0" y="0"/>
                <wp:positionH relativeFrom="column">
                  <wp:posOffset>2066925</wp:posOffset>
                </wp:positionH>
                <wp:positionV relativeFrom="paragraph">
                  <wp:posOffset>2538095</wp:posOffset>
                </wp:positionV>
                <wp:extent cx="1123950" cy="333375"/>
                <wp:effectExtent l="0" t="0" r="19050" b="28575"/>
                <wp:wrapNone/>
                <wp:docPr id="1908984968" name="Straight Connector 11"/>
                <wp:cNvGraphicFramePr/>
                <a:graphic xmlns:a="http://schemas.openxmlformats.org/drawingml/2006/main">
                  <a:graphicData uri="http://schemas.microsoft.com/office/word/2010/wordprocessingShape">
                    <wps:wsp>
                      <wps:cNvCnPr/>
                      <wps:spPr>
                        <a:xfrm>
                          <a:off x="0" y="0"/>
                          <a:ext cx="1123950" cy="333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D2897" id="Straight Connector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99.85pt" to="251.2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D3000C9" wp14:editId="54A7FC40">
                <wp:simplePos x="0" y="0"/>
                <wp:positionH relativeFrom="column">
                  <wp:posOffset>3181350</wp:posOffset>
                </wp:positionH>
                <wp:positionV relativeFrom="paragraph">
                  <wp:posOffset>33020</wp:posOffset>
                </wp:positionV>
                <wp:extent cx="2800350" cy="2828925"/>
                <wp:effectExtent l="0" t="0" r="19050" b="28575"/>
                <wp:wrapNone/>
                <wp:docPr id="2144839172" name="Text Box 10"/>
                <wp:cNvGraphicFramePr/>
                <a:graphic xmlns:a="http://schemas.openxmlformats.org/drawingml/2006/main">
                  <a:graphicData uri="http://schemas.microsoft.com/office/word/2010/wordprocessingShape">
                    <wps:wsp>
                      <wps:cNvSpPr txBox="1"/>
                      <wps:spPr>
                        <a:xfrm>
                          <a:off x="0" y="0"/>
                          <a:ext cx="2800350" cy="2828925"/>
                        </a:xfrm>
                        <a:prstGeom prst="rect">
                          <a:avLst/>
                        </a:prstGeom>
                        <a:noFill/>
                        <a:ln w="6350">
                          <a:solidFill>
                            <a:prstClr val="black"/>
                          </a:solidFill>
                          <a:prstDash val="dash"/>
                        </a:ln>
                      </wps:spPr>
                      <wps:txbx>
                        <w:txbxContent>
                          <w:p w14:paraId="46E113AE" w14:textId="77777777" w:rsidR="00D76FCE" w:rsidRDefault="00D76FCE" w:rsidP="00D76FCE">
                            <w:r>
                              <w:rPr>
                                <w:noProof/>
                                <w14:ligatures w14:val="none"/>
                              </w:rPr>
                              <w:drawing>
                                <wp:inline distT="0" distB="0" distL="0" distR="0" wp14:anchorId="43BCC8D0" wp14:editId="17F3FB5E">
                                  <wp:extent cx="2867025" cy="2790825"/>
                                  <wp:effectExtent l="0" t="0" r="9525" b="9525"/>
                                  <wp:docPr id="1975653349" name="Picture 1975653349" descr="C:\Users\RICHARD EMMANUEL\Desktop\Opeyemi compounds\M.TECH_PROJECT_IGEMDOCK\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 EMMANUEL\Desktop\Opeyemi compounds\M.TECH_PROJECT_IGEMDOCK\igpu_modelled_cleaned-(E)-2-((2,4-DIHYDROXYBENZYLIDENE)AMINO)-6-PHENYLPYRIMIDIN-4(1H)-ONE-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000C9" id="_x0000_s1032" type="#_x0000_t202" style="position:absolute;margin-left:250.5pt;margin-top:2.6pt;width:220.5pt;height:2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" filled="f" strokeweight=".5pt">
                <v:stroke dashstyle="dash"/>
                <v:textbox>
                  <w:txbxContent>
                    <w:p w14:paraId="46E113AE" w14:textId="77777777" w:rsidR="00D76FCE" w:rsidRDefault="00D76FCE" w:rsidP="00D76FCE">
                      <w:r>
                        <w:rPr>
                          <w:noProof/>
                          <w14:ligatures w14:val="none"/>
                        </w:rPr>
                        <w:drawing>
                          <wp:inline distT="0" distB="0" distL="0" distR="0" wp14:anchorId="43BCC8D0" wp14:editId="17F3FB5E">
                            <wp:extent cx="2867025" cy="2790825"/>
                            <wp:effectExtent l="0" t="0" r="9525" b="9525"/>
                            <wp:docPr id="1975653349" name="Picture 1975653349" descr="C:\Users\RICHARD EMMANUEL\Desktop\Opeyemi compounds\M.TECH_PROJECT_IGEMDOCK\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 EMMANUEL\Desktop\Opeyemi compounds\M.TECH_PROJECT_IGEMDOCK\igpu_modelled_cleaned-(E)-2-((2,4-DIHYDROXYBENZYLIDENE)AMINO)-6-PHENYLPYRIMIDIN-4(1H)-ONE-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F691B18" wp14:editId="6D61F887">
                <wp:simplePos x="0" y="0"/>
                <wp:positionH relativeFrom="column">
                  <wp:posOffset>2066925</wp:posOffset>
                </wp:positionH>
                <wp:positionV relativeFrom="paragraph">
                  <wp:posOffset>42544</wp:posOffset>
                </wp:positionV>
                <wp:extent cx="1099185" cy="133350"/>
                <wp:effectExtent l="0" t="0" r="24765" b="19050"/>
                <wp:wrapNone/>
                <wp:docPr id="1251346844" name="Straight Connector 12"/>
                <wp:cNvGraphicFramePr/>
                <a:graphic xmlns:a="http://schemas.openxmlformats.org/drawingml/2006/main">
                  <a:graphicData uri="http://schemas.microsoft.com/office/word/2010/wordprocessingShape">
                    <wps:wsp>
                      <wps:cNvCnPr/>
                      <wps:spPr>
                        <a:xfrm flipV="1">
                          <a:off x="0" y="0"/>
                          <a:ext cx="1099185" cy="133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E76E65" id="Straight Connector 1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3.35pt" to="249.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4E84728" wp14:editId="6E1ACF11">
                <wp:simplePos x="0" y="0"/>
                <wp:positionH relativeFrom="column">
                  <wp:posOffset>1057275</wp:posOffset>
                </wp:positionH>
                <wp:positionV relativeFrom="paragraph">
                  <wp:posOffset>185420</wp:posOffset>
                </wp:positionV>
                <wp:extent cx="981075" cy="2352675"/>
                <wp:effectExtent l="0" t="0" r="28575" b="28575"/>
                <wp:wrapNone/>
                <wp:docPr id="1679554878" name="Text Box 9"/>
                <wp:cNvGraphicFramePr/>
                <a:graphic xmlns:a="http://schemas.openxmlformats.org/drawingml/2006/main">
                  <a:graphicData uri="http://schemas.microsoft.com/office/word/2010/wordprocessingShape">
                    <wps:wsp>
                      <wps:cNvSpPr txBox="1"/>
                      <wps:spPr>
                        <a:xfrm>
                          <a:off x="0" y="0"/>
                          <a:ext cx="981075" cy="2352675"/>
                        </a:xfrm>
                        <a:prstGeom prst="rect">
                          <a:avLst/>
                        </a:prstGeom>
                        <a:noFill/>
                        <a:ln w="6350">
                          <a:solidFill>
                            <a:prstClr val="black"/>
                          </a:solidFill>
                          <a:prstDash val="dash"/>
                        </a:ln>
                      </wps:spPr>
                      <wps:txbx>
                        <w:txbxContent>
                          <w:p w14:paraId="6E1F6E8D"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84728" id="_x0000_s1033" type="#_x0000_t202" style="position:absolute;margin-left:83.25pt;margin-top:14.6pt;width:77.25pt;height:18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" filled="f" strokeweight=".5pt">
                <v:stroke dashstyle="dash"/>
                <v:textbox>
                  <w:txbxContent>
                    <w:p w14:paraId="6E1F6E8D"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07384B6E" wp14:editId="15B262AD">
            <wp:extent cx="3302000" cy="2778125"/>
            <wp:effectExtent l="0" t="0" r="0" b="3175"/>
            <wp:docPr id="27" name="Picture 27" descr="C:\Users\RICHARD EMMANUEL\Desktop\Opeyemi compounds\M.TECH_PROJECT_IGEMDOCK\3D_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 EMMANUEL\Desktop\Opeyemi compounds\M.TECH_PROJECT_IGEMDOCK\3D_igpu_modelled_cleaned-(E)-2-((2,4-DIHYDROXYBENZYLIDENE)AMINO)-6-PHENYLPYRIMIDIN-4(1H)-ONE-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5396" cy="2780982"/>
                    </a:xfrm>
                    <a:prstGeom prst="rect">
                      <a:avLst/>
                    </a:prstGeom>
                    <a:noFill/>
                    <a:ln>
                      <a:noFill/>
                    </a:ln>
                  </pic:spPr>
                </pic:pic>
              </a:graphicData>
            </a:graphic>
          </wp:inline>
        </w:drawing>
      </w:r>
    </w:p>
    <w:p w14:paraId="5FD1DB97" w14:textId="77777777" w:rsidR="00D76FCE" w:rsidRDefault="00D76FCE" w:rsidP="00D76FCE">
      <w:pPr>
        <w:rPr>
          <w:rFonts w:ascii="Times New Roman" w:eastAsia="Times New Roman" w:hAnsi="Times New Roman" w:cs="Times New Roman"/>
          <w:b/>
          <w:sz w:val="24"/>
          <w:szCs w:val="24"/>
        </w:rPr>
      </w:pPr>
    </w:p>
    <w:p w14:paraId="4A3BE79A" w14:textId="361637D5" w:rsidR="00D76FCE" w:rsidRPr="006404F2" w:rsidRDefault="00D76FCE" w:rsidP="00D76FCE">
      <w:pPr>
        <w:rPr>
          <w:rFonts w:ascii="Arial" w:eastAsia="Times New Roman" w:hAnsi="Arial" w:cs="Arial"/>
          <w:b/>
          <w:sz w:val="20"/>
          <w:szCs w:val="20"/>
        </w:rPr>
      </w:pPr>
      <w:r w:rsidRPr="006404F2">
        <w:rPr>
          <w:rFonts w:ascii="Arial" w:eastAsia="Times New Roman" w:hAnsi="Arial" w:cs="Arial"/>
          <w:b/>
          <w:sz w:val="20"/>
          <w:szCs w:val="20"/>
        </w:rPr>
        <w:t>8R3Q</w:t>
      </w:r>
      <w:proofErr w:type="gramStart"/>
      <w:r w:rsidRPr="006404F2">
        <w:rPr>
          <w:rFonts w:ascii="Arial" w:eastAsia="Times New Roman" w:hAnsi="Arial" w:cs="Arial"/>
          <w:b/>
          <w:sz w:val="20"/>
          <w:szCs w:val="20"/>
        </w:rPr>
        <w:t>_(</w:t>
      </w:r>
      <w:proofErr w:type="gramEnd"/>
      <w:r w:rsidRPr="006404F2">
        <w:rPr>
          <w:rFonts w:ascii="Arial" w:eastAsia="Times New Roman" w:hAnsi="Arial" w:cs="Arial"/>
          <w:b/>
          <w:sz w:val="20"/>
          <w:szCs w:val="20"/>
        </w:rPr>
        <w:t>E)-2-((2,4-DIHYDROXYBENZYLIDENE)AMINO)-6-PHENYLPYRIMIDIN-4(1H)-ONE</w:t>
      </w:r>
    </w:p>
    <w:p w14:paraId="7730ED3D" w14:textId="30BF6A1C" w:rsidR="00D76FCE" w:rsidRDefault="00B20F7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60F6A62" wp14:editId="28F2B86F">
                <wp:simplePos x="0" y="0"/>
                <wp:positionH relativeFrom="margin">
                  <wp:posOffset>3314700</wp:posOffset>
                </wp:positionH>
                <wp:positionV relativeFrom="paragraph">
                  <wp:posOffset>53975</wp:posOffset>
                </wp:positionV>
                <wp:extent cx="2647950" cy="3076575"/>
                <wp:effectExtent l="0" t="0" r="19050" b="28575"/>
                <wp:wrapNone/>
                <wp:docPr id="1552597488" name="Text Box 10"/>
                <wp:cNvGraphicFramePr/>
                <a:graphic xmlns:a="http://schemas.openxmlformats.org/drawingml/2006/main">
                  <a:graphicData uri="http://schemas.microsoft.com/office/word/2010/wordprocessingShape">
                    <wps:wsp>
                      <wps:cNvSpPr txBox="1"/>
                      <wps:spPr>
                        <a:xfrm>
                          <a:off x="0" y="0"/>
                          <a:ext cx="2647950" cy="3076575"/>
                        </a:xfrm>
                        <a:prstGeom prst="rect">
                          <a:avLst/>
                        </a:prstGeom>
                        <a:noFill/>
                        <a:ln w="6350">
                          <a:solidFill>
                            <a:prstClr val="black"/>
                          </a:solidFill>
                          <a:prstDash val="dash"/>
                        </a:ln>
                      </wps:spPr>
                      <wps:txbx>
                        <w:txbxContent>
                          <w:p w14:paraId="4715987B" w14:textId="77777777" w:rsidR="00D76FCE" w:rsidRDefault="00D76FCE" w:rsidP="00D76FCE">
                            <w:r>
                              <w:rPr>
                                <w:noProof/>
                                <w14:ligatures w14:val="none"/>
                              </w:rPr>
                              <w:drawing>
                                <wp:inline distT="0" distB="0" distL="0" distR="0" wp14:anchorId="22878971" wp14:editId="04935EF2">
                                  <wp:extent cx="2876550" cy="3000375"/>
                                  <wp:effectExtent l="0" t="0" r="0" b="9525"/>
                                  <wp:docPr id="30" name="Picture 30" descr="C:\Users\RICHARD EMMANUEL\Desktop\Opeyemi compounds\M.TECH_PROJECT_IGEMDOCK\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 EMMANUEL\Desktop\Opeyemi compounds\M.TECH_PROJECT_IGEMDOCK\igpu_modelled_cleaned-(E)-2-((4-(DIMETHYLAMINO)BENZYLIDENE)AMINO)-6-PHENYLPYRIMIDIN-4(1H)-ONE-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8224" cy="3012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F6A62" id="_x0000_s1034" type="#_x0000_t202" style="position:absolute;margin-left:261pt;margin-top:4.25pt;width:208.5pt;height:24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" filled="f" strokeweight=".5pt">
                <v:stroke dashstyle="dash"/>
                <v:textbox>
                  <w:txbxContent>
                    <w:p w14:paraId="4715987B" w14:textId="77777777" w:rsidR="00D76FCE" w:rsidRDefault="00D76FCE" w:rsidP="00D76FCE">
                      <w:r>
                        <w:rPr>
                          <w:noProof/>
                          <w14:ligatures w14:val="none"/>
                        </w:rPr>
                        <w:drawing>
                          <wp:inline distT="0" distB="0" distL="0" distR="0" wp14:anchorId="22878971" wp14:editId="04935EF2">
                            <wp:extent cx="2876550" cy="3000375"/>
                            <wp:effectExtent l="0" t="0" r="0" b="9525"/>
                            <wp:docPr id="30" name="Picture 30" descr="C:\Users\RICHARD EMMANUEL\Desktop\Opeyemi compounds\M.TECH_PROJECT_IGEMDOCK\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 EMMANUEL\Desktop\Opeyemi compounds\M.TECH_PROJECT_IGEMDOCK\igpu_modelled_cleaned-(E)-2-((4-(DIMETHYLAMINO)BENZYLIDENE)AMINO)-6-PHENYLPYRIMIDIN-4(1H)-ONE-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8224" cy="3012552"/>
                                    </a:xfrm>
                                    <a:prstGeom prst="rect">
                                      <a:avLst/>
                                    </a:prstGeom>
                                    <a:noFill/>
                                    <a:ln>
                                      <a:noFill/>
                                    </a:ln>
                                  </pic:spPr>
                                </pic:pic>
                              </a:graphicData>
                            </a:graphic>
                          </wp:inline>
                        </w:drawing>
                      </w:r>
                    </w:p>
                  </w:txbxContent>
                </v:textbox>
                <w10:wrap anchorx="margin"/>
              </v:shape>
            </w:pict>
          </mc:Fallback>
        </mc:AlternateContent>
      </w:r>
      <w:r w:rsidR="00973D12">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973B3F3" wp14:editId="6C0479AC">
                <wp:simplePos x="0" y="0"/>
                <wp:positionH relativeFrom="column">
                  <wp:posOffset>2085975</wp:posOffset>
                </wp:positionH>
                <wp:positionV relativeFrom="paragraph">
                  <wp:posOffset>53974</wp:posOffset>
                </wp:positionV>
                <wp:extent cx="1228725" cy="352425"/>
                <wp:effectExtent l="0" t="0" r="28575" b="28575"/>
                <wp:wrapNone/>
                <wp:docPr id="47569602" name="Straight Connector 12"/>
                <wp:cNvGraphicFramePr/>
                <a:graphic xmlns:a="http://schemas.openxmlformats.org/drawingml/2006/main">
                  <a:graphicData uri="http://schemas.microsoft.com/office/word/2010/wordprocessingShape">
                    <wps:wsp>
                      <wps:cNvCnPr/>
                      <wps:spPr>
                        <a:xfrm flipV="1">
                          <a:off x="0" y="0"/>
                          <a:ext cx="1228725" cy="35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C2AD8C" id="Straight Connector 1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4.25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2e</w:t>
      </w:r>
      <w:r w:rsidR="00D76FCE">
        <w:rPr>
          <w:rFonts w:ascii="Times New Roman" w:eastAsia="Times New Roman" w:hAnsi="Times New Roman" w:cs="Times New Roman"/>
          <w:noProof/>
          <w:sz w:val="24"/>
          <w:szCs w:val="24"/>
        </w:rPr>
        <w:t>)</w:t>
      </w:r>
    </w:p>
    <w:p w14:paraId="2B0A2563" w14:textId="3287A04C"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78044A9" wp14:editId="5E41A756">
                <wp:simplePos x="0" y="0"/>
                <wp:positionH relativeFrom="column">
                  <wp:posOffset>2047874</wp:posOffset>
                </wp:positionH>
                <wp:positionV relativeFrom="paragraph">
                  <wp:posOffset>2544445</wp:posOffset>
                </wp:positionV>
                <wp:extent cx="1254125" cy="285750"/>
                <wp:effectExtent l="0" t="0" r="22225" b="19050"/>
                <wp:wrapNone/>
                <wp:docPr id="284988617" name="Straight Connector 11"/>
                <wp:cNvGraphicFramePr/>
                <a:graphic xmlns:a="http://schemas.openxmlformats.org/drawingml/2006/main">
                  <a:graphicData uri="http://schemas.microsoft.com/office/word/2010/wordprocessingShape">
                    <wps:wsp>
                      <wps:cNvCnPr/>
                      <wps:spPr>
                        <a:xfrm>
                          <a:off x="0" y="0"/>
                          <a:ext cx="1254125" cy="285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085179" id="Straight Connector 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00.35pt" to="260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10ABFAA" wp14:editId="2467CA9B">
                <wp:simplePos x="0" y="0"/>
                <wp:positionH relativeFrom="column">
                  <wp:posOffset>1057275</wp:posOffset>
                </wp:positionH>
                <wp:positionV relativeFrom="paragraph">
                  <wp:posOffset>109220</wp:posOffset>
                </wp:positionV>
                <wp:extent cx="1011474" cy="2428875"/>
                <wp:effectExtent l="0" t="0" r="17780" b="28575"/>
                <wp:wrapNone/>
                <wp:docPr id="1442178460" name="Text Box 9"/>
                <wp:cNvGraphicFramePr/>
                <a:graphic xmlns:a="http://schemas.openxmlformats.org/drawingml/2006/main">
                  <a:graphicData uri="http://schemas.microsoft.com/office/word/2010/wordprocessingShape">
                    <wps:wsp>
                      <wps:cNvSpPr txBox="1"/>
                      <wps:spPr>
                        <a:xfrm>
                          <a:off x="0" y="0"/>
                          <a:ext cx="1011474" cy="2428875"/>
                        </a:xfrm>
                        <a:prstGeom prst="rect">
                          <a:avLst/>
                        </a:prstGeom>
                        <a:noFill/>
                        <a:ln w="6350">
                          <a:solidFill>
                            <a:prstClr val="black"/>
                          </a:solidFill>
                          <a:prstDash val="dash"/>
                        </a:ln>
                      </wps:spPr>
                      <wps:txbx>
                        <w:txbxContent>
                          <w:p w14:paraId="40D09D13"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ABFAA" id="_x0000_s1035" type="#_x0000_t202" style="position:absolute;margin-left:83.25pt;margin-top:8.6pt;width:79.65pt;height:19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" filled="f" strokeweight=".5pt">
                <v:stroke dashstyle="dash"/>
                <v:textbox>
                  <w:txbxContent>
                    <w:p w14:paraId="40D09D13"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noProof/>
        </w:rPr>
        <w:drawing>
          <wp:inline distT="0" distB="0" distL="0" distR="0" wp14:anchorId="3CD45AB9" wp14:editId="39A950CF">
            <wp:extent cx="3302000" cy="2857500"/>
            <wp:effectExtent l="0" t="0" r="0" b="0"/>
            <wp:docPr id="29" name="Picture 29" descr="C:\Users\RICHARD EMMANUEL\Desktop\Opeyemi compounds\M.TECH_PROJECT_IGEMDOCK\3D_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 EMMANUEL\Desktop\Opeyemi compounds\M.TECH_PROJECT_IGEMDOCK\3D_igpu_modelled_cleaned-(E)-2-((4-(DIMETHYLAMINO)BENZYLIDENE)AMINO)-6-PHENYLPYRIMIDIN-4(1H)-ONE-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000" cy="2857500"/>
                    </a:xfrm>
                    <a:prstGeom prst="rect">
                      <a:avLst/>
                    </a:prstGeom>
                    <a:noFill/>
                    <a:ln>
                      <a:noFill/>
                    </a:ln>
                  </pic:spPr>
                </pic:pic>
              </a:graphicData>
            </a:graphic>
          </wp:inline>
        </w:drawing>
      </w:r>
    </w:p>
    <w:p w14:paraId="3F4913EB" w14:textId="77777777"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8R3Q_(E)-2-((4-(DIMETHYLAMINO)-BENZYLIDENE)-AMINO)-6-PHENYLPYRIMIDIN-4(1H)-ONE</w:t>
      </w:r>
    </w:p>
    <w:p w14:paraId="744B9A97" w14:textId="77777777" w:rsidR="00B20F74" w:rsidRDefault="00B20F74" w:rsidP="00D76FCE">
      <w:pPr>
        <w:rPr>
          <w:rFonts w:ascii="Times New Roman" w:eastAsia="Times New Roman" w:hAnsi="Times New Roman" w:cs="Times New Roman"/>
          <w:noProof/>
          <w:sz w:val="24"/>
          <w:szCs w:val="24"/>
        </w:rPr>
      </w:pPr>
    </w:p>
    <w:p w14:paraId="430C2534" w14:textId="77777777" w:rsidR="00B20F74" w:rsidRDefault="00B20F74" w:rsidP="00D76FCE">
      <w:pPr>
        <w:rPr>
          <w:rFonts w:ascii="Times New Roman" w:eastAsia="Times New Roman" w:hAnsi="Times New Roman" w:cs="Times New Roman"/>
          <w:noProof/>
          <w:sz w:val="24"/>
          <w:szCs w:val="24"/>
        </w:rPr>
      </w:pPr>
    </w:p>
    <w:p w14:paraId="36483639" w14:textId="77777777" w:rsidR="00B20F74" w:rsidRDefault="00B20F74" w:rsidP="00D76FCE">
      <w:pPr>
        <w:rPr>
          <w:rFonts w:ascii="Times New Roman" w:eastAsia="Times New Roman" w:hAnsi="Times New Roman" w:cs="Times New Roman"/>
          <w:noProof/>
          <w:sz w:val="24"/>
          <w:szCs w:val="24"/>
        </w:rPr>
      </w:pPr>
    </w:p>
    <w:p w14:paraId="718DE6C0" w14:textId="4648D3DA" w:rsidR="00D76FCE" w:rsidRDefault="00D1786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2F8DFABA" wp14:editId="74FA6F8B">
                <wp:simplePos x="0" y="0"/>
                <wp:positionH relativeFrom="column">
                  <wp:posOffset>1971675</wp:posOffset>
                </wp:positionH>
                <wp:positionV relativeFrom="paragraph">
                  <wp:posOffset>123824</wp:posOffset>
                </wp:positionV>
                <wp:extent cx="866775" cy="276225"/>
                <wp:effectExtent l="0" t="0" r="28575" b="28575"/>
                <wp:wrapNone/>
                <wp:docPr id="1576072302" name="Straight Connector 12"/>
                <wp:cNvGraphicFramePr/>
                <a:graphic xmlns:a="http://schemas.openxmlformats.org/drawingml/2006/main">
                  <a:graphicData uri="http://schemas.microsoft.com/office/word/2010/wordprocessingShape">
                    <wps:wsp>
                      <wps:cNvCnPr/>
                      <wps:spPr>
                        <a:xfrm flipV="1">
                          <a:off x="0" y="0"/>
                          <a:ext cx="866775" cy="2762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61B5B3" id="Straight Connector 1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9.75pt" to="2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F0AE898" wp14:editId="6671D36A">
                <wp:simplePos x="0" y="0"/>
                <wp:positionH relativeFrom="margin">
                  <wp:posOffset>2838450</wp:posOffset>
                </wp:positionH>
                <wp:positionV relativeFrom="paragraph">
                  <wp:posOffset>95250</wp:posOffset>
                </wp:positionV>
                <wp:extent cx="3133725" cy="2619375"/>
                <wp:effectExtent l="0" t="0" r="28575" b="28575"/>
                <wp:wrapNone/>
                <wp:docPr id="1517174139" name="Text Box 10"/>
                <wp:cNvGraphicFramePr/>
                <a:graphic xmlns:a="http://schemas.openxmlformats.org/drawingml/2006/main">
                  <a:graphicData uri="http://schemas.microsoft.com/office/word/2010/wordprocessingShape">
                    <wps:wsp>
                      <wps:cNvSpPr txBox="1"/>
                      <wps:spPr>
                        <a:xfrm>
                          <a:off x="0" y="0"/>
                          <a:ext cx="3133725" cy="2619375"/>
                        </a:xfrm>
                        <a:prstGeom prst="rect">
                          <a:avLst/>
                        </a:prstGeom>
                        <a:noFill/>
                        <a:ln w="6350">
                          <a:solidFill>
                            <a:prstClr val="black"/>
                          </a:solidFill>
                          <a:prstDash val="dash"/>
                        </a:ln>
                      </wps:spPr>
                      <wps:txbx>
                        <w:txbxContent>
                          <w:p w14:paraId="4E2E4302" w14:textId="77777777" w:rsidR="00D76FCE" w:rsidRDefault="00D76FCE" w:rsidP="00D76FCE">
                            <w:r>
                              <w:rPr>
                                <w:noProof/>
                                <w14:ligatures w14:val="none"/>
                              </w:rPr>
                              <w:drawing>
                                <wp:inline distT="0" distB="0" distL="0" distR="0" wp14:anchorId="5FCD72ED" wp14:editId="4C4AD36B">
                                  <wp:extent cx="3076575" cy="2571750"/>
                                  <wp:effectExtent l="0" t="0" r="9525" b="0"/>
                                  <wp:docPr id="32" name="Picture 32" descr="C:\Users\RICHARD EMMANUEL\Desktop\Opeyemi compounds\M.TECH_PROJECT_IGEMDOCK\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 EMMANUEL\Desktop\Opeyemi compounds\M.TECH_PROJECT_IGEMDOCK\igpu_modelled_cleaned-(E)-2((4-METHOXYBENZYLIDENE)AMINO)-6-AMINO)-6-PHENYLPYRIMIDIN-4(1H)-ONE-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0445" cy="258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AE898" id="_x0000_s1036" type="#_x0000_t202" style="position:absolute;margin-left:223.5pt;margin-top:7.5pt;width:246.75pt;height:20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" filled="f" strokeweight=".5pt">
                <v:stroke dashstyle="dash"/>
                <v:textbox>
                  <w:txbxContent>
                    <w:p w14:paraId="4E2E4302" w14:textId="77777777" w:rsidR="00D76FCE" w:rsidRDefault="00D76FCE" w:rsidP="00D76FCE">
                      <w:r>
                        <w:rPr>
                          <w:noProof/>
                          <w14:ligatures w14:val="none"/>
                        </w:rPr>
                        <w:drawing>
                          <wp:inline distT="0" distB="0" distL="0" distR="0" wp14:anchorId="5FCD72ED" wp14:editId="4C4AD36B">
                            <wp:extent cx="3076575" cy="2571750"/>
                            <wp:effectExtent l="0" t="0" r="9525" b="0"/>
                            <wp:docPr id="32" name="Picture 32" descr="C:\Users\RICHARD EMMANUEL\Desktop\Opeyemi compounds\M.TECH_PROJECT_IGEMDOCK\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 EMMANUEL\Desktop\Opeyemi compounds\M.TECH_PROJECT_IGEMDOCK\igpu_modelled_cleaned-(E)-2((4-METHOXYBENZYLIDENE)AMINO)-6-AMINO)-6-PHENYLPYRIMIDIN-4(1H)-ONE-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0445" cy="2583344"/>
                                    </a:xfrm>
                                    <a:prstGeom prst="rect">
                                      <a:avLst/>
                                    </a:prstGeom>
                                    <a:noFill/>
                                    <a:ln>
                                      <a:noFill/>
                                    </a:ln>
                                  </pic:spPr>
                                </pic:pic>
                              </a:graphicData>
                            </a:graphic>
                          </wp:inline>
                        </w:drawing>
                      </w:r>
                    </w:p>
                  </w:txbxContent>
                </v:textbox>
                <w10:wrap anchorx="margin"/>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2f</w:t>
      </w:r>
      <w:r w:rsidR="00D76FCE">
        <w:rPr>
          <w:rFonts w:ascii="Times New Roman" w:eastAsia="Times New Roman" w:hAnsi="Times New Roman" w:cs="Times New Roman"/>
          <w:noProof/>
          <w:sz w:val="24"/>
          <w:szCs w:val="24"/>
        </w:rPr>
        <w:t>)</w:t>
      </w:r>
    </w:p>
    <w:p w14:paraId="6BDA3F6B" w14:textId="4A8FB951" w:rsidR="00D76FCE" w:rsidRDefault="00CE4E65"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31E24AC" wp14:editId="1F87AD46">
                <wp:simplePos x="0" y="0"/>
                <wp:positionH relativeFrom="column">
                  <wp:posOffset>1971675</wp:posOffset>
                </wp:positionH>
                <wp:positionV relativeFrom="paragraph">
                  <wp:posOffset>2014220</wp:posOffset>
                </wp:positionV>
                <wp:extent cx="866775" cy="381000"/>
                <wp:effectExtent l="0" t="0" r="28575" b="19050"/>
                <wp:wrapNone/>
                <wp:docPr id="2102471990" name="Straight Connector 11"/>
                <wp:cNvGraphicFramePr/>
                <a:graphic xmlns:a="http://schemas.openxmlformats.org/drawingml/2006/main">
                  <a:graphicData uri="http://schemas.microsoft.com/office/word/2010/wordprocessingShape">
                    <wps:wsp>
                      <wps:cNvCnPr/>
                      <wps:spPr>
                        <a:xfrm>
                          <a:off x="0" y="0"/>
                          <a:ext cx="866775" cy="381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042CB1" id="Straight Connector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158.6pt" to="223.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EA7994B" wp14:editId="256B4C31">
                <wp:simplePos x="0" y="0"/>
                <wp:positionH relativeFrom="column">
                  <wp:posOffset>1333500</wp:posOffset>
                </wp:positionH>
                <wp:positionV relativeFrom="paragraph">
                  <wp:posOffset>109220</wp:posOffset>
                </wp:positionV>
                <wp:extent cx="638175" cy="1905000"/>
                <wp:effectExtent l="0" t="0" r="28575" b="19050"/>
                <wp:wrapNone/>
                <wp:docPr id="826061359" name="Text Box 9"/>
                <wp:cNvGraphicFramePr/>
                <a:graphic xmlns:a="http://schemas.openxmlformats.org/drawingml/2006/main">
                  <a:graphicData uri="http://schemas.microsoft.com/office/word/2010/wordprocessingShape">
                    <wps:wsp>
                      <wps:cNvSpPr txBox="1"/>
                      <wps:spPr>
                        <a:xfrm>
                          <a:off x="0" y="0"/>
                          <a:ext cx="638175" cy="1905000"/>
                        </a:xfrm>
                        <a:prstGeom prst="rect">
                          <a:avLst/>
                        </a:prstGeom>
                        <a:noFill/>
                        <a:ln w="6350">
                          <a:solidFill>
                            <a:prstClr val="black"/>
                          </a:solidFill>
                          <a:prstDash val="dash"/>
                        </a:ln>
                      </wps:spPr>
                      <wps:txbx>
                        <w:txbxContent>
                          <w:p w14:paraId="1E26B659"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7994B" id="_x0000_s1037" type="#_x0000_t202" style="position:absolute;margin-left:105pt;margin-top:8.6pt;width:50.25pt;height:1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" filled="f" strokeweight=".5pt">
                <v:stroke dashstyle="dash"/>
                <v:textbox>
                  <w:txbxContent>
                    <w:p w14:paraId="1E26B659"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77C13EF8" wp14:editId="2FC012BD">
            <wp:extent cx="3342665" cy="2124075"/>
            <wp:effectExtent l="0" t="0" r="0" b="0"/>
            <wp:docPr id="31" name="Picture 31" descr="C:\Users\RICHARD EMMANUEL\Desktop\Opeyemi compounds\M.TECH_PROJECT_IGEMDOCK\3D_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HARD EMMANUEL\Desktop\Opeyemi compounds\M.TECH_PROJECT_IGEMDOCK\3D_igpu_modelled_cleaned-(E)-2((4-METHOXYBENZYLIDENE)AMINO)-6-AMINO)-6-PHENYLPYRIMIDIN-4(1H)-ONE-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6631" cy="2126595"/>
                    </a:xfrm>
                    <a:prstGeom prst="rect">
                      <a:avLst/>
                    </a:prstGeom>
                    <a:noFill/>
                    <a:ln>
                      <a:noFill/>
                    </a:ln>
                  </pic:spPr>
                </pic:pic>
              </a:graphicData>
            </a:graphic>
          </wp:inline>
        </w:drawing>
      </w:r>
    </w:p>
    <w:p w14:paraId="2EBFECD3" w14:textId="62B811CC" w:rsidR="00D76FCE" w:rsidRDefault="00D76FCE" w:rsidP="00D76FCE">
      <w:pPr>
        <w:spacing w:before="100" w:beforeAutospacing="1" w:after="100" w:afterAutospacing="1"/>
        <w:rPr>
          <w:rFonts w:ascii="Times New Roman" w:eastAsia="Times New Roman" w:hAnsi="Times New Roman" w:cs="Times New Roman"/>
          <w:b/>
          <w:sz w:val="24"/>
          <w:szCs w:val="24"/>
        </w:rPr>
      </w:pPr>
    </w:p>
    <w:p w14:paraId="0BBEF193" w14:textId="34A879EA"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w:t>
      </w:r>
      <w:proofErr w:type="gramStart"/>
      <w:r w:rsidRPr="003409EF">
        <w:rPr>
          <w:rFonts w:ascii="Arial" w:eastAsia="Times New Roman" w:hAnsi="Arial" w:cs="Arial"/>
          <w:b/>
          <w:sz w:val="20"/>
          <w:szCs w:val="20"/>
        </w:rPr>
        <w:t>_(</w:t>
      </w:r>
      <w:proofErr w:type="gramEnd"/>
      <w:r w:rsidRPr="003409EF">
        <w:rPr>
          <w:rFonts w:ascii="Arial" w:eastAsia="Times New Roman" w:hAnsi="Arial" w:cs="Arial"/>
          <w:b/>
          <w:sz w:val="20"/>
          <w:szCs w:val="20"/>
        </w:rPr>
        <w:t>E)-2((4-METHOXYBENZYLIDENE)AMINO)-6-AMINO)-6-PHENYLPYRIMIDIN-4(1H)-ONE</w:t>
      </w:r>
    </w:p>
    <w:p w14:paraId="37463BE4" w14:textId="6E0C38C2" w:rsidR="00D76FCE" w:rsidRDefault="00B61DE9"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0AE7522" wp14:editId="75FE6F2B">
                <wp:simplePos x="0" y="0"/>
                <wp:positionH relativeFrom="column">
                  <wp:posOffset>1752600</wp:posOffset>
                </wp:positionH>
                <wp:positionV relativeFrom="paragraph">
                  <wp:posOffset>196849</wp:posOffset>
                </wp:positionV>
                <wp:extent cx="923925" cy="619125"/>
                <wp:effectExtent l="0" t="0" r="28575" b="28575"/>
                <wp:wrapNone/>
                <wp:docPr id="1685276314" name="Straight Connector 12"/>
                <wp:cNvGraphicFramePr/>
                <a:graphic xmlns:a="http://schemas.openxmlformats.org/drawingml/2006/main">
                  <a:graphicData uri="http://schemas.microsoft.com/office/word/2010/wordprocessingShape">
                    <wps:wsp>
                      <wps:cNvCnPr/>
                      <wps:spPr>
                        <a:xfrm flipV="1">
                          <a:off x="0" y="0"/>
                          <a:ext cx="923925"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BECCFB" id="Straight Connector 1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5.5pt" to="210.7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28F6F2E" wp14:editId="714B584C">
                <wp:simplePos x="0" y="0"/>
                <wp:positionH relativeFrom="column">
                  <wp:posOffset>2676525</wp:posOffset>
                </wp:positionH>
                <wp:positionV relativeFrom="paragraph">
                  <wp:posOffset>196850</wp:posOffset>
                </wp:positionV>
                <wp:extent cx="3352800" cy="2619375"/>
                <wp:effectExtent l="0" t="0" r="19050" b="28575"/>
                <wp:wrapNone/>
                <wp:docPr id="1722663562" name="Text Box 10"/>
                <wp:cNvGraphicFramePr/>
                <a:graphic xmlns:a="http://schemas.openxmlformats.org/drawingml/2006/main">
                  <a:graphicData uri="http://schemas.microsoft.com/office/word/2010/wordprocessingShape">
                    <wps:wsp>
                      <wps:cNvSpPr txBox="1"/>
                      <wps:spPr>
                        <a:xfrm>
                          <a:off x="0" y="0"/>
                          <a:ext cx="3352800" cy="2619375"/>
                        </a:xfrm>
                        <a:prstGeom prst="rect">
                          <a:avLst/>
                        </a:prstGeom>
                        <a:noFill/>
                        <a:ln w="6350">
                          <a:solidFill>
                            <a:prstClr val="black"/>
                          </a:solidFill>
                          <a:prstDash val="dash"/>
                        </a:ln>
                      </wps:spPr>
                      <wps:txbx>
                        <w:txbxContent>
                          <w:p w14:paraId="35787AA4" w14:textId="77777777" w:rsidR="00D76FCE" w:rsidRDefault="00D76FCE" w:rsidP="00D76FCE">
                            <w:r>
                              <w:rPr>
                                <w:noProof/>
                                <w14:ligatures w14:val="none"/>
                              </w:rPr>
                              <w:drawing>
                                <wp:inline distT="0" distB="0" distL="0" distR="0" wp14:anchorId="6A05B2AD" wp14:editId="4221B55E">
                                  <wp:extent cx="3200400" cy="2524125"/>
                                  <wp:effectExtent l="0" t="0" r="0" b="9525"/>
                                  <wp:docPr id="34" name="Picture 34" descr="C:\Users\RICHARD EMMANUEL\Desktop\Opeyemi compounds\M.TECH_PROJECT_IGEMDOCK\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 EMMANUEL\Desktop\Opeyemi compounds\M.TECH_PROJECT_IGEMDOCK\igpu_modelled_cleaned-(E)-2-((2-HYDROXYBENZYLIDENE)AMINO)-6-PHENYLPYRIMIDIN-4(1H)-ONE-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270" cy="2534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F6F2E" id="_x0000_s1038" type="#_x0000_t202" style="position:absolute;margin-left:210.75pt;margin-top:15.5pt;width:264pt;height:20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" filled="f" strokeweight=".5pt">
                <v:stroke dashstyle="dash"/>
                <v:textbox>
                  <w:txbxContent>
                    <w:p w14:paraId="35787AA4" w14:textId="77777777" w:rsidR="00D76FCE" w:rsidRDefault="00D76FCE" w:rsidP="00D76FCE">
                      <w:r>
                        <w:rPr>
                          <w:noProof/>
                          <w14:ligatures w14:val="none"/>
                        </w:rPr>
                        <w:drawing>
                          <wp:inline distT="0" distB="0" distL="0" distR="0" wp14:anchorId="6A05B2AD" wp14:editId="4221B55E">
                            <wp:extent cx="3200400" cy="2524125"/>
                            <wp:effectExtent l="0" t="0" r="0" b="9525"/>
                            <wp:docPr id="34" name="Picture 34" descr="C:\Users\RICHARD EMMANUEL\Desktop\Opeyemi compounds\M.TECH_PROJECT_IGEMDOCK\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 EMMANUEL\Desktop\Opeyemi compounds\M.TECH_PROJECT_IGEMDOCK\igpu_modelled_cleaned-(E)-2-((2-HYDROXYBENZYLIDENE)AMINO)-6-PHENYLPYRIMIDIN-4(1H)-ONE-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3270" cy="2534275"/>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2g</w:t>
      </w:r>
      <w:r w:rsidR="00D76FCE">
        <w:rPr>
          <w:rFonts w:ascii="Times New Roman" w:eastAsia="Times New Roman" w:hAnsi="Times New Roman" w:cs="Times New Roman"/>
          <w:noProof/>
          <w:sz w:val="24"/>
          <w:szCs w:val="24"/>
        </w:rPr>
        <w:t>)</w:t>
      </w:r>
    </w:p>
    <w:p w14:paraId="1C74691B" w14:textId="561C30DB" w:rsidR="00D76FCE" w:rsidRPr="00F6483F" w:rsidRDefault="00B61DE9"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C753E3D" wp14:editId="0F513408">
                <wp:simplePos x="0" y="0"/>
                <wp:positionH relativeFrom="column">
                  <wp:posOffset>1724026</wp:posOffset>
                </wp:positionH>
                <wp:positionV relativeFrom="paragraph">
                  <wp:posOffset>2144395</wp:posOffset>
                </wp:positionV>
                <wp:extent cx="952500" cy="333375"/>
                <wp:effectExtent l="0" t="0" r="19050" b="28575"/>
                <wp:wrapNone/>
                <wp:docPr id="293772790" name="Straight Connector 11"/>
                <wp:cNvGraphicFramePr/>
                <a:graphic xmlns:a="http://schemas.openxmlformats.org/drawingml/2006/main">
                  <a:graphicData uri="http://schemas.microsoft.com/office/word/2010/wordprocessingShape">
                    <wps:wsp>
                      <wps:cNvCnPr/>
                      <wps:spPr>
                        <a:xfrm>
                          <a:off x="0" y="0"/>
                          <a:ext cx="952500" cy="333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99D221" id="Straight Connector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68.85pt" to="210.7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DA8F025" wp14:editId="5BD29535">
                <wp:simplePos x="0" y="0"/>
                <wp:positionH relativeFrom="column">
                  <wp:posOffset>1171575</wp:posOffset>
                </wp:positionH>
                <wp:positionV relativeFrom="paragraph">
                  <wp:posOffset>525145</wp:posOffset>
                </wp:positionV>
                <wp:extent cx="552450" cy="1647825"/>
                <wp:effectExtent l="0" t="0" r="19050" b="28575"/>
                <wp:wrapNone/>
                <wp:docPr id="1821513051" name="Text Box 9"/>
                <wp:cNvGraphicFramePr/>
                <a:graphic xmlns:a="http://schemas.openxmlformats.org/drawingml/2006/main">
                  <a:graphicData uri="http://schemas.microsoft.com/office/word/2010/wordprocessingShape">
                    <wps:wsp>
                      <wps:cNvSpPr txBox="1"/>
                      <wps:spPr>
                        <a:xfrm>
                          <a:off x="0" y="0"/>
                          <a:ext cx="552450" cy="1647825"/>
                        </a:xfrm>
                        <a:prstGeom prst="rect">
                          <a:avLst/>
                        </a:prstGeom>
                        <a:noFill/>
                        <a:ln w="6350">
                          <a:solidFill>
                            <a:prstClr val="black"/>
                          </a:solidFill>
                          <a:prstDash val="dash"/>
                        </a:ln>
                      </wps:spPr>
                      <wps:txbx>
                        <w:txbxContent>
                          <w:p w14:paraId="1D007440"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8F025" id="_x0000_s1039" type="#_x0000_t202" style="position:absolute;margin-left:92.25pt;margin-top:41.35pt;width:43.5pt;height:1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" filled="f" strokeweight=".5pt">
                <v:stroke dashstyle="dash"/>
                <v:textbox>
                  <w:txbxContent>
                    <w:p w14:paraId="1D007440"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12B7FD97" wp14:editId="1F465FC0">
            <wp:extent cx="2990850" cy="2381250"/>
            <wp:effectExtent l="0" t="0" r="0" b="0"/>
            <wp:docPr id="33" name="Picture 33" descr="C:\Users\RICHARD EMMANUEL\Desktop\Opeyemi compounds\M.TECH_PROJECT_IGEMDOCK\3D_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 EMMANUEL\Desktop\Opeyemi compounds\M.TECH_PROJECT_IGEMDOCK\3D_igpu_modelled_cleaned-(E)-2-((2-HYDROXYBENZYLIDENE)AMINO)-6-PHENYLPYRIMIDIN-4(1H)-ONE-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0850" cy="2381250"/>
                    </a:xfrm>
                    <a:prstGeom prst="rect">
                      <a:avLst/>
                    </a:prstGeom>
                    <a:noFill/>
                    <a:ln>
                      <a:noFill/>
                    </a:ln>
                  </pic:spPr>
                </pic:pic>
              </a:graphicData>
            </a:graphic>
          </wp:inline>
        </w:drawing>
      </w:r>
    </w:p>
    <w:p w14:paraId="38F0EB07" w14:textId="6BFF0D96"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w:t>
      </w:r>
      <w:proofErr w:type="gramStart"/>
      <w:r w:rsidRPr="003409EF">
        <w:rPr>
          <w:rFonts w:ascii="Arial" w:eastAsia="Times New Roman" w:hAnsi="Arial" w:cs="Arial"/>
          <w:b/>
          <w:sz w:val="20"/>
          <w:szCs w:val="20"/>
        </w:rPr>
        <w:t>_(</w:t>
      </w:r>
      <w:proofErr w:type="gramEnd"/>
      <w:r w:rsidRPr="003409EF">
        <w:rPr>
          <w:rFonts w:ascii="Arial" w:eastAsia="Times New Roman" w:hAnsi="Arial" w:cs="Arial"/>
          <w:b/>
          <w:sz w:val="20"/>
          <w:szCs w:val="20"/>
        </w:rPr>
        <w:t>E)- _(E)-2-((2-HYDROXYBENZYLIDENE)AMINO)-6-PHENYLPYRIMIDIN-4(1H)-ONE</w:t>
      </w:r>
    </w:p>
    <w:p w14:paraId="70525FDC" w14:textId="46971615" w:rsidR="00470AC5" w:rsidRDefault="00D76FCE" w:rsidP="00D76FCE">
      <w:pPr>
        <w:autoSpaceDE w:val="0"/>
        <w:autoSpaceDN w:val="0"/>
        <w:adjustRightInd w:val="0"/>
        <w:spacing w:after="0" w:line="360" w:lineRule="auto"/>
        <w:jc w:val="both"/>
        <w:rPr>
          <w:rFonts w:ascii="Arial" w:hAnsi="Arial" w:cs="Arial"/>
          <w:sz w:val="20"/>
          <w:szCs w:val="20"/>
        </w:rPr>
      </w:pPr>
      <w:r w:rsidRPr="002F4A65">
        <w:rPr>
          <w:rFonts w:ascii="Arial" w:hAnsi="Arial" w:cs="Arial"/>
          <w:b/>
          <w:bCs/>
          <w:sz w:val="20"/>
          <w:szCs w:val="20"/>
        </w:rPr>
        <w:t xml:space="preserve">Figure </w:t>
      </w:r>
      <w:r w:rsidR="00443CBA">
        <w:rPr>
          <w:rFonts w:ascii="Arial" w:hAnsi="Arial" w:cs="Arial"/>
          <w:b/>
          <w:bCs/>
          <w:sz w:val="20"/>
          <w:szCs w:val="20"/>
        </w:rPr>
        <w:t>2</w:t>
      </w:r>
      <w:r w:rsidR="00B61DE9">
        <w:rPr>
          <w:rFonts w:ascii="Arial" w:hAnsi="Arial" w:cs="Arial"/>
          <w:b/>
          <w:bCs/>
          <w:sz w:val="20"/>
          <w:szCs w:val="20"/>
        </w:rPr>
        <w:t>:</w:t>
      </w:r>
      <w:r w:rsidRPr="002F4A65">
        <w:rPr>
          <w:rFonts w:ascii="Arial" w:hAnsi="Arial" w:cs="Arial"/>
          <w:sz w:val="20"/>
          <w:szCs w:val="20"/>
        </w:rPr>
        <w:t xml:space="preserve"> Molecular interaction between oxythiamine and the six </w:t>
      </w:r>
      <w:r w:rsidR="009E3E2F">
        <w:rPr>
          <w:rFonts w:ascii="Arial" w:hAnsi="Arial" w:cs="Arial"/>
          <w:bCs/>
          <w:noProof/>
          <w:sz w:val="20"/>
          <w:szCs w:val="20"/>
        </w:rPr>
        <w:t>Schiff-bases</w:t>
      </w:r>
      <w:r w:rsidRPr="002F4A65">
        <w:rPr>
          <w:rFonts w:ascii="Arial" w:hAnsi="Arial" w:cs="Arial"/>
          <w:sz w:val="20"/>
          <w:szCs w:val="20"/>
        </w:rPr>
        <w:t xml:space="preserve"> at the active site of </w:t>
      </w:r>
      <w:r w:rsidRPr="002F4A65">
        <w:rPr>
          <w:rFonts w:ascii="Arial" w:hAnsi="Arial" w:cs="Arial"/>
          <w:i/>
          <w:iCs/>
          <w:sz w:val="20"/>
          <w:szCs w:val="20"/>
        </w:rPr>
        <w:t>plasmodium falciparum</w:t>
      </w:r>
      <w:r w:rsidRPr="002F4A65">
        <w:rPr>
          <w:rFonts w:ascii="Arial" w:hAnsi="Arial" w:cs="Arial"/>
          <w:sz w:val="20"/>
          <w:szCs w:val="20"/>
        </w:rPr>
        <w:t xml:space="preserve"> transketolase (8R3Q) (A) </w:t>
      </w:r>
      <w:r w:rsidRPr="002F4A65">
        <w:rPr>
          <w:rFonts w:ascii="Arial" w:eastAsia="Times New Roman" w:hAnsi="Arial" w:cs="Arial"/>
          <w:sz w:val="20"/>
          <w:szCs w:val="20"/>
        </w:rPr>
        <w:t>Oxythiamine</w:t>
      </w:r>
      <w:r w:rsidRPr="002F4A65">
        <w:rPr>
          <w:rFonts w:ascii="Arial" w:hAnsi="Arial" w:cs="Arial"/>
          <w:sz w:val="20"/>
          <w:szCs w:val="20"/>
        </w:rPr>
        <w:t xml:space="preserve"> (reference drug) </w:t>
      </w:r>
      <w:r w:rsidRPr="002F4A65">
        <w:rPr>
          <w:rFonts w:ascii="Arial" w:hAnsi="Arial" w:cs="Arial"/>
          <w:b/>
          <w:bCs/>
          <w:sz w:val="20"/>
          <w:szCs w:val="20"/>
        </w:rPr>
        <w:t>(B)</w:t>
      </w:r>
      <w:r w:rsidRPr="002F4A65">
        <w:rPr>
          <w:rFonts w:ascii="Arial" w:hAnsi="Arial" w:cs="Arial"/>
          <w:sz w:val="20"/>
          <w:szCs w:val="20"/>
        </w:rPr>
        <w:t xml:space="preserve"> </w:t>
      </w:r>
      <w:r w:rsidRPr="002F4A65">
        <w:rPr>
          <w:rFonts w:ascii="Arial" w:eastAsia="Times New Roman" w:hAnsi="Arial" w:cs="Arial"/>
          <w:sz w:val="20"/>
          <w:szCs w:val="20"/>
        </w:rPr>
        <w:t xml:space="preserve">(E)-2-(3-Hydroxybenzylidene) Amino)-6-Phenylpyrimidin-4(1h)-One </w:t>
      </w:r>
      <w:r w:rsidRPr="002F4A65">
        <w:rPr>
          <w:rFonts w:ascii="Arial" w:hAnsi="Arial" w:cs="Arial"/>
          <w:b/>
          <w:bCs/>
          <w:sz w:val="20"/>
          <w:szCs w:val="20"/>
        </w:rPr>
        <w:t>(C)</w:t>
      </w:r>
      <w:r w:rsidRPr="002F4A65">
        <w:rPr>
          <w:rFonts w:ascii="Arial" w:hAnsi="Arial" w:cs="Arial"/>
          <w:sz w:val="20"/>
          <w:szCs w:val="20"/>
        </w:rPr>
        <w:t xml:space="preserve"> </w:t>
      </w:r>
      <w:r w:rsidRPr="002F4A65">
        <w:rPr>
          <w:rFonts w:ascii="Arial" w:eastAsia="Times New Roman" w:hAnsi="Arial" w:cs="Arial"/>
          <w:sz w:val="20"/>
          <w:szCs w:val="20"/>
        </w:rPr>
        <w:t>(E)-2-(3,4-Dimethoxybenzylidene)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xml:space="preserve"> </w:t>
      </w:r>
      <w:r w:rsidRPr="002F4A65">
        <w:rPr>
          <w:rFonts w:ascii="Arial" w:hAnsi="Arial" w:cs="Arial"/>
          <w:b/>
          <w:bCs/>
          <w:sz w:val="20"/>
          <w:szCs w:val="20"/>
        </w:rPr>
        <w:t>(D)</w:t>
      </w:r>
      <w:r w:rsidRPr="002F4A65">
        <w:rPr>
          <w:rFonts w:ascii="Arial" w:hAnsi="Arial" w:cs="Arial"/>
          <w:sz w:val="20"/>
          <w:szCs w:val="20"/>
        </w:rPr>
        <w:t xml:space="preserve"> </w:t>
      </w:r>
      <w:r w:rsidRPr="002F4A65">
        <w:rPr>
          <w:rFonts w:ascii="Arial" w:eastAsia="Times New Roman" w:hAnsi="Arial" w:cs="Arial"/>
          <w:sz w:val="20"/>
          <w:szCs w:val="20"/>
        </w:rPr>
        <w:t>(E)-2-(2,4-Dihydroxybenzylidene)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xml:space="preserve"> </w:t>
      </w:r>
      <w:r w:rsidRPr="002F4A65">
        <w:rPr>
          <w:rFonts w:ascii="Arial" w:hAnsi="Arial" w:cs="Arial"/>
          <w:b/>
          <w:bCs/>
          <w:sz w:val="20"/>
          <w:szCs w:val="20"/>
        </w:rPr>
        <w:t>(E)</w:t>
      </w:r>
      <w:r w:rsidRPr="002F4A65">
        <w:rPr>
          <w:rFonts w:ascii="Arial" w:hAnsi="Arial" w:cs="Arial"/>
          <w:sz w:val="20"/>
          <w:szCs w:val="20"/>
        </w:rPr>
        <w:t xml:space="preserve"> </w:t>
      </w:r>
      <w:r w:rsidRPr="002F4A65">
        <w:rPr>
          <w:rFonts w:ascii="Arial" w:eastAsia="Times New Roman" w:hAnsi="Arial" w:cs="Arial"/>
          <w:sz w:val="20"/>
          <w:szCs w:val="20"/>
        </w:rPr>
        <w:t xml:space="preserve">8r3q_(E)-2-(4-(Dimethylamino)-Benzylidene)-Amino)-6-Phenylpyrimidin-4(1h)-One </w:t>
      </w:r>
      <w:r w:rsidRPr="002F4A65">
        <w:rPr>
          <w:rFonts w:ascii="Arial" w:eastAsia="Times New Roman" w:hAnsi="Arial" w:cs="Arial"/>
          <w:b/>
          <w:bCs/>
          <w:sz w:val="20"/>
          <w:szCs w:val="20"/>
        </w:rPr>
        <w:t>(F)</w:t>
      </w:r>
      <w:r w:rsidRPr="002F4A65">
        <w:rPr>
          <w:rFonts w:ascii="Arial" w:eastAsia="Times New Roman" w:hAnsi="Arial" w:cs="Arial"/>
          <w:sz w:val="20"/>
          <w:szCs w:val="20"/>
        </w:rPr>
        <w:t xml:space="preserve"> (E)-2(4-Methoxybenzylidene) Amino)-6-Amino)-6-Phenylpyrimidin-4(1</w:t>
      </w:r>
      <w:r w:rsidR="002E795D">
        <w:rPr>
          <w:rFonts w:ascii="Arial" w:eastAsia="Times New Roman" w:hAnsi="Arial" w:cs="Arial"/>
          <w:sz w:val="20"/>
          <w:szCs w:val="20"/>
        </w:rPr>
        <w:t>H</w:t>
      </w:r>
      <w:r w:rsidRPr="002F4A65">
        <w:rPr>
          <w:rFonts w:ascii="Arial" w:eastAsia="Times New Roman" w:hAnsi="Arial" w:cs="Arial"/>
          <w:sz w:val="20"/>
          <w:szCs w:val="20"/>
        </w:rPr>
        <w:t xml:space="preserve">)-One </w:t>
      </w:r>
      <w:r w:rsidRPr="002F4A65">
        <w:rPr>
          <w:rFonts w:ascii="Arial" w:eastAsia="Times New Roman" w:hAnsi="Arial" w:cs="Arial"/>
          <w:b/>
          <w:bCs/>
          <w:sz w:val="20"/>
          <w:szCs w:val="20"/>
        </w:rPr>
        <w:t>(G)</w:t>
      </w:r>
      <w:r w:rsidRPr="002F4A65">
        <w:rPr>
          <w:rFonts w:ascii="Arial" w:eastAsia="Times New Roman" w:hAnsi="Arial" w:cs="Arial"/>
          <w:sz w:val="20"/>
          <w:szCs w:val="20"/>
        </w:rPr>
        <w:t xml:space="preserve"> (E)-2-(2-Hydroxybenzylidene)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The structures were rendered using Biovia Discovery Studio 2021.</w:t>
      </w:r>
      <w:r w:rsidR="00BD649F">
        <w:rPr>
          <w:rFonts w:ascii="Arial" w:hAnsi="Arial" w:cs="Arial"/>
          <w:sz w:val="20"/>
          <w:szCs w:val="20"/>
        </w:rPr>
        <w:t xml:space="preserve"> </w:t>
      </w:r>
    </w:p>
    <w:p w14:paraId="5E7B0D28" w14:textId="77777777" w:rsidR="005274E0" w:rsidRPr="005274E0" w:rsidRDefault="005274E0" w:rsidP="005274E0">
      <w:pPr>
        <w:autoSpaceDE w:val="0"/>
        <w:autoSpaceDN w:val="0"/>
        <w:adjustRightInd w:val="0"/>
        <w:spacing w:after="0" w:line="360" w:lineRule="auto"/>
        <w:jc w:val="both"/>
        <w:rPr>
          <w:rFonts w:ascii="Arial" w:hAnsi="Arial" w:cs="Arial"/>
          <w:sz w:val="20"/>
          <w:szCs w:val="20"/>
        </w:rPr>
      </w:pPr>
    </w:p>
    <w:p w14:paraId="4888E5A5" w14:textId="2E9C21EB" w:rsidR="00D10E13" w:rsidRPr="006E63F6" w:rsidRDefault="00D10E13" w:rsidP="00C40671">
      <w:pPr>
        <w:spacing w:after="0" w:line="360" w:lineRule="auto"/>
        <w:jc w:val="both"/>
        <w:rPr>
          <w:rFonts w:ascii="Arial" w:hAnsi="Arial" w:cs="Arial"/>
          <w:b/>
          <w:bCs/>
          <w:sz w:val="20"/>
          <w:szCs w:val="20"/>
        </w:rPr>
      </w:pPr>
      <w:r w:rsidRPr="006E63F6">
        <w:rPr>
          <w:rFonts w:ascii="Arial" w:hAnsi="Arial" w:cs="Arial"/>
          <w:b/>
          <w:bCs/>
          <w:sz w:val="20"/>
          <w:szCs w:val="20"/>
        </w:rPr>
        <w:lastRenderedPageBreak/>
        <w:t>3.</w:t>
      </w:r>
      <w:r w:rsidR="00D76FCE">
        <w:rPr>
          <w:rFonts w:ascii="Arial" w:hAnsi="Arial" w:cs="Arial"/>
          <w:b/>
          <w:bCs/>
          <w:sz w:val="20"/>
          <w:szCs w:val="20"/>
        </w:rPr>
        <w:t>2</w:t>
      </w:r>
      <w:r w:rsidRPr="006E63F6">
        <w:rPr>
          <w:rFonts w:ascii="Arial" w:hAnsi="Arial" w:cs="Arial"/>
          <w:b/>
          <w:bCs/>
          <w:sz w:val="20"/>
          <w:szCs w:val="20"/>
        </w:rPr>
        <w:t xml:space="preserve"> </w:t>
      </w:r>
      <w:r w:rsidRPr="006E63F6">
        <w:rPr>
          <w:rFonts w:ascii="Arial" w:hAnsi="Arial" w:cs="Arial"/>
          <w:b/>
          <w:iCs/>
          <w:sz w:val="20"/>
          <w:szCs w:val="20"/>
        </w:rPr>
        <w:t xml:space="preserve">PHYSICOCHEMICAL, PHARMACOKINETIC AND TOXICOLOGICAL </w:t>
      </w:r>
      <w:r w:rsidR="00BF3CC1">
        <w:rPr>
          <w:rFonts w:ascii="Arial" w:hAnsi="Arial" w:cs="Arial"/>
          <w:b/>
          <w:iCs/>
          <w:sz w:val="20"/>
          <w:szCs w:val="20"/>
        </w:rPr>
        <w:t>EVALUATION</w:t>
      </w:r>
      <w:r w:rsidRPr="006E63F6">
        <w:rPr>
          <w:rFonts w:ascii="Arial" w:hAnsi="Arial" w:cs="Arial"/>
          <w:b/>
          <w:iCs/>
          <w:sz w:val="20"/>
          <w:szCs w:val="20"/>
        </w:rPr>
        <w:t>.</w:t>
      </w:r>
    </w:p>
    <w:p w14:paraId="73E74BFC" w14:textId="7E96CB47" w:rsidR="00E060C2" w:rsidRPr="00E060C2" w:rsidRDefault="00E060C2" w:rsidP="00C40671">
      <w:pPr>
        <w:pStyle w:val="NormalWeb"/>
        <w:spacing w:before="0" w:beforeAutospacing="0" w:after="0" w:afterAutospacing="0" w:line="360" w:lineRule="auto"/>
        <w:jc w:val="both"/>
        <w:rPr>
          <w:rFonts w:ascii="Arial" w:hAnsi="Arial" w:cs="Arial"/>
          <w:b/>
          <w:bCs/>
          <w:sz w:val="20"/>
          <w:szCs w:val="20"/>
        </w:rPr>
      </w:pPr>
      <w:r w:rsidRPr="00E060C2">
        <w:rPr>
          <w:rFonts w:ascii="Arial" w:hAnsi="Arial" w:cs="Arial"/>
          <w:b/>
          <w:bCs/>
          <w:sz w:val="20"/>
          <w:szCs w:val="20"/>
        </w:rPr>
        <w:t xml:space="preserve">3.2.1 Drug-Likeness </w:t>
      </w:r>
    </w:p>
    <w:p w14:paraId="789EAF86" w14:textId="7125B9CC" w:rsidR="005C7277" w:rsidRPr="00E060C2" w:rsidRDefault="00E060C2" w:rsidP="00C40671">
      <w:pPr>
        <w:pStyle w:val="NormalWeb"/>
        <w:spacing w:before="0" w:beforeAutospacing="0" w:line="360" w:lineRule="auto"/>
        <w:jc w:val="both"/>
        <w:rPr>
          <w:rFonts w:ascii="Arial" w:hAnsi="Arial" w:cs="Arial"/>
          <w:sz w:val="20"/>
          <w:szCs w:val="20"/>
        </w:rPr>
      </w:pPr>
      <w:r w:rsidRPr="00E060C2">
        <w:rPr>
          <w:rFonts w:ascii="Arial" w:hAnsi="Arial" w:cs="Arial"/>
          <w:sz w:val="20"/>
          <w:szCs w:val="20"/>
        </w:rPr>
        <w:t xml:space="preserve">Lipinski’s Rule of Five (RO5) was utilized to evaluate the drug-likeness of oxythiamine and the six Schiff bases of phenylisocytosine. RO5 provides a framework for predicting oral bioavailability, with ideal candidates exhibiting a </w:t>
      </w:r>
      <w:r w:rsidR="008C36A9">
        <w:rPr>
          <w:rFonts w:ascii="Arial" w:hAnsi="Arial" w:cs="Arial"/>
          <w:sz w:val="20"/>
          <w:szCs w:val="20"/>
        </w:rPr>
        <w:t>MW</w:t>
      </w:r>
      <w:r w:rsidRPr="00E060C2">
        <w:rPr>
          <w:rFonts w:ascii="Arial" w:hAnsi="Arial" w:cs="Arial"/>
          <w:sz w:val="20"/>
          <w:szCs w:val="20"/>
        </w:rPr>
        <w:t xml:space="preserve"> below 500 Da, fewer than 5 hydrogen bond donors, fewer than 10 hydrogen bond acceptors, and a log P value below 5 to ensure optimal hydrophilicity-lipophilicity balance for absorption and distribution</w:t>
      </w:r>
      <w:r w:rsidR="00146AC0">
        <w:rPr>
          <w:rFonts w:ascii="Arial" w:hAnsi="Arial" w:cs="Arial"/>
          <w:sz w:val="20"/>
          <w:szCs w:val="20"/>
        </w:rPr>
        <w:t xml:space="preserve"> [27]</w:t>
      </w:r>
      <w:r w:rsidRPr="00E060C2">
        <w:rPr>
          <w:rFonts w:ascii="Arial" w:hAnsi="Arial" w:cs="Arial"/>
          <w:sz w:val="20"/>
          <w:szCs w:val="20"/>
        </w:rPr>
        <w:t xml:space="preserve">. Table </w:t>
      </w:r>
      <w:r w:rsidR="001A08CB">
        <w:rPr>
          <w:rFonts w:ascii="Arial" w:hAnsi="Arial" w:cs="Arial"/>
          <w:sz w:val="20"/>
          <w:szCs w:val="20"/>
        </w:rPr>
        <w:t>2</w:t>
      </w:r>
      <w:r w:rsidRPr="00E060C2">
        <w:rPr>
          <w:rFonts w:ascii="Arial" w:hAnsi="Arial" w:cs="Arial"/>
          <w:sz w:val="20"/>
          <w:szCs w:val="20"/>
        </w:rPr>
        <w:t xml:space="preserve"> summarizes the evaluated properties of oxythiamine and the Schiff bases.</w:t>
      </w:r>
    </w:p>
    <w:p w14:paraId="78C101F9" w14:textId="74807232" w:rsidR="00D10E13" w:rsidRPr="00D10E13" w:rsidRDefault="00D10E13" w:rsidP="00D10E13">
      <w:pPr>
        <w:pStyle w:val="NormalWeb"/>
        <w:spacing w:line="360" w:lineRule="auto"/>
        <w:jc w:val="both"/>
        <w:rPr>
          <w:rFonts w:ascii="Arial" w:hAnsi="Arial" w:cs="Arial"/>
          <w:sz w:val="20"/>
          <w:szCs w:val="20"/>
        </w:rPr>
      </w:pPr>
      <w:r w:rsidRPr="006E63F6">
        <w:rPr>
          <w:rFonts w:ascii="Arial" w:hAnsi="Arial" w:cs="Arial"/>
          <w:b/>
          <w:sz w:val="20"/>
          <w:szCs w:val="20"/>
        </w:rPr>
        <w:t xml:space="preserve">Table </w:t>
      </w:r>
      <w:r w:rsidR="00F714C0">
        <w:rPr>
          <w:rFonts w:ascii="Arial" w:hAnsi="Arial" w:cs="Arial"/>
          <w:b/>
          <w:sz w:val="20"/>
          <w:szCs w:val="20"/>
        </w:rPr>
        <w:t>2</w:t>
      </w:r>
      <w:r w:rsidRPr="006E63F6">
        <w:rPr>
          <w:rFonts w:ascii="Arial" w:hAnsi="Arial" w:cs="Arial"/>
          <w:b/>
          <w:sz w:val="20"/>
          <w:szCs w:val="20"/>
        </w:rPr>
        <w:t xml:space="preserve">: </w:t>
      </w:r>
      <w:r w:rsidRPr="006E63F6">
        <w:rPr>
          <w:rFonts w:ascii="Arial" w:hAnsi="Arial" w:cs="Arial"/>
          <w:bCs/>
          <w:sz w:val="20"/>
          <w:szCs w:val="20"/>
        </w:rPr>
        <w:t>Drug-likeness (Rule of 5) evaluation and physi</w:t>
      </w:r>
      <w:r w:rsidR="001C750F">
        <w:rPr>
          <w:rFonts w:ascii="Arial" w:hAnsi="Arial" w:cs="Arial"/>
          <w:bCs/>
          <w:sz w:val="20"/>
          <w:szCs w:val="20"/>
        </w:rPr>
        <w:t>c</w:t>
      </w:r>
      <w:r w:rsidRPr="006E63F6">
        <w:rPr>
          <w:rFonts w:ascii="Arial" w:hAnsi="Arial" w:cs="Arial"/>
          <w:bCs/>
          <w:sz w:val="20"/>
          <w:szCs w:val="20"/>
        </w:rPr>
        <w:t xml:space="preserve">ochemical properties of oxythiamine </w:t>
      </w:r>
      <w:r>
        <w:rPr>
          <w:rFonts w:ascii="Arial" w:hAnsi="Arial" w:cs="Arial"/>
          <w:bCs/>
          <w:sz w:val="20"/>
          <w:szCs w:val="20"/>
        </w:rPr>
        <w:t xml:space="preserve">and the six Schiff bases of </w:t>
      </w:r>
      <w:r w:rsidRPr="006E63F6">
        <w:rPr>
          <w:rFonts w:ascii="Arial" w:hAnsi="Arial" w:cs="Arial"/>
          <w:bCs/>
          <w:sz w:val="20"/>
          <w:szCs w:val="20"/>
        </w:rPr>
        <w:t>phenylisocytosine</w:t>
      </w:r>
      <w:r>
        <w:rPr>
          <w:rFonts w:ascii="Arial" w:hAnsi="Arial" w:cs="Arial"/>
          <w:bCs/>
          <w:sz w:val="20"/>
          <w:szCs w:val="20"/>
        </w:rPr>
        <w:t>.</w:t>
      </w:r>
    </w:p>
    <w:tbl>
      <w:tblPr>
        <w:tblStyle w:val="TableGridLight"/>
        <w:tblW w:w="0" w:type="auto"/>
        <w:tblLook w:val="04A0" w:firstRow="1" w:lastRow="0" w:firstColumn="1" w:lastColumn="0" w:noHBand="0" w:noVBand="1"/>
      </w:tblPr>
      <w:tblGrid>
        <w:gridCol w:w="3992"/>
        <w:gridCol w:w="1265"/>
        <w:gridCol w:w="965"/>
        <w:gridCol w:w="1096"/>
        <w:gridCol w:w="847"/>
        <w:gridCol w:w="1185"/>
      </w:tblGrid>
      <w:tr w:rsidR="00D10E13" w:rsidRPr="00D10E13" w14:paraId="699E3FB8" w14:textId="77777777" w:rsidTr="00D10E13">
        <w:tc>
          <w:tcPr>
            <w:tcW w:w="3992" w:type="dxa"/>
          </w:tcPr>
          <w:p w14:paraId="1F75A498" w14:textId="597EB7CA" w:rsidR="00D10E13" w:rsidRPr="00E90FB9" w:rsidRDefault="00D10E13" w:rsidP="00E90FB9">
            <w:pPr>
              <w:spacing w:line="360" w:lineRule="auto"/>
              <w:jc w:val="center"/>
              <w:rPr>
                <w:rFonts w:ascii="Arial" w:hAnsi="Arial" w:cs="Arial"/>
                <w:b/>
                <w:bCs/>
                <w:sz w:val="20"/>
                <w:szCs w:val="20"/>
              </w:rPr>
            </w:pPr>
            <w:bookmarkStart w:id="3" w:name="_Hlk178245433"/>
            <w:r w:rsidRPr="00E90FB9">
              <w:rPr>
                <w:rFonts w:ascii="Arial" w:hAnsi="Arial" w:cs="Arial"/>
                <w:b/>
                <w:bCs/>
                <w:sz w:val="20"/>
                <w:szCs w:val="20"/>
              </w:rPr>
              <w:t>Ligands</w:t>
            </w:r>
          </w:p>
        </w:tc>
        <w:tc>
          <w:tcPr>
            <w:tcW w:w="1265" w:type="dxa"/>
          </w:tcPr>
          <w:p w14:paraId="7F382DDC" w14:textId="6D5DAC21"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Molecular</w:t>
            </w:r>
          </w:p>
          <w:p w14:paraId="29445E8A" w14:textId="3DA14F78"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Weight</w:t>
            </w:r>
          </w:p>
        </w:tc>
        <w:tc>
          <w:tcPr>
            <w:tcW w:w="965" w:type="dxa"/>
          </w:tcPr>
          <w:p w14:paraId="3EEB934C"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H-bond donor</w:t>
            </w:r>
          </w:p>
        </w:tc>
        <w:tc>
          <w:tcPr>
            <w:tcW w:w="1096" w:type="dxa"/>
          </w:tcPr>
          <w:p w14:paraId="6E7EA92B"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H-bond acceptor</w:t>
            </w:r>
          </w:p>
        </w:tc>
        <w:tc>
          <w:tcPr>
            <w:tcW w:w="847" w:type="dxa"/>
          </w:tcPr>
          <w:p w14:paraId="0C2CB94E"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Log p</w:t>
            </w:r>
          </w:p>
        </w:tc>
        <w:tc>
          <w:tcPr>
            <w:tcW w:w="1185" w:type="dxa"/>
          </w:tcPr>
          <w:p w14:paraId="2ACDA15B"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Inference</w:t>
            </w:r>
          </w:p>
          <w:p w14:paraId="2DB3E67E" w14:textId="77777777" w:rsidR="00D10E13" w:rsidRPr="00E90FB9" w:rsidRDefault="00D10E13" w:rsidP="00E90FB9">
            <w:pPr>
              <w:spacing w:line="360" w:lineRule="auto"/>
              <w:jc w:val="center"/>
              <w:rPr>
                <w:rFonts w:ascii="Arial" w:hAnsi="Arial" w:cs="Arial"/>
                <w:b/>
                <w:bCs/>
                <w:sz w:val="20"/>
                <w:szCs w:val="20"/>
              </w:rPr>
            </w:pPr>
          </w:p>
        </w:tc>
      </w:tr>
      <w:tr w:rsidR="00D10E13" w:rsidRPr="00D10E13" w14:paraId="22AF57CE" w14:textId="77777777" w:rsidTr="00D10E13">
        <w:tc>
          <w:tcPr>
            <w:tcW w:w="3992" w:type="dxa"/>
          </w:tcPr>
          <w:p w14:paraId="76FF6EC6"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Compound ID</w:t>
            </w:r>
          </w:p>
        </w:tc>
        <w:tc>
          <w:tcPr>
            <w:tcW w:w="1265" w:type="dxa"/>
          </w:tcPr>
          <w:p w14:paraId="4049A893"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500</w:t>
            </w:r>
          </w:p>
        </w:tc>
        <w:tc>
          <w:tcPr>
            <w:tcW w:w="965" w:type="dxa"/>
          </w:tcPr>
          <w:p w14:paraId="64D4F8F9"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w:t>
            </w:r>
          </w:p>
        </w:tc>
        <w:tc>
          <w:tcPr>
            <w:tcW w:w="1096" w:type="dxa"/>
          </w:tcPr>
          <w:p w14:paraId="59606609"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10</w:t>
            </w:r>
          </w:p>
        </w:tc>
        <w:tc>
          <w:tcPr>
            <w:tcW w:w="847" w:type="dxa"/>
          </w:tcPr>
          <w:p w14:paraId="62375197"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w:t>
            </w:r>
          </w:p>
        </w:tc>
        <w:tc>
          <w:tcPr>
            <w:tcW w:w="1185" w:type="dxa"/>
          </w:tcPr>
          <w:p w14:paraId="7F420463"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MEET R05</w:t>
            </w:r>
          </w:p>
        </w:tc>
      </w:tr>
      <w:tr w:rsidR="00D10E13" w:rsidRPr="00D10E13" w14:paraId="3FEABD98" w14:textId="77777777" w:rsidTr="00D10E13">
        <w:tc>
          <w:tcPr>
            <w:tcW w:w="3992" w:type="dxa"/>
          </w:tcPr>
          <w:p w14:paraId="3BC84DD5" w14:textId="70729492" w:rsidR="00D10E13" w:rsidRPr="00E90FB9" w:rsidRDefault="00D10E13" w:rsidP="00E90FB9">
            <w:pPr>
              <w:jc w:val="center"/>
              <w:rPr>
                <w:rFonts w:ascii="Arial" w:hAnsi="Arial" w:cs="Arial"/>
                <w:sz w:val="20"/>
                <w:szCs w:val="20"/>
              </w:rPr>
            </w:pPr>
            <w:r w:rsidRPr="00E90FB9">
              <w:rPr>
                <w:rFonts w:ascii="Arial" w:hAnsi="Arial" w:cs="Arial"/>
                <w:sz w:val="20"/>
                <w:szCs w:val="20"/>
              </w:rPr>
              <w:t>Oxythiamine</w:t>
            </w:r>
          </w:p>
          <w:p w14:paraId="0E5EAF9C" w14:textId="76BA870B" w:rsidR="00D10E13" w:rsidRPr="00E90FB9" w:rsidRDefault="00D10E13" w:rsidP="00E90FB9">
            <w:pPr>
              <w:jc w:val="center"/>
              <w:rPr>
                <w:rFonts w:ascii="Arial" w:hAnsi="Arial" w:cs="Arial"/>
                <w:sz w:val="20"/>
                <w:szCs w:val="20"/>
              </w:rPr>
            </w:pPr>
            <w:r w:rsidRPr="00E90FB9">
              <w:rPr>
                <w:rFonts w:ascii="Arial" w:hAnsi="Arial" w:cs="Arial"/>
                <w:sz w:val="20"/>
                <w:szCs w:val="20"/>
              </w:rPr>
              <w:t>(Reference Drug)</w:t>
            </w:r>
          </w:p>
        </w:tc>
        <w:tc>
          <w:tcPr>
            <w:tcW w:w="1265" w:type="dxa"/>
          </w:tcPr>
          <w:p w14:paraId="6183B53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266.1</w:t>
            </w:r>
          </w:p>
        </w:tc>
        <w:tc>
          <w:tcPr>
            <w:tcW w:w="965" w:type="dxa"/>
          </w:tcPr>
          <w:p w14:paraId="14CC962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7A99B2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10B2157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-0.977</w:t>
            </w:r>
          </w:p>
        </w:tc>
        <w:tc>
          <w:tcPr>
            <w:tcW w:w="1185" w:type="dxa"/>
          </w:tcPr>
          <w:p w14:paraId="1AEE381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bookmarkEnd w:id="3"/>
      <w:tr w:rsidR="00D10E13" w:rsidRPr="00D10E13" w14:paraId="7C3D3170" w14:textId="77777777" w:rsidTr="00D10E13">
        <w:tc>
          <w:tcPr>
            <w:tcW w:w="3992" w:type="dxa"/>
          </w:tcPr>
          <w:p w14:paraId="082525BE"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(E)-2-((3-hydroxybenzylidene)amino)-6-phenylpyrimidin-4(1H)-one</w:t>
            </w:r>
          </w:p>
        </w:tc>
        <w:tc>
          <w:tcPr>
            <w:tcW w:w="1265" w:type="dxa"/>
          </w:tcPr>
          <w:p w14:paraId="1425A4FF"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311.13</w:t>
            </w:r>
          </w:p>
        </w:tc>
        <w:tc>
          <w:tcPr>
            <w:tcW w:w="965" w:type="dxa"/>
          </w:tcPr>
          <w:p w14:paraId="03377C3E"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4</w:t>
            </w:r>
          </w:p>
        </w:tc>
        <w:tc>
          <w:tcPr>
            <w:tcW w:w="1096" w:type="dxa"/>
          </w:tcPr>
          <w:p w14:paraId="02A61372"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6</w:t>
            </w:r>
          </w:p>
        </w:tc>
        <w:tc>
          <w:tcPr>
            <w:tcW w:w="847" w:type="dxa"/>
          </w:tcPr>
          <w:p w14:paraId="3844A361"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1.253</w:t>
            </w:r>
          </w:p>
        </w:tc>
        <w:tc>
          <w:tcPr>
            <w:tcW w:w="1185" w:type="dxa"/>
          </w:tcPr>
          <w:p w14:paraId="3C3C9C1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A1C8E93" w14:textId="77777777" w:rsidTr="00D10E13">
        <w:tc>
          <w:tcPr>
            <w:tcW w:w="3992" w:type="dxa"/>
          </w:tcPr>
          <w:p w14:paraId="529E8508"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(E)-2-((3,4-dimethoxybenzylidene)amino)-6-phenylpyrimidin-4(1H)-one</w:t>
            </w:r>
          </w:p>
        </w:tc>
        <w:tc>
          <w:tcPr>
            <w:tcW w:w="1265" w:type="dxa"/>
          </w:tcPr>
          <w:p w14:paraId="26625AC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339.16</w:t>
            </w:r>
          </w:p>
        </w:tc>
        <w:tc>
          <w:tcPr>
            <w:tcW w:w="965" w:type="dxa"/>
          </w:tcPr>
          <w:p w14:paraId="26403F3C"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9C69F3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6</w:t>
            </w:r>
          </w:p>
        </w:tc>
        <w:tc>
          <w:tcPr>
            <w:tcW w:w="847" w:type="dxa"/>
          </w:tcPr>
          <w:p w14:paraId="23D6C03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1.643</w:t>
            </w:r>
          </w:p>
        </w:tc>
        <w:tc>
          <w:tcPr>
            <w:tcW w:w="1185" w:type="dxa"/>
          </w:tcPr>
          <w:p w14:paraId="009909E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6D21A387" w14:textId="77777777" w:rsidTr="00D10E13">
        <w:tc>
          <w:tcPr>
            <w:tcW w:w="3992" w:type="dxa"/>
          </w:tcPr>
          <w:p w14:paraId="049659BA"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(E)-2-((2,4-dihydroxybenzylidene)amino)-6-phenylpyrimidin-4(1H)-one</w:t>
            </w:r>
          </w:p>
        </w:tc>
        <w:tc>
          <w:tcPr>
            <w:tcW w:w="1265" w:type="dxa"/>
          </w:tcPr>
          <w:p w14:paraId="16FCD5A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295.13</w:t>
            </w:r>
          </w:p>
        </w:tc>
        <w:tc>
          <w:tcPr>
            <w:tcW w:w="965" w:type="dxa"/>
          </w:tcPr>
          <w:p w14:paraId="7C9D35C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3</w:t>
            </w:r>
          </w:p>
        </w:tc>
        <w:tc>
          <w:tcPr>
            <w:tcW w:w="1096" w:type="dxa"/>
          </w:tcPr>
          <w:p w14:paraId="36250E24"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469C3A1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1.901</w:t>
            </w:r>
          </w:p>
        </w:tc>
        <w:tc>
          <w:tcPr>
            <w:tcW w:w="1185" w:type="dxa"/>
          </w:tcPr>
          <w:p w14:paraId="726D7B5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0C460B9" w14:textId="77777777" w:rsidTr="00D10E13">
        <w:tc>
          <w:tcPr>
            <w:tcW w:w="3992" w:type="dxa"/>
          </w:tcPr>
          <w:p w14:paraId="3E8B53AD"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(E)-2-((4-dimethylamino)benzylidene)amino)-6-phenylpyrimidin-4(1H)-one</w:t>
            </w:r>
          </w:p>
        </w:tc>
        <w:tc>
          <w:tcPr>
            <w:tcW w:w="1265" w:type="dxa"/>
          </w:tcPr>
          <w:p w14:paraId="0215E16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322.18</w:t>
            </w:r>
          </w:p>
        </w:tc>
        <w:tc>
          <w:tcPr>
            <w:tcW w:w="965" w:type="dxa"/>
          </w:tcPr>
          <w:p w14:paraId="1C74DFD2"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4ABB45FF"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D7915CA"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1.96</w:t>
            </w:r>
          </w:p>
        </w:tc>
        <w:tc>
          <w:tcPr>
            <w:tcW w:w="1185" w:type="dxa"/>
          </w:tcPr>
          <w:p w14:paraId="7945AB2A"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4754316F" w14:textId="77777777" w:rsidTr="00D10E13">
        <w:tc>
          <w:tcPr>
            <w:tcW w:w="3992" w:type="dxa"/>
          </w:tcPr>
          <w:p w14:paraId="08BF536E"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(E)-2-((4-methoxybenzylidene)amino)-6-phenylpyrimidin-4(1H)-one</w:t>
            </w:r>
          </w:p>
        </w:tc>
        <w:tc>
          <w:tcPr>
            <w:tcW w:w="1265" w:type="dxa"/>
          </w:tcPr>
          <w:p w14:paraId="2EF05B9C"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309.15</w:t>
            </w:r>
          </w:p>
        </w:tc>
        <w:tc>
          <w:tcPr>
            <w:tcW w:w="965" w:type="dxa"/>
          </w:tcPr>
          <w:p w14:paraId="55F73AF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89CE16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58087F6"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1.849</w:t>
            </w:r>
          </w:p>
        </w:tc>
        <w:tc>
          <w:tcPr>
            <w:tcW w:w="1185" w:type="dxa"/>
          </w:tcPr>
          <w:p w14:paraId="2EECA3C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0E62DD8" w14:textId="77777777" w:rsidTr="00D10E13">
        <w:tc>
          <w:tcPr>
            <w:tcW w:w="3992" w:type="dxa"/>
          </w:tcPr>
          <w:p w14:paraId="03F939E2"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(E)-2-((2-hydroxybenzylidene)amino)-6-phenylpyrimidin-4(1H)-one</w:t>
            </w:r>
          </w:p>
        </w:tc>
        <w:tc>
          <w:tcPr>
            <w:tcW w:w="1265" w:type="dxa"/>
          </w:tcPr>
          <w:p w14:paraId="0B2E3C51"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295.13</w:t>
            </w:r>
          </w:p>
        </w:tc>
        <w:tc>
          <w:tcPr>
            <w:tcW w:w="965" w:type="dxa"/>
          </w:tcPr>
          <w:p w14:paraId="07CC9F2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3</w:t>
            </w:r>
          </w:p>
        </w:tc>
        <w:tc>
          <w:tcPr>
            <w:tcW w:w="1096" w:type="dxa"/>
          </w:tcPr>
          <w:p w14:paraId="5002900E"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D5D50B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1.802</w:t>
            </w:r>
          </w:p>
        </w:tc>
        <w:tc>
          <w:tcPr>
            <w:tcW w:w="1185" w:type="dxa"/>
          </w:tcPr>
          <w:p w14:paraId="4FEE37F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bl>
    <w:p w14:paraId="60E4A23E" w14:textId="3DF9EDB5" w:rsidR="00146AC0" w:rsidRPr="008A48FD" w:rsidRDefault="00146AC0" w:rsidP="00A95A3A">
      <w:pPr>
        <w:pStyle w:val="NormalWeb"/>
        <w:spacing w:line="360" w:lineRule="auto"/>
        <w:jc w:val="both"/>
        <w:rPr>
          <w:rFonts w:ascii="Arial" w:hAnsi="Arial" w:cs="Arial"/>
          <w:sz w:val="20"/>
          <w:szCs w:val="20"/>
        </w:rPr>
      </w:pPr>
      <w:r w:rsidRPr="00E060C2">
        <w:rPr>
          <w:rFonts w:ascii="Arial" w:hAnsi="Arial" w:cs="Arial"/>
          <w:sz w:val="20"/>
          <w:szCs w:val="20"/>
        </w:rPr>
        <w:t xml:space="preserve">Oxythiamine, the reference drug, adhered to RO5 criteria with a </w:t>
      </w:r>
      <w:r w:rsidR="008C36A9">
        <w:rPr>
          <w:rFonts w:ascii="Arial" w:hAnsi="Arial" w:cs="Arial"/>
          <w:sz w:val="20"/>
          <w:szCs w:val="20"/>
        </w:rPr>
        <w:t>MW</w:t>
      </w:r>
      <w:r w:rsidRPr="00E060C2">
        <w:rPr>
          <w:rFonts w:ascii="Arial" w:hAnsi="Arial" w:cs="Arial"/>
          <w:sz w:val="20"/>
          <w:szCs w:val="20"/>
        </w:rPr>
        <w:t xml:space="preserve"> of 266.1 Da, 2 hydrogen bond donors, 5 acceptors, and a log P of -0.977. This high hydrophilicity, however, may limit passive membrane permeability. Among the Schiff bases, (E)-2-((3-hydroxybenzylidene)amino)-6-phenylpyrimidin-4(1H)-one displayed a </w:t>
      </w:r>
      <w:r w:rsidR="00432C1C">
        <w:rPr>
          <w:rFonts w:ascii="Arial" w:hAnsi="Arial" w:cs="Arial"/>
          <w:sz w:val="20"/>
          <w:szCs w:val="20"/>
        </w:rPr>
        <w:t>MW</w:t>
      </w:r>
      <w:r w:rsidRPr="00E060C2">
        <w:rPr>
          <w:rFonts w:ascii="Arial" w:hAnsi="Arial" w:cs="Arial"/>
          <w:sz w:val="20"/>
          <w:szCs w:val="20"/>
        </w:rPr>
        <w:t xml:space="preserve"> of 311.13 Da, 4 hydrogen bond donors, 6 acceptors, and a log P of 1.253, suggesting an ideal hydrophilicity-lipophilicity balance. Similarly, (E)-2-((3,4-dimethoxybenzylidene)amino)-6-phenylpyrimidin-4(1H)-one demonstrated a </w:t>
      </w:r>
      <w:r w:rsidR="00432C1C">
        <w:rPr>
          <w:rFonts w:ascii="Arial" w:hAnsi="Arial" w:cs="Arial"/>
          <w:sz w:val="20"/>
          <w:szCs w:val="20"/>
        </w:rPr>
        <w:t>MW</w:t>
      </w:r>
      <w:r w:rsidRPr="00E060C2">
        <w:rPr>
          <w:rFonts w:ascii="Arial" w:hAnsi="Arial" w:cs="Arial"/>
          <w:sz w:val="20"/>
          <w:szCs w:val="20"/>
        </w:rPr>
        <w:t xml:space="preserve"> of 339.16 Da, 2 hydrogen bond donors, 6 acceptors, and a log P of 1.643. The remaining Schiff bases also conformed to RO5, with </w:t>
      </w:r>
      <w:r w:rsidR="00432C1C">
        <w:rPr>
          <w:rFonts w:ascii="Arial" w:hAnsi="Arial" w:cs="Arial"/>
          <w:sz w:val="20"/>
          <w:szCs w:val="20"/>
        </w:rPr>
        <w:t>MW</w:t>
      </w:r>
      <w:r w:rsidRPr="00E060C2">
        <w:rPr>
          <w:rFonts w:ascii="Arial" w:hAnsi="Arial" w:cs="Arial"/>
          <w:sz w:val="20"/>
          <w:szCs w:val="20"/>
        </w:rPr>
        <w:t xml:space="preserve"> between 295.13 Da and 322.18 Da and log P values ranging from 1.802 to 1.96.</w:t>
      </w:r>
      <w:r>
        <w:rPr>
          <w:rFonts w:ascii="Arial" w:hAnsi="Arial" w:cs="Arial"/>
          <w:sz w:val="20"/>
          <w:szCs w:val="20"/>
        </w:rPr>
        <w:t xml:space="preserve"> </w:t>
      </w:r>
      <w:r w:rsidRPr="00E060C2">
        <w:rPr>
          <w:rFonts w:ascii="Arial" w:hAnsi="Arial" w:cs="Arial"/>
          <w:sz w:val="20"/>
          <w:szCs w:val="20"/>
        </w:rPr>
        <w:t xml:space="preserve">The results confirm that all compounds satisfy RO5 criteria, indicating their potential as orally bioavailable candidates. The balanced hydrophilicity-lipophilicity profiles of the Schiff bases suggest improved permeability and absorption compared to oxythiamine, which </w:t>
      </w:r>
      <w:r w:rsidRPr="00E060C2">
        <w:rPr>
          <w:rFonts w:ascii="Arial" w:hAnsi="Arial" w:cs="Arial"/>
          <w:sz w:val="20"/>
          <w:szCs w:val="20"/>
        </w:rPr>
        <w:lastRenderedPageBreak/>
        <w:t xml:space="preserve">may require active transport for effective bioavailability. This </w:t>
      </w:r>
      <w:r w:rsidR="00F37F94">
        <w:rPr>
          <w:rFonts w:ascii="Arial" w:hAnsi="Arial" w:cs="Arial"/>
          <w:sz w:val="20"/>
          <w:szCs w:val="20"/>
        </w:rPr>
        <w:t xml:space="preserve">is in alignment with previous studies, [12] </w:t>
      </w:r>
      <w:r w:rsidRPr="00E060C2">
        <w:rPr>
          <w:rFonts w:ascii="Arial" w:hAnsi="Arial" w:cs="Arial"/>
          <w:sz w:val="20"/>
          <w:szCs w:val="20"/>
        </w:rPr>
        <w:t>highlight</w:t>
      </w:r>
      <w:r w:rsidR="00F37F94">
        <w:rPr>
          <w:rFonts w:ascii="Arial" w:hAnsi="Arial" w:cs="Arial"/>
          <w:sz w:val="20"/>
          <w:szCs w:val="20"/>
        </w:rPr>
        <w:t>ing</w:t>
      </w:r>
      <w:r w:rsidRPr="00E060C2">
        <w:rPr>
          <w:rFonts w:ascii="Arial" w:hAnsi="Arial" w:cs="Arial"/>
          <w:sz w:val="20"/>
          <w:szCs w:val="20"/>
        </w:rPr>
        <w:t xml:space="preserve"> the Schiff bases as strong contenders for further drug development.</w:t>
      </w:r>
    </w:p>
    <w:p w14:paraId="224967C4" w14:textId="630F66B9" w:rsidR="00A95A3A" w:rsidRPr="00E060C2" w:rsidRDefault="00A95A3A" w:rsidP="00597AB9">
      <w:pPr>
        <w:pStyle w:val="NormalWeb"/>
        <w:spacing w:before="0" w:beforeAutospacing="0" w:after="0" w:afterAutospacing="0" w:line="360" w:lineRule="auto"/>
        <w:jc w:val="both"/>
        <w:rPr>
          <w:rFonts w:ascii="Arial" w:hAnsi="Arial" w:cs="Arial"/>
          <w:b/>
          <w:bCs/>
          <w:sz w:val="20"/>
          <w:szCs w:val="20"/>
        </w:rPr>
      </w:pPr>
      <w:r w:rsidRPr="00E060C2">
        <w:rPr>
          <w:rFonts w:ascii="Arial" w:hAnsi="Arial" w:cs="Arial"/>
          <w:b/>
          <w:bCs/>
          <w:sz w:val="20"/>
          <w:szCs w:val="20"/>
        </w:rPr>
        <w:t>3.2.2 ADMET Evaluation</w:t>
      </w:r>
    </w:p>
    <w:p w14:paraId="751E87DE" w14:textId="77777777" w:rsidR="00A95A3A" w:rsidRPr="00E060C2" w:rsidRDefault="00A95A3A" w:rsidP="00597AB9">
      <w:pPr>
        <w:pStyle w:val="NormalWeb"/>
        <w:spacing w:before="0" w:beforeAutospacing="0" w:after="0" w:afterAutospacing="0" w:line="360" w:lineRule="auto"/>
        <w:jc w:val="both"/>
        <w:rPr>
          <w:rFonts w:ascii="Arial" w:hAnsi="Arial" w:cs="Arial"/>
          <w:sz w:val="20"/>
          <w:szCs w:val="20"/>
        </w:rPr>
      </w:pPr>
      <w:r w:rsidRPr="00E060C2">
        <w:rPr>
          <w:rFonts w:ascii="Arial" w:hAnsi="Arial" w:cs="Arial"/>
          <w:sz w:val="20"/>
          <w:szCs w:val="20"/>
        </w:rPr>
        <w:t xml:space="preserve">The ADMET (Absorption, Distribution, Metabolism, Excretion, and Toxicity) properties of oxythiamine and the six Schiff bases were assessed to determine their pharmacokinetic and toxicological profiles. This evaluation highlights their potential clinical efficacy and safety, with key findings presented in Table </w:t>
      </w:r>
      <w:r>
        <w:rPr>
          <w:rFonts w:ascii="Arial" w:hAnsi="Arial" w:cs="Arial"/>
          <w:sz w:val="20"/>
          <w:szCs w:val="20"/>
        </w:rPr>
        <w:t>3</w:t>
      </w:r>
      <w:r w:rsidRPr="00E060C2">
        <w:rPr>
          <w:rFonts w:ascii="Arial" w:hAnsi="Arial" w:cs="Arial"/>
          <w:sz w:val="20"/>
          <w:szCs w:val="20"/>
        </w:rPr>
        <w:t>.</w:t>
      </w:r>
      <w:r>
        <w:rPr>
          <w:rFonts w:ascii="Arial" w:hAnsi="Arial" w:cs="Arial"/>
          <w:sz w:val="20"/>
          <w:szCs w:val="20"/>
        </w:rPr>
        <w:t xml:space="preserve"> </w:t>
      </w:r>
      <w:r w:rsidRPr="00E060C2">
        <w:rPr>
          <w:rFonts w:ascii="Arial" w:hAnsi="Arial" w:cs="Arial"/>
          <w:sz w:val="20"/>
          <w:szCs w:val="20"/>
        </w:rPr>
        <w:t>All Schiff bases exhibited excellent Caco-2 permeability and high human intestinal absorption, supporting their potential for effective oral bioavailability. Oxythiamine, however, showed poor Caco-2 permeability and limited absorption, highlighting its reduced passive uptake. Furthermore, all Schiff bases inhibited P-glycoprotein, potentially preventing drug efflux and enhancing intracellular retention. These findings position the Schiff bases as superior candidates in terms of absorption and distribution.</w:t>
      </w:r>
    </w:p>
    <w:p w14:paraId="2F4F3C4C" w14:textId="77777777" w:rsidR="00A95A3A" w:rsidRDefault="00A95A3A" w:rsidP="00597AB9">
      <w:pPr>
        <w:pStyle w:val="NormalWeb"/>
        <w:spacing w:before="0" w:beforeAutospacing="0" w:after="0" w:afterAutospacing="0" w:line="360" w:lineRule="auto"/>
        <w:jc w:val="both"/>
        <w:rPr>
          <w:rFonts w:ascii="Arial" w:hAnsi="Arial" w:cs="Arial"/>
          <w:sz w:val="20"/>
          <w:szCs w:val="20"/>
        </w:rPr>
      </w:pPr>
      <w:r w:rsidRPr="00E060C2">
        <w:rPr>
          <w:rFonts w:ascii="Arial" w:hAnsi="Arial" w:cs="Arial"/>
          <w:sz w:val="20"/>
          <w:szCs w:val="20"/>
        </w:rPr>
        <w:t>Metabolically, none of the Schiff bases inhibited critical cytochrome P450 enzymes, including CYP2D6, CYP3A4, CYP1A2, and CYP2C19, indicating a low likelihood of drug-drug interactions. In contrast, oxythiamine moderately inhibited CYP1A2, which could pose risks when combined with other drugs metabolized by this enzyme. The Schiff bases' favorable metabolic profiles suggest their safety in co-therapies and reduce concerns about adverse pharmacokinetic interactions.</w:t>
      </w:r>
      <w:r>
        <w:rPr>
          <w:rFonts w:ascii="Arial" w:hAnsi="Arial" w:cs="Arial"/>
          <w:sz w:val="20"/>
          <w:szCs w:val="20"/>
        </w:rPr>
        <w:t xml:space="preserve"> </w:t>
      </w:r>
      <w:r w:rsidRPr="0025123D">
        <w:rPr>
          <w:rFonts w:ascii="Arial" w:hAnsi="Arial" w:cs="Arial"/>
          <w:sz w:val="20"/>
          <w:szCs w:val="20"/>
        </w:rPr>
        <w:t xml:space="preserve">For excretion, the Schiff bases demonstrated excellent clearance rates and appropriate half-lives, minimizing risks of accumulation and toxicity. Oxythiamine, however, exhibited poor clearance and an extended half-life, increasing its likelihood of toxicity. </w:t>
      </w:r>
    </w:p>
    <w:p w14:paraId="0DC8F1C6" w14:textId="77777777" w:rsidR="00A95A3A" w:rsidRPr="00E060C2" w:rsidRDefault="00A95A3A" w:rsidP="00597AB9">
      <w:pPr>
        <w:pStyle w:val="NormalWeb"/>
        <w:spacing w:before="0" w:beforeAutospacing="0" w:line="360" w:lineRule="auto"/>
        <w:jc w:val="both"/>
        <w:rPr>
          <w:rFonts w:ascii="Arial" w:hAnsi="Arial" w:cs="Arial"/>
          <w:sz w:val="20"/>
          <w:szCs w:val="20"/>
        </w:rPr>
      </w:pPr>
      <w:r w:rsidRPr="0025123D">
        <w:rPr>
          <w:rFonts w:ascii="Arial" w:hAnsi="Arial" w:cs="Arial"/>
          <w:sz w:val="20"/>
          <w:szCs w:val="20"/>
        </w:rPr>
        <w:t>Toxicologically, the Schiff bases showed significant differences in their profiles</w:t>
      </w:r>
      <w:r>
        <w:rPr>
          <w:rFonts w:ascii="Arial" w:hAnsi="Arial" w:cs="Arial"/>
          <w:sz w:val="20"/>
          <w:szCs w:val="20"/>
        </w:rPr>
        <w:t xml:space="preserve">. </w:t>
      </w:r>
      <w:r w:rsidRPr="0025123D">
        <w:rPr>
          <w:rFonts w:ascii="Arial" w:hAnsi="Arial" w:cs="Arial"/>
          <w:sz w:val="20"/>
          <w:szCs w:val="20"/>
        </w:rPr>
        <w:t>Oxythiamine displayed nephrotoxicity, posing a risk for kidney damage, and a higher risk of carcinogenicity. These findings align with its poor clearance, leading to potential bioaccumulation and associated toxic effects.</w:t>
      </w:r>
      <w:r>
        <w:rPr>
          <w:rFonts w:ascii="Arial" w:hAnsi="Arial" w:cs="Arial"/>
          <w:sz w:val="20"/>
          <w:szCs w:val="20"/>
        </w:rPr>
        <w:t xml:space="preserve"> </w:t>
      </w:r>
      <w:r w:rsidRPr="0025123D">
        <w:rPr>
          <w:rFonts w:ascii="Arial" w:hAnsi="Arial" w:cs="Arial"/>
          <w:sz w:val="20"/>
          <w:szCs w:val="20"/>
        </w:rPr>
        <w:t>(E)-2-((3-hydroxybenzylidene</w:t>
      </w:r>
      <w:proofErr w:type="gramStart"/>
      <w:r w:rsidRPr="0025123D">
        <w:rPr>
          <w:rFonts w:ascii="Arial" w:hAnsi="Arial" w:cs="Arial"/>
          <w:sz w:val="20"/>
          <w:szCs w:val="20"/>
        </w:rPr>
        <w:t>)amino</w:t>
      </w:r>
      <w:proofErr w:type="gramEnd"/>
      <w:r w:rsidRPr="0025123D">
        <w:rPr>
          <w:rFonts w:ascii="Arial" w:hAnsi="Arial" w:cs="Arial"/>
          <w:sz w:val="20"/>
          <w:szCs w:val="20"/>
        </w:rPr>
        <w:t xml:space="preserve">)-6-phenylpyrimidin-4(1H)-one exhibited no nephrotoxicity, hepatotoxicity, or </w:t>
      </w:r>
      <w:proofErr w:type="spellStart"/>
      <w:r w:rsidRPr="0025123D">
        <w:rPr>
          <w:rFonts w:ascii="Arial" w:hAnsi="Arial" w:cs="Arial"/>
          <w:sz w:val="20"/>
          <w:szCs w:val="20"/>
        </w:rPr>
        <w:t>hematotoxicity</w:t>
      </w:r>
      <w:proofErr w:type="spellEnd"/>
      <w:r w:rsidRPr="0025123D">
        <w:rPr>
          <w:rFonts w:ascii="Arial" w:hAnsi="Arial" w:cs="Arial"/>
          <w:sz w:val="20"/>
          <w:szCs w:val="20"/>
        </w:rPr>
        <w:t>, indicating a favorable safety profile. While it showed moderate AMES toxicity, the absence of significant toxic risks supports its potential as a safe candidate.</w:t>
      </w:r>
      <w:r>
        <w:rPr>
          <w:rFonts w:ascii="Arial" w:hAnsi="Arial" w:cs="Arial"/>
          <w:sz w:val="20"/>
          <w:szCs w:val="20"/>
        </w:rPr>
        <w:t xml:space="preserve"> </w:t>
      </w:r>
      <w:r w:rsidRPr="0025123D">
        <w:rPr>
          <w:rFonts w:ascii="Arial" w:hAnsi="Arial" w:cs="Arial"/>
          <w:sz w:val="20"/>
          <w:szCs w:val="20"/>
        </w:rPr>
        <w:t>(E)-2-((3</w:t>
      </w:r>
      <w:proofErr w:type="gramStart"/>
      <w:r w:rsidRPr="0025123D">
        <w:rPr>
          <w:rFonts w:ascii="Arial" w:hAnsi="Arial" w:cs="Arial"/>
          <w:sz w:val="20"/>
          <w:szCs w:val="20"/>
        </w:rPr>
        <w:t>,4</w:t>
      </w:r>
      <w:proofErr w:type="gramEnd"/>
      <w:r w:rsidRPr="0025123D">
        <w:rPr>
          <w:rFonts w:ascii="Arial" w:hAnsi="Arial" w:cs="Arial"/>
          <w:sz w:val="20"/>
          <w:szCs w:val="20"/>
        </w:rPr>
        <w:t xml:space="preserve">-dimethoxybenzylidene)amino)-6-phenylpyrimidin-4(1H)-one also demonstrated no nephrotoxicity, hepatotoxicity, or </w:t>
      </w:r>
      <w:proofErr w:type="spellStart"/>
      <w:r w:rsidRPr="0025123D">
        <w:rPr>
          <w:rFonts w:ascii="Arial" w:hAnsi="Arial" w:cs="Arial"/>
          <w:sz w:val="20"/>
          <w:szCs w:val="20"/>
        </w:rPr>
        <w:t>hematotoxicity</w:t>
      </w:r>
      <w:proofErr w:type="spellEnd"/>
      <w:r w:rsidRPr="0025123D">
        <w:rPr>
          <w:rFonts w:ascii="Arial" w:hAnsi="Arial" w:cs="Arial"/>
          <w:sz w:val="20"/>
          <w:szCs w:val="20"/>
        </w:rPr>
        <w:t>. Moderate AMES toxicity was observed, but its overall profile remains favorable compared to oxythiamine.</w:t>
      </w:r>
      <w:r>
        <w:rPr>
          <w:rFonts w:ascii="Arial" w:hAnsi="Arial" w:cs="Arial"/>
          <w:sz w:val="20"/>
          <w:szCs w:val="20"/>
        </w:rPr>
        <w:t xml:space="preserve"> </w:t>
      </w:r>
      <w:r w:rsidRPr="0025123D">
        <w:rPr>
          <w:rFonts w:ascii="Arial" w:hAnsi="Arial" w:cs="Arial"/>
          <w:sz w:val="20"/>
          <w:szCs w:val="20"/>
        </w:rPr>
        <w:t>(E)-2-((2</w:t>
      </w:r>
      <w:proofErr w:type="gramStart"/>
      <w:r w:rsidRPr="0025123D">
        <w:rPr>
          <w:rFonts w:ascii="Arial" w:hAnsi="Arial" w:cs="Arial"/>
          <w:sz w:val="20"/>
          <w:szCs w:val="20"/>
        </w:rPr>
        <w:t>,4</w:t>
      </w:r>
      <w:proofErr w:type="gramEnd"/>
      <w:r w:rsidRPr="0025123D">
        <w:rPr>
          <w:rFonts w:ascii="Arial" w:hAnsi="Arial" w:cs="Arial"/>
          <w:sz w:val="20"/>
          <w:szCs w:val="20"/>
        </w:rPr>
        <w:t>-dihydroxybenzylidene)amino)-6-phenylpyrimidin-4(1H)-one showed minimal toxicological risks, with medium hepatotoxicity being the only area of concern. Its safety profile suggests a promising therapeutic window.</w:t>
      </w:r>
      <w:r>
        <w:rPr>
          <w:rFonts w:ascii="Arial" w:hAnsi="Arial" w:cs="Arial"/>
          <w:sz w:val="20"/>
          <w:szCs w:val="20"/>
        </w:rPr>
        <w:t xml:space="preserve"> </w:t>
      </w:r>
      <w:r w:rsidRPr="0025123D">
        <w:rPr>
          <w:rFonts w:ascii="Arial" w:hAnsi="Arial" w:cs="Arial"/>
          <w:sz w:val="20"/>
          <w:szCs w:val="20"/>
        </w:rPr>
        <w:t>(E)-2-((4-dimethylamino</w:t>
      </w:r>
      <w:proofErr w:type="gramStart"/>
      <w:r w:rsidRPr="0025123D">
        <w:rPr>
          <w:rFonts w:ascii="Arial" w:hAnsi="Arial" w:cs="Arial"/>
          <w:sz w:val="20"/>
          <w:szCs w:val="20"/>
        </w:rPr>
        <w:t>)benzylidene</w:t>
      </w:r>
      <w:proofErr w:type="gramEnd"/>
      <w:r w:rsidRPr="0025123D">
        <w:rPr>
          <w:rFonts w:ascii="Arial" w:hAnsi="Arial" w:cs="Arial"/>
          <w:sz w:val="20"/>
          <w:szCs w:val="20"/>
        </w:rPr>
        <w:t>)amino)-6-phenylpyrimidin-4(1H)-one presented moderate risks for nephrotoxicity and hepatotoxicity. These findings suggest careful monitoring during further development.</w:t>
      </w:r>
      <w:r>
        <w:rPr>
          <w:rFonts w:ascii="Arial" w:hAnsi="Arial" w:cs="Arial"/>
          <w:sz w:val="20"/>
          <w:szCs w:val="20"/>
        </w:rPr>
        <w:t xml:space="preserve"> </w:t>
      </w:r>
      <w:r w:rsidRPr="0025123D">
        <w:rPr>
          <w:rFonts w:ascii="Arial" w:hAnsi="Arial" w:cs="Arial"/>
          <w:sz w:val="20"/>
          <w:szCs w:val="20"/>
        </w:rPr>
        <w:t>(E)-2-((4-methoxybenzylidene</w:t>
      </w:r>
      <w:proofErr w:type="gramStart"/>
      <w:r w:rsidRPr="0025123D">
        <w:rPr>
          <w:rFonts w:ascii="Arial" w:hAnsi="Arial" w:cs="Arial"/>
          <w:sz w:val="20"/>
          <w:szCs w:val="20"/>
        </w:rPr>
        <w:t>)amino</w:t>
      </w:r>
      <w:proofErr w:type="gramEnd"/>
      <w:r w:rsidRPr="0025123D">
        <w:rPr>
          <w:rFonts w:ascii="Arial" w:hAnsi="Arial" w:cs="Arial"/>
          <w:sz w:val="20"/>
          <w:szCs w:val="20"/>
        </w:rPr>
        <w:t>)-6-phenylpyrimidin-4(1H)-one and (E)-2-((2-hydroxybenzylidene)amino)-6-phenylpyrimidin-4(1H)-one displayed similar profiles, with moderate hepatotoxicity but no nephrotoxicity, supporting their consideration as safe candidates.</w:t>
      </w:r>
    </w:p>
    <w:p w14:paraId="3CC342DE" w14:textId="1C0E9805" w:rsidR="00E829E0" w:rsidRPr="007B36CD" w:rsidRDefault="00A95A3A" w:rsidP="000949CD">
      <w:pPr>
        <w:pStyle w:val="NormalWeb"/>
        <w:spacing w:after="0" w:afterAutospacing="0" w:line="360" w:lineRule="auto"/>
        <w:jc w:val="both"/>
        <w:rPr>
          <w:rFonts w:ascii="Arial" w:hAnsi="Arial" w:cs="Arial"/>
          <w:sz w:val="20"/>
          <w:szCs w:val="20"/>
        </w:rPr>
      </w:pPr>
      <w:r w:rsidRPr="00E060C2">
        <w:rPr>
          <w:rFonts w:ascii="Arial" w:hAnsi="Arial" w:cs="Arial"/>
          <w:sz w:val="20"/>
          <w:szCs w:val="20"/>
        </w:rPr>
        <w:lastRenderedPageBreak/>
        <w:t>The findings underscore the superior pharmacokinetic and safety profiles of the Schiff bases compared to oxythiamine. Notably, (E)-2-((3-hydroxybenzylidene</w:t>
      </w:r>
      <w:proofErr w:type="gramStart"/>
      <w:r w:rsidRPr="00E060C2">
        <w:rPr>
          <w:rFonts w:ascii="Arial" w:hAnsi="Arial" w:cs="Arial"/>
          <w:sz w:val="20"/>
          <w:szCs w:val="20"/>
        </w:rPr>
        <w:t>)amino</w:t>
      </w:r>
      <w:proofErr w:type="gramEnd"/>
      <w:r w:rsidRPr="00E060C2">
        <w:rPr>
          <w:rFonts w:ascii="Arial" w:hAnsi="Arial" w:cs="Arial"/>
          <w:sz w:val="20"/>
          <w:szCs w:val="20"/>
        </w:rPr>
        <w:t>)-6-phenylpyrimidin-4(1H)-one and (E)-2-((3,4-dimethoxybenzylidene)amino)-6-phenylpyrimidin-4(1H)-one emerged as the best candidates due to their exceptional absorption, distribution, metabolism, excretion, and low toxicity profiles. Their favorable ADMET characteristics position them as leading candidates for antimalarial drug development, offering a safer and more effective alternative to oxythiamine</w:t>
      </w:r>
      <w:r w:rsidR="00E14A8B">
        <w:rPr>
          <w:rFonts w:ascii="Arial" w:hAnsi="Arial" w:cs="Arial"/>
          <w:sz w:val="20"/>
          <w:szCs w:val="20"/>
        </w:rPr>
        <w:t xml:space="preserve"> [36]</w:t>
      </w:r>
      <w:r w:rsidRPr="00E060C2">
        <w:rPr>
          <w:rFonts w:ascii="Arial" w:hAnsi="Arial" w:cs="Arial"/>
          <w:sz w:val="20"/>
          <w:szCs w:val="20"/>
        </w:rPr>
        <w:t>. These results provide a robust foundation for further experimental validation and clinical exploration.</w:t>
      </w:r>
    </w:p>
    <w:p w14:paraId="6D1908D1" w14:textId="02EC4297" w:rsidR="00341863" w:rsidRDefault="0003531E" w:rsidP="000949CD">
      <w:pPr>
        <w:pStyle w:val="NormalWeb"/>
        <w:spacing w:before="0" w:beforeAutospacing="0" w:after="0" w:afterAutospacing="0"/>
        <w:jc w:val="both"/>
        <w:rPr>
          <w:rFonts w:ascii="Arial" w:hAnsi="Arial" w:cs="Arial"/>
          <w:bCs/>
          <w:sz w:val="20"/>
          <w:szCs w:val="20"/>
        </w:rPr>
      </w:pPr>
      <w:r w:rsidRPr="006E63F6">
        <w:rPr>
          <w:rFonts w:ascii="Arial" w:hAnsi="Arial" w:cs="Arial"/>
          <w:b/>
          <w:noProof/>
          <w:sz w:val="20"/>
          <w:szCs w:val="20"/>
        </w:rPr>
        <w:t xml:space="preserve">Table </w:t>
      </w:r>
      <w:r w:rsidR="00FB2F44">
        <w:rPr>
          <w:rFonts w:ascii="Arial" w:hAnsi="Arial" w:cs="Arial"/>
          <w:b/>
          <w:noProof/>
          <w:sz w:val="20"/>
          <w:szCs w:val="20"/>
        </w:rPr>
        <w:t>3</w:t>
      </w:r>
      <w:r w:rsidRPr="006E63F6">
        <w:rPr>
          <w:rFonts w:ascii="Arial" w:hAnsi="Arial" w:cs="Arial"/>
          <w:b/>
          <w:noProof/>
          <w:sz w:val="20"/>
          <w:szCs w:val="20"/>
        </w:rPr>
        <w:t xml:space="preserve">: </w:t>
      </w:r>
      <w:r w:rsidRPr="006E63F6">
        <w:rPr>
          <w:rFonts w:ascii="Arial" w:hAnsi="Arial" w:cs="Arial"/>
          <w:bCs/>
          <w:noProof/>
          <w:sz w:val="20"/>
          <w:szCs w:val="20"/>
        </w:rPr>
        <w:t>ADMET properties of</w:t>
      </w:r>
      <w:r w:rsidRPr="006E63F6">
        <w:rPr>
          <w:rFonts w:ascii="Arial" w:hAnsi="Arial" w:cs="Arial"/>
          <w:b/>
          <w:noProof/>
          <w:sz w:val="20"/>
          <w:szCs w:val="20"/>
        </w:rPr>
        <w:t xml:space="preserve"> </w:t>
      </w:r>
      <w:r w:rsidRPr="006E63F6">
        <w:rPr>
          <w:rFonts w:ascii="Arial" w:hAnsi="Arial" w:cs="Arial"/>
          <w:bCs/>
          <w:noProof/>
          <w:sz w:val="20"/>
          <w:szCs w:val="20"/>
        </w:rPr>
        <w:t>oxythiamine</w:t>
      </w:r>
      <w:r>
        <w:rPr>
          <w:rFonts w:ascii="Arial" w:hAnsi="Arial" w:cs="Arial"/>
          <w:bCs/>
          <w:noProof/>
          <w:sz w:val="20"/>
          <w:szCs w:val="20"/>
        </w:rPr>
        <w:t xml:space="preserve"> and the six Schiff-bases of</w:t>
      </w:r>
      <w:r w:rsidRPr="006E63F6">
        <w:rPr>
          <w:rFonts w:ascii="Arial" w:hAnsi="Arial" w:cs="Arial"/>
          <w:b/>
          <w:noProof/>
          <w:sz w:val="20"/>
          <w:szCs w:val="20"/>
        </w:rPr>
        <w:t xml:space="preserve"> </w:t>
      </w:r>
      <w:r w:rsidRPr="006E63F6">
        <w:rPr>
          <w:rFonts w:ascii="Arial" w:hAnsi="Arial" w:cs="Arial"/>
          <w:bCs/>
          <w:sz w:val="20"/>
          <w:szCs w:val="20"/>
        </w:rPr>
        <w:t>phenylisocytosine</w:t>
      </w:r>
      <w:r>
        <w:rPr>
          <w:rFonts w:ascii="Arial" w:hAnsi="Arial" w:cs="Arial"/>
          <w:bCs/>
          <w:sz w:val="20"/>
          <w:szCs w:val="20"/>
        </w:rPr>
        <w:t>.</w:t>
      </w:r>
    </w:p>
    <w:p w14:paraId="6FA77724" w14:textId="6FB20B37" w:rsidR="000949CD" w:rsidRDefault="00B75EA3" w:rsidP="000949CD">
      <w:pPr>
        <w:pStyle w:val="NormalWeb"/>
        <w:spacing w:before="0" w:beforeAutospacing="0" w:after="0" w:afterAutospacing="0"/>
        <w:jc w:val="both"/>
        <w:rPr>
          <w:rFonts w:ascii="Arial" w:hAnsi="Arial" w:cs="Arial"/>
          <w:b/>
          <w:bCs/>
          <w:color w:val="70AD47" w:themeColor="accent6"/>
          <w:sz w:val="20"/>
          <w:szCs w:val="20"/>
        </w:rPr>
      </w:pPr>
      <w:r w:rsidRPr="00446D50">
        <w:rPr>
          <w:rFonts w:ascii="Arial" w:hAnsi="Arial" w:cs="Arial"/>
          <w:noProof/>
          <w:sz w:val="20"/>
          <w:szCs w:val="20"/>
        </w:rPr>
        <mc:AlternateContent>
          <mc:Choice Requires="wps">
            <w:drawing>
              <wp:anchor distT="0" distB="0" distL="114300" distR="114300" simplePos="0" relativeHeight="251668480" behindDoc="0" locked="0" layoutInCell="1" allowOverlap="1" wp14:anchorId="0E8D3815" wp14:editId="711FFA4E">
                <wp:simplePos x="0" y="0"/>
                <wp:positionH relativeFrom="column">
                  <wp:posOffset>3275965</wp:posOffset>
                </wp:positionH>
                <wp:positionV relativeFrom="paragraph">
                  <wp:posOffset>104140</wp:posOffset>
                </wp:positionV>
                <wp:extent cx="369570" cy="342900"/>
                <wp:effectExtent l="0" t="0" r="11430" b="19050"/>
                <wp:wrapNone/>
                <wp:docPr id="11085182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6DD409" id="Rectangle 37" o:spid="_x0000_s1026" style="position:absolute;margin-left:257.95pt;margin-top:8.2pt;width:29.1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" filled="f" strokecolor="red" strokeweight="2pt">
                <v:path arrowok="t"/>
              </v:rect>
            </w:pict>
          </mc:Fallback>
        </mc:AlternateContent>
      </w:r>
      <w:r w:rsidRPr="00446D50">
        <w:rPr>
          <w:rFonts w:ascii="Arial" w:hAnsi="Arial" w:cs="Arial"/>
          <w:noProof/>
          <w:sz w:val="20"/>
          <w:szCs w:val="20"/>
        </w:rPr>
        <mc:AlternateContent>
          <mc:Choice Requires="wps">
            <w:drawing>
              <wp:anchor distT="0" distB="0" distL="114300" distR="114300" simplePos="0" relativeHeight="251667456" behindDoc="0" locked="0" layoutInCell="1" allowOverlap="1" wp14:anchorId="42A33A93" wp14:editId="2B8E9507">
                <wp:simplePos x="0" y="0"/>
                <wp:positionH relativeFrom="column">
                  <wp:posOffset>2082165</wp:posOffset>
                </wp:positionH>
                <wp:positionV relativeFrom="paragraph">
                  <wp:posOffset>123190</wp:posOffset>
                </wp:positionV>
                <wp:extent cx="369570" cy="342900"/>
                <wp:effectExtent l="0" t="0" r="11430" b="19050"/>
                <wp:wrapNone/>
                <wp:docPr id="13627414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A0545F" id="Rectangle 37" o:spid="_x0000_s1026" style="position:absolute;margin-left:163.95pt;margin-top:9.7pt;width:29.1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" filled="f" strokecolor="#00b0f0" strokeweight="2pt">
                <v:path arrowok="t"/>
              </v:rect>
            </w:pict>
          </mc:Fallback>
        </mc:AlternateContent>
      </w:r>
      <w:r w:rsidRPr="00446D50">
        <w:rPr>
          <w:rFonts w:ascii="Arial" w:hAnsi="Arial" w:cs="Arial"/>
          <w:noProof/>
          <w:sz w:val="20"/>
          <w:szCs w:val="20"/>
        </w:rPr>
        <mc:AlternateContent>
          <mc:Choice Requires="wps">
            <w:drawing>
              <wp:anchor distT="0" distB="0" distL="114300" distR="114300" simplePos="0" relativeHeight="251663360" behindDoc="0" locked="0" layoutInCell="1" allowOverlap="1" wp14:anchorId="77DB9555" wp14:editId="0B561F09">
                <wp:simplePos x="0" y="0"/>
                <wp:positionH relativeFrom="leftMargin">
                  <wp:posOffset>1781175</wp:posOffset>
                </wp:positionH>
                <wp:positionV relativeFrom="paragraph">
                  <wp:posOffset>98425</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2A25A" id="Rectangle 17" o:spid="_x0000_s1026" style="position:absolute;margin-left:140.25pt;margin-top:7.75pt;width:30.75pt;height:28.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" filled="f" strokecolor="#92d050" strokeweight="2pt">
                <w10:wrap anchorx="margin"/>
              </v:rect>
            </w:pict>
          </mc:Fallback>
        </mc:AlternateContent>
      </w:r>
    </w:p>
    <w:p w14:paraId="775C51BA" w14:textId="385CD44B" w:rsidR="000949CD" w:rsidRPr="00E90FB9" w:rsidRDefault="00B75EA3" w:rsidP="000949CD">
      <w:pPr>
        <w:pStyle w:val="NormalWeb"/>
        <w:spacing w:before="0" w:beforeAutospacing="0" w:after="0" w:afterAutospacing="0"/>
        <w:jc w:val="both"/>
        <w:rPr>
          <w:rFonts w:ascii="Arial" w:hAnsi="Arial" w:cs="Arial"/>
          <w:bCs/>
          <w:sz w:val="20"/>
          <w:szCs w:val="20"/>
        </w:rPr>
      </w:pPr>
      <w:r w:rsidRPr="00446D50">
        <w:rPr>
          <w:rFonts w:ascii="Arial" w:hAnsi="Arial" w:cs="Arial"/>
          <w:noProof/>
          <w:color w:val="00B0F0"/>
          <w:sz w:val="20"/>
          <w:szCs w:val="20"/>
        </w:rPr>
        <mc:AlternateContent>
          <mc:Choice Requires="wps">
            <w:drawing>
              <wp:anchor distT="0" distB="0" distL="114300" distR="114300" simplePos="0" relativeHeight="251661312" behindDoc="0" locked="0" layoutInCell="1" allowOverlap="1" wp14:anchorId="588079F9" wp14:editId="6525A7D1">
                <wp:simplePos x="0" y="0"/>
                <wp:positionH relativeFrom="column">
                  <wp:posOffset>3331845</wp:posOffset>
                </wp:positionH>
                <wp:positionV relativeFrom="paragraph">
                  <wp:posOffset>13335</wp:posOffset>
                </wp:positionV>
                <wp:extent cx="254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050DD" id="Rectangle 15" o:spid="_x0000_s1026" style="position:absolute;margin-left:262.35pt;margin-top:1.05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" fillcolor="red" strokecolor="#385d8a" strokeweight="2pt"/>
            </w:pict>
          </mc:Fallback>
        </mc:AlternateContent>
      </w:r>
      <w:r w:rsidRPr="00446D50">
        <w:rPr>
          <w:rFonts w:ascii="Arial" w:hAnsi="Arial" w:cs="Arial"/>
          <w:noProof/>
          <w:color w:val="00B0F0"/>
          <w:sz w:val="20"/>
          <w:szCs w:val="20"/>
        </w:rPr>
        <mc:AlternateContent>
          <mc:Choice Requires="wps">
            <w:drawing>
              <wp:anchor distT="0" distB="0" distL="114300" distR="114300" simplePos="0" relativeHeight="251660288" behindDoc="0" locked="0" layoutInCell="1" allowOverlap="1" wp14:anchorId="043E647F" wp14:editId="5FB0FED6">
                <wp:simplePos x="0" y="0"/>
                <wp:positionH relativeFrom="column">
                  <wp:posOffset>2148840</wp:posOffset>
                </wp:positionH>
                <wp:positionV relativeFrom="paragraph">
                  <wp:posOffset>36195</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379986" id="Rectangle 14" o:spid="_x0000_s1026" style="position:absolute;margin-left:169.2pt;margin-top:2.85pt;width:20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" fillcolor="#00b0f0" strokecolor="#1f3763 [1604]" strokeweight="1pt"/>
            </w:pict>
          </mc:Fallback>
        </mc:AlternateContent>
      </w:r>
      <w:r w:rsidRPr="00446D50">
        <w:rPr>
          <w:rFonts w:ascii="Arial" w:hAnsi="Arial" w:cs="Arial"/>
          <w:noProof/>
          <w:color w:val="00B0F0"/>
          <w:sz w:val="20"/>
          <w:szCs w:val="20"/>
        </w:rPr>
        <mc:AlternateContent>
          <mc:Choice Requires="wps">
            <w:drawing>
              <wp:anchor distT="0" distB="0" distL="114300" distR="114300" simplePos="0" relativeHeight="251664384" behindDoc="0" locked="0" layoutInCell="1" allowOverlap="1" wp14:anchorId="2D549F2A" wp14:editId="3F545262">
                <wp:simplePos x="0" y="0"/>
                <wp:positionH relativeFrom="column">
                  <wp:posOffset>935990</wp:posOffset>
                </wp:positionH>
                <wp:positionV relativeFrom="paragraph">
                  <wp:posOffset>22225</wp:posOffset>
                </wp:positionV>
                <wp:extent cx="254000" cy="2286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1A9788" id="Rectangle 18" o:spid="_x0000_s1026" style="position:absolute;margin-left:73.7pt;margin-top:1.75pt;width:20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" fillcolor="#92d050" strokecolor="#385d8a" strokeweight="2pt"/>
            </w:pict>
          </mc:Fallback>
        </mc:AlternateContent>
      </w:r>
      <w:r w:rsidR="000949CD" w:rsidRPr="00446D50">
        <w:rPr>
          <w:rFonts w:ascii="Arial" w:hAnsi="Arial" w:cs="Arial"/>
          <w:b/>
          <w:bCs/>
          <w:color w:val="70AD47" w:themeColor="accent6"/>
          <w:sz w:val="20"/>
          <w:szCs w:val="20"/>
        </w:rPr>
        <w:t>G</w:t>
      </w:r>
      <w:r w:rsidR="000949CD" w:rsidRPr="00446D50">
        <w:rPr>
          <w:rFonts w:ascii="Arial" w:hAnsi="Arial" w:cs="Arial"/>
          <w:sz w:val="20"/>
          <w:szCs w:val="20"/>
        </w:rPr>
        <w:t xml:space="preserve"> = Excellent                   </w:t>
      </w:r>
      <w:r w:rsidR="000949CD">
        <w:rPr>
          <w:rFonts w:ascii="Arial" w:hAnsi="Arial" w:cs="Arial"/>
          <w:sz w:val="20"/>
          <w:szCs w:val="20"/>
        </w:rPr>
        <w:t xml:space="preserve"> </w:t>
      </w:r>
      <w:r w:rsidR="000949CD" w:rsidRPr="00446D50">
        <w:rPr>
          <w:rFonts w:ascii="Arial" w:hAnsi="Arial" w:cs="Arial"/>
          <w:b/>
          <w:bCs/>
          <w:color w:val="5B9BD5" w:themeColor="accent5"/>
          <w:sz w:val="20"/>
          <w:szCs w:val="20"/>
        </w:rPr>
        <w:t>B</w:t>
      </w:r>
      <w:r w:rsidR="000949CD" w:rsidRPr="00446D50">
        <w:rPr>
          <w:rFonts w:ascii="Arial" w:hAnsi="Arial" w:cs="Arial"/>
          <w:sz w:val="20"/>
          <w:szCs w:val="20"/>
        </w:rPr>
        <w:t xml:space="preserve"> = </w:t>
      </w:r>
      <w:r w:rsidR="000949CD">
        <w:rPr>
          <w:rFonts w:ascii="Arial" w:hAnsi="Arial" w:cs="Arial"/>
          <w:sz w:val="20"/>
          <w:szCs w:val="20"/>
        </w:rPr>
        <w:t xml:space="preserve">Good </w:t>
      </w:r>
      <w:r w:rsidR="000949CD" w:rsidRPr="00446D50">
        <w:rPr>
          <w:rFonts w:ascii="Arial" w:hAnsi="Arial" w:cs="Arial"/>
          <w:noProof/>
          <w:sz w:val="20"/>
          <w:szCs w:val="20"/>
        </w:rPr>
        <w:t xml:space="preserve">                 </w:t>
      </w:r>
      <w:r w:rsidR="000949CD" w:rsidRPr="00446D50">
        <w:rPr>
          <w:rFonts w:ascii="Arial" w:hAnsi="Arial" w:cs="Arial"/>
          <w:b/>
          <w:bCs/>
          <w:noProof/>
          <w:color w:val="FF0000"/>
          <w:sz w:val="20"/>
          <w:szCs w:val="20"/>
        </w:rPr>
        <w:t>R</w:t>
      </w:r>
      <w:r w:rsidR="000949CD" w:rsidRPr="00446D50">
        <w:rPr>
          <w:rFonts w:ascii="Arial" w:hAnsi="Arial" w:cs="Arial"/>
          <w:noProof/>
          <w:sz w:val="20"/>
          <w:szCs w:val="20"/>
        </w:rPr>
        <w:t xml:space="preserve"> = Poor</w:t>
      </w:r>
    </w:p>
    <w:tbl>
      <w:tblPr>
        <w:tblStyle w:val="TableGridLight"/>
        <w:tblpPr w:leftFromText="180" w:rightFromText="180" w:vertAnchor="text" w:horzAnchor="margin" w:tblpXSpec="center" w:tblpY="709"/>
        <w:tblW w:w="11605" w:type="dxa"/>
        <w:tblLayout w:type="fixed"/>
        <w:tblLook w:val="04A0" w:firstRow="1" w:lastRow="0" w:firstColumn="1" w:lastColumn="0" w:noHBand="0" w:noVBand="1"/>
      </w:tblPr>
      <w:tblGrid>
        <w:gridCol w:w="3415"/>
        <w:gridCol w:w="540"/>
        <w:gridCol w:w="540"/>
        <w:gridCol w:w="450"/>
        <w:gridCol w:w="450"/>
        <w:gridCol w:w="450"/>
        <w:gridCol w:w="450"/>
        <w:gridCol w:w="450"/>
        <w:gridCol w:w="450"/>
        <w:gridCol w:w="720"/>
        <w:gridCol w:w="450"/>
        <w:gridCol w:w="450"/>
        <w:gridCol w:w="540"/>
        <w:gridCol w:w="450"/>
        <w:gridCol w:w="450"/>
        <w:gridCol w:w="450"/>
        <w:gridCol w:w="450"/>
        <w:gridCol w:w="450"/>
      </w:tblGrid>
      <w:tr w:rsidR="00341863" w:rsidRPr="00446D50" w14:paraId="0896DD5B" w14:textId="77777777" w:rsidTr="0001741A">
        <w:trPr>
          <w:trHeight w:val="890"/>
        </w:trPr>
        <w:tc>
          <w:tcPr>
            <w:tcW w:w="3415" w:type="dxa"/>
          </w:tcPr>
          <w:p w14:paraId="74742A3E" w14:textId="1C4A6C72" w:rsidR="00341863" w:rsidRPr="00446D50" w:rsidRDefault="00341863" w:rsidP="0001741A">
            <w:pPr>
              <w:spacing w:line="360" w:lineRule="auto"/>
              <w:jc w:val="center"/>
              <w:rPr>
                <w:rFonts w:ascii="Arial" w:hAnsi="Arial" w:cs="Arial"/>
                <w:b/>
                <w:bCs/>
                <w:color w:val="2A2A2A"/>
                <w:sz w:val="20"/>
                <w:szCs w:val="20"/>
                <w:shd w:val="clear" w:color="auto" w:fill="FFFFFF"/>
              </w:rPr>
            </w:pPr>
            <w:bookmarkStart w:id="4" w:name="_Hlk178245394"/>
            <w:bookmarkStart w:id="5" w:name="_Hlk177335291"/>
          </w:p>
          <w:p w14:paraId="27857127" w14:textId="7F311E24"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Ligands</w:t>
            </w:r>
          </w:p>
        </w:tc>
        <w:tc>
          <w:tcPr>
            <w:tcW w:w="1530" w:type="dxa"/>
            <w:gridSpan w:val="3"/>
          </w:tcPr>
          <w:p w14:paraId="12260506" w14:textId="75DE80DB" w:rsidR="00341863" w:rsidRDefault="00341863" w:rsidP="00E90FB9">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Absorption</w:t>
            </w:r>
          </w:p>
          <w:p w14:paraId="579B6A81" w14:textId="592011D9" w:rsidR="00341863" w:rsidRPr="00446D50" w:rsidRDefault="00341863" w:rsidP="0001741A">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and</w:t>
            </w:r>
          </w:p>
          <w:p w14:paraId="0051C0F7" w14:textId="6B1572F1" w:rsidR="00341863" w:rsidRPr="00446D50" w:rsidRDefault="00341863" w:rsidP="0001741A">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Distribution</w:t>
            </w:r>
          </w:p>
        </w:tc>
        <w:tc>
          <w:tcPr>
            <w:tcW w:w="2250" w:type="dxa"/>
            <w:gridSpan w:val="5"/>
          </w:tcPr>
          <w:p w14:paraId="5B647EFF" w14:textId="3B654D8C" w:rsidR="00341863" w:rsidRPr="00446D50" w:rsidRDefault="00341863" w:rsidP="0001741A">
            <w:pPr>
              <w:spacing w:line="360" w:lineRule="auto"/>
              <w:jc w:val="center"/>
              <w:rPr>
                <w:rFonts w:ascii="Arial" w:hAnsi="Arial" w:cs="Arial"/>
                <w:b/>
                <w:bCs/>
                <w:color w:val="2A2A2A"/>
                <w:sz w:val="20"/>
                <w:szCs w:val="20"/>
                <w:shd w:val="clear" w:color="auto" w:fill="FFFFFF"/>
              </w:rPr>
            </w:pPr>
          </w:p>
          <w:p w14:paraId="3968F07A" w14:textId="66BF8771"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Metabolism</w:t>
            </w:r>
          </w:p>
        </w:tc>
        <w:tc>
          <w:tcPr>
            <w:tcW w:w="4410" w:type="dxa"/>
            <w:gridSpan w:val="9"/>
          </w:tcPr>
          <w:p w14:paraId="09DE5982" w14:textId="77777777" w:rsidR="00341863" w:rsidRPr="00446D50" w:rsidRDefault="00341863" w:rsidP="0001741A">
            <w:pPr>
              <w:spacing w:line="360" w:lineRule="auto"/>
              <w:jc w:val="center"/>
              <w:rPr>
                <w:rFonts w:ascii="Arial" w:hAnsi="Arial" w:cs="Arial"/>
                <w:b/>
                <w:bCs/>
                <w:color w:val="2A2A2A"/>
                <w:sz w:val="20"/>
                <w:szCs w:val="20"/>
                <w:shd w:val="clear" w:color="auto" w:fill="FFFFFF"/>
              </w:rPr>
            </w:pPr>
          </w:p>
          <w:p w14:paraId="321C73E5" w14:textId="77777777"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Excretion and Toxicity</w:t>
            </w:r>
          </w:p>
        </w:tc>
      </w:tr>
      <w:tr w:rsidR="00341863" w:rsidRPr="00446D50" w14:paraId="4363C4FA" w14:textId="77777777" w:rsidTr="0001741A">
        <w:trPr>
          <w:trHeight w:val="3137"/>
        </w:trPr>
        <w:tc>
          <w:tcPr>
            <w:tcW w:w="3415" w:type="dxa"/>
            <w:textDirection w:val="btLr"/>
          </w:tcPr>
          <w:p w14:paraId="1EB69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D165355" w14:textId="567AE487" w:rsidR="00341863" w:rsidRDefault="00341863" w:rsidP="0001741A">
            <w:pPr>
              <w:spacing w:line="360" w:lineRule="auto"/>
              <w:ind w:left="113" w:right="113"/>
              <w:jc w:val="center"/>
              <w:rPr>
                <w:rFonts w:ascii="Arial" w:hAnsi="Arial" w:cs="Arial"/>
                <w:b/>
                <w:bCs/>
                <w:color w:val="2A2A2A"/>
                <w:sz w:val="20"/>
                <w:szCs w:val="20"/>
                <w:shd w:val="clear" w:color="auto" w:fill="FFFFFF"/>
              </w:rPr>
            </w:pPr>
          </w:p>
          <w:p w14:paraId="3C87BDCB" w14:textId="77777777" w:rsidR="00341863" w:rsidRDefault="00341863" w:rsidP="0001741A">
            <w:pPr>
              <w:spacing w:line="360" w:lineRule="auto"/>
              <w:ind w:left="113" w:right="113"/>
              <w:jc w:val="center"/>
              <w:rPr>
                <w:rFonts w:ascii="Arial" w:hAnsi="Arial" w:cs="Arial"/>
                <w:b/>
                <w:bCs/>
                <w:color w:val="2A2A2A"/>
                <w:sz w:val="20"/>
                <w:szCs w:val="20"/>
                <w:shd w:val="clear" w:color="auto" w:fill="FFFFFF"/>
              </w:rPr>
            </w:pPr>
          </w:p>
          <w:p w14:paraId="3E88ED63" w14:textId="2D45D7DE"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Compound</w:t>
            </w:r>
          </w:p>
          <w:p w14:paraId="2607C43C" w14:textId="741082AE"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Identifier</w:t>
            </w:r>
          </w:p>
        </w:tc>
        <w:tc>
          <w:tcPr>
            <w:tcW w:w="540" w:type="dxa"/>
            <w:textDirection w:val="btLr"/>
          </w:tcPr>
          <w:p w14:paraId="130000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Caco2 permeability</w:t>
            </w:r>
          </w:p>
        </w:tc>
        <w:tc>
          <w:tcPr>
            <w:tcW w:w="540" w:type="dxa"/>
            <w:textDirection w:val="btLr"/>
          </w:tcPr>
          <w:p w14:paraId="021C114A" w14:textId="268D69D2"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Human Intestinal absorption</w:t>
            </w:r>
          </w:p>
        </w:tc>
        <w:tc>
          <w:tcPr>
            <w:tcW w:w="450" w:type="dxa"/>
            <w:textDirection w:val="btLr"/>
          </w:tcPr>
          <w:p w14:paraId="09CFFB42" w14:textId="61B4D508"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 xml:space="preserve">P-glycoprotein </w:t>
            </w:r>
            <w:r>
              <w:rPr>
                <w:rFonts w:ascii="Arial" w:hAnsi="Arial" w:cs="Arial"/>
                <w:b/>
                <w:bCs/>
                <w:color w:val="2A2A2A"/>
                <w:sz w:val="20"/>
                <w:szCs w:val="20"/>
                <w:shd w:val="clear" w:color="auto" w:fill="FFFFFF"/>
              </w:rPr>
              <w:t>I</w:t>
            </w:r>
            <w:r w:rsidRPr="00446D50">
              <w:rPr>
                <w:rFonts w:ascii="Arial" w:hAnsi="Arial" w:cs="Arial"/>
                <w:b/>
                <w:bCs/>
                <w:color w:val="2A2A2A"/>
                <w:sz w:val="20"/>
                <w:szCs w:val="20"/>
                <w:shd w:val="clear" w:color="auto" w:fill="FFFFFF"/>
              </w:rPr>
              <w:t>nhibitor</w:t>
            </w:r>
          </w:p>
        </w:tc>
        <w:tc>
          <w:tcPr>
            <w:tcW w:w="450" w:type="dxa"/>
            <w:textDirection w:val="btLr"/>
          </w:tcPr>
          <w:p w14:paraId="0AE6CF60" w14:textId="64844C16"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CYP2D6</w:t>
            </w:r>
          </w:p>
        </w:tc>
        <w:tc>
          <w:tcPr>
            <w:tcW w:w="450" w:type="dxa"/>
            <w:textDirection w:val="btLr"/>
          </w:tcPr>
          <w:p w14:paraId="53AE49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CYP3A4</w:t>
            </w:r>
          </w:p>
        </w:tc>
        <w:tc>
          <w:tcPr>
            <w:tcW w:w="450" w:type="dxa"/>
            <w:textDirection w:val="btLr"/>
          </w:tcPr>
          <w:p w14:paraId="604357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CYP1A2</w:t>
            </w:r>
          </w:p>
        </w:tc>
        <w:tc>
          <w:tcPr>
            <w:tcW w:w="450" w:type="dxa"/>
            <w:textDirection w:val="btLr"/>
          </w:tcPr>
          <w:p w14:paraId="12773334" w14:textId="363C67C4"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CYP2C19</w:t>
            </w:r>
          </w:p>
          <w:p w14:paraId="01F41C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F6F0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82F9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B9AC1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0B93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592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32EE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F287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3685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B900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5499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9262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DB8F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2C01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3EDB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A06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3864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6CAC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19CC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B9BC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6F137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4980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E060B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EB37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BF0BC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342F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2183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C76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6F9A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914C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7BC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4B30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8D55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239C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323B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153D2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D731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8252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ABE9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18AF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0728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AB72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65CA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0E617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BD2B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3ACC9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C7260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09BE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EB2D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32CB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C37C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98BCE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9426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85117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FC2A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00A8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4CD21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23F6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BDE1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6F2C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168B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E2CA4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7790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EB0A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FC812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F338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BBA7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8155E2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C995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7249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7A7D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372F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19B8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B78BD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DA1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B64E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F17AA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FC22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CFF8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6FB6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B182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E4D9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6D585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E1C6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80B4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97F9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57B6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122A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F8EA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453B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066F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0116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D340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4F43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CAF0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73AF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18C1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B458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A5125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BCC0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20EB5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F17E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8A79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68CA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3D3A0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E872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8F45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7480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7E9B2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122C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4829E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7C93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2BF2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EFBB9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FCAF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D28B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4690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2227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5767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27273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17934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7952F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70E7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7E8EA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32389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1AF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B84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14CF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B74CA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7D37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C06B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EED3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2C8D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47171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4D3E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6A0F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D7B7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AD8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C954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C5DF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27E4B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7EE6A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634C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85BD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B428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74F8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8020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7189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6AEFD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453C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1D461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15CC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4E3C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6CC7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218AF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DE32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3D84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076C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0E8E7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08EB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41C22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C195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9E9D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0FA7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9BD1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BBFA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91B4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B779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A9E53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3CC59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835B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6CEA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6A38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087B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6C192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0E4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3347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515C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531A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2EC7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B3D3D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D3F3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6CE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99B1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841BC0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D6EF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BEFD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2290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19E3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45662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6C93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636B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17F5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28DD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B675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C3A7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0439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1E5F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4686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91FB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7BF8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0430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D302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1494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980A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CE714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DC687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A075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CB41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A80E3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355A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ECEF0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9A2E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F845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9EFD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6CE2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452E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27431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45E4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5FF5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6AB3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87BFC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9619A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62F7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AF1B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B19E8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1B88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4E4A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87C0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F4C6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61E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86B8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5CAB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395D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BD390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4184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77B8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E8AC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6B5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E3CB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FBC1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4424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49C4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FBE7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F5C8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0C442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9E81A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DFB69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6C5BB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06DF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BD27A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A642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3FC7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DB4B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FD93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1FCA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AC4C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1068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B89DE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36EA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DB58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E97FA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D29D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DE14D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D16D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6347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4990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30245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EF2C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90864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7BAD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C590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5080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6851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FCC0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603F2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63E79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B7F0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A0D8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AFF4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33DB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8A62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FB5F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9165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FC5F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F77A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2573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C9EE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C6A67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ECA4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7865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E1DC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E4DD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2148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E153F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5F68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4819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08C9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17E1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4442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A5B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3434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DB4F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8845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EA479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C9A40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A68C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26973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9317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F400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C755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14F16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7D3D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B21B1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C5ED6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1CD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B315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5D67B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5F9A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A62A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B7B1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2B1E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3D98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0C45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D779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6362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A5A8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FFC9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EDB8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D4B0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72E5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EB81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D7B5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6956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32C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53B0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B36DB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85B2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1992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08A4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9233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CA85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6407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7654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8AF1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67EA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A959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E8E3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7CCB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A5FC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D4E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B707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9CB7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2D00C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83F0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9BB0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DC8E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53FF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8FB8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B011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A763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9C306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FA4A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160F5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586D5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6703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0723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E70E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503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F776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82D8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F96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2F5DA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281B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C006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C46EB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D7ABB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E321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782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C7D1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CDBD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E8E5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B27C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50690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D950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03C2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37B6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6E8C0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FEE9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5637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9C44A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0381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8C17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7B751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48A3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B4D6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A792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A951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A811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AE58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93EA0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86F7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3DC34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E76BA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1A7D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59E7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1266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E3B6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CC23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7271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7AF3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D7C3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6787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CA6B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9C21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CE09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54A7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9E57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A096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B251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E4DF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524E4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9316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DE71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BE53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96284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94BA6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C111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C7AD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4DE1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BF1B5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88C9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9C69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9571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B1D6F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4BAB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0DFF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0627A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2BC6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6243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C05CF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BB89C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A1A8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D896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1E39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8BD7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E517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DBC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CD6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7307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FEF4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FE5D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626F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6D805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E152E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359A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8121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E6D3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5810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82A9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BF02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BEBC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4177B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9AB9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D4771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E917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47BAE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D95D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E4B27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9F7D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A0BA3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1536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E29B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7BF91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0FEA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94E6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50FF7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6420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377D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E93B3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915A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4844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7992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FB35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3CA7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F7A4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7FF9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A04E5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EB85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62DF8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2545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D916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4398E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4CF8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EB33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1BB9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9FF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7C108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931B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9305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46A6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72A7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9D65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40590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A432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44FE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EE331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29DD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2EFE6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E1A1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F263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E0A3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DC43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1E0E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16BB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81DFA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324B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78B9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66E5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801E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1AE4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CD48F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740E2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64FEE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86E3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D3E9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C1AC7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0258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FAB5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1140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DC6C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4753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4E1F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18F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353AA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1887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09162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A4FF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FA6A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D98C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E7B8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A36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BB7C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FA9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FA01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2AE3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7340B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867A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0CFE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83F4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6557A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4B83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F672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A5ED6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90BF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0FE88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59022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B53E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2ACF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58BB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16F1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3075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58F0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EDA64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1214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ABDF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B7C4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0B89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B24A0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CFA09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51F4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0BFC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D9DEB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4147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65B3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AC77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744B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82169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A980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B5E8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AF29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CD6C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BE35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1D2B2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0E19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EA31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86DD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E48C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DE51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F309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D233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FD70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C87B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34E52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473A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AD177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6A7A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F183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5B70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013E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CAA2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D7A0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BA3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32D0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707D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43BB5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6A6F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F0FC1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0409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F8B2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DA09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B4EA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A0DBC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1CD7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7EAB6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8182A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7F09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ABC1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32E7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BEC47F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9228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35DD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7AB63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AC5B7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63E43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BC83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0869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D13C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F92AD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EE5B5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322D0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F585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1D247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0D81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2F52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7E55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B3E8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E2AA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B6F8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5D0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EA8E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6C21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578A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72FD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6C88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BBB25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B68D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4D06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10AE6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00B27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CB46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5919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30C7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5806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FCC9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CB8F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3E34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68AB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09415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094E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21DC8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15114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440D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C149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FE7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A387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84EF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E530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7837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FFA5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75722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BAA4E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93D95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0533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805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3AAC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078D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BD1C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F75B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8EA25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F788A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42315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6C3C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67A4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2767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B9D9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E5CB4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B3CD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D484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F8AE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511D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DBFF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DC6D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526E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B61B4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44C8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DD68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0BEF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E265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6F64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8036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BFB0B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EA68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A5C9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7EE5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370E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307A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D3C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F2CE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DA11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D62D2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8F393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93AD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77E1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254F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712C0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B1DF2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C9DA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D978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E239F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D5B5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B3397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AFAD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9BD3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0DF79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CYP2C19</w:t>
            </w:r>
          </w:p>
        </w:tc>
        <w:tc>
          <w:tcPr>
            <w:tcW w:w="450" w:type="dxa"/>
            <w:textDirection w:val="btLr"/>
          </w:tcPr>
          <w:p w14:paraId="32DF719C" w14:textId="2D488CDC"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CYP2C9</w:t>
            </w:r>
          </w:p>
        </w:tc>
        <w:tc>
          <w:tcPr>
            <w:tcW w:w="720" w:type="dxa"/>
            <w:textDirection w:val="btLr"/>
          </w:tcPr>
          <w:p w14:paraId="411631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Half-life</w:t>
            </w:r>
          </w:p>
        </w:tc>
        <w:tc>
          <w:tcPr>
            <w:tcW w:w="450" w:type="dxa"/>
            <w:textDirection w:val="btLr"/>
          </w:tcPr>
          <w:p w14:paraId="0B80B1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Total Clearance</w:t>
            </w:r>
          </w:p>
        </w:tc>
        <w:tc>
          <w:tcPr>
            <w:tcW w:w="450" w:type="dxa"/>
            <w:textDirection w:val="btLr"/>
          </w:tcPr>
          <w:p w14:paraId="63229D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Nephrotoxicity</w:t>
            </w:r>
          </w:p>
        </w:tc>
        <w:tc>
          <w:tcPr>
            <w:tcW w:w="540" w:type="dxa"/>
            <w:textDirection w:val="btLr"/>
          </w:tcPr>
          <w:p w14:paraId="421066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Acute oral toxicity</w:t>
            </w:r>
          </w:p>
        </w:tc>
        <w:tc>
          <w:tcPr>
            <w:tcW w:w="450" w:type="dxa"/>
            <w:textDirection w:val="btLr"/>
          </w:tcPr>
          <w:p w14:paraId="0A37718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AMES toxicity</w:t>
            </w:r>
          </w:p>
        </w:tc>
        <w:tc>
          <w:tcPr>
            <w:tcW w:w="450" w:type="dxa"/>
            <w:textDirection w:val="btLr"/>
          </w:tcPr>
          <w:p w14:paraId="0C0BAF9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Carcinogenicity</w:t>
            </w:r>
          </w:p>
        </w:tc>
        <w:tc>
          <w:tcPr>
            <w:tcW w:w="450" w:type="dxa"/>
            <w:textDirection w:val="btLr"/>
          </w:tcPr>
          <w:p w14:paraId="375B58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HERG inhibitor</w:t>
            </w:r>
          </w:p>
        </w:tc>
        <w:tc>
          <w:tcPr>
            <w:tcW w:w="450" w:type="dxa"/>
            <w:textDirection w:val="btLr"/>
          </w:tcPr>
          <w:p w14:paraId="465430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Hepatoxicity</w:t>
            </w:r>
          </w:p>
        </w:tc>
        <w:tc>
          <w:tcPr>
            <w:tcW w:w="450" w:type="dxa"/>
            <w:textDirection w:val="btLr"/>
          </w:tcPr>
          <w:p w14:paraId="26D7E473" w14:textId="6CE2FD30" w:rsidR="00341863" w:rsidRPr="00446D50" w:rsidRDefault="00E90FB9"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Hema toxicity</w:t>
            </w:r>
          </w:p>
        </w:tc>
      </w:tr>
      <w:tr w:rsidR="00341863" w:rsidRPr="00446D50" w14:paraId="357FAB4D" w14:textId="77777777" w:rsidTr="0001741A">
        <w:trPr>
          <w:trHeight w:val="470"/>
        </w:trPr>
        <w:tc>
          <w:tcPr>
            <w:tcW w:w="3415" w:type="dxa"/>
          </w:tcPr>
          <w:p w14:paraId="6588834F" w14:textId="6E05D672" w:rsidR="00341863" w:rsidRPr="00446D50" w:rsidRDefault="00341863" w:rsidP="0001741A">
            <w:pPr>
              <w:jc w:val="center"/>
              <w:rPr>
                <w:rFonts w:ascii="Arial" w:hAnsi="Arial" w:cs="Arial"/>
                <w:bCs/>
                <w:sz w:val="20"/>
                <w:szCs w:val="20"/>
              </w:rPr>
            </w:pPr>
            <w:r w:rsidRPr="00446D50">
              <w:rPr>
                <w:rFonts w:ascii="Arial" w:hAnsi="Arial" w:cs="Arial"/>
                <w:bCs/>
                <w:sz w:val="20"/>
                <w:szCs w:val="20"/>
              </w:rPr>
              <w:t>Oxythiamine</w:t>
            </w:r>
          </w:p>
          <w:p w14:paraId="41225B65" w14:textId="7FF85A41" w:rsidR="00341863" w:rsidRPr="00446D50" w:rsidRDefault="00341863" w:rsidP="0001741A">
            <w:pPr>
              <w:jc w:val="center"/>
              <w:rPr>
                <w:rFonts w:ascii="Arial" w:hAnsi="Arial" w:cs="Arial"/>
                <w:bCs/>
                <w:sz w:val="20"/>
                <w:szCs w:val="20"/>
              </w:rPr>
            </w:pPr>
            <w:r w:rsidRPr="00446D50">
              <w:rPr>
                <w:rFonts w:ascii="Arial" w:hAnsi="Arial" w:cs="Arial"/>
                <w:bCs/>
                <w:sz w:val="20"/>
                <w:szCs w:val="20"/>
              </w:rPr>
              <w:t>(</w:t>
            </w:r>
            <w:r>
              <w:rPr>
                <w:rFonts w:ascii="Arial" w:hAnsi="Arial" w:cs="Arial"/>
                <w:bCs/>
                <w:sz w:val="20"/>
                <w:szCs w:val="20"/>
              </w:rPr>
              <w:t>Reference</w:t>
            </w:r>
            <w:r w:rsidRPr="00446D50">
              <w:rPr>
                <w:rFonts w:ascii="Arial" w:hAnsi="Arial" w:cs="Arial"/>
                <w:bCs/>
                <w:sz w:val="20"/>
                <w:szCs w:val="20"/>
              </w:rPr>
              <w:t xml:space="preserve"> Drug)</w:t>
            </w:r>
          </w:p>
        </w:tc>
        <w:tc>
          <w:tcPr>
            <w:tcW w:w="540" w:type="dxa"/>
          </w:tcPr>
          <w:p w14:paraId="5E190888" w14:textId="28E78262"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FF0000"/>
                <w:sz w:val="20"/>
                <w:szCs w:val="20"/>
                <w:shd w:val="clear" w:color="auto" w:fill="FFFFFF"/>
              </w:rPr>
              <w:t>R</w:t>
            </w:r>
          </w:p>
        </w:tc>
        <w:tc>
          <w:tcPr>
            <w:tcW w:w="540" w:type="dxa"/>
          </w:tcPr>
          <w:p w14:paraId="01693741" w14:textId="77777777" w:rsidR="00341863" w:rsidRPr="00446D50" w:rsidRDefault="00341863" w:rsidP="0001741A">
            <w:pPr>
              <w:spacing w:line="360" w:lineRule="auto"/>
              <w:jc w:val="center"/>
              <w:rPr>
                <w:rFonts w:ascii="Arial" w:hAnsi="Arial" w:cs="Arial"/>
                <w:bCs/>
                <w:color w:val="FFFFFF" w:themeColor="background1"/>
                <w:sz w:val="20"/>
                <w:szCs w:val="20"/>
                <w:highlight w:val="green"/>
                <w:shd w:val="clear" w:color="auto" w:fill="FFFFFF"/>
              </w:rPr>
            </w:pPr>
            <w:r w:rsidRPr="00446D50">
              <w:rPr>
                <w:rFonts w:ascii="Arial" w:hAnsi="Arial" w:cs="Arial"/>
                <w:bCs/>
                <w:color w:val="FF0000"/>
                <w:sz w:val="20"/>
                <w:szCs w:val="20"/>
                <w:shd w:val="clear" w:color="auto" w:fill="FFFFFF"/>
              </w:rPr>
              <w:t>R</w:t>
            </w:r>
          </w:p>
        </w:tc>
        <w:tc>
          <w:tcPr>
            <w:tcW w:w="450" w:type="dxa"/>
          </w:tcPr>
          <w:p w14:paraId="3C797707"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AD82D26" w14:textId="77777777" w:rsidR="00341863" w:rsidRPr="00446D50" w:rsidRDefault="00341863" w:rsidP="0001741A">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248D56E" w14:textId="77777777" w:rsidR="00341863" w:rsidRPr="00446D50" w:rsidRDefault="00341863" w:rsidP="0001741A">
            <w:pPr>
              <w:spacing w:line="360" w:lineRule="auto"/>
              <w:jc w:val="center"/>
              <w:rPr>
                <w:rFonts w:ascii="Arial" w:hAnsi="Arial" w:cs="Arial"/>
                <w:bCs/>
                <w:color w:val="FFFF0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F30D9DD" w14:textId="77777777" w:rsidR="00341863" w:rsidRPr="00446D50" w:rsidRDefault="00341863" w:rsidP="0001741A">
            <w:pPr>
              <w:spacing w:line="360" w:lineRule="auto"/>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4022EBB2" w14:textId="18E699F4"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6B8E19C" w14:textId="77777777" w:rsidR="00341863" w:rsidRPr="00446D50" w:rsidRDefault="00341863" w:rsidP="0001741A">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720" w:type="dxa"/>
          </w:tcPr>
          <w:p w14:paraId="4DB3DE42"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0.894</w:t>
            </w:r>
          </w:p>
        </w:tc>
        <w:tc>
          <w:tcPr>
            <w:tcW w:w="450" w:type="dxa"/>
          </w:tcPr>
          <w:p w14:paraId="086279D9"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44E93493"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4192D4D4" w14:textId="77777777" w:rsidR="00341863" w:rsidRPr="00446D50" w:rsidRDefault="00341863" w:rsidP="0001741A">
            <w:pPr>
              <w:spacing w:line="360" w:lineRule="auto"/>
              <w:jc w:val="center"/>
              <w:rPr>
                <w:rFonts w:ascii="Arial" w:hAnsi="Arial" w:cs="Arial"/>
                <w:bCs/>
                <w:color w:val="4472C4" w:themeColor="accent1"/>
                <w:sz w:val="20"/>
                <w:szCs w:val="20"/>
                <w:shd w:val="clear" w:color="auto" w:fill="FFFFFF"/>
              </w:rPr>
            </w:pPr>
            <w:r w:rsidRPr="00446D50">
              <w:rPr>
                <w:rFonts w:ascii="Arial" w:hAnsi="Arial" w:cs="Arial"/>
                <w:bCs/>
                <w:color w:val="FF0000"/>
                <w:sz w:val="20"/>
                <w:szCs w:val="20"/>
                <w:shd w:val="clear" w:color="auto" w:fill="FFFFFF"/>
              </w:rPr>
              <w:t>R</w:t>
            </w:r>
          </w:p>
        </w:tc>
        <w:tc>
          <w:tcPr>
            <w:tcW w:w="450" w:type="dxa"/>
          </w:tcPr>
          <w:p w14:paraId="38FB924C" w14:textId="77777777" w:rsidR="00341863" w:rsidRPr="00446D50" w:rsidRDefault="00341863" w:rsidP="0001741A">
            <w:pPr>
              <w:spacing w:line="360" w:lineRule="auto"/>
              <w:jc w:val="center"/>
              <w:rPr>
                <w:rFonts w:ascii="Arial" w:hAnsi="Arial" w:cs="Arial"/>
                <w:bCs/>
                <w:color w:val="2A2A2A"/>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62839D0" w14:textId="77777777" w:rsidR="00341863" w:rsidRPr="00446D50" w:rsidRDefault="00341863" w:rsidP="0001741A">
            <w:pPr>
              <w:spacing w:line="360" w:lineRule="auto"/>
              <w:jc w:val="center"/>
              <w:rPr>
                <w:rFonts w:ascii="Arial" w:hAnsi="Arial" w:cs="Arial"/>
                <w:bCs/>
                <w:color w:val="92D050"/>
                <w:sz w:val="20"/>
                <w:szCs w:val="20"/>
                <w:shd w:val="clear" w:color="auto" w:fill="FFFFFF"/>
              </w:rPr>
            </w:pPr>
            <w:r w:rsidRPr="00446D50">
              <w:rPr>
                <w:rFonts w:ascii="Arial" w:hAnsi="Arial" w:cs="Arial"/>
                <w:bCs/>
                <w:color w:val="FF0000"/>
                <w:sz w:val="20"/>
                <w:szCs w:val="20"/>
                <w:shd w:val="clear" w:color="auto" w:fill="FFFFFF"/>
              </w:rPr>
              <w:t>R</w:t>
            </w:r>
          </w:p>
        </w:tc>
        <w:tc>
          <w:tcPr>
            <w:tcW w:w="450" w:type="dxa"/>
          </w:tcPr>
          <w:p w14:paraId="703EAFFC"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FF24511"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C507404"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r>
      <w:bookmarkEnd w:id="4"/>
      <w:tr w:rsidR="00341863" w:rsidRPr="00446D50" w14:paraId="534C1E04" w14:textId="77777777" w:rsidTr="0001741A">
        <w:trPr>
          <w:trHeight w:val="545"/>
        </w:trPr>
        <w:tc>
          <w:tcPr>
            <w:tcW w:w="3415" w:type="dxa"/>
          </w:tcPr>
          <w:p w14:paraId="7DDB6789" w14:textId="3B1F09C0" w:rsidR="00341863" w:rsidRPr="00446D50" w:rsidRDefault="00341863" w:rsidP="00341863">
            <w:pPr>
              <w:jc w:val="center"/>
              <w:rPr>
                <w:rFonts w:ascii="Arial" w:hAnsi="Arial" w:cs="Arial"/>
                <w:bCs/>
                <w:sz w:val="20"/>
                <w:szCs w:val="20"/>
              </w:rPr>
            </w:pPr>
            <w:r w:rsidRPr="00446D50">
              <w:rPr>
                <w:rFonts w:ascii="Arial" w:hAnsi="Arial" w:cs="Arial"/>
                <w:bCs/>
                <w:sz w:val="20"/>
                <w:szCs w:val="20"/>
              </w:rPr>
              <w:t>(E)-2-((3-hydroxybenzylidene)amino)-6-phenylpyrimidin-4(1H)-one</w:t>
            </w:r>
          </w:p>
        </w:tc>
        <w:tc>
          <w:tcPr>
            <w:tcW w:w="540" w:type="dxa"/>
          </w:tcPr>
          <w:p w14:paraId="651FE64F" w14:textId="323A8AEE"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13D3422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A9CFF99"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40663F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4364E07"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25C4514" w14:textId="7738B5C1"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8D2BE45"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7DA4B2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1C81511D"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1.031</w:t>
            </w:r>
          </w:p>
        </w:tc>
        <w:tc>
          <w:tcPr>
            <w:tcW w:w="450" w:type="dxa"/>
          </w:tcPr>
          <w:p w14:paraId="28117F6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2508EC5" w14:textId="2D87DBDD" w:rsidR="00341863" w:rsidRPr="00446D50" w:rsidRDefault="00341863" w:rsidP="00341863">
            <w:pPr>
              <w:jc w:val="center"/>
              <w:rPr>
                <w:rFonts w:ascii="Arial" w:hAnsi="Arial" w:cs="Arial"/>
                <w:bCs/>
                <w:sz w:val="20"/>
                <w:szCs w:val="20"/>
              </w:rPr>
            </w:pPr>
            <w:r w:rsidRPr="007651AC">
              <w:rPr>
                <w:rFonts w:ascii="Arial" w:hAnsi="Arial" w:cs="Arial"/>
                <w:bCs/>
                <w:color w:val="92D050"/>
                <w:sz w:val="20"/>
                <w:szCs w:val="20"/>
                <w:shd w:val="clear" w:color="auto" w:fill="FFFFFF"/>
              </w:rPr>
              <w:t>G</w:t>
            </w:r>
          </w:p>
        </w:tc>
        <w:tc>
          <w:tcPr>
            <w:tcW w:w="540" w:type="dxa"/>
          </w:tcPr>
          <w:p w14:paraId="2781EFF0" w14:textId="77777777" w:rsidR="00341863" w:rsidRPr="00446D50" w:rsidRDefault="00341863" w:rsidP="00341863">
            <w:pPr>
              <w:spacing w:line="360" w:lineRule="auto"/>
              <w:jc w:val="center"/>
              <w:rPr>
                <w:rFonts w:ascii="Arial" w:hAnsi="Arial" w:cs="Arial"/>
                <w:bCs/>
                <w:color w:val="FFFF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3EDE91E5" w14:textId="77777777" w:rsidR="00341863" w:rsidRPr="00446D50" w:rsidRDefault="00341863" w:rsidP="00341863">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B8FD182" w14:textId="1B79DB8A" w:rsidR="00341863" w:rsidRPr="00446D50" w:rsidRDefault="00341863" w:rsidP="00341863">
            <w:pPr>
              <w:spacing w:line="360" w:lineRule="auto"/>
              <w:jc w:val="center"/>
              <w:rPr>
                <w:rFonts w:ascii="Arial" w:hAnsi="Arial" w:cs="Arial"/>
                <w:bCs/>
                <w:color w:val="FFFF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576567D4" w14:textId="5D166BCF"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684D16BD" w14:textId="4B5B995B"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706E51FC" w14:textId="1BCD52D4"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r>
      <w:tr w:rsidR="00341863" w:rsidRPr="00446D50" w14:paraId="1FA01D55" w14:textId="77777777" w:rsidTr="0001741A">
        <w:trPr>
          <w:trHeight w:val="545"/>
        </w:trPr>
        <w:tc>
          <w:tcPr>
            <w:tcW w:w="3415" w:type="dxa"/>
          </w:tcPr>
          <w:p w14:paraId="2A2867D4" w14:textId="6B11EF98" w:rsidR="00341863" w:rsidRPr="00446D50" w:rsidRDefault="00341863" w:rsidP="00341863">
            <w:pPr>
              <w:jc w:val="center"/>
              <w:rPr>
                <w:rFonts w:ascii="Arial" w:hAnsi="Arial" w:cs="Arial"/>
                <w:bCs/>
                <w:sz w:val="20"/>
                <w:szCs w:val="20"/>
              </w:rPr>
            </w:pPr>
            <w:r w:rsidRPr="00446D50">
              <w:rPr>
                <w:rFonts w:ascii="Arial" w:hAnsi="Arial" w:cs="Arial"/>
                <w:bCs/>
                <w:sz w:val="20"/>
                <w:szCs w:val="20"/>
              </w:rPr>
              <w:t>(E)-2-((3,4-dimethoxybenzylidene)amino)-6-phenylpyrimidin-4(1H)-one</w:t>
            </w:r>
          </w:p>
        </w:tc>
        <w:tc>
          <w:tcPr>
            <w:tcW w:w="540" w:type="dxa"/>
          </w:tcPr>
          <w:p w14:paraId="6B240AD4" w14:textId="24D63CF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60C0468C"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B5F597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3F8776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E08D12F"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34D9EBE" w14:textId="6AC21221"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3CF880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BA19C47"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61F541AF"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0.782</w:t>
            </w:r>
          </w:p>
        </w:tc>
        <w:tc>
          <w:tcPr>
            <w:tcW w:w="450" w:type="dxa"/>
          </w:tcPr>
          <w:p w14:paraId="18E5B40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3F379DF9" w14:textId="3A56FD31" w:rsidR="00341863" w:rsidRPr="00446D50" w:rsidRDefault="00341863" w:rsidP="00341863">
            <w:pPr>
              <w:spacing w:line="360" w:lineRule="auto"/>
              <w:jc w:val="center"/>
              <w:rPr>
                <w:rFonts w:ascii="Arial" w:hAnsi="Arial" w:cs="Arial"/>
                <w:bCs/>
                <w:color w:val="FF0000"/>
                <w:sz w:val="20"/>
                <w:szCs w:val="20"/>
                <w:shd w:val="clear" w:color="auto" w:fill="FFFFFF"/>
              </w:rPr>
            </w:pPr>
            <w:r w:rsidRPr="007651AC">
              <w:rPr>
                <w:rFonts w:ascii="Arial" w:hAnsi="Arial" w:cs="Arial"/>
                <w:bCs/>
                <w:color w:val="92D050"/>
                <w:sz w:val="20"/>
                <w:szCs w:val="20"/>
                <w:shd w:val="clear" w:color="auto" w:fill="FFFFFF"/>
              </w:rPr>
              <w:t>G</w:t>
            </w:r>
          </w:p>
        </w:tc>
        <w:tc>
          <w:tcPr>
            <w:tcW w:w="540" w:type="dxa"/>
          </w:tcPr>
          <w:p w14:paraId="53B42CDA" w14:textId="486EA143" w:rsidR="00341863" w:rsidRPr="00446D50" w:rsidRDefault="00341863" w:rsidP="00341863">
            <w:pPr>
              <w:spacing w:line="360" w:lineRule="auto"/>
              <w:jc w:val="center"/>
              <w:rPr>
                <w:rFonts w:ascii="Arial" w:hAnsi="Arial" w:cs="Arial"/>
                <w:bCs/>
                <w:color w:val="FFFF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42298767" w14:textId="77777777" w:rsidR="00341863" w:rsidRPr="00446D50" w:rsidRDefault="00341863" w:rsidP="00341863">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450" w:type="dxa"/>
          </w:tcPr>
          <w:p w14:paraId="4E3C5CF3" w14:textId="58DE2427"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7CC6AAA5" w14:textId="75389CBC"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6C8D6A02" w14:textId="5230AC15"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0828C87D" w14:textId="2CAE43BF"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r>
      <w:tr w:rsidR="00341863" w:rsidRPr="00446D50" w14:paraId="6246FF22" w14:textId="77777777" w:rsidTr="0001741A">
        <w:trPr>
          <w:trHeight w:val="545"/>
        </w:trPr>
        <w:tc>
          <w:tcPr>
            <w:tcW w:w="3415" w:type="dxa"/>
          </w:tcPr>
          <w:p w14:paraId="5C920903" w14:textId="6B241EEC" w:rsidR="00341863" w:rsidRPr="00446D50" w:rsidRDefault="00341863" w:rsidP="00341863">
            <w:pPr>
              <w:jc w:val="center"/>
              <w:rPr>
                <w:rFonts w:ascii="Arial" w:hAnsi="Arial" w:cs="Arial"/>
                <w:bCs/>
                <w:sz w:val="20"/>
                <w:szCs w:val="20"/>
              </w:rPr>
            </w:pPr>
            <w:r w:rsidRPr="00446D50">
              <w:rPr>
                <w:rFonts w:ascii="Arial" w:hAnsi="Arial" w:cs="Arial"/>
                <w:bCs/>
                <w:sz w:val="20"/>
                <w:szCs w:val="20"/>
              </w:rPr>
              <w:t>(E)-2-((2,4-dihydroxybenzylidene)amino)-6-phenylpyrimidin-4(1H)-one</w:t>
            </w:r>
          </w:p>
        </w:tc>
        <w:tc>
          <w:tcPr>
            <w:tcW w:w="540" w:type="dxa"/>
          </w:tcPr>
          <w:p w14:paraId="6970AEB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22EAF779"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B24ACC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3904531D" w14:textId="390DA23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5F541B2" w14:textId="0D1A3EAE"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CE6326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628E3F4"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9BDBA24"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2E9AE141"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1.086</w:t>
            </w:r>
          </w:p>
        </w:tc>
        <w:tc>
          <w:tcPr>
            <w:tcW w:w="450" w:type="dxa"/>
          </w:tcPr>
          <w:p w14:paraId="06C03CDB"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7EB408E" w14:textId="3E9DFAA4" w:rsidR="00341863" w:rsidRPr="00446D50" w:rsidRDefault="00341863" w:rsidP="00341863">
            <w:pPr>
              <w:spacing w:line="360" w:lineRule="auto"/>
              <w:jc w:val="center"/>
              <w:rPr>
                <w:rFonts w:ascii="Arial" w:hAnsi="Arial" w:cs="Arial"/>
                <w:bCs/>
                <w:color w:val="FF000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37183465" w14:textId="0429858D" w:rsidR="00341863" w:rsidRPr="00446D50" w:rsidRDefault="00341863" w:rsidP="00341863">
            <w:pPr>
              <w:spacing w:line="360" w:lineRule="auto"/>
              <w:jc w:val="center"/>
              <w:rPr>
                <w:rFonts w:ascii="Arial" w:hAnsi="Arial" w:cs="Arial"/>
                <w:bCs/>
                <w:color w:val="FFFF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369ED1FF" w14:textId="77777777" w:rsidR="00341863" w:rsidRPr="00446D50" w:rsidRDefault="00341863" w:rsidP="00341863">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450" w:type="dxa"/>
          </w:tcPr>
          <w:p w14:paraId="05EAEC2C" w14:textId="1CFF8D14" w:rsidR="00341863" w:rsidRPr="00446D50" w:rsidRDefault="00341863" w:rsidP="00341863">
            <w:pPr>
              <w:jc w:val="center"/>
              <w:rPr>
                <w:rFonts w:ascii="Arial" w:hAnsi="Arial" w:cs="Arial"/>
                <w:bCs/>
                <w:sz w:val="20"/>
                <w:szCs w:val="20"/>
              </w:rPr>
            </w:pPr>
            <w:r w:rsidRPr="00C4414D">
              <w:rPr>
                <w:rFonts w:ascii="Arial" w:hAnsi="Arial" w:cs="Arial"/>
                <w:bCs/>
                <w:color w:val="00B0F0"/>
                <w:sz w:val="20"/>
                <w:szCs w:val="20"/>
                <w:shd w:val="clear" w:color="auto" w:fill="FFFFFF"/>
              </w:rPr>
              <w:t>B</w:t>
            </w:r>
          </w:p>
        </w:tc>
        <w:tc>
          <w:tcPr>
            <w:tcW w:w="450" w:type="dxa"/>
          </w:tcPr>
          <w:p w14:paraId="207300DE"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6F516EB" w14:textId="441E96E7"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337D2025" w14:textId="1E4E9A92"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4BA3D161" w14:textId="77777777" w:rsidTr="0001741A">
        <w:trPr>
          <w:trHeight w:val="545"/>
        </w:trPr>
        <w:tc>
          <w:tcPr>
            <w:tcW w:w="3415" w:type="dxa"/>
          </w:tcPr>
          <w:p w14:paraId="58B6B76E" w14:textId="0D6A07C0" w:rsidR="00341863" w:rsidRPr="00446D50" w:rsidRDefault="00341863" w:rsidP="00341863">
            <w:pPr>
              <w:jc w:val="center"/>
              <w:rPr>
                <w:rFonts w:ascii="Arial" w:hAnsi="Arial" w:cs="Arial"/>
                <w:bCs/>
                <w:sz w:val="20"/>
                <w:szCs w:val="20"/>
              </w:rPr>
            </w:pPr>
            <w:r w:rsidRPr="00446D50">
              <w:rPr>
                <w:rFonts w:ascii="Arial" w:hAnsi="Arial" w:cs="Arial"/>
                <w:bCs/>
                <w:sz w:val="20"/>
                <w:szCs w:val="20"/>
              </w:rPr>
              <w:t>(E)-2-((4-dimethylamino)benzylidene)amino)-6-phenylpyrimidin-4(1H)-one</w:t>
            </w:r>
          </w:p>
        </w:tc>
        <w:tc>
          <w:tcPr>
            <w:tcW w:w="540" w:type="dxa"/>
          </w:tcPr>
          <w:p w14:paraId="74A7EF5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6996E561"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5CEA9A5F" w14:textId="3C70C549"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F310A13"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075C5365" w14:textId="3A752BAA"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BF8110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6B1EA0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26BAFBD"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1841AB1F"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1.251</w:t>
            </w:r>
          </w:p>
        </w:tc>
        <w:tc>
          <w:tcPr>
            <w:tcW w:w="450" w:type="dxa"/>
          </w:tcPr>
          <w:p w14:paraId="2A4E865A"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2184E61E" w14:textId="58E32D81"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027CC1F4" w14:textId="1FCB9732"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072951D6"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573527F4" w14:textId="6A0CE6E8" w:rsidR="00341863" w:rsidRPr="00446D50" w:rsidRDefault="00341863" w:rsidP="00341863">
            <w:pPr>
              <w:jc w:val="center"/>
              <w:rPr>
                <w:rFonts w:ascii="Arial" w:hAnsi="Arial" w:cs="Arial"/>
                <w:bCs/>
                <w:color w:val="00B0F0"/>
                <w:sz w:val="20"/>
                <w:szCs w:val="20"/>
                <w:shd w:val="clear" w:color="auto" w:fill="FFFFFF"/>
              </w:rPr>
            </w:pPr>
            <w:r w:rsidRPr="00C4414D">
              <w:rPr>
                <w:rFonts w:ascii="Arial" w:hAnsi="Arial" w:cs="Arial"/>
                <w:bCs/>
                <w:color w:val="00B0F0"/>
                <w:sz w:val="20"/>
                <w:szCs w:val="20"/>
                <w:shd w:val="clear" w:color="auto" w:fill="FFFFFF"/>
              </w:rPr>
              <w:t>B</w:t>
            </w:r>
          </w:p>
        </w:tc>
        <w:tc>
          <w:tcPr>
            <w:tcW w:w="450" w:type="dxa"/>
          </w:tcPr>
          <w:p w14:paraId="2D4AA8BA"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437C41C" w14:textId="01AE86D5"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0A6B262A" w14:textId="55A35E80"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1EEEBBF1" w14:textId="77777777" w:rsidTr="0001741A">
        <w:trPr>
          <w:trHeight w:val="545"/>
        </w:trPr>
        <w:tc>
          <w:tcPr>
            <w:tcW w:w="3415" w:type="dxa"/>
          </w:tcPr>
          <w:p w14:paraId="66A451F3" w14:textId="622D309F" w:rsidR="00341863" w:rsidRPr="00446D50" w:rsidRDefault="00341863" w:rsidP="00341863">
            <w:pPr>
              <w:jc w:val="center"/>
              <w:rPr>
                <w:rFonts w:ascii="Arial" w:hAnsi="Arial" w:cs="Arial"/>
                <w:bCs/>
                <w:sz w:val="20"/>
                <w:szCs w:val="20"/>
              </w:rPr>
            </w:pPr>
            <w:r w:rsidRPr="00446D50">
              <w:rPr>
                <w:rFonts w:ascii="Arial" w:hAnsi="Arial" w:cs="Arial"/>
                <w:bCs/>
                <w:sz w:val="20"/>
                <w:szCs w:val="20"/>
              </w:rPr>
              <w:t>(E)-2-((4-methoxybenzylidene)amino)-6-phenylpyrimidin-4(1H)-one</w:t>
            </w:r>
          </w:p>
        </w:tc>
        <w:tc>
          <w:tcPr>
            <w:tcW w:w="540" w:type="dxa"/>
          </w:tcPr>
          <w:p w14:paraId="48E8BDB4"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23C287D8"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8E2410F" w14:textId="3A012C60"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AE6C341" w14:textId="7BE27DBC"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1DD502F" w14:textId="5C84E2BD"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4259DE0F"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0CA8CE21"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42F871F3"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5038465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0.878</w:t>
            </w:r>
          </w:p>
        </w:tc>
        <w:tc>
          <w:tcPr>
            <w:tcW w:w="450" w:type="dxa"/>
          </w:tcPr>
          <w:p w14:paraId="19EED032"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9B5D32B" w14:textId="561AE9D5"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4F7323FD" w14:textId="63BEAB94"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0F38750F"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03EF7341" w14:textId="71478CDA" w:rsidR="00341863" w:rsidRPr="00446D50" w:rsidRDefault="00341863" w:rsidP="00341863">
            <w:pPr>
              <w:jc w:val="center"/>
              <w:rPr>
                <w:rFonts w:ascii="Arial" w:hAnsi="Arial" w:cs="Arial"/>
                <w:bCs/>
                <w:color w:val="00B0F0"/>
                <w:sz w:val="20"/>
                <w:szCs w:val="20"/>
                <w:shd w:val="clear" w:color="auto" w:fill="FFFFFF"/>
              </w:rPr>
            </w:pPr>
            <w:r w:rsidRPr="00C4414D">
              <w:rPr>
                <w:rFonts w:ascii="Arial" w:hAnsi="Arial" w:cs="Arial"/>
                <w:bCs/>
                <w:color w:val="00B0F0"/>
                <w:sz w:val="20"/>
                <w:szCs w:val="20"/>
                <w:shd w:val="clear" w:color="auto" w:fill="FFFFFF"/>
              </w:rPr>
              <w:t>B</w:t>
            </w:r>
          </w:p>
        </w:tc>
        <w:tc>
          <w:tcPr>
            <w:tcW w:w="450" w:type="dxa"/>
          </w:tcPr>
          <w:p w14:paraId="14253DF0"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3C5D1F0" w14:textId="410285C1"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0713D568" w14:textId="319A9CA9"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78CFC4A4" w14:textId="77777777" w:rsidTr="0001741A">
        <w:trPr>
          <w:trHeight w:val="545"/>
        </w:trPr>
        <w:tc>
          <w:tcPr>
            <w:tcW w:w="3415" w:type="dxa"/>
          </w:tcPr>
          <w:p w14:paraId="47ACD921" w14:textId="62C0B6FD" w:rsidR="00341863" w:rsidRPr="00446D50" w:rsidRDefault="00341863" w:rsidP="00341863">
            <w:pPr>
              <w:jc w:val="center"/>
              <w:rPr>
                <w:rFonts w:ascii="Arial" w:hAnsi="Arial" w:cs="Arial"/>
                <w:bCs/>
                <w:sz w:val="20"/>
                <w:szCs w:val="20"/>
              </w:rPr>
            </w:pPr>
            <w:r w:rsidRPr="00446D50">
              <w:rPr>
                <w:rFonts w:ascii="Arial" w:hAnsi="Arial" w:cs="Arial"/>
                <w:bCs/>
                <w:sz w:val="20"/>
                <w:szCs w:val="20"/>
              </w:rPr>
              <w:t>(E)-2-((2-hydroxybenzylidene)amino)-6-phenylpyrimidin-4(1H)-one</w:t>
            </w:r>
          </w:p>
        </w:tc>
        <w:tc>
          <w:tcPr>
            <w:tcW w:w="540" w:type="dxa"/>
          </w:tcPr>
          <w:p w14:paraId="4D1292E4"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5C9A0EB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D3467AB" w14:textId="0427168E"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E79BA06" w14:textId="7E7B0AA4"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EE26D2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F81ECBF"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6644017"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EFB90F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03F62390"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0.763</w:t>
            </w:r>
          </w:p>
        </w:tc>
        <w:tc>
          <w:tcPr>
            <w:tcW w:w="450" w:type="dxa"/>
          </w:tcPr>
          <w:p w14:paraId="14BF032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EE8158D" w14:textId="712CA776"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288FB923" w14:textId="56339EF3"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2CBE3162"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177942E3"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2207C07B"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E6FE323" w14:textId="513A041E"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45696EE3" w14:textId="1B024933"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bookmarkEnd w:id="5"/>
    </w:tbl>
    <w:p w14:paraId="55B7C109" w14:textId="5291ECEB" w:rsidR="00341863" w:rsidRPr="00446D50" w:rsidRDefault="00341863" w:rsidP="00341863">
      <w:pPr>
        <w:rPr>
          <w:rFonts w:ascii="Arial" w:hAnsi="Arial" w:cs="Arial"/>
          <w:sz w:val="20"/>
          <w:szCs w:val="20"/>
        </w:rPr>
      </w:pPr>
    </w:p>
    <w:p w14:paraId="7FC27587" w14:textId="77777777" w:rsidR="00B75EA3" w:rsidRDefault="00B75EA3" w:rsidP="00B75EA3">
      <w:pPr>
        <w:pStyle w:val="NormalWeb"/>
        <w:spacing w:before="0" w:beforeAutospacing="0" w:after="0" w:afterAutospacing="0" w:line="360" w:lineRule="auto"/>
        <w:jc w:val="both"/>
        <w:rPr>
          <w:rFonts w:ascii="Arial" w:hAnsi="Arial" w:cs="Arial"/>
          <w:b/>
          <w:sz w:val="20"/>
          <w:szCs w:val="20"/>
        </w:rPr>
      </w:pPr>
    </w:p>
    <w:p w14:paraId="10472B38" w14:textId="77777777" w:rsidR="00B75EA3" w:rsidRDefault="00B75EA3" w:rsidP="00B75EA3">
      <w:pPr>
        <w:pStyle w:val="NormalWeb"/>
        <w:spacing w:before="0" w:beforeAutospacing="0" w:after="0" w:afterAutospacing="0" w:line="360" w:lineRule="auto"/>
        <w:jc w:val="both"/>
        <w:rPr>
          <w:rFonts w:ascii="Arial" w:hAnsi="Arial" w:cs="Arial"/>
          <w:b/>
          <w:sz w:val="20"/>
          <w:szCs w:val="20"/>
        </w:rPr>
      </w:pPr>
    </w:p>
    <w:p w14:paraId="254EE34E" w14:textId="6223BE44" w:rsidR="00D76FCE" w:rsidRPr="000949CD" w:rsidRDefault="00D76FCE" w:rsidP="00B75EA3">
      <w:pPr>
        <w:pStyle w:val="NormalWeb"/>
        <w:spacing w:before="0" w:beforeAutospacing="0" w:after="0" w:afterAutospacing="0" w:line="360" w:lineRule="auto"/>
        <w:jc w:val="both"/>
        <w:rPr>
          <w:rFonts w:ascii="Arial" w:hAnsi="Arial" w:cs="Arial"/>
          <w:noProof/>
          <w:sz w:val="20"/>
          <w:szCs w:val="20"/>
        </w:rPr>
      </w:pPr>
      <w:r w:rsidRPr="00002D52">
        <w:rPr>
          <w:rFonts w:ascii="Arial" w:hAnsi="Arial" w:cs="Arial"/>
          <w:b/>
          <w:sz w:val="20"/>
          <w:szCs w:val="20"/>
        </w:rPr>
        <w:lastRenderedPageBreak/>
        <w:t xml:space="preserve">3.3 MOLECULAR MECHANICS-GENERALIZED BORN SURFACE AREA (MM-GBSA) </w:t>
      </w:r>
    </w:p>
    <w:p w14:paraId="2AD31B1F" w14:textId="4BF67FBE"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 xml:space="preserve">MM-GBSA analysis was conducted to provide insights into the binding energies and stability of the ligand-protein complexes, with the results summarized in Table 4 and Figures </w:t>
      </w:r>
      <w:r w:rsidR="00C735B9">
        <w:rPr>
          <w:rFonts w:ascii="Arial" w:hAnsi="Arial" w:cs="Arial"/>
          <w:sz w:val="20"/>
          <w:szCs w:val="20"/>
        </w:rPr>
        <w:t>3</w:t>
      </w:r>
      <w:r w:rsidRPr="00C766DB">
        <w:rPr>
          <w:rFonts w:ascii="Arial" w:hAnsi="Arial" w:cs="Arial"/>
          <w:sz w:val="20"/>
          <w:szCs w:val="20"/>
        </w:rPr>
        <w:t xml:space="preserve">a and </w:t>
      </w:r>
      <w:r w:rsidR="00C735B9">
        <w:rPr>
          <w:rFonts w:ascii="Arial" w:hAnsi="Arial" w:cs="Arial"/>
          <w:sz w:val="20"/>
          <w:szCs w:val="20"/>
        </w:rPr>
        <w:t>3</w:t>
      </w:r>
      <w:r w:rsidRPr="00C766DB">
        <w:rPr>
          <w:rFonts w:ascii="Arial" w:hAnsi="Arial" w:cs="Arial"/>
          <w:sz w:val="20"/>
          <w:szCs w:val="20"/>
        </w:rPr>
        <w:t>b. This approach breaks down the binding free energy into key components, including van der Waals forces, hydrogen bonding, covalent bonding, and polar solvation energy. Understanding these components is critical for interpreting the interactions and stability of ligand-protein complexes. Table 4 highlights the binding energy contributions of oxythiamine and the six Schiff bases.</w:t>
      </w:r>
    </w:p>
    <w:p w14:paraId="2471811C" w14:textId="6F5EB352"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 xml:space="preserve">Van der Waals forces emerged as the most significant contributor to binding stability across all ligands. Oxythiamine demonstrated the strongest van der Waals interactions (-33.6 kcal/mol), enhancing its binding affinity; however, its high polar solvation energy (30.91 kcal/mol) resulted in a reduced overall binding energy of -16.85 kcal/mol. This indicates that substantial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costs counteract the stability provided by van der Waals forces, weakening </w:t>
      </w:r>
      <w:proofErr w:type="spellStart"/>
      <w:r w:rsidRPr="00C766DB">
        <w:rPr>
          <w:rFonts w:ascii="Arial" w:hAnsi="Arial" w:cs="Arial"/>
          <w:sz w:val="20"/>
          <w:szCs w:val="20"/>
        </w:rPr>
        <w:t>oxythiamine’s</w:t>
      </w:r>
      <w:proofErr w:type="spellEnd"/>
      <w:r w:rsidRPr="00C766DB">
        <w:rPr>
          <w:rFonts w:ascii="Arial" w:hAnsi="Arial" w:cs="Arial"/>
          <w:sz w:val="20"/>
          <w:szCs w:val="20"/>
        </w:rPr>
        <w:t xml:space="preserve"> overall binding stability.</w:t>
      </w:r>
    </w:p>
    <w:p w14:paraId="3172C93E" w14:textId="1B59D15B" w:rsidR="00C766DB" w:rsidRPr="00C766DB" w:rsidRDefault="00C766DB" w:rsidP="00B75EA3">
      <w:pPr>
        <w:pStyle w:val="NormalWeb"/>
        <w:spacing w:before="0" w:beforeAutospacing="0" w:after="0" w:afterAutospacing="0" w:line="360" w:lineRule="auto"/>
        <w:jc w:val="both"/>
        <w:rPr>
          <w:rFonts w:ascii="Arial" w:hAnsi="Arial" w:cs="Arial"/>
          <w:sz w:val="20"/>
          <w:szCs w:val="20"/>
        </w:rPr>
      </w:pPr>
      <w:bookmarkStart w:id="6" w:name="_Hlk188785210"/>
      <w:r w:rsidRPr="00C766DB">
        <w:rPr>
          <w:rFonts w:ascii="Arial" w:hAnsi="Arial" w:cs="Arial"/>
          <w:sz w:val="20"/>
          <w:szCs w:val="20"/>
        </w:rPr>
        <w:t>Among the Schiff bases, (E)-2-((3-hydroxybenzylidene</w:t>
      </w:r>
      <w:proofErr w:type="gramStart"/>
      <w:r w:rsidRPr="00C766DB">
        <w:rPr>
          <w:rFonts w:ascii="Arial" w:hAnsi="Arial" w:cs="Arial"/>
          <w:sz w:val="20"/>
          <w:szCs w:val="20"/>
        </w:rPr>
        <w:t>)amino</w:t>
      </w:r>
      <w:proofErr w:type="gramEnd"/>
      <w:r w:rsidRPr="00C766DB">
        <w:rPr>
          <w:rFonts w:ascii="Arial" w:hAnsi="Arial" w:cs="Arial"/>
          <w:sz w:val="20"/>
          <w:szCs w:val="20"/>
        </w:rPr>
        <w:t xml:space="preserve">)-6-phenylpyrimidin-4(1H)-one exhibited the lowest overall binding energy (-31.21 kcal/mol), making it the most stable ligand. Despite its high polar solvation energy (43.29 kcal/mol), favorable van der Waals interactions (-23.22 kcal/mol) and hydrogen </w:t>
      </w:r>
      <w:bookmarkEnd w:id="6"/>
      <w:r w:rsidRPr="00C766DB">
        <w:rPr>
          <w:rFonts w:ascii="Arial" w:hAnsi="Arial" w:cs="Arial"/>
          <w:sz w:val="20"/>
          <w:szCs w:val="20"/>
        </w:rPr>
        <w:t>bonding (-3.95 kcal/mol) significantly contributed to its strong binding with the target protein. Similarly, (E)-2-((3</w:t>
      </w:r>
      <w:proofErr w:type="gramStart"/>
      <w:r w:rsidRPr="00C766DB">
        <w:rPr>
          <w:rFonts w:ascii="Arial" w:hAnsi="Arial" w:cs="Arial"/>
          <w:sz w:val="20"/>
          <w:szCs w:val="20"/>
        </w:rPr>
        <w:t>,4</w:t>
      </w:r>
      <w:proofErr w:type="gramEnd"/>
      <w:r w:rsidRPr="00C766DB">
        <w:rPr>
          <w:rFonts w:ascii="Arial" w:hAnsi="Arial" w:cs="Arial"/>
          <w:sz w:val="20"/>
          <w:szCs w:val="20"/>
        </w:rPr>
        <w:t xml:space="preserve">-dimethoxybenzylidene)amino)-6-phenylpyrimidin-4(1H)-one showed robust stability, with an overall binding energy of -31.01 kcal/mol. This ligand exhibited the strongest van der Waals interactions (-37.27 kcal/mol) among the Schiff bases but faced high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(44.16 kcal/</w:t>
      </w:r>
      <w:proofErr w:type="spellStart"/>
      <w:r w:rsidRPr="00C766DB">
        <w:rPr>
          <w:rFonts w:ascii="Arial" w:hAnsi="Arial" w:cs="Arial"/>
          <w:sz w:val="20"/>
          <w:szCs w:val="20"/>
        </w:rPr>
        <w:t>mol</w:t>
      </w:r>
      <w:proofErr w:type="spellEnd"/>
      <w:r w:rsidRPr="00C766DB">
        <w:rPr>
          <w:rFonts w:ascii="Arial" w:hAnsi="Arial" w:cs="Arial"/>
          <w:sz w:val="20"/>
          <w:szCs w:val="20"/>
        </w:rPr>
        <w:t>).</w:t>
      </w:r>
    </w:p>
    <w:p w14:paraId="1B9F2099" w14:textId="77777777"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The other Schiff bases also demonstrated stable binding, with (E)-2-((2,4-dihydroxybenzylidene)amino)-6-phenylpyrimidin-4(1H)-one achieving an overall binding energy of -30.74 kcal/mol. Moderate van der Waals forces (-33.57 kcal/mol) and hydrogen bonding (-3.21 kcal/mol) contributed to its stability despite the high polar solvation energy (44.48 kcal/mol). (E)-2-((2-hydroxybenzylidene</w:t>
      </w:r>
      <w:proofErr w:type="gramStart"/>
      <w:r w:rsidRPr="00C766DB">
        <w:rPr>
          <w:rFonts w:ascii="Arial" w:hAnsi="Arial" w:cs="Arial"/>
          <w:sz w:val="20"/>
          <w:szCs w:val="20"/>
        </w:rPr>
        <w:t>)amino</w:t>
      </w:r>
      <w:proofErr w:type="gramEnd"/>
      <w:r w:rsidRPr="00C766DB">
        <w:rPr>
          <w:rFonts w:ascii="Arial" w:hAnsi="Arial" w:cs="Arial"/>
          <w:sz w:val="20"/>
          <w:szCs w:val="20"/>
        </w:rPr>
        <w:t>)-6-phenylpyrimidin-4(1H)-one showed slightly lower stability (-27.96 kcal/mol) due to weaker van der Waals forces (-27.53 kcal/</w:t>
      </w:r>
      <w:proofErr w:type="spellStart"/>
      <w:r w:rsidRPr="00C766DB">
        <w:rPr>
          <w:rFonts w:ascii="Arial" w:hAnsi="Arial" w:cs="Arial"/>
          <w:sz w:val="20"/>
          <w:szCs w:val="20"/>
        </w:rPr>
        <w:t>mol</w:t>
      </w:r>
      <w:proofErr w:type="spellEnd"/>
      <w:r w:rsidRPr="00C766DB">
        <w:rPr>
          <w:rFonts w:ascii="Arial" w:hAnsi="Arial" w:cs="Arial"/>
          <w:sz w:val="20"/>
          <w:szCs w:val="20"/>
        </w:rPr>
        <w:t xml:space="preserve">) and moderate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(37.62 kcal/</w:t>
      </w:r>
      <w:proofErr w:type="spellStart"/>
      <w:r w:rsidRPr="00C766DB">
        <w:rPr>
          <w:rFonts w:ascii="Arial" w:hAnsi="Arial" w:cs="Arial"/>
          <w:sz w:val="20"/>
          <w:szCs w:val="20"/>
        </w:rPr>
        <w:t>mol</w:t>
      </w:r>
      <w:proofErr w:type="spellEnd"/>
      <w:r w:rsidRPr="00C766DB">
        <w:rPr>
          <w:rFonts w:ascii="Arial" w:hAnsi="Arial" w:cs="Arial"/>
          <w:sz w:val="20"/>
          <w:szCs w:val="20"/>
        </w:rPr>
        <w:t>). Meanwhile, (E)-2((4-methoxybenzylidene</w:t>
      </w:r>
      <w:proofErr w:type="gramStart"/>
      <w:r w:rsidRPr="00C766DB">
        <w:rPr>
          <w:rFonts w:ascii="Arial" w:hAnsi="Arial" w:cs="Arial"/>
          <w:sz w:val="20"/>
          <w:szCs w:val="20"/>
        </w:rPr>
        <w:t>)amino</w:t>
      </w:r>
      <w:proofErr w:type="gramEnd"/>
      <w:r w:rsidRPr="00C766DB">
        <w:rPr>
          <w:rFonts w:ascii="Arial" w:hAnsi="Arial" w:cs="Arial"/>
          <w:sz w:val="20"/>
          <w:szCs w:val="20"/>
        </w:rPr>
        <w:t xml:space="preserve">)-6-amino)-6-phenylpyrimidin-4(1H)-one and (E)-2-((4-(dimethylamino)benzylidene)amino)-6-phenylpyrimidin-4(1H)-one exhibited comparable binding stabilities (-27.29 kcal/mol and -26.88 kcal/mol, respectively). These ligands faced higher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(59.8 kcal/</w:t>
      </w:r>
      <w:proofErr w:type="spellStart"/>
      <w:r w:rsidRPr="00C766DB">
        <w:rPr>
          <w:rFonts w:ascii="Arial" w:hAnsi="Arial" w:cs="Arial"/>
          <w:sz w:val="20"/>
          <w:szCs w:val="20"/>
        </w:rPr>
        <w:t>mol</w:t>
      </w:r>
      <w:proofErr w:type="spellEnd"/>
      <w:r w:rsidRPr="00C766DB">
        <w:rPr>
          <w:rFonts w:ascii="Arial" w:hAnsi="Arial" w:cs="Arial"/>
          <w:sz w:val="20"/>
          <w:szCs w:val="20"/>
        </w:rPr>
        <w:t xml:space="preserve"> and 67.23 kcal/mol, respectively), which reduced their overall stability despite strong van der Waals contributions.</w:t>
      </w:r>
    </w:p>
    <w:p w14:paraId="4E8A4AAF" w14:textId="70CA311A"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The MM-GBSA results underscore the critical role of van der Waals forces in ligand-protein stability. While oxythiamine demonstrated strong van der Waals interactions, its high polar solvation energy limited its overall binding stability. In contrast, the Schiff bases, particularly (E)-2-((3-hydroxybenzylidene</w:t>
      </w:r>
      <w:proofErr w:type="gramStart"/>
      <w:r w:rsidRPr="00C766DB">
        <w:rPr>
          <w:rFonts w:ascii="Arial" w:hAnsi="Arial" w:cs="Arial"/>
          <w:sz w:val="20"/>
          <w:szCs w:val="20"/>
        </w:rPr>
        <w:t>)amino</w:t>
      </w:r>
      <w:proofErr w:type="gramEnd"/>
      <w:r w:rsidRPr="00C766DB">
        <w:rPr>
          <w:rFonts w:ascii="Arial" w:hAnsi="Arial" w:cs="Arial"/>
          <w:sz w:val="20"/>
          <w:szCs w:val="20"/>
        </w:rPr>
        <w:t>)-6-phenylpyrimidin-4(1H)-one and (E)-2-((3,4-dimethoxybenzylidene)amino)-6-phenylpyrimidin-4(1H)-one, exhibited a balance of favorable interactions, making them the most stable ligands. Their low overall binding energies highlight their potential as effective inhibitors of Plasmodium falciparum transketolase. These findings provide a solid foundation for further optimization and experimental validation of these compounds as promising antimalarial agents</w:t>
      </w:r>
      <w:r w:rsidR="00AE4682">
        <w:rPr>
          <w:rFonts w:ascii="Arial" w:hAnsi="Arial" w:cs="Arial"/>
          <w:sz w:val="20"/>
          <w:szCs w:val="20"/>
        </w:rPr>
        <w:t xml:space="preserve"> [37</w:t>
      </w:r>
      <w:r w:rsidR="00E46B8B">
        <w:rPr>
          <w:rFonts w:ascii="Arial" w:hAnsi="Arial" w:cs="Arial"/>
          <w:sz w:val="20"/>
          <w:szCs w:val="20"/>
        </w:rPr>
        <w:t xml:space="preserve">, </w:t>
      </w:r>
      <w:r w:rsidR="00A15240">
        <w:rPr>
          <w:rFonts w:ascii="Arial" w:hAnsi="Arial" w:cs="Arial"/>
          <w:sz w:val="20"/>
          <w:szCs w:val="20"/>
        </w:rPr>
        <w:t>38</w:t>
      </w:r>
      <w:r w:rsidR="00AE4682">
        <w:rPr>
          <w:rFonts w:ascii="Arial" w:hAnsi="Arial" w:cs="Arial"/>
          <w:sz w:val="20"/>
          <w:szCs w:val="20"/>
        </w:rPr>
        <w:t>]</w:t>
      </w:r>
      <w:r w:rsidRPr="00C766DB">
        <w:rPr>
          <w:rFonts w:ascii="Arial" w:hAnsi="Arial" w:cs="Arial"/>
          <w:sz w:val="20"/>
          <w:szCs w:val="20"/>
        </w:rPr>
        <w:t>.</w:t>
      </w:r>
    </w:p>
    <w:p w14:paraId="378203FF" w14:textId="21F9C04F" w:rsidR="00794A70" w:rsidRPr="00794A70" w:rsidRDefault="00D76FCE" w:rsidP="00794A70">
      <w:pPr>
        <w:pStyle w:val="NormalWeb"/>
        <w:spacing w:line="360" w:lineRule="auto"/>
        <w:jc w:val="both"/>
        <w:rPr>
          <w:rFonts w:ascii="Arial" w:hAnsi="Arial" w:cs="Arial"/>
          <w:color w:val="000000"/>
          <w:sz w:val="20"/>
          <w:szCs w:val="20"/>
        </w:rPr>
      </w:pPr>
      <w:r w:rsidRPr="00E37D41">
        <w:rPr>
          <w:rFonts w:ascii="Arial" w:hAnsi="Arial" w:cs="Arial"/>
          <w:b/>
          <w:bCs/>
          <w:sz w:val="20"/>
          <w:szCs w:val="20"/>
        </w:rPr>
        <w:lastRenderedPageBreak/>
        <w:t xml:space="preserve">Table 4: </w:t>
      </w:r>
      <w:r w:rsidRPr="00E37D41">
        <w:rPr>
          <w:rFonts w:ascii="Arial" w:hAnsi="Arial" w:cs="Arial"/>
          <w:sz w:val="20"/>
          <w:szCs w:val="20"/>
        </w:rPr>
        <w:t>MM-GBSA binding free energies of Oxythiamine</w:t>
      </w:r>
      <w:r>
        <w:rPr>
          <w:rFonts w:ascii="Arial" w:hAnsi="Arial" w:cs="Arial"/>
          <w:sz w:val="20"/>
          <w:szCs w:val="20"/>
        </w:rPr>
        <w:t xml:space="preserve"> and the six </w:t>
      </w:r>
      <w:r w:rsidR="007D282F">
        <w:rPr>
          <w:rFonts w:ascii="Arial" w:hAnsi="Arial" w:cs="Arial"/>
          <w:bCs/>
          <w:noProof/>
          <w:sz w:val="20"/>
          <w:szCs w:val="20"/>
        </w:rPr>
        <w:t>Schiff-bases</w:t>
      </w:r>
      <w:r w:rsidR="00FC0382">
        <w:rPr>
          <w:rFonts w:ascii="Arial" w:hAnsi="Arial" w:cs="Arial"/>
          <w:bCs/>
          <w:noProof/>
          <w:sz w:val="20"/>
          <w:szCs w:val="20"/>
        </w:rPr>
        <w:t xml:space="preserve"> of phenylisocytosine</w:t>
      </w:r>
      <w:r w:rsidRPr="00E37D41">
        <w:rPr>
          <w:rFonts w:ascii="Arial" w:hAnsi="Arial" w:cs="Arial"/>
          <w:color w:val="000000"/>
          <w:sz w:val="20"/>
          <w:szCs w:val="20"/>
        </w:rPr>
        <w:t>.</w:t>
      </w:r>
    </w:p>
    <w:tbl>
      <w:tblPr>
        <w:tblStyle w:val="TableGridLight"/>
        <w:tblW w:w="10620" w:type="dxa"/>
        <w:tblInd w:w="-635" w:type="dxa"/>
        <w:tblLook w:val="04A0" w:firstRow="1" w:lastRow="0" w:firstColumn="1" w:lastColumn="0" w:noHBand="0" w:noVBand="1"/>
      </w:tblPr>
      <w:tblGrid>
        <w:gridCol w:w="3899"/>
        <w:gridCol w:w="1321"/>
        <w:gridCol w:w="1349"/>
        <w:gridCol w:w="1320"/>
        <w:gridCol w:w="1320"/>
        <w:gridCol w:w="1411"/>
      </w:tblGrid>
      <w:tr w:rsidR="00794A70" w:rsidRPr="00A67C1C" w14:paraId="0D80F950" w14:textId="77777777" w:rsidTr="00794A70">
        <w:tc>
          <w:tcPr>
            <w:tcW w:w="3899" w:type="dxa"/>
          </w:tcPr>
          <w:p w14:paraId="11E02229" w14:textId="5764AAD7" w:rsidR="00794A70" w:rsidRPr="00794A70" w:rsidRDefault="00794A70" w:rsidP="00794A70">
            <w:pPr>
              <w:jc w:val="center"/>
              <w:rPr>
                <w:rFonts w:ascii="Arial" w:hAnsi="Arial" w:cs="Arial"/>
                <w:b/>
                <w:bCs/>
                <w:sz w:val="20"/>
                <w:szCs w:val="20"/>
              </w:rPr>
            </w:pPr>
            <w:bookmarkStart w:id="7" w:name="_Hlk157900729"/>
            <w:r w:rsidRPr="00794A70">
              <w:rPr>
                <w:rFonts w:ascii="Arial" w:hAnsi="Arial" w:cs="Arial"/>
                <w:b/>
                <w:bCs/>
                <w:sz w:val="20"/>
                <w:szCs w:val="20"/>
              </w:rPr>
              <w:t>Ligands</w:t>
            </w:r>
          </w:p>
        </w:tc>
        <w:tc>
          <w:tcPr>
            <w:tcW w:w="1321" w:type="dxa"/>
          </w:tcPr>
          <w:p w14:paraId="5E8B2E2C" w14:textId="4BFAEE05"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1C773F6E" w14:textId="77777777" w:rsidR="00794A70" w:rsidRPr="00794A70" w:rsidRDefault="00794A70" w:rsidP="00794A70">
            <w:pPr>
              <w:jc w:val="center"/>
              <w:rPr>
                <w:rFonts w:ascii="Arial" w:hAnsi="Arial" w:cs="Arial"/>
                <w:b/>
                <w:sz w:val="20"/>
                <w:szCs w:val="20"/>
              </w:rPr>
            </w:pPr>
            <w:r w:rsidRPr="00794A70">
              <w:rPr>
                <w:rFonts w:ascii="Arial" w:hAnsi="Arial" w:cs="Arial"/>
                <w:b/>
                <w:sz w:val="20"/>
                <w:szCs w:val="20"/>
              </w:rPr>
              <w:t>Bind H-bond</w:t>
            </w:r>
          </w:p>
          <w:p w14:paraId="25C91297"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tc>
        <w:tc>
          <w:tcPr>
            <w:tcW w:w="1349" w:type="dxa"/>
          </w:tcPr>
          <w:p w14:paraId="2DDAE41A" w14:textId="748A0F94"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416D8A98" w14:textId="77777777" w:rsidR="00794A70" w:rsidRPr="00794A70" w:rsidRDefault="00794A70" w:rsidP="00794A70">
            <w:pPr>
              <w:jc w:val="center"/>
              <w:rPr>
                <w:rFonts w:ascii="Arial" w:hAnsi="Arial" w:cs="Arial"/>
                <w:b/>
                <w:sz w:val="20"/>
                <w:szCs w:val="20"/>
              </w:rPr>
            </w:pPr>
            <w:r w:rsidRPr="00794A70">
              <w:rPr>
                <w:rFonts w:ascii="Arial" w:hAnsi="Arial" w:cs="Arial"/>
                <w:b/>
                <w:sz w:val="20"/>
                <w:szCs w:val="20"/>
              </w:rPr>
              <w:t>Bind Covalent bond</w:t>
            </w:r>
          </w:p>
          <w:p w14:paraId="226AB832"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tc>
        <w:tc>
          <w:tcPr>
            <w:tcW w:w="1320" w:type="dxa"/>
          </w:tcPr>
          <w:p w14:paraId="73291ADF" w14:textId="6F8491D4" w:rsidR="00794A70" w:rsidRPr="00C85D5C" w:rsidRDefault="00794A70" w:rsidP="00794A70">
            <w:pPr>
              <w:ind w:left="10"/>
              <w:jc w:val="center"/>
              <w:rPr>
                <w:rFonts w:ascii="Arial" w:hAnsi="Arial" w:cs="Arial"/>
                <w:sz w:val="20"/>
                <w:szCs w:val="20"/>
                <w:lang w:val="nl-BE"/>
              </w:rPr>
            </w:pPr>
            <w:r w:rsidRPr="00C85D5C">
              <w:rPr>
                <w:rFonts w:ascii="Arial" w:hAnsi="Arial" w:cs="Arial"/>
                <w:b/>
                <w:sz w:val="20"/>
                <w:szCs w:val="20"/>
                <w:lang w:val="nl-BE"/>
              </w:rPr>
              <w:t xml:space="preserve">MMGBSA </w:t>
            </w:r>
            <w:r w:rsidRPr="00794A70">
              <w:rPr>
                <w:rFonts w:ascii="Arial" w:hAnsi="Arial" w:cs="Arial"/>
                <w:b/>
                <w:sz w:val="20"/>
                <w:szCs w:val="20"/>
              </w:rPr>
              <w:t>Δ</w:t>
            </w:r>
            <w:r w:rsidRPr="00C85D5C">
              <w:rPr>
                <w:rFonts w:ascii="Arial" w:hAnsi="Arial" w:cs="Arial"/>
                <w:b/>
                <w:sz w:val="20"/>
                <w:szCs w:val="20"/>
                <w:lang w:val="nl-BE"/>
              </w:rPr>
              <w:t>G</w:t>
            </w:r>
          </w:p>
          <w:p w14:paraId="0AF8CC82" w14:textId="77777777" w:rsidR="00794A70" w:rsidRPr="00C85D5C" w:rsidRDefault="00794A70" w:rsidP="00794A70">
            <w:pPr>
              <w:jc w:val="center"/>
              <w:rPr>
                <w:rFonts w:ascii="Arial" w:hAnsi="Arial" w:cs="Arial"/>
                <w:b/>
                <w:bCs/>
                <w:sz w:val="20"/>
                <w:szCs w:val="20"/>
                <w:lang w:val="nl-BE"/>
              </w:rPr>
            </w:pPr>
            <w:r w:rsidRPr="00C85D5C">
              <w:rPr>
                <w:rFonts w:ascii="Arial" w:hAnsi="Arial" w:cs="Arial"/>
                <w:b/>
                <w:sz w:val="20"/>
                <w:szCs w:val="20"/>
                <w:lang w:val="nl-BE"/>
              </w:rPr>
              <w:t xml:space="preserve">Bind </w:t>
            </w:r>
            <w:r w:rsidRPr="00C85D5C">
              <w:rPr>
                <w:rFonts w:ascii="Arial" w:hAnsi="Arial" w:cs="Arial"/>
                <w:b/>
                <w:bCs/>
                <w:sz w:val="20"/>
                <w:szCs w:val="20"/>
                <w:lang w:val="nl-BE"/>
              </w:rPr>
              <w:t>Vander Waal Forces</w:t>
            </w:r>
          </w:p>
          <w:p w14:paraId="05CA557F"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p w14:paraId="3E3E9A71" w14:textId="77777777" w:rsidR="00794A70" w:rsidRPr="00794A70" w:rsidRDefault="00794A70" w:rsidP="00794A70">
            <w:pPr>
              <w:jc w:val="center"/>
              <w:rPr>
                <w:rFonts w:ascii="Arial" w:hAnsi="Arial" w:cs="Arial"/>
                <w:b/>
                <w:bCs/>
                <w:sz w:val="20"/>
                <w:szCs w:val="20"/>
              </w:rPr>
            </w:pPr>
          </w:p>
        </w:tc>
        <w:tc>
          <w:tcPr>
            <w:tcW w:w="1320" w:type="dxa"/>
          </w:tcPr>
          <w:p w14:paraId="02B7A876" w14:textId="4BDB75F7"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5AC66E50" w14:textId="77777777" w:rsidR="00794A70" w:rsidRPr="00794A70" w:rsidRDefault="00794A70" w:rsidP="00794A70">
            <w:pPr>
              <w:jc w:val="center"/>
              <w:rPr>
                <w:rFonts w:ascii="Arial" w:hAnsi="Arial" w:cs="Arial"/>
                <w:b/>
                <w:bCs/>
                <w:sz w:val="20"/>
                <w:szCs w:val="20"/>
              </w:rPr>
            </w:pPr>
            <w:r w:rsidRPr="00794A70">
              <w:rPr>
                <w:rFonts w:ascii="Arial" w:hAnsi="Arial" w:cs="Arial"/>
                <w:b/>
                <w:sz w:val="20"/>
                <w:szCs w:val="20"/>
              </w:rPr>
              <w:t xml:space="preserve">Bind </w:t>
            </w:r>
            <w:r w:rsidRPr="00794A70">
              <w:rPr>
                <w:rFonts w:ascii="Arial" w:hAnsi="Arial" w:cs="Arial"/>
                <w:b/>
                <w:bCs/>
                <w:sz w:val="20"/>
                <w:szCs w:val="20"/>
              </w:rPr>
              <w:t>Polar Solvation</w:t>
            </w:r>
          </w:p>
          <w:p w14:paraId="0982DCCB"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p w14:paraId="7C5D072C" w14:textId="77777777" w:rsidR="00794A70" w:rsidRPr="00794A70" w:rsidRDefault="00794A70" w:rsidP="00794A70">
            <w:pPr>
              <w:jc w:val="center"/>
              <w:rPr>
                <w:rFonts w:ascii="Arial" w:hAnsi="Arial" w:cs="Arial"/>
                <w:b/>
                <w:bCs/>
                <w:sz w:val="20"/>
                <w:szCs w:val="20"/>
              </w:rPr>
            </w:pPr>
          </w:p>
        </w:tc>
        <w:tc>
          <w:tcPr>
            <w:tcW w:w="1411" w:type="dxa"/>
          </w:tcPr>
          <w:p w14:paraId="17E9225E" w14:textId="3D4959A0" w:rsidR="00794A70" w:rsidRPr="00794A70" w:rsidRDefault="00794A70" w:rsidP="00794A70">
            <w:pPr>
              <w:ind w:left="7"/>
              <w:jc w:val="center"/>
              <w:rPr>
                <w:rFonts w:ascii="Arial" w:hAnsi="Arial" w:cs="Arial"/>
                <w:sz w:val="20"/>
                <w:szCs w:val="20"/>
              </w:rPr>
            </w:pPr>
            <w:r w:rsidRPr="00794A70">
              <w:rPr>
                <w:rFonts w:ascii="Arial" w:hAnsi="Arial" w:cs="Arial"/>
                <w:b/>
                <w:sz w:val="20"/>
                <w:szCs w:val="20"/>
              </w:rPr>
              <w:t>MMGBSA ΔG</w:t>
            </w:r>
          </w:p>
          <w:p w14:paraId="65D81B88" w14:textId="4200213F" w:rsidR="00794A70" w:rsidRPr="00794A70" w:rsidRDefault="00794A70" w:rsidP="00794A70">
            <w:pPr>
              <w:jc w:val="center"/>
              <w:rPr>
                <w:rFonts w:ascii="Arial" w:hAnsi="Arial" w:cs="Arial"/>
                <w:b/>
                <w:sz w:val="20"/>
                <w:szCs w:val="20"/>
              </w:rPr>
            </w:pPr>
            <w:r w:rsidRPr="00794A70">
              <w:rPr>
                <w:rFonts w:ascii="Arial" w:hAnsi="Arial" w:cs="Arial"/>
                <w:b/>
                <w:sz w:val="20"/>
                <w:szCs w:val="20"/>
              </w:rPr>
              <w:t>Overall Binding</w:t>
            </w:r>
          </w:p>
          <w:p w14:paraId="2EA510C4" w14:textId="77777777" w:rsidR="00794A70" w:rsidRPr="00794A70" w:rsidRDefault="00794A70" w:rsidP="00794A70">
            <w:pPr>
              <w:jc w:val="center"/>
              <w:rPr>
                <w:rFonts w:ascii="Arial" w:hAnsi="Arial" w:cs="Arial"/>
                <w:b/>
                <w:bCs/>
                <w:sz w:val="20"/>
                <w:szCs w:val="20"/>
              </w:rPr>
            </w:pPr>
            <w:r w:rsidRPr="00794A70">
              <w:rPr>
                <w:rFonts w:ascii="Arial" w:hAnsi="Arial" w:cs="Arial"/>
                <w:b/>
                <w:sz w:val="20"/>
                <w:szCs w:val="20"/>
              </w:rPr>
              <w:t>energy</w:t>
            </w:r>
            <w:r w:rsidRPr="00794A70">
              <w:rPr>
                <w:rFonts w:ascii="Arial" w:hAnsi="Arial" w:cs="Arial"/>
                <w:b/>
                <w:bCs/>
                <w:sz w:val="20"/>
                <w:szCs w:val="20"/>
              </w:rPr>
              <w:t xml:space="preserve">  (Kcal/mol)</w:t>
            </w:r>
          </w:p>
        </w:tc>
      </w:tr>
      <w:tr w:rsidR="00794A70" w:rsidRPr="00A67C1C" w14:paraId="7CF47674" w14:textId="77777777" w:rsidTr="00794A70">
        <w:tc>
          <w:tcPr>
            <w:tcW w:w="3899" w:type="dxa"/>
          </w:tcPr>
          <w:p w14:paraId="27E917D4" w14:textId="1A084ABA" w:rsidR="00794A70" w:rsidRPr="00794A70" w:rsidRDefault="00794A70" w:rsidP="00794A70">
            <w:pPr>
              <w:jc w:val="center"/>
              <w:rPr>
                <w:rFonts w:ascii="Arial" w:hAnsi="Arial" w:cs="Arial"/>
                <w:sz w:val="20"/>
                <w:szCs w:val="20"/>
              </w:rPr>
            </w:pPr>
            <w:r w:rsidRPr="00794A70">
              <w:rPr>
                <w:rFonts w:ascii="Arial" w:hAnsi="Arial" w:cs="Arial"/>
                <w:sz w:val="20"/>
                <w:szCs w:val="20"/>
              </w:rPr>
              <w:t>Oxythiamine</w:t>
            </w:r>
          </w:p>
        </w:tc>
        <w:tc>
          <w:tcPr>
            <w:tcW w:w="1321" w:type="dxa"/>
          </w:tcPr>
          <w:p w14:paraId="3443E879"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-3.12</w:t>
            </w:r>
          </w:p>
        </w:tc>
        <w:tc>
          <w:tcPr>
            <w:tcW w:w="1349" w:type="dxa"/>
          </w:tcPr>
          <w:p w14:paraId="2C3A363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w:t>
            </w:r>
          </w:p>
        </w:tc>
        <w:tc>
          <w:tcPr>
            <w:tcW w:w="1320" w:type="dxa"/>
          </w:tcPr>
          <w:p w14:paraId="503F723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-33.6</w:t>
            </w:r>
          </w:p>
        </w:tc>
        <w:tc>
          <w:tcPr>
            <w:tcW w:w="1320" w:type="dxa"/>
          </w:tcPr>
          <w:p w14:paraId="2D0C85D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30.91</w:t>
            </w:r>
          </w:p>
        </w:tc>
        <w:tc>
          <w:tcPr>
            <w:tcW w:w="1411" w:type="dxa"/>
          </w:tcPr>
          <w:p w14:paraId="547739E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-16.85</w:t>
            </w:r>
          </w:p>
        </w:tc>
      </w:tr>
      <w:tr w:rsidR="00794A70" w:rsidRPr="00A67C1C" w14:paraId="268E8EE2" w14:textId="77777777" w:rsidTr="00794A70">
        <w:tc>
          <w:tcPr>
            <w:tcW w:w="3899" w:type="dxa"/>
          </w:tcPr>
          <w:p w14:paraId="62EEB0A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(E)-2-((3-Hydroxybenzylidene)Amino)-6-Phenylpyrimidin-4(1H)-One</w:t>
            </w:r>
          </w:p>
        </w:tc>
        <w:tc>
          <w:tcPr>
            <w:tcW w:w="1321" w:type="dxa"/>
          </w:tcPr>
          <w:p w14:paraId="79FC9305"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-3.95</w:t>
            </w:r>
          </w:p>
        </w:tc>
        <w:tc>
          <w:tcPr>
            <w:tcW w:w="1349" w:type="dxa"/>
          </w:tcPr>
          <w:p w14:paraId="69A10D2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1.39</w:t>
            </w:r>
          </w:p>
        </w:tc>
        <w:tc>
          <w:tcPr>
            <w:tcW w:w="1320" w:type="dxa"/>
          </w:tcPr>
          <w:p w14:paraId="62830941"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-23.22</w:t>
            </w:r>
          </w:p>
        </w:tc>
        <w:tc>
          <w:tcPr>
            <w:tcW w:w="1320" w:type="dxa"/>
          </w:tcPr>
          <w:p w14:paraId="5806EC43"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43.29</w:t>
            </w:r>
          </w:p>
        </w:tc>
        <w:tc>
          <w:tcPr>
            <w:tcW w:w="1411" w:type="dxa"/>
          </w:tcPr>
          <w:p w14:paraId="1CA2A48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-31.21</w:t>
            </w:r>
          </w:p>
        </w:tc>
      </w:tr>
      <w:tr w:rsidR="00794A70" w:rsidRPr="00A67C1C" w14:paraId="6E8261A0" w14:textId="77777777" w:rsidTr="00794A70">
        <w:tc>
          <w:tcPr>
            <w:tcW w:w="3899" w:type="dxa"/>
          </w:tcPr>
          <w:p w14:paraId="460C44A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(E)-2-((3,4-Dimethoxybenzylidene)Amino)-6-Phenylpyrimidin-4(1H)-One</w:t>
            </w:r>
          </w:p>
        </w:tc>
        <w:tc>
          <w:tcPr>
            <w:tcW w:w="1321" w:type="dxa"/>
          </w:tcPr>
          <w:p w14:paraId="5FB2784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-3.92</w:t>
            </w:r>
          </w:p>
        </w:tc>
        <w:tc>
          <w:tcPr>
            <w:tcW w:w="1349" w:type="dxa"/>
          </w:tcPr>
          <w:p w14:paraId="5CBC61A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0.59</w:t>
            </w:r>
          </w:p>
        </w:tc>
        <w:tc>
          <w:tcPr>
            <w:tcW w:w="1320" w:type="dxa"/>
          </w:tcPr>
          <w:p w14:paraId="41FB302A"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-37.27</w:t>
            </w:r>
          </w:p>
        </w:tc>
        <w:tc>
          <w:tcPr>
            <w:tcW w:w="1320" w:type="dxa"/>
          </w:tcPr>
          <w:p w14:paraId="5C7395B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44.16</w:t>
            </w:r>
          </w:p>
        </w:tc>
        <w:tc>
          <w:tcPr>
            <w:tcW w:w="1411" w:type="dxa"/>
          </w:tcPr>
          <w:p w14:paraId="5942B0B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-31.01</w:t>
            </w:r>
          </w:p>
        </w:tc>
      </w:tr>
      <w:tr w:rsidR="00794A70" w:rsidRPr="00A67C1C" w14:paraId="5DC65DB0" w14:textId="77777777" w:rsidTr="00794A70">
        <w:tc>
          <w:tcPr>
            <w:tcW w:w="3899" w:type="dxa"/>
          </w:tcPr>
          <w:p w14:paraId="1AE82EB7"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(E)-2-((2,4-Dihydroxybenzylidene)Amino)-6-Phenylpyrimidin-4(1H)-One</w:t>
            </w:r>
          </w:p>
        </w:tc>
        <w:tc>
          <w:tcPr>
            <w:tcW w:w="1321" w:type="dxa"/>
          </w:tcPr>
          <w:p w14:paraId="5854D20F"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-3.21</w:t>
            </w:r>
          </w:p>
        </w:tc>
        <w:tc>
          <w:tcPr>
            <w:tcW w:w="1349" w:type="dxa"/>
          </w:tcPr>
          <w:p w14:paraId="490B706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5.59</w:t>
            </w:r>
          </w:p>
        </w:tc>
        <w:tc>
          <w:tcPr>
            <w:tcW w:w="1320" w:type="dxa"/>
          </w:tcPr>
          <w:p w14:paraId="56E3E8E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-33.57</w:t>
            </w:r>
          </w:p>
        </w:tc>
        <w:tc>
          <w:tcPr>
            <w:tcW w:w="1320" w:type="dxa"/>
          </w:tcPr>
          <w:p w14:paraId="006B86D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44.48</w:t>
            </w:r>
          </w:p>
        </w:tc>
        <w:tc>
          <w:tcPr>
            <w:tcW w:w="1411" w:type="dxa"/>
          </w:tcPr>
          <w:p w14:paraId="3820CF8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-30.74</w:t>
            </w:r>
          </w:p>
        </w:tc>
      </w:tr>
      <w:tr w:rsidR="00794A70" w:rsidRPr="00A67C1C" w14:paraId="409B3933" w14:textId="77777777" w:rsidTr="00794A70">
        <w:tc>
          <w:tcPr>
            <w:tcW w:w="3899" w:type="dxa"/>
          </w:tcPr>
          <w:p w14:paraId="1E05009B"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(E)-2-((2-Hydroxybenzylidene)Amino)-6-Phenylpyrimidin-4(1H)-One</w:t>
            </w:r>
          </w:p>
        </w:tc>
        <w:tc>
          <w:tcPr>
            <w:tcW w:w="1321" w:type="dxa"/>
          </w:tcPr>
          <w:p w14:paraId="40F501B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-3.88</w:t>
            </w:r>
          </w:p>
        </w:tc>
        <w:tc>
          <w:tcPr>
            <w:tcW w:w="1349" w:type="dxa"/>
          </w:tcPr>
          <w:p w14:paraId="124FA74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2.45</w:t>
            </w:r>
          </w:p>
        </w:tc>
        <w:tc>
          <w:tcPr>
            <w:tcW w:w="1320" w:type="dxa"/>
          </w:tcPr>
          <w:p w14:paraId="14D1AB9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-27.53</w:t>
            </w:r>
          </w:p>
        </w:tc>
        <w:tc>
          <w:tcPr>
            <w:tcW w:w="1320" w:type="dxa"/>
          </w:tcPr>
          <w:p w14:paraId="4AB13E7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37.62</w:t>
            </w:r>
          </w:p>
        </w:tc>
        <w:tc>
          <w:tcPr>
            <w:tcW w:w="1411" w:type="dxa"/>
          </w:tcPr>
          <w:p w14:paraId="0CB616F4"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-27.96</w:t>
            </w:r>
          </w:p>
        </w:tc>
      </w:tr>
      <w:tr w:rsidR="00794A70" w:rsidRPr="00A67C1C" w14:paraId="08CA7A05" w14:textId="77777777" w:rsidTr="00794A70">
        <w:tc>
          <w:tcPr>
            <w:tcW w:w="3899" w:type="dxa"/>
          </w:tcPr>
          <w:p w14:paraId="1DEE39F6"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(E)-2((4-Methoxybenzylidene)Amino)-6-Amino)-6-Phenylpyrimidin-4(1H)-One</w:t>
            </w:r>
          </w:p>
        </w:tc>
        <w:tc>
          <w:tcPr>
            <w:tcW w:w="1321" w:type="dxa"/>
          </w:tcPr>
          <w:p w14:paraId="5732637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w:t>
            </w:r>
          </w:p>
        </w:tc>
        <w:tc>
          <w:tcPr>
            <w:tcW w:w="1349" w:type="dxa"/>
          </w:tcPr>
          <w:p w14:paraId="431DAE0F"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15.17</w:t>
            </w:r>
          </w:p>
        </w:tc>
        <w:tc>
          <w:tcPr>
            <w:tcW w:w="1320" w:type="dxa"/>
          </w:tcPr>
          <w:p w14:paraId="64AB3E4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-35.38</w:t>
            </w:r>
          </w:p>
        </w:tc>
        <w:tc>
          <w:tcPr>
            <w:tcW w:w="1320" w:type="dxa"/>
          </w:tcPr>
          <w:p w14:paraId="188118EA"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59.8</w:t>
            </w:r>
          </w:p>
        </w:tc>
        <w:tc>
          <w:tcPr>
            <w:tcW w:w="1411" w:type="dxa"/>
          </w:tcPr>
          <w:p w14:paraId="2BA58AC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-27.29</w:t>
            </w:r>
          </w:p>
        </w:tc>
      </w:tr>
      <w:tr w:rsidR="00794A70" w:rsidRPr="00A67C1C" w14:paraId="7A9221CA" w14:textId="77777777" w:rsidTr="00794A70">
        <w:tc>
          <w:tcPr>
            <w:tcW w:w="3899" w:type="dxa"/>
          </w:tcPr>
          <w:p w14:paraId="5AB7D759"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(E)-2-((4-(Dimethylamino)Benzylidene)Amino)-6-Phenylpyrimidin-4(1H)-One</w:t>
            </w:r>
          </w:p>
        </w:tc>
        <w:tc>
          <w:tcPr>
            <w:tcW w:w="1321" w:type="dxa"/>
          </w:tcPr>
          <w:p w14:paraId="59CD60C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-2.97</w:t>
            </w:r>
          </w:p>
        </w:tc>
        <w:tc>
          <w:tcPr>
            <w:tcW w:w="1349" w:type="dxa"/>
          </w:tcPr>
          <w:p w14:paraId="37058369"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5.16</w:t>
            </w:r>
          </w:p>
        </w:tc>
        <w:tc>
          <w:tcPr>
            <w:tcW w:w="1320" w:type="dxa"/>
          </w:tcPr>
          <w:p w14:paraId="698F2EEE"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-26.34</w:t>
            </w:r>
          </w:p>
        </w:tc>
        <w:tc>
          <w:tcPr>
            <w:tcW w:w="1320" w:type="dxa"/>
          </w:tcPr>
          <w:p w14:paraId="35084DD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67.23</w:t>
            </w:r>
          </w:p>
        </w:tc>
        <w:tc>
          <w:tcPr>
            <w:tcW w:w="1411" w:type="dxa"/>
          </w:tcPr>
          <w:p w14:paraId="1A9FABE5"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-26.88</w:t>
            </w:r>
          </w:p>
        </w:tc>
      </w:tr>
      <w:bookmarkEnd w:id="7"/>
    </w:tbl>
    <w:p w14:paraId="5556F8DB" w14:textId="77777777" w:rsidR="00E00B3E" w:rsidRDefault="00E00B3E" w:rsidP="008E3B60">
      <w:pPr>
        <w:rPr>
          <w:rFonts w:ascii="Arial" w:hAnsi="Arial" w:cs="Arial"/>
          <w:sz w:val="20"/>
          <w:szCs w:val="20"/>
        </w:rPr>
        <w:sectPr w:rsidR="00E00B3E" w:rsidSect="00794A70">
          <w:pgSz w:w="12240" w:h="15840"/>
          <w:pgMar w:top="1440" w:right="1440" w:bottom="1440" w:left="1440" w:header="720" w:footer="720" w:gutter="0"/>
          <w:cols w:space="720"/>
          <w:docGrid w:linePitch="360"/>
        </w:sectPr>
      </w:pPr>
    </w:p>
    <w:p w14:paraId="013C9756" w14:textId="2C30CCF6" w:rsidR="00E90FB9" w:rsidRPr="007C7E19" w:rsidRDefault="00E00B3E" w:rsidP="007C7E19">
      <w:pPr>
        <w:rPr>
          <w:rFonts w:ascii="Arial" w:hAnsi="Arial" w:cs="Arial"/>
          <w:sz w:val="20"/>
          <w:szCs w:val="20"/>
        </w:rPr>
      </w:pPr>
      <w:r w:rsidRPr="00E00B3E">
        <w:rPr>
          <w:rFonts w:ascii="Arial" w:hAnsi="Arial" w:cs="Arial"/>
          <w:noProof/>
          <w:color w:val="000000"/>
          <w:sz w:val="20"/>
          <w:szCs w:val="20"/>
        </w:rPr>
        <w:lastRenderedPageBreak/>
        <w:drawing>
          <wp:inline distT="0" distB="0" distL="0" distR="0" wp14:anchorId="0D41C08E" wp14:editId="13A1F833">
            <wp:extent cx="8086725" cy="4612892"/>
            <wp:effectExtent l="38100" t="38100" r="28575" b="35560"/>
            <wp:docPr id="147030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1924" name=""/>
                    <pic:cNvPicPr/>
                  </pic:nvPicPr>
                  <pic:blipFill>
                    <a:blip r:embed="rId48"/>
                    <a:stretch>
                      <a:fillRect/>
                    </a:stretch>
                  </pic:blipFill>
                  <pic:spPr>
                    <a:xfrm>
                      <a:off x="0" y="0"/>
                      <a:ext cx="8206561" cy="4681250"/>
                    </a:xfrm>
                    <a:prstGeom prst="rect">
                      <a:avLst/>
                    </a:prstGeom>
                    <a:ln w="25400">
                      <a:solidFill>
                        <a:schemeClr val="tx1"/>
                      </a:solidFill>
                    </a:ln>
                  </pic:spPr>
                </pic:pic>
              </a:graphicData>
            </a:graphic>
          </wp:inline>
        </w:drawing>
      </w:r>
    </w:p>
    <w:p w14:paraId="0575610C" w14:textId="4DA23FBA" w:rsidR="00D76FCE" w:rsidRPr="00E90FB9" w:rsidRDefault="007C7E19" w:rsidP="00E90FB9">
      <w:pPr>
        <w:spacing w:before="100" w:beforeAutospacing="1" w:after="100" w:afterAutospacing="1" w:line="360" w:lineRule="auto"/>
        <w:jc w:val="both"/>
        <w:rPr>
          <w:rFonts w:ascii="Arial" w:eastAsia="Times New Roman" w:hAnsi="Arial" w:cs="Arial"/>
          <w:kern w:val="0"/>
          <w:sz w:val="20"/>
          <w:szCs w:val="20"/>
        </w:rPr>
        <w:sectPr w:rsidR="00D76FCE" w:rsidRPr="00E90FB9" w:rsidSect="00E00B3E">
          <w:pgSz w:w="15840" w:h="12240" w:orient="landscape"/>
          <w:pgMar w:top="1440" w:right="1440" w:bottom="1440" w:left="1440" w:header="720" w:footer="720" w:gutter="0"/>
          <w:cols w:space="720"/>
          <w:docGrid w:linePitch="360"/>
        </w:sectPr>
      </w:pPr>
      <w:r w:rsidRPr="0036243B">
        <w:rPr>
          <w:rFonts w:ascii="Arial" w:hAnsi="Arial" w:cs="Arial"/>
          <w:b/>
          <w:bCs/>
          <w:sz w:val="20"/>
          <w:szCs w:val="20"/>
        </w:rPr>
        <w:t xml:space="preserve">Figure </w:t>
      </w:r>
      <w:r w:rsidR="00892BFA">
        <w:rPr>
          <w:rFonts w:ascii="Arial" w:hAnsi="Arial" w:cs="Arial"/>
          <w:b/>
          <w:bCs/>
          <w:sz w:val="20"/>
          <w:szCs w:val="20"/>
        </w:rPr>
        <w:t>3</w:t>
      </w:r>
      <w:r>
        <w:rPr>
          <w:rFonts w:ascii="Arial" w:hAnsi="Arial" w:cs="Arial"/>
          <w:b/>
          <w:bCs/>
          <w:sz w:val="20"/>
          <w:szCs w:val="20"/>
        </w:rPr>
        <w:t>a</w:t>
      </w:r>
      <w:r w:rsidRPr="0036243B">
        <w:rPr>
          <w:rFonts w:ascii="Arial" w:hAnsi="Arial" w:cs="Arial"/>
          <w:b/>
          <w:bCs/>
          <w:sz w:val="20"/>
          <w:szCs w:val="20"/>
        </w:rPr>
        <w:t>:</w:t>
      </w:r>
      <w:r w:rsidRPr="0036243B">
        <w:rPr>
          <w:rFonts w:ascii="Arial" w:hAnsi="Arial" w:cs="Arial"/>
          <w:sz w:val="20"/>
          <w:szCs w:val="20"/>
        </w:rPr>
        <w:t xml:space="preserve"> MMGBSAΔG Bind H-bond, Covalent bond, Vander </w:t>
      </w:r>
      <w:proofErr w:type="spellStart"/>
      <w:r w:rsidRPr="0036243B">
        <w:rPr>
          <w:rFonts w:ascii="Arial" w:hAnsi="Arial" w:cs="Arial"/>
          <w:sz w:val="20"/>
          <w:szCs w:val="20"/>
        </w:rPr>
        <w:t>waal</w:t>
      </w:r>
      <w:proofErr w:type="spellEnd"/>
      <w:r w:rsidRPr="0036243B">
        <w:rPr>
          <w:rFonts w:ascii="Arial" w:hAnsi="Arial" w:cs="Arial"/>
          <w:sz w:val="20"/>
          <w:szCs w:val="20"/>
        </w:rPr>
        <w:t xml:space="preserve"> forces, and Polar solvation of </w:t>
      </w:r>
      <w:r>
        <w:rPr>
          <w:rFonts w:ascii="Arial" w:hAnsi="Arial" w:cs="Arial"/>
          <w:sz w:val="20"/>
          <w:szCs w:val="20"/>
        </w:rPr>
        <w:t xml:space="preserve">Oxythiamine and the six </w:t>
      </w:r>
      <w:r w:rsidR="007D282F">
        <w:rPr>
          <w:rFonts w:ascii="Arial" w:hAnsi="Arial" w:cs="Arial"/>
          <w:bCs/>
          <w:noProof/>
          <w:sz w:val="20"/>
          <w:szCs w:val="20"/>
        </w:rPr>
        <w:t>Schiff-bases</w:t>
      </w:r>
      <w:r>
        <w:rPr>
          <w:rFonts w:ascii="Arial" w:hAnsi="Arial" w:cs="Arial"/>
          <w:sz w:val="20"/>
          <w:szCs w:val="20"/>
        </w:rPr>
        <w:t xml:space="preserve"> </w:t>
      </w:r>
      <w:r w:rsidR="00053E65">
        <w:rPr>
          <w:rFonts w:ascii="Arial" w:hAnsi="Arial" w:cs="Arial"/>
          <w:sz w:val="20"/>
          <w:szCs w:val="20"/>
        </w:rPr>
        <w:t xml:space="preserve">of phenylisocytosine </w:t>
      </w:r>
      <w:r w:rsidRPr="0036243B">
        <w:rPr>
          <w:rFonts w:ascii="Arial" w:hAnsi="Arial" w:cs="Arial"/>
          <w:sz w:val="20"/>
          <w:szCs w:val="20"/>
        </w:rPr>
        <w:t>in Maestro 12.5</w:t>
      </w:r>
    </w:p>
    <w:p w14:paraId="3639B45E" w14:textId="6C1FD70D" w:rsidR="0003531E" w:rsidRPr="006E63F6" w:rsidRDefault="00C773CD" w:rsidP="0003531E">
      <w:pPr>
        <w:pStyle w:val="NormalWeb"/>
        <w:spacing w:before="0" w:beforeAutospacing="0" w:line="360" w:lineRule="auto"/>
        <w:jc w:val="both"/>
        <w:rPr>
          <w:rFonts w:ascii="Arial" w:hAnsi="Arial" w:cs="Arial"/>
          <w:b/>
          <w:noProof/>
          <w:sz w:val="20"/>
          <w:szCs w:val="20"/>
        </w:rPr>
      </w:pPr>
      <w:r w:rsidRPr="00C773CD">
        <w:rPr>
          <w:rFonts w:ascii="Arial" w:hAnsi="Arial" w:cs="Arial"/>
          <w:b/>
          <w:noProof/>
          <w:sz w:val="20"/>
          <w:szCs w:val="20"/>
        </w:rPr>
        <w:lastRenderedPageBreak/>
        <w:drawing>
          <wp:inline distT="0" distB="0" distL="0" distR="0" wp14:anchorId="1C8A0323" wp14:editId="2F6E1A2A">
            <wp:extent cx="5991225" cy="2733675"/>
            <wp:effectExtent l="38100" t="38100" r="47625" b="47625"/>
            <wp:docPr id="204798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9653" name=""/>
                    <pic:cNvPicPr/>
                  </pic:nvPicPr>
                  <pic:blipFill>
                    <a:blip r:embed="rId49"/>
                    <a:stretch>
                      <a:fillRect/>
                    </a:stretch>
                  </pic:blipFill>
                  <pic:spPr>
                    <a:xfrm>
                      <a:off x="0" y="0"/>
                      <a:ext cx="5991225" cy="2733675"/>
                    </a:xfrm>
                    <a:prstGeom prst="rect">
                      <a:avLst/>
                    </a:prstGeom>
                    <a:ln w="25400">
                      <a:solidFill>
                        <a:schemeClr val="tx1"/>
                      </a:solidFill>
                    </a:ln>
                  </pic:spPr>
                </pic:pic>
              </a:graphicData>
            </a:graphic>
          </wp:inline>
        </w:drawing>
      </w:r>
    </w:p>
    <w:p w14:paraId="62C0BD02" w14:textId="0B1CE271" w:rsidR="00C773CD" w:rsidRPr="0036243B" w:rsidRDefault="00C773CD" w:rsidP="00B75EA3">
      <w:pPr>
        <w:pStyle w:val="NormalWeb"/>
        <w:spacing w:after="0" w:afterAutospacing="0" w:line="360" w:lineRule="auto"/>
        <w:jc w:val="both"/>
        <w:rPr>
          <w:rFonts w:ascii="Arial" w:hAnsi="Arial" w:cs="Arial"/>
          <w:sz w:val="20"/>
          <w:szCs w:val="20"/>
        </w:rPr>
      </w:pPr>
      <w:r w:rsidRPr="0036243B">
        <w:rPr>
          <w:rFonts w:ascii="Arial" w:hAnsi="Arial" w:cs="Arial"/>
          <w:b/>
          <w:bCs/>
          <w:sz w:val="20"/>
          <w:szCs w:val="20"/>
        </w:rPr>
        <w:t xml:space="preserve">Figure </w:t>
      </w:r>
      <w:r w:rsidR="00892BFA">
        <w:rPr>
          <w:rFonts w:ascii="Arial" w:hAnsi="Arial" w:cs="Arial"/>
          <w:b/>
          <w:bCs/>
          <w:sz w:val="20"/>
          <w:szCs w:val="20"/>
        </w:rPr>
        <w:t>3</w:t>
      </w:r>
      <w:r w:rsidR="007C7E19">
        <w:rPr>
          <w:rFonts w:ascii="Arial" w:hAnsi="Arial" w:cs="Arial"/>
          <w:b/>
          <w:bCs/>
          <w:sz w:val="20"/>
          <w:szCs w:val="20"/>
        </w:rPr>
        <w:t>b</w:t>
      </w:r>
      <w:r w:rsidRPr="0036243B">
        <w:rPr>
          <w:rFonts w:ascii="Arial" w:hAnsi="Arial" w:cs="Arial"/>
          <w:b/>
          <w:bCs/>
          <w:sz w:val="20"/>
          <w:szCs w:val="20"/>
        </w:rPr>
        <w:t>:</w:t>
      </w:r>
      <w:r w:rsidRPr="0036243B">
        <w:rPr>
          <w:rFonts w:ascii="Arial" w:hAnsi="Arial" w:cs="Arial"/>
          <w:sz w:val="20"/>
          <w:szCs w:val="20"/>
        </w:rPr>
        <w:t xml:space="preserve"> MMGBSAΔG overall binding energy for </w:t>
      </w:r>
      <w:r>
        <w:rPr>
          <w:rFonts w:ascii="Arial" w:hAnsi="Arial" w:cs="Arial"/>
          <w:sz w:val="20"/>
          <w:szCs w:val="20"/>
        </w:rPr>
        <w:t>Oxythiamine</w:t>
      </w:r>
      <w:r w:rsidR="007C7E19">
        <w:rPr>
          <w:rFonts w:ascii="Arial" w:hAnsi="Arial" w:cs="Arial"/>
          <w:sz w:val="20"/>
          <w:szCs w:val="20"/>
        </w:rPr>
        <w:t xml:space="preserve"> and the six </w:t>
      </w:r>
      <w:r w:rsidR="007D282F">
        <w:rPr>
          <w:rFonts w:ascii="Arial" w:hAnsi="Arial" w:cs="Arial"/>
          <w:bCs/>
          <w:noProof/>
          <w:sz w:val="20"/>
          <w:szCs w:val="20"/>
        </w:rPr>
        <w:t>Schiff-bases</w:t>
      </w:r>
      <w:r w:rsidR="007C7E19">
        <w:rPr>
          <w:rFonts w:ascii="Arial" w:hAnsi="Arial" w:cs="Arial"/>
          <w:color w:val="000000"/>
          <w:sz w:val="20"/>
          <w:szCs w:val="20"/>
        </w:rPr>
        <w:t xml:space="preserve"> </w:t>
      </w:r>
      <w:r w:rsidR="00053E65">
        <w:rPr>
          <w:rFonts w:ascii="Arial" w:hAnsi="Arial" w:cs="Arial"/>
          <w:color w:val="000000"/>
          <w:sz w:val="20"/>
          <w:szCs w:val="20"/>
        </w:rPr>
        <w:t xml:space="preserve">of phenylisocytosine </w:t>
      </w:r>
      <w:r w:rsidRPr="0036243B">
        <w:rPr>
          <w:rFonts w:ascii="Arial" w:hAnsi="Arial" w:cs="Arial"/>
          <w:sz w:val="20"/>
          <w:szCs w:val="20"/>
        </w:rPr>
        <w:t>in Maestro 12.5.</w:t>
      </w:r>
    </w:p>
    <w:p w14:paraId="171FE898" w14:textId="77777777" w:rsidR="00C773CD" w:rsidRPr="0036243B" w:rsidRDefault="00C773CD" w:rsidP="00B75EA3">
      <w:pPr>
        <w:spacing w:after="0" w:line="360" w:lineRule="auto"/>
        <w:jc w:val="both"/>
        <w:rPr>
          <w:rFonts w:ascii="Arial" w:hAnsi="Arial" w:cs="Arial"/>
          <w:b/>
          <w:bCs/>
          <w:sz w:val="20"/>
          <w:szCs w:val="20"/>
        </w:rPr>
      </w:pPr>
      <w:r w:rsidRPr="0036243B">
        <w:rPr>
          <w:rFonts w:ascii="Arial" w:hAnsi="Arial" w:cs="Arial"/>
          <w:b/>
          <w:bCs/>
          <w:sz w:val="20"/>
          <w:szCs w:val="20"/>
        </w:rPr>
        <w:t>3.4 SELECTION OF LEAD COMPOUNDS FOR MD SIMULATION.</w:t>
      </w:r>
    </w:p>
    <w:p w14:paraId="45456572" w14:textId="21402442" w:rsidR="00586DAD" w:rsidRPr="00586DAD" w:rsidRDefault="00586DAD" w:rsidP="00B75EA3">
      <w:pPr>
        <w:spacing w:after="0" w:line="360" w:lineRule="auto"/>
        <w:jc w:val="both"/>
        <w:rPr>
          <w:rFonts w:ascii="Arial" w:hAnsi="Arial" w:cs="Arial"/>
          <w:sz w:val="20"/>
          <w:szCs w:val="20"/>
        </w:rPr>
      </w:pPr>
      <w:r w:rsidRPr="00586DAD">
        <w:rPr>
          <w:rFonts w:ascii="Arial" w:hAnsi="Arial" w:cs="Arial"/>
          <w:sz w:val="20"/>
          <w:szCs w:val="20"/>
        </w:rPr>
        <w:t>Based on the results of structure-based virtual screening (molecular docking and molecular mechanics) and ligand-based virtual screening, including Lipinski's Rule of Five and ADMET evaluation, two ligands, (E)-2-((3-hydroxybenzylidene)amino)-6-phenylpyrimidin-4(1H)-one and (E)-2-((3,4-dimethoxybenzylidene)amino)-6-phenylpyrimidin-4(1H)-one, were chosen for molecular dynamics (MD) simulations alongside the reference drug, oxythiamine. These ligands demonstrated exceptional pharmacokinetic profiles, satisfying drug-likeness criteria and exhibiting strong binding affinities during molecular docking studies.</w:t>
      </w:r>
      <w:r w:rsidR="00F07118">
        <w:rPr>
          <w:rFonts w:ascii="Arial" w:hAnsi="Arial" w:cs="Arial"/>
          <w:sz w:val="20"/>
          <w:szCs w:val="20"/>
        </w:rPr>
        <w:t xml:space="preserve"> </w:t>
      </w:r>
      <w:r w:rsidRPr="00586DAD">
        <w:rPr>
          <w:rFonts w:ascii="Arial" w:hAnsi="Arial" w:cs="Arial"/>
          <w:sz w:val="20"/>
          <w:szCs w:val="20"/>
        </w:rPr>
        <w:t>Their ability to form stable interactions with the target protein, coupled with favorable ADMET properties, highlights their potential as lead compounds for further exploration through MD simulations. These findings reinforce their viability as candidates for developing effective inhibitors against Plasmodium falciparum transketolase.</w:t>
      </w:r>
    </w:p>
    <w:p w14:paraId="0C19BA35" w14:textId="77777777" w:rsidR="00C773CD" w:rsidRPr="00B058FA" w:rsidRDefault="00C773CD" w:rsidP="00B75EA3">
      <w:pPr>
        <w:spacing w:after="0" w:line="360" w:lineRule="auto"/>
        <w:rPr>
          <w:rFonts w:ascii="Arial" w:hAnsi="Arial" w:cs="Arial"/>
          <w:b/>
          <w:bCs/>
          <w:sz w:val="20"/>
          <w:szCs w:val="20"/>
        </w:rPr>
      </w:pPr>
      <w:r w:rsidRPr="00B058FA">
        <w:rPr>
          <w:rFonts w:ascii="Arial" w:hAnsi="Arial" w:cs="Arial"/>
          <w:b/>
          <w:bCs/>
          <w:sz w:val="20"/>
          <w:szCs w:val="20"/>
        </w:rPr>
        <w:t>3.5 MOLECULAR DYNAMICS (MD)</w:t>
      </w:r>
    </w:p>
    <w:p w14:paraId="28D01EE2" w14:textId="57869F17" w:rsidR="00560A3A" w:rsidRPr="00B058FA" w:rsidRDefault="00560A3A" w:rsidP="00C773CD">
      <w:pPr>
        <w:spacing w:line="360" w:lineRule="auto"/>
        <w:jc w:val="both"/>
        <w:rPr>
          <w:rFonts w:ascii="Arial" w:hAnsi="Arial" w:cs="Arial"/>
          <w:sz w:val="20"/>
          <w:szCs w:val="20"/>
        </w:rPr>
      </w:pPr>
      <w:r w:rsidRPr="00560A3A">
        <w:rPr>
          <w:rFonts w:ascii="Arial" w:hAnsi="Arial" w:cs="Arial"/>
          <w:sz w:val="20"/>
          <w:szCs w:val="20"/>
        </w:rPr>
        <w:t>MD simulations assessed the stability, flexibility, and interaction strength of the protein-ligand complexes over time, analyzing key parameters such as RMSD, RMSF, H-bond, and ROG (Table 5). These metrics provide insights into the complexes' behavior under physiological conditions</w:t>
      </w:r>
      <w:r w:rsidR="00AE4682">
        <w:rPr>
          <w:rFonts w:ascii="Arial" w:hAnsi="Arial" w:cs="Arial"/>
          <w:sz w:val="20"/>
          <w:szCs w:val="20"/>
        </w:rPr>
        <w:t xml:space="preserve"> [</w:t>
      </w:r>
      <w:r w:rsidR="00DB17A8">
        <w:rPr>
          <w:rFonts w:ascii="Arial" w:hAnsi="Arial" w:cs="Arial"/>
          <w:sz w:val="20"/>
          <w:szCs w:val="20"/>
        </w:rPr>
        <w:t>22,</w:t>
      </w:r>
      <w:r w:rsidR="00AE4682">
        <w:rPr>
          <w:rFonts w:ascii="Arial" w:hAnsi="Arial" w:cs="Arial"/>
          <w:sz w:val="20"/>
          <w:szCs w:val="20"/>
        </w:rPr>
        <w:t>23]</w:t>
      </w:r>
      <w:r w:rsidRPr="00560A3A">
        <w:rPr>
          <w:rFonts w:ascii="Arial" w:hAnsi="Arial" w:cs="Arial"/>
          <w:sz w:val="20"/>
          <w:szCs w:val="20"/>
        </w:rPr>
        <w:t>.</w:t>
      </w:r>
    </w:p>
    <w:p w14:paraId="69A1198B" w14:textId="77777777" w:rsidR="00B75EA3" w:rsidRDefault="00B75EA3" w:rsidP="00C773CD">
      <w:pPr>
        <w:rPr>
          <w:rFonts w:ascii="Arial" w:hAnsi="Arial" w:cs="Arial"/>
          <w:b/>
          <w:sz w:val="20"/>
          <w:szCs w:val="20"/>
        </w:rPr>
      </w:pPr>
    </w:p>
    <w:p w14:paraId="0034BCB7" w14:textId="77777777" w:rsidR="00B75EA3" w:rsidRDefault="00B75EA3" w:rsidP="00C773CD">
      <w:pPr>
        <w:rPr>
          <w:rFonts w:ascii="Arial" w:hAnsi="Arial" w:cs="Arial"/>
          <w:b/>
          <w:sz w:val="20"/>
          <w:szCs w:val="20"/>
        </w:rPr>
      </w:pPr>
    </w:p>
    <w:p w14:paraId="484D964A" w14:textId="77777777" w:rsidR="00B75EA3" w:rsidRDefault="00B75EA3" w:rsidP="00C773CD">
      <w:pPr>
        <w:rPr>
          <w:rFonts w:ascii="Arial" w:hAnsi="Arial" w:cs="Arial"/>
          <w:b/>
          <w:sz w:val="20"/>
          <w:szCs w:val="20"/>
        </w:rPr>
      </w:pPr>
    </w:p>
    <w:p w14:paraId="7A05CCA0" w14:textId="77777777" w:rsidR="00B75EA3" w:rsidRDefault="00B75EA3" w:rsidP="00C773CD">
      <w:pPr>
        <w:rPr>
          <w:rFonts w:ascii="Arial" w:hAnsi="Arial" w:cs="Arial"/>
          <w:b/>
          <w:sz w:val="20"/>
          <w:szCs w:val="20"/>
        </w:rPr>
      </w:pPr>
    </w:p>
    <w:p w14:paraId="3C49833B" w14:textId="77777777" w:rsidR="00B75EA3" w:rsidRDefault="00B75EA3" w:rsidP="00C773CD">
      <w:pPr>
        <w:rPr>
          <w:rFonts w:ascii="Arial" w:hAnsi="Arial" w:cs="Arial"/>
          <w:b/>
          <w:sz w:val="20"/>
          <w:szCs w:val="20"/>
        </w:rPr>
      </w:pPr>
    </w:p>
    <w:p w14:paraId="33506885" w14:textId="4B88058B" w:rsidR="00D10E13" w:rsidRDefault="00C773CD" w:rsidP="00C773CD">
      <w:pPr>
        <w:rPr>
          <w:rFonts w:ascii="Arial" w:hAnsi="Arial" w:cs="Arial"/>
          <w:b/>
          <w:sz w:val="20"/>
          <w:szCs w:val="20"/>
        </w:rPr>
      </w:pPr>
      <w:r w:rsidRPr="0036243B">
        <w:rPr>
          <w:rFonts w:ascii="Arial" w:hAnsi="Arial" w:cs="Arial"/>
          <w:b/>
          <w:sz w:val="20"/>
          <w:szCs w:val="20"/>
        </w:rPr>
        <w:lastRenderedPageBreak/>
        <w:t xml:space="preserve">Table 5: Average values of RMSD, RMSF, </w:t>
      </w:r>
      <w:r w:rsidR="008B2FE1" w:rsidRPr="0036243B">
        <w:rPr>
          <w:rFonts w:ascii="Arial" w:hAnsi="Arial" w:cs="Arial"/>
          <w:b/>
          <w:sz w:val="20"/>
          <w:szCs w:val="20"/>
        </w:rPr>
        <w:t>H-bond</w:t>
      </w:r>
      <w:r w:rsidR="008B2FE1">
        <w:rPr>
          <w:rFonts w:ascii="Arial" w:hAnsi="Arial" w:cs="Arial"/>
          <w:b/>
          <w:sz w:val="20"/>
          <w:szCs w:val="20"/>
        </w:rPr>
        <w:t xml:space="preserve">, and </w:t>
      </w:r>
      <w:r w:rsidRPr="0036243B">
        <w:rPr>
          <w:rFonts w:ascii="Arial" w:hAnsi="Arial" w:cs="Arial"/>
          <w:b/>
          <w:sz w:val="20"/>
          <w:szCs w:val="20"/>
        </w:rPr>
        <w:t>ROG</w:t>
      </w:r>
      <w:r w:rsidR="008B2FE1">
        <w:rPr>
          <w:rFonts w:ascii="Arial" w:hAnsi="Arial" w:cs="Arial"/>
          <w:b/>
          <w:sz w:val="20"/>
          <w:szCs w:val="20"/>
        </w:rPr>
        <w:t xml:space="preserve"> </w:t>
      </w:r>
      <w:r w:rsidRPr="0036243B">
        <w:rPr>
          <w:rFonts w:ascii="Arial" w:hAnsi="Arial" w:cs="Arial"/>
          <w:b/>
          <w:sz w:val="20"/>
          <w:szCs w:val="20"/>
        </w:rPr>
        <w:t>of all simulated complexes.</w:t>
      </w:r>
    </w:p>
    <w:tbl>
      <w:tblPr>
        <w:tblStyle w:val="TableGridLight1"/>
        <w:tblW w:w="9437" w:type="dxa"/>
        <w:tblInd w:w="-95" w:type="dxa"/>
        <w:tblLayout w:type="fixed"/>
        <w:tblLook w:val="04A0" w:firstRow="1" w:lastRow="0" w:firstColumn="1" w:lastColumn="0" w:noHBand="0" w:noVBand="1"/>
      </w:tblPr>
      <w:tblGrid>
        <w:gridCol w:w="3641"/>
        <w:gridCol w:w="1449"/>
        <w:gridCol w:w="1449"/>
        <w:gridCol w:w="1449"/>
        <w:gridCol w:w="1449"/>
      </w:tblGrid>
      <w:tr w:rsidR="00C773CD" w:rsidRPr="004C5489" w14:paraId="3DB997CC" w14:textId="77777777" w:rsidTr="0001741A">
        <w:trPr>
          <w:trHeight w:val="280"/>
        </w:trPr>
        <w:tc>
          <w:tcPr>
            <w:tcW w:w="3641" w:type="dxa"/>
            <w:noWrap/>
            <w:vAlign w:val="center"/>
            <w:hideMark/>
          </w:tcPr>
          <w:p w14:paraId="7DF05EAA" w14:textId="77777777" w:rsidR="00C773CD" w:rsidRPr="00C773CD" w:rsidRDefault="00C773CD" w:rsidP="00C773CD">
            <w:pPr>
              <w:spacing w:line="480" w:lineRule="auto"/>
              <w:jc w:val="center"/>
              <w:rPr>
                <w:rFonts w:ascii="Arial" w:eastAsia="Times New Roman" w:hAnsi="Arial" w:cs="Arial"/>
                <w:color w:val="000000"/>
                <w:kern w:val="0"/>
                <w:sz w:val="20"/>
                <w:szCs w:val="20"/>
              </w:rPr>
            </w:pPr>
            <w:r w:rsidRPr="00C773CD">
              <w:rPr>
                <w:rFonts w:ascii="Arial" w:hAnsi="Arial" w:cs="Arial"/>
                <w:b/>
                <w:sz w:val="20"/>
                <w:szCs w:val="20"/>
              </w:rPr>
              <w:t>Compound Identifier</w:t>
            </w:r>
          </w:p>
        </w:tc>
        <w:tc>
          <w:tcPr>
            <w:tcW w:w="1449" w:type="dxa"/>
            <w:noWrap/>
            <w:hideMark/>
          </w:tcPr>
          <w:p w14:paraId="096C9519"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 RMSD</w:t>
            </w:r>
          </w:p>
          <w:p w14:paraId="25A0A4F1"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tcPr>
          <w:p w14:paraId="1EE4889F"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 RMSF</w:t>
            </w:r>
          </w:p>
          <w:p w14:paraId="4059F1C9"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tcPr>
          <w:p w14:paraId="559D846F" w14:textId="10D27FD6"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w:t>
            </w:r>
          </w:p>
          <w:p w14:paraId="16EE7D0E" w14:textId="767EE059"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H-bond</w:t>
            </w:r>
          </w:p>
          <w:p w14:paraId="564036AF"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noWrap/>
            <w:hideMark/>
          </w:tcPr>
          <w:p w14:paraId="787EC50B"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w:t>
            </w:r>
          </w:p>
          <w:p w14:paraId="325A1F4C" w14:textId="2FD0CA66"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ROG</w:t>
            </w:r>
          </w:p>
          <w:p w14:paraId="466F7A74" w14:textId="77777777" w:rsidR="00C773CD" w:rsidRPr="00C773CD" w:rsidRDefault="00C773CD" w:rsidP="00C773CD">
            <w:pPr>
              <w:spacing w:line="480" w:lineRule="auto"/>
              <w:jc w:val="center"/>
              <w:rPr>
                <w:rFonts w:ascii="Arial" w:eastAsia="Times New Roman" w:hAnsi="Arial" w:cs="Arial"/>
                <w:color w:val="000000"/>
                <w:kern w:val="0"/>
                <w:sz w:val="20"/>
                <w:szCs w:val="20"/>
              </w:rPr>
            </w:pPr>
            <w:r w:rsidRPr="00C773CD">
              <w:rPr>
                <w:rFonts w:ascii="Arial" w:hAnsi="Arial" w:cs="Arial"/>
                <w:b/>
                <w:sz w:val="20"/>
                <w:szCs w:val="20"/>
              </w:rPr>
              <w:t>values (nm)</w:t>
            </w:r>
          </w:p>
        </w:tc>
      </w:tr>
      <w:tr w:rsidR="00C773CD" w:rsidRPr="004C5489" w14:paraId="3958E9BC" w14:textId="77777777" w:rsidTr="0001741A">
        <w:trPr>
          <w:trHeight w:val="503"/>
        </w:trPr>
        <w:tc>
          <w:tcPr>
            <w:tcW w:w="3641" w:type="dxa"/>
            <w:noWrap/>
          </w:tcPr>
          <w:p w14:paraId="140136EB" w14:textId="77F17F59"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Oxythiamine</w:t>
            </w:r>
          </w:p>
        </w:tc>
        <w:tc>
          <w:tcPr>
            <w:tcW w:w="1449" w:type="dxa"/>
            <w:noWrap/>
          </w:tcPr>
          <w:p w14:paraId="0DA485A1" w14:textId="1801772D"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0.4743</w:t>
            </w:r>
            <w:r w:rsidR="00F11C28">
              <w:rPr>
                <w:rFonts w:ascii="Arial" w:eastAsia="Times New Roman" w:hAnsi="Arial" w:cs="Arial"/>
                <w:color w:val="000000"/>
                <w:kern w:val="0"/>
                <w:sz w:val="20"/>
                <w:szCs w:val="20"/>
              </w:rPr>
              <w:t>5</w:t>
            </w:r>
          </w:p>
        </w:tc>
        <w:tc>
          <w:tcPr>
            <w:tcW w:w="1449" w:type="dxa"/>
          </w:tcPr>
          <w:p w14:paraId="7BA72410" w14:textId="77777777"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0.138127</w:t>
            </w:r>
          </w:p>
        </w:tc>
        <w:tc>
          <w:tcPr>
            <w:tcW w:w="1449" w:type="dxa"/>
          </w:tcPr>
          <w:p w14:paraId="561F6AF4" w14:textId="77777777"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0.08173</w:t>
            </w:r>
          </w:p>
        </w:tc>
        <w:tc>
          <w:tcPr>
            <w:tcW w:w="1449" w:type="dxa"/>
            <w:noWrap/>
          </w:tcPr>
          <w:p w14:paraId="0E56F746" w14:textId="5460B9DC"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3.0229</w:t>
            </w:r>
            <w:r w:rsidR="00F11C28">
              <w:rPr>
                <w:rFonts w:ascii="Arial" w:eastAsia="Times New Roman" w:hAnsi="Arial" w:cs="Arial"/>
                <w:color w:val="000000"/>
                <w:kern w:val="0"/>
                <w:sz w:val="20"/>
                <w:szCs w:val="20"/>
              </w:rPr>
              <w:t>1</w:t>
            </w:r>
          </w:p>
        </w:tc>
      </w:tr>
      <w:tr w:rsidR="00C773CD" w:rsidRPr="004C5489" w14:paraId="6698545C" w14:textId="77777777" w:rsidTr="0001741A">
        <w:trPr>
          <w:trHeight w:val="980"/>
        </w:trPr>
        <w:tc>
          <w:tcPr>
            <w:tcW w:w="3641" w:type="dxa"/>
            <w:noWrap/>
            <w:vAlign w:val="bottom"/>
            <w:hideMark/>
          </w:tcPr>
          <w:p w14:paraId="6B326C6C" w14:textId="111359C5" w:rsidR="00C773CD" w:rsidRPr="00C773CD" w:rsidRDefault="00C773CD" w:rsidP="00C773CD">
            <w:pPr>
              <w:spacing w:line="480" w:lineRule="auto"/>
              <w:jc w:val="center"/>
              <w:rPr>
                <w:rFonts w:ascii="Arial" w:hAnsi="Arial" w:cs="Arial"/>
                <w:sz w:val="20"/>
                <w:szCs w:val="20"/>
              </w:rPr>
            </w:pPr>
            <w:r w:rsidRPr="00C773CD">
              <w:rPr>
                <w:rFonts w:ascii="Arial" w:hAnsi="Arial" w:cs="Arial"/>
                <w:sz w:val="20"/>
                <w:szCs w:val="20"/>
              </w:rPr>
              <w:t>(E)-2-((3-Hydroxybenzylidene)amino)-</w:t>
            </w:r>
          </w:p>
          <w:p w14:paraId="230B98B5" w14:textId="087657CF" w:rsidR="00C773CD" w:rsidRPr="00C773CD" w:rsidRDefault="00C773CD" w:rsidP="00C773CD">
            <w:pPr>
              <w:spacing w:line="480" w:lineRule="auto"/>
              <w:jc w:val="center"/>
              <w:rPr>
                <w:rFonts w:ascii="Arial" w:hAnsi="Arial" w:cs="Arial"/>
                <w:bCs/>
                <w:sz w:val="20"/>
                <w:szCs w:val="20"/>
              </w:rPr>
            </w:pPr>
            <w:r w:rsidRPr="00C773CD">
              <w:rPr>
                <w:rFonts w:ascii="Arial" w:hAnsi="Arial" w:cs="Arial"/>
                <w:sz w:val="20"/>
                <w:szCs w:val="20"/>
              </w:rPr>
              <w:t>6-Phenylpyrimidin-4(1H)-One</w:t>
            </w:r>
          </w:p>
        </w:tc>
        <w:tc>
          <w:tcPr>
            <w:tcW w:w="1449" w:type="dxa"/>
            <w:noWrap/>
            <w:hideMark/>
          </w:tcPr>
          <w:p w14:paraId="0EEE0F34" w14:textId="77777777" w:rsidR="00C773CD" w:rsidRPr="00C773CD" w:rsidRDefault="00C773CD" w:rsidP="00C773CD">
            <w:pPr>
              <w:spacing w:line="480" w:lineRule="auto"/>
              <w:jc w:val="center"/>
              <w:rPr>
                <w:rFonts w:ascii="Arial" w:hAnsi="Arial" w:cs="Arial"/>
                <w:color w:val="000000"/>
                <w:sz w:val="20"/>
                <w:szCs w:val="20"/>
              </w:rPr>
            </w:pPr>
          </w:p>
          <w:p w14:paraId="299ED968" w14:textId="08A7901F" w:rsidR="00C773CD" w:rsidRPr="004B4158"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0.31394</w:t>
            </w:r>
            <w:r>
              <w:rPr>
                <w:rFonts w:ascii="Arial" w:hAnsi="Arial" w:cs="Arial"/>
                <w:color w:val="000000"/>
                <w:sz w:val="20"/>
                <w:szCs w:val="20"/>
              </w:rPr>
              <w:t xml:space="preserve">  </w:t>
            </w:r>
          </w:p>
        </w:tc>
        <w:tc>
          <w:tcPr>
            <w:tcW w:w="1449" w:type="dxa"/>
          </w:tcPr>
          <w:p w14:paraId="4E072680" w14:textId="77777777" w:rsidR="00C773CD" w:rsidRPr="00C773CD" w:rsidRDefault="00C773CD" w:rsidP="00C773CD">
            <w:pPr>
              <w:spacing w:line="480" w:lineRule="auto"/>
              <w:jc w:val="center"/>
              <w:rPr>
                <w:rFonts w:ascii="Arial" w:hAnsi="Arial" w:cs="Arial"/>
                <w:color w:val="000000"/>
                <w:sz w:val="20"/>
                <w:szCs w:val="20"/>
              </w:rPr>
            </w:pPr>
          </w:p>
          <w:p w14:paraId="035CCD6D" w14:textId="79277DA5" w:rsidR="00C773CD" w:rsidRPr="00C773CD"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0.1419</w:t>
            </w:r>
            <w:r>
              <w:rPr>
                <w:rFonts w:ascii="Arial" w:hAnsi="Arial" w:cs="Arial"/>
                <w:color w:val="000000"/>
                <w:sz w:val="20"/>
                <w:szCs w:val="20"/>
              </w:rPr>
              <w:t>7</w:t>
            </w:r>
          </w:p>
        </w:tc>
        <w:tc>
          <w:tcPr>
            <w:tcW w:w="1449" w:type="dxa"/>
          </w:tcPr>
          <w:p w14:paraId="1A4188AB" w14:textId="77777777" w:rsidR="00C773CD" w:rsidRPr="00C773CD" w:rsidRDefault="00C773CD" w:rsidP="00C773CD">
            <w:pPr>
              <w:spacing w:line="480" w:lineRule="auto"/>
              <w:jc w:val="center"/>
              <w:rPr>
                <w:rFonts w:ascii="Arial" w:hAnsi="Arial" w:cs="Arial"/>
                <w:color w:val="000000"/>
                <w:sz w:val="20"/>
                <w:szCs w:val="20"/>
              </w:rPr>
            </w:pPr>
          </w:p>
          <w:p w14:paraId="5F24D931" w14:textId="0D6AC793"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0.6838</w:t>
            </w:r>
            <w:r>
              <w:rPr>
                <w:rFonts w:ascii="Arial" w:hAnsi="Arial" w:cs="Arial"/>
                <w:color w:val="000000"/>
                <w:sz w:val="20"/>
                <w:szCs w:val="20"/>
              </w:rPr>
              <w:t xml:space="preserve">3 </w:t>
            </w:r>
          </w:p>
        </w:tc>
        <w:tc>
          <w:tcPr>
            <w:tcW w:w="1449" w:type="dxa"/>
            <w:noWrap/>
            <w:hideMark/>
          </w:tcPr>
          <w:p w14:paraId="23AD1B2C" w14:textId="77777777" w:rsidR="00C773CD" w:rsidRPr="00C773CD" w:rsidRDefault="00C773CD" w:rsidP="00C773CD">
            <w:pPr>
              <w:spacing w:line="480" w:lineRule="auto"/>
              <w:jc w:val="center"/>
              <w:rPr>
                <w:rFonts w:ascii="Arial" w:hAnsi="Arial" w:cs="Arial"/>
                <w:color w:val="000000"/>
                <w:sz w:val="20"/>
                <w:szCs w:val="20"/>
              </w:rPr>
            </w:pPr>
          </w:p>
          <w:p w14:paraId="42F82FD1" w14:textId="2BA9AB84" w:rsidR="00C773CD" w:rsidRPr="00C773CD" w:rsidRDefault="00C773CD"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2.9974</w:t>
            </w:r>
            <w:r w:rsidR="00F11C28">
              <w:rPr>
                <w:rFonts w:ascii="Arial" w:hAnsi="Arial" w:cs="Arial"/>
                <w:color w:val="000000"/>
                <w:sz w:val="20"/>
                <w:szCs w:val="20"/>
              </w:rPr>
              <w:t>1</w:t>
            </w:r>
          </w:p>
          <w:p w14:paraId="464F2DAE" w14:textId="77777777" w:rsidR="00C773CD" w:rsidRPr="00C773CD" w:rsidRDefault="00C773CD" w:rsidP="00C773CD">
            <w:pPr>
              <w:spacing w:line="480" w:lineRule="auto"/>
              <w:jc w:val="center"/>
              <w:rPr>
                <w:rFonts w:ascii="Arial" w:eastAsia="Times New Roman" w:hAnsi="Arial" w:cs="Arial"/>
                <w:color w:val="000000"/>
                <w:kern w:val="0"/>
                <w:sz w:val="20"/>
                <w:szCs w:val="20"/>
              </w:rPr>
            </w:pPr>
          </w:p>
        </w:tc>
      </w:tr>
      <w:tr w:rsidR="00C773CD" w:rsidRPr="004C5489" w14:paraId="0AC3C474" w14:textId="77777777" w:rsidTr="0001741A">
        <w:trPr>
          <w:trHeight w:val="980"/>
        </w:trPr>
        <w:tc>
          <w:tcPr>
            <w:tcW w:w="3641" w:type="dxa"/>
            <w:noWrap/>
            <w:vAlign w:val="bottom"/>
            <w:hideMark/>
          </w:tcPr>
          <w:p w14:paraId="7CE939B1" w14:textId="559BAF59" w:rsidR="00C773CD" w:rsidRPr="00C773CD" w:rsidRDefault="00C773CD" w:rsidP="00C773CD">
            <w:pPr>
              <w:spacing w:line="480" w:lineRule="auto"/>
              <w:jc w:val="center"/>
              <w:rPr>
                <w:rFonts w:ascii="Arial" w:eastAsia="Times New Roman" w:hAnsi="Arial" w:cs="Arial"/>
                <w:bCs/>
                <w:color w:val="000000"/>
                <w:kern w:val="0"/>
                <w:sz w:val="20"/>
                <w:szCs w:val="20"/>
              </w:rPr>
            </w:pPr>
            <w:r w:rsidRPr="00C773CD">
              <w:rPr>
                <w:rFonts w:ascii="Arial" w:hAnsi="Arial" w:cs="Arial"/>
                <w:sz w:val="20"/>
                <w:szCs w:val="20"/>
              </w:rPr>
              <w:t>(E)-2-((3,4-Dimethoxybenzylidene)Amino)-6-Phenylpyrimidin-4(1H)-One</w:t>
            </w:r>
          </w:p>
          <w:p w14:paraId="1A572733" w14:textId="7CC8184B" w:rsidR="00C773CD" w:rsidRPr="00C773CD" w:rsidRDefault="00C773CD" w:rsidP="00C773CD">
            <w:pPr>
              <w:spacing w:line="480" w:lineRule="auto"/>
              <w:jc w:val="center"/>
              <w:rPr>
                <w:rFonts w:ascii="Arial" w:eastAsia="Times New Roman" w:hAnsi="Arial" w:cs="Arial"/>
                <w:bCs/>
                <w:color w:val="000000"/>
                <w:kern w:val="0"/>
                <w:sz w:val="20"/>
                <w:szCs w:val="20"/>
              </w:rPr>
            </w:pPr>
          </w:p>
        </w:tc>
        <w:tc>
          <w:tcPr>
            <w:tcW w:w="1449" w:type="dxa"/>
            <w:noWrap/>
            <w:hideMark/>
          </w:tcPr>
          <w:p w14:paraId="1C879896" w14:textId="77777777" w:rsidR="00C773CD" w:rsidRPr="00C773CD" w:rsidRDefault="00C773CD" w:rsidP="00C773CD">
            <w:pPr>
              <w:spacing w:line="480" w:lineRule="auto"/>
              <w:jc w:val="center"/>
              <w:rPr>
                <w:rFonts w:ascii="Arial" w:hAnsi="Arial" w:cs="Arial"/>
                <w:color w:val="000000"/>
                <w:sz w:val="20"/>
                <w:szCs w:val="20"/>
              </w:rPr>
            </w:pPr>
          </w:p>
          <w:p w14:paraId="2CD78E92" w14:textId="77777777" w:rsidR="004B4158" w:rsidRPr="00C773CD"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0.27671</w:t>
            </w:r>
          </w:p>
          <w:p w14:paraId="2171FBDA" w14:textId="77777777" w:rsidR="004B4158" w:rsidRPr="00C773CD" w:rsidRDefault="004B4158" w:rsidP="00C773CD">
            <w:pPr>
              <w:spacing w:line="480" w:lineRule="auto"/>
              <w:jc w:val="center"/>
              <w:rPr>
                <w:rFonts w:ascii="Arial" w:hAnsi="Arial" w:cs="Arial"/>
                <w:color w:val="000000"/>
                <w:sz w:val="20"/>
                <w:szCs w:val="20"/>
              </w:rPr>
            </w:pPr>
          </w:p>
          <w:p w14:paraId="19E8462C" w14:textId="77777777" w:rsidR="00C773CD" w:rsidRPr="00C773CD" w:rsidRDefault="00C773CD" w:rsidP="00C773CD">
            <w:pPr>
              <w:spacing w:line="480" w:lineRule="auto"/>
              <w:jc w:val="center"/>
              <w:rPr>
                <w:rFonts w:ascii="Arial" w:eastAsia="Times New Roman" w:hAnsi="Arial" w:cs="Arial"/>
                <w:color w:val="000000"/>
                <w:kern w:val="0"/>
                <w:sz w:val="20"/>
                <w:szCs w:val="20"/>
              </w:rPr>
            </w:pPr>
          </w:p>
        </w:tc>
        <w:tc>
          <w:tcPr>
            <w:tcW w:w="1449" w:type="dxa"/>
          </w:tcPr>
          <w:p w14:paraId="7ED8CD03" w14:textId="77777777" w:rsidR="00C773CD" w:rsidRPr="00C773CD" w:rsidRDefault="00C773CD" w:rsidP="00C773CD">
            <w:pPr>
              <w:spacing w:line="480" w:lineRule="auto"/>
              <w:jc w:val="center"/>
              <w:rPr>
                <w:rFonts w:ascii="Arial" w:hAnsi="Arial" w:cs="Arial"/>
                <w:color w:val="000000"/>
                <w:sz w:val="20"/>
                <w:szCs w:val="20"/>
              </w:rPr>
            </w:pPr>
          </w:p>
          <w:p w14:paraId="5E3DF3C9" w14:textId="7B0C09F7"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0.12977</w:t>
            </w:r>
          </w:p>
        </w:tc>
        <w:tc>
          <w:tcPr>
            <w:tcW w:w="1449" w:type="dxa"/>
          </w:tcPr>
          <w:p w14:paraId="09BE3E10" w14:textId="77777777" w:rsidR="00C773CD" w:rsidRPr="00C773CD" w:rsidRDefault="00C773CD" w:rsidP="00C773CD">
            <w:pPr>
              <w:spacing w:line="480" w:lineRule="auto"/>
              <w:jc w:val="center"/>
              <w:rPr>
                <w:rFonts w:ascii="Arial" w:hAnsi="Arial" w:cs="Arial"/>
                <w:color w:val="000000"/>
                <w:sz w:val="20"/>
                <w:szCs w:val="20"/>
              </w:rPr>
            </w:pPr>
          </w:p>
          <w:p w14:paraId="625FAFB2" w14:textId="547712C4"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0.76031</w:t>
            </w:r>
          </w:p>
        </w:tc>
        <w:tc>
          <w:tcPr>
            <w:tcW w:w="1449" w:type="dxa"/>
            <w:noWrap/>
            <w:hideMark/>
          </w:tcPr>
          <w:p w14:paraId="0BE42F3C" w14:textId="77777777" w:rsidR="00C773CD" w:rsidRPr="00C773CD" w:rsidRDefault="00C773CD" w:rsidP="00C773CD">
            <w:pPr>
              <w:spacing w:line="480" w:lineRule="auto"/>
              <w:jc w:val="center"/>
              <w:rPr>
                <w:rFonts w:ascii="Arial" w:hAnsi="Arial" w:cs="Arial"/>
                <w:color w:val="000000"/>
                <w:sz w:val="20"/>
                <w:szCs w:val="20"/>
              </w:rPr>
            </w:pPr>
          </w:p>
          <w:p w14:paraId="4BF4D608" w14:textId="095405AA" w:rsidR="00C773CD" w:rsidRPr="00C773CD" w:rsidRDefault="00C773CD"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3.00694</w:t>
            </w:r>
          </w:p>
        </w:tc>
      </w:tr>
    </w:tbl>
    <w:p w14:paraId="5BDD3035" w14:textId="77777777" w:rsidR="008B2FE1" w:rsidRDefault="008B2FE1" w:rsidP="00C773CD"/>
    <w:p w14:paraId="76F637F6" w14:textId="77777777" w:rsidR="008B2FE1" w:rsidRPr="0036243B" w:rsidRDefault="008B2FE1" w:rsidP="00B75EA3">
      <w:pPr>
        <w:spacing w:after="0" w:line="360" w:lineRule="auto"/>
        <w:rPr>
          <w:rFonts w:ascii="Arial" w:hAnsi="Arial" w:cs="Arial"/>
          <w:b/>
          <w:bCs/>
          <w:sz w:val="20"/>
          <w:szCs w:val="20"/>
        </w:rPr>
      </w:pPr>
      <w:r w:rsidRPr="0036243B">
        <w:rPr>
          <w:rFonts w:ascii="Arial" w:hAnsi="Arial" w:cs="Arial"/>
          <w:b/>
          <w:bCs/>
          <w:sz w:val="20"/>
          <w:szCs w:val="20"/>
        </w:rPr>
        <w:t xml:space="preserve">3.5.1 RMSD </w:t>
      </w:r>
    </w:p>
    <w:p w14:paraId="7A3B1767" w14:textId="78033DAA" w:rsidR="00F11C28" w:rsidRDefault="008F58B5" w:rsidP="00B75EA3">
      <w:pPr>
        <w:spacing w:after="0" w:line="360" w:lineRule="auto"/>
        <w:jc w:val="both"/>
        <w:rPr>
          <w:rFonts w:ascii="Arial" w:hAnsi="Arial" w:cs="Arial"/>
          <w:sz w:val="20"/>
          <w:szCs w:val="20"/>
        </w:rPr>
      </w:pPr>
      <w:r w:rsidRPr="008F58B5">
        <w:rPr>
          <w:rFonts w:ascii="Arial" w:hAnsi="Arial" w:cs="Arial"/>
          <w:sz w:val="20"/>
          <w:szCs w:val="20"/>
        </w:rPr>
        <w:t>RMSD values reflect the overall stability of the protein-ligand complex by measuring deviations in atomic positions over time</w:t>
      </w:r>
      <w:r w:rsidR="00DB17A8">
        <w:rPr>
          <w:rFonts w:ascii="Arial" w:hAnsi="Arial" w:cs="Arial"/>
          <w:sz w:val="20"/>
          <w:szCs w:val="20"/>
        </w:rPr>
        <w:t xml:space="preserve"> [3</w:t>
      </w:r>
      <w:r w:rsidR="004F44E2">
        <w:rPr>
          <w:rFonts w:ascii="Arial" w:hAnsi="Arial" w:cs="Arial"/>
          <w:sz w:val="20"/>
          <w:szCs w:val="20"/>
        </w:rPr>
        <w:t>9</w:t>
      </w:r>
      <w:r w:rsidR="00DB17A8">
        <w:rPr>
          <w:rFonts w:ascii="Arial" w:hAnsi="Arial" w:cs="Arial"/>
          <w:sz w:val="20"/>
          <w:szCs w:val="20"/>
        </w:rPr>
        <w:t>]</w:t>
      </w:r>
      <w:r w:rsidRPr="008F58B5">
        <w:rPr>
          <w:rFonts w:ascii="Arial" w:hAnsi="Arial" w:cs="Arial"/>
          <w:sz w:val="20"/>
          <w:szCs w:val="20"/>
        </w:rPr>
        <w:t>. Oxythiamine exhibited the highest RMSD value (0.474 nm), indicating significant conformational changes and less stability during the simulation. This suggests weaker interactions with the protein, resulting in greater flexibility and movement away from the initial binding site</w:t>
      </w:r>
      <w:r w:rsidR="00AE4682">
        <w:rPr>
          <w:rFonts w:ascii="Arial" w:hAnsi="Arial" w:cs="Arial"/>
          <w:sz w:val="20"/>
          <w:szCs w:val="20"/>
        </w:rPr>
        <w:t xml:space="preserve"> [12]</w:t>
      </w:r>
      <w:r w:rsidRPr="008F58B5">
        <w:rPr>
          <w:rFonts w:ascii="Arial" w:hAnsi="Arial" w:cs="Arial"/>
          <w:sz w:val="20"/>
          <w:szCs w:val="20"/>
        </w:rPr>
        <w:t>. In contrast, (E)-2-((3</w:t>
      </w:r>
      <w:proofErr w:type="gramStart"/>
      <w:r w:rsidRPr="008F58B5">
        <w:rPr>
          <w:rFonts w:ascii="Arial" w:hAnsi="Arial" w:cs="Arial"/>
          <w:sz w:val="20"/>
          <w:szCs w:val="20"/>
        </w:rPr>
        <w:t>,4</w:t>
      </w:r>
      <w:proofErr w:type="gramEnd"/>
      <w:r w:rsidRPr="008F58B5">
        <w:rPr>
          <w:rFonts w:ascii="Arial" w:hAnsi="Arial" w:cs="Arial"/>
          <w:sz w:val="20"/>
          <w:szCs w:val="20"/>
        </w:rPr>
        <w:t>-Dimethoxybenzylidene)amino)-6-Phenylpyrimidin-4(1H)-One showed the lowest RMSD value (0.277 nm), demonstrating the most stable complex with minimal deviations. (E)-2-((3-Hydroxybenzylidene</w:t>
      </w:r>
      <w:proofErr w:type="gramStart"/>
      <w:r w:rsidRPr="008F58B5">
        <w:rPr>
          <w:rFonts w:ascii="Arial" w:hAnsi="Arial" w:cs="Arial"/>
          <w:sz w:val="20"/>
          <w:szCs w:val="20"/>
        </w:rPr>
        <w:t>)amino</w:t>
      </w:r>
      <w:proofErr w:type="gramEnd"/>
      <w:r w:rsidRPr="008F58B5">
        <w:rPr>
          <w:rFonts w:ascii="Arial" w:hAnsi="Arial" w:cs="Arial"/>
          <w:sz w:val="20"/>
          <w:szCs w:val="20"/>
        </w:rPr>
        <w:t>)-6-Phenylpyrimidin-4(1H)-One also exhibited strong stability with an RMSD value of 0.314 nm. These results highlight that both Schiff bases form more stable interactions with the target protein compared to oxythiamine.</w:t>
      </w:r>
    </w:p>
    <w:p w14:paraId="7DA42709" w14:textId="77777777" w:rsidR="00F15BDC" w:rsidRDefault="00F15BDC" w:rsidP="00B75EA3">
      <w:pPr>
        <w:spacing w:after="0" w:line="360" w:lineRule="auto"/>
        <w:rPr>
          <w:rFonts w:ascii="Arial" w:hAnsi="Arial" w:cs="Arial"/>
          <w:b/>
          <w:bCs/>
          <w:sz w:val="20"/>
          <w:szCs w:val="20"/>
        </w:rPr>
      </w:pPr>
      <w:r w:rsidRPr="0036243B">
        <w:rPr>
          <w:rFonts w:ascii="Arial" w:hAnsi="Arial" w:cs="Arial"/>
          <w:b/>
          <w:bCs/>
          <w:sz w:val="20"/>
          <w:szCs w:val="20"/>
        </w:rPr>
        <w:t>3.5.</w:t>
      </w:r>
      <w:r>
        <w:rPr>
          <w:rFonts w:ascii="Arial" w:hAnsi="Arial" w:cs="Arial"/>
          <w:b/>
          <w:bCs/>
          <w:sz w:val="20"/>
          <w:szCs w:val="20"/>
        </w:rPr>
        <w:t>2</w:t>
      </w:r>
      <w:r w:rsidRPr="0036243B">
        <w:rPr>
          <w:rFonts w:ascii="Arial" w:hAnsi="Arial" w:cs="Arial"/>
          <w:b/>
          <w:bCs/>
          <w:sz w:val="20"/>
          <w:szCs w:val="20"/>
        </w:rPr>
        <w:t xml:space="preserve"> RMS</w:t>
      </w:r>
      <w:r>
        <w:rPr>
          <w:rFonts w:ascii="Arial" w:hAnsi="Arial" w:cs="Arial"/>
          <w:b/>
          <w:bCs/>
          <w:sz w:val="20"/>
          <w:szCs w:val="20"/>
        </w:rPr>
        <w:t>F</w:t>
      </w:r>
    </w:p>
    <w:p w14:paraId="1D7A6DC5" w14:textId="7CE9E41E" w:rsidR="00F15BDC" w:rsidRPr="00F35933" w:rsidRDefault="00F15BDC" w:rsidP="00B75EA3">
      <w:pPr>
        <w:spacing w:after="0" w:line="360" w:lineRule="auto"/>
        <w:jc w:val="both"/>
        <w:rPr>
          <w:rFonts w:ascii="Arial" w:hAnsi="Arial" w:cs="Arial"/>
          <w:sz w:val="20"/>
          <w:szCs w:val="20"/>
        </w:rPr>
      </w:pPr>
      <w:r w:rsidRPr="00F35933">
        <w:rPr>
          <w:rFonts w:ascii="Arial" w:hAnsi="Arial" w:cs="Arial"/>
          <w:sz w:val="20"/>
          <w:szCs w:val="20"/>
        </w:rPr>
        <w:t>RMSF values provide insight into the flexibility of individual residues within the protein-ligand complex</w:t>
      </w:r>
      <w:r>
        <w:rPr>
          <w:rFonts w:ascii="Arial" w:hAnsi="Arial" w:cs="Arial"/>
          <w:sz w:val="20"/>
          <w:szCs w:val="20"/>
        </w:rPr>
        <w:t xml:space="preserve"> [</w:t>
      </w:r>
      <w:r w:rsidR="004F44E2">
        <w:rPr>
          <w:rFonts w:ascii="Arial" w:hAnsi="Arial" w:cs="Arial"/>
          <w:sz w:val="20"/>
          <w:szCs w:val="20"/>
        </w:rPr>
        <w:t>40</w:t>
      </w:r>
      <w:r>
        <w:rPr>
          <w:rFonts w:ascii="Arial" w:hAnsi="Arial" w:cs="Arial"/>
          <w:sz w:val="20"/>
          <w:szCs w:val="20"/>
        </w:rPr>
        <w:t>]</w:t>
      </w:r>
      <w:r w:rsidRPr="00F35933">
        <w:rPr>
          <w:rFonts w:ascii="Arial" w:hAnsi="Arial" w:cs="Arial"/>
          <w:sz w:val="20"/>
          <w:szCs w:val="20"/>
        </w:rPr>
        <w:t>. Oxythiamine had the highest RMSF value (0.138 nm), reflecting greater residue flexibility and weaker binding. Conversely, (E)-2-((3</w:t>
      </w:r>
      <w:proofErr w:type="gramStart"/>
      <w:r w:rsidRPr="00F35933">
        <w:rPr>
          <w:rFonts w:ascii="Arial" w:hAnsi="Arial" w:cs="Arial"/>
          <w:sz w:val="20"/>
          <w:szCs w:val="20"/>
        </w:rPr>
        <w:t>,4</w:t>
      </w:r>
      <w:proofErr w:type="gramEnd"/>
      <w:r w:rsidRPr="00F35933">
        <w:rPr>
          <w:rFonts w:ascii="Arial" w:hAnsi="Arial" w:cs="Arial"/>
          <w:sz w:val="20"/>
          <w:szCs w:val="20"/>
        </w:rPr>
        <w:t>-Dimethoxybenzylidene)amino)-6-Phenylpyrimidin-4(1H)-One exhibited the lowest RMSF value (0.130 nm), indicating minimal fluctuations and strong interactions with the protein residues. (E)-2-((3-Hydroxybenzylidene</w:t>
      </w:r>
      <w:proofErr w:type="gramStart"/>
      <w:r w:rsidRPr="00F35933">
        <w:rPr>
          <w:rFonts w:ascii="Arial" w:hAnsi="Arial" w:cs="Arial"/>
          <w:sz w:val="20"/>
          <w:szCs w:val="20"/>
        </w:rPr>
        <w:t>)amino</w:t>
      </w:r>
      <w:proofErr w:type="gramEnd"/>
      <w:r w:rsidRPr="00F35933">
        <w:rPr>
          <w:rFonts w:ascii="Arial" w:hAnsi="Arial" w:cs="Arial"/>
          <w:sz w:val="20"/>
          <w:szCs w:val="20"/>
        </w:rPr>
        <w:t>)-6-Phenylpyrimidin-4(1H)-One showed a slightly higher RMSF (0.142 nm) but maintained stable interactions. These findings further confirm that the Schiff bases form more rigid and stable complexes compared to oxythiamine.</w:t>
      </w:r>
    </w:p>
    <w:p w14:paraId="357C53B5" w14:textId="77777777" w:rsidR="00F15BDC" w:rsidRDefault="00F15BDC" w:rsidP="00B75EA3">
      <w:pPr>
        <w:spacing w:after="0" w:line="360" w:lineRule="auto"/>
        <w:jc w:val="both"/>
        <w:rPr>
          <w:rFonts w:ascii="Arial" w:hAnsi="Arial" w:cs="Arial"/>
          <w:sz w:val="20"/>
          <w:szCs w:val="20"/>
        </w:rPr>
      </w:pPr>
    </w:p>
    <w:p w14:paraId="422366CC" w14:textId="4247EFDD" w:rsidR="00F11C28" w:rsidRPr="00F11C28" w:rsidRDefault="00F11C28" w:rsidP="00F11C28">
      <w:pPr>
        <w:spacing w:line="360" w:lineRule="auto"/>
        <w:jc w:val="both"/>
        <w:rPr>
          <w:rFonts w:ascii="Arial" w:hAnsi="Arial" w:cs="Arial"/>
          <w:sz w:val="20"/>
          <w:szCs w:val="20"/>
        </w:rPr>
      </w:pPr>
      <w:r w:rsidRPr="00F11C28">
        <w:rPr>
          <w:rFonts w:ascii="Arial" w:hAnsi="Arial" w:cs="Arial"/>
          <w:noProof/>
          <w:sz w:val="20"/>
          <w:szCs w:val="20"/>
        </w:rPr>
        <w:lastRenderedPageBreak/>
        <w:drawing>
          <wp:inline distT="0" distB="0" distL="0" distR="0" wp14:anchorId="32996779" wp14:editId="75B44985">
            <wp:extent cx="5943600" cy="3152775"/>
            <wp:effectExtent l="38100" t="38100" r="38100" b="47625"/>
            <wp:docPr id="201333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w="25400">
                      <a:solidFill>
                        <a:schemeClr val="tx1"/>
                      </a:solidFill>
                    </a:ln>
                  </pic:spPr>
                </pic:pic>
              </a:graphicData>
            </a:graphic>
          </wp:inline>
        </w:drawing>
      </w:r>
    </w:p>
    <w:p w14:paraId="6B61E964" w14:textId="5C524348" w:rsidR="00F11C28" w:rsidRDefault="00F07118"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4a</w:t>
      </w:r>
      <w:r w:rsidRPr="00C86199">
        <w:rPr>
          <w:rFonts w:ascii="Arial" w:hAnsi="Arial" w:cs="Arial"/>
          <w:sz w:val="20"/>
          <w:szCs w:val="20"/>
        </w:rPr>
        <w:t xml:space="preserve">: RMSD Plot Showing the Stability of </w:t>
      </w:r>
      <w:r w:rsidR="00E9409C" w:rsidRPr="00C773CD">
        <w:rPr>
          <w:rFonts w:ascii="Arial" w:hAnsi="Arial" w:cs="Arial"/>
          <w:sz w:val="20"/>
          <w:szCs w:val="20"/>
        </w:rPr>
        <w:t>2-((3-Hydroxybenzylidene</w:t>
      </w:r>
      <w:proofErr w:type="gramStart"/>
      <w:r w:rsidR="00E9409C" w:rsidRPr="00C773CD">
        <w:rPr>
          <w:rFonts w:ascii="Arial" w:hAnsi="Arial" w:cs="Arial"/>
          <w:sz w:val="20"/>
          <w:szCs w:val="20"/>
        </w:rPr>
        <w:t>)amino</w:t>
      </w:r>
      <w:proofErr w:type="gramEnd"/>
      <w:r w:rsidR="00E9409C" w:rsidRPr="00C773CD">
        <w:rPr>
          <w:rFonts w:ascii="Arial" w:hAnsi="Arial" w:cs="Arial"/>
          <w:sz w:val="20"/>
          <w:szCs w:val="20"/>
        </w:rPr>
        <w:t>)-6-Phenylpyrimidin-4(1H)-One</w:t>
      </w:r>
      <w:r w:rsidRPr="00C86199">
        <w:rPr>
          <w:rFonts w:ascii="Arial" w:hAnsi="Arial" w:cs="Arial"/>
          <w:sz w:val="20"/>
          <w:szCs w:val="20"/>
        </w:rPr>
        <w:t xml:space="preserve">, </w:t>
      </w:r>
      <w:r w:rsidR="00887249" w:rsidRPr="00C773CD">
        <w:rPr>
          <w:rFonts w:ascii="Arial" w:hAnsi="Arial" w:cs="Arial"/>
          <w:sz w:val="20"/>
          <w:szCs w:val="20"/>
        </w:rPr>
        <w:t>2-((3,4-Dimethoxybenzylidene)Amino)-6-Phenylpyrimidin-4(1H)-One</w:t>
      </w:r>
      <w:r w:rsidR="00887249">
        <w:rPr>
          <w:rFonts w:ascii="Arial" w:hAnsi="Arial" w:cs="Arial"/>
          <w:sz w:val="20"/>
          <w:szCs w:val="20"/>
        </w:rPr>
        <w:t xml:space="preserve">, </w:t>
      </w:r>
      <w:r w:rsidRPr="00C86199">
        <w:rPr>
          <w:rFonts w:ascii="Arial" w:hAnsi="Arial" w:cs="Arial"/>
          <w:sz w:val="20"/>
          <w:szCs w:val="20"/>
        </w:rPr>
        <w:t>and Oxythiamine Over</w:t>
      </w:r>
      <w:r w:rsidR="00887249">
        <w:rPr>
          <w:rFonts w:ascii="Arial" w:hAnsi="Arial" w:cs="Arial"/>
          <w:sz w:val="20"/>
          <w:szCs w:val="20"/>
        </w:rPr>
        <w:t xml:space="preserve"> </w:t>
      </w:r>
      <w:r w:rsidRPr="00C86199">
        <w:rPr>
          <w:rFonts w:ascii="Arial" w:hAnsi="Arial" w:cs="Arial"/>
          <w:sz w:val="20"/>
          <w:szCs w:val="20"/>
        </w:rPr>
        <w:t>50 ns of Molecular Dynamics Simulation.</w:t>
      </w:r>
    </w:p>
    <w:p w14:paraId="65CD6CBA" w14:textId="6378DC11" w:rsidR="004B4158" w:rsidRDefault="004B4158" w:rsidP="008B2FE1">
      <w:pPr>
        <w:spacing w:line="360" w:lineRule="auto"/>
        <w:rPr>
          <w:rFonts w:ascii="Arial" w:hAnsi="Arial" w:cs="Arial"/>
          <w:b/>
          <w:bCs/>
          <w:sz w:val="20"/>
          <w:szCs w:val="20"/>
        </w:rPr>
      </w:pPr>
      <w:r w:rsidRPr="004B4158">
        <w:rPr>
          <w:rFonts w:ascii="Arial" w:hAnsi="Arial" w:cs="Arial"/>
          <w:b/>
          <w:bCs/>
          <w:noProof/>
          <w:sz w:val="20"/>
          <w:szCs w:val="20"/>
        </w:rPr>
        <w:drawing>
          <wp:inline distT="0" distB="0" distL="0" distR="0" wp14:anchorId="0E3F1461" wp14:editId="477B3F34">
            <wp:extent cx="5943600" cy="2990850"/>
            <wp:effectExtent l="38100" t="38100" r="38100" b="38100"/>
            <wp:docPr id="863202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w="25400">
                      <a:solidFill>
                        <a:schemeClr val="tx1"/>
                      </a:solidFill>
                    </a:ln>
                  </pic:spPr>
                </pic:pic>
              </a:graphicData>
            </a:graphic>
          </wp:inline>
        </w:drawing>
      </w:r>
    </w:p>
    <w:p w14:paraId="13419B67" w14:textId="71B6C891" w:rsidR="008C3A93" w:rsidRPr="008C3A93" w:rsidRDefault="008C3A93"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4b</w:t>
      </w:r>
      <w:r w:rsidRPr="00C86199">
        <w:rPr>
          <w:rFonts w:ascii="Arial" w:hAnsi="Arial" w:cs="Arial"/>
          <w:sz w:val="20"/>
          <w:szCs w:val="20"/>
        </w:rPr>
        <w:t>: RMS</w:t>
      </w:r>
      <w:r>
        <w:rPr>
          <w:rFonts w:ascii="Arial" w:hAnsi="Arial" w:cs="Arial"/>
          <w:sz w:val="20"/>
          <w:szCs w:val="20"/>
        </w:rPr>
        <w:t>F</w:t>
      </w:r>
      <w:r w:rsidRPr="00C86199">
        <w:rPr>
          <w:rFonts w:ascii="Arial" w:hAnsi="Arial" w:cs="Arial"/>
          <w:sz w:val="20"/>
          <w:szCs w:val="20"/>
        </w:rPr>
        <w:t xml:space="preserve"> Plot Showing the Stability of </w:t>
      </w:r>
      <w:r w:rsidRPr="00C773CD">
        <w:rPr>
          <w:rFonts w:ascii="Arial" w:hAnsi="Arial" w:cs="Arial"/>
          <w:sz w:val="20"/>
          <w:szCs w:val="20"/>
        </w:rPr>
        <w:t>2-((3-Hydroxybenzylidene</w:t>
      </w:r>
      <w:proofErr w:type="gramStart"/>
      <w:r w:rsidRPr="00C773CD">
        <w:rPr>
          <w:rFonts w:ascii="Arial" w:hAnsi="Arial" w:cs="Arial"/>
          <w:sz w:val="20"/>
          <w:szCs w:val="20"/>
        </w:rPr>
        <w:t>)amino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54141690" w14:textId="77777777" w:rsidR="00230B52" w:rsidRPr="00002D52" w:rsidRDefault="00230B52" w:rsidP="00B75EA3">
      <w:pPr>
        <w:spacing w:after="0" w:line="360" w:lineRule="auto"/>
        <w:rPr>
          <w:rFonts w:ascii="Arial" w:hAnsi="Arial" w:cs="Arial"/>
          <w:b/>
          <w:bCs/>
          <w:sz w:val="20"/>
          <w:szCs w:val="20"/>
        </w:rPr>
      </w:pPr>
      <w:r w:rsidRPr="00002D52">
        <w:rPr>
          <w:rFonts w:ascii="Arial" w:hAnsi="Arial" w:cs="Arial"/>
          <w:b/>
          <w:bCs/>
          <w:sz w:val="20"/>
          <w:szCs w:val="20"/>
        </w:rPr>
        <w:lastRenderedPageBreak/>
        <w:t>3.5.</w:t>
      </w:r>
      <w:r>
        <w:rPr>
          <w:rFonts w:ascii="Arial" w:hAnsi="Arial" w:cs="Arial"/>
          <w:b/>
          <w:bCs/>
          <w:sz w:val="20"/>
          <w:szCs w:val="20"/>
        </w:rPr>
        <w:t>3</w:t>
      </w:r>
      <w:r w:rsidRPr="00002D52">
        <w:rPr>
          <w:rFonts w:ascii="Arial" w:hAnsi="Arial" w:cs="Arial"/>
          <w:b/>
          <w:bCs/>
          <w:sz w:val="20"/>
          <w:szCs w:val="20"/>
        </w:rPr>
        <w:t xml:space="preserve"> H-bonding </w:t>
      </w:r>
    </w:p>
    <w:p w14:paraId="57C094CA" w14:textId="633E60A5" w:rsidR="00CA3667" w:rsidRPr="00CA3667" w:rsidRDefault="00CA3667" w:rsidP="00B75EA3">
      <w:pPr>
        <w:spacing w:after="0" w:line="360" w:lineRule="auto"/>
        <w:jc w:val="both"/>
        <w:rPr>
          <w:rFonts w:ascii="Arial" w:hAnsi="Arial" w:cs="Arial"/>
          <w:sz w:val="20"/>
          <w:szCs w:val="20"/>
        </w:rPr>
      </w:pPr>
      <w:r w:rsidRPr="00CA3667">
        <w:rPr>
          <w:rFonts w:ascii="Arial" w:hAnsi="Arial" w:cs="Arial"/>
          <w:sz w:val="20"/>
          <w:szCs w:val="20"/>
        </w:rPr>
        <w:t>Hydrogen bonding is crucial for stabilizing protein-ligand interactions</w:t>
      </w:r>
      <w:r w:rsidR="001502DD">
        <w:rPr>
          <w:rFonts w:ascii="Arial" w:hAnsi="Arial" w:cs="Arial"/>
          <w:sz w:val="20"/>
          <w:szCs w:val="20"/>
        </w:rPr>
        <w:t xml:space="preserve"> [4</w:t>
      </w:r>
      <w:r w:rsidR="004F44E2">
        <w:rPr>
          <w:rFonts w:ascii="Arial" w:hAnsi="Arial" w:cs="Arial"/>
          <w:sz w:val="20"/>
          <w:szCs w:val="20"/>
        </w:rPr>
        <w:t>1</w:t>
      </w:r>
      <w:r w:rsidR="001502DD">
        <w:rPr>
          <w:rFonts w:ascii="Arial" w:hAnsi="Arial" w:cs="Arial"/>
          <w:sz w:val="20"/>
          <w:szCs w:val="20"/>
        </w:rPr>
        <w:t>]</w:t>
      </w:r>
      <w:r w:rsidRPr="00CA3667">
        <w:rPr>
          <w:rFonts w:ascii="Arial" w:hAnsi="Arial" w:cs="Arial"/>
          <w:sz w:val="20"/>
          <w:szCs w:val="20"/>
        </w:rPr>
        <w:t>. Oxythiamine formed the fewest hydrogen bonds, with an average of 0.082, indicating weaker interactions and reduced stability. In comparison, (E)-2-((3</w:t>
      </w:r>
      <w:proofErr w:type="gramStart"/>
      <w:r w:rsidRPr="00CA3667">
        <w:rPr>
          <w:rFonts w:ascii="Arial" w:hAnsi="Arial" w:cs="Arial"/>
          <w:sz w:val="20"/>
          <w:szCs w:val="20"/>
        </w:rPr>
        <w:t>,4</w:t>
      </w:r>
      <w:proofErr w:type="gramEnd"/>
      <w:r w:rsidRPr="00CA3667">
        <w:rPr>
          <w:rFonts w:ascii="Arial" w:hAnsi="Arial" w:cs="Arial"/>
          <w:sz w:val="20"/>
          <w:szCs w:val="20"/>
        </w:rPr>
        <w:t>-Dimethoxybenzylidene)amino)-6-Phenylpyrimidin-4(1H)-One formed the highest number of hydrogen bonds (0.760), followed by (E)-2-((3-Hydroxybenzylidene)amino)-6-Phenylpyrimidin-4(1H)-One (0.684). This higher number of hydrogen bonds suggests that the Schiff bases establish stronger and more consistent interactions with the protein, contributing to their overall stability.</w:t>
      </w:r>
    </w:p>
    <w:p w14:paraId="54C86845" w14:textId="77777777" w:rsidR="008C3A93" w:rsidRDefault="008C3A93" w:rsidP="008D0E5F">
      <w:pPr>
        <w:spacing w:line="360" w:lineRule="auto"/>
        <w:jc w:val="both"/>
        <w:rPr>
          <w:rFonts w:ascii="Arial" w:hAnsi="Arial" w:cs="Arial"/>
          <w:b/>
          <w:bCs/>
          <w:sz w:val="20"/>
          <w:szCs w:val="20"/>
        </w:rPr>
      </w:pPr>
    </w:p>
    <w:p w14:paraId="3FE27D2E" w14:textId="02F38F2D" w:rsidR="00230B52" w:rsidRPr="00230B52" w:rsidRDefault="00230B52" w:rsidP="00230B52">
      <w:pPr>
        <w:spacing w:line="360" w:lineRule="auto"/>
        <w:rPr>
          <w:rFonts w:ascii="Arial" w:hAnsi="Arial" w:cs="Arial"/>
          <w:b/>
          <w:bCs/>
          <w:sz w:val="20"/>
          <w:szCs w:val="20"/>
        </w:rPr>
      </w:pPr>
      <w:r w:rsidRPr="00230B52">
        <w:rPr>
          <w:rFonts w:ascii="Arial" w:hAnsi="Arial" w:cs="Arial"/>
          <w:b/>
          <w:bCs/>
          <w:noProof/>
          <w:sz w:val="20"/>
          <w:szCs w:val="20"/>
        </w:rPr>
        <w:drawing>
          <wp:inline distT="0" distB="0" distL="0" distR="0" wp14:anchorId="5263207F" wp14:editId="47D1997B">
            <wp:extent cx="5943600" cy="3566160"/>
            <wp:effectExtent l="38100" t="38100" r="38100" b="34290"/>
            <wp:docPr id="184432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25400">
                      <a:solidFill>
                        <a:schemeClr val="tx1"/>
                      </a:solidFill>
                    </a:ln>
                  </pic:spPr>
                </pic:pic>
              </a:graphicData>
            </a:graphic>
          </wp:inline>
        </w:drawing>
      </w:r>
    </w:p>
    <w:p w14:paraId="7A3B6810" w14:textId="21576A5C" w:rsidR="00230B52" w:rsidRPr="008C3A93" w:rsidRDefault="008C3A93"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4c</w:t>
      </w:r>
      <w:r w:rsidRPr="00C86199">
        <w:rPr>
          <w:rFonts w:ascii="Arial" w:hAnsi="Arial" w:cs="Arial"/>
          <w:sz w:val="20"/>
          <w:szCs w:val="20"/>
        </w:rPr>
        <w:t xml:space="preserve">: </w:t>
      </w:r>
      <w:r>
        <w:rPr>
          <w:rFonts w:ascii="Arial" w:hAnsi="Arial" w:cs="Arial"/>
          <w:sz w:val="20"/>
          <w:szCs w:val="20"/>
        </w:rPr>
        <w:t>H-bonding</w:t>
      </w:r>
      <w:r w:rsidRPr="00C86199">
        <w:rPr>
          <w:rFonts w:ascii="Arial" w:hAnsi="Arial" w:cs="Arial"/>
          <w:sz w:val="20"/>
          <w:szCs w:val="20"/>
        </w:rPr>
        <w:t xml:space="preserve"> Plot Showing the Stability of </w:t>
      </w:r>
      <w:r w:rsidRPr="00C773CD">
        <w:rPr>
          <w:rFonts w:ascii="Arial" w:hAnsi="Arial" w:cs="Arial"/>
          <w:sz w:val="20"/>
          <w:szCs w:val="20"/>
        </w:rPr>
        <w:t>2-((3-Hydroxybenzylidene</w:t>
      </w:r>
      <w:proofErr w:type="gramStart"/>
      <w:r w:rsidRPr="00C773CD">
        <w:rPr>
          <w:rFonts w:ascii="Arial" w:hAnsi="Arial" w:cs="Arial"/>
          <w:sz w:val="20"/>
          <w:szCs w:val="20"/>
        </w:rPr>
        <w:t>)amino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01CFDAAE" w14:textId="11E43113" w:rsidR="008B2FE1" w:rsidRPr="00002D52" w:rsidRDefault="008B2FE1" w:rsidP="00B75EA3">
      <w:pPr>
        <w:spacing w:after="0" w:line="360" w:lineRule="auto"/>
        <w:rPr>
          <w:rFonts w:ascii="Arial" w:hAnsi="Arial" w:cs="Arial"/>
          <w:b/>
          <w:bCs/>
          <w:sz w:val="20"/>
          <w:szCs w:val="20"/>
        </w:rPr>
      </w:pPr>
      <w:r w:rsidRPr="00002D52">
        <w:rPr>
          <w:rFonts w:ascii="Arial" w:hAnsi="Arial" w:cs="Arial"/>
          <w:b/>
          <w:bCs/>
          <w:sz w:val="20"/>
          <w:szCs w:val="20"/>
        </w:rPr>
        <w:t>3.5.</w:t>
      </w:r>
      <w:r w:rsidR="00230B52">
        <w:rPr>
          <w:rFonts w:ascii="Arial" w:hAnsi="Arial" w:cs="Arial"/>
          <w:b/>
          <w:bCs/>
          <w:sz w:val="20"/>
          <w:szCs w:val="20"/>
        </w:rPr>
        <w:t>4</w:t>
      </w:r>
      <w:r w:rsidRPr="00002D52">
        <w:rPr>
          <w:rFonts w:ascii="Arial" w:hAnsi="Arial" w:cs="Arial"/>
          <w:b/>
          <w:bCs/>
          <w:sz w:val="20"/>
          <w:szCs w:val="20"/>
        </w:rPr>
        <w:t xml:space="preserve"> ROG </w:t>
      </w:r>
    </w:p>
    <w:p w14:paraId="3C904A37" w14:textId="377B6305" w:rsidR="00120A78" w:rsidRPr="00120A78" w:rsidRDefault="00120A78" w:rsidP="00B75EA3">
      <w:pPr>
        <w:spacing w:after="0" w:line="360" w:lineRule="auto"/>
        <w:jc w:val="both"/>
        <w:rPr>
          <w:rFonts w:ascii="Arial" w:hAnsi="Arial" w:cs="Arial"/>
          <w:sz w:val="20"/>
          <w:szCs w:val="20"/>
        </w:rPr>
      </w:pPr>
      <w:r w:rsidRPr="00120A78">
        <w:rPr>
          <w:rFonts w:ascii="Arial" w:hAnsi="Arial" w:cs="Arial"/>
          <w:sz w:val="20"/>
          <w:szCs w:val="20"/>
        </w:rPr>
        <w:t>ROG values measure the compactness of the protein-ligand complex, with lower values indicating a more tightly packed structure</w:t>
      </w:r>
      <w:r w:rsidR="001502DD">
        <w:rPr>
          <w:rFonts w:ascii="Arial" w:hAnsi="Arial" w:cs="Arial"/>
          <w:sz w:val="20"/>
          <w:szCs w:val="20"/>
        </w:rPr>
        <w:t xml:space="preserve"> [35]</w:t>
      </w:r>
      <w:r w:rsidRPr="00120A78">
        <w:rPr>
          <w:rFonts w:ascii="Arial" w:hAnsi="Arial" w:cs="Arial"/>
          <w:sz w:val="20"/>
          <w:szCs w:val="20"/>
        </w:rPr>
        <w:t>. Oxythiamine exhibited the highest ROG value (3.023 nm), suggesting a less compact and less stable complex. (E)-2-((3</w:t>
      </w:r>
      <w:proofErr w:type="gramStart"/>
      <w:r w:rsidRPr="00120A78">
        <w:rPr>
          <w:rFonts w:ascii="Arial" w:hAnsi="Arial" w:cs="Arial"/>
          <w:sz w:val="20"/>
          <w:szCs w:val="20"/>
        </w:rPr>
        <w:t>,4</w:t>
      </w:r>
      <w:proofErr w:type="gramEnd"/>
      <w:r w:rsidRPr="00120A78">
        <w:rPr>
          <w:rFonts w:ascii="Arial" w:hAnsi="Arial" w:cs="Arial"/>
          <w:sz w:val="20"/>
          <w:szCs w:val="20"/>
        </w:rPr>
        <w:t>-Dimethoxybenzylidene)amino)-6-Phenylpyrimidin-4(1H)-One had a slightly lower ROG (3.007 nm), indicating a more compact and stable structure. (E)-2-((3-Hydroxybenzylidene</w:t>
      </w:r>
      <w:proofErr w:type="gramStart"/>
      <w:r w:rsidRPr="00120A78">
        <w:rPr>
          <w:rFonts w:ascii="Arial" w:hAnsi="Arial" w:cs="Arial"/>
          <w:sz w:val="20"/>
          <w:szCs w:val="20"/>
        </w:rPr>
        <w:t>)amino</w:t>
      </w:r>
      <w:proofErr w:type="gramEnd"/>
      <w:r w:rsidRPr="00120A78">
        <w:rPr>
          <w:rFonts w:ascii="Arial" w:hAnsi="Arial" w:cs="Arial"/>
          <w:sz w:val="20"/>
          <w:szCs w:val="20"/>
        </w:rPr>
        <w:t>)-6-Phenylpyrimidin-4(1H)-One demonstrated the lowest ROG value (2.997 nm), highlighting its tightly bound and highly stable complex.</w:t>
      </w:r>
    </w:p>
    <w:p w14:paraId="403B244F" w14:textId="77777777" w:rsidR="008B2FE1" w:rsidRDefault="008B2FE1" w:rsidP="008B2FE1">
      <w:pPr>
        <w:spacing w:line="360" w:lineRule="auto"/>
        <w:rPr>
          <w:rFonts w:ascii="Arial" w:hAnsi="Arial" w:cs="Arial"/>
          <w:b/>
          <w:bCs/>
          <w:sz w:val="20"/>
          <w:szCs w:val="20"/>
        </w:rPr>
      </w:pPr>
    </w:p>
    <w:p w14:paraId="4BB1F488" w14:textId="207989C5" w:rsidR="00230B52" w:rsidRDefault="00230B52" w:rsidP="008B2FE1">
      <w:pPr>
        <w:spacing w:line="360" w:lineRule="auto"/>
        <w:rPr>
          <w:rFonts w:ascii="Arial" w:hAnsi="Arial" w:cs="Arial"/>
          <w:b/>
          <w:bCs/>
          <w:sz w:val="20"/>
          <w:szCs w:val="20"/>
        </w:rPr>
      </w:pPr>
      <w:r w:rsidRPr="00230B52">
        <w:rPr>
          <w:rFonts w:ascii="Arial" w:hAnsi="Arial" w:cs="Arial"/>
          <w:b/>
          <w:bCs/>
          <w:noProof/>
          <w:sz w:val="20"/>
          <w:szCs w:val="20"/>
        </w:rPr>
        <w:lastRenderedPageBreak/>
        <w:drawing>
          <wp:inline distT="0" distB="0" distL="0" distR="0" wp14:anchorId="22A6EF7F" wp14:editId="4F78DBA9">
            <wp:extent cx="5943600" cy="2962275"/>
            <wp:effectExtent l="38100" t="38100" r="38100" b="47625"/>
            <wp:docPr id="1422049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w="25400">
                      <a:solidFill>
                        <a:schemeClr val="tx1"/>
                      </a:solidFill>
                    </a:ln>
                  </pic:spPr>
                </pic:pic>
              </a:graphicData>
            </a:graphic>
          </wp:inline>
        </w:drawing>
      </w:r>
    </w:p>
    <w:p w14:paraId="1E9A6564" w14:textId="525346A3" w:rsidR="00235112" w:rsidRDefault="000D414C"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4d</w:t>
      </w:r>
      <w:r w:rsidRPr="00C86199">
        <w:rPr>
          <w:rFonts w:ascii="Arial" w:hAnsi="Arial" w:cs="Arial"/>
          <w:sz w:val="20"/>
          <w:szCs w:val="20"/>
        </w:rPr>
        <w:t>: R</w:t>
      </w:r>
      <w:r>
        <w:rPr>
          <w:rFonts w:ascii="Arial" w:hAnsi="Arial" w:cs="Arial"/>
          <w:sz w:val="20"/>
          <w:szCs w:val="20"/>
        </w:rPr>
        <w:t>OG Pl</w:t>
      </w:r>
      <w:r w:rsidRPr="00C86199">
        <w:rPr>
          <w:rFonts w:ascii="Arial" w:hAnsi="Arial" w:cs="Arial"/>
          <w:sz w:val="20"/>
          <w:szCs w:val="20"/>
        </w:rPr>
        <w:t xml:space="preserve">ot Showing the Stability of </w:t>
      </w:r>
      <w:r w:rsidRPr="00C773CD">
        <w:rPr>
          <w:rFonts w:ascii="Arial" w:hAnsi="Arial" w:cs="Arial"/>
          <w:sz w:val="20"/>
          <w:szCs w:val="20"/>
        </w:rPr>
        <w:t>2-((3-Hydroxybenzylidene</w:t>
      </w:r>
      <w:proofErr w:type="gramStart"/>
      <w:r w:rsidRPr="00C773CD">
        <w:rPr>
          <w:rFonts w:ascii="Arial" w:hAnsi="Arial" w:cs="Arial"/>
          <w:sz w:val="20"/>
          <w:szCs w:val="20"/>
        </w:rPr>
        <w:t>)amino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5263ECAD" w14:textId="5981FBB3" w:rsidR="008D0E5F" w:rsidRPr="00B75EA3" w:rsidRDefault="00B710E2" w:rsidP="00235112">
      <w:pPr>
        <w:spacing w:line="360" w:lineRule="auto"/>
        <w:jc w:val="both"/>
        <w:rPr>
          <w:rFonts w:ascii="Arial" w:hAnsi="Arial" w:cs="Arial"/>
          <w:sz w:val="20"/>
          <w:szCs w:val="20"/>
        </w:rPr>
      </w:pPr>
      <w:r w:rsidRPr="00B710E2">
        <w:rPr>
          <w:rFonts w:ascii="Arial" w:hAnsi="Arial" w:cs="Arial"/>
          <w:sz w:val="20"/>
          <w:szCs w:val="20"/>
        </w:rPr>
        <w:t>The MD simulation results demonstrate that (E)-2-((3</w:t>
      </w:r>
      <w:proofErr w:type="gramStart"/>
      <w:r w:rsidRPr="00B710E2">
        <w:rPr>
          <w:rFonts w:ascii="Arial" w:hAnsi="Arial" w:cs="Arial"/>
          <w:sz w:val="20"/>
          <w:szCs w:val="20"/>
        </w:rPr>
        <w:t>,4</w:t>
      </w:r>
      <w:proofErr w:type="gramEnd"/>
      <w:r w:rsidRPr="00B710E2">
        <w:rPr>
          <w:rFonts w:ascii="Arial" w:hAnsi="Arial" w:cs="Arial"/>
          <w:sz w:val="20"/>
          <w:szCs w:val="20"/>
        </w:rPr>
        <w:t xml:space="preserve">-Dimethoxybenzylidene)amino)-6-Phenylpyrimidin-4(1H)-One and (E)-2-((3-Hydroxybenzylidene)amino)-6-Phenylpyrimidin-4(1H)-One consistently outperformed oxythiamine across all stability metrics. These Schiff bases exhibited superior RMSD, RMSF, H-bonding, and ROG values, confirming their strong and stable interactions with the target protein. Their favorable performance in MD simulations </w:t>
      </w:r>
      <w:r w:rsidR="001502DD">
        <w:rPr>
          <w:rFonts w:ascii="Arial" w:hAnsi="Arial" w:cs="Arial"/>
          <w:sz w:val="20"/>
          <w:szCs w:val="20"/>
        </w:rPr>
        <w:t>aligns with previous studies</w:t>
      </w:r>
      <w:r w:rsidR="00F67215">
        <w:rPr>
          <w:rFonts w:ascii="Arial" w:hAnsi="Arial" w:cs="Arial"/>
          <w:sz w:val="20"/>
          <w:szCs w:val="20"/>
        </w:rPr>
        <w:t>,</w:t>
      </w:r>
      <w:r w:rsidR="001502DD">
        <w:rPr>
          <w:rFonts w:ascii="Arial" w:hAnsi="Arial" w:cs="Arial"/>
          <w:sz w:val="20"/>
          <w:szCs w:val="20"/>
        </w:rPr>
        <w:t xml:space="preserve"> [</w:t>
      </w:r>
      <w:r w:rsidR="00F67215">
        <w:rPr>
          <w:rFonts w:ascii="Arial" w:hAnsi="Arial" w:cs="Arial"/>
          <w:sz w:val="20"/>
          <w:szCs w:val="20"/>
        </w:rPr>
        <w:t>22</w:t>
      </w:r>
      <w:r w:rsidR="00532AD0">
        <w:rPr>
          <w:rFonts w:ascii="Arial" w:hAnsi="Arial" w:cs="Arial"/>
          <w:sz w:val="20"/>
          <w:szCs w:val="20"/>
        </w:rPr>
        <w:t>, 42</w:t>
      </w:r>
      <w:r w:rsidR="001502DD">
        <w:rPr>
          <w:rFonts w:ascii="Arial" w:hAnsi="Arial" w:cs="Arial"/>
          <w:sz w:val="20"/>
          <w:szCs w:val="20"/>
        </w:rPr>
        <w:t xml:space="preserve">] </w:t>
      </w:r>
      <w:r w:rsidRPr="00B710E2">
        <w:rPr>
          <w:rFonts w:ascii="Arial" w:hAnsi="Arial" w:cs="Arial"/>
          <w:sz w:val="20"/>
          <w:szCs w:val="20"/>
        </w:rPr>
        <w:t>reinforc</w:t>
      </w:r>
      <w:r w:rsidR="001502DD">
        <w:rPr>
          <w:rFonts w:ascii="Arial" w:hAnsi="Arial" w:cs="Arial"/>
          <w:sz w:val="20"/>
          <w:szCs w:val="20"/>
        </w:rPr>
        <w:t>ing</w:t>
      </w:r>
      <w:r w:rsidRPr="00B710E2">
        <w:rPr>
          <w:rFonts w:ascii="Arial" w:hAnsi="Arial" w:cs="Arial"/>
          <w:sz w:val="20"/>
          <w:szCs w:val="20"/>
        </w:rPr>
        <w:t xml:space="preserve"> their potential as lead compounds for antimalarial drug development, warranting further experimental validation and optimization.</w:t>
      </w:r>
    </w:p>
    <w:p w14:paraId="24306347" w14:textId="59740155" w:rsidR="00235112" w:rsidRDefault="00235112" w:rsidP="00B75EA3">
      <w:pPr>
        <w:spacing w:after="0" w:line="360" w:lineRule="auto"/>
        <w:jc w:val="both"/>
        <w:rPr>
          <w:rFonts w:ascii="Arial" w:hAnsi="Arial" w:cs="Arial"/>
          <w:b/>
          <w:bCs/>
        </w:rPr>
      </w:pPr>
      <w:r w:rsidRPr="00002D52">
        <w:rPr>
          <w:rFonts w:ascii="Arial" w:hAnsi="Arial" w:cs="Arial"/>
          <w:b/>
          <w:bCs/>
        </w:rPr>
        <w:t>4.0 CONCLUSION</w:t>
      </w:r>
    </w:p>
    <w:p w14:paraId="08079F13" w14:textId="68B3A191" w:rsidR="008D0E5F" w:rsidRPr="00B75EA3" w:rsidRDefault="00B91D76" w:rsidP="00174C9B">
      <w:pPr>
        <w:spacing w:line="360" w:lineRule="auto"/>
        <w:jc w:val="both"/>
        <w:rPr>
          <w:rFonts w:ascii="Arial" w:hAnsi="Arial" w:cs="Arial"/>
          <w:sz w:val="20"/>
          <w:szCs w:val="20"/>
        </w:rPr>
      </w:pPr>
      <w:r w:rsidRPr="00B91D76">
        <w:rPr>
          <w:rFonts w:ascii="Arial" w:hAnsi="Arial" w:cs="Arial"/>
          <w:sz w:val="20"/>
          <w:szCs w:val="20"/>
        </w:rPr>
        <w:t>This study evaluated six Schiff bases of phenylisocytosine as potential inhibitors of Plasmodium falciparum transketolase, a critical enzyme in the pentose phosphate pathway. Comprehensive in silico analyses, including molecular docking, pharmacokinetic and toxicological profiling, molecular mechanics, and molecular dynamics simulations, identified (E)-2-((3</w:t>
      </w:r>
      <w:proofErr w:type="gramStart"/>
      <w:r w:rsidRPr="00B91D76">
        <w:rPr>
          <w:rFonts w:ascii="Arial" w:hAnsi="Arial" w:cs="Arial"/>
          <w:sz w:val="20"/>
          <w:szCs w:val="20"/>
        </w:rPr>
        <w:t>,4</w:t>
      </w:r>
      <w:proofErr w:type="gramEnd"/>
      <w:r w:rsidRPr="00B91D76">
        <w:rPr>
          <w:rFonts w:ascii="Arial" w:hAnsi="Arial" w:cs="Arial"/>
          <w:sz w:val="20"/>
          <w:szCs w:val="20"/>
        </w:rPr>
        <w:t>-Dimethoxybenzylidene)amino)-6-Phenylpyrimidin-4(1H)-One and (E)-2-((3-Hydroxybenzylidene)amino)-6-Phenylpyrimidin-4(1H)-One as the most promising candidates. These compounds demonstrated superior binding affinities, stability, and favorable pharmacokinetic profiles compared to the reference drug oxythiamine, which exhibited weaker binding and notable limitations, including poor pharmacokinetics and significant toxicity risks.</w:t>
      </w:r>
      <w:r w:rsidR="00392896">
        <w:rPr>
          <w:rFonts w:ascii="Arial" w:hAnsi="Arial" w:cs="Arial"/>
          <w:sz w:val="20"/>
          <w:szCs w:val="20"/>
        </w:rPr>
        <w:t xml:space="preserve"> </w:t>
      </w:r>
      <w:r w:rsidRPr="00B91D76">
        <w:rPr>
          <w:rFonts w:ascii="Arial" w:hAnsi="Arial" w:cs="Arial"/>
          <w:sz w:val="20"/>
          <w:szCs w:val="20"/>
        </w:rPr>
        <w:t xml:space="preserve">The identified Schiff bases lay a strong foundation for future experimental studies, including synthesis and validation through in vitro and in vivo evaluations, to confirm their therapeutic efficacy and safety. Advancing these compounds could </w:t>
      </w:r>
      <w:r w:rsidRPr="00B91D76">
        <w:rPr>
          <w:rFonts w:ascii="Arial" w:hAnsi="Arial" w:cs="Arial"/>
          <w:sz w:val="20"/>
          <w:szCs w:val="20"/>
        </w:rPr>
        <w:lastRenderedPageBreak/>
        <w:t>contribute significantly to the development of next-generation antimalarial therapies, addressing the global challenge of drug-resistant malaria and improving health outcomes worldwide.</w:t>
      </w:r>
    </w:p>
    <w:p w14:paraId="253E6A2E" w14:textId="77777777" w:rsidR="00823731" w:rsidRPr="00823731" w:rsidRDefault="00823731" w:rsidP="00FE37B0">
      <w:pPr>
        <w:spacing w:after="0" w:line="360" w:lineRule="auto"/>
        <w:jc w:val="both"/>
        <w:rPr>
          <w:rFonts w:ascii="Arial" w:hAnsi="Arial" w:cs="Arial"/>
          <w:b/>
          <w:bCs/>
        </w:rPr>
      </w:pPr>
      <w:r w:rsidRPr="00823731">
        <w:rPr>
          <w:rFonts w:ascii="Arial" w:hAnsi="Arial" w:cs="Arial"/>
          <w:b/>
          <w:bCs/>
        </w:rPr>
        <w:t>DECLARATION OF GENERATIVE AI AND AI-ASSISTED TECHNOLOGIES IN THE WRITING PROCESS</w:t>
      </w:r>
    </w:p>
    <w:p w14:paraId="24095E4A" w14:textId="6C6E541D" w:rsidR="002C737D" w:rsidRPr="002C737D" w:rsidRDefault="002C737D" w:rsidP="002C737D">
      <w:pPr>
        <w:spacing w:after="0" w:line="360" w:lineRule="auto"/>
        <w:jc w:val="both"/>
        <w:rPr>
          <w:rFonts w:ascii="Arial" w:hAnsi="Arial" w:cs="Arial"/>
          <w:sz w:val="20"/>
          <w:szCs w:val="20"/>
          <w:lang w:val="en-GB"/>
        </w:rPr>
      </w:pPr>
      <w:r w:rsidRPr="002C737D">
        <w:rPr>
          <w:rFonts w:ascii="Arial" w:hAnsi="Arial" w:cs="Arial"/>
          <w:sz w:val="20"/>
          <w:szCs w:val="20"/>
          <w:lang w:val="en-GB"/>
        </w:rPr>
        <w:t>The authors affirm that no generative AI technologies or AI-assisted tools were employed at any stage during the preparation, writing, or editing of this manuscript. All content, including the conceptualisation, drafting, paraphrasing, grammatical structuring, and final revisions, was produced solely through the authors' original work and critical analysis.</w:t>
      </w:r>
      <w:r>
        <w:rPr>
          <w:rFonts w:ascii="Arial" w:hAnsi="Arial" w:cs="Arial"/>
          <w:sz w:val="20"/>
          <w:szCs w:val="20"/>
          <w:lang w:val="en-GB"/>
        </w:rPr>
        <w:t xml:space="preserve"> </w:t>
      </w:r>
      <w:r w:rsidRPr="002C737D">
        <w:rPr>
          <w:rFonts w:ascii="Arial" w:hAnsi="Arial" w:cs="Arial"/>
          <w:sz w:val="20"/>
          <w:szCs w:val="20"/>
          <w:lang w:val="en-GB"/>
        </w:rPr>
        <w:t>The manuscript reflects the authors’ independent intellectual contributions and adheres strictly to the standards of academic integrity, scientific rigour, and originality required for scholarly publication.</w:t>
      </w:r>
    </w:p>
    <w:p w14:paraId="2F1B2894" w14:textId="77777777" w:rsidR="00FE37B0" w:rsidRPr="00FE37B0" w:rsidRDefault="00FE37B0" w:rsidP="00FE37B0">
      <w:pPr>
        <w:spacing w:after="0" w:line="360" w:lineRule="auto"/>
        <w:jc w:val="both"/>
        <w:rPr>
          <w:rFonts w:ascii="Arial" w:hAnsi="Arial" w:cs="Arial"/>
          <w:sz w:val="20"/>
          <w:szCs w:val="20"/>
        </w:rPr>
      </w:pPr>
    </w:p>
    <w:p w14:paraId="000D65B1" w14:textId="1B55A9CC" w:rsidR="00064C58" w:rsidRPr="00064C58" w:rsidRDefault="0091111F" w:rsidP="00064C58">
      <w:pPr>
        <w:spacing w:after="0" w:line="360" w:lineRule="auto"/>
        <w:jc w:val="both"/>
        <w:rPr>
          <w:rFonts w:ascii="Arial" w:hAnsi="Arial" w:cs="Arial"/>
          <w:b/>
          <w:bCs/>
          <w:sz w:val="24"/>
          <w:szCs w:val="24"/>
        </w:rPr>
      </w:pPr>
      <w:r w:rsidRPr="00064C58">
        <w:rPr>
          <w:rFonts w:ascii="Arial" w:hAnsi="Arial" w:cs="Arial"/>
          <w:b/>
          <w:bCs/>
          <w:sz w:val="24"/>
          <w:szCs w:val="24"/>
        </w:rPr>
        <w:t>REFERENCES</w:t>
      </w:r>
    </w:p>
    <w:p w14:paraId="3CA9C15A" w14:textId="59BD6D70" w:rsidR="00F67215" w:rsidRPr="00FE37B0" w:rsidRDefault="00F67215" w:rsidP="00FE37B0">
      <w:pPr>
        <w:pStyle w:val="ListParagraph"/>
        <w:numPr>
          <w:ilvl w:val="0"/>
          <w:numId w:val="3"/>
        </w:numPr>
        <w:spacing w:before="240" w:line="360" w:lineRule="auto"/>
        <w:jc w:val="both"/>
        <w:rPr>
          <w:rFonts w:ascii="Arial" w:hAnsi="Arial" w:cs="Arial"/>
          <w:sz w:val="20"/>
          <w:szCs w:val="20"/>
        </w:rPr>
      </w:pPr>
      <w:proofErr w:type="spellStart"/>
      <w:r w:rsidRPr="00FE37B0">
        <w:rPr>
          <w:rFonts w:ascii="Arial" w:hAnsi="Arial" w:cs="Arial"/>
          <w:sz w:val="20"/>
          <w:szCs w:val="20"/>
        </w:rPr>
        <w:t>Hawadak</w:t>
      </w:r>
      <w:proofErr w:type="spellEnd"/>
      <w:r w:rsidRPr="00FE37B0">
        <w:rPr>
          <w:rFonts w:ascii="Arial" w:hAnsi="Arial" w:cs="Arial"/>
          <w:sz w:val="20"/>
          <w:szCs w:val="20"/>
        </w:rPr>
        <w:t xml:space="preserve">, J., </w:t>
      </w:r>
      <w:proofErr w:type="spellStart"/>
      <w:r w:rsidRPr="00FE37B0">
        <w:rPr>
          <w:rFonts w:ascii="Arial" w:hAnsi="Arial" w:cs="Arial"/>
          <w:sz w:val="20"/>
          <w:szCs w:val="20"/>
        </w:rPr>
        <w:t>Dongang</w:t>
      </w:r>
      <w:proofErr w:type="spellEnd"/>
      <w:r w:rsidRPr="00FE37B0">
        <w:rPr>
          <w:rFonts w:ascii="Arial" w:hAnsi="Arial" w:cs="Arial"/>
          <w:sz w:val="20"/>
          <w:szCs w:val="20"/>
        </w:rPr>
        <w:t xml:space="preserve"> Nana, R. R., </w:t>
      </w:r>
      <w:r w:rsidR="00FE37B0">
        <w:rPr>
          <w:rFonts w:ascii="Arial" w:hAnsi="Arial" w:cs="Arial"/>
          <w:sz w:val="20"/>
          <w:szCs w:val="20"/>
        </w:rPr>
        <w:t>and</w:t>
      </w:r>
      <w:r w:rsidRPr="00FE37B0">
        <w:rPr>
          <w:rFonts w:ascii="Arial" w:hAnsi="Arial" w:cs="Arial"/>
          <w:sz w:val="20"/>
          <w:szCs w:val="20"/>
        </w:rPr>
        <w:t xml:space="preserve"> Singh, V. (2021). Global trend of </w:t>
      </w:r>
      <w:r w:rsidRPr="00FE37B0">
        <w:rPr>
          <w:rFonts w:ascii="Arial" w:hAnsi="Arial" w:cs="Arial"/>
          <w:i/>
          <w:iCs/>
          <w:sz w:val="20"/>
          <w:szCs w:val="20"/>
        </w:rPr>
        <w:t xml:space="preserve">Plasmodium </w:t>
      </w:r>
      <w:proofErr w:type="spellStart"/>
      <w:r w:rsidRPr="00FE37B0">
        <w:rPr>
          <w:rFonts w:ascii="Arial" w:hAnsi="Arial" w:cs="Arial"/>
          <w:i/>
          <w:iCs/>
          <w:sz w:val="20"/>
          <w:szCs w:val="20"/>
        </w:rPr>
        <w:t>malariae</w:t>
      </w:r>
      <w:proofErr w:type="spellEnd"/>
      <w:r w:rsidRPr="00FE37B0">
        <w:rPr>
          <w:rFonts w:ascii="Arial" w:hAnsi="Arial" w:cs="Arial"/>
          <w:sz w:val="20"/>
          <w:szCs w:val="20"/>
        </w:rPr>
        <w:t xml:space="preserve"> and Plasmodium </w:t>
      </w:r>
      <w:proofErr w:type="spellStart"/>
      <w:r w:rsidRPr="00FE37B0">
        <w:rPr>
          <w:rFonts w:ascii="Arial" w:hAnsi="Arial" w:cs="Arial"/>
          <w:sz w:val="20"/>
          <w:szCs w:val="20"/>
        </w:rPr>
        <w:t>ovale</w:t>
      </w:r>
      <w:proofErr w:type="spellEnd"/>
      <w:r w:rsidRPr="00FE37B0">
        <w:rPr>
          <w:rFonts w:ascii="Arial" w:hAnsi="Arial" w:cs="Arial"/>
          <w:sz w:val="20"/>
          <w:szCs w:val="20"/>
        </w:rPr>
        <w:t xml:space="preserve"> spp. malaria infections in the last two decades (2000–2020): </w:t>
      </w:r>
      <w:r w:rsidR="00FE37B0">
        <w:rPr>
          <w:rFonts w:ascii="Arial" w:hAnsi="Arial" w:cs="Arial"/>
          <w:sz w:val="20"/>
          <w:szCs w:val="20"/>
        </w:rPr>
        <w:t>A</w:t>
      </w:r>
      <w:r w:rsidRPr="00FE37B0">
        <w:rPr>
          <w:rFonts w:ascii="Arial" w:hAnsi="Arial" w:cs="Arial"/>
          <w:sz w:val="20"/>
          <w:szCs w:val="20"/>
        </w:rPr>
        <w:t xml:space="preserve"> systematic review and meta-analysis. </w:t>
      </w:r>
      <w:r w:rsidRPr="00FE37B0">
        <w:rPr>
          <w:rFonts w:ascii="Arial" w:hAnsi="Arial" w:cs="Arial"/>
          <w:i/>
          <w:iCs/>
          <w:sz w:val="20"/>
          <w:szCs w:val="20"/>
        </w:rPr>
        <w:t xml:space="preserve">Parasites </w:t>
      </w:r>
      <w:r w:rsidR="00FE37B0">
        <w:rPr>
          <w:rFonts w:ascii="Arial" w:hAnsi="Arial" w:cs="Arial"/>
          <w:i/>
          <w:iCs/>
          <w:sz w:val="20"/>
          <w:szCs w:val="20"/>
        </w:rPr>
        <w:t>and</w:t>
      </w:r>
      <w:r w:rsidRPr="00FE37B0">
        <w:rPr>
          <w:rFonts w:ascii="Arial" w:hAnsi="Arial" w:cs="Arial"/>
          <w:i/>
          <w:iCs/>
          <w:sz w:val="20"/>
          <w:szCs w:val="20"/>
        </w:rPr>
        <w:t xml:space="preserve"> </w:t>
      </w:r>
      <w:r w:rsidR="00FE37B0">
        <w:rPr>
          <w:rFonts w:ascii="Arial" w:hAnsi="Arial" w:cs="Arial"/>
          <w:i/>
          <w:iCs/>
          <w:sz w:val="20"/>
          <w:szCs w:val="20"/>
        </w:rPr>
        <w:t>V</w:t>
      </w:r>
      <w:r w:rsidRPr="00FE37B0">
        <w:rPr>
          <w:rFonts w:ascii="Arial" w:hAnsi="Arial" w:cs="Arial"/>
          <w:i/>
          <w:iCs/>
          <w:sz w:val="20"/>
          <w:szCs w:val="20"/>
        </w:rPr>
        <w:t>ectors</w:t>
      </w:r>
      <w:r w:rsidRPr="00FE37B0">
        <w:rPr>
          <w:rFonts w:ascii="Arial" w:hAnsi="Arial" w:cs="Arial"/>
          <w:sz w:val="20"/>
          <w:szCs w:val="20"/>
        </w:rPr>
        <w:t>, </w:t>
      </w:r>
      <w:r w:rsidRPr="00FE37B0">
        <w:rPr>
          <w:rFonts w:ascii="Arial" w:hAnsi="Arial" w:cs="Arial"/>
          <w:i/>
          <w:iCs/>
          <w:sz w:val="20"/>
          <w:szCs w:val="20"/>
        </w:rPr>
        <w:t>14</w:t>
      </w:r>
      <w:r w:rsidRPr="00FE37B0">
        <w:rPr>
          <w:rFonts w:ascii="Arial" w:hAnsi="Arial" w:cs="Arial"/>
          <w:sz w:val="20"/>
          <w:szCs w:val="20"/>
        </w:rPr>
        <w:t xml:space="preserve">(1), 297. </w:t>
      </w:r>
      <w:hyperlink r:id="rId54" w:history="1">
        <w:r w:rsidRPr="00FE37B0">
          <w:rPr>
            <w:rStyle w:val="Hyperlink"/>
            <w:rFonts w:ascii="Arial" w:hAnsi="Arial" w:cs="Arial"/>
            <w:sz w:val="20"/>
            <w:szCs w:val="20"/>
          </w:rPr>
          <w:t>https://doi.org/10.1186/s13071-021-04797-0</w:t>
        </w:r>
      </w:hyperlink>
    </w:p>
    <w:p w14:paraId="576B7807" w14:textId="7F5C147E"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Oladipo, H. J., Tajudeen, Y. A., </w:t>
      </w:r>
      <w:proofErr w:type="spellStart"/>
      <w:r w:rsidRPr="00FE37B0">
        <w:rPr>
          <w:rFonts w:ascii="Arial" w:hAnsi="Arial" w:cs="Arial"/>
          <w:sz w:val="20"/>
          <w:szCs w:val="20"/>
        </w:rPr>
        <w:t>Oladunjoye</w:t>
      </w:r>
      <w:proofErr w:type="spellEnd"/>
      <w:r w:rsidRPr="00FE37B0">
        <w:rPr>
          <w:rFonts w:ascii="Arial" w:hAnsi="Arial" w:cs="Arial"/>
          <w:sz w:val="20"/>
          <w:szCs w:val="20"/>
        </w:rPr>
        <w:t xml:space="preserve">, I. O., Yusuff, S. I., Yusuf, R. O., Oluwaseyi, E. M., ... </w:t>
      </w:r>
      <w:r w:rsidR="00FE37B0">
        <w:rPr>
          <w:rFonts w:ascii="Arial" w:hAnsi="Arial" w:cs="Arial"/>
          <w:sz w:val="20"/>
          <w:szCs w:val="20"/>
        </w:rPr>
        <w:t>and</w:t>
      </w:r>
      <w:r w:rsidRPr="00FE37B0">
        <w:rPr>
          <w:rFonts w:ascii="Arial" w:hAnsi="Arial" w:cs="Arial"/>
          <w:sz w:val="20"/>
          <w:szCs w:val="20"/>
        </w:rPr>
        <w:t xml:space="preserve"> El-Sherbini, M. S. (2022). Increasing challenges of malaria control in sub-Saharan Africa: Priorities for public health research and policymakers. </w:t>
      </w:r>
      <w:r w:rsidRPr="00FE37B0">
        <w:rPr>
          <w:rFonts w:ascii="Arial" w:hAnsi="Arial" w:cs="Arial"/>
          <w:i/>
          <w:iCs/>
          <w:sz w:val="20"/>
          <w:szCs w:val="20"/>
        </w:rPr>
        <w:t>Annals of Medicine and Surgery</w:t>
      </w:r>
      <w:r w:rsidRPr="00FE37B0">
        <w:rPr>
          <w:rFonts w:ascii="Arial" w:hAnsi="Arial" w:cs="Arial"/>
          <w:sz w:val="20"/>
          <w:szCs w:val="20"/>
        </w:rPr>
        <w:t>, </w:t>
      </w:r>
      <w:r w:rsidRPr="00FE37B0">
        <w:rPr>
          <w:rFonts w:ascii="Arial" w:hAnsi="Arial" w:cs="Arial"/>
          <w:i/>
          <w:iCs/>
          <w:sz w:val="20"/>
          <w:szCs w:val="20"/>
        </w:rPr>
        <w:t>81</w:t>
      </w:r>
      <w:r w:rsidRPr="00FE37B0">
        <w:rPr>
          <w:rFonts w:ascii="Arial" w:hAnsi="Arial" w:cs="Arial"/>
          <w:sz w:val="20"/>
          <w:szCs w:val="20"/>
        </w:rPr>
        <w:t xml:space="preserve">, 104366. </w:t>
      </w:r>
      <w:hyperlink r:id="rId55" w:history="1">
        <w:r w:rsidRPr="00FE37B0">
          <w:rPr>
            <w:rStyle w:val="Hyperlink"/>
            <w:rFonts w:ascii="Arial" w:hAnsi="Arial" w:cs="Arial"/>
            <w:sz w:val="20"/>
            <w:szCs w:val="20"/>
          </w:rPr>
          <w:t>https://doi.org/10.1016/j.amsu.2022.104366</w:t>
        </w:r>
      </w:hyperlink>
    </w:p>
    <w:p w14:paraId="50E898AE" w14:textId="7D01FD43"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Alghamdi, J. M., Al-Qahtani, A. A., </w:t>
      </w:r>
      <w:proofErr w:type="spellStart"/>
      <w:r w:rsidRPr="00FE37B0">
        <w:rPr>
          <w:rFonts w:ascii="Arial" w:hAnsi="Arial" w:cs="Arial"/>
          <w:sz w:val="20"/>
          <w:szCs w:val="20"/>
        </w:rPr>
        <w:t>Alhamlan</w:t>
      </w:r>
      <w:proofErr w:type="spellEnd"/>
      <w:r w:rsidRPr="00FE37B0">
        <w:rPr>
          <w:rFonts w:ascii="Arial" w:hAnsi="Arial" w:cs="Arial"/>
          <w:sz w:val="20"/>
          <w:szCs w:val="20"/>
        </w:rPr>
        <w:t xml:space="preserve">, F. S., </w:t>
      </w:r>
      <w:r w:rsidR="00FE37B0">
        <w:rPr>
          <w:rFonts w:ascii="Arial" w:hAnsi="Arial" w:cs="Arial"/>
          <w:sz w:val="20"/>
          <w:szCs w:val="20"/>
        </w:rPr>
        <w:t>and</w:t>
      </w:r>
      <w:r w:rsidRPr="00FE37B0">
        <w:rPr>
          <w:rFonts w:ascii="Arial" w:hAnsi="Arial" w:cs="Arial"/>
          <w:sz w:val="20"/>
          <w:szCs w:val="20"/>
        </w:rPr>
        <w:t xml:space="preserve"> Al-Qahtani, A. A. (2024). Recent </w:t>
      </w:r>
      <w:r w:rsidR="00FE37B0" w:rsidRPr="00FE37B0">
        <w:rPr>
          <w:rFonts w:ascii="Arial" w:hAnsi="Arial" w:cs="Arial"/>
          <w:sz w:val="20"/>
          <w:szCs w:val="20"/>
        </w:rPr>
        <w:t>advances in the treatment of malaria</w:t>
      </w:r>
      <w:r w:rsidRPr="00FE37B0">
        <w:rPr>
          <w:rFonts w:ascii="Arial" w:hAnsi="Arial" w:cs="Arial"/>
          <w:sz w:val="20"/>
          <w:szCs w:val="20"/>
        </w:rPr>
        <w:t>. </w:t>
      </w:r>
      <w:r w:rsidRPr="00FE37B0">
        <w:rPr>
          <w:rFonts w:ascii="Arial" w:hAnsi="Arial" w:cs="Arial"/>
          <w:i/>
          <w:iCs/>
          <w:sz w:val="20"/>
          <w:szCs w:val="20"/>
        </w:rPr>
        <w:t>Pharmaceutics</w:t>
      </w:r>
      <w:r w:rsidRPr="00FE37B0">
        <w:rPr>
          <w:rFonts w:ascii="Arial" w:hAnsi="Arial" w:cs="Arial"/>
          <w:sz w:val="20"/>
          <w:szCs w:val="20"/>
        </w:rPr>
        <w:t>, </w:t>
      </w:r>
      <w:r w:rsidRPr="00FE37B0">
        <w:rPr>
          <w:rFonts w:ascii="Arial" w:hAnsi="Arial" w:cs="Arial"/>
          <w:i/>
          <w:iCs/>
          <w:sz w:val="20"/>
          <w:szCs w:val="20"/>
        </w:rPr>
        <w:t>16</w:t>
      </w:r>
      <w:r w:rsidRPr="00FE37B0">
        <w:rPr>
          <w:rFonts w:ascii="Arial" w:hAnsi="Arial" w:cs="Arial"/>
          <w:sz w:val="20"/>
          <w:szCs w:val="20"/>
        </w:rPr>
        <w:t xml:space="preserve">(11), 1416. </w:t>
      </w:r>
      <w:hyperlink r:id="rId56" w:history="1">
        <w:r w:rsidRPr="00FE37B0">
          <w:rPr>
            <w:rStyle w:val="Hyperlink"/>
            <w:rFonts w:ascii="Arial" w:hAnsi="Arial" w:cs="Arial"/>
            <w:sz w:val="20"/>
            <w:szCs w:val="20"/>
          </w:rPr>
          <w:t>https://doi.org/10.3390/pharmaceutics16111416</w:t>
        </w:r>
      </w:hyperlink>
    </w:p>
    <w:p w14:paraId="063639E2" w14:textId="40ED1AE1"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World Health Organization. (2024). Global </w:t>
      </w:r>
      <w:r w:rsidR="00FE37B0" w:rsidRPr="00FE37B0">
        <w:rPr>
          <w:rFonts w:ascii="Arial" w:hAnsi="Arial" w:cs="Arial"/>
          <w:sz w:val="20"/>
          <w:szCs w:val="20"/>
        </w:rPr>
        <w:t xml:space="preserve">malaria </w:t>
      </w:r>
      <w:proofErr w:type="spellStart"/>
      <w:r w:rsidR="00FE37B0" w:rsidRPr="00FE37B0">
        <w:rPr>
          <w:rFonts w:ascii="Arial" w:hAnsi="Arial" w:cs="Arial"/>
          <w:sz w:val="20"/>
          <w:szCs w:val="20"/>
        </w:rPr>
        <w:t>programme</w:t>
      </w:r>
      <w:proofErr w:type="spellEnd"/>
      <w:r w:rsidR="00FE37B0" w:rsidRPr="00FE37B0">
        <w:rPr>
          <w:rFonts w:ascii="Arial" w:hAnsi="Arial" w:cs="Arial"/>
          <w:sz w:val="20"/>
          <w:szCs w:val="20"/>
        </w:rPr>
        <w:t xml:space="preserve"> </w:t>
      </w:r>
      <w:r w:rsidRPr="00FE37B0">
        <w:rPr>
          <w:rFonts w:ascii="Arial" w:hAnsi="Arial" w:cs="Arial"/>
          <w:sz w:val="20"/>
          <w:szCs w:val="20"/>
        </w:rPr>
        <w:t>operational</w:t>
      </w:r>
      <w:r w:rsidRPr="00FE37B0">
        <w:rPr>
          <w:rFonts w:ascii="Arial" w:hAnsi="Arial" w:cs="Arial"/>
          <w:i/>
          <w:iCs/>
          <w:sz w:val="20"/>
          <w:szCs w:val="20"/>
        </w:rPr>
        <w:t xml:space="preserve"> strategy 2024-2030</w:t>
      </w:r>
      <w:r w:rsidRPr="00FE37B0">
        <w:rPr>
          <w:rFonts w:ascii="Arial" w:hAnsi="Arial" w:cs="Arial"/>
          <w:sz w:val="20"/>
          <w:szCs w:val="20"/>
        </w:rPr>
        <w:t>. World Health Organization.</w:t>
      </w:r>
    </w:p>
    <w:p w14:paraId="69575171" w14:textId="161697EB"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Belete, T. M. (2020). Recent progress in the development of new antimalarial drugs with novel targets. </w:t>
      </w:r>
      <w:r w:rsidRPr="00FE37B0">
        <w:rPr>
          <w:rFonts w:ascii="Arial" w:hAnsi="Arial" w:cs="Arial"/>
          <w:i/>
          <w:iCs/>
          <w:sz w:val="20"/>
          <w:szCs w:val="20"/>
        </w:rPr>
        <w:t xml:space="preserve">Drug </w:t>
      </w:r>
      <w:r w:rsidR="00FE37B0">
        <w:rPr>
          <w:rFonts w:ascii="Arial" w:hAnsi="Arial" w:cs="Arial"/>
          <w:i/>
          <w:iCs/>
          <w:sz w:val="20"/>
          <w:szCs w:val="20"/>
        </w:rPr>
        <w:t>D</w:t>
      </w:r>
      <w:r w:rsidRPr="00FE37B0">
        <w:rPr>
          <w:rFonts w:ascii="Arial" w:hAnsi="Arial" w:cs="Arial"/>
          <w:i/>
          <w:iCs/>
          <w:sz w:val="20"/>
          <w:szCs w:val="20"/>
        </w:rPr>
        <w:t xml:space="preserve">esign, </w:t>
      </w:r>
      <w:r w:rsidR="00FE37B0">
        <w:rPr>
          <w:rFonts w:ascii="Arial" w:hAnsi="Arial" w:cs="Arial"/>
          <w:i/>
          <w:iCs/>
          <w:sz w:val="20"/>
          <w:szCs w:val="20"/>
        </w:rPr>
        <w:t>D</w:t>
      </w:r>
      <w:r w:rsidRPr="00FE37B0">
        <w:rPr>
          <w:rFonts w:ascii="Arial" w:hAnsi="Arial" w:cs="Arial"/>
          <w:i/>
          <w:iCs/>
          <w:sz w:val="20"/>
          <w:szCs w:val="20"/>
        </w:rPr>
        <w:t xml:space="preserve">evelopment and </w:t>
      </w:r>
      <w:r w:rsidR="00FE37B0">
        <w:rPr>
          <w:rFonts w:ascii="Arial" w:hAnsi="Arial" w:cs="Arial"/>
          <w:i/>
          <w:iCs/>
          <w:sz w:val="20"/>
          <w:szCs w:val="20"/>
        </w:rPr>
        <w:t>T</w:t>
      </w:r>
      <w:r w:rsidRPr="00FE37B0">
        <w:rPr>
          <w:rFonts w:ascii="Arial" w:hAnsi="Arial" w:cs="Arial"/>
          <w:i/>
          <w:iCs/>
          <w:sz w:val="20"/>
          <w:szCs w:val="20"/>
        </w:rPr>
        <w:t>herapy</w:t>
      </w:r>
      <w:r w:rsidRPr="00FE37B0">
        <w:rPr>
          <w:rFonts w:ascii="Arial" w:hAnsi="Arial" w:cs="Arial"/>
          <w:sz w:val="20"/>
          <w:szCs w:val="20"/>
        </w:rPr>
        <w:t xml:space="preserve">, 3875-3889. </w:t>
      </w:r>
      <w:hyperlink r:id="rId57" w:history="1">
        <w:r w:rsidRPr="00FE37B0">
          <w:rPr>
            <w:rStyle w:val="Hyperlink"/>
            <w:rFonts w:ascii="Arial" w:hAnsi="Arial" w:cs="Arial"/>
            <w:sz w:val="20"/>
            <w:szCs w:val="20"/>
          </w:rPr>
          <w:t>https://doi.org/10.2147/DDDT.S265602</w:t>
        </w:r>
      </w:hyperlink>
    </w:p>
    <w:p w14:paraId="55DC3AAF" w14:textId="0AE0DDBF"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Amelo, W., </w:t>
      </w:r>
      <w:r w:rsidR="00FE37B0">
        <w:rPr>
          <w:rFonts w:ascii="Arial" w:hAnsi="Arial" w:cs="Arial"/>
          <w:sz w:val="20"/>
          <w:szCs w:val="20"/>
        </w:rPr>
        <w:t>and</w:t>
      </w:r>
      <w:r w:rsidRPr="00FE37B0">
        <w:rPr>
          <w:rFonts w:ascii="Arial" w:hAnsi="Arial" w:cs="Arial"/>
          <w:sz w:val="20"/>
          <w:szCs w:val="20"/>
        </w:rPr>
        <w:t xml:space="preserve"> Makonnen, E. (2021). Efforts Made to Eliminate Drug</w:t>
      </w:r>
      <w:r w:rsidRPr="00FE37B0">
        <w:rPr>
          <w:rFonts w:ascii="Cambria Math" w:hAnsi="Cambria Math" w:cs="Cambria Math"/>
          <w:sz w:val="20"/>
          <w:szCs w:val="20"/>
        </w:rPr>
        <w:t>‐</w:t>
      </w:r>
      <w:r w:rsidRPr="00FE37B0">
        <w:rPr>
          <w:rFonts w:ascii="Arial" w:hAnsi="Arial" w:cs="Arial"/>
          <w:sz w:val="20"/>
          <w:szCs w:val="20"/>
        </w:rPr>
        <w:t>Resistant Malaria and Its Challenges. </w:t>
      </w:r>
      <w:r w:rsidRPr="00FE37B0">
        <w:rPr>
          <w:rFonts w:ascii="Arial" w:hAnsi="Arial" w:cs="Arial"/>
          <w:i/>
          <w:iCs/>
          <w:sz w:val="20"/>
          <w:szCs w:val="20"/>
        </w:rPr>
        <w:t>BioMed Research International</w:t>
      </w:r>
      <w:r w:rsidRPr="00FE37B0">
        <w:rPr>
          <w:rFonts w:ascii="Arial" w:hAnsi="Arial" w:cs="Arial"/>
          <w:sz w:val="20"/>
          <w:szCs w:val="20"/>
        </w:rPr>
        <w:t>, </w:t>
      </w:r>
      <w:r w:rsidRPr="00FE37B0">
        <w:rPr>
          <w:rFonts w:ascii="Arial" w:hAnsi="Arial" w:cs="Arial"/>
          <w:i/>
          <w:iCs/>
          <w:sz w:val="20"/>
          <w:szCs w:val="20"/>
        </w:rPr>
        <w:t>2021</w:t>
      </w:r>
      <w:r w:rsidRPr="00FE37B0">
        <w:rPr>
          <w:rFonts w:ascii="Arial" w:hAnsi="Arial" w:cs="Arial"/>
          <w:sz w:val="20"/>
          <w:szCs w:val="20"/>
        </w:rPr>
        <w:t xml:space="preserve">(1), 5539544. </w:t>
      </w:r>
      <w:hyperlink r:id="rId58" w:history="1">
        <w:r w:rsidRPr="00FE37B0">
          <w:rPr>
            <w:rStyle w:val="Hyperlink"/>
            <w:rFonts w:ascii="Arial" w:hAnsi="Arial" w:cs="Arial"/>
            <w:sz w:val="20"/>
            <w:szCs w:val="20"/>
          </w:rPr>
          <w:t>https://doi.org/10.1155/2021/5539544</w:t>
        </w:r>
      </w:hyperlink>
    </w:p>
    <w:p w14:paraId="7CC43538" w14:textId="7C8ECD4A"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Kumar, S., </w:t>
      </w:r>
      <w:r w:rsidR="00FE37B0">
        <w:rPr>
          <w:rFonts w:ascii="Arial" w:hAnsi="Arial" w:cs="Arial"/>
          <w:sz w:val="20"/>
          <w:szCs w:val="20"/>
        </w:rPr>
        <w:t>and</w:t>
      </w:r>
      <w:r w:rsidRPr="00FE37B0">
        <w:rPr>
          <w:rFonts w:ascii="Arial" w:hAnsi="Arial" w:cs="Arial"/>
          <w:sz w:val="20"/>
          <w:szCs w:val="20"/>
        </w:rPr>
        <w:t xml:space="preserve"> Mahato, R. P. (2024). </w:t>
      </w:r>
      <w:r w:rsidR="00FE37B0">
        <w:rPr>
          <w:rFonts w:ascii="Arial" w:hAnsi="Arial" w:cs="Arial"/>
          <w:sz w:val="20"/>
          <w:szCs w:val="20"/>
        </w:rPr>
        <w:t>D</w:t>
      </w:r>
      <w:r w:rsidR="00FE37B0" w:rsidRPr="00FE37B0">
        <w:rPr>
          <w:rFonts w:ascii="Arial" w:hAnsi="Arial" w:cs="Arial"/>
          <w:sz w:val="20"/>
          <w:szCs w:val="20"/>
        </w:rPr>
        <w:t>rug resistance and resistance reversal strategies in malaria parasite.</w:t>
      </w:r>
      <w:r w:rsidRPr="00FE37B0">
        <w:rPr>
          <w:rFonts w:ascii="Arial" w:hAnsi="Arial" w:cs="Arial"/>
          <w:sz w:val="20"/>
          <w:szCs w:val="20"/>
        </w:rPr>
        <w:t> </w:t>
      </w:r>
      <w:r w:rsidRPr="00FE37B0">
        <w:rPr>
          <w:rFonts w:ascii="Arial" w:hAnsi="Arial" w:cs="Arial"/>
          <w:i/>
          <w:iCs/>
          <w:sz w:val="20"/>
          <w:szCs w:val="20"/>
        </w:rPr>
        <w:t xml:space="preserve">Journal of </w:t>
      </w:r>
      <w:r w:rsidR="00FE37B0">
        <w:rPr>
          <w:rFonts w:ascii="Arial" w:hAnsi="Arial" w:cs="Arial"/>
          <w:i/>
          <w:iCs/>
          <w:sz w:val="20"/>
          <w:szCs w:val="20"/>
        </w:rPr>
        <w:t>M</w:t>
      </w:r>
      <w:r w:rsidRPr="00FE37B0">
        <w:rPr>
          <w:rFonts w:ascii="Arial" w:hAnsi="Arial" w:cs="Arial"/>
          <w:i/>
          <w:iCs/>
          <w:sz w:val="20"/>
          <w:szCs w:val="20"/>
        </w:rPr>
        <w:t>icrobiology,</w:t>
      </w:r>
      <w:r w:rsidR="00FE37B0">
        <w:rPr>
          <w:rFonts w:ascii="Arial" w:hAnsi="Arial" w:cs="Arial"/>
          <w:i/>
          <w:iCs/>
          <w:sz w:val="20"/>
          <w:szCs w:val="20"/>
        </w:rPr>
        <w:t xml:space="preserve"> B</w:t>
      </w:r>
      <w:r w:rsidRPr="00FE37B0">
        <w:rPr>
          <w:rFonts w:ascii="Arial" w:hAnsi="Arial" w:cs="Arial"/>
          <w:i/>
          <w:iCs/>
          <w:sz w:val="20"/>
          <w:szCs w:val="20"/>
        </w:rPr>
        <w:t xml:space="preserve">iotechnology and </w:t>
      </w:r>
      <w:r w:rsidR="00FE37B0">
        <w:rPr>
          <w:rFonts w:ascii="Arial" w:hAnsi="Arial" w:cs="Arial"/>
          <w:i/>
          <w:iCs/>
          <w:sz w:val="20"/>
          <w:szCs w:val="20"/>
        </w:rPr>
        <w:t>F</w:t>
      </w:r>
      <w:r w:rsidRPr="00FE37B0">
        <w:rPr>
          <w:rFonts w:ascii="Arial" w:hAnsi="Arial" w:cs="Arial"/>
          <w:i/>
          <w:iCs/>
          <w:sz w:val="20"/>
          <w:szCs w:val="20"/>
        </w:rPr>
        <w:t xml:space="preserve">ood </w:t>
      </w:r>
      <w:r w:rsidR="00FE37B0">
        <w:rPr>
          <w:rFonts w:ascii="Arial" w:hAnsi="Arial" w:cs="Arial"/>
          <w:i/>
          <w:iCs/>
          <w:sz w:val="20"/>
          <w:szCs w:val="20"/>
        </w:rPr>
        <w:t>S</w:t>
      </w:r>
      <w:r w:rsidRPr="00FE37B0">
        <w:rPr>
          <w:rFonts w:ascii="Arial" w:hAnsi="Arial" w:cs="Arial"/>
          <w:i/>
          <w:iCs/>
          <w:sz w:val="20"/>
          <w:szCs w:val="20"/>
        </w:rPr>
        <w:t>ciences</w:t>
      </w:r>
      <w:r w:rsidRPr="00FE37B0">
        <w:rPr>
          <w:rFonts w:ascii="Arial" w:hAnsi="Arial" w:cs="Arial"/>
          <w:sz w:val="20"/>
          <w:szCs w:val="20"/>
        </w:rPr>
        <w:t>, </w:t>
      </w:r>
      <w:r w:rsidRPr="00FE37B0">
        <w:rPr>
          <w:rFonts w:ascii="Arial" w:hAnsi="Arial" w:cs="Arial"/>
          <w:i/>
          <w:iCs/>
          <w:sz w:val="20"/>
          <w:szCs w:val="20"/>
        </w:rPr>
        <w:t>13</w:t>
      </w:r>
      <w:r w:rsidRPr="00FE37B0">
        <w:rPr>
          <w:rFonts w:ascii="Arial" w:hAnsi="Arial" w:cs="Arial"/>
          <w:sz w:val="20"/>
          <w:szCs w:val="20"/>
        </w:rPr>
        <w:t xml:space="preserve">(5), e10384-e10384. </w:t>
      </w:r>
      <w:hyperlink r:id="rId59" w:history="1">
        <w:r w:rsidRPr="00FE37B0">
          <w:rPr>
            <w:rStyle w:val="Hyperlink"/>
            <w:rFonts w:ascii="Arial" w:hAnsi="Arial" w:cs="Arial"/>
            <w:sz w:val="20"/>
            <w:szCs w:val="20"/>
          </w:rPr>
          <w:t>https://doi.org/10.55251/jmbfs.10384</w:t>
        </w:r>
      </w:hyperlink>
    </w:p>
    <w:p w14:paraId="0E3AA9E5" w14:textId="575E802B"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Fadare, O. A., Omisore, N. O., Adegbite, O. B., </w:t>
      </w:r>
      <w:proofErr w:type="spellStart"/>
      <w:r w:rsidRPr="00FE37B0">
        <w:rPr>
          <w:rFonts w:ascii="Arial" w:hAnsi="Arial" w:cs="Arial"/>
          <w:sz w:val="20"/>
          <w:szCs w:val="20"/>
        </w:rPr>
        <w:t>Awofisayo</w:t>
      </w:r>
      <w:proofErr w:type="spellEnd"/>
      <w:r w:rsidRPr="00FE37B0">
        <w:rPr>
          <w:rFonts w:ascii="Arial" w:hAnsi="Arial" w:cs="Arial"/>
          <w:sz w:val="20"/>
          <w:szCs w:val="20"/>
        </w:rPr>
        <w:t xml:space="preserve">, O. A., </w:t>
      </w:r>
      <w:proofErr w:type="spellStart"/>
      <w:r w:rsidRPr="00FE37B0">
        <w:rPr>
          <w:rFonts w:ascii="Arial" w:hAnsi="Arial" w:cs="Arial"/>
          <w:sz w:val="20"/>
          <w:szCs w:val="20"/>
        </w:rPr>
        <w:t>Ogundolie</w:t>
      </w:r>
      <w:proofErr w:type="spellEnd"/>
      <w:r w:rsidRPr="00FE37B0">
        <w:rPr>
          <w:rFonts w:ascii="Arial" w:hAnsi="Arial" w:cs="Arial"/>
          <w:sz w:val="20"/>
          <w:szCs w:val="20"/>
        </w:rPr>
        <w:t xml:space="preserve">, F. A., </w:t>
      </w:r>
      <w:proofErr w:type="spellStart"/>
      <w:r w:rsidRPr="00FE37B0">
        <w:rPr>
          <w:rFonts w:ascii="Arial" w:hAnsi="Arial" w:cs="Arial"/>
          <w:sz w:val="20"/>
          <w:szCs w:val="20"/>
        </w:rPr>
        <w:t>Adesanwo</w:t>
      </w:r>
      <w:proofErr w:type="spellEnd"/>
      <w:r w:rsidRPr="00FE37B0">
        <w:rPr>
          <w:rFonts w:ascii="Arial" w:hAnsi="Arial" w:cs="Arial"/>
          <w:sz w:val="20"/>
          <w:szCs w:val="20"/>
        </w:rPr>
        <w:t xml:space="preserve">, J. K., </w:t>
      </w:r>
      <w:r w:rsidR="00FE37B0">
        <w:rPr>
          <w:rFonts w:ascii="Arial" w:hAnsi="Arial" w:cs="Arial"/>
          <w:sz w:val="20"/>
          <w:szCs w:val="20"/>
        </w:rPr>
        <w:t>and</w:t>
      </w:r>
      <w:r w:rsidRPr="00FE37B0">
        <w:rPr>
          <w:rFonts w:ascii="Arial" w:hAnsi="Arial" w:cs="Arial"/>
          <w:sz w:val="20"/>
          <w:szCs w:val="20"/>
        </w:rPr>
        <w:t xml:space="preserve"> Obafemi, C. A. (2021). Structure based design, stability study and synthesis of the </w:t>
      </w:r>
      <w:r w:rsidRPr="00FE37B0">
        <w:rPr>
          <w:rFonts w:ascii="Arial" w:hAnsi="Arial" w:cs="Arial"/>
          <w:sz w:val="20"/>
          <w:szCs w:val="20"/>
        </w:rPr>
        <w:lastRenderedPageBreak/>
        <w:t xml:space="preserve">dinitrophenylhydrazone derivative of the oxidation product of lanosterol as a potential </w:t>
      </w:r>
      <w:r w:rsidRPr="00FE37B0">
        <w:rPr>
          <w:rFonts w:ascii="Arial" w:hAnsi="Arial" w:cs="Arial"/>
          <w:i/>
          <w:iCs/>
          <w:sz w:val="20"/>
          <w:szCs w:val="20"/>
        </w:rPr>
        <w:t>P. falciparum</w:t>
      </w:r>
      <w:r w:rsidRPr="00FE37B0">
        <w:rPr>
          <w:rFonts w:ascii="Arial" w:hAnsi="Arial" w:cs="Arial"/>
          <w:sz w:val="20"/>
          <w:szCs w:val="20"/>
        </w:rPr>
        <w:t xml:space="preserve"> transketolase inhibitor and </w:t>
      </w:r>
      <w:r w:rsidRPr="00FE37B0">
        <w:rPr>
          <w:rFonts w:ascii="Arial" w:hAnsi="Arial" w:cs="Arial"/>
          <w:i/>
          <w:iCs/>
          <w:sz w:val="20"/>
          <w:szCs w:val="20"/>
        </w:rPr>
        <w:t>in-vivo</w:t>
      </w:r>
      <w:r w:rsidRPr="00FE37B0">
        <w:rPr>
          <w:rFonts w:ascii="Arial" w:hAnsi="Arial" w:cs="Arial"/>
          <w:sz w:val="20"/>
          <w:szCs w:val="20"/>
        </w:rPr>
        <w:t xml:space="preserve"> antimalarial study. </w:t>
      </w:r>
      <w:r w:rsidRPr="00FE37B0">
        <w:rPr>
          <w:rFonts w:ascii="Arial" w:hAnsi="Arial" w:cs="Arial"/>
          <w:i/>
          <w:iCs/>
          <w:sz w:val="20"/>
          <w:szCs w:val="20"/>
        </w:rPr>
        <w:t>In Silico Pharmacology</w:t>
      </w:r>
      <w:r w:rsidRPr="00FE37B0">
        <w:rPr>
          <w:rFonts w:ascii="Arial" w:hAnsi="Arial" w:cs="Arial"/>
          <w:sz w:val="20"/>
          <w:szCs w:val="20"/>
        </w:rPr>
        <w:t>, </w:t>
      </w:r>
      <w:r w:rsidRPr="00FE37B0">
        <w:rPr>
          <w:rFonts w:ascii="Arial" w:hAnsi="Arial" w:cs="Arial"/>
          <w:i/>
          <w:iCs/>
          <w:sz w:val="20"/>
          <w:szCs w:val="20"/>
        </w:rPr>
        <w:t>9</w:t>
      </w:r>
      <w:r w:rsidRPr="00FE37B0">
        <w:rPr>
          <w:rFonts w:ascii="Arial" w:hAnsi="Arial" w:cs="Arial"/>
          <w:sz w:val="20"/>
          <w:szCs w:val="20"/>
        </w:rPr>
        <w:t xml:space="preserve">(1), 38. </w:t>
      </w:r>
      <w:hyperlink r:id="rId60" w:history="1">
        <w:r w:rsidRPr="00FE37B0">
          <w:rPr>
            <w:rStyle w:val="Hyperlink"/>
            <w:rFonts w:ascii="Arial" w:hAnsi="Arial" w:cs="Arial"/>
            <w:sz w:val="20"/>
            <w:szCs w:val="20"/>
          </w:rPr>
          <w:t>https://doi.org/10.1007/s40203-021-00097-8</w:t>
        </w:r>
      </w:hyperlink>
    </w:p>
    <w:p w14:paraId="7B94761A" w14:textId="023037B2"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Boateng, R. A., </w:t>
      </w:r>
      <w:proofErr w:type="spellStart"/>
      <w:r w:rsidRPr="00FE37B0">
        <w:rPr>
          <w:rFonts w:ascii="Arial" w:hAnsi="Arial" w:cs="Arial"/>
          <w:sz w:val="20"/>
          <w:szCs w:val="20"/>
        </w:rPr>
        <w:t>Tastan</w:t>
      </w:r>
      <w:proofErr w:type="spellEnd"/>
      <w:r w:rsidRPr="00FE37B0">
        <w:rPr>
          <w:rFonts w:ascii="Arial" w:hAnsi="Arial" w:cs="Arial"/>
          <w:sz w:val="20"/>
          <w:szCs w:val="20"/>
        </w:rPr>
        <w:t xml:space="preserve"> Bishop, Ö., </w:t>
      </w:r>
      <w:r w:rsidR="00FE37B0">
        <w:rPr>
          <w:rFonts w:ascii="Arial" w:hAnsi="Arial" w:cs="Arial"/>
          <w:sz w:val="20"/>
          <w:szCs w:val="20"/>
        </w:rPr>
        <w:t>and</w:t>
      </w:r>
      <w:r w:rsidRPr="00FE37B0">
        <w:rPr>
          <w:rFonts w:ascii="Arial" w:hAnsi="Arial" w:cs="Arial"/>
          <w:sz w:val="20"/>
          <w:szCs w:val="20"/>
        </w:rPr>
        <w:t xml:space="preserve"> Musyoka, T. M. (2020). </w:t>
      </w:r>
      <w:proofErr w:type="spellStart"/>
      <w:r w:rsidRPr="00FE37B0">
        <w:rPr>
          <w:rFonts w:ascii="Arial" w:hAnsi="Arial" w:cs="Arial"/>
          <w:sz w:val="20"/>
          <w:szCs w:val="20"/>
        </w:rPr>
        <w:t>Characterisation</w:t>
      </w:r>
      <w:proofErr w:type="spellEnd"/>
      <w:r w:rsidRPr="00FE37B0">
        <w:rPr>
          <w:rFonts w:ascii="Arial" w:hAnsi="Arial" w:cs="Arial"/>
          <w:sz w:val="20"/>
          <w:szCs w:val="20"/>
        </w:rPr>
        <w:t xml:space="preserve"> of </w:t>
      </w:r>
      <w:proofErr w:type="spellStart"/>
      <w:r w:rsidRPr="00FE37B0">
        <w:rPr>
          <w:rFonts w:ascii="Arial" w:hAnsi="Arial" w:cs="Arial"/>
          <w:sz w:val="20"/>
          <w:szCs w:val="20"/>
        </w:rPr>
        <w:t>plasmodial</w:t>
      </w:r>
      <w:proofErr w:type="spellEnd"/>
      <w:r w:rsidRPr="00FE37B0">
        <w:rPr>
          <w:rFonts w:ascii="Arial" w:hAnsi="Arial" w:cs="Arial"/>
          <w:sz w:val="20"/>
          <w:szCs w:val="20"/>
        </w:rPr>
        <w:t xml:space="preserve"> </w:t>
      </w:r>
      <w:proofErr w:type="spellStart"/>
      <w:r w:rsidRPr="00FE37B0">
        <w:rPr>
          <w:rFonts w:ascii="Arial" w:hAnsi="Arial" w:cs="Arial"/>
          <w:sz w:val="20"/>
          <w:szCs w:val="20"/>
        </w:rPr>
        <w:t>transketolases</w:t>
      </w:r>
      <w:proofErr w:type="spellEnd"/>
      <w:r w:rsidRPr="00FE37B0">
        <w:rPr>
          <w:rFonts w:ascii="Arial" w:hAnsi="Arial" w:cs="Arial"/>
          <w:sz w:val="20"/>
          <w:szCs w:val="20"/>
        </w:rPr>
        <w:t xml:space="preserve"> and identification of potential inhibitors: An </w:t>
      </w:r>
      <w:r w:rsidRPr="00FE37B0">
        <w:rPr>
          <w:rFonts w:ascii="Arial" w:hAnsi="Arial" w:cs="Arial"/>
          <w:i/>
          <w:iCs/>
          <w:sz w:val="20"/>
          <w:szCs w:val="20"/>
        </w:rPr>
        <w:t>in</w:t>
      </w:r>
      <w:r w:rsidR="00FE37B0">
        <w:rPr>
          <w:rFonts w:ascii="Arial" w:hAnsi="Arial" w:cs="Arial"/>
          <w:i/>
          <w:iCs/>
          <w:sz w:val="20"/>
          <w:szCs w:val="20"/>
        </w:rPr>
        <w:t>-</w:t>
      </w:r>
      <w:r w:rsidRPr="00FE37B0">
        <w:rPr>
          <w:rFonts w:ascii="Arial" w:hAnsi="Arial" w:cs="Arial"/>
          <w:i/>
          <w:iCs/>
          <w:sz w:val="20"/>
          <w:szCs w:val="20"/>
        </w:rPr>
        <w:t>silico</w:t>
      </w:r>
      <w:r w:rsidRPr="00FE37B0">
        <w:rPr>
          <w:rFonts w:ascii="Arial" w:hAnsi="Arial" w:cs="Arial"/>
          <w:sz w:val="20"/>
          <w:szCs w:val="20"/>
        </w:rPr>
        <w:t xml:space="preserve"> study. </w:t>
      </w:r>
      <w:r w:rsidRPr="00FE37B0">
        <w:rPr>
          <w:rFonts w:ascii="Arial" w:hAnsi="Arial" w:cs="Arial"/>
          <w:i/>
          <w:iCs/>
          <w:sz w:val="20"/>
          <w:szCs w:val="20"/>
        </w:rPr>
        <w:t xml:space="preserve">Malaria </w:t>
      </w:r>
      <w:r w:rsidR="00FE37B0">
        <w:rPr>
          <w:rFonts w:ascii="Arial" w:hAnsi="Arial" w:cs="Arial"/>
          <w:i/>
          <w:iCs/>
          <w:sz w:val="20"/>
          <w:szCs w:val="20"/>
        </w:rPr>
        <w:t>J</w:t>
      </w:r>
      <w:r w:rsidRPr="00FE37B0">
        <w:rPr>
          <w:rFonts w:ascii="Arial" w:hAnsi="Arial" w:cs="Arial"/>
          <w:i/>
          <w:iCs/>
          <w:sz w:val="20"/>
          <w:szCs w:val="20"/>
        </w:rPr>
        <w:t>ournal</w:t>
      </w:r>
      <w:r w:rsidRPr="00FE37B0">
        <w:rPr>
          <w:rFonts w:ascii="Arial" w:hAnsi="Arial" w:cs="Arial"/>
          <w:sz w:val="20"/>
          <w:szCs w:val="20"/>
        </w:rPr>
        <w:t>, </w:t>
      </w:r>
      <w:r w:rsidRPr="00FE37B0">
        <w:rPr>
          <w:rFonts w:ascii="Arial" w:hAnsi="Arial" w:cs="Arial"/>
          <w:i/>
          <w:iCs/>
          <w:sz w:val="20"/>
          <w:szCs w:val="20"/>
        </w:rPr>
        <w:t>19</w:t>
      </w:r>
      <w:r w:rsidRPr="00FE37B0">
        <w:rPr>
          <w:rFonts w:ascii="Arial" w:hAnsi="Arial" w:cs="Arial"/>
          <w:sz w:val="20"/>
          <w:szCs w:val="20"/>
        </w:rPr>
        <w:t xml:space="preserve">, 1-19. </w:t>
      </w:r>
      <w:hyperlink r:id="rId61" w:history="1">
        <w:r w:rsidRPr="00FE37B0">
          <w:rPr>
            <w:rStyle w:val="Hyperlink"/>
            <w:rFonts w:ascii="Arial" w:hAnsi="Arial" w:cs="Arial"/>
            <w:sz w:val="20"/>
            <w:szCs w:val="20"/>
            <w:shd w:val="clear" w:color="auto" w:fill="FFFFFF"/>
          </w:rPr>
          <w:t>https://doi.org/10.1186/s12936-020-03512-1</w:t>
        </w:r>
      </w:hyperlink>
    </w:p>
    <w:p w14:paraId="0983C154" w14:textId="719A238A"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Hasan, M. A., Mazumder, M. H. H., Chowdhury, A. S., Datta, A., </w:t>
      </w:r>
      <w:r w:rsidR="00FE37B0">
        <w:rPr>
          <w:rFonts w:ascii="Arial" w:hAnsi="Arial" w:cs="Arial"/>
          <w:sz w:val="20"/>
          <w:szCs w:val="20"/>
        </w:rPr>
        <w:t>and</w:t>
      </w:r>
      <w:r w:rsidRPr="00FE37B0">
        <w:rPr>
          <w:rFonts w:ascii="Arial" w:hAnsi="Arial" w:cs="Arial"/>
          <w:sz w:val="20"/>
          <w:szCs w:val="20"/>
        </w:rPr>
        <w:t xml:space="preserve"> Khan, M. A. (2015). Molecular-docking study of malaria drug target enzyme transketolase in </w:t>
      </w:r>
      <w:r w:rsidRPr="00FE37B0">
        <w:rPr>
          <w:rFonts w:ascii="Arial" w:hAnsi="Arial" w:cs="Arial"/>
          <w:i/>
          <w:iCs/>
          <w:sz w:val="20"/>
          <w:szCs w:val="20"/>
        </w:rPr>
        <w:t>Plasmodium falciparum</w:t>
      </w:r>
      <w:r w:rsidRPr="00FE37B0">
        <w:rPr>
          <w:rFonts w:ascii="Arial" w:hAnsi="Arial" w:cs="Arial"/>
          <w:sz w:val="20"/>
          <w:szCs w:val="20"/>
        </w:rPr>
        <w:t xml:space="preserve"> 3D7 portends the novel approach to its treatment. </w:t>
      </w:r>
      <w:r w:rsidRPr="00FE37B0">
        <w:rPr>
          <w:rFonts w:ascii="Arial" w:hAnsi="Arial" w:cs="Arial"/>
          <w:i/>
          <w:iCs/>
          <w:sz w:val="20"/>
          <w:szCs w:val="20"/>
        </w:rPr>
        <w:t xml:space="preserve">Source </w:t>
      </w:r>
      <w:r w:rsidR="00FE37B0">
        <w:rPr>
          <w:rFonts w:ascii="Arial" w:hAnsi="Arial" w:cs="Arial"/>
          <w:i/>
          <w:iCs/>
          <w:sz w:val="20"/>
          <w:szCs w:val="20"/>
        </w:rPr>
        <w:t>C</w:t>
      </w:r>
      <w:r w:rsidRPr="00FE37B0">
        <w:rPr>
          <w:rFonts w:ascii="Arial" w:hAnsi="Arial" w:cs="Arial"/>
          <w:i/>
          <w:iCs/>
          <w:sz w:val="20"/>
          <w:szCs w:val="20"/>
        </w:rPr>
        <w:t>ode for</w:t>
      </w:r>
      <w:r w:rsidR="00FE37B0">
        <w:rPr>
          <w:rFonts w:ascii="Arial" w:hAnsi="Arial" w:cs="Arial"/>
          <w:i/>
          <w:iCs/>
          <w:sz w:val="20"/>
          <w:szCs w:val="20"/>
        </w:rPr>
        <w:t xml:space="preserve"> </w:t>
      </w:r>
      <w:proofErr w:type="spellStart"/>
      <w:r w:rsidR="00FE37B0">
        <w:rPr>
          <w:rFonts w:ascii="Arial" w:hAnsi="Arial" w:cs="Arial"/>
          <w:i/>
          <w:iCs/>
          <w:sz w:val="20"/>
          <w:szCs w:val="20"/>
        </w:rPr>
        <w:t>B</w:t>
      </w:r>
      <w:r w:rsidRPr="00FE37B0">
        <w:rPr>
          <w:rFonts w:ascii="Arial" w:hAnsi="Arial" w:cs="Arial"/>
          <w:i/>
          <w:iCs/>
          <w:sz w:val="20"/>
          <w:szCs w:val="20"/>
        </w:rPr>
        <w:t>biology</w:t>
      </w:r>
      <w:proofErr w:type="spellEnd"/>
      <w:r w:rsidRPr="00FE37B0">
        <w:rPr>
          <w:rFonts w:ascii="Arial" w:hAnsi="Arial" w:cs="Arial"/>
          <w:i/>
          <w:iCs/>
          <w:sz w:val="20"/>
          <w:szCs w:val="20"/>
        </w:rPr>
        <w:t xml:space="preserve"> and </w:t>
      </w:r>
      <w:r w:rsidR="00FE37B0">
        <w:rPr>
          <w:rFonts w:ascii="Arial" w:hAnsi="Arial" w:cs="Arial"/>
          <w:i/>
          <w:iCs/>
          <w:sz w:val="20"/>
          <w:szCs w:val="20"/>
        </w:rPr>
        <w:t>M</w:t>
      </w:r>
      <w:r w:rsidRPr="00FE37B0">
        <w:rPr>
          <w:rFonts w:ascii="Arial" w:hAnsi="Arial" w:cs="Arial"/>
          <w:i/>
          <w:iCs/>
          <w:sz w:val="20"/>
          <w:szCs w:val="20"/>
        </w:rPr>
        <w:t>edicine</w:t>
      </w:r>
      <w:r w:rsidRPr="00FE37B0">
        <w:rPr>
          <w:rFonts w:ascii="Arial" w:hAnsi="Arial" w:cs="Arial"/>
          <w:sz w:val="20"/>
          <w:szCs w:val="20"/>
        </w:rPr>
        <w:t>, </w:t>
      </w:r>
      <w:r w:rsidRPr="00FE37B0">
        <w:rPr>
          <w:rFonts w:ascii="Arial" w:hAnsi="Arial" w:cs="Arial"/>
          <w:i/>
          <w:iCs/>
          <w:sz w:val="20"/>
          <w:szCs w:val="20"/>
        </w:rPr>
        <w:t>10</w:t>
      </w:r>
      <w:r w:rsidRPr="00FE37B0">
        <w:rPr>
          <w:rFonts w:ascii="Arial" w:hAnsi="Arial" w:cs="Arial"/>
          <w:sz w:val="20"/>
          <w:szCs w:val="20"/>
        </w:rPr>
        <w:t xml:space="preserve">, 1-14. </w:t>
      </w:r>
      <w:hyperlink r:id="rId62" w:history="1">
        <w:r w:rsidRPr="00FE37B0">
          <w:rPr>
            <w:rStyle w:val="Hyperlink"/>
            <w:rFonts w:ascii="Arial" w:hAnsi="Arial" w:cs="Arial"/>
            <w:sz w:val="20"/>
            <w:szCs w:val="20"/>
          </w:rPr>
          <w:t>DOI 10.1186/s13029-015-0037-3</w:t>
        </w:r>
      </w:hyperlink>
    </w:p>
    <w:p w14:paraId="1E9C6CFD" w14:textId="2929B8B9" w:rsidR="00F67215" w:rsidRPr="00FE37B0" w:rsidRDefault="00F67215" w:rsidP="00A3426A">
      <w:pPr>
        <w:pStyle w:val="ListParagraph"/>
        <w:numPr>
          <w:ilvl w:val="0"/>
          <w:numId w:val="3"/>
        </w:numPr>
        <w:spacing w:before="240" w:after="0" w:line="360" w:lineRule="auto"/>
        <w:jc w:val="both"/>
        <w:rPr>
          <w:rFonts w:ascii="Arial" w:hAnsi="Arial" w:cs="Arial"/>
          <w:sz w:val="20"/>
          <w:szCs w:val="20"/>
        </w:rPr>
      </w:pPr>
      <w:proofErr w:type="spellStart"/>
      <w:r w:rsidRPr="00FE37B0">
        <w:rPr>
          <w:rFonts w:ascii="Arial" w:hAnsi="Arial" w:cs="Arial"/>
          <w:sz w:val="20"/>
          <w:szCs w:val="20"/>
        </w:rPr>
        <w:t>Fathoni</w:t>
      </w:r>
      <w:proofErr w:type="spellEnd"/>
      <w:r w:rsidRPr="00FE37B0">
        <w:rPr>
          <w:rFonts w:ascii="Arial" w:hAnsi="Arial" w:cs="Arial"/>
          <w:sz w:val="20"/>
          <w:szCs w:val="20"/>
        </w:rPr>
        <w:t xml:space="preserve">, I., Ho, T. C., Chan, A. H., Leeper, F. J., </w:t>
      </w:r>
      <w:proofErr w:type="spellStart"/>
      <w:r w:rsidRPr="00FE37B0">
        <w:rPr>
          <w:rFonts w:ascii="Arial" w:hAnsi="Arial" w:cs="Arial"/>
          <w:sz w:val="20"/>
          <w:szCs w:val="20"/>
        </w:rPr>
        <w:t>Matuschewski</w:t>
      </w:r>
      <w:proofErr w:type="spellEnd"/>
      <w:r w:rsidRPr="00FE37B0">
        <w:rPr>
          <w:rFonts w:ascii="Arial" w:hAnsi="Arial" w:cs="Arial"/>
          <w:sz w:val="20"/>
          <w:szCs w:val="20"/>
        </w:rPr>
        <w:t xml:space="preserve">, K., </w:t>
      </w:r>
      <w:r w:rsidR="00FE37B0">
        <w:rPr>
          <w:rFonts w:ascii="Arial" w:hAnsi="Arial" w:cs="Arial"/>
          <w:sz w:val="20"/>
          <w:szCs w:val="20"/>
        </w:rPr>
        <w:t>and</w:t>
      </w:r>
      <w:r w:rsidRPr="00FE37B0">
        <w:rPr>
          <w:rFonts w:ascii="Arial" w:hAnsi="Arial" w:cs="Arial"/>
          <w:sz w:val="20"/>
          <w:szCs w:val="20"/>
        </w:rPr>
        <w:t xml:space="preserve"> Saliba, K. J. (2024). Identification and characterization of thiamine analogs with </w:t>
      </w:r>
      <w:proofErr w:type="spellStart"/>
      <w:r w:rsidRPr="00FE37B0">
        <w:rPr>
          <w:rFonts w:ascii="Arial" w:hAnsi="Arial" w:cs="Arial"/>
          <w:sz w:val="20"/>
          <w:szCs w:val="20"/>
        </w:rPr>
        <w:t>antiplasmodial</w:t>
      </w:r>
      <w:proofErr w:type="spellEnd"/>
      <w:r w:rsidRPr="00FE37B0">
        <w:rPr>
          <w:rFonts w:ascii="Arial" w:hAnsi="Arial" w:cs="Arial"/>
          <w:sz w:val="20"/>
          <w:szCs w:val="20"/>
        </w:rPr>
        <w:t xml:space="preserve"> activity. </w:t>
      </w:r>
      <w:r w:rsidRPr="00FE37B0">
        <w:rPr>
          <w:rFonts w:ascii="Arial" w:hAnsi="Arial" w:cs="Arial"/>
          <w:i/>
          <w:iCs/>
          <w:sz w:val="20"/>
          <w:szCs w:val="20"/>
        </w:rPr>
        <w:t>Antimicrobial Agents and Chemotherapy</w:t>
      </w:r>
      <w:r w:rsidRPr="00FE37B0">
        <w:rPr>
          <w:rFonts w:ascii="Arial" w:hAnsi="Arial" w:cs="Arial"/>
          <w:sz w:val="20"/>
          <w:szCs w:val="20"/>
        </w:rPr>
        <w:t>, </w:t>
      </w:r>
      <w:r w:rsidRPr="00FE37B0">
        <w:rPr>
          <w:rFonts w:ascii="Arial" w:hAnsi="Arial" w:cs="Arial"/>
          <w:i/>
          <w:iCs/>
          <w:sz w:val="20"/>
          <w:szCs w:val="20"/>
        </w:rPr>
        <w:t>68</w:t>
      </w:r>
      <w:r w:rsidRPr="00FE37B0">
        <w:rPr>
          <w:rFonts w:ascii="Arial" w:hAnsi="Arial" w:cs="Arial"/>
          <w:sz w:val="20"/>
          <w:szCs w:val="20"/>
        </w:rPr>
        <w:t xml:space="preserve">(12), e01096-24. </w:t>
      </w:r>
      <w:hyperlink r:id="rId63" w:history="1">
        <w:r w:rsidRPr="00FE37B0">
          <w:rPr>
            <w:rStyle w:val="Hyperlink"/>
            <w:rFonts w:ascii="Arial" w:hAnsi="Arial" w:cs="Arial"/>
            <w:sz w:val="20"/>
            <w:szCs w:val="20"/>
          </w:rPr>
          <w:t>https://doi.org/10.1101/2024.07.18.604204</w:t>
        </w:r>
      </w:hyperlink>
    </w:p>
    <w:p w14:paraId="15459E75" w14:textId="22A1A256" w:rsidR="00A3426A" w:rsidRPr="00A3426A" w:rsidRDefault="00FE37B0" w:rsidP="00A3426A">
      <w:pPr>
        <w:pStyle w:val="NormalWeb"/>
        <w:numPr>
          <w:ilvl w:val="0"/>
          <w:numId w:val="3"/>
        </w:numPr>
        <w:spacing w:before="0" w:beforeAutospacing="0" w:after="0" w:afterAutospacing="0" w:line="360" w:lineRule="auto"/>
        <w:jc w:val="both"/>
        <w:rPr>
          <w:rFonts w:ascii="Arial" w:hAnsi="Arial" w:cs="Arial"/>
          <w:sz w:val="20"/>
          <w:szCs w:val="20"/>
        </w:rPr>
      </w:pPr>
      <w:r w:rsidRPr="00FE37B0">
        <w:rPr>
          <w:rFonts w:ascii="Arial" w:hAnsi="Arial" w:cs="Arial"/>
          <w:sz w:val="20"/>
          <w:szCs w:val="20"/>
        </w:rPr>
        <w:t xml:space="preserve">Atanda, O. E., Olaniyan, L. W. B., </w:t>
      </w:r>
      <w:proofErr w:type="spellStart"/>
      <w:r w:rsidRPr="00FE37B0">
        <w:rPr>
          <w:rFonts w:ascii="Arial" w:hAnsi="Arial" w:cs="Arial"/>
          <w:sz w:val="20"/>
          <w:szCs w:val="20"/>
        </w:rPr>
        <w:t>Fadare</w:t>
      </w:r>
      <w:proofErr w:type="spellEnd"/>
      <w:r w:rsidRPr="00FE37B0">
        <w:rPr>
          <w:rFonts w:ascii="Arial" w:hAnsi="Arial" w:cs="Arial"/>
          <w:sz w:val="20"/>
          <w:szCs w:val="20"/>
        </w:rPr>
        <w:t xml:space="preserve">, O. A., </w:t>
      </w:r>
      <w:proofErr w:type="spellStart"/>
      <w:r w:rsidRPr="00FE37B0">
        <w:rPr>
          <w:rFonts w:ascii="Arial" w:hAnsi="Arial" w:cs="Arial"/>
          <w:sz w:val="20"/>
          <w:szCs w:val="20"/>
        </w:rPr>
        <w:t>Ehigie</w:t>
      </w:r>
      <w:proofErr w:type="spellEnd"/>
      <w:r w:rsidRPr="00FE37B0">
        <w:rPr>
          <w:rFonts w:ascii="Arial" w:hAnsi="Arial" w:cs="Arial"/>
          <w:sz w:val="20"/>
          <w:szCs w:val="20"/>
        </w:rPr>
        <w:t xml:space="preserve">, A. F., Adisa, T. A., </w:t>
      </w:r>
      <w:proofErr w:type="spellStart"/>
      <w:r w:rsidRPr="00FE37B0">
        <w:rPr>
          <w:rFonts w:ascii="Arial" w:hAnsi="Arial" w:cs="Arial"/>
          <w:sz w:val="20"/>
          <w:szCs w:val="20"/>
        </w:rPr>
        <w:t>Odunitan</w:t>
      </w:r>
      <w:proofErr w:type="spellEnd"/>
      <w:r w:rsidRPr="00FE37B0">
        <w:rPr>
          <w:rFonts w:ascii="Arial" w:hAnsi="Arial" w:cs="Arial"/>
          <w:sz w:val="20"/>
          <w:szCs w:val="20"/>
        </w:rPr>
        <w:t xml:space="preserve">, T. T., Alabi, O. T., </w:t>
      </w:r>
      <w:proofErr w:type="spellStart"/>
      <w:r w:rsidRPr="00FE37B0">
        <w:rPr>
          <w:rFonts w:ascii="Arial" w:hAnsi="Arial" w:cs="Arial"/>
          <w:sz w:val="20"/>
          <w:szCs w:val="20"/>
        </w:rPr>
        <w:t>Omonijo</w:t>
      </w:r>
      <w:proofErr w:type="spellEnd"/>
      <w:r w:rsidRPr="00FE37B0">
        <w:rPr>
          <w:rFonts w:ascii="Arial" w:hAnsi="Arial" w:cs="Arial"/>
          <w:sz w:val="20"/>
          <w:szCs w:val="20"/>
        </w:rPr>
        <w:t xml:space="preserve">, B. A., </w:t>
      </w:r>
      <w:proofErr w:type="spellStart"/>
      <w:r w:rsidRPr="00FE37B0">
        <w:rPr>
          <w:rFonts w:ascii="Arial" w:hAnsi="Arial" w:cs="Arial"/>
          <w:sz w:val="20"/>
          <w:szCs w:val="20"/>
        </w:rPr>
        <w:t>Aloba</w:t>
      </w:r>
      <w:proofErr w:type="spellEnd"/>
      <w:r w:rsidRPr="00FE37B0">
        <w:rPr>
          <w:rFonts w:ascii="Arial" w:hAnsi="Arial" w:cs="Arial"/>
          <w:sz w:val="20"/>
          <w:szCs w:val="20"/>
        </w:rPr>
        <w:t xml:space="preserve">, G. O., and </w:t>
      </w:r>
      <w:proofErr w:type="spellStart"/>
      <w:r w:rsidRPr="00FE37B0">
        <w:rPr>
          <w:rFonts w:ascii="Arial" w:hAnsi="Arial" w:cs="Arial"/>
          <w:sz w:val="20"/>
          <w:szCs w:val="20"/>
        </w:rPr>
        <w:t>Ehigie</w:t>
      </w:r>
      <w:proofErr w:type="spellEnd"/>
      <w:r w:rsidRPr="00FE37B0">
        <w:rPr>
          <w:rFonts w:ascii="Arial" w:hAnsi="Arial" w:cs="Arial"/>
          <w:sz w:val="20"/>
          <w:szCs w:val="20"/>
        </w:rPr>
        <w:t>, L. O. (2024). “</w:t>
      </w:r>
      <w:r w:rsidRPr="00FE37B0">
        <w:rPr>
          <w:rFonts w:ascii="Arial" w:hAnsi="Arial" w:cs="Arial"/>
          <w:i/>
          <w:iCs/>
          <w:sz w:val="20"/>
          <w:szCs w:val="20"/>
        </w:rPr>
        <w:t>In-silico</w:t>
      </w:r>
      <w:r w:rsidRPr="00FE37B0">
        <w:rPr>
          <w:rFonts w:ascii="Arial" w:hAnsi="Arial" w:cs="Arial"/>
          <w:sz w:val="20"/>
          <w:szCs w:val="20"/>
        </w:rPr>
        <w:t xml:space="preserve"> evaluation of phenylisocytosine and its analogs as potent inhibitors of </w:t>
      </w:r>
      <w:r w:rsidRPr="00FE37B0">
        <w:rPr>
          <w:rFonts w:ascii="Arial" w:hAnsi="Arial" w:cs="Arial"/>
          <w:i/>
          <w:iCs/>
          <w:sz w:val="20"/>
          <w:szCs w:val="20"/>
        </w:rPr>
        <w:t>Plasmodium falciparum</w:t>
      </w:r>
      <w:r w:rsidRPr="00FE37B0">
        <w:rPr>
          <w:rFonts w:ascii="Arial" w:hAnsi="Arial" w:cs="Arial"/>
          <w:sz w:val="20"/>
          <w:szCs w:val="20"/>
        </w:rPr>
        <w:t xml:space="preserve"> transketolase: A strategic approach in anti-malarial drug discovery”. </w:t>
      </w:r>
      <w:r w:rsidRPr="00FE37B0">
        <w:rPr>
          <w:rFonts w:ascii="Arial" w:hAnsi="Arial" w:cs="Arial"/>
          <w:i/>
          <w:iCs/>
          <w:sz w:val="20"/>
          <w:szCs w:val="20"/>
        </w:rPr>
        <w:t>International Journal of Biochemistry Research and Review,</w:t>
      </w:r>
      <w:r w:rsidRPr="00FE37B0">
        <w:rPr>
          <w:rFonts w:ascii="Arial" w:hAnsi="Arial" w:cs="Arial"/>
          <w:sz w:val="20"/>
          <w:szCs w:val="20"/>
        </w:rPr>
        <w:t xml:space="preserve"> 33 (6):616-36. </w:t>
      </w:r>
      <w:hyperlink r:id="rId64" w:history="1">
        <w:r w:rsidRPr="00FE37B0">
          <w:rPr>
            <w:rStyle w:val="Hyperlink"/>
            <w:rFonts w:ascii="Arial" w:hAnsi="Arial" w:cs="Arial"/>
            <w:sz w:val="20"/>
            <w:szCs w:val="20"/>
          </w:rPr>
          <w:t>https://doi.org/10.9734/ijbcrr/2024/v33i6941</w:t>
        </w:r>
      </w:hyperlink>
      <w:r w:rsidRPr="00DF5FD0">
        <w:rPr>
          <w:rFonts w:ascii="Arial" w:hAnsi="Arial" w:cs="Arial"/>
          <w:sz w:val="20"/>
          <w:szCs w:val="20"/>
        </w:rPr>
        <w:t>.</w:t>
      </w:r>
    </w:p>
    <w:p w14:paraId="1A2E078F" w14:textId="3D2CE36D" w:rsidR="00F67215" w:rsidRPr="00FE37B0" w:rsidRDefault="00F67215" w:rsidP="00A3426A">
      <w:pPr>
        <w:pStyle w:val="ListParagraph"/>
        <w:numPr>
          <w:ilvl w:val="0"/>
          <w:numId w:val="3"/>
        </w:numPr>
        <w:spacing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Tiwari, A.,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Singh, S. (2022). Computational approaches in drug designing. In </w:t>
      </w:r>
      <w:r w:rsidRPr="00FE37B0">
        <w:rPr>
          <w:rFonts w:ascii="Arial" w:hAnsi="Arial" w:cs="Arial"/>
          <w:i/>
          <w:iCs/>
          <w:color w:val="222222"/>
          <w:sz w:val="20"/>
          <w:szCs w:val="20"/>
          <w:shd w:val="clear" w:color="auto" w:fill="FFFFFF"/>
        </w:rPr>
        <w:t>Bioinformatics</w:t>
      </w:r>
      <w:r w:rsidRPr="00FE37B0">
        <w:rPr>
          <w:rFonts w:ascii="Arial" w:hAnsi="Arial" w:cs="Arial"/>
          <w:color w:val="222222"/>
          <w:sz w:val="20"/>
          <w:szCs w:val="20"/>
          <w:shd w:val="clear" w:color="auto" w:fill="FFFFFF"/>
        </w:rPr>
        <w:t xml:space="preserve"> (pp. 207-217). Academic Press. </w:t>
      </w:r>
      <w:hyperlink r:id="rId65" w:history="1">
        <w:r w:rsidRPr="00FE37B0">
          <w:rPr>
            <w:rStyle w:val="Hyperlink"/>
            <w:rFonts w:ascii="Arial" w:hAnsi="Arial" w:cs="Arial"/>
            <w:sz w:val="20"/>
            <w:szCs w:val="20"/>
            <w:shd w:val="clear" w:color="auto" w:fill="FFFFFF"/>
          </w:rPr>
          <w:t>https://doi.org/10.1016/B978-0-323-89775-4.00010-9</w:t>
        </w:r>
      </w:hyperlink>
    </w:p>
    <w:p w14:paraId="72E4BEDB" w14:textId="50480239"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Bhunia, S. S., Saxena, M.,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Saxena, A. K. (2021). Ligand-and structure-based virtual screening in drug discovery. In </w:t>
      </w:r>
      <w:r w:rsidRPr="00FE37B0">
        <w:rPr>
          <w:rFonts w:ascii="Arial" w:hAnsi="Arial" w:cs="Arial"/>
          <w:i/>
          <w:iCs/>
          <w:color w:val="222222"/>
          <w:sz w:val="20"/>
          <w:szCs w:val="20"/>
          <w:shd w:val="clear" w:color="auto" w:fill="FFFFFF"/>
        </w:rPr>
        <w:t>Biophysical and Computational Tools in Drug Discovery</w:t>
      </w:r>
      <w:r w:rsidRPr="00FE37B0">
        <w:rPr>
          <w:rFonts w:ascii="Arial" w:hAnsi="Arial" w:cs="Arial"/>
          <w:color w:val="222222"/>
          <w:sz w:val="20"/>
          <w:szCs w:val="20"/>
          <w:shd w:val="clear" w:color="auto" w:fill="FFFFFF"/>
        </w:rPr>
        <w:t xml:space="preserve"> (pp. 281-339). Cham: Springer International Publishing. </w:t>
      </w:r>
      <w:hyperlink r:id="rId66" w:history="1">
        <w:r w:rsidRPr="00FE37B0">
          <w:rPr>
            <w:rStyle w:val="Hyperlink"/>
            <w:rFonts w:ascii="Arial" w:hAnsi="Arial" w:cs="Arial"/>
            <w:sz w:val="20"/>
            <w:szCs w:val="20"/>
            <w:shd w:val="clear" w:color="auto" w:fill="FFFFFF"/>
          </w:rPr>
          <w:t>https://doi.org/10.1007/7355_2021_130</w:t>
        </w:r>
      </w:hyperlink>
    </w:p>
    <w:p w14:paraId="4C7AC374" w14:textId="1B387A3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Fu, Y., Zhao, J., </w:t>
      </w:r>
      <w:r w:rsidR="00FE37B0">
        <w:rPr>
          <w:rFonts w:ascii="Arial" w:hAnsi="Arial" w:cs="Arial"/>
          <w:color w:val="222222"/>
          <w:sz w:val="20"/>
          <w:szCs w:val="20"/>
          <w:shd w:val="clear" w:color="auto" w:fill="FFFFFF"/>
          <w:lang w:val="de-DE"/>
        </w:rPr>
        <w:t>and</w:t>
      </w:r>
      <w:r w:rsidRPr="00FE37B0">
        <w:rPr>
          <w:rFonts w:ascii="Arial" w:hAnsi="Arial" w:cs="Arial"/>
          <w:color w:val="222222"/>
          <w:sz w:val="20"/>
          <w:szCs w:val="20"/>
          <w:shd w:val="clear" w:color="auto" w:fill="FFFFFF"/>
          <w:lang w:val="de-DE"/>
        </w:rPr>
        <w:t xml:space="preserve"> Chen, Z. (2018). </w:t>
      </w:r>
      <w:r w:rsidRPr="00FE37B0">
        <w:rPr>
          <w:rFonts w:ascii="Arial" w:hAnsi="Arial" w:cs="Arial"/>
          <w:color w:val="222222"/>
          <w:sz w:val="20"/>
          <w:szCs w:val="20"/>
          <w:shd w:val="clear" w:color="auto" w:fill="FFFFFF"/>
        </w:rPr>
        <w:t>Insights into the molecular mechanisms of protein</w:t>
      </w:r>
      <w:r w:rsidRPr="00FE37B0">
        <w:rPr>
          <w:rFonts w:ascii="Cambria Math" w:hAnsi="Cambria Math" w:cs="Cambria Math"/>
          <w:color w:val="222222"/>
          <w:sz w:val="20"/>
          <w:szCs w:val="20"/>
          <w:shd w:val="clear" w:color="auto" w:fill="FFFFFF"/>
        </w:rPr>
        <w:t>‐</w:t>
      </w:r>
      <w:r w:rsidRPr="00FE37B0">
        <w:rPr>
          <w:rFonts w:ascii="Arial" w:hAnsi="Arial" w:cs="Arial"/>
          <w:color w:val="222222"/>
          <w:sz w:val="20"/>
          <w:szCs w:val="20"/>
          <w:shd w:val="clear" w:color="auto" w:fill="FFFFFF"/>
        </w:rPr>
        <w:t xml:space="preserve">ligand interactions by molecular docking and molecular dynamics simulation: </w:t>
      </w:r>
      <w:r w:rsidR="00A3426A">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 xml:space="preserve"> case of oligopeptide binding protein. </w:t>
      </w:r>
      <w:r w:rsidRPr="00FE37B0">
        <w:rPr>
          <w:rFonts w:ascii="Arial" w:hAnsi="Arial" w:cs="Arial"/>
          <w:i/>
          <w:iCs/>
          <w:color w:val="222222"/>
          <w:sz w:val="20"/>
          <w:szCs w:val="20"/>
          <w:shd w:val="clear" w:color="auto" w:fill="FFFFFF"/>
        </w:rPr>
        <w:t>Computational and mathematical methods in medicine</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2018</w:t>
      </w:r>
      <w:r w:rsidRPr="00FE37B0">
        <w:rPr>
          <w:rFonts w:ascii="Arial" w:hAnsi="Arial" w:cs="Arial"/>
          <w:color w:val="222222"/>
          <w:sz w:val="20"/>
          <w:szCs w:val="20"/>
          <w:shd w:val="clear" w:color="auto" w:fill="FFFFFF"/>
        </w:rPr>
        <w:t xml:space="preserve">(1), 3502514. </w:t>
      </w:r>
      <w:hyperlink r:id="rId67" w:history="1">
        <w:r w:rsidRPr="00FE37B0">
          <w:rPr>
            <w:rStyle w:val="Hyperlink"/>
            <w:rFonts w:ascii="Arial" w:hAnsi="Arial" w:cs="Arial"/>
            <w:sz w:val="20"/>
            <w:szCs w:val="20"/>
            <w:shd w:val="clear" w:color="auto" w:fill="FFFFFF"/>
          </w:rPr>
          <w:t>https://doi.org/10.1155/2018/3502514</w:t>
        </w:r>
      </w:hyperlink>
    </w:p>
    <w:p w14:paraId="1CA92890" w14:textId="6BE3658C" w:rsidR="00F67215" w:rsidRPr="00FE37B0" w:rsidRDefault="00F67215" w:rsidP="00FE37B0">
      <w:pPr>
        <w:pStyle w:val="ListParagraph"/>
        <w:numPr>
          <w:ilvl w:val="0"/>
          <w:numId w:val="3"/>
        </w:numPr>
        <w:spacing w:before="240" w:line="360" w:lineRule="auto"/>
        <w:jc w:val="both"/>
        <w:rPr>
          <w:rFonts w:ascii="Arial" w:hAnsi="Arial" w:cs="Arial"/>
          <w:sz w:val="20"/>
          <w:szCs w:val="20"/>
        </w:rPr>
      </w:pPr>
      <w:proofErr w:type="spellStart"/>
      <w:r w:rsidRPr="00FE37B0">
        <w:rPr>
          <w:rFonts w:ascii="Arial" w:hAnsi="Arial" w:cs="Arial"/>
          <w:sz w:val="20"/>
          <w:szCs w:val="20"/>
        </w:rPr>
        <w:t>Jejurikar</w:t>
      </w:r>
      <w:proofErr w:type="spellEnd"/>
      <w:r w:rsidRPr="00FE37B0">
        <w:rPr>
          <w:rFonts w:ascii="Arial" w:hAnsi="Arial" w:cs="Arial"/>
          <w:sz w:val="20"/>
          <w:szCs w:val="20"/>
        </w:rPr>
        <w:t xml:space="preserve">, B. L.,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Rohane</w:t>
      </w:r>
      <w:proofErr w:type="spellEnd"/>
      <w:r w:rsidRPr="00FE37B0">
        <w:rPr>
          <w:rFonts w:ascii="Arial" w:hAnsi="Arial" w:cs="Arial"/>
          <w:sz w:val="20"/>
          <w:szCs w:val="20"/>
        </w:rPr>
        <w:t xml:space="preserve">, S. H. (2021). Drug designing in discovery studio. 14 (2): 135-138. </w:t>
      </w:r>
      <w:hyperlink r:id="rId68" w:tgtFrame="_blank" w:history="1">
        <w:r w:rsidRPr="00FE37B0">
          <w:rPr>
            <w:rStyle w:val="Hyperlink"/>
            <w:rFonts w:ascii="Arial" w:hAnsi="Arial" w:cs="Arial"/>
            <w:sz w:val="20"/>
            <w:szCs w:val="20"/>
          </w:rPr>
          <w:t>10.5958/0974-4150.2021.00025.0</w:t>
        </w:r>
      </w:hyperlink>
    </w:p>
    <w:p w14:paraId="2085D39D" w14:textId="4E9005F8" w:rsidR="00F67215" w:rsidRPr="00FE37B0" w:rsidRDefault="00F67215" w:rsidP="00FE37B0">
      <w:pPr>
        <w:pStyle w:val="ListParagraph"/>
        <w:numPr>
          <w:ilvl w:val="0"/>
          <w:numId w:val="3"/>
        </w:numPr>
        <w:tabs>
          <w:tab w:val="left" w:pos="720"/>
        </w:tabs>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lang w:val="de-DE"/>
        </w:rPr>
        <w:t xml:space="preserve">Tian, W., Chen, C., Lei, X., Zhao, J., </w:t>
      </w:r>
      <w:r w:rsidR="00FE37B0">
        <w:rPr>
          <w:rFonts w:ascii="Arial" w:hAnsi="Arial" w:cs="Arial"/>
          <w:sz w:val="20"/>
          <w:szCs w:val="20"/>
          <w:lang w:val="de-DE"/>
        </w:rPr>
        <w:t>and</w:t>
      </w:r>
      <w:r w:rsidRPr="00FE37B0">
        <w:rPr>
          <w:rFonts w:ascii="Arial" w:hAnsi="Arial" w:cs="Arial"/>
          <w:sz w:val="20"/>
          <w:szCs w:val="20"/>
          <w:lang w:val="de-DE"/>
        </w:rPr>
        <w:t xml:space="preserve"> Liang, J. (2018). </w:t>
      </w:r>
      <w:r w:rsidRPr="00FE37B0">
        <w:rPr>
          <w:rFonts w:ascii="Arial" w:hAnsi="Arial" w:cs="Arial"/>
          <w:sz w:val="20"/>
          <w:szCs w:val="20"/>
        </w:rPr>
        <w:t xml:space="preserve">CASTp 3.0: </w:t>
      </w:r>
      <w:r w:rsidR="00A3426A">
        <w:rPr>
          <w:rFonts w:ascii="Arial" w:hAnsi="Arial" w:cs="Arial"/>
          <w:sz w:val="20"/>
          <w:szCs w:val="20"/>
        </w:rPr>
        <w:t>C</w:t>
      </w:r>
      <w:r w:rsidRPr="00FE37B0">
        <w:rPr>
          <w:rFonts w:ascii="Arial" w:hAnsi="Arial" w:cs="Arial"/>
          <w:sz w:val="20"/>
          <w:szCs w:val="20"/>
        </w:rPr>
        <w:t>omputed atlas of surface topography of proteins. </w:t>
      </w:r>
      <w:r w:rsidRPr="00FE37B0">
        <w:rPr>
          <w:rFonts w:ascii="Arial" w:hAnsi="Arial" w:cs="Arial"/>
          <w:i/>
          <w:iCs/>
          <w:sz w:val="20"/>
          <w:szCs w:val="20"/>
        </w:rPr>
        <w:t xml:space="preserve">Nucleic </w:t>
      </w:r>
      <w:r w:rsidR="00A3426A">
        <w:rPr>
          <w:rFonts w:ascii="Arial" w:hAnsi="Arial" w:cs="Arial"/>
          <w:i/>
          <w:iCs/>
          <w:sz w:val="20"/>
          <w:szCs w:val="20"/>
        </w:rPr>
        <w:t>A</w:t>
      </w:r>
      <w:r w:rsidRPr="00FE37B0">
        <w:rPr>
          <w:rFonts w:ascii="Arial" w:hAnsi="Arial" w:cs="Arial"/>
          <w:i/>
          <w:iCs/>
          <w:sz w:val="20"/>
          <w:szCs w:val="20"/>
        </w:rPr>
        <w:t xml:space="preserve">cids </w:t>
      </w:r>
      <w:r w:rsidR="00A3426A">
        <w:rPr>
          <w:rFonts w:ascii="Arial" w:hAnsi="Arial" w:cs="Arial"/>
          <w:i/>
          <w:iCs/>
          <w:sz w:val="20"/>
          <w:szCs w:val="20"/>
        </w:rPr>
        <w:t>R</w:t>
      </w:r>
      <w:r w:rsidRPr="00FE37B0">
        <w:rPr>
          <w:rFonts w:ascii="Arial" w:hAnsi="Arial" w:cs="Arial"/>
          <w:i/>
          <w:iCs/>
          <w:sz w:val="20"/>
          <w:szCs w:val="20"/>
        </w:rPr>
        <w:t>esearch</w:t>
      </w:r>
      <w:r w:rsidRPr="00FE37B0">
        <w:rPr>
          <w:rFonts w:ascii="Arial" w:hAnsi="Arial" w:cs="Arial"/>
          <w:sz w:val="20"/>
          <w:szCs w:val="20"/>
        </w:rPr>
        <w:t>, </w:t>
      </w:r>
      <w:r w:rsidRPr="00FE37B0">
        <w:rPr>
          <w:rFonts w:ascii="Arial" w:hAnsi="Arial" w:cs="Arial"/>
          <w:i/>
          <w:iCs/>
          <w:sz w:val="20"/>
          <w:szCs w:val="20"/>
        </w:rPr>
        <w:t>46</w:t>
      </w:r>
      <w:r w:rsidRPr="00FE37B0">
        <w:rPr>
          <w:rFonts w:ascii="Arial" w:hAnsi="Arial" w:cs="Arial"/>
          <w:sz w:val="20"/>
          <w:szCs w:val="20"/>
        </w:rPr>
        <w:t xml:space="preserve">(W1), W363-W367. </w:t>
      </w:r>
      <w:hyperlink r:id="rId69" w:history="1">
        <w:r w:rsidRPr="00FE37B0">
          <w:rPr>
            <w:rStyle w:val="Hyperlink"/>
            <w:rFonts w:ascii="Arial" w:hAnsi="Arial" w:cs="Arial"/>
            <w:sz w:val="20"/>
            <w:szCs w:val="20"/>
            <w:shd w:val="clear" w:color="auto" w:fill="FFFFFF"/>
          </w:rPr>
          <w:t>https://doi.org/10.1093/nar/gky473</w:t>
        </w:r>
      </w:hyperlink>
    </w:p>
    <w:p w14:paraId="4913E375" w14:textId="1E50C38F"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sz w:val="20"/>
          <w:szCs w:val="20"/>
        </w:rPr>
        <w:t xml:space="preserve">O'Boyle, N. M., Banck, M., James, C. A., Morley, C., </w:t>
      </w:r>
      <w:proofErr w:type="spellStart"/>
      <w:r w:rsidRPr="00FE37B0">
        <w:rPr>
          <w:rFonts w:ascii="Arial" w:hAnsi="Arial" w:cs="Arial"/>
          <w:sz w:val="20"/>
          <w:szCs w:val="20"/>
        </w:rPr>
        <w:t>Vandermeersch</w:t>
      </w:r>
      <w:proofErr w:type="spellEnd"/>
      <w:r w:rsidRPr="00FE37B0">
        <w:rPr>
          <w:rFonts w:ascii="Arial" w:hAnsi="Arial" w:cs="Arial"/>
          <w:sz w:val="20"/>
          <w:szCs w:val="20"/>
        </w:rPr>
        <w:t xml:space="preserve">, T., </w:t>
      </w:r>
      <w:r w:rsidR="00FE37B0">
        <w:rPr>
          <w:rFonts w:ascii="Arial" w:hAnsi="Arial" w:cs="Arial"/>
          <w:sz w:val="20"/>
          <w:szCs w:val="20"/>
        </w:rPr>
        <w:t>and</w:t>
      </w:r>
      <w:r w:rsidRPr="00FE37B0">
        <w:rPr>
          <w:rFonts w:ascii="Arial" w:hAnsi="Arial" w:cs="Arial"/>
          <w:sz w:val="20"/>
          <w:szCs w:val="20"/>
        </w:rPr>
        <w:t xml:space="preserve"> Hutchison, G. R. (2011). Open Babel: An open chemical toolbox. </w:t>
      </w:r>
      <w:r w:rsidRPr="00A3426A">
        <w:rPr>
          <w:rFonts w:ascii="Arial" w:hAnsi="Arial" w:cs="Arial"/>
          <w:i/>
          <w:iCs/>
          <w:sz w:val="20"/>
          <w:szCs w:val="20"/>
        </w:rPr>
        <w:t xml:space="preserve">Journal of </w:t>
      </w:r>
      <w:r w:rsidR="00A3426A">
        <w:rPr>
          <w:rFonts w:ascii="Arial" w:hAnsi="Arial" w:cs="Arial"/>
          <w:i/>
          <w:iCs/>
          <w:sz w:val="20"/>
          <w:szCs w:val="20"/>
        </w:rPr>
        <w:t>C</w:t>
      </w:r>
      <w:r w:rsidRPr="00A3426A">
        <w:rPr>
          <w:rFonts w:ascii="Arial" w:hAnsi="Arial" w:cs="Arial"/>
          <w:i/>
          <w:iCs/>
          <w:sz w:val="20"/>
          <w:szCs w:val="20"/>
        </w:rPr>
        <w:t>heminformatics,</w:t>
      </w:r>
      <w:r w:rsidRPr="00FE37B0">
        <w:rPr>
          <w:rFonts w:ascii="Arial" w:hAnsi="Arial" w:cs="Arial"/>
          <w:sz w:val="20"/>
          <w:szCs w:val="20"/>
        </w:rPr>
        <w:t xml:space="preserve"> 3(1), 1-14. </w:t>
      </w:r>
      <w:hyperlink r:id="rId70" w:history="1">
        <w:r w:rsidRPr="00FE37B0">
          <w:rPr>
            <w:rStyle w:val="Hyperlink"/>
            <w:rFonts w:ascii="Arial" w:hAnsi="Arial" w:cs="Arial"/>
            <w:sz w:val="20"/>
            <w:szCs w:val="20"/>
            <w:shd w:val="clear" w:color="auto" w:fill="FFFFFF"/>
          </w:rPr>
          <w:t>https://doi.org/10.1186/1758-2946-3-33</w:t>
        </w:r>
      </w:hyperlink>
    </w:p>
    <w:p w14:paraId="1B09ECE7" w14:textId="29E2A059"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lastRenderedPageBreak/>
        <w:t xml:space="preserve">Huey, R., Morris, G. M., </w:t>
      </w:r>
      <w:r w:rsidR="00FE37B0">
        <w:rPr>
          <w:rFonts w:ascii="Arial" w:hAnsi="Arial" w:cs="Arial"/>
          <w:sz w:val="20"/>
          <w:szCs w:val="20"/>
        </w:rPr>
        <w:t>and</w:t>
      </w:r>
      <w:r w:rsidRPr="00FE37B0">
        <w:rPr>
          <w:rFonts w:ascii="Arial" w:hAnsi="Arial" w:cs="Arial"/>
          <w:sz w:val="20"/>
          <w:szCs w:val="20"/>
        </w:rPr>
        <w:t xml:space="preserve"> Forli, S. (2012). Using </w:t>
      </w:r>
      <w:proofErr w:type="spellStart"/>
      <w:r w:rsidRPr="00FE37B0">
        <w:rPr>
          <w:rFonts w:ascii="Arial" w:hAnsi="Arial" w:cs="Arial"/>
          <w:sz w:val="20"/>
          <w:szCs w:val="20"/>
        </w:rPr>
        <w:t>AutoDock</w:t>
      </w:r>
      <w:proofErr w:type="spellEnd"/>
      <w:r w:rsidRPr="00FE37B0">
        <w:rPr>
          <w:rFonts w:ascii="Arial" w:hAnsi="Arial" w:cs="Arial"/>
          <w:sz w:val="20"/>
          <w:szCs w:val="20"/>
        </w:rPr>
        <w:t xml:space="preserve"> 4 and </w:t>
      </w:r>
      <w:proofErr w:type="spellStart"/>
      <w:r w:rsidRPr="00FE37B0">
        <w:rPr>
          <w:rFonts w:ascii="Arial" w:hAnsi="Arial" w:cs="Arial"/>
          <w:sz w:val="20"/>
          <w:szCs w:val="20"/>
        </w:rPr>
        <w:t>AutoDock</w:t>
      </w:r>
      <w:proofErr w:type="spellEnd"/>
      <w:r w:rsidRPr="00FE37B0">
        <w:rPr>
          <w:rFonts w:ascii="Arial" w:hAnsi="Arial" w:cs="Arial"/>
          <w:sz w:val="20"/>
          <w:szCs w:val="20"/>
        </w:rPr>
        <w:t xml:space="preserve"> </w:t>
      </w:r>
      <w:proofErr w:type="spellStart"/>
      <w:r w:rsidRPr="00FE37B0">
        <w:rPr>
          <w:rFonts w:ascii="Arial" w:hAnsi="Arial" w:cs="Arial"/>
          <w:sz w:val="20"/>
          <w:szCs w:val="20"/>
        </w:rPr>
        <w:t>vina</w:t>
      </w:r>
      <w:proofErr w:type="spellEnd"/>
      <w:r w:rsidRPr="00FE37B0">
        <w:rPr>
          <w:rFonts w:ascii="Arial" w:hAnsi="Arial" w:cs="Arial"/>
          <w:sz w:val="20"/>
          <w:szCs w:val="20"/>
        </w:rPr>
        <w:t xml:space="preserve"> with </w:t>
      </w:r>
      <w:proofErr w:type="spellStart"/>
      <w:r w:rsidRPr="00FE37B0">
        <w:rPr>
          <w:rFonts w:ascii="Arial" w:hAnsi="Arial" w:cs="Arial"/>
          <w:sz w:val="20"/>
          <w:szCs w:val="20"/>
        </w:rPr>
        <w:t>AutoDockTools</w:t>
      </w:r>
      <w:proofErr w:type="spellEnd"/>
      <w:r w:rsidRPr="00FE37B0">
        <w:rPr>
          <w:rFonts w:ascii="Arial" w:hAnsi="Arial" w:cs="Arial"/>
          <w:sz w:val="20"/>
          <w:szCs w:val="20"/>
        </w:rPr>
        <w:t xml:space="preserve">: </w:t>
      </w:r>
      <w:r w:rsidR="00A3426A">
        <w:rPr>
          <w:rFonts w:ascii="Arial" w:hAnsi="Arial" w:cs="Arial"/>
          <w:sz w:val="20"/>
          <w:szCs w:val="20"/>
        </w:rPr>
        <w:t>A</w:t>
      </w:r>
      <w:r w:rsidRPr="00FE37B0">
        <w:rPr>
          <w:rFonts w:ascii="Arial" w:hAnsi="Arial" w:cs="Arial"/>
          <w:sz w:val="20"/>
          <w:szCs w:val="20"/>
        </w:rPr>
        <w:t xml:space="preserve"> tutorial. The Scripps Research Institute Molecular Graphics Laboratory, 10550(92037), 1000. </w:t>
      </w:r>
      <w:hyperlink r:id="rId71" w:history="1">
        <w:r w:rsidRPr="00FE37B0">
          <w:rPr>
            <w:rStyle w:val="Hyperlink"/>
            <w:rFonts w:ascii="Arial" w:hAnsi="Arial" w:cs="Arial"/>
            <w:sz w:val="20"/>
            <w:szCs w:val="20"/>
          </w:rPr>
          <w:t>http://vina.scripps.edu.</w:t>
        </w:r>
      </w:hyperlink>
    </w:p>
    <w:p w14:paraId="66D214E2" w14:textId="65BE8815" w:rsidR="00F67215" w:rsidRPr="00FE37B0" w:rsidRDefault="00F67215" w:rsidP="00FE37B0">
      <w:pPr>
        <w:pStyle w:val="ListParagraph"/>
        <w:numPr>
          <w:ilvl w:val="0"/>
          <w:numId w:val="3"/>
        </w:numPr>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rPr>
        <w:t xml:space="preserve">Hsu, K. C., Chen, Y. F., Lin, S. R., </w:t>
      </w:r>
      <w:r w:rsidR="00FE37B0">
        <w:rPr>
          <w:rFonts w:ascii="Arial" w:hAnsi="Arial" w:cs="Arial"/>
          <w:sz w:val="20"/>
          <w:szCs w:val="20"/>
        </w:rPr>
        <w:t>and</w:t>
      </w:r>
      <w:r w:rsidRPr="00FE37B0">
        <w:rPr>
          <w:rFonts w:ascii="Arial" w:hAnsi="Arial" w:cs="Arial"/>
          <w:sz w:val="20"/>
          <w:szCs w:val="20"/>
        </w:rPr>
        <w:t xml:space="preserve"> Yang, J. M. (2011). </w:t>
      </w:r>
      <w:proofErr w:type="spellStart"/>
      <w:r w:rsidRPr="00FE37B0">
        <w:rPr>
          <w:rFonts w:ascii="Arial" w:hAnsi="Arial" w:cs="Arial"/>
          <w:sz w:val="20"/>
          <w:szCs w:val="20"/>
        </w:rPr>
        <w:t>iGEMDOCK</w:t>
      </w:r>
      <w:proofErr w:type="spellEnd"/>
      <w:r w:rsidRPr="00FE37B0">
        <w:rPr>
          <w:rFonts w:ascii="Arial" w:hAnsi="Arial" w:cs="Arial"/>
          <w:sz w:val="20"/>
          <w:szCs w:val="20"/>
        </w:rPr>
        <w:t xml:space="preserve">: </w:t>
      </w:r>
      <w:r w:rsidR="00A3426A">
        <w:rPr>
          <w:rFonts w:ascii="Arial" w:hAnsi="Arial" w:cs="Arial"/>
          <w:sz w:val="20"/>
          <w:szCs w:val="20"/>
        </w:rPr>
        <w:t>A</w:t>
      </w:r>
      <w:r w:rsidRPr="00FE37B0">
        <w:rPr>
          <w:rFonts w:ascii="Arial" w:hAnsi="Arial" w:cs="Arial"/>
          <w:sz w:val="20"/>
          <w:szCs w:val="20"/>
        </w:rPr>
        <w:t xml:space="preserve"> graphical environment of enhancing GEMDOCK using pharmacological interactions and post-screening analysis. </w:t>
      </w:r>
      <w:r w:rsidRPr="00A3426A">
        <w:rPr>
          <w:rFonts w:ascii="Arial" w:hAnsi="Arial" w:cs="Arial"/>
          <w:i/>
          <w:iCs/>
          <w:sz w:val="20"/>
          <w:szCs w:val="20"/>
        </w:rPr>
        <w:t>BMC bioinformatics</w:t>
      </w:r>
      <w:r w:rsidRPr="00FE37B0">
        <w:rPr>
          <w:rFonts w:ascii="Arial" w:hAnsi="Arial" w:cs="Arial"/>
          <w:sz w:val="20"/>
          <w:szCs w:val="20"/>
        </w:rPr>
        <w:t xml:space="preserve">, 12, 1-11. </w:t>
      </w:r>
      <w:hyperlink r:id="rId72" w:history="1">
        <w:r w:rsidRPr="00FE37B0">
          <w:rPr>
            <w:rStyle w:val="Hyperlink"/>
            <w:rFonts w:ascii="Arial" w:hAnsi="Arial" w:cs="Arial"/>
            <w:sz w:val="20"/>
            <w:szCs w:val="20"/>
            <w:shd w:val="clear" w:color="auto" w:fill="FFFFFF"/>
          </w:rPr>
          <w:t>https://doi.org/10.1186/1471-2105-12-S1-S33</w:t>
        </w:r>
      </w:hyperlink>
    </w:p>
    <w:p w14:paraId="2478206F" w14:textId="3156D24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sz w:val="20"/>
          <w:szCs w:val="20"/>
          <w:lang w:val="de-DE"/>
        </w:rPr>
        <w:t xml:space="preserve">Scholz, C., Knorr, S., Hamacher, K., </w:t>
      </w:r>
      <w:r w:rsidR="00FE37B0">
        <w:rPr>
          <w:rFonts w:ascii="Arial" w:hAnsi="Arial" w:cs="Arial"/>
          <w:sz w:val="20"/>
          <w:szCs w:val="20"/>
          <w:lang w:val="de-DE"/>
        </w:rPr>
        <w:t>and</w:t>
      </w:r>
      <w:r w:rsidRPr="00FE37B0">
        <w:rPr>
          <w:rFonts w:ascii="Arial" w:hAnsi="Arial" w:cs="Arial"/>
          <w:sz w:val="20"/>
          <w:szCs w:val="20"/>
          <w:lang w:val="de-DE"/>
        </w:rPr>
        <w:t xml:space="preserve"> Schmidt, B. (2015). </w:t>
      </w:r>
      <w:r w:rsidRPr="00FE37B0">
        <w:rPr>
          <w:rFonts w:ascii="Arial" w:hAnsi="Arial" w:cs="Arial"/>
          <w:sz w:val="20"/>
          <w:szCs w:val="20"/>
        </w:rPr>
        <w:t xml:space="preserve">DOCKTITE A </w:t>
      </w:r>
      <w:r w:rsidR="00A3426A" w:rsidRPr="00FE37B0">
        <w:rPr>
          <w:rFonts w:ascii="Arial" w:hAnsi="Arial" w:cs="Arial"/>
          <w:sz w:val="20"/>
          <w:szCs w:val="20"/>
        </w:rPr>
        <w:t>highly versatile step-by-step workflow for covalent docking and virtual screening in the molecular operating environment</w:t>
      </w:r>
      <w:r w:rsidRPr="00FE37B0">
        <w:rPr>
          <w:rFonts w:ascii="Arial" w:hAnsi="Arial" w:cs="Arial"/>
          <w:sz w:val="20"/>
          <w:szCs w:val="20"/>
        </w:rPr>
        <w:t>. </w:t>
      </w:r>
      <w:r w:rsidRPr="00FE37B0">
        <w:rPr>
          <w:rFonts w:ascii="Arial" w:hAnsi="Arial" w:cs="Arial"/>
          <w:i/>
          <w:iCs/>
          <w:sz w:val="20"/>
          <w:szCs w:val="20"/>
        </w:rPr>
        <w:t xml:space="preserve">Journal of </w:t>
      </w:r>
      <w:r w:rsidR="00A3426A">
        <w:rPr>
          <w:rFonts w:ascii="Arial" w:hAnsi="Arial" w:cs="Arial"/>
          <w:i/>
          <w:iCs/>
          <w:sz w:val="20"/>
          <w:szCs w:val="20"/>
        </w:rPr>
        <w:t>C</w:t>
      </w:r>
      <w:r w:rsidRPr="00FE37B0">
        <w:rPr>
          <w:rFonts w:ascii="Arial" w:hAnsi="Arial" w:cs="Arial"/>
          <w:i/>
          <w:iCs/>
          <w:sz w:val="20"/>
          <w:szCs w:val="20"/>
        </w:rPr>
        <w:t xml:space="preserve">hemical </w:t>
      </w:r>
      <w:r w:rsidR="00A3426A">
        <w:rPr>
          <w:rFonts w:ascii="Arial" w:hAnsi="Arial" w:cs="Arial"/>
          <w:i/>
          <w:iCs/>
          <w:sz w:val="20"/>
          <w:szCs w:val="20"/>
        </w:rPr>
        <w:t>I</w:t>
      </w:r>
      <w:r w:rsidRPr="00FE37B0">
        <w:rPr>
          <w:rFonts w:ascii="Arial" w:hAnsi="Arial" w:cs="Arial"/>
          <w:i/>
          <w:iCs/>
          <w:sz w:val="20"/>
          <w:szCs w:val="20"/>
        </w:rPr>
        <w:t xml:space="preserve">nformation and </w:t>
      </w:r>
      <w:r w:rsidR="00A3426A">
        <w:rPr>
          <w:rFonts w:ascii="Arial" w:hAnsi="Arial" w:cs="Arial"/>
          <w:i/>
          <w:iCs/>
          <w:sz w:val="20"/>
          <w:szCs w:val="20"/>
        </w:rPr>
        <w:t>M</w:t>
      </w:r>
      <w:r w:rsidRPr="00FE37B0">
        <w:rPr>
          <w:rFonts w:ascii="Arial" w:hAnsi="Arial" w:cs="Arial"/>
          <w:i/>
          <w:iCs/>
          <w:sz w:val="20"/>
          <w:szCs w:val="20"/>
        </w:rPr>
        <w:t>odeling</w:t>
      </w:r>
      <w:r w:rsidRPr="00FE37B0">
        <w:rPr>
          <w:rFonts w:ascii="Arial" w:hAnsi="Arial" w:cs="Arial"/>
          <w:sz w:val="20"/>
          <w:szCs w:val="20"/>
        </w:rPr>
        <w:t>, </w:t>
      </w:r>
      <w:r w:rsidRPr="00FE37B0">
        <w:rPr>
          <w:rFonts w:ascii="Arial" w:hAnsi="Arial" w:cs="Arial"/>
          <w:i/>
          <w:iCs/>
          <w:sz w:val="20"/>
          <w:szCs w:val="20"/>
        </w:rPr>
        <w:t>55</w:t>
      </w:r>
      <w:r w:rsidRPr="00FE37B0">
        <w:rPr>
          <w:rFonts w:ascii="Arial" w:hAnsi="Arial" w:cs="Arial"/>
          <w:sz w:val="20"/>
          <w:szCs w:val="20"/>
        </w:rPr>
        <w:t xml:space="preserve">(2), 398-406. </w:t>
      </w:r>
      <w:hyperlink r:id="rId73" w:history="1">
        <w:r w:rsidRPr="00FE37B0">
          <w:rPr>
            <w:rStyle w:val="Hyperlink"/>
            <w:rFonts w:ascii="Arial" w:hAnsi="Arial" w:cs="Arial"/>
            <w:sz w:val="20"/>
            <w:szCs w:val="20"/>
          </w:rPr>
          <w:t>https://doi.org/10.1021/ci500681r</w:t>
        </w:r>
      </w:hyperlink>
    </w:p>
    <w:p w14:paraId="2F80FF3E" w14:textId="70C7F718" w:rsidR="00F67215" w:rsidRPr="00FE37B0" w:rsidRDefault="00F67215" w:rsidP="00FE37B0">
      <w:pPr>
        <w:pStyle w:val="ListParagraph"/>
        <w:numPr>
          <w:ilvl w:val="0"/>
          <w:numId w:val="3"/>
        </w:numPr>
        <w:spacing w:before="240" w:line="360" w:lineRule="auto"/>
        <w:jc w:val="both"/>
        <w:rPr>
          <w:rFonts w:ascii="Arial" w:hAnsi="Arial" w:cs="Arial"/>
          <w:sz w:val="20"/>
          <w:szCs w:val="20"/>
        </w:rPr>
      </w:pPr>
      <w:bookmarkStart w:id="8" w:name="_Hlk177606267"/>
      <w:r w:rsidRPr="00FE37B0">
        <w:rPr>
          <w:rFonts w:ascii="Arial" w:hAnsi="Arial" w:cs="Arial"/>
          <w:sz w:val="20"/>
          <w:szCs w:val="20"/>
          <w:lang w:val="de-DE"/>
        </w:rPr>
        <w:t>Olaniyan</w:t>
      </w:r>
      <w:bookmarkEnd w:id="8"/>
      <w:r w:rsidRPr="00FE37B0">
        <w:rPr>
          <w:rFonts w:ascii="Arial" w:hAnsi="Arial" w:cs="Arial"/>
          <w:sz w:val="20"/>
          <w:szCs w:val="20"/>
          <w:lang w:val="de-DE"/>
        </w:rPr>
        <w:t xml:space="preserve">, L. W. B., Ehigie, L. O., Ehigie, A. F., Emmanuel, O., Atanda, T. T. O., </w:t>
      </w:r>
      <w:r w:rsidR="00FE37B0">
        <w:rPr>
          <w:rFonts w:ascii="Arial" w:hAnsi="Arial" w:cs="Arial"/>
          <w:sz w:val="20"/>
          <w:szCs w:val="20"/>
          <w:lang w:val="de-DE"/>
        </w:rPr>
        <w:t>and</w:t>
      </w:r>
      <w:r w:rsidRPr="00FE37B0">
        <w:rPr>
          <w:rFonts w:ascii="Arial" w:hAnsi="Arial" w:cs="Arial"/>
          <w:sz w:val="20"/>
          <w:szCs w:val="20"/>
          <w:lang w:val="de-DE"/>
        </w:rPr>
        <w:t xml:space="preserve"> Fakuade, A. A. (2024). </w:t>
      </w:r>
      <w:r w:rsidRPr="00FE37B0">
        <w:rPr>
          <w:rFonts w:ascii="Arial" w:hAnsi="Arial" w:cs="Arial"/>
          <w:i/>
          <w:iCs/>
          <w:sz w:val="20"/>
          <w:szCs w:val="20"/>
        </w:rPr>
        <w:t xml:space="preserve">In </w:t>
      </w:r>
      <w:proofErr w:type="spellStart"/>
      <w:r w:rsidRPr="00FE37B0">
        <w:rPr>
          <w:rFonts w:ascii="Arial" w:hAnsi="Arial" w:cs="Arial"/>
          <w:i/>
          <w:iCs/>
          <w:sz w:val="20"/>
          <w:szCs w:val="20"/>
        </w:rPr>
        <w:t>silico</w:t>
      </w:r>
      <w:proofErr w:type="spellEnd"/>
      <w:r w:rsidRPr="00FE37B0">
        <w:rPr>
          <w:rFonts w:ascii="Arial" w:hAnsi="Arial" w:cs="Arial"/>
          <w:sz w:val="20"/>
          <w:szCs w:val="20"/>
        </w:rPr>
        <w:t xml:space="preserve"> </w:t>
      </w:r>
      <w:r w:rsidR="00A3426A" w:rsidRPr="00FE37B0">
        <w:rPr>
          <w:rFonts w:ascii="Arial" w:hAnsi="Arial" w:cs="Arial"/>
          <w:sz w:val="20"/>
          <w:szCs w:val="20"/>
        </w:rPr>
        <w:t xml:space="preserve">investigation of </w:t>
      </w:r>
      <w:proofErr w:type="spellStart"/>
      <w:r w:rsidR="00A3426A" w:rsidRPr="00FE37B0">
        <w:rPr>
          <w:rFonts w:ascii="Arial" w:hAnsi="Arial" w:cs="Arial"/>
          <w:sz w:val="20"/>
          <w:szCs w:val="20"/>
        </w:rPr>
        <w:t>indenoimidazole</w:t>
      </w:r>
      <w:proofErr w:type="spellEnd"/>
      <w:r w:rsidR="00A3426A" w:rsidRPr="00FE37B0">
        <w:rPr>
          <w:rFonts w:ascii="Arial" w:hAnsi="Arial" w:cs="Arial"/>
          <w:sz w:val="20"/>
          <w:szCs w:val="20"/>
        </w:rPr>
        <w:t xml:space="preserve"> derivatives as promising arsenal against methicillin resistant staphylococcus aureus through staphylococcal protein </w:t>
      </w:r>
      <w:proofErr w:type="gramStart"/>
      <w:r w:rsidR="00A3426A" w:rsidRPr="00FE37B0">
        <w:rPr>
          <w:rFonts w:ascii="Arial" w:hAnsi="Arial" w:cs="Arial"/>
          <w:sz w:val="20"/>
          <w:szCs w:val="20"/>
        </w:rPr>
        <w:t>a</w:t>
      </w:r>
      <w:proofErr w:type="gramEnd"/>
      <w:r w:rsidR="00A3426A" w:rsidRPr="00FE37B0">
        <w:rPr>
          <w:rFonts w:ascii="Arial" w:hAnsi="Arial" w:cs="Arial"/>
          <w:sz w:val="20"/>
          <w:szCs w:val="20"/>
        </w:rPr>
        <w:t xml:space="preserve"> inhibition.</w:t>
      </w:r>
      <w:r w:rsidRPr="00FE37B0">
        <w:rPr>
          <w:rFonts w:ascii="Arial" w:hAnsi="Arial" w:cs="Arial"/>
          <w:sz w:val="20"/>
          <w:szCs w:val="20"/>
        </w:rPr>
        <w:t> </w:t>
      </w:r>
      <w:r w:rsidRPr="00FE37B0">
        <w:rPr>
          <w:rFonts w:ascii="Arial" w:hAnsi="Arial" w:cs="Arial"/>
          <w:i/>
          <w:iCs/>
          <w:sz w:val="20"/>
          <w:szCs w:val="20"/>
        </w:rPr>
        <w:t>European Journal of Biomedical</w:t>
      </w:r>
      <w:r w:rsidRPr="00FE37B0">
        <w:rPr>
          <w:rFonts w:ascii="Arial" w:hAnsi="Arial" w:cs="Arial"/>
          <w:sz w:val="20"/>
          <w:szCs w:val="20"/>
        </w:rPr>
        <w:t>, </w:t>
      </w:r>
      <w:r w:rsidRPr="00FE37B0">
        <w:rPr>
          <w:rFonts w:ascii="Arial" w:hAnsi="Arial" w:cs="Arial"/>
          <w:i/>
          <w:iCs/>
          <w:sz w:val="20"/>
          <w:szCs w:val="20"/>
        </w:rPr>
        <w:t>11</w:t>
      </w:r>
      <w:r w:rsidRPr="00FE37B0">
        <w:rPr>
          <w:rFonts w:ascii="Arial" w:hAnsi="Arial" w:cs="Arial"/>
          <w:sz w:val="20"/>
          <w:szCs w:val="20"/>
        </w:rPr>
        <w:t xml:space="preserve">(6), 04-16. </w:t>
      </w:r>
      <w:proofErr w:type="spellStart"/>
      <w:r w:rsidRPr="00FE37B0">
        <w:rPr>
          <w:rFonts w:ascii="Arial" w:hAnsi="Arial" w:cs="Arial"/>
          <w:sz w:val="20"/>
          <w:szCs w:val="20"/>
        </w:rPr>
        <w:t>Issn</w:t>
      </w:r>
      <w:proofErr w:type="spellEnd"/>
      <w:r w:rsidRPr="00FE37B0">
        <w:rPr>
          <w:rFonts w:ascii="Arial" w:hAnsi="Arial" w:cs="Arial"/>
          <w:sz w:val="20"/>
          <w:szCs w:val="20"/>
        </w:rPr>
        <w:t xml:space="preserve"> 2349-8870</w:t>
      </w:r>
    </w:p>
    <w:p w14:paraId="02CCBADA" w14:textId="20A51D24" w:rsidR="00F67215" w:rsidRPr="00FE37B0" w:rsidRDefault="00F67215" w:rsidP="00FE37B0">
      <w:pPr>
        <w:pStyle w:val="ListParagraph"/>
        <w:numPr>
          <w:ilvl w:val="0"/>
          <w:numId w:val="3"/>
        </w:numPr>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rPr>
        <w:t xml:space="preserve">Oyedele, A. Q. K., </w:t>
      </w:r>
      <w:proofErr w:type="spellStart"/>
      <w:r w:rsidRPr="00FE37B0">
        <w:rPr>
          <w:rFonts w:ascii="Arial" w:hAnsi="Arial" w:cs="Arial"/>
          <w:sz w:val="20"/>
          <w:szCs w:val="20"/>
        </w:rPr>
        <w:t>Adelusi</w:t>
      </w:r>
      <w:proofErr w:type="spellEnd"/>
      <w:r w:rsidRPr="00FE37B0">
        <w:rPr>
          <w:rFonts w:ascii="Arial" w:hAnsi="Arial" w:cs="Arial"/>
          <w:sz w:val="20"/>
          <w:szCs w:val="20"/>
        </w:rPr>
        <w:t xml:space="preserve">, T. I., Ogunlana, A. T., Adeyemi, R. O., Atanda, O. E., Babalola, M. O., ...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Boyenle</w:t>
      </w:r>
      <w:proofErr w:type="spellEnd"/>
      <w:r w:rsidRPr="00FE37B0">
        <w:rPr>
          <w:rFonts w:ascii="Arial" w:hAnsi="Arial" w:cs="Arial"/>
          <w:sz w:val="20"/>
          <w:szCs w:val="20"/>
        </w:rPr>
        <w:t xml:space="preserve">, I. D. (2022). Integrated virtual screening and molecular dynamics simulation revealed promising drug candidates of p53-MDM2 interaction. </w:t>
      </w:r>
      <w:r w:rsidRPr="00A3426A">
        <w:rPr>
          <w:rFonts w:ascii="Arial" w:hAnsi="Arial" w:cs="Arial"/>
          <w:i/>
          <w:iCs/>
          <w:sz w:val="20"/>
          <w:szCs w:val="20"/>
        </w:rPr>
        <w:t>Journal of Molecular Modeling</w:t>
      </w:r>
      <w:r w:rsidRPr="00FE37B0">
        <w:rPr>
          <w:rFonts w:ascii="Arial" w:hAnsi="Arial" w:cs="Arial"/>
          <w:sz w:val="20"/>
          <w:szCs w:val="20"/>
        </w:rPr>
        <w:t xml:space="preserve">, 28(6), 142. </w:t>
      </w:r>
      <w:hyperlink r:id="rId74" w:history="1">
        <w:r w:rsidRPr="00FE37B0">
          <w:rPr>
            <w:rStyle w:val="Hyperlink"/>
            <w:rFonts w:ascii="Arial" w:hAnsi="Arial" w:cs="Arial"/>
            <w:sz w:val="20"/>
            <w:szCs w:val="20"/>
            <w:shd w:val="clear" w:color="auto" w:fill="FFFFFF"/>
          </w:rPr>
          <w:t>https://doi.org/10.1007/s00894-022-05131-w</w:t>
        </w:r>
      </w:hyperlink>
    </w:p>
    <w:p w14:paraId="0329020F" w14:textId="5C85691A" w:rsidR="00F67215" w:rsidRPr="00FE37B0" w:rsidRDefault="00F67215" w:rsidP="00FE37B0">
      <w:pPr>
        <w:pStyle w:val="ListParagraph"/>
        <w:numPr>
          <w:ilvl w:val="0"/>
          <w:numId w:val="3"/>
        </w:numPr>
        <w:spacing w:before="240" w:line="360" w:lineRule="auto"/>
        <w:jc w:val="both"/>
        <w:rPr>
          <w:rStyle w:val="Hyperlink"/>
          <w:rFonts w:ascii="Arial" w:hAnsi="Arial" w:cs="Arial"/>
          <w:color w:val="auto"/>
          <w:sz w:val="20"/>
          <w:szCs w:val="20"/>
          <w:u w:val="none"/>
        </w:rPr>
      </w:pPr>
      <w:r w:rsidRPr="00FE37B0">
        <w:rPr>
          <w:rFonts w:ascii="Arial" w:hAnsi="Arial" w:cs="Arial"/>
          <w:color w:val="222222"/>
          <w:sz w:val="20"/>
          <w:szCs w:val="20"/>
          <w:shd w:val="clear" w:color="auto" w:fill="FFFFFF"/>
        </w:rPr>
        <w:t xml:space="preserve">Lipinski, C. A. (2004). Lead-and drug-like compounds: </w:t>
      </w:r>
      <w:r w:rsidR="00A3426A">
        <w:rPr>
          <w:rFonts w:ascii="Arial" w:hAnsi="Arial" w:cs="Arial"/>
          <w:color w:val="222222"/>
          <w:sz w:val="20"/>
          <w:szCs w:val="20"/>
          <w:shd w:val="clear" w:color="auto" w:fill="FFFFFF"/>
        </w:rPr>
        <w:t>T</w:t>
      </w:r>
      <w:r w:rsidRPr="00FE37B0">
        <w:rPr>
          <w:rFonts w:ascii="Arial" w:hAnsi="Arial" w:cs="Arial"/>
          <w:color w:val="222222"/>
          <w:sz w:val="20"/>
          <w:szCs w:val="20"/>
          <w:shd w:val="clear" w:color="auto" w:fill="FFFFFF"/>
        </w:rPr>
        <w:t>he rule-of-five revolution. </w:t>
      </w:r>
      <w:r w:rsidRPr="00FE37B0">
        <w:rPr>
          <w:rFonts w:ascii="Arial" w:hAnsi="Arial" w:cs="Arial"/>
          <w:i/>
          <w:iCs/>
          <w:color w:val="222222"/>
          <w:sz w:val="20"/>
          <w:szCs w:val="20"/>
          <w:shd w:val="clear" w:color="auto" w:fill="FFFFFF"/>
        </w:rPr>
        <w:t>Drug discovery today: Technologies</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1</w:t>
      </w:r>
      <w:r w:rsidRPr="00FE37B0">
        <w:rPr>
          <w:rFonts w:ascii="Arial" w:hAnsi="Arial" w:cs="Arial"/>
          <w:color w:val="222222"/>
          <w:sz w:val="20"/>
          <w:szCs w:val="20"/>
          <w:shd w:val="clear" w:color="auto" w:fill="FFFFFF"/>
        </w:rPr>
        <w:t xml:space="preserve">(4), 337-341. </w:t>
      </w:r>
      <w:hyperlink r:id="rId75" w:history="1">
        <w:r w:rsidRPr="00FE37B0">
          <w:rPr>
            <w:rStyle w:val="Hyperlink"/>
            <w:rFonts w:ascii="Arial" w:hAnsi="Arial" w:cs="Arial"/>
            <w:sz w:val="20"/>
            <w:szCs w:val="20"/>
            <w:shd w:val="clear" w:color="auto" w:fill="FFFFFF"/>
          </w:rPr>
          <w:t>https://doi.org/10.1016/j.ddtec.2004.11.007</w:t>
        </w:r>
      </w:hyperlink>
    </w:p>
    <w:p w14:paraId="5740AA27" w14:textId="6A778BE6"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Fu, L., Shi, S., Yi, J., Wang, N., He, Y., Wu, Z., ...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Cao, D. (2024). </w:t>
      </w:r>
      <w:proofErr w:type="spellStart"/>
      <w:r w:rsidRPr="00FE37B0">
        <w:rPr>
          <w:rFonts w:ascii="Arial" w:hAnsi="Arial" w:cs="Arial"/>
          <w:color w:val="222222"/>
          <w:sz w:val="20"/>
          <w:szCs w:val="20"/>
          <w:shd w:val="clear" w:color="auto" w:fill="FFFFFF"/>
        </w:rPr>
        <w:t>ADMETlab</w:t>
      </w:r>
      <w:proofErr w:type="spellEnd"/>
      <w:r w:rsidRPr="00FE37B0">
        <w:rPr>
          <w:rFonts w:ascii="Arial" w:hAnsi="Arial" w:cs="Arial"/>
          <w:color w:val="222222"/>
          <w:sz w:val="20"/>
          <w:szCs w:val="20"/>
          <w:shd w:val="clear" w:color="auto" w:fill="FFFFFF"/>
        </w:rPr>
        <w:t xml:space="preserve"> 3.0: </w:t>
      </w:r>
      <w:r w:rsidR="00A3426A">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n updated comprehensive online ADMET prediction platform enhanced with broader coverage, improved performance, API functionality and decision support. </w:t>
      </w:r>
      <w:r w:rsidRPr="00FE37B0">
        <w:rPr>
          <w:rFonts w:ascii="Arial" w:hAnsi="Arial" w:cs="Arial"/>
          <w:i/>
          <w:iCs/>
          <w:color w:val="222222"/>
          <w:sz w:val="20"/>
          <w:szCs w:val="20"/>
          <w:shd w:val="clear" w:color="auto" w:fill="FFFFFF"/>
        </w:rPr>
        <w:t>Nucleic Acids Research</w:t>
      </w:r>
      <w:r w:rsidRPr="00FE37B0">
        <w:rPr>
          <w:rFonts w:ascii="Arial" w:hAnsi="Arial" w:cs="Arial"/>
          <w:color w:val="222222"/>
          <w:sz w:val="20"/>
          <w:szCs w:val="20"/>
          <w:shd w:val="clear" w:color="auto" w:fill="FFFFFF"/>
        </w:rPr>
        <w:t xml:space="preserve">, gkae236. </w:t>
      </w:r>
      <w:hyperlink r:id="rId76" w:history="1">
        <w:r w:rsidRPr="00FE37B0">
          <w:rPr>
            <w:rStyle w:val="Hyperlink"/>
            <w:rFonts w:ascii="Arial" w:hAnsi="Arial" w:cs="Arial"/>
            <w:sz w:val="20"/>
            <w:szCs w:val="20"/>
            <w:shd w:val="clear" w:color="auto" w:fill="FFFFFF"/>
          </w:rPr>
          <w:t>https://doi.org/10.1093/nar/gkae236</w:t>
        </w:r>
      </w:hyperlink>
    </w:p>
    <w:p w14:paraId="66CC8D8D" w14:textId="355C504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Pires, D. E., Blundell, T. L.,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Ascher, D. B. (2015). </w:t>
      </w:r>
      <w:proofErr w:type="spellStart"/>
      <w:r w:rsidRPr="00FE37B0">
        <w:rPr>
          <w:rFonts w:ascii="Arial" w:hAnsi="Arial" w:cs="Arial"/>
          <w:color w:val="222222"/>
          <w:sz w:val="20"/>
          <w:szCs w:val="20"/>
          <w:shd w:val="clear" w:color="auto" w:fill="FFFFFF"/>
        </w:rPr>
        <w:t>pkCSM</w:t>
      </w:r>
      <w:proofErr w:type="spellEnd"/>
      <w:r w:rsidRPr="00FE37B0">
        <w:rPr>
          <w:rFonts w:ascii="Arial" w:hAnsi="Arial" w:cs="Arial"/>
          <w:color w:val="222222"/>
          <w:sz w:val="20"/>
          <w:szCs w:val="20"/>
          <w:shd w:val="clear" w:color="auto" w:fill="FFFFFF"/>
        </w:rPr>
        <w:t xml:space="preserve">: </w:t>
      </w:r>
      <w:r w:rsidR="00A3426A">
        <w:rPr>
          <w:rFonts w:ascii="Arial" w:hAnsi="Arial" w:cs="Arial"/>
          <w:color w:val="222222"/>
          <w:sz w:val="20"/>
          <w:szCs w:val="20"/>
          <w:shd w:val="clear" w:color="auto" w:fill="FFFFFF"/>
        </w:rPr>
        <w:t>P</w:t>
      </w:r>
      <w:r w:rsidRPr="00FE37B0">
        <w:rPr>
          <w:rFonts w:ascii="Arial" w:hAnsi="Arial" w:cs="Arial"/>
          <w:color w:val="222222"/>
          <w:sz w:val="20"/>
          <w:szCs w:val="20"/>
          <w:shd w:val="clear" w:color="auto" w:fill="FFFFFF"/>
        </w:rPr>
        <w:t>redicting small-molecule pharmacokinetic and toxicity properties using graph-based signatures. </w:t>
      </w:r>
      <w:r w:rsidRPr="00FE37B0">
        <w:rPr>
          <w:rFonts w:ascii="Arial" w:hAnsi="Arial" w:cs="Arial"/>
          <w:i/>
          <w:iCs/>
          <w:color w:val="222222"/>
          <w:sz w:val="20"/>
          <w:szCs w:val="20"/>
          <w:shd w:val="clear" w:color="auto" w:fill="FFFFFF"/>
        </w:rPr>
        <w:t xml:space="preserve">Journal of </w:t>
      </w:r>
      <w:r w:rsidR="00A3426A">
        <w:rPr>
          <w:rFonts w:ascii="Arial" w:hAnsi="Arial" w:cs="Arial"/>
          <w:i/>
          <w:iCs/>
          <w:color w:val="222222"/>
          <w:sz w:val="20"/>
          <w:szCs w:val="20"/>
          <w:shd w:val="clear" w:color="auto" w:fill="FFFFFF"/>
        </w:rPr>
        <w:t>M</w:t>
      </w:r>
      <w:r w:rsidRPr="00FE37B0">
        <w:rPr>
          <w:rFonts w:ascii="Arial" w:hAnsi="Arial" w:cs="Arial"/>
          <w:i/>
          <w:iCs/>
          <w:color w:val="222222"/>
          <w:sz w:val="20"/>
          <w:szCs w:val="20"/>
          <w:shd w:val="clear" w:color="auto" w:fill="FFFFFF"/>
        </w:rPr>
        <w:t xml:space="preserve">edicinal </w:t>
      </w:r>
      <w:r w:rsidR="00A3426A">
        <w:rPr>
          <w:rFonts w:ascii="Arial" w:hAnsi="Arial" w:cs="Arial"/>
          <w:i/>
          <w:iCs/>
          <w:color w:val="222222"/>
          <w:sz w:val="20"/>
          <w:szCs w:val="20"/>
          <w:shd w:val="clear" w:color="auto" w:fill="FFFFFF"/>
        </w:rPr>
        <w:t>C</w:t>
      </w:r>
      <w:r w:rsidRPr="00FE37B0">
        <w:rPr>
          <w:rFonts w:ascii="Arial" w:hAnsi="Arial" w:cs="Arial"/>
          <w:i/>
          <w:iCs/>
          <w:color w:val="222222"/>
          <w:sz w:val="20"/>
          <w:szCs w:val="20"/>
          <w:shd w:val="clear" w:color="auto" w:fill="FFFFFF"/>
        </w:rPr>
        <w:t>hemistry</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58</w:t>
      </w:r>
      <w:r w:rsidRPr="00FE37B0">
        <w:rPr>
          <w:rFonts w:ascii="Arial" w:hAnsi="Arial" w:cs="Arial"/>
          <w:color w:val="222222"/>
          <w:sz w:val="20"/>
          <w:szCs w:val="20"/>
          <w:shd w:val="clear" w:color="auto" w:fill="FFFFFF"/>
        </w:rPr>
        <w:t xml:space="preserve">(9), 4066-4072. </w:t>
      </w:r>
      <w:hyperlink r:id="rId77" w:history="1">
        <w:r w:rsidRPr="00FE37B0">
          <w:rPr>
            <w:rStyle w:val="Hyperlink"/>
            <w:rFonts w:ascii="Arial" w:hAnsi="Arial" w:cs="Arial"/>
            <w:sz w:val="20"/>
            <w:szCs w:val="20"/>
            <w:shd w:val="clear" w:color="auto" w:fill="FFFFFF"/>
          </w:rPr>
          <w:t>https://doi.org/10.1021/acs.jmedchem.5b00104</w:t>
        </w:r>
      </w:hyperlink>
    </w:p>
    <w:p w14:paraId="505F484B" w14:textId="098C9BDB" w:rsidR="00F67215" w:rsidRPr="00FE37B0" w:rsidRDefault="00F67215" w:rsidP="00FE37B0">
      <w:pPr>
        <w:pStyle w:val="ListParagraph"/>
        <w:numPr>
          <w:ilvl w:val="0"/>
          <w:numId w:val="3"/>
        </w:numPr>
        <w:spacing w:before="240" w:line="360" w:lineRule="auto"/>
        <w:jc w:val="both"/>
        <w:rPr>
          <w:rFonts w:ascii="Arial" w:hAnsi="Arial" w:cs="Arial"/>
          <w:sz w:val="20"/>
          <w:szCs w:val="20"/>
        </w:rPr>
      </w:pPr>
      <w:bookmarkStart w:id="9" w:name="_Hlk177604322"/>
      <w:r w:rsidRPr="00FE37B0">
        <w:rPr>
          <w:rFonts w:ascii="Arial" w:hAnsi="Arial" w:cs="Arial"/>
          <w:sz w:val="20"/>
          <w:szCs w:val="20"/>
          <w:lang w:val="de-DE"/>
        </w:rPr>
        <w:t>Chen</w:t>
      </w:r>
      <w:bookmarkEnd w:id="9"/>
      <w:r w:rsidRPr="00FE37B0">
        <w:rPr>
          <w:rFonts w:ascii="Arial" w:hAnsi="Arial" w:cs="Arial"/>
          <w:sz w:val="20"/>
          <w:szCs w:val="20"/>
          <w:lang w:val="de-DE"/>
        </w:rPr>
        <w:t xml:space="preserve">, X., Li, H., Tian, L., Li, Q., Luo, J., </w:t>
      </w:r>
      <w:r w:rsidR="00FE37B0">
        <w:rPr>
          <w:rFonts w:ascii="Arial" w:hAnsi="Arial" w:cs="Arial"/>
          <w:sz w:val="20"/>
          <w:szCs w:val="20"/>
          <w:lang w:val="de-DE"/>
        </w:rPr>
        <w:t>and</w:t>
      </w:r>
      <w:r w:rsidRPr="00FE37B0">
        <w:rPr>
          <w:rFonts w:ascii="Arial" w:hAnsi="Arial" w:cs="Arial"/>
          <w:sz w:val="20"/>
          <w:szCs w:val="20"/>
          <w:lang w:val="de-DE"/>
        </w:rPr>
        <w:t xml:space="preserve"> Zhang, Y. (2020). </w:t>
      </w:r>
      <w:r w:rsidRPr="00FE37B0">
        <w:rPr>
          <w:rFonts w:ascii="Arial" w:hAnsi="Arial" w:cs="Arial"/>
          <w:sz w:val="20"/>
          <w:szCs w:val="20"/>
        </w:rPr>
        <w:t>Analysis of the physicochemical properties of acaricides based on Lipinski's rule of five. </w:t>
      </w:r>
      <w:r w:rsidRPr="00FE37B0">
        <w:rPr>
          <w:rFonts w:ascii="Arial" w:hAnsi="Arial" w:cs="Arial"/>
          <w:i/>
          <w:iCs/>
          <w:sz w:val="20"/>
          <w:szCs w:val="20"/>
        </w:rPr>
        <w:t xml:space="preserve">Journal of </w:t>
      </w:r>
      <w:r w:rsidR="00A3426A">
        <w:rPr>
          <w:rFonts w:ascii="Arial" w:hAnsi="Arial" w:cs="Arial"/>
          <w:i/>
          <w:iCs/>
          <w:sz w:val="20"/>
          <w:szCs w:val="20"/>
        </w:rPr>
        <w:t>C</w:t>
      </w:r>
      <w:r w:rsidRPr="00FE37B0">
        <w:rPr>
          <w:rFonts w:ascii="Arial" w:hAnsi="Arial" w:cs="Arial"/>
          <w:i/>
          <w:iCs/>
          <w:sz w:val="20"/>
          <w:szCs w:val="20"/>
        </w:rPr>
        <w:t xml:space="preserve">omputational </w:t>
      </w:r>
      <w:r w:rsidR="00A3426A">
        <w:rPr>
          <w:rFonts w:ascii="Arial" w:hAnsi="Arial" w:cs="Arial"/>
          <w:i/>
          <w:iCs/>
          <w:sz w:val="20"/>
          <w:szCs w:val="20"/>
        </w:rPr>
        <w:t>B</w:t>
      </w:r>
      <w:r w:rsidRPr="00FE37B0">
        <w:rPr>
          <w:rFonts w:ascii="Arial" w:hAnsi="Arial" w:cs="Arial"/>
          <w:i/>
          <w:iCs/>
          <w:sz w:val="20"/>
          <w:szCs w:val="20"/>
        </w:rPr>
        <w:t>iology</w:t>
      </w:r>
      <w:r w:rsidRPr="00FE37B0">
        <w:rPr>
          <w:rFonts w:ascii="Arial" w:hAnsi="Arial" w:cs="Arial"/>
          <w:sz w:val="20"/>
          <w:szCs w:val="20"/>
        </w:rPr>
        <w:t>, </w:t>
      </w:r>
      <w:r w:rsidRPr="00FE37B0">
        <w:rPr>
          <w:rFonts w:ascii="Arial" w:hAnsi="Arial" w:cs="Arial"/>
          <w:i/>
          <w:iCs/>
          <w:sz w:val="20"/>
          <w:szCs w:val="20"/>
        </w:rPr>
        <w:t>27</w:t>
      </w:r>
      <w:r w:rsidRPr="00FE37B0">
        <w:rPr>
          <w:rFonts w:ascii="Arial" w:hAnsi="Arial" w:cs="Arial"/>
          <w:sz w:val="20"/>
          <w:szCs w:val="20"/>
        </w:rPr>
        <w:t xml:space="preserve">(9), 1397-1406. </w:t>
      </w:r>
      <w:hyperlink r:id="rId78" w:history="1">
        <w:r w:rsidRPr="00FE37B0">
          <w:rPr>
            <w:rStyle w:val="Hyperlink"/>
            <w:rFonts w:ascii="Arial" w:hAnsi="Arial" w:cs="Arial"/>
            <w:sz w:val="20"/>
            <w:szCs w:val="20"/>
          </w:rPr>
          <w:t>https://doi.org/10.1089/cmb.2019.0323</w:t>
        </w:r>
      </w:hyperlink>
    </w:p>
    <w:p w14:paraId="72653890" w14:textId="0E2D9FE3"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Sucharitha, P., Reddy, K. R., Satyanarayana, S. V.,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Garg, T. (2022). Absorption, distribution, metabolism, excretion, and toxicity assessment of drugs using computational tools. In </w:t>
      </w:r>
      <w:r w:rsidRPr="00FE37B0">
        <w:rPr>
          <w:rFonts w:ascii="Arial" w:hAnsi="Arial" w:cs="Arial"/>
          <w:i/>
          <w:iCs/>
          <w:color w:val="222222"/>
          <w:sz w:val="20"/>
          <w:szCs w:val="20"/>
          <w:shd w:val="clear" w:color="auto" w:fill="FFFFFF"/>
        </w:rPr>
        <w:t>Computational approaches for novel therapeutic and diagnostic designing to mitigate SARS-CoV-2 infection</w:t>
      </w:r>
      <w:r w:rsidRPr="00FE37B0">
        <w:rPr>
          <w:rFonts w:ascii="Arial" w:hAnsi="Arial" w:cs="Arial"/>
          <w:color w:val="222222"/>
          <w:sz w:val="20"/>
          <w:szCs w:val="20"/>
          <w:shd w:val="clear" w:color="auto" w:fill="FFFFFF"/>
        </w:rPr>
        <w:t xml:space="preserve"> (pp. 335-355). Academic Press. </w:t>
      </w:r>
      <w:hyperlink r:id="rId79" w:history="1">
        <w:r w:rsidRPr="00FE37B0">
          <w:rPr>
            <w:rStyle w:val="Hyperlink"/>
            <w:rFonts w:ascii="Arial" w:hAnsi="Arial" w:cs="Arial"/>
            <w:sz w:val="20"/>
            <w:szCs w:val="20"/>
            <w:shd w:val="clear" w:color="auto" w:fill="FFFFFF"/>
          </w:rPr>
          <w:t>https://doi.org/10.1016/B978-0-323-91172-6.00012-1</w:t>
        </w:r>
      </w:hyperlink>
    </w:p>
    <w:p w14:paraId="3037EBEB" w14:textId="3871A67D" w:rsidR="00F67215" w:rsidRPr="00FE37B0" w:rsidRDefault="00F67215" w:rsidP="00FE37B0">
      <w:pPr>
        <w:pStyle w:val="ListParagraph"/>
        <w:numPr>
          <w:ilvl w:val="0"/>
          <w:numId w:val="3"/>
        </w:numPr>
        <w:tabs>
          <w:tab w:val="left" w:pos="720"/>
        </w:tabs>
        <w:spacing w:before="240" w:line="360" w:lineRule="auto"/>
        <w:jc w:val="both"/>
        <w:rPr>
          <w:rFonts w:ascii="Arial" w:hAnsi="Arial" w:cs="Arial"/>
          <w:sz w:val="20"/>
          <w:szCs w:val="20"/>
        </w:rPr>
      </w:pPr>
      <w:bookmarkStart w:id="10" w:name="_Hlk177604935"/>
      <w:r w:rsidRPr="00FE37B0">
        <w:rPr>
          <w:rFonts w:ascii="Arial" w:hAnsi="Arial" w:cs="Arial"/>
          <w:sz w:val="20"/>
          <w:szCs w:val="20"/>
        </w:rPr>
        <w:lastRenderedPageBreak/>
        <w:t>Wang</w:t>
      </w:r>
      <w:bookmarkEnd w:id="10"/>
      <w:r w:rsidRPr="00FE37B0">
        <w:rPr>
          <w:rFonts w:ascii="Arial" w:hAnsi="Arial" w:cs="Arial"/>
          <w:sz w:val="20"/>
          <w:szCs w:val="20"/>
        </w:rPr>
        <w:t xml:space="preserve">, Y., Xing, J., Xu, Y., Zhou, N., Peng, J., Xiong, Z., ... </w:t>
      </w:r>
      <w:r w:rsidR="00FE37B0">
        <w:rPr>
          <w:rFonts w:ascii="Arial" w:hAnsi="Arial" w:cs="Arial"/>
          <w:sz w:val="20"/>
          <w:szCs w:val="20"/>
        </w:rPr>
        <w:t>and</w:t>
      </w:r>
      <w:r w:rsidRPr="00FE37B0">
        <w:rPr>
          <w:rFonts w:ascii="Arial" w:hAnsi="Arial" w:cs="Arial"/>
          <w:sz w:val="20"/>
          <w:szCs w:val="20"/>
        </w:rPr>
        <w:t xml:space="preserve"> Jiang, H. (2015). </w:t>
      </w:r>
      <w:r w:rsidRPr="00FE37B0">
        <w:rPr>
          <w:rFonts w:ascii="Arial" w:hAnsi="Arial" w:cs="Arial"/>
          <w:i/>
          <w:iCs/>
          <w:sz w:val="20"/>
          <w:szCs w:val="20"/>
        </w:rPr>
        <w:t>In silico</w:t>
      </w:r>
      <w:r w:rsidRPr="00FE37B0">
        <w:rPr>
          <w:rFonts w:ascii="Arial" w:hAnsi="Arial" w:cs="Arial"/>
          <w:sz w:val="20"/>
          <w:szCs w:val="20"/>
        </w:rPr>
        <w:t xml:space="preserve"> ADME/T modelling for rational drug design. </w:t>
      </w:r>
      <w:r w:rsidRPr="00FE37B0">
        <w:rPr>
          <w:rFonts w:ascii="Arial" w:hAnsi="Arial" w:cs="Arial"/>
          <w:i/>
          <w:iCs/>
          <w:sz w:val="20"/>
          <w:szCs w:val="20"/>
        </w:rPr>
        <w:t xml:space="preserve">Quarterly </w:t>
      </w:r>
      <w:r w:rsidR="00A3426A">
        <w:rPr>
          <w:rFonts w:ascii="Arial" w:hAnsi="Arial" w:cs="Arial"/>
          <w:i/>
          <w:iCs/>
          <w:sz w:val="20"/>
          <w:szCs w:val="20"/>
        </w:rPr>
        <w:t>R</w:t>
      </w:r>
      <w:r w:rsidRPr="00FE37B0">
        <w:rPr>
          <w:rFonts w:ascii="Arial" w:hAnsi="Arial" w:cs="Arial"/>
          <w:i/>
          <w:iCs/>
          <w:sz w:val="20"/>
          <w:szCs w:val="20"/>
        </w:rPr>
        <w:t xml:space="preserve">eviews of </w:t>
      </w:r>
      <w:r w:rsidR="00A3426A">
        <w:rPr>
          <w:rFonts w:ascii="Arial" w:hAnsi="Arial" w:cs="Arial"/>
          <w:i/>
          <w:iCs/>
          <w:sz w:val="20"/>
          <w:szCs w:val="20"/>
        </w:rPr>
        <w:t>B</w:t>
      </w:r>
      <w:r w:rsidRPr="00FE37B0">
        <w:rPr>
          <w:rFonts w:ascii="Arial" w:hAnsi="Arial" w:cs="Arial"/>
          <w:i/>
          <w:iCs/>
          <w:sz w:val="20"/>
          <w:szCs w:val="20"/>
        </w:rPr>
        <w:t>iophysics</w:t>
      </w:r>
      <w:r w:rsidRPr="00FE37B0">
        <w:rPr>
          <w:rFonts w:ascii="Arial" w:hAnsi="Arial" w:cs="Arial"/>
          <w:sz w:val="20"/>
          <w:szCs w:val="20"/>
        </w:rPr>
        <w:t>, </w:t>
      </w:r>
      <w:r w:rsidRPr="00FE37B0">
        <w:rPr>
          <w:rFonts w:ascii="Arial" w:hAnsi="Arial" w:cs="Arial"/>
          <w:i/>
          <w:iCs/>
          <w:sz w:val="20"/>
          <w:szCs w:val="20"/>
        </w:rPr>
        <w:t>48</w:t>
      </w:r>
      <w:r w:rsidRPr="00FE37B0">
        <w:rPr>
          <w:rFonts w:ascii="Arial" w:hAnsi="Arial" w:cs="Arial"/>
          <w:sz w:val="20"/>
          <w:szCs w:val="20"/>
        </w:rPr>
        <w:t xml:space="preserve">(4), 488-515. </w:t>
      </w:r>
      <w:hyperlink r:id="rId80" w:history="1">
        <w:r w:rsidRPr="00FE37B0">
          <w:rPr>
            <w:rStyle w:val="Hyperlink"/>
            <w:rFonts w:ascii="Arial" w:hAnsi="Arial" w:cs="Arial"/>
            <w:sz w:val="20"/>
            <w:szCs w:val="20"/>
          </w:rPr>
          <w:t>https://doi.org/10.1017/S0033583515000190</w:t>
        </w:r>
      </w:hyperlink>
    </w:p>
    <w:p w14:paraId="6C6256BB" w14:textId="1792726C" w:rsidR="00F67215" w:rsidRPr="00FE37B0" w:rsidRDefault="00F67215" w:rsidP="00FE37B0">
      <w:pPr>
        <w:pStyle w:val="ListParagraph"/>
        <w:numPr>
          <w:ilvl w:val="0"/>
          <w:numId w:val="3"/>
        </w:numPr>
        <w:tabs>
          <w:tab w:val="left" w:pos="720"/>
        </w:tabs>
        <w:spacing w:before="240" w:line="360" w:lineRule="auto"/>
        <w:jc w:val="both"/>
        <w:rPr>
          <w:rFonts w:ascii="Arial" w:hAnsi="Arial" w:cs="Arial"/>
          <w:sz w:val="20"/>
          <w:szCs w:val="20"/>
        </w:rPr>
      </w:pPr>
      <w:bookmarkStart w:id="11" w:name="_Hlk177600611"/>
      <w:r w:rsidRPr="00FE37B0">
        <w:rPr>
          <w:rFonts w:ascii="Arial" w:hAnsi="Arial" w:cs="Arial"/>
          <w:sz w:val="20"/>
          <w:szCs w:val="20"/>
        </w:rPr>
        <w:t>Daoud</w:t>
      </w:r>
      <w:bookmarkEnd w:id="11"/>
      <w:r w:rsidRPr="00FE37B0">
        <w:rPr>
          <w:rFonts w:ascii="Arial" w:hAnsi="Arial" w:cs="Arial"/>
          <w:sz w:val="20"/>
          <w:szCs w:val="20"/>
        </w:rPr>
        <w:t xml:space="preserve">, N. E. H., Borah, P., Deb, P. K., Venugopala, K. N., Hourani, W., </w:t>
      </w:r>
      <w:proofErr w:type="spellStart"/>
      <w:r w:rsidRPr="00FE37B0">
        <w:rPr>
          <w:rFonts w:ascii="Arial" w:hAnsi="Arial" w:cs="Arial"/>
          <w:sz w:val="20"/>
          <w:szCs w:val="20"/>
        </w:rPr>
        <w:t>Alzweiri</w:t>
      </w:r>
      <w:proofErr w:type="spellEnd"/>
      <w:r w:rsidRPr="00FE37B0">
        <w:rPr>
          <w:rFonts w:ascii="Arial" w:hAnsi="Arial" w:cs="Arial"/>
          <w:sz w:val="20"/>
          <w:szCs w:val="20"/>
        </w:rPr>
        <w:t xml:space="preserve">, M., ... </w:t>
      </w:r>
      <w:r w:rsidR="00FE37B0">
        <w:rPr>
          <w:rFonts w:ascii="Arial" w:hAnsi="Arial" w:cs="Arial"/>
          <w:sz w:val="20"/>
          <w:szCs w:val="20"/>
        </w:rPr>
        <w:t>and</w:t>
      </w:r>
      <w:r w:rsidRPr="00FE37B0">
        <w:rPr>
          <w:rFonts w:ascii="Arial" w:hAnsi="Arial" w:cs="Arial"/>
          <w:sz w:val="20"/>
          <w:szCs w:val="20"/>
        </w:rPr>
        <w:t xml:space="preserve"> Tiwari, V. (2021). ADMET profiling in drug discovery and development: perspectives of </w:t>
      </w:r>
      <w:r w:rsidRPr="00FE37B0">
        <w:rPr>
          <w:rFonts w:ascii="Arial" w:hAnsi="Arial" w:cs="Arial"/>
          <w:i/>
          <w:iCs/>
          <w:sz w:val="20"/>
          <w:szCs w:val="20"/>
        </w:rPr>
        <w:t>in silico</w:t>
      </w:r>
      <w:r w:rsidRPr="00FE37B0">
        <w:rPr>
          <w:rFonts w:ascii="Arial" w:hAnsi="Arial" w:cs="Arial"/>
          <w:sz w:val="20"/>
          <w:szCs w:val="20"/>
        </w:rPr>
        <w:t xml:space="preserve">, </w:t>
      </w:r>
      <w:r w:rsidRPr="00FE37B0">
        <w:rPr>
          <w:rFonts w:ascii="Arial" w:hAnsi="Arial" w:cs="Arial"/>
          <w:i/>
          <w:iCs/>
          <w:sz w:val="20"/>
          <w:szCs w:val="20"/>
        </w:rPr>
        <w:t>in vitro</w:t>
      </w:r>
      <w:r w:rsidRPr="00FE37B0">
        <w:rPr>
          <w:rFonts w:ascii="Arial" w:hAnsi="Arial" w:cs="Arial"/>
          <w:sz w:val="20"/>
          <w:szCs w:val="20"/>
        </w:rPr>
        <w:t xml:space="preserve"> and integrated approaches. </w:t>
      </w:r>
      <w:r w:rsidRPr="00FE37B0">
        <w:rPr>
          <w:rFonts w:ascii="Arial" w:hAnsi="Arial" w:cs="Arial"/>
          <w:i/>
          <w:iCs/>
          <w:sz w:val="20"/>
          <w:szCs w:val="20"/>
        </w:rPr>
        <w:t>Current Drug Metabolism</w:t>
      </w:r>
      <w:r w:rsidRPr="00FE37B0">
        <w:rPr>
          <w:rFonts w:ascii="Arial" w:hAnsi="Arial" w:cs="Arial"/>
          <w:sz w:val="20"/>
          <w:szCs w:val="20"/>
        </w:rPr>
        <w:t>, </w:t>
      </w:r>
      <w:r w:rsidRPr="00FE37B0">
        <w:rPr>
          <w:rFonts w:ascii="Arial" w:hAnsi="Arial" w:cs="Arial"/>
          <w:i/>
          <w:iCs/>
          <w:sz w:val="20"/>
          <w:szCs w:val="20"/>
        </w:rPr>
        <w:t>22</w:t>
      </w:r>
      <w:r w:rsidRPr="00FE37B0">
        <w:rPr>
          <w:rFonts w:ascii="Arial" w:hAnsi="Arial" w:cs="Arial"/>
          <w:sz w:val="20"/>
          <w:szCs w:val="20"/>
        </w:rPr>
        <w:t xml:space="preserve">(7), 503-522. </w:t>
      </w:r>
      <w:hyperlink r:id="rId81" w:history="1">
        <w:r w:rsidRPr="00FE37B0">
          <w:rPr>
            <w:rStyle w:val="Hyperlink"/>
            <w:rFonts w:ascii="Arial" w:hAnsi="Arial" w:cs="Arial"/>
            <w:sz w:val="20"/>
            <w:szCs w:val="20"/>
          </w:rPr>
          <w:t>https://doi.org/10.2174/1389200222666210705122913</w:t>
        </w:r>
      </w:hyperlink>
    </w:p>
    <w:p w14:paraId="13A64543" w14:textId="348EA3EE" w:rsidR="00F67215" w:rsidRPr="00FE37B0" w:rsidRDefault="00F67215" w:rsidP="00A917B9">
      <w:pPr>
        <w:pStyle w:val="ListParagraph"/>
        <w:numPr>
          <w:ilvl w:val="0"/>
          <w:numId w:val="3"/>
        </w:numPr>
        <w:spacing w:before="240" w:after="0" w:line="360" w:lineRule="auto"/>
        <w:jc w:val="both"/>
        <w:rPr>
          <w:rStyle w:val="Hyperlink"/>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Babalola, M. O., Ashiru, M. A., Boyenle, I. D., Atanda, E. O., Oyedele, A. Q. K., Dimeji, I. Y., ... </w:t>
      </w:r>
      <w:r w:rsidR="00FE37B0">
        <w:rPr>
          <w:rFonts w:ascii="Arial" w:hAnsi="Arial" w:cs="Arial"/>
          <w:color w:val="222222"/>
          <w:sz w:val="20"/>
          <w:szCs w:val="20"/>
          <w:shd w:val="clear" w:color="auto" w:fill="FFFFFF"/>
          <w:lang w:val="de-DE"/>
        </w:rPr>
        <w:t>and</w:t>
      </w:r>
      <w:r w:rsidRPr="00FE37B0">
        <w:rPr>
          <w:rFonts w:ascii="Arial" w:hAnsi="Arial" w:cs="Arial"/>
          <w:color w:val="222222"/>
          <w:sz w:val="20"/>
          <w:szCs w:val="20"/>
          <w:shd w:val="clear" w:color="auto" w:fill="FFFFFF"/>
          <w:lang w:val="de-DE"/>
        </w:rPr>
        <w:t xml:space="preserve"> Imaga, N. A. (2022). </w:t>
      </w:r>
      <w:r w:rsidRPr="00FE37B0">
        <w:rPr>
          <w:rFonts w:ascii="Arial" w:hAnsi="Arial" w:cs="Arial"/>
          <w:i/>
          <w:iCs/>
          <w:color w:val="222222"/>
          <w:sz w:val="20"/>
          <w:szCs w:val="20"/>
          <w:shd w:val="clear" w:color="auto" w:fill="FFFFFF"/>
        </w:rPr>
        <w:t>In vitro</w:t>
      </w:r>
      <w:r w:rsidRPr="00FE37B0">
        <w:rPr>
          <w:rFonts w:ascii="Arial" w:hAnsi="Arial" w:cs="Arial"/>
          <w:color w:val="222222"/>
          <w:sz w:val="20"/>
          <w:szCs w:val="20"/>
          <w:shd w:val="clear" w:color="auto" w:fill="FFFFFF"/>
        </w:rPr>
        <w:t xml:space="preserve"> </w:t>
      </w:r>
      <w:r w:rsidR="00A3426A" w:rsidRPr="00FE37B0">
        <w:rPr>
          <w:rFonts w:ascii="Arial" w:hAnsi="Arial" w:cs="Arial"/>
          <w:color w:val="222222"/>
          <w:sz w:val="20"/>
          <w:szCs w:val="20"/>
          <w:shd w:val="clear" w:color="auto" w:fill="FFFFFF"/>
        </w:rPr>
        <w:t xml:space="preserve">analysis and molecular docking of gas chromatography-mass spectroscopy fingerprints of polyherbal mixture reveals significant antidiabetic </w:t>
      </w:r>
      <w:proofErr w:type="spellStart"/>
      <w:r w:rsidR="00A3426A" w:rsidRPr="00FE37B0">
        <w:rPr>
          <w:rFonts w:ascii="Arial" w:hAnsi="Arial" w:cs="Arial"/>
          <w:color w:val="222222"/>
          <w:sz w:val="20"/>
          <w:szCs w:val="20"/>
          <w:shd w:val="clear" w:color="auto" w:fill="FFFFFF"/>
        </w:rPr>
        <w:t>miture</w:t>
      </w:r>
      <w:proofErr w:type="spellEnd"/>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Nigerian Journal of Experimental and Clinical Biosciences</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10</w:t>
      </w:r>
      <w:r w:rsidRPr="00FE37B0">
        <w:rPr>
          <w:rFonts w:ascii="Arial" w:hAnsi="Arial" w:cs="Arial"/>
          <w:color w:val="222222"/>
          <w:sz w:val="20"/>
          <w:szCs w:val="20"/>
          <w:shd w:val="clear" w:color="auto" w:fill="FFFFFF"/>
        </w:rPr>
        <w:t xml:space="preserve">(4), 105-115. </w:t>
      </w:r>
      <w:hyperlink r:id="rId82" w:history="1">
        <w:r w:rsidRPr="00FE37B0">
          <w:rPr>
            <w:rStyle w:val="Hyperlink"/>
            <w:rFonts w:ascii="Arial" w:hAnsi="Arial" w:cs="Arial"/>
            <w:sz w:val="20"/>
            <w:szCs w:val="20"/>
            <w:shd w:val="clear" w:color="auto" w:fill="FFFFFF"/>
          </w:rPr>
          <w:t>https://doi.org/10.4103/njecp.njecp_15_22</w:t>
        </w:r>
      </w:hyperlink>
    </w:p>
    <w:p w14:paraId="7791A947" w14:textId="2347E1E9" w:rsidR="007F53AF" w:rsidRPr="00A917B9" w:rsidRDefault="007F53AF" w:rsidP="00A917B9">
      <w:pPr>
        <w:pStyle w:val="NormalWeb"/>
        <w:numPr>
          <w:ilvl w:val="0"/>
          <w:numId w:val="3"/>
        </w:numPr>
        <w:spacing w:before="0" w:beforeAutospacing="0" w:after="0" w:afterAutospacing="0" w:line="360" w:lineRule="auto"/>
        <w:jc w:val="both"/>
        <w:rPr>
          <w:rFonts w:ascii="Arial" w:hAnsi="Arial" w:cs="Arial"/>
          <w:sz w:val="20"/>
          <w:szCs w:val="20"/>
        </w:rPr>
      </w:pPr>
      <w:r w:rsidRPr="007F53AF">
        <w:rPr>
          <w:rFonts w:ascii="Arial" w:hAnsi="Arial" w:cs="Arial"/>
          <w:color w:val="222222"/>
          <w:sz w:val="20"/>
          <w:szCs w:val="20"/>
          <w:shd w:val="clear" w:color="auto" w:fill="FFFFFF"/>
        </w:rPr>
        <w:t xml:space="preserve">Ajao, F. O., </w:t>
      </w:r>
      <w:proofErr w:type="spellStart"/>
      <w:r w:rsidRPr="007F53AF">
        <w:rPr>
          <w:rFonts w:ascii="Arial" w:hAnsi="Arial" w:cs="Arial"/>
          <w:color w:val="222222"/>
          <w:sz w:val="20"/>
          <w:szCs w:val="20"/>
          <w:shd w:val="clear" w:color="auto" w:fill="FFFFFF"/>
        </w:rPr>
        <w:t>Ehigie</w:t>
      </w:r>
      <w:proofErr w:type="spellEnd"/>
      <w:r w:rsidRPr="007F53AF">
        <w:rPr>
          <w:rFonts w:ascii="Arial" w:hAnsi="Arial" w:cs="Arial"/>
          <w:color w:val="222222"/>
          <w:sz w:val="20"/>
          <w:szCs w:val="20"/>
          <w:shd w:val="clear" w:color="auto" w:fill="FFFFFF"/>
        </w:rPr>
        <w:t xml:space="preserve">, A. F., </w:t>
      </w:r>
      <w:proofErr w:type="spellStart"/>
      <w:r w:rsidRPr="007F53AF">
        <w:rPr>
          <w:rFonts w:ascii="Arial" w:hAnsi="Arial" w:cs="Arial"/>
          <w:color w:val="222222"/>
          <w:sz w:val="20"/>
          <w:szCs w:val="20"/>
          <w:shd w:val="clear" w:color="auto" w:fill="FFFFFF"/>
        </w:rPr>
        <w:t>Odunitan</w:t>
      </w:r>
      <w:proofErr w:type="spellEnd"/>
      <w:r w:rsidRPr="007F53AF">
        <w:rPr>
          <w:rFonts w:ascii="Arial" w:hAnsi="Arial" w:cs="Arial"/>
          <w:color w:val="222222"/>
          <w:sz w:val="20"/>
          <w:szCs w:val="20"/>
          <w:shd w:val="clear" w:color="auto" w:fill="FFFFFF"/>
        </w:rPr>
        <w:t xml:space="preserve">, T. T., Atanda, O. E., Ayoola, P. B., and Olaniyan, L.  W. (2024). “Computational exploration of </w:t>
      </w:r>
      <w:proofErr w:type="spellStart"/>
      <w:r w:rsidRPr="007F53AF">
        <w:rPr>
          <w:rFonts w:ascii="Arial" w:hAnsi="Arial" w:cs="Arial"/>
          <w:color w:val="222222"/>
          <w:sz w:val="20"/>
          <w:szCs w:val="20"/>
          <w:shd w:val="clear" w:color="auto" w:fill="FFFFFF"/>
        </w:rPr>
        <w:t>psidii</w:t>
      </w:r>
      <w:proofErr w:type="spellEnd"/>
      <w:r w:rsidRPr="007F53AF">
        <w:rPr>
          <w:rFonts w:ascii="Arial" w:hAnsi="Arial" w:cs="Arial"/>
          <w:color w:val="222222"/>
          <w:sz w:val="20"/>
          <w:szCs w:val="20"/>
          <w:shd w:val="clear" w:color="auto" w:fill="FFFFFF"/>
        </w:rPr>
        <w:t xml:space="preserve"> </w:t>
      </w:r>
      <w:proofErr w:type="spellStart"/>
      <w:r w:rsidRPr="007F53AF">
        <w:rPr>
          <w:rFonts w:ascii="Arial" w:hAnsi="Arial" w:cs="Arial"/>
          <w:color w:val="222222"/>
          <w:sz w:val="20"/>
          <w:szCs w:val="20"/>
          <w:shd w:val="clear" w:color="auto" w:fill="FFFFFF"/>
        </w:rPr>
        <w:t>guajavae</w:t>
      </w:r>
      <w:proofErr w:type="spellEnd"/>
      <w:r w:rsidRPr="007F53AF">
        <w:rPr>
          <w:rFonts w:ascii="Arial" w:hAnsi="Arial" w:cs="Arial"/>
          <w:color w:val="222222"/>
          <w:sz w:val="20"/>
          <w:szCs w:val="20"/>
          <w:shd w:val="clear" w:color="auto" w:fill="FFFFFF"/>
        </w:rPr>
        <w:t xml:space="preserve"> folium bioactive compounds as novel DPP-IV inhibitors for type 2 diabetes mellitus intervention”. </w:t>
      </w:r>
      <w:r w:rsidRPr="007F53AF">
        <w:rPr>
          <w:rFonts w:ascii="Arial" w:hAnsi="Arial" w:cs="Arial"/>
          <w:i/>
          <w:iCs/>
          <w:color w:val="222222"/>
          <w:sz w:val="20"/>
          <w:szCs w:val="20"/>
          <w:shd w:val="clear" w:color="auto" w:fill="FFFFFF"/>
        </w:rPr>
        <w:t xml:space="preserve">European Journal of Pharmaceutical and Medical Research. </w:t>
      </w:r>
      <w:r w:rsidRPr="007F53AF">
        <w:rPr>
          <w:rFonts w:ascii="Arial" w:eastAsia="Century Schoolbook" w:hAnsi="Arial" w:cs="Arial"/>
          <w:sz w:val="20"/>
          <w:szCs w:val="20"/>
        </w:rPr>
        <w:t xml:space="preserve">ISSN: 2394-3211 </w:t>
      </w:r>
    </w:p>
    <w:p w14:paraId="7EF0D774" w14:textId="251932D1" w:rsidR="00F67215" w:rsidRPr="00FE37B0" w:rsidRDefault="00F67215" w:rsidP="00A917B9">
      <w:pPr>
        <w:pStyle w:val="ListParagraph"/>
        <w:numPr>
          <w:ilvl w:val="0"/>
          <w:numId w:val="3"/>
        </w:numPr>
        <w:spacing w:after="0" w:line="360" w:lineRule="auto"/>
        <w:jc w:val="both"/>
        <w:rPr>
          <w:rFonts w:ascii="Arial" w:hAnsi="Arial" w:cs="Arial"/>
          <w:sz w:val="20"/>
          <w:szCs w:val="20"/>
        </w:rPr>
      </w:pPr>
      <w:proofErr w:type="spellStart"/>
      <w:r w:rsidRPr="00FE37B0">
        <w:rPr>
          <w:rFonts w:ascii="Arial" w:hAnsi="Arial" w:cs="Arial"/>
          <w:sz w:val="20"/>
          <w:szCs w:val="20"/>
        </w:rPr>
        <w:t>Ehigie</w:t>
      </w:r>
      <w:proofErr w:type="spellEnd"/>
      <w:r w:rsidRPr="00FE37B0">
        <w:rPr>
          <w:rFonts w:ascii="Arial" w:hAnsi="Arial" w:cs="Arial"/>
          <w:sz w:val="20"/>
          <w:szCs w:val="20"/>
        </w:rPr>
        <w:t xml:space="preserve">, L. O., </w:t>
      </w:r>
      <w:proofErr w:type="spellStart"/>
      <w:r w:rsidRPr="00FE37B0">
        <w:rPr>
          <w:rFonts w:ascii="Arial" w:hAnsi="Arial" w:cs="Arial"/>
          <w:sz w:val="20"/>
          <w:szCs w:val="20"/>
        </w:rPr>
        <w:t>Ojeniyi</w:t>
      </w:r>
      <w:proofErr w:type="spellEnd"/>
      <w:r w:rsidRPr="00FE37B0">
        <w:rPr>
          <w:rFonts w:ascii="Arial" w:hAnsi="Arial" w:cs="Arial"/>
          <w:sz w:val="20"/>
          <w:szCs w:val="20"/>
        </w:rPr>
        <w:t xml:space="preserve">, F. D., Rashidat, A., </w:t>
      </w:r>
      <w:proofErr w:type="spellStart"/>
      <w:r w:rsidRPr="00FE37B0">
        <w:rPr>
          <w:rFonts w:ascii="Arial" w:hAnsi="Arial" w:cs="Arial"/>
          <w:sz w:val="20"/>
          <w:szCs w:val="20"/>
        </w:rPr>
        <w:t>Igbeneghu</w:t>
      </w:r>
      <w:proofErr w:type="spellEnd"/>
      <w:r w:rsidRPr="00FE37B0">
        <w:rPr>
          <w:rFonts w:ascii="Arial" w:hAnsi="Arial" w:cs="Arial"/>
          <w:sz w:val="20"/>
          <w:szCs w:val="20"/>
        </w:rPr>
        <w:t xml:space="preserve">, C., Sulaimon, N.,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Ehigie</w:t>
      </w:r>
      <w:proofErr w:type="spellEnd"/>
      <w:r w:rsidRPr="00FE37B0">
        <w:rPr>
          <w:rFonts w:ascii="Arial" w:hAnsi="Arial" w:cs="Arial"/>
          <w:sz w:val="20"/>
          <w:szCs w:val="20"/>
        </w:rPr>
        <w:t xml:space="preserve">, A. F. (2022). Molecular </w:t>
      </w:r>
      <w:r w:rsidR="00A3426A" w:rsidRPr="00FE37B0">
        <w:rPr>
          <w:rFonts w:ascii="Arial" w:hAnsi="Arial" w:cs="Arial"/>
          <w:sz w:val="20"/>
          <w:szCs w:val="20"/>
        </w:rPr>
        <w:t xml:space="preserve">docking and molecular dynamics simulation to investigate protein-ligand binding of potential drug candidates from </w:t>
      </w:r>
      <w:proofErr w:type="spellStart"/>
      <w:r w:rsidR="00A3426A" w:rsidRPr="00FE37B0">
        <w:rPr>
          <w:rFonts w:ascii="Arial" w:hAnsi="Arial" w:cs="Arial"/>
          <w:sz w:val="20"/>
          <w:szCs w:val="20"/>
        </w:rPr>
        <w:t>vernonia</w:t>
      </w:r>
      <w:proofErr w:type="spellEnd"/>
      <w:r w:rsidR="00A3426A" w:rsidRPr="00FE37B0">
        <w:rPr>
          <w:rFonts w:ascii="Arial" w:hAnsi="Arial" w:cs="Arial"/>
          <w:sz w:val="20"/>
          <w:szCs w:val="20"/>
        </w:rPr>
        <w:t xml:space="preserve"> </w:t>
      </w:r>
      <w:proofErr w:type="spellStart"/>
      <w:r w:rsidR="00A3426A" w:rsidRPr="00FE37B0">
        <w:rPr>
          <w:rFonts w:ascii="Arial" w:hAnsi="Arial" w:cs="Arial"/>
          <w:sz w:val="20"/>
          <w:szCs w:val="20"/>
        </w:rPr>
        <w:t>amygdalina</w:t>
      </w:r>
      <w:proofErr w:type="spellEnd"/>
      <w:r w:rsidR="00A3426A" w:rsidRPr="00FE37B0">
        <w:rPr>
          <w:rFonts w:ascii="Arial" w:hAnsi="Arial" w:cs="Arial"/>
          <w:sz w:val="20"/>
          <w:szCs w:val="20"/>
        </w:rPr>
        <w:t xml:space="preserve"> against </w:t>
      </w:r>
      <w:proofErr w:type="spellStart"/>
      <w:r w:rsidR="00A3426A" w:rsidRPr="00FE37B0">
        <w:rPr>
          <w:rFonts w:ascii="Arial" w:hAnsi="Arial" w:cs="Arial"/>
          <w:sz w:val="20"/>
          <w:szCs w:val="20"/>
        </w:rPr>
        <w:t>wilms’tumor</w:t>
      </w:r>
      <w:proofErr w:type="spellEnd"/>
      <w:r w:rsidR="00A3426A" w:rsidRPr="00FE37B0">
        <w:rPr>
          <w:rFonts w:ascii="Arial" w:hAnsi="Arial" w:cs="Arial"/>
          <w:sz w:val="20"/>
          <w:szCs w:val="20"/>
        </w:rPr>
        <w:t xml:space="preserve"> 1 (wt1) protein</w:t>
      </w:r>
      <w:r w:rsidRPr="00FE37B0">
        <w:rPr>
          <w:rFonts w:ascii="Arial" w:hAnsi="Arial" w:cs="Arial"/>
          <w:sz w:val="20"/>
          <w:szCs w:val="20"/>
        </w:rPr>
        <w:t xml:space="preserve">. </w:t>
      </w:r>
      <w:r w:rsidRPr="00A3426A">
        <w:rPr>
          <w:rFonts w:ascii="Arial" w:hAnsi="Arial" w:cs="Arial"/>
          <w:i/>
          <w:iCs/>
          <w:sz w:val="20"/>
          <w:szCs w:val="20"/>
        </w:rPr>
        <w:t>European Journal of Biomedical,</w:t>
      </w:r>
      <w:r w:rsidRPr="00FE37B0">
        <w:rPr>
          <w:rFonts w:ascii="Arial" w:hAnsi="Arial" w:cs="Arial"/>
          <w:sz w:val="20"/>
          <w:szCs w:val="20"/>
        </w:rPr>
        <w:t xml:space="preserve"> 9(8), 499-514. </w:t>
      </w:r>
      <w:proofErr w:type="spellStart"/>
      <w:r w:rsidRPr="00FE37B0">
        <w:rPr>
          <w:rFonts w:ascii="Arial" w:hAnsi="Arial" w:cs="Arial"/>
          <w:sz w:val="20"/>
          <w:szCs w:val="20"/>
        </w:rPr>
        <w:t>Issn</w:t>
      </w:r>
      <w:proofErr w:type="spellEnd"/>
      <w:r w:rsidRPr="00FE37B0">
        <w:rPr>
          <w:rFonts w:ascii="Arial" w:hAnsi="Arial" w:cs="Arial"/>
          <w:sz w:val="20"/>
          <w:szCs w:val="20"/>
        </w:rPr>
        <w:t xml:space="preserve"> 2349-8870</w:t>
      </w:r>
    </w:p>
    <w:p w14:paraId="78866F41" w14:textId="2B63C777"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color w:val="222222"/>
          <w:sz w:val="20"/>
          <w:szCs w:val="20"/>
          <w:shd w:val="clear" w:color="auto" w:fill="FFFFFF"/>
        </w:rPr>
        <w:t xml:space="preserve">Kehinde, O. A. Q., Damilare, B. I., Ogunlana, A., </w:t>
      </w:r>
      <w:proofErr w:type="spellStart"/>
      <w:r w:rsidRPr="00FE37B0">
        <w:rPr>
          <w:rFonts w:ascii="Arial" w:hAnsi="Arial" w:cs="Arial"/>
          <w:color w:val="222222"/>
          <w:sz w:val="20"/>
          <w:szCs w:val="20"/>
          <w:shd w:val="clear" w:color="auto" w:fill="FFFFFF"/>
        </w:rPr>
        <w:t>Mojeed</w:t>
      </w:r>
      <w:proofErr w:type="spellEnd"/>
      <w:r w:rsidRPr="00FE37B0">
        <w:rPr>
          <w:rFonts w:ascii="Arial" w:hAnsi="Arial" w:cs="Arial"/>
          <w:color w:val="222222"/>
          <w:sz w:val="20"/>
          <w:szCs w:val="20"/>
          <w:shd w:val="clear" w:color="auto" w:fill="FFFFFF"/>
        </w:rPr>
        <w:t xml:space="preserve"> </w:t>
      </w:r>
      <w:proofErr w:type="spellStart"/>
      <w:r w:rsidRPr="00FE37B0">
        <w:rPr>
          <w:rFonts w:ascii="Arial" w:hAnsi="Arial" w:cs="Arial"/>
          <w:color w:val="222222"/>
          <w:sz w:val="20"/>
          <w:szCs w:val="20"/>
          <w:shd w:val="clear" w:color="auto" w:fill="FFFFFF"/>
        </w:rPr>
        <w:t>Ayoola</w:t>
      </w:r>
      <w:proofErr w:type="spellEnd"/>
      <w:r w:rsidRPr="00FE37B0">
        <w:rPr>
          <w:rFonts w:ascii="Arial" w:hAnsi="Arial" w:cs="Arial"/>
          <w:color w:val="222222"/>
          <w:sz w:val="20"/>
          <w:szCs w:val="20"/>
          <w:shd w:val="clear" w:color="auto" w:fill="FFFFFF"/>
        </w:rPr>
        <w:t xml:space="preserve">, A., Opeyemi Emmanuel, A.,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w:t>
      </w:r>
      <w:proofErr w:type="spellStart"/>
      <w:r w:rsidRPr="00FE37B0">
        <w:rPr>
          <w:rFonts w:ascii="Arial" w:hAnsi="Arial" w:cs="Arial"/>
          <w:color w:val="222222"/>
          <w:sz w:val="20"/>
          <w:szCs w:val="20"/>
          <w:shd w:val="clear" w:color="auto" w:fill="FFFFFF"/>
        </w:rPr>
        <w:t>Temitope</w:t>
      </w:r>
      <w:proofErr w:type="spellEnd"/>
      <w:r w:rsidRPr="00FE37B0">
        <w:rPr>
          <w:rFonts w:ascii="Arial" w:hAnsi="Arial" w:cs="Arial"/>
          <w:color w:val="222222"/>
          <w:sz w:val="20"/>
          <w:szCs w:val="20"/>
          <w:shd w:val="clear" w:color="auto" w:fill="FFFFFF"/>
        </w:rPr>
        <w:t xml:space="preserve"> </w:t>
      </w:r>
      <w:proofErr w:type="spellStart"/>
      <w:r w:rsidRPr="00FE37B0">
        <w:rPr>
          <w:rFonts w:ascii="Arial" w:hAnsi="Arial" w:cs="Arial"/>
          <w:color w:val="222222"/>
          <w:sz w:val="20"/>
          <w:szCs w:val="20"/>
          <w:shd w:val="clear" w:color="auto" w:fill="FFFFFF"/>
        </w:rPr>
        <w:t>Ik</w:t>
      </w:r>
      <w:proofErr w:type="spellEnd"/>
      <w:r w:rsidRPr="00FE37B0">
        <w:rPr>
          <w:rFonts w:ascii="Arial" w:hAnsi="Arial" w:cs="Arial"/>
          <w:color w:val="222222"/>
          <w:sz w:val="20"/>
          <w:szCs w:val="20"/>
          <w:shd w:val="clear" w:color="auto" w:fill="FFFFFF"/>
        </w:rPr>
        <w:t>,</w:t>
      </w:r>
      <w:r w:rsidRPr="00FE37B0">
        <w:rPr>
          <w:rFonts w:ascii="Arial" w:hAnsi="Arial" w:cs="Arial"/>
          <w:color w:val="222222"/>
          <w:sz w:val="20"/>
          <w:szCs w:val="20"/>
          <w:shd w:val="clear" w:color="auto" w:fill="FFFFFF"/>
        </w:rPr>
        <w:tab/>
      </w:r>
      <w:proofErr w:type="spellStart"/>
      <w:r w:rsidRPr="00FE37B0">
        <w:rPr>
          <w:rFonts w:ascii="Arial" w:hAnsi="Arial" w:cs="Arial"/>
          <w:color w:val="222222"/>
          <w:sz w:val="20"/>
          <w:szCs w:val="20"/>
          <w:shd w:val="clear" w:color="auto" w:fill="FFFFFF"/>
        </w:rPr>
        <w:t>saac</w:t>
      </w:r>
      <w:proofErr w:type="spellEnd"/>
      <w:r w:rsidRPr="00FE37B0">
        <w:rPr>
          <w:rFonts w:ascii="Arial" w:hAnsi="Arial" w:cs="Arial"/>
          <w:color w:val="222222"/>
          <w:sz w:val="20"/>
          <w:szCs w:val="20"/>
          <w:shd w:val="clear" w:color="auto" w:fill="FFFFFF"/>
        </w:rPr>
        <w:t xml:space="preserve">, A. (2022). Inhibitors of α-glucosidase and </w:t>
      </w:r>
      <w:r w:rsidR="00A3426A" w:rsidRPr="00FE37B0">
        <w:rPr>
          <w:rFonts w:ascii="Arial" w:hAnsi="Arial" w:cs="Arial"/>
          <w:color w:val="222222"/>
          <w:sz w:val="20"/>
          <w:szCs w:val="20"/>
          <w:shd w:val="clear" w:color="auto" w:fill="FFFFFF"/>
        </w:rPr>
        <w:t>angiotensin-converting enzyme in the treatment of type 2 diabetes and its complications</w:t>
      </w:r>
      <w:r w:rsidRPr="00FE37B0">
        <w:rPr>
          <w:rFonts w:ascii="Arial" w:hAnsi="Arial" w:cs="Arial"/>
          <w:color w:val="222222"/>
          <w:sz w:val="20"/>
          <w:szCs w:val="20"/>
          <w:shd w:val="clear" w:color="auto" w:fill="FFFFFF"/>
        </w:rPr>
        <w:t xml:space="preserve">: A Review on </w:t>
      </w:r>
      <w:r w:rsidRPr="00FE37B0">
        <w:rPr>
          <w:rFonts w:ascii="Arial" w:hAnsi="Arial" w:cs="Arial"/>
          <w:i/>
          <w:iCs/>
          <w:color w:val="222222"/>
          <w:sz w:val="20"/>
          <w:szCs w:val="20"/>
          <w:shd w:val="clear" w:color="auto" w:fill="FFFFFF"/>
        </w:rPr>
        <w:t>in silico</w:t>
      </w:r>
      <w:r w:rsidRPr="00FE37B0">
        <w:rPr>
          <w:rFonts w:ascii="Arial" w:hAnsi="Arial" w:cs="Arial"/>
          <w:color w:val="222222"/>
          <w:sz w:val="20"/>
          <w:szCs w:val="20"/>
          <w:shd w:val="clear" w:color="auto" w:fill="FFFFFF"/>
        </w:rPr>
        <w:t xml:space="preserve"> </w:t>
      </w:r>
      <w:r w:rsidR="00901273">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pproach. </w:t>
      </w:r>
      <w:r w:rsidRPr="00FE37B0">
        <w:rPr>
          <w:rFonts w:ascii="Arial" w:hAnsi="Arial" w:cs="Arial"/>
          <w:i/>
          <w:iCs/>
          <w:color w:val="222222"/>
          <w:sz w:val="20"/>
          <w:szCs w:val="20"/>
          <w:shd w:val="clear" w:color="auto" w:fill="FFFFFF"/>
        </w:rPr>
        <w:t>Pharmaceutical and Biomedical Research</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8</w:t>
      </w:r>
      <w:r w:rsidRPr="00FE37B0">
        <w:rPr>
          <w:rFonts w:ascii="Arial" w:hAnsi="Arial" w:cs="Arial"/>
          <w:color w:val="222222"/>
          <w:sz w:val="20"/>
          <w:szCs w:val="20"/>
          <w:shd w:val="clear" w:color="auto" w:fill="FFFFFF"/>
        </w:rPr>
        <w:t xml:space="preserve">(4), 237-258. </w:t>
      </w:r>
      <w:hyperlink r:id="rId83" w:history="1">
        <w:r w:rsidRPr="00FE37B0">
          <w:rPr>
            <w:rStyle w:val="Hyperlink"/>
            <w:rFonts w:ascii="Arial" w:hAnsi="Arial" w:cs="Arial"/>
            <w:sz w:val="20"/>
            <w:szCs w:val="20"/>
            <w:shd w:val="clear" w:color="auto" w:fill="FFFFFF"/>
          </w:rPr>
          <w:t>http://dx.doi.org/10.32598/PBR.8.4.1052.1</w:t>
        </w:r>
      </w:hyperlink>
    </w:p>
    <w:p w14:paraId="58670307" w14:textId="3DE7F5D2" w:rsidR="00F67215" w:rsidRPr="00FE37B0" w:rsidRDefault="00F67215" w:rsidP="00FE37B0">
      <w:pPr>
        <w:pStyle w:val="ListParagraph"/>
        <w:numPr>
          <w:ilvl w:val="0"/>
          <w:numId w:val="3"/>
        </w:numPr>
        <w:spacing w:before="240" w:line="360" w:lineRule="auto"/>
        <w:jc w:val="both"/>
        <w:rPr>
          <w:rStyle w:val="Hyperlink"/>
          <w:rFonts w:ascii="Arial" w:hAnsi="Arial" w:cs="Arial"/>
          <w:color w:val="222222"/>
          <w:sz w:val="20"/>
          <w:szCs w:val="20"/>
          <w:shd w:val="clear" w:color="auto" w:fill="FFFFFF"/>
        </w:rPr>
      </w:pPr>
      <w:r w:rsidRPr="00FE37B0">
        <w:rPr>
          <w:rFonts w:ascii="Arial" w:hAnsi="Arial" w:cs="Arial"/>
          <w:sz w:val="20"/>
          <w:szCs w:val="20"/>
        </w:rPr>
        <w:t xml:space="preserve">Shukla, R., </w:t>
      </w:r>
      <w:r w:rsidR="00FE37B0">
        <w:rPr>
          <w:rFonts w:ascii="Arial" w:hAnsi="Arial" w:cs="Arial"/>
          <w:sz w:val="20"/>
          <w:szCs w:val="20"/>
        </w:rPr>
        <w:t>and</w:t>
      </w:r>
      <w:r w:rsidRPr="00FE37B0">
        <w:rPr>
          <w:rFonts w:ascii="Arial" w:hAnsi="Arial" w:cs="Arial"/>
          <w:sz w:val="20"/>
          <w:szCs w:val="20"/>
        </w:rPr>
        <w:t xml:space="preserve"> Tripathi, T. (2020). Molecular dynamics simulation of protein and protein–ligand complexes. </w:t>
      </w:r>
      <w:r w:rsidRPr="00FE37B0">
        <w:rPr>
          <w:rFonts w:ascii="Arial" w:hAnsi="Arial" w:cs="Arial"/>
          <w:i/>
          <w:iCs/>
          <w:sz w:val="20"/>
          <w:szCs w:val="20"/>
        </w:rPr>
        <w:t>Computer-aided drug design</w:t>
      </w:r>
      <w:r w:rsidRPr="00FE37B0">
        <w:rPr>
          <w:rFonts w:ascii="Arial" w:hAnsi="Arial" w:cs="Arial"/>
          <w:sz w:val="20"/>
          <w:szCs w:val="20"/>
        </w:rPr>
        <w:t xml:space="preserve">, 133-161. </w:t>
      </w:r>
      <w:hyperlink r:id="rId84" w:history="1">
        <w:r w:rsidRPr="00FE37B0">
          <w:rPr>
            <w:rStyle w:val="Hyperlink"/>
            <w:rFonts w:ascii="Arial" w:hAnsi="Arial" w:cs="Arial"/>
            <w:sz w:val="20"/>
            <w:szCs w:val="20"/>
            <w:shd w:val="clear" w:color="auto" w:fill="FFFFFF"/>
          </w:rPr>
          <w:t>https://doi.org/10.1007/978-981-15-6815-2_7</w:t>
        </w:r>
      </w:hyperlink>
    </w:p>
    <w:p w14:paraId="02EC0B79" w14:textId="326F4FE4"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Vyas, V. K., Bhati, S., Patel, S., </w:t>
      </w:r>
      <w:r w:rsidR="00FE37B0">
        <w:rPr>
          <w:rFonts w:ascii="Arial" w:hAnsi="Arial" w:cs="Arial"/>
          <w:sz w:val="20"/>
          <w:szCs w:val="20"/>
        </w:rPr>
        <w:t>and</w:t>
      </w:r>
      <w:r w:rsidRPr="00FE37B0">
        <w:rPr>
          <w:rFonts w:ascii="Arial" w:hAnsi="Arial" w:cs="Arial"/>
          <w:sz w:val="20"/>
          <w:szCs w:val="20"/>
        </w:rPr>
        <w:t xml:space="preserve"> Ghate, M. (2022). Structure-and ligand-based drug design methods for the modeling of antimalarial agents: </w:t>
      </w:r>
      <w:r w:rsidR="00901273">
        <w:rPr>
          <w:rFonts w:ascii="Arial" w:hAnsi="Arial" w:cs="Arial"/>
          <w:sz w:val="20"/>
          <w:szCs w:val="20"/>
        </w:rPr>
        <w:t>A</w:t>
      </w:r>
      <w:r w:rsidRPr="00FE37B0">
        <w:rPr>
          <w:rFonts w:ascii="Arial" w:hAnsi="Arial" w:cs="Arial"/>
          <w:sz w:val="20"/>
          <w:szCs w:val="20"/>
        </w:rPr>
        <w:t xml:space="preserve"> review of updates from 2012 onwards. </w:t>
      </w:r>
      <w:r w:rsidRPr="00FE37B0">
        <w:rPr>
          <w:rFonts w:ascii="Arial" w:hAnsi="Arial" w:cs="Arial"/>
          <w:i/>
          <w:iCs/>
          <w:sz w:val="20"/>
          <w:szCs w:val="20"/>
        </w:rPr>
        <w:t>Journal of Biomolecular Structure and Dynamics</w:t>
      </w:r>
      <w:r w:rsidRPr="00FE37B0">
        <w:rPr>
          <w:rFonts w:ascii="Arial" w:hAnsi="Arial" w:cs="Arial"/>
          <w:sz w:val="20"/>
          <w:szCs w:val="20"/>
        </w:rPr>
        <w:t>, </w:t>
      </w:r>
      <w:r w:rsidRPr="00FE37B0">
        <w:rPr>
          <w:rFonts w:ascii="Arial" w:hAnsi="Arial" w:cs="Arial"/>
          <w:i/>
          <w:iCs/>
          <w:sz w:val="20"/>
          <w:szCs w:val="20"/>
        </w:rPr>
        <w:t>40</w:t>
      </w:r>
      <w:r w:rsidRPr="00FE37B0">
        <w:rPr>
          <w:rFonts w:ascii="Arial" w:hAnsi="Arial" w:cs="Arial"/>
          <w:sz w:val="20"/>
          <w:szCs w:val="20"/>
        </w:rPr>
        <w:t xml:space="preserve">(20), 10481-10506. </w:t>
      </w:r>
      <w:hyperlink r:id="rId85" w:history="1">
        <w:r w:rsidRPr="00FE37B0">
          <w:rPr>
            <w:rStyle w:val="Hyperlink"/>
            <w:rFonts w:ascii="Arial" w:hAnsi="Arial" w:cs="Arial"/>
            <w:sz w:val="20"/>
            <w:szCs w:val="20"/>
          </w:rPr>
          <w:t>https://doi.org/10.1080/07391102.2021.1932598</w:t>
        </w:r>
      </w:hyperlink>
    </w:p>
    <w:p w14:paraId="3480D1F6" w14:textId="20DCDF24" w:rsidR="00F67215" w:rsidRPr="004F44E2" w:rsidRDefault="00F67215" w:rsidP="004F44E2">
      <w:pPr>
        <w:pStyle w:val="ListParagraph"/>
        <w:numPr>
          <w:ilvl w:val="0"/>
          <w:numId w:val="3"/>
        </w:numPr>
        <w:spacing w:before="240" w:after="0" w:line="360" w:lineRule="auto"/>
        <w:jc w:val="both"/>
        <w:rPr>
          <w:rFonts w:ascii="Arial" w:hAnsi="Arial" w:cs="Arial"/>
          <w:sz w:val="20"/>
          <w:szCs w:val="20"/>
        </w:rPr>
      </w:pPr>
      <w:proofErr w:type="spellStart"/>
      <w:r w:rsidRPr="00FE37B0">
        <w:rPr>
          <w:rFonts w:ascii="Arial" w:hAnsi="Arial" w:cs="Arial"/>
          <w:sz w:val="20"/>
          <w:szCs w:val="20"/>
        </w:rPr>
        <w:t>Cheuka</w:t>
      </w:r>
      <w:proofErr w:type="spellEnd"/>
      <w:r w:rsidRPr="00FE37B0">
        <w:rPr>
          <w:rFonts w:ascii="Arial" w:hAnsi="Arial" w:cs="Arial"/>
          <w:sz w:val="20"/>
          <w:szCs w:val="20"/>
        </w:rPr>
        <w:t xml:space="preserve">, P. M., </w:t>
      </w:r>
      <w:proofErr w:type="spellStart"/>
      <w:r w:rsidRPr="00FE37B0">
        <w:rPr>
          <w:rFonts w:ascii="Arial" w:hAnsi="Arial" w:cs="Arial"/>
          <w:sz w:val="20"/>
          <w:szCs w:val="20"/>
        </w:rPr>
        <w:t>Njaria</w:t>
      </w:r>
      <w:proofErr w:type="spellEnd"/>
      <w:r w:rsidRPr="00FE37B0">
        <w:rPr>
          <w:rFonts w:ascii="Arial" w:hAnsi="Arial" w:cs="Arial"/>
          <w:sz w:val="20"/>
          <w:szCs w:val="20"/>
        </w:rPr>
        <w:t xml:space="preserve">, P., Mayoka, G.,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Funjika</w:t>
      </w:r>
      <w:proofErr w:type="spellEnd"/>
      <w:r w:rsidRPr="00FE37B0">
        <w:rPr>
          <w:rFonts w:ascii="Arial" w:hAnsi="Arial" w:cs="Arial"/>
          <w:sz w:val="20"/>
          <w:szCs w:val="20"/>
        </w:rPr>
        <w:t xml:space="preserve">, E. (2024). Emerging </w:t>
      </w:r>
      <w:r w:rsidR="00901273" w:rsidRPr="00FE37B0">
        <w:rPr>
          <w:rFonts w:ascii="Arial" w:hAnsi="Arial" w:cs="Arial"/>
          <w:sz w:val="20"/>
          <w:szCs w:val="20"/>
        </w:rPr>
        <w:t>drug targets for antimalarial drug discovery</w:t>
      </w:r>
      <w:r w:rsidRPr="00FE37B0">
        <w:rPr>
          <w:rFonts w:ascii="Arial" w:hAnsi="Arial" w:cs="Arial"/>
          <w:sz w:val="20"/>
          <w:szCs w:val="20"/>
        </w:rPr>
        <w:t xml:space="preserve">: Validation and </w:t>
      </w:r>
      <w:r w:rsidR="00901273" w:rsidRPr="00FE37B0">
        <w:rPr>
          <w:rFonts w:ascii="Arial" w:hAnsi="Arial" w:cs="Arial"/>
          <w:sz w:val="20"/>
          <w:szCs w:val="20"/>
        </w:rPr>
        <w:t>insights into molecular mechanisms of function</w:t>
      </w:r>
      <w:r w:rsidRPr="00FE37B0">
        <w:rPr>
          <w:rFonts w:ascii="Arial" w:hAnsi="Arial" w:cs="Arial"/>
          <w:sz w:val="20"/>
          <w:szCs w:val="20"/>
        </w:rPr>
        <w:t>. </w:t>
      </w:r>
      <w:r w:rsidRPr="00FE37B0">
        <w:rPr>
          <w:rFonts w:ascii="Arial" w:hAnsi="Arial" w:cs="Arial"/>
          <w:i/>
          <w:iCs/>
          <w:sz w:val="20"/>
          <w:szCs w:val="20"/>
        </w:rPr>
        <w:t>Journal of Medicinal Chemistry</w:t>
      </w:r>
      <w:r w:rsidRPr="00FE37B0">
        <w:rPr>
          <w:rFonts w:ascii="Arial" w:hAnsi="Arial" w:cs="Arial"/>
          <w:sz w:val="20"/>
          <w:szCs w:val="20"/>
        </w:rPr>
        <w:t>, </w:t>
      </w:r>
      <w:r w:rsidRPr="00FE37B0">
        <w:rPr>
          <w:rFonts w:ascii="Arial" w:hAnsi="Arial" w:cs="Arial"/>
          <w:i/>
          <w:iCs/>
          <w:sz w:val="20"/>
          <w:szCs w:val="20"/>
        </w:rPr>
        <w:t>67</w:t>
      </w:r>
      <w:r w:rsidRPr="00FE37B0">
        <w:rPr>
          <w:rFonts w:ascii="Arial" w:hAnsi="Arial" w:cs="Arial"/>
          <w:sz w:val="20"/>
          <w:szCs w:val="20"/>
        </w:rPr>
        <w:t xml:space="preserve">(2), 838-863. </w:t>
      </w:r>
      <w:hyperlink r:id="rId86" w:history="1">
        <w:r w:rsidRPr="00FE37B0">
          <w:rPr>
            <w:rStyle w:val="Hyperlink"/>
            <w:rFonts w:ascii="Arial" w:hAnsi="Arial" w:cs="Arial"/>
            <w:sz w:val="20"/>
            <w:szCs w:val="20"/>
          </w:rPr>
          <w:t>https://doi.org/10.1021/acs.jmedchem.3c01828</w:t>
        </w:r>
      </w:hyperlink>
    </w:p>
    <w:p w14:paraId="1A37FD7B" w14:textId="7C2BA2AF" w:rsidR="004F44E2" w:rsidRPr="004F44E2" w:rsidRDefault="004F44E2" w:rsidP="004F44E2">
      <w:pPr>
        <w:pStyle w:val="NormalWeb"/>
        <w:numPr>
          <w:ilvl w:val="0"/>
          <w:numId w:val="3"/>
        </w:numPr>
        <w:spacing w:before="0" w:beforeAutospacing="0" w:after="0" w:afterAutospacing="0" w:line="360" w:lineRule="auto"/>
        <w:jc w:val="both"/>
        <w:rPr>
          <w:rFonts w:ascii="Arial" w:eastAsiaTheme="majorEastAsia" w:hAnsi="Arial" w:cs="Arial"/>
          <w:sz w:val="20"/>
          <w:szCs w:val="20"/>
        </w:rPr>
      </w:pPr>
      <w:r w:rsidRPr="004F44E2">
        <w:rPr>
          <w:rFonts w:ascii="Arial" w:eastAsiaTheme="majorEastAsia" w:hAnsi="Arial" w:cs="Arial"/>
          <w:sz w:val="20"/>
          <w:szCs w:val="20"/>
        </w:rPr>
        <w:t xml:space="preserve">Atanda, O. E., </w:t>
      </w:r>
      <w:proofErr w:type="spellStart"/>
      <w:r w:rsidRPr="004F44E2">
        <w:rPr>
          <w:rFonts w:ascii="Arial" w:eastAsiaTheme="majorEastAsia" w:hAnsi="Arial" w:cs="Arial"/>
          <w:sz w:val="20"/>
          <w:szCs w:val="20"/>
        </w:rPr>
        <w:t>Adesikun</w:t>
      </w:r>
      <w:proofErr w:type="spellEnd"/>
      <w:r w:rsidRPr="004F44E2">
        <w:rPr>
          <w:rFonts w:ascii="Arial" w:eastAsiaTheme="majorEastAsia" w:hAnsi="Arial" w:cs="Arial"/>
          <w:sz w:val="20"/>
          <w:szCs w:val="20"/>
        </w:rPr>
        <w:t xml:space="preserve">, A. A., Adeyeye, P. O., </w:t>
      </w:r>
      <w:proofErr w:type="spellStart"/>
      <w:r w:rsidRPr="004F44E2">
        <w:rPr>
          <w:rFonts w:ascii="Arial" w:eastAsiaTheme="majorEastAsia" w:hAnsi="Arial" w:cs="Arial"/>
          <w:sz w:val="20"/>
          <w:szCs w:val="20"/>
        </w:rPr>
        <w:t>Oyewale</w:t>
      </w:r>
      <w:proofErr w:type="spellEnd"/>
      <w:r w:rsidRPr="004F44E2">
        <w:rPr>
          <w:rFonts w:ascii="Arial" w:eastAsiaTheme="majorEastAsia" w:hAnsi="Arial" w:cs="Arial"/>
          <w:sz w:val="20"/>
          <w:szCs w:val="20"/>
        </w:rPr>
        <w:t>, M. T., and Adeyemi, M. A. (2025). “</w:t>
      </w:r>
      <w:r w:rsidRPr="004F44E2">
        <w:rPr>
          <w:rFonts w:ascii="Arial" w:eastAsiaTheme="majorEastAsia" w:hAnsi="Arial" w:cs="Arial"/>
          <w:i/>
          <w:iCs/>
          <w:sz w:val="20"/>
          <w:szCs w:val="20"/>
        </w:rPr>
        <w:t>In silico</w:t>
      </w:r>
      <w:r w:rsidRPr="004F44E2">
        <w:rPr>
          <w:rFonts w:ascii="Arial" w:eastAsiaTheme="majorEastAsia" w:hAnsi="Arial" w:cs="Arial"/>
          <w:sz w:val="20"/>
          <w:szCs w:val="20"/>
        </w:rPr>
        <w:t xml:space="preserve"> evaluation of </w:t>
      </w:r>
      <w:r w:rsidRPr="004F44E2">
        <w:rPr>
          <w:rFonts w:ascii="Arial" w:eastAsiaTheme="majorEastAsia" w:hAnsi="Arial" w:cs="Arial"/>
          <w:i/>
          <w:iCs/>
          <w:sz w:val="20"/>
          <w:szCs w:val="20"/>
        </w:rPr>
        <w:t>Allium sativum</w:t>
      </w:r>
      <w:r w:rsidRPr="004F44E2">
        <w:rPr>
          <w:rFonts w:ascii="Arial" w:eastAsiaTheme="majorEastAsia" w:hAnsi="Arial" w:cs="Arial"/>
          <w:sz w:val="20"/>
          <w:szCs w:val="20"/>
        </w:rPr>
        <w:t xml:space="preserve"> derived phytochemicals reveals promising drug candidates for </w:t>
      </w:r>
      <w:r w:rsidRPr="004F44E2">
        <w:rPr>
          <w:rFonts w:ascii="Arial" w:eastAsiaTheme="majorEastAsia" w:hAnsi="Arial" w:cs="Arial"/>
          <w:sz w:val="20"/>
          <w:szCs w:val="20"/>
        </w:rPr>
        <w:lastRenderedPageBreak/>
        <w:t xml:space="preserve">p53-MDM2 interaction in osteosarcoma therapy”. </w:t>
      </w:r>
      <w:r w:rsidRPr="004F44E2">
        <w:rPr>
          <w:rFonts w:ascii="Arial" w:eastAsiaTheme="majorEastAsia" w:hAnsi="Arial" w:cs="Arial"/>
          <w:i/>
          <w:iCs/>
          <w:sz w:val="20"/>
          <w:szCs w:val="20"/>
        </w:rPr>
        <w:t>Journal of Applied Life Sciences International</w:t>
      </w:r>
      <w:r w:rsidRPr="004F44E2">
        <w:rPr>
          <w:rFonts w:ascii="Arial" w:eastAsiaTheme="majorEastAsia" w:hAnsi="Arial" w:cs="Arial"/>
          <w:sz w:val="20"/>
          <w:szCs w:val="20"/>
        </w:rPr>
        <w:t xml:space="preserve"> 28 (4):106-27. </w:t>
      </w:r>
      <w:hyperlink r:id="rId87" w:history="1">
        <w:r w:rsidRPr="004F44E2">
          <w:rPr>
            <w:rStyle w:val="Hyperlink"/>
            <w:rFonts w:ascii="Arial" w:eastAsiaTheme="majorEastAsia" w:hAnsi="Arial" w:cs="Arial"/>
            <w:sz w:val="20"/>
            <w:szCs w:val="20"/>
          </w:rPr>
          <w:t>https://doi.org/10.9734/jalsi/2025/v28i4702</w:t>
        </w:r>
      </w:hyperlink>
    </w:p>
    <w:p w14:paraId="4D039C44" w14:textId="01142159" w:rsidR="00F67215" w:rsidRPr="00FE37B0" w:rsidRDefault="00F67215" w:rsidP="009A3787">
      <w:pPr>
        <w:pStyle w:val="ListParagraph"/>
        <w:numPr>
          <w:ilvl w:val="0"/>
          <w:numId w:val="3"/>
        </w:numPr>
        <w:spacing w:after="0" w:line="360" w:lineRule="auto"/>
        <w:jc w:val="both"/>
        <w:rPr>
          <w:rFonts w:ascii="Arial" w:hAnsi="Arial" w:cs="Arial"/>
          <w:sz w:val="20"/>
          <w:szCs w:val="20"/>
        </w:rPr>
      </w:pPr>
      <w:r w:rsidRPr="00FE37B0">
        <w:rPr>
          <w:rFonts w:ascii="Arial" w:hAnsi="Arial" w:cs="Arial"/>
          <w:sz w:val="20"/>
          <w:szCs w:val="20"/>
        </w:rPr>
        <w:t xml:space="preserve">Majewski, M.,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Barril</w:t>
      </w:r>
      <w:proofErr w:type="spellEnd"/>
      <w:r w:rsidRPr="00FE37B0">
        <w:rPr>
          <w:rFonts w:ascii="Arial" w:hAnsi="Arial" w:cs="Arial"/>
          <w:sz w:val="20"/>
          <w:szCs w:val="20"/>
        </w:rPr>
        <w:t>, X. (2020). Structural stability predicts the binding mode of protein–ligand complexes. </w:t>
      </w:r>
      <w:r w:rsidRPr="00FE37B0">
        <w:rPr>
          <w:rFonts w:ascii="Arial" w:hAnsi="Arial" w:cs="Arial"/>
          <w:i/>
          <w:iCs/>
          <w:sz w:val="20"/>
          <w:szCs w:val="20"/>
        </w:rPr>
        <w:t>Journal of Chemical Information and Modeling</w:t>
      </w:r>
      <w:r w:rsidRPr="00FE37B0">
        <w:rPr>
          <w:rFonts w:ascii="Arial" w:hAnsi="Arial" w:cs="Arial"/>
          <w:sz w:val="20"/>
          <w:szCs w:val="20"/>
        </w:rPr>
        <w:t>, </w:t>
      </w:r>
      <w:r w:rsidRPr="00FE37B0">
        <w:rPr>
          <w:rFonts w:ascii="Arial" w:hAnsi="Arial" w:cs="Arial"/>
          <w:i/>
          <w:iCs/>
          <w:sz w:val="20"/>
          <w:szCs w:val="20"/>
        </w:rPr>
        <w:t>60</w:t>
      </w:r>
      <w:r w:rsidRPr="00FE37B0">
        <w:rPr>
          <w:rFonts w:ascii="Arial" w:hAnsi="Arial" w:cs="Arial"/>
          <w:sz w:val="20"/>
          <w:szCs w:val="20"/>
        </w:rPr>
        <w:t xml:space="preserve">(3), 1644-1651. </w:t>
      </w:r>
      <w:hyperlink r:id="rId88" w:history="1">
        <w:r w:rsidRPr="00FE37B0">
          <w:rPr>
            <w:rStyle w:val="Hyperlink"/>
            <w:rFonts w:ascii="Arial" w:hAnsi="Arial" w:cs="Arial"/>
            <w:sz w:val="20"/>
            <w:szCs w:val="20"/>
          </w:rPr>
          <w:t>https://doi.org/10.1021/acs.jcim.9b01062</w:t>
        </w:r>
      </w:hyperlink>
    </w:p>
    <w:p w14:paraId="1E8EBBA4" w14:textId="7F8B5FAC"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Komarov, I. V., </w:t>
      </w:r>
      <w:proofErr w:type="spellStart"/>
      <w:r w:rsidRPr="00FE37B0">
        <w:rPr>
          <w:rFonts w:ascii="Arial" w:hAnsi="Arial" w:cs="Arial"/>
          <w:sz w:val="20"/>
          <w:szCs w:val="20"/>
        </w:rPr>
        <w:t>Bugrov</w:t>
      </w:r>
      <w:proofErr w:type="spellEnd"/>
      <w:r w:rsidRPr="00FE37B0">
        <w:rPr>
          <w:rFonts w:ascii="Arial" w:hAnsi="Arial" w:cs="Arial"/>
          <w:sz w:val="20"/>
          <w:szCs w:val="20"/>
        </w:rPr>
        <w:t xml:space="preserve">, V. A., </w:t>
      </w:r>
      <w:proofErr w:type="spellStart"/>
      <w:r w:rsidRPr="00FE37B0">
        <w:rPr>
          <w:rFonts w:ascii="Arial" w:hAnsi="Arial" w:cs="Arial"/>
          <w:sz w:val="20"/>
          <w:szCs w:val="20"/>
        </w:rPr>
        <w:t>Cherednychenko</w:t>
      </w:r>
      <w:proofErr w:type="spellEnd"/>
      <w:r w:rsidRPr="00FE37B0">
        <w:rPr>
          <w:rFonts w:ascii="Arial" w:hAnsi="Arial" w:cs="Arial"/>
          <w:sz w:val="20"/>
          <w:szCs w:val="20"/>
        </w:rPr>
        <w:t xml:space="preserve">, A.,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Grygorenko</w:t>
      </w:r>
      <w:proofErr w:type="spellEnd"/>
      <w:r w:rsidRPr="00FE37B0">
        <w:rPr>
          <w:rFonts w:ascii="Arial" w:hAnsi="Arial" w:cs="Arial"/>
          <w:sz w:val="20"/>
          <w:szCs w:val="20"/>
        </w:rPr>
        <w:t xml:space="preserve">, O. O. (2024). Insights into </w:t>
      </w:r>
      <w:r w:rsidR="00901273" w:rsidRPr="00FE37B0">
        <w:rPr>
          <w:rFonts w:ascii="Arial" w:hAnsi="Arial" w:cs="Arial"/>
          <w:sz w:val="20"/>
          <w:szCs w:val="20"/>
        </w:rPr>
        <w:t>modeling approaches in chemistry: assessing ligand</w:t>
      </w:r>
      <w:r w:rsidR="00901273" w:rsidRPr="00FE37B0">
        <w:rPr>
          <w:rFonts w:ascii="Cambria Math" w:hAnsi="Cambria Math" w:cs="Cambria Math"/>
          <w:sz w:val="20"/>
          <w:szCs w:val="20"/>
        </w:rPr>
        <w:t>‐</w:t>
      </w:r>
      <w:r w:rsidR="00901273" w:rsidRPr="00FE37B0">
        <w:rPr>
          <w:rFonts w:ascii="Arial" w:hAnsi="Arial" w:cs="Arial"/>
          <w:sz w:val="20"/>
          <w:szCs w:val="20"/>
        </w:rPr>
        <w:t>protein binding thermodynamics based on rigid</w:t>
      </w:r>
      <w:r w:rsidR="00901273" w:rsidRPr="00FE37B0">
        <w:rPr>
          <w:rFonts w:ascii="Cambria Math" w:hAnsi="Cambria Math" w:cs="Cambria Math"/>
          <w:sz w:val="20"/>
          <w:szCs w:val="20"/>
        </w:rPr>
        <w:t>‐</w:t>
      </w:r>
      <w:r w:rsidR="00901273" w:rsidRPr="00FE37B0">
        <w:rPr>
          <w:rFonts w:ascii="Arial" w:hAnsi="Arial" w:cs="Arial"/>
          <w:sz w:val="20"/>
          <w:szCs w:val="20"/>
        </w:rPr>
        <w:t>flexible model molecules.</w:t>
      </w:r>
      <w:r w:rsidRPr="00FE37B0">
        <w:rPr>
          <w:rFonts w:ascii="Arial" w:hAnsi="Arial" w:cs="Arial"/>
          <w:sz w:val="20"/>
          <w:szCs w:val="20"/>
        </w:rPr>
        <w:t> </w:t>
      </w:r>
      <w:r w:rsidRPr="00FE37B0">
        <w:rPr>
          <w:rFonts w:ascii="Arial" w:hAnsi="Arial" w:cs="Arial"/>
          <w:i/>
          <w:iCs/>
          <w:sz w:val="20"/>
          <w:szCs w:val="20"/>
        </w:rPr>
        <w:t>The Chemical Record</w:t>
      </w:r>
      <w:r w:rsidRPr="00FE37B0">
        <w:rPr>
          <w:rFonts w:ascii="Arial" w:hAnsi="Arial" w:cs="Arial"/>
          <w:sz w:val="20"/>
          <w:szCs w:val="20"/>
        </w:rPr>
        <w:t>, </w:t>
      </w:r>
      <w:r w:rsidRPr="00FE37B0">
        <w:rPr>
          <w:rFonts w:ascii="Arial" w:hAnsi="Arial" w:cs="Arial"/>
          <w:i/>
          <w:iCs/>
          <w:sz w:val="20"/>
          <w:szCs w:val="20"/>
        </w:rPr>
        <w:t>24</w:t>
      </w:r>
      <w:r w:rsidRPr="00FE37B0">
        <w:rPr>
          <w:rFonts w:ascii="Arial" w:hAnsi="Arial" w:cs="Arial"/>
          <w:sz w:val="20"/>
          <w:szCs w:val="20"/>
        </w:rPr>
        <w:t xml:space="preserve">(2), e202300276. </w:t>
      </w:r>
      <w:hyperlink r:id="rId89" w:history="1">
        <w:r w:rsidRPr="00FE37B0">
          <w:rPr>
            <w:rStyle w:val="Hyperlink"/>
            <w:rFonts w:ascii="Arial" w:hAnsi="Arial" w:cs="Arial"/>
            <w:sz w:val="20"/>
            <w:szCs w:val="20"/>
          </w:rPr>
          <w:t>https://doi.org/10.1002/tcr.202300276</w:t>
        </w:r>
      </w:hyperlink>
    </w:p>
    <w:p w14:paraId="64C13B5F" w14:textId="4555C4DF" w:rsidR="00F67215" w:rsidRPr="007F53AF" w:rsidRDefault="00F67215" w:rsidP="00FB1E2A">
      <w:pPr>
        <w:pStyle w:val="ListParagraph"/>
        <w:numPr>
          <w:ilvl w:val="0"/>
          <w:numId w:val="3"/>
        </w:numPr>
        <w:spacing w:before="240" w:after="0" w:line="360" w:lineRule="auto"/>
        <w:jc w:val="both"/>
        <w:rPr>
          <w:rFonts w:ascii="Arial" w:hAnsi="Arial" w:cs="Arial"/>
          <w:sz w:val="20"/>
          <w:szCs w:val="20"/>
        </w:rPr>
      </w:pPr>
      <w:r w:rsidRPr="00FE37B0">
        <w:rPr>
          <w:rFonts w:ascii="Arial" w:hAnsi="Arial" w:cs="Arial"/>
          <w:sz w:val="20"/>
          <w:szCs w:val="20"/>
        </w:rPr>
        <w:t xml:space="preserve">Bulusu, G.,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Desiraju</w:t>
      </w:r>
      <w:proofErr w:type="spellEnd"/>
      <w:r w:rsidRPr="00FE37B0">
        <w:rPr>
          <w:rFonts w:ascii="Arial" w:hAnsi="Arial" w:cs="Arial"/>
          <w:sz w:val="20"/>
          <w:szCs w:val="20"/>
        </w:rPr>
        <w:t>, G. R. (2020). Strong and weak hydrogen bonds in protein–ligand recognition. </w:t>
      </w:r>
      <w:r w:rsidRPr="00FE37B0">
        <w:rPr>
          <w:rFonts w:ascii="Arial" w:hAnsi="Arial" w:cs="Arial"/>
          <w:i/>
          <w:iCs/>
          <w:sz w:val="20"/>
          <w:szCs w:val="20"/>
        </w:rPr>
        <w:t xml:space="preserve">Journal of the </w:t>
      </w:r>
      <w:r w:rsidR="00901273" w:rsidRPr="00FE37B0">
        <w:rPr>
          <w:rFonts w:ascii="Arial" w:hAnsi="Arial" w:cs="Arial"/>
          <w:i/>
          <w:iCs/>
          <w:sz w:val="20"/>
          <w:szCs w:val="20"/>
        </w:rPr>
        <w:t xml:space="preserve">Indian Institute </w:t>
      </w:r>
      <w:r w:rsidRPr="00FE37B0">
        <w:rPr>
          <w:rFonts w:ascii="Arial" w:hAnsi="Arial" w:cs="Arial"/>
          <w:i/>
          <w:iCs/>
          <w:sz w:val="20"/>
          <w:szCs w:val="20"/>
        </w:rPr>
        <w:t>of Science</w:t>
      </w:r>
      <w:r w:rsidRPr="00FE37B0">
        <w:rPr>
          <w:rFonts w:ascii="Arial" w:hAnsi="Arial" w:cs="Arial"/>
          <w:sz w:val="20"/>
          <w:szCs w:val="20"/>
        </w:rPr>
        <w:t>, </w:t>
      </w:r>
      <w:r w:rsidRPr="00FE37B0">
        <w:rPr>
          <w:rFonts w:ascii="Arial" w:hAnsi="Arial" w:cs="Arial"/>
          <w:i/>
          <w:iCs/>
          <w:sz w:val="20"/>
          <w:szCs w:val="20"/>
        </w:rPr>
        <w:t>100</w:t>
      </w:r>
      <w:r w:rsidRPr="00FE37B0">
        <w:rPr>
          <w:rFonts w:ascii="Arial" w:hAnsi="Arial" w:cs="Arial"/>
          <w:sz w:val="20"/>
          <w:szCs w:val="20"/>
        </w:rPr>
        <w:t xml:space="preserve">(1), 31-41. </w:t>
      </w:r>
      <w:hyperlink r:id="rId90" w:history="1">
        <w:r w:rsidRPr="00FE37B0">
          <w:rPr>
            <w:rStyle w:val="Hyperlink"/>
            <w:rFonts w:ascii="Arial" w:hAnsi="Arial" w:cs="Arial"/>
            <w:sz w:val="20"/>
            <w:szCs w:val="20"/>
          </w:rPr>
          <w:t>https://doi.org/10.1007/s41745-019-00141-9</w:t>
        </w:r>
      </w:hyperlink>
    </w:p>
    <w:p w14:paraId="748C1831" w14:textId="77777777" w:rsidR="00FB1E2A" w:rsidRPr="00FB1E2A" w:rsidRDefault="00FB1E2A" w:rsidP="00FB1E2A">
      <w:pPr>
        <w:pStyle w:val="NormalWeb"/>
        <w:numPr>
          <w:ilvl w:val="0"/>
          <w:numId w:val="3"/>
        </w:numPr>
        <w:spacing w:before="0" w:beforeAutospacing="0" w:after="240" w:afterAutospacing="0" w:line="360" w:lineRule="auto"/>
        <w:jc w:val="both"/>
        <w:rPr>
          <w:rFonts w:ascii="Arial" w:eastAsiaTheme="majorEastAsia" w:hAnsi="Arial" w:cs="Arial"/>
          <w:sz w:val="20"/>
          <w:szCs w:val="20"/>
          <w:u w:val="single"/>
        </w:rPr>
      </w:pPr>
      <w:r w:rsidRPr="00FB1E2A">
        <w:rPr>
          <w:rFonts w:ascii="Arial" w:eastAsiaTheme="majorEastAsia" w:hAnsi="Arial" w:cs="Arial"/>
          <w:sz w:val="20"/>
          <w:szCs w:val="20"/>
        </w:rPr>
        <w:t xml:space="preserve">Atanda, O. E., </w:t>
      </w:r>
      <w:proofErr w:type="spellStart"/>
      <w:r w:rsidRPr="00FB1E2A">
        <w:rPr>
          <w:rFonts w:ascii="Arial" w:eastAsiaTheme="majorEastAsia" w:hAnsi="Arial" w:cs="Arial"/>
          <w:sz w:val="20"/>
          <w:szCs w:val="20"/>
        </w:rPr>
        <w:t>Oyewale</w:t>
      </w:r>
      <w:proofErr w:type="spellEnd"/>
      <w:r w:rsidRPr="00FB1E2A">
        <w:rPr>
          <w:rFonts w:ascii="Arial" w:eastAsiaTheme="majorEastAsia" w:hAnsi="Arial" w:cs="Arial"/>
          <w:sz w:val="20"/>
          <w:szCs w:val="20"/>
        </w:rPr>
        <w:t xml:space="preserve">, M. T., Adeyeye, P. O., </w:t>
      </w:r>
      <w:proofErr w:type="spellStart"/>
      <w:r w:rsidRPr="00FB1E2A">
        <w:rPr>
          <w:rFonts w:ascii="Arial" w:eastAsiaTheme="majorEastAsia" w:hAnsi="Arial" w:cs="Arial"/>
          <w:sz w:val="20"/>
          <w:szCs w:val="20"/>
        </w:rPr>
        <w:t>Adesikun</w:t>
      </w:r>
      <w:proofErr w:type="spellEnd"/>
      <w:r w:rsidRPr="00FB1E2A">
        <w:rPr>
          <w:rFonts w:ascii="Arial" w:eastAsiaTheme="majorEastAsia" w:hAnsi="Arial" w:cs="Arial"/>
          <w:sz w:val="20"/>
          <w:szCs w:val="20"/>
        </w:rPr>
        <w:t>, A. A., and Adeyemi, M. A. (2025)</w:t>
      </w:r>
      <w:r w:rsidRPr="00FB1E2A">
        <w:rPr>
          <w:rFonts w:ascii="Arial" w:hAnsi="Arial" w:cs="Arial"/>
          <w:sz w:val="20"/>
          <w:szCs w:val="20"/>
        </w:rPr>
        <w:t xml:space="preserve">. “Integrated virtual screening of NPACT-derived phytochemicals as potential FGFR1 inhibitors for cholangiocarcinoma therapy: Molecular docking, ADMET, MM-GBSA, and molecular dynamics”. Journal of Advances in Biology and Biotechnology 28 (6):1399-1424. </w:t>
      </w:r>
      <w:hyperlink r:id="rId91" w:history="1">
        <w:r w:rsidRPr="00FB1E2A">
          <w:rPr>
            <w:rStyle w:val="Hyperlink"/>
            <w:rFonts w:ascii="Arial" w:hAnsi="Arial" w:cs="Arial"/>
            <w:sz w:val="20"/>
            <w:szCs w:val="20"/>
            <w:lang w:bidi="hi-IN"/>
          </w:rPr>
          <w:t>https://doi.org/10.9734/jabb/2025/v28i62497</w:t>
        </w:r>
      </w:hyperlink>
      <w:r w:rsidRPr="00FB1E2A">
        <w:rPr>
          <w:rFonts w:ascii="Arial" w:hAnsi="Arial" w:cs="Arial"/>
          <w:sz w:val="20"/>
          <w:szCs w:val="20"/>
        </w:rPr>
        <w:t>.</w:t>
      </w:r>
    </w:p>
    <w:p w14:paraId="436F7562" w14:textId="358CC5C6" w:rsidR="00C52C7E" w:rsidRPr="00FB1E2A" w:rsidRDefault="00C52C7E" w:rsidP="00FB1E2A">
      <w:pPr>
        <w:spacing w:before="240" w:line="360" w:lineRule="auto"/>
        <w:jc w:val="both"/>
        <w:rPr>
          <w:rFonts w:ascii="Arial" w:hAnsi="Arial" w:cs="Arial"/>
          <w:sz w:val="20"/>
          <w:szCs w:val="20"/>
        </w:rPr>
      </w:pPr>
    </w:p>
    <w:sectPr w:rsidR="00C52C7E" w:rsidRPr="00FB1E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80B49" w14:textId="77777777" w:rsidR="003B1D4E" w:rsidRDefault="003B1D4E" w:rsidP="00F41114">
      <w:pPr>
        <w:spacing w:after="0" w:line="240" w:lineRule="auto"/>
      </w:pPr>
      <w:r>
        <w:separator/>
      </w:r>
    </w:p>
  </w:endnote>
  <w:endnote w:type="continuationSeparator" w:id="0">
    <w:p w14:paraId="0390F119" w14:textId="77777777" w:rsidR="003B1D4E" w:rsidRDefault="003B1D4E" w:rsidP="00F4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61BE" w14:textId="77777777" w:rsidR="00F41114" w:rsidRDefault="00F4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1E804" w14:textId="77777777" w:rsidR="00F41114" w:rsidRDefault="00F41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8A04D" w14:textId="77777777" w:rsidR="00F41114" w:rsidRDefault="00F4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D1EDF" w14:textId="77777777" w:rsidR="003B1D4E" w:rsidRDefault="003B1D4E" w:rsidP="00F41114">
      <w:pPr>
        <w:spacing w:after="0" w:line="240" w:lineRule="auto"/>
      </w:pPr>
      <w:r>
        <w:separator/>
      </w:r>
    </w:p>
  </w:footnote>
  <w:footnote w:type="continuationSeparator" w:id="0">
    <w:p w14:paraId="3AAD5656" w14:textId="77777777" w:rsidR="003B1D4E" w:rsidRDefault="003B1D4E" w:rsidP="00F4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4AA08" w14:textId="0705E67E" w:rsidR="00F41114" w:rsidRDefault="003B1D4E">
    <w:pPr>
      <w:pStyle w:val="Header"/>
    </w:pPr>
    <w:r>
      <w:rPr>
        <w:noProof/>
      </w:rPr>
      <w:pict w14:anchorId="496A1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8D6E2" w14:textId="1AB4F9AA" w:rsidR="00F41114" w:rsidRDefault="003B1D4E">
    <w:pPr>
      <w:pStyle w:val="Header"/>
    </w:pPr>
    <w:r>
      <w:rPr>
        <w:noProof/>
      </w:rPr>
      <w:pict w14:anchorId="2B955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66A4" w14:textId="280C5C5A" w:rsidR="00F41114" w:rsidRDefault="003B1D4E">
    <w:pPr>
      <w:pStyle w:val="Header"/>
    </w:pPr>
    <w:r>
      <w:rPr>
        <w:noProof/>
      </w:rPr>
      <w:pict w14:anchorId="016F5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EB4987"/>
    <w:multiLevelType w:val="multilevel"/>
    <w:tmpl w:val="FAF88BB4"/>
    <w:lvl w:ilvl="0">
      <w:start w:val="1"/>
      <w:numFmt w:val="bullet"/>
      <w:lvlText w:val=""/>
      <w:lvlJc w:val="left"/>
      <w:pPr>
        <w:tabs>
          <w:tab w:val="num" w:pos="3060"/>
        </w:tabs>
        <w:ind w:left="3060" w:hanging="360"/>
      </w:pPr>
      <w:rPr>
        <w:rFonts w:ascii="Symbol" w:hAnsi="Symbol" w:hint="default"/>
        <w:sz w:val="20"/>
      </w:rPr>
    </w:lvl>
    <w:lvl w:ilvl="1" w:tentative="1">
      <w:start w:val="1"/>
      <w:numFmt w:val="bullet"/>
      <w:lvlText w:val="o"/>
      <w:lvlJc w:val="left"/>
      <w:pPr>
        <w:tabs>
          <w:tab w:val="num" w:pos="3780"/>
        </w:tabs>
        <w:ind w:left="3780" w:hanging="360"/>
      </w:pPr>
      <w:rPr>
        <w:rFonts w:ascii="Courier New" w:hAnsi="Courier New" w:hint="default"/>
        <w:sz w:val="20"/>
      </w:rPr>
    </w:lvl>
    <w:lvl w:ilvl="2" w:tentative="1">
      <w:start w:val="1"/>
      <w:numFmt w:val="bullet"/>
      <w:lvlText w:val=""/>
      <w:lvlJc w:val="left"/>
      <w:pPr>
        <w:tabs>
          <w:tab w:val="num" w:pos="4500"/>
        </w:tabs>
        <w:ind w:left="4500" w:hanging="360"/>
      </w:pPr>
      <w:rPr>
        <w:rFonts w:ascii="Wingdings" w:hAnsi="Wingdings" w:hint="default"/>
        <w:sz w:val="20"/>
      </w:rPr>
    </w:lvl>
    <w:lvl w:ilvl="3" w:tentative="1">
      <w:start w:val="1"/>
      <w:numFmt w:val="bullet"/>
      <w:lvlText w:val=""/>
      <w:lvlJc w:val="left"/>
      <w:pPr>
        <w:tabs>
          <w:tab w:val="num" w:pos="5220"/>
        </w:tabs>
        <w:ind w:left="5220" w:hanging="360"/>
      </w:pPr>
      <w:rPr>
        <w:rFonts w:ascii="Wingdings" w:hAnsi="Wingdings" w:hint="default"/>
        <w:sz w:val="20"/>
      </w:rPr>
    </w:lvl>
    <w:lvl w:ilvl="4" w:tentative="1">
      <w:start w:val="1"/>
      <w:numFmt w:val="bullet"/>
      <w:lvlText w:val=""/>
      <w:lvlJc w:val="left"/>
      <w:pPr>
        <w:tabs>
          <w:tab w:val="num" w:pos="5940"/>
        </w:tabs>
        <w:ind w:left="5940" w:hanging="360"/>
      </w:pPr>
      <w:rPr>
        <w:rFonts w:ascii="Wingdings" w:hAnsi="Wingdings" w:hint="default"/>
        <w:sz w:val="20"/>
      </w:rPr>
    </w:lvl>
    <w:lvl w:ilvl="5" w:tentative="1">
      <w:start w:val="1"/>
      <w:numFmt w:val="bullet"/>
      <w:lvlText w:val=""/>
      <w:lvlJc w:val="left"/>
      <w:pPr>
        <w:tabs>
          <w:tab w:val="num" w:pos="6660"/>
        </w:tabs>
        <w:ind w:left="6660" w:hanging="360"/>
      </w:pPr>
      <w:rPr>
        <w:rFonts w:ascii="Wingdings" w:hAnsi="Wingdings" w:hint="default"/>
        <w:sz w:val="20"/>
      </w:rPr>
    </w:lvl>
    <w:lvl w:ilvl="6" w:tentative="1">
      <w:start w:val="1"/>
      <w:numFmt w:val="bullet"/>
      <w:lvlText w:val=""/>
      <w:lvlJc w:val="left"/>
      <w:pPr>
        <w:tabs>
          <w:tab w:val="num" w:pos="7380"/>
        </w:tabs>
        <w:ind w:left="7380" w:hanging="360"/>
      </w:pPr>
      <w:rPr>
        <w:rFonts w:ascii="Wingdings" w:hAnsi="Wingdings" w:hint="default"/>
        <w:sz w:val="20"/>
      </w:rPr>
    </w:lvl>
    <w:lvl w:ilvl="7" w:tentative="1">
      <w:start w:val="1"/>
      <w:numFmt w:val="bullet"/>
      <w:lvlText w:val=""/>
      <w:lvlJc w:val="left"/>
      <w:pPr>
        <w:tabs>
          <w:tab w:val="num" w:pos="8100"/>
        </w:tabs>
        <w:ind w:left="8100" w:hanging="360"/>
      </w:pPr>
      <w:rPr>
        <w:rFonts w:ascii="Wingdings" w:hAnsi="Wingdings" w:hint="default"/>
        <w:sz w:val="20"/>
      </w:rPr>
    </w:lvl>
    <w:lvl w:ilvl="8" w:tentative="1">
      <w:start w:val="1"/>
      <w:numFmt w:val="bullet"/>
      <w:lvlText w:val=""/>
      <w:lvlJc w:val="left"/>
      <w:pPr>
        <w:tabs>
          <w:tab w:val="num" w:pos="8820"/>
        </w:tabs>
        <w:ind w:left="8820" w:hanging="360"/>
      </w:pPr>
      <w:rPr>
        <w:rFonts w:ascii="Wingdings" w:hAnsi="Wingdings" w:hint="default"/>
        <w:sz w:val="20"/>
      </w:rPr>
    </w:lvl>
  </w:abstractNum>
  <w:abstractNum w:abstractNumId="2" w15:restartNumberingAfterBreak="0">
    <w:nsid w:val="3BA43784"/>
    <w:multiLevelType w:val="multilevel"/>
    <w:tmpl w:val="F62A49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641686E"/>
    <w:multiLevelType w:val="multilevel"/>
    <w:tmpl w:val="464168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932CB7"/>
    <w:multiLevelType w:val="hybridMultilevel"/>
    <w:tmpl w:val="7B90E50A"/>
    <w:lvl w:ilvl="0" w:tplc="5D760E4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cytDA3MzCxMDM3MjNW0lEKTi0uzszPAykwrAUA3HB3xywAAAA="/>
  </w:docVars>
  <w:rsids>
    <w:rsidRoot w:val="005F0F0B"/>
    <w:rsid w:val="000016BB"/>
    <w:rsid w:val="00004B75"/>
    <w:rsid w:val="00007256"/>
    <w:rsid w:val="00034A24"/>
    <w:rsid w:val="0003531E"/>
    <w:rsid w:val="00045A9C"/>
    <w:rsid w:val="00053E65"/>
    <w:rsid w:val="00054AE1"/>
    <w:rsid w:val="00060035"/>
    <w:rsid w:val="00063E23"/>
    <w:rsid w:val="00064C58"/>
    <w:rsid w:val="0008307B"/>
    <w:rsid w:val="00086224"/>
    <w:rsid w:val="0009339B"/>
    <w:rsid w:val="00093BD2"/>
    <w:rsid w:val="000949CD"/>
    <w:rsid w:val="00095879"/>
    <w:rsid w:val="000A0A96"/>
    <w:rsid w:val="000A33B1"/>
    <w:rsid w:val="000A4D36"/>
    <w:rsid w:val="000C5DB6"/>
    <w:rsid w:val="000D36CD"/>
    <w:rsid w:val="000D414C"/>
    <w:rsid w:val="000E15F0"/>
    <w:rsid w:val="000E2154"/>
    <w:rsid w:val="000E7C23"/>
    <w:rsid w:val="000E7FE5"/>
    <w:rsid w:val="000F0997"/>
    <w:rsid w:val="000F1B27"/>
    <w:rsid w:val="00105A1D"/>
    <w:rsid w:val="00112CB1"/>
    <w:rsid w:val="00120A78"/>
    <w:rsid w:val="00125573"/>
    <w:rsid w:val="00126190"/>
    <w:rsid w:val="001266A0"/>
    <w:rsid w:val="00135572"/>
    <w:rsid w:val="001407AD"/>
    <w:rsid w:val="00140D83"/>
    <w:rsid w:val="00146AC0"/>
    <w:rsid w:val="001502DD"/>
    <w:rsid w:val="00154B12"/>
    <w:rsid w:val="00163509"/>
    <w:rsid w:val="0016383B"/>
    <w:rsid w:val="0016785E"/>
    <w:rsid w:val="00167A1F"/>
    <w:rsid w:val="00171ADE"/>
    <w:rsid w:val="00174C9B"/>
    <w:rsid w:val="00176B93"/>
    <w:rsid w:val="001822B7"/>
    <w:rsid w:val="0018513B"/>
    <w:rsid w:val="0019416F"/>
    <w:rsid w:val="001A08CB"/>
    <w:rsid w:val="001A77FC"/>
    <w:rsid w:val="001B7F71"/>
    <w:rsid w:val="001C750F"/>
    <w:rsid w:val="001D2849"/>
    <w:rsid w:val="001D4D1A"/>
    <w:rsid w:val="001E0D44"/>
    <w:rsid w:val="001E38BA"/>
    <w:rsid w:val="001F44F2"/>
    <w:rsid w:val="001F5476"/>
    <w:rsid w:val="001F6D89"/>
    <w:rsid w:val="002067D7"/>
    <w:rsid w:val="00211DE4"/>
    <w:rsid w:val="00220EC7"/>
    <w:rsid w:val="0022382F"/>
    <w:rsid w:val="00224F3E"/>
    <w:rsid w:val="00230B52"/>
    <w:rsid w:val="00232DAD"/>
    <w:rsid w:val="0023375C"/>
    <w:rsid w:val="002341AF"/>
    <w:rsid w:val="00234F8D"/>
    <w:rsid w:val="00235112"/>
    <w:rsid w:val="002418B5"/>
    <w:rsid w:val="002421E2"/>
    <w:rsid w:val="002504E6"/>
    <w:rsid w:val="0025123D"/>
    <w:rsid w:val="002531A0"/>
    <w:rsid w:val="00254121"/>
    <w:rsid w:val="00263B93"/>
    <w:rsid w:val="00267A7F"/>
    <w:rsid w:val="00282BB0"/>
    <w:rsid w:val="00284CAE"/>
    <w:rsid w:val="00293D66"/>
    <w:rsid w:val="00295315"/>
    <w:rsid w:val="00297656"/>
    <w:rsid w:val="002A201E"/>
    <w:rsid w:val="002A78F5"/>
    <w:rsid w:val="002C5DFF"/>
    <w:rsid w:val="002C737D"/>
    <w:rsid w:val="002D5F07"/>
    <w:rsid w:val="002D7A66"/>
    <w:rsid w:val="002E795D"/>
    <w:rsid w:val="002F00C2"/>
    <w:rsid w:val="002F1851"/>
    <w:rsid w:val="002F2294"/>
    <w:rsid w:val="002F6E73"/>
    <w:rsid w:val="00321AA6"/>
    <w:rsid w:val="00322064"/>
    <w:rsid w:val="00326898"/>
    <w:rsid w:val="003340DB"/>
    <w:rsid w:val="003409EF"/>
    <w:rsid w:val="00341656"/>
    <w:rsid w:val="00341863"/>
    <w:rsid w:val="00352660"/>
    <w:rsid w:val="00357CB4"/>
    <w:rsid w:val="003631BC"/>
    <w:rsid w:val="00366B23"/>
    <w:rsid w:val="00371031"/>
    <w:rsid w:val="00372A74"/>
    <w:rsid w:val="00376F12"/>
    <w:rsid w:val="003776E9"/>
    <w:rsid w:val="00382402"/>
    <w:rsid w:val="00383D2D"/>
    <w:rsid w:val="003844EB"/>
    <w:rsid w:val="003867A3"/>
    <w:rsid w:val="00386E43"/>
    <w:rsid w:val="00387336"/>
    <w:rsid w:val="00392896"/>
    <w:rsid w:val="003A195A"/>
    <w:rsid w:val="003A1AEA"/>
    <w:rsid w:val="003A4318"/>
    <w:rsid w:val="003A5C51"/>
    <w:rsid w:val="003A6B3E"/>
    <w:rsid w:val="003B1D4E"/>
    <w:rsid w:val="003E1E71"/>
    <w:rsid w:val="003E1F94"/>
    <w:rsid w:val="003E202B"/>
    <w:rsid w:val="003E3E86"/>
    <w:rsid w:val="003F32CA"/>
    <w:rsid w:val="003F598A"/>
    <w:rsid w:val="003F7A84"/>
    <w:rsid w:val="00400177"/>
    <w:rsid w:val="00400A0A"/>
    <w:rsid w:val="004019CF"/>
    <w:rsid w:val="00404188"/>
    <w:rsid w:val="00407267"/>
    <w:rsid w:val="00415737"/>
    <w:rsid w:val="004171AE"/>
    <w:rsid w:val="00421C05"/>
    <w:rsid w:val="00432C1C"/>
    <w:rsid w:val="00435918"/>
    <w:rsid w:val="00441C65"/>
    <w:rsid w:val="00443CBA"/>
    <w:rsid w:val="00451755"/>
    <w:rsid w:val="0045274C"/>
    <w:rsid w:val="004622A9"/>
    <w:rsid w:val="004656A0"/>
    <w:rsid w:val="004678C4"/>
    <w:rsid w:val="00470AC5"/>
    <w:rsid w:val="00476861"/>
    <w:rsid w:val="00477434"/>
    <w:rsid w:val="004800BB"/>
    <w:rsid w:val="00484532"/>
    <w:rsid w:val="00485A29"/>
    <w:rsid w:val="004B1CF2"/>
    <w:rsid w:val="004B4158"/>
    <w:rsid w:val="004C2F4A"/>
    <w:rsid w:val="004C7DE3"/>
    <w:rsid w:val="004D3DCE"/>
    <w:rsid w:val="004D42F7"/>
    <w:rsid w:val="004D6503"/>
    <w:rsid w:val="004D7589"/>
    <w:rsid w:val="004E3BF2"/>
    <w:rsid w:val="004F44E2"/>
    <w:rsid w:val="0050213C"/>
    <w:rsid w:val="00505A88"/>
    <w:rsid w:val="0052674A"/>
    <w:rsid w:val="005274E0"/>
    <w:rsid w:val="00527BA6"/>
    <w:rsid w:val="00527E16"/>
    <w:rsid w:val="00532AD0"/>
    <w:rsid w:val="00540A82"/>
    <w:rsid w:val="00553EA7"/>
    <w:rsid w:val="00560A3A"/>
    <w:rsid w:val="00564111"/>
    <w:rsid w:val="00574364"/>
    <w:rsid w:val="00575743"/>
    <w:rsid w:val="00584205"/>
    <w:rsid w:val="005862C2"/>
    <w:rsid w:val="00586DAD"/>
    <w:rsid w:val="00590F5B"/>
    <w:rsid w:val="00597AB9"/>
    <w:rsid w:val="005A1488"/>
    <w:rsid w:val="005A6603"/>
    <w:rsid w:val="005B0764"/>
    <w:rsid w:val="005B5D64"/>
    <w:rsid w:val="005C1502"/>
    <w:rsid w:val="005C1593"/>
    <w:rsid w:val="005C23EE"/>
    <w:rsid w:val="005C2BDD"/>
    <w:rsid w:val="005C7277"/>
    <w:rsid w:val="005D045C"/>
    <w:rsid w:val="005F0F0B"/>
    <w:rsid w:val="005F12A7"/>
    <w:rsid w:val="005F1434"/>
    <w:rsid w:val="006020AB"/>
    <w:rsid w:val="00614E77"/>
    <w:rsid w:val="006253E7"/>
    <w:rsid w:val="00630B0C"/>
    <w:rsid w:val="006404F2"/>
    <w:rsid w:val="006414E6"/>
    <w:rsid w:val="00656CD0"/>
    <w:rsid w:val="00671A66"/>
    <w:rsid w:val="00676F26"/>
    <w:rsid w:val="0068778D"/>
    <w:rsid w:val="006A7633"/>
    <w:rsid w:val="006A7739"/>
    <w:rsid w:val="006B6AF9"/>
    <w:rsid w:val="006D29CE"/>
    <w:rsid w:val="006D53C3"/>
    <w:rsid w:val="006F6B10"/>
    <w:rsid w:val="006F7B23"/>
    <w:rsid w:val="0070394E"/>
    <w:rsid w:val="0071073A"/>
    <w:rsid w:val="0075094B"/>
    <w:rsid w:val="00754094"/>
    <w:rsid w:val="0075748E"/>
    <w:rsid w:val="00760C98"/>
    <w:rsid w:val="007629CE"/>
    <w:rsid w:val="00765CE7"/>
    <w:rsid w:val="0078138B"/>
    <w:rsid w:val="007814E6"/>
    <w:rsid w:val="00783A44"/>
    <w:rsid w:val="00792793"/>
    <w:rsid w:val="00794A70"/>
    <w:rsid w:val="007A48F3"/>
    <w:rsid w:val="007A7466"/>
    <w:rsid w:val="007B36CD"/>
    <w:rsid w:val="007B71A3"/>
    <w:rsid w:val="007C7E19"/>
    <w:rsid w:val="007D14C6"/>
    <w:rsid w:val="007D282F"/>
    <w:rsid w:val="007D3E60"/>
    <w:rsid w:val="007D723F"/>
    <w:rsid w:val="007E3DB3"/>
    <w:rsid w:val="007F531B"/>
    <w:rsid w:val="007F53AF"/>
    <w:rsid w:val="00802208"/>
    <w:rsid w:val="00802EB4"/>
    <w:rsid w:val="00802FB1"/>
    <w:rsid w:val="00806597"/>
    <w:rsid w:val="00814405"/>
    <w:rsid w:val="008151C2"/>
    <w:rsid w:val="00815F41"/>
    <w:rsid w:val="008175D4"/>
    <w:rsid w:val="00822A51"/>
    <w:rsid w:val="008233EE"/>
    <w:rsid w:val="00823731"/>
    <w:rsid w:val="008250E2"/>
    <w:rsid w:val="00826019"/>
    <w:rsid w:val="00827264"/>
    <w:rsid w:val="00831B53"/>
    <w:rsid w:val="008522B8"/>
    <w:rsid w:val="008526B7"/>
    <w:rsid w:val="00866DC6"/>
    <w:rsid w:val="00875A30"/>
    <w:rsid w:val="00886FDC"/>
    <w:rsid w:val="00887249"/>
    <w:rsid w:val="008928A5"/>
    <w:rsid w:val="00892BFA"/>
    <w:rsid w:val="00893E47"/>
    <w:rsid w:val="008A48FD"/>
    <w:rsid w:val="008B1A62"/>
    <w:rsid w:val="008B2FE1"/>
    <w:rsid w:val="008B3C43"/>
    <w:rsid w:val="008B5CA9"/>
    <w:rsid w:val="008C36A9"/>
    <w:rsid w:val="008C3A93"/>
    <w:rsid w:val="008C3B56"/>
    <w:rsid w:val="008C74CF"/>
    <w:rsid w:val="008D0E5F"/>
    <w:rsid w:val="008E05CD"/>
    <w:rsid w:val="008E3B60"/>
    <w:rsid w:val="008F1864"/>
    <w:rsid w:val="008F1F2B"/>
    <w:rsid w:val="008F58B5"/>
    <w:rsid w:val="00901273"/>
    <w:rsid w:val="00903660"/>
    <w:rsid w:val="00910959"/>
    <w:rsid w:val="0091111F"/>
    <w:rsid w:val="00913956"/>
    <w:rsid w:val="009227E2"/>
    <w:rsid w:val="00925599"/>
    <w:rsid w:val="009312F7"/>
    <w:rsid w:val="0093131A"/>
    <w:rsid w:val="00956FEA"/>
    <w:rsid w:val="00973159"/>
    <w:rsid w:val="00973D12"/>
    <w:rsid w:val="00976806"/>
    <w:rsid w:val="009835AA"/>
    <w:rsid w:val="009867DC"/>
    <w:rsid w:val="0099630C"/>
    <w:rsid w:val="0099634A"/>
    <w:rsid w:val="009A3787"/>
    <w:rsid w:val="009B1CA1"/>
    <w:rsid w:val="009C0A09"/>
    <w:rsid w:val="009C7AC0"/>
    <w:rsid w:val="009D1B5B"/>
    <w:rsid w:val="009D41B9"/>
    <w:rsid w:val="009D76E2"/>
    <w:rsid w:val="009E3E2F"/>
    <w:rsid w:val="009F5CAB"/>
    <w:rsid w:val="00A11C38"/>
    <w:rsid w:val="00A11FE5"/>
    <w:rsid w:val="00A15240"/>
    <w:rsid w:val="00A20E5F"/>
    <w:rsid w:val="00A21B2E"/>
    <w:rsid w:val="00A3098F"/>
    <w:rsid w:val="00A3426A"/>
    <w:rsid w:val="00A36CD8"/>
    <w:rsid w:val="00A37D79"/>
    <w:rsid w:val="00A438D9"/>
    <w:rsid w:val="00A52149"/>
    <w:rsid w:val="00A56630"/>
    <w:rsid w:val="00A64AB4"/>
    <w:rsid w:val="00A669C7"/>
    <w:rsid w:val="00A71372"/>
    <w:rsid w:val="00A75439"/>
    <w:rsid w:val="00A76EA9"/>
    <w:rsid w:val="00A81B4B"/>
    <w:rsid w:val="00A917B9"/>
    <w:rsid w:val="00A94A10"/>
    <w:rsid w:val="00A95A3A"/>
    <w:rsid w:val="00A97BE8"/>
    <w:rsid w:val="00AA2E74"/>
    <w:rsid w:val="00AA35DC"/>
    <w:rsid w:val="00AA5CE3"/>
    <w:rsid w:val="00AA7802"/>
    <w:rsid w:val="00AB04AD"/>
    <w:rsid w:val="00AB27C1"/>
    <w:rsid w:val="00AB3F4C"/>
    <w:rsid w:val="00AB6F3E"/>
    <w:rsid w:val="00AB78D9"/>
    <w:rsid w:val="00AC3BB5"/>
    <w:rsid w:val="00AE3720"/>
    <w:rsid w:val="00AE424C"/>
    <w:rsid w:val="00AE4682"/>
    <w:rsid w:val="00B10561"/>
    <w:rsid w:val="00B16698"/>
    <w:rsid w:val="00B20F74"/>
    <w:rsid w:val="00B35496"/>
    <w:rsid w:val="00B371F5"/>
    <w:rsid w:val="00B535AC"/>
    <w:rsid w:val="00B53CBF"/>
    <w:rsid w:val="00B55EA7"/>
    <w:rsid w:val="00B560E7"/>
    <w:rsid w:val="00B560F9"/>
    <w:rsid w:val="00B577FE"/>
    <w:rsid w:val="00B61DE9"/>
    <w:rsid w:val="00B710E2"/>
    <w:rsid w:val="00B713E5"/>
    <w:rsid w:val="00B75DE9"/>
    <w:rsid w:val="00B75EA3"/>
    <w:rsid w:val="00B833B3"/>
    <w:rsid w:val="00B91D76"/>
    <w:rsid w:val="00B97AC1"/>
    <w:rsid w:val="00BA4B79"/>
    <w:rsid w:val="00BA6BB9"/>
    <w:rsid w:val="00BB0308"/>
    <w:rsid w:val="00BB3499"/>
    <w:rsid w:val="00BC16FA"/>
    <w:rsid w:val="00BD377E"/>
    <w:rsid w:val="00BD649F"/>
    <w:rsid w:val="00BE097C"/>
    <w:rsid w:val="00BE2C53"/>
    <w:rsid w:val="00BE579A"/>
    <w:rsid w:val="00BF017A"/>
    <w:rsid w:val="00BF19E6"/>
    <w:rsid w:val="00BF2101"/>
    <w:rsid w:val="00BF3CC1"/>
    <w:rsid w:val="00BF682A"/>
    <w:rsid w:val="00C10A42"/>
    <w:rsid w:val="00C11A97"/>
    <w:rsid w:val="00C14EC8"/>
    <w:rsid w:val="00C270C5"/>
    <w:rsid w:val="00C349FC"/>
    <w:rsid w:val="00C35ACB"/>
    <w:rsid w:val="00C40671"/>
    <w:rsid w:val="00C4336F"/>
    <w:rsid w:val="00C46A1C"/>
    <w:rsid w:val="00C50FFC"/>
    <w:rsid w:val="00C51105"/>
    <w:rsid w:val="00C52C7E"/>
    <w:rsid w:val="00C61CA3"/>
    <w:rsid w:val="00C62610"/>
    <w:rsid w:val="00C64A5D"/>
    <w:rsid w:val="00C708B0"/>
    <w:rsid w:val="00C735B9"/>
    <w:rsid w:val="00C766DB"/>
    <w:rsid w:val="00C76AFE"/>
    <w:rsid w:val="00C773CD"/>
    <w:rsid w:val="00C85D5C"/>
    <w:rsid w:val="00CA3667"/>
    <w:rsid w:val="00CB5D8C"/>
    <w:rsid w:val="00CC0192"/>
    <w:rsid w:val="00CC217F"/>
    <w:rsid w:val="00CC2476"/>
    <w:rsid w:val="00CC73CC"/>
    <w:rsid w:val="00CD37A5"/>
    <w:rsid w:val="00CD3ADC"/>
    <w:rsid w:val="00CD62DA"/>
    <w:rsid w:val="00CE360C"/>
    <w:rsid w:val="00CE4E65"/>
    <w:rsid w:val="00CE6BE9"/>
    <w:rsid w:val="00CE7C2A"/>
    <w:rsid w:val="00D05FAB"/>
    <w:rsid w:val="00D10E13"/>
    <w:rsid w:val="00D17864"/>
    <w:rsid w:val="00D22770"/>
    <w:rsid w:val="00D25ED1"/>
    <w:rsid w:val="00D35F4B"/>
    <w:rsid w:val="00D460E8"/>
    <w:rsid w:val="00D63F8A"/>
    <w:rsid w:val="00D76FCE"/>
    <w:rsid w:val="00D950CB"/>
    <w:rsid w:val="00D951E3"/>
    <w:rsid w:val="00DB17A8"/>
    <w:rsid w:val="00DC23AC"/>
    <w:rsid w:val="00DC53A5"/>
    <w:rsid w:val="00DC7CED"/>
    <w:rsid w:val="00DE0AF6"/>
    <w:rsid w:val="00DE1787"/>
    <w:rsid w:val="00DF5355"/>
    <w:rsid w:val="00E00B3E"/>
    <w:rsid w:val="00E026FF"/>
    <w:rsid w:val="00E031D4"/>
    <w:rsid w:val="00E060C2"/>
    <w:rsid w:val="00E07135"/>
    <w:rsid w:val="00E10221"/>
    <w:rsid w:val="00E14A8B"/>
    <w:rsid w:val="00E229E2"/>
    <w:rsid w:val="00E25980"/>
    <w:rsid w:val="00E308CB"/>
    <w:rsid w:val="00E35684"/>
    <w:rsid w:val="00E43EFE"/>
    <w:rsid w:val="00E46B8B"/>
    <w:rsid w:val="00E46E44"/>
    <w:rsid w:val="00E51151"/>
    <w:rsid w:val="00E51C9C"/>
    <w:rsid w:val="00E5510F"/>
    <w:rsid w:val="00E6229C"/>
    <w:rsid w:val="00E627DD"/>
    <w:rsid w:val="00E71348"/>
    <w:rsid w:val="00E72F93"/>
    <w:rsid w:val="00E829E0"/>
    <w:rsid w:val="00E90FB9"/>
    <w:rsid w:val="00E92FF0"/>
    <w:rsid w:val="00E933AD"/>
    <w:rsid w:val="00E9409C"/>
    <w:rsid w:val="00EA03C3"/>
    <w:rsid w:val="00EA77C3"/>
    <w:rsid w:val="00EB239F"/>
    <w:rsid w:val="00EB3E5E"/>
    <w:rsid w:val="00EB45B2"/>
    <w:rsid w:val="00EC2872"/>
    <w:rsid w:val="00EC3549"/>
    <w:rsid w:val="00EC5378"/>
    <w:rsid w:val="00EC6C10"/>
    <w:rsid w:val="00ED03D5"/>
    <w:rsid w:val="00ED3B65"/>
    <w:rsid w:val="00ED624A"/>
    <w:rsid w:val="00EE33EA"/>
    <w:rsid w:val="00EF0626"/>
    <w:rsid w:val="00EF2565"/>
    <w:rsid w:val="00EF35B8"/>
    <w:rsid w:val="00EF4B72"/>
    <w:rsid w:val="00F07118"/>
    <w:rsid w:val="00F114AF"/>
    <w:rsid w:val="00F11C28"/>
    <w:rsid w:val="00F12031"/>
    <w:rsid w:val="00F15590"/>
    <w:rsid w:val="00F15BDC"/>
    <w:rsid w:val="00F20CE6"/>
    <w:rsid w:val="00F2237C"/>
    <w:rsid w:val="00F35933"/>
    <w:rsid w:val="00F3620E"/>
    <w:rsid w:val="00F37F94"/>
    <w:rsid w:val="00F41114"/>
    <w:rsid w:val="00F5497F"/>
    <w:rsid w:val="00F63166"/>
    <w:rsid w:val="00F67215"/>
    <w:rsid w:val="00F714C0"/>
    <w:rsid w:val="00F72C71"/>
    <w:rsid w:val="00F74115"/>
    <w:rsid w:val="00F74E43"/>
    <w:rsid w:val="00F77C0F"/>
    <w:rsid w:val="00F90D67"/>
    <w:rsid w:val="00F9371A"/>
    <w:rsid w:val="00F96A9C"/>
    <w:rsid w:val="00F96BBA"/>
    <w:rsid w:val="00FA6A85"/>
    <w:rsid w:val="00FA6F34"/>
    <w:rsid w:val="00FB1E2A"/>
    <w:rsid w:val="00FB2F44"/>
    <w:rsid w:val="00FC0382"/>
    <w:rsid w:val="00FC13DC"/>
    <w:rsid w:val="00FC2275"/>
    <w:rsid w:val="00FC3341"/>
    <w:rsid w:val="00FC4DC8"/>
    <w:rsid w:val="00FE37B0"/>
    <w:rsid w:val="00FE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CB8275"/>
  <w15:chartTrackingRefBased/>
  <w15:docId w15:val="{F4C115F5-F8C3-43A2-B577-30E7EB2D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F0B"/>
    <w:rPr>
      <w:color w:val="0000FF"/>
      <w:u w:val="single"/>
    </w:rPr>
  </w:style>
  <w:style w:type="paragraph" w:styleId="NormalWeb">
    <w:name w:val="Normal (Web)"/>
    <w:basedOn w:val="Normal"/>
    <w:uiPriority w:val="99"/>
    <w:unhideWhenUsed/>
    <w:rsid w:val="005F0F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5F0F0B"/>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BodyText"/>
    <w:link w:val="bodyChar"/>
    <w:autoRedefine/>
    <w:qFormat/>
    <w:rsid w:val="00034A24"/>
    <w:pPr>
      <w:suppressAutoHyphens/>
      <w:spacing w:after="160" w:line="480" w:lineRule="auto"/>
      <w:jc w:val="both"/>
    </w:pPr>
    <w:rPr>
      <w:rFonts w:ascii="Times New Roman" w:eastAsia="Noto Serif CJK SC" w:hAnsi="Times New Roman" w:cs="Times New Roman"/>
      <w:bCs/>
      <w:sz w:val="24"/>
      <w:szCs w:val="24"/>
      <w:lang w:eastAsia="zh-CN" w:bidi="hi-IN"/>
      <w14:ligatures w14:val="none"/>
    </w:rPr>
  </w:style>
  <w:style w:type="character" w:customStyle="1" w:styleId="bodyChar">
    <w:name w:val="body Char"/>
    <w:basedOn w:val="BodyTextChar"/>
    <w:link w:val="body"/>
    <w:rsid w:val="00034A24"/>
    <w:rPr>
      <w:rFonts w:ascii="Times New Roman" w:eastAsia="Noto Serif CJK SC" w:hAnsi="Times New Roman" w:cs="Times New Roman"/>
      <w:bCs/>
      <w:sz w:val="24"/>
      <w:szCs w:val="24"/>
      <w:lang w:eastAsia="zh-CN" w:bidi="hi-IN"/>
      <w14:ligatures w14:val="none"/>
    </w:rPr>
  </w:style>
  <w:style w:type="paragraph" w:styleId="BodyText">
    <w:name w:val="Body Text"/>
    <w:basedOn w:val="Normal"/>
    <w:link w:val="BodyTextChar"/>
    <w:uiPriority w:val="99"/>
    <w:semiHidden/>
    <w:unhideWhenUsed/>
    <w:rsid w:val="00034A24"/>
    <w:pPr>
      <w:spacing w:after="120"/>
    </w:pPr>
  </w:style>
  <w:style w:type="character" w:customStyle="1" w:styleId="BodyTextChar">
    <w:name w:val="Body Text Char"/>
    <w:basedOn w:val="DefaultParagraphFont"/>
    <w:link w:val="BodyText"/>
    <w:uiPriority w:val="99"/>
    <w:semiHidden/>
    <w:rsid w:val="00034A24"/>
  </w:style>
  <w:style w:type="table" w:styleId="TableGridLight">
    <w:name w:val="Grid Table Light"/>
    <w:basedOn w:val="TableNormal"/>
    <w:uiPriority w:val="40"/>
    <w:rsid w:val="00AC3B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autoRedefine/>
    <w:uiPriority w:val="35"/>
    <w:unhideWhenUsed/>
    <w:qFormat/>
    <w:rsid w:val="00794A70"/>
    <w:pPr>
      <w:spacing w:line="480" w:lineRule="auto"/>
      <w:ind w:hanging="270"/>
    </w:pPr>
    <w:rPr>
      <w:rFonts w:ascii="Times New Roman" w:hAnsi="Times New Roman"/>
      <w:iCs/>
      <w:sz w:val="24"/>
      <w:szCs w:val="18"/>
      <w14:ligatures w14:val="none"/>
    </w:rPr>
  </w:style>
  <w:style w:type="table" w:customStyle="1" w:styleId="TableGridLight1">
    <w:name w:val="Table Grid Light1"/>
    <w:basedOn w:val="TableNormal"/>
    <w:uiPriority w:val="40"/>
    <w:rsid w:val="00C773CD"/>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15F41"/>
    <w:pPr>
      <w:ind w:left="720"/>
      <w:contextualSpacing/>
    </w:pPr>
    <w:rPr>
      <w14:ligatures w14:val="none"/>
    </w:rPr>
  </w:style>
  <w:style w:type="character" w:customStyle="1" w:styleId="UnresolvedMention">
    <w:name w:val="Unresolved Mention"/>
    <w:basedOn w:val="DefaultParagraphFont"/>
    <w:uiPriority w:val="99"/>
    <w:semiHidden/>
    <w:unhideWhenUsed/>
    <w:rsid w:val="00893E47"/>
    <w:rPr>
      <w:color w:val="605E5C"/>
      <w:shd w:val="clear" w:color="auto" w:fill="E1DFDD"/>
    </w:rPr>
  </w:style>
  <w:style w:type="paragraph" w:styleId="Header">
    <w:name w:val="header"/>
    <w:basedOn w:val="Normal"/>
    <w:link w:val="HeaderChar"/>
    <w:uiPriority w:val="99"/>
    <w:unhideWhenUsed/>
    <w:rsid w:val="00F4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14"/>
  </w:style>
  <w:style w:type="paragraph" w:styleId="Footer">
    <w:name w:val="footer"/>
    <w:basedOn w:val="Normal"/>
    <w:link w:val="FooterChar"/>
    <w:uiPriority w:val="99"/>
    <w:unhideWhenUsed/>
    <w:rsid w:val="00F4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974">
      <w:bodyDiv w:val="1"/>
      <w:marLeft w:val="0"/>
      <w:marRight w:val="0"/>
      <w:marTop w:val="0"/>
      <w:marBottom w:val="0"/>
      <w:divBdr>
        <w:top w:val="none" w:sz="0" w:space="0" w:color="auto"/>
        <w:left w:val="none" w:sz="0" w:space="0" w:color="auto"/>
        <w:bottom w:val="none" w:sz="0" w:space="0" w:color="auto"/>
        <w:right w:val="none" w:sz="0" w:space="0" w:color="auto"/>
      </w:divBdr>
    </w:div>
    <w:div w:id="17245738">
      <w:bodyDiv w:val="1"/>
      <w:marLeft w:val="0"/>
      <w:marRight w:val="0"/>
      <w:marTop w:val="0"/>
      <w:marBottom w:val="0"/>
      <w:divBdr>
        <w:top w:val="none" w:sz="0" w:space="0" w:color="auto"/>
        <w:left w:val="none" w:sz="0" w:space="0" w:color="auto"/>
        <w:bottom w:val="none" w:sz="0" w:space="0" w:color="auto"/>
        <w:right w:val="none" w:sz="0" w:space="0" w:color="auto"/>
      </w:divBdr>
    </w:div>
    <w:div w:id="25297948">
      <w:bodyDiv w:val="1"/>
      <w:marLeft w:val="0"/>
      <w:marRight w:val="0"/>
      <w:marTop w:val="0"/>
      <w:marBottom w:val="0"/>
      <w:divBdr>
        <w:top w:val="none" w:sz="0" w:space="0" w:color="auto"/>
        <w:left w:val="none" w:sz="0" w:space="0" w:color="auto"/>
        <w:bottom w:val="none" w:sz="0" w:space="0" w:color="auto"/>
        <w:right w:val="none" w:sz="0" w:space="0" w:color="auto"/>
      </w:divBdr>
    </w:div>
    <w:div w:id="60490600">
      <w:bodyDiv w:val="1"/>
      <w:marLeft w:val="0"/>
      <w:marRight w:val="0"/>
      <w:marTop w:val="0"/>
      <w:marBottom w:val="0"/>
      <w:divBdr>
        <w:top w:val="none" w:sz="0" w:space="0" w:color="auto"/>
        <w:left w:val="none" w:sz="0" w:space="0" w:color="auto"/>
        <w:bottom w:val="none" w:sz="0" w:space="0" w:color="auto"/>
        <w:right w:val="none" w:sz="0" w:space="0" w:color="auto"/>
      </w:divBdr>
    </w:div>
    <w:div w:id="90661908">
      <w:bodyDiv w:val="1"/>
      <w:marLeft w:val="0"/>
      <w:marRight w:val="0"/>
      <w:marTop w:val="0"/>
      <w:marBottom w:val="0"/>
      <w:divBdr>
        <w:top w:val="none" w:sz="0" w:space="0" w:color="auto"/>
        <w:left w:val="none" w:sz="0" w:space="0" w:color="auto"/>
        <w:bottom w:val="none" w:sz="0" w:space="0" w:color="auto"/>
        <w:right w:val="none" w:sz="0" w:space="0" w:color="auto"/>
      </w:divBdr>
    </w:div>
    <w:div w:id="95056738">
      <w:bodyDiv w:val="1"/>
      <w:marLeft w:val="0"/>
      <w:marRight w:val="0"/>
      <w:marTop w:val="0"/>
      <w:marBottom w:val="0"/>
      <w:divBdr>
        <w:top w:val="none" w:sz="0" w:space="0" w:color="auto"/>
        <w:left w:val="none" w:sz="0" w:space="0" w:color="auto"/>
        <w:bottom w:val="none" w:sz="0" w:space="0" w:color="auto"/>
        <w:right w:val="none" w:sz="0" w:space="0" w:color="auto"/>
      </w:divBdr>
    </w:div>
    <w:div w:id="156968189">
      <w:bodyDiv w:val="1"/>
      <w:marLeft w:val="0"/>
      <w:marRight w:val="0"/>
      <w:marTop w:val="0"/>
      <w:marBottom w:val="0"/>
      <w:divBdr>
        <w:top w:val="none" w:sz="0" w:space="0" w:color="auto"/>
        <w:left w:val="none" w:sz="0" w:space="0" w:color="auto"/>
        <w:bottom w:val="none" w:sz="0" w:space="0" w:color="auto"/>
        <w:right w:val="none" w:sz="0" w:space="0" w:color="auto"/>
      </w:divBdr>
    </w:div>
    <w:div w:id="160005529">
      <w:bodyDiv w:val="1"/>
      <w:marLeft w:val="0"/>
      <w:marRight w:val="0"/>
      <w:marTop w:val="0"/>
      <w:marBottom w:val="0"/>
      <w:divBdr>
        <w:top w:val="none" w:sz="0" w:space="0" w:color="auto"/>
        <w:left w:val="none" w:sz="0" w:space="0" w:color="auto"/>
        <w:bottom w:val="none" w:sz="0" w:space="0" w:color="auto"/>
        <w:right w:val="none" w:sz="0" w:space="0" w:color="auto"/>
      </w:divBdr>
    </w:div>
    <w:div w:id="172575277">
      <w:bodyDiv w:val="1"/>
      <w:marLeft w:val="0"/>
      <w:marRight w:val="0"/>
      <w:marTop w:val="0"/>
      <w:marBottom w:val="0"/>
      <w:divBdr>
        <w:top w:val="none" w:sz="0" w:space="0" w:color="auto"/>
        <w:left w:val="none" w:sz="0" w:space="0" w:color="auto"/>
        <w:bottom w:val="none" w:sz="0" w:space="0" w:color="auto"/>
        <w:right w:val="none" w:sz="0" w:space="0" w:color="auto"/>
      </w:divBdr>
    </w:div>
    <w:div w:id="186022677">
      <w:bodyDiv w:val="1"/>
      <w:marLeft w:val="0"/>
      <w:marRight w:val="0"/>
      <w:marTop w:val="0"/>
      <w:marBottom w:val="0"/>
      <w:divBdr>
        <w:top w:val="none" w:sz="0" w:space="0" w:color="auto"/>
        <w:left w:val="none" w:sz="0" w:space="0" w:color="auto"/>
        <w:bottom w:val="none" w:sz="0" w:space="0" w:color="auto"/>
        <w:right w:val="none" w:sz="0" w:space="0" w:color="auto"/>
      </w:divBdr>
    </w:div>
    <w:div w:id="188489098">
      <w:bodyDiv w:val="1"/>
      <w:marLeft w:val="0"/>
      <w:marRight w:val="0"/>
      <w:marTop w:val="0"/>
      <w:marBottom w:val="0"/>
      <w:divBdr>
        <w:top w:val="none" w:sz="0" w:space="0" w:color="auto"/>
        <w:left w:val="none" w:sz="0" w:space="0" w:color="auto"/>
        <w:bottom w:val="none" w:sz="0" w:space="0" w:color="auto"/>
        <w:right w:val="none" w:sz="0" w:space="0" w:color="auto"/>
      </w:divBdr>
    </w:div>
    <w:div w:id="213929084">
      <w:bodyDiv w:val="1"/>
      <w:marLeft w:val="0"/>
      <w:marRight w:val="0"/>
      <w:marTop w:val="0"/>
      <w:marBottom w:val="0"/>
      <w:divBdr>
        <w:top w:val="none" w:sz="0" w:space="0" w:color="auto"/>
        <w:left w:val="none" w:sz="0" w:space="0" w:color="auto"/>
        <w:bottom w:val="none" w:sz="0" w:space="0" w:color="auto"/>
        <w:right w:val="none" w:sz="0" w:space="0" w:color="auto"/>
      </w:divBdr>
    </w:div>
    <w:div w:id="216430835">
      <w:bodyDiv w:val="1"/>
      <w:marLeft w:val="0"/>
      <w:marRight w:val="0"/>
      <w:marTop w:val="0"/>
      <w:marBottom w:val="0"/>
      <w:divBdr>
        <w:top w:val="none" w:sz="0" w:space="0" w:color="auto"/>
        <w:left w:val="none" w:sz="0" w:space="0" w:color="auto"/>
        <w:bottom w:val="none" w:sz="0" w:space="0" w:color="auto"/>
        <w:right w:val="none" w:sz="0" w:space="0" w:color="auto"/>
      </w:divBdr>
    </w:div>
    <w:div w:id="289821335">
      <w:bodyDiv w:val="1"/>
      <w:marLeft w:val="0"/>
      <w:marRight w:val="0"/>
      <w:marTop w:val="0"/>
      <w:marBottom w:val="0"/>
      <w:divBdr>
        <w:top w:val="none" w:sz="0" w:space="0" w:color="auto"/>
        <w:left w:val="none" w:sz="0" w:space="0" w:color="auto"/>
        <w:bottom w:val="none" w:sz="0" w:space="0" w:color="auto"/>
        <w:right w:val="none" w:sz="0" w:space="0" w:color="auto"/>
      </w:divBdr>
    </w:div>
    <w:div w:id="298614702">
      <w:bodyDiv w:val="1"/>
      <w:marLeft w:val="0"/>
      <w:marRight w:val="0"/>
      <w:marTop w:val="0"/>
      <w:marBottom w:val="0"/>
      <w:divBdr>
        <w:top w:val="none" w:sz="0" w:space="0" w:color="auto"/>
        <w:left w:val="none" w:sz="0" w:space="0" w:color="auto"/>
        <w:bottom w:val="none" w:sz="0" w:space="0" w:color="auto"/>
        <w:right w:val="none" w:sz="0" w:space="0" w:color="auto"/>
      </w:divBdr>
    </w:div>
    <w:div w:id="316423748">
      <w:bodyDiv w:val="1"/>
      <w:marLeft w:val="0"/>
      <w:marRight w:val="0"/>
      <w:marTop w:val="0"/>
      <w:marBottom w:val="0"/>
      <w:divBdr>
        <w:top w:val="none" w:sz="0" w:space="0" w:color="auto"/>
        <w:left w:val="none" w:sz="0" w:space="0" w:color="auto"/>
        <w:bottom w:val="none" w:sz="0" w:space="0" w:color="auto"/>
        <w:right w:val="none" w:sz="0" w:space="0" w:color="auto"/>
      </w:divBdr>
    </w:div>
    <w:div w:id="336813739">
      <w:bodyDiv w:val="1"/>
      <w:marLeft w:val="0"/>
      <w:marRight w:val="0"/>
      <w:marTop w:val="0"/>
      <w:marBottom w:val="0"/>
      <w:divBdr>
        <w:top w:val="none" w:sz="0" w:space="0" w:color="auto"/>
        <w:left w:val="none" w:sz="0" w:space="0" w:color="auto"/>
        <w:bottom w:val="none" w:sz="0" w:space="0" w:color="auto"/>
        <w:right w:val="none" w:sz="0" w:space="0" w:color="auto"/>
      </w:divBdr>
    </w:div>
    <w:div w:id="349457596">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65105679">
      <w:bodyDiv w:val="1"/>
      <w:marLeft w:val="0"/>
      <w:marRight w:val="0"/>
      <w:marTop w:val="0"/>
      <w:marBottom w:val="0"/>
      <w:divBdr>
        <w:top w:val="none" w:sz="0" w:space="0" w:color="auto"/>
        <w:left w:val="none" w:sz="0" w:space="0" w:color="auto"/>
        <w:bottom w:val="none" w:sz="0" w:space="0" w:color="auto"/>
        <w:right w:val="none" w:sz="0" w:space="0" w:color="auto"/>
      </w:divBdr>
    </w:div>
    <w:div w:id="419836796">
      <w:bodyDiv w:val="1"/>
      <w:marLeft w:val="0"/>
      <w:marRight w:val="0"/>
      <w:marTop w:val="0"/>
      <w:marBottom w:val="0"/>
      <w:divBdr>
        <w:top w:val="none" w:sz="0" w:space="0" w:color="auto"/>
        <w:left w:val="none" w:sz="0" w:space="0" w:color="auto"/>
        <w:bottom w:val="none" w:sz="0" w:space="0" w:color="auto"/>
        <w:right w:val="none" w:sz="0" w:space="0" w:color="auto"/>
      </w:divBdr>
    </w:div>
    <w:div w:id="432752494">
      <w:bodyDiv w:val="1"/>
      <w:marLeft w:val="0"/>
      <w:marRight w:val="0"/>
      <w:marTop w:val="0"/>
      <w:marBottom w:val="0"/>
      <w:divBdr>
        <w:top w:val="none" w:sz="0" w:space="0" w:color="auto"/>
        <w:left w:val="none" w:sz="0" w:space="0" w:color="auto"/>
        <w:bottom w:val="none" w:sz="0" w:space="0" w:color="auto"/>
        <w:right w:val="none" w:sz="0" w:space="0" w:color="auto"/>
      </w:divBdr>
    </w:div>
    <w:div w:id="452600652">
      <w:bodyDiv w:val="1"/>
      <w:marLeft w:val="0"/>
      <w:marRight w:val="0"/>
      <w:marTop w:val="0"/>
      <w:marBottom w:val="0"/>
      <w:divBdr>
        <w:top w:val="none" w:sz="0" w:space="0" w:color="auto"/>
        <w:left w:val="none" w:sz="0" w:space="0" w:color="auto"/>
        <w:bottom w:val="none" w:sz="0" w:space="0" w:color="auto"/>
        <w:right w:val="none" w:sz="0" w:space="0" w:color="auto"/>
      </w:divBdr>
    </w:div>
    <w:div w:id="456411006">
      <w:bodyDiv w:val="1"/>
      <w:marLeft w:val="0"/>
      <w:marRight w:val="0"/>
      <w:marTop w:val="0"/>
      <w:marBottom w:val="0"/>
      <w:divBdr>
        <w:top w:val="none" w:sz="0" w:space="0" w:color="auto"/>
        <w:left w:val="none" w:sz="0" w:space="0" w:color="auto"/>
        <w:bottom w:val="none" w:sz="0" w:space="0" w:color="auto"/>
        <w:right w:val="none" w:sz="0" w:space="0" w:color="auto"/>
      </w:divBdr>
    </w:div>
    <w:div w:id="487090988">
      <w:bodyDiv w:val="1"/>
      <w:marLeft w:val="0"/>
      <w:marRight w:val="0"/>
      <w:marTop w:val="0"/>
      <w:marBottom w:val="0"/>
      <w:divBdr>
        <w:top w:val="none" w:sz="0" w:space="0" w:color="auto"/>
        <w:left w:val="none" w:sz="0" w:space="0" w:color="auto"/>
        <w:bottom w:val="none" w:sz="0" w:space="0" w:color="auto"/>
        <w:right w:val="none" w:sz="0" w:space="0" w:color="auto"/>
      </w:divBdr>
    </w:div>
    <w:div w:id="488904732">
      <w:bodyDiv w:val="1"/>
      <w:marLeft w:val="0"/>
      <w:marRight w:val="0"/>
      <w:marTop w:val="0"/>
      <w:marBottom w:val="0"/>
      <w:divBdr>
        <w:top w:val="none" w:sz="0" w:space="0" w:color="auto"/>
        <w:left w:val="none" w:sz="0" w:space="0" w:color="auto"/>
        <w:bottom w:val="none" w:sz="0" w:space="0" w:color="auto"/>
        <w:right w:val="none" w:sz="0" w:space="0" w:color="auto"/>
      </w:divBdr>
    </w:div>
    <w:div w:id="500390591">
      <w:bodyDiv w:val="1"/>
      <w:marLeft w:val="0"/>
      <w:marRight w:val="0"/>
      <w:marTop w:val="0"/>
      <w:marBottom w:val="0"/>
      <w:divBdr>
        <w:top w:val="none" w:sz="0" w:space="0" w:color="auto"/>
        <w:left w:val="none" w:sz="0" w:space="0" w:color="auto"/>
        <w:bottom w:val="none" w:sz="0" w:space="0" w:color="auto"/>
        <w:right w:val="none" w:sz="0" w:space="0" w:color="auto"/>
      </w:divBdr>
    </w:div>
    <w:div w:id="506404110">
      <w:bodyDiv w:val="1"/>
      <w:marLeft w:val="0"/>
      <w:marRight w:val="0"/>
      <w:marTop w:val="0"/>
      <w:marBottom w:val="0"/>
      <w:divBdr>
        <w:top w:val="none" w:sz="0" w:space="0" w:color="auto"/>
        <w:left w:val="none" w:sz="0" w:space="0" w:color="auto"/>
        <w:bottom w:val="none" w:sz="0" w:space="0" w:color="auto"/>
        <w:right w:val="none" w:sz="0" w:space="0" w:color="auto"/>
      </w:divBdr>
    </w:div>
    <w:div w:id="533927683">
      <w:bodyDiv w:val="1"/>
      <w:marLeft w:val="0"/>
      <w:marRight w:val="0"/>
      <w:marTop w:val="0"/>
      <w:marBottom w:val="0"/>
      <w:divBdr>
        <w:top w:val="none" w:sz="0" w:space="0" w:color="auto"/>
        <w:left w:val="none" w:sz="0" w:space="0" w:color="auto"/>
        <w:bottom w:val="none" w:sz="0" w:space="0" w:color="auto"/>
        <w:right w:val="none" w:sz="0" w:space="0" w:color="auto"/>
      </w:divBdr>
    </w:div>
    <w:div w:id="536045669">
      <w:bodyDiv w:val="1"/>
      <w:marLeft w:val="0"/>
      <w:marRight w:val="0"/>
      <w:marTop w:val="0"/>
      <w:marBottom w:val="0"/>
      <w:divBdr>
        <w:top w:val="none" w:sz="0" w:space="0" w:color="auto"/>
        <w:left w:val="none" w:sz="0" w:space="0" w:color="auto"/>
        <w:bottom w:val="none" w:sz="0" w:space="0" w:color="auto"/>
        <w:right w:val="none" w:sz="0" w:space="0" w:color="auto"/>
      </w:divBdr>
    </w:div>
    <w:div w:id="546336986">
      <w:bodyDiv w:val="1"/>
      <w:marLeft w:val="0"/>
      <w:marRight w:val="0"/>
      <w:marTop w:val="0"/>
      <w:marBottom w:val="0"/>
      <w:divBdr>
        <w:top w:val="none" w:sz="0" w:space="0" w:color="auto"/>
        <w:left w:val="none" w:sz="0" w:space="0" w:color="auto"/>
        <w:bottom w:val="none" w:sz="0" w:space="0" w:color="auto"/>
        <w:right w:val="none" w:sz="0" w:space="0" w:color="auto"/>
      </w:divBdr>
    </w:div>
    <w:div w:id="557010632">
      <w:bodyDiv w:val="1"/>
      <w:marLeft w:val="0"/>
      <w:marRight w:val="0"/>
      <w:marTop w:val="0"/>
      <w:marBottom w:val="0"/>
      <w:divBdr>
        <w:top w:val="none" w:sz="0" w:space="0" w:color="auto"/>
        <w:left w:val="none" w:sz="0" w:space="0" w:color="auto"/>
        <w:bottom w:val="none" w:sz="0" w:space="0" w:color="auto"/>
        <w:right w:val="none" w:sz="0" w:space="0" w:color="auto"/>
      </w:divBdr>
    </w:div>
    <w:div w:id="557743206">
      <w:bodyDiv w:val="1"/>
      <w:marLeft w:val="0"/>
      <w:marRight w:val="0"/>
      <w:marTop w:val="0"/>
      <w:marBottom w:val="0"/>
      <w:divBdr>
        <w:top w:val="none" w:sz="0" w:space="0" w:color="auto"/>
        <w:left w:val="none" w:sz="0" w:space="0" w:color="auto"/>
        <w:bottom w:val="none" w:sz="0" w:space="0" w:color="auto"/>
        <w:right w:val="none" w:sz="0" w:space="0" w:color="auto"/>
      </w:divBdr>
    </w:div>
    <w:div w:id="561212867">
      <w:bodyDiv w:val="1"/>
      <w:marLeft w:val="0"/>
      <w:marRight w:val="0"/>
      <w:marTop w:val="0"/>
      <w:marBottom w:val="0"/>
      <w:divBdr>
        <w:top w:val="none" w:sz="0" w:space="0" w:color="auto"/>
        <w:left w:val="none" w:sz="0" w:space="0" w:color="auto"/>
        <w:bottom w:val="none" w:sz="0" w:space="0" w:color="auto"/>
        <w:right w:val="none" w:sz="0" w:space="0" w:color="auto"/>
      </w:divBdr>
    </w:div>
    <w:div w:id="573006735">
      <w:bodyDiv w:val="1"/>
      <w:marLeft w:val="0"/>
      <w:marRight w:val="0"/>
      <w:marTop w:val="0"/>
      <w:marBottom w:val="0"/>
      <w:divBdr>
        <w:top w:val="none" w:sz="0" w:space="0" w:color="auto"/>
        <w:left w:val="none" w:sz="0" w:space="0" w:color="auto"/>
        <w:bottom w:val="none" w:sz="0" w:space="0" w:color="auto"/>
        <w:right w:val="none" w:sz="0" w:space="0" w:color="auto"/>
      </w:divBdr>
    </w:div>
    <w:div w:id="580063164">
      <w:bodyDiv w:val="1"/>
      <w:marLeft w:val="0"/>
      <w:marRight w:val="0"/>
      <w:marTop w:val="0"/>
      <w:marBottom w:val="0"/>
      <w:divBdr>
        <w:top w:val="none" w:sz="0" w:space="0" w:color="auto"/>
        <w:left w:val="none" w:sz="0" w:space="0" w:color="auto"/>
        <w:bottom w:val="none" w:sz="0" w:space="0" w:color="auto"/>
        <w:right w:val="none" w:sz="0" w:space="0" w:color="auto"/>
      </w:divBdr>
    </w:div>
    <w:div w:id="645353405">
      <w:bodyDiv w:val="1"/>
      <w:marLeft w:val="0"/>
      <w:marRight w:val="0"/>
      <w:marTop w:val="0"/>
      <w:marBottom w:val="0"/>
      <w:divBdr>
        <w:top w:val="none" w:sz="0" w:space="0" w:color="auto"/>
        <w:left w:val="none" w:sz="0" w:space="0" w:color="auto"/>
        <w:bottom w:val="none" w:sz="0" w:space="0" w:color="auto"/>
        <w:right w:val="none" w:sz="0" w:space="0" w:color="auto"/>
      </w:divBdr>
    </w:div>
    <w:div w:id="675962319">
      <w:bodyDiv w:val="1"/>
      <w:marLeft w:val="0"/>
      <w:marRight w:val="0"/>
      <w:marTop w:val="0"/>
      <w:marBottom w:val="0"/>
      <w:divBdr>
        <w:top w:val="none" w:sz="0" w:space="0" w:color="auto"/>
        <w:left w:val="none" w:sz="0" w:space="0" w:color="auto"/>
        <w:bottom w:val="none" w:sz="0" w:space="0" w:color="auto"/>
        <w:right w:val="none" w:sz="0" w:space="0" w:color="auto"/>
      </w:divBdr>
    </w:div>
    <w:div w:id="696010674">
      <w:bodyDiv w:val="1"/>
      <w:marLeft w:val="0"/>
      <w:marRight w:val="0"/>
      <w:marTop w:val="0"/>
      <w:marBottom w:val="0"/>
      <w:divBdr>
        <w:top w:val="none" w:sz="0" w:space="0" w:color="auto"/>
        <w:left w:val="none" w:sz="0" w:space="0" w:color="auto"/>
        <w:bottom w:val="none" w:sz="0" w:space="0" w:color="auto"/>
        <w:right w:val="none" w:sz="0" w:space="0" w:color="auto"/>
      </w:divBdr>
    </w:div>
    <w:div w:id="722487303">
      <w:bodyDiv w:val="1"/>
      <w:marLeft w:val="0"/>
      <w:marRight w:val="0"/>
      <w:marTop w:val="0"/>
      <w:marBottom w:val="0"/>
      <w:divBdr>
        <w:top w:val="none" w:sz="0" w:space="0" w:color="auto"/>
        <w:left w:val="none" w:sz="0" w:space="0" w:color="auto"/>
        <w:bottom w:val="none" w:sz="0" w:space="0" w:color="auto"/>
        <w:right w:val="none" w:sz="0" w:space="0" w:color="auto"/>
      </w:divBdr>
    </w:div>
    <w:div w:id="735394279">
      <w:bodyDiv w:val="1"/>
      <w:marLeft w:val="0"/>
      <w:marRight w:val="0"/>
      <w:marTop w:val="0"/>
      <w:marBottom w:val="0"/>
      <w:divBdr>
        <w:top w:val="none" w:sz="0" w:space="0" w:color="auto"/>
        <w:left w:val="none" w:sz="0" w:space="0" w:color="auto"/>
        <w:bottom w:val="none" w:sz="0" w:space="0" w:color="auto"/>
        <w:right w:val="none" w:sz="0" w:space="0" w:color="auto"/>
      </w:divBdr>
    </w:div>
    <w:div w:id="738018240">
      <w:bodyDiv w:val="1"/>
      <w:marLeft w:val="0"/>
      <w:marRight w:val="0"/>
      <w:marTop w:val="0"/>
      <w:marBottom w:val="0"/>
      <w:divBdr>
        <w:top w:val="none" w:sz="0" w:space="0" w:color="auto"/>
        <w:left w:val="none" w:sz="0" w:space="0" w:color="auto"/>
        <w:bottom w:val="none" w:sz="0" w:space="0" w:color="auto"/>
        <w:right w:val="none" w:sz="0" w:space="0" w:color="auto"/>
      </w:divBdr>
    </w:div>
    <w:div w:id="738794823">
      <w:bodyDiv w:val="1"/>
      <w:marLeft w:val="0"/>
      <w:marRight w:val="0"/>
      <w:marTop w:val="0"/>
      <w:marBottom w:val="0"/>
      <w:divBdr>
        <w:top w:val="none" w:sz="0" w:space="0" w:color="auto"/>
        <w:left w:val="none" w:sz="0" w:space="0" w:color="auto"/>
        <w:bottom w:val="none" w:sz="0" w:space="0" w:color="auto"/>
        <w:right w:val="none" w:sz="0" w:space="0" w:color="auto"/>
      </w:divBdr>
    </w:div>
    <w:div w:id="749425383">
      <w:bodyDiv w:val="1"/>
      <w:marLeft w:val="0"/>
      <w:marRight w:val="0"/>
      <w:marTop w:val="0"/>
      <w:marBottom w:val="0"/>
      <w:divBdr>
        <w:top w:val="none" w:sz="0" w:space="0" w:color="auto"/>
        <w:left w:val="none" w:sz="0" w:space="0" w:color="auto"/>
        <w:bottom w:val="none" w:sz="0" w:space="0" w:color="auto"/>
        <w:right w:val="none" w:sz="0" w:space="0" w:color="auto"/>
      </w:divBdr>
    </w:div>
    <w:div w:id="777912578">
      <w:bodyDiv w:val="1"/>
      <w:marLeft w:val="0"/>
      <w:marRight w:val="0"/>
      <w:marTop w:val="0"/>
      <w:marBottom w:val="0"/>
      <w:divBdr>
        <w:top w:val="none" w:sz="0" w:space="0" w:color="auto"/>
        <w:left w:val="none" w:sz="0" w:space="0" w:color="auto"/>
        <w:bottom w:val="none" w:sz="0" w:space="0" w:color="auto"/>
        <w:right w:val="none" w:sz="0" w:space="0" w:color="auto"/>
      </w:divBdr>
    </w:div>
    <w:div w:id="779878672">
      <w:bodyDiv w:val="1"/>
      <w:marLeft w:val="0"/>
      <w:marRight w:val="0"/>
      <w:marTop w:val="0"/>
      <w:marBottom w:val="0"/>
      <w:divBdr>
        <w:top w:val="none" w:sz="0" w:space="0" w:color="auto"/>
        <w:left w:val="none" w:sz="0" w:space="0" w:color="auto"/>
        <w:bottom w:val="none" w:sz="0" w:space="0" w:color="auto"/>
        <w:right w:val="none" w:sz="0" w:space="0" w:color="auto"/>
      </w:divBdr>
    </w:div>
    <w:div w:id="794521901">
      <w:bodyDiv w:val="1"/>
      <w:marLeft w:val="0"/>
      <w:marRight w:val="0"/>
      <w:marTop w:val="0"/>
      <w:marBottom w:val="0"/>
      <w:divBdr>
        <w:top w:val="none" w:sz="0" w:space="0" w:color="auto"/>
        <w:left w:val="none" w:sz="0" w:space="0" w:color="auto"/>
        <w:bottom w:val="none" w:sz="0" w:space="0" w:color="auto"/>
        <w:right w:val="none" w:sz="0" w:space="0" w:color="auto"/>
      </w:divBdr>
    </w:div>
    <w:div w:id="806318530">
      <w:bodyDiv w:val="1"/>
      <w:marLeft w:val="0"/>
      <w:marRight w:val="0"/>
      <w:marTop w:val="0"/>
      <w:marBottom w:val="0"/>
      <w:divBdr>
        <w:top w:val="none" w:sz="0" w:space="0" w:color="auto"/>
        <w:left w:val="none" w:sz="0" w:space="0" w:color="auto"/>
        <w:bottom w:val="none" w:sz="0" w:space="0" w:color="auto"/>
        <w:right w:val="none" w:sz="0" w:space="0" w:color="auto"/>
      </w:divBdr>
    </w:div>
    <w:div w:id="843710768">
      <w:bodyDiv w:val="1"/>
      <w:marLeft w:val="0"/>
      <w:marRight w:val="0"/>
      <w:marTop w:val="0"/>
      <w:marBottom w:val="0"/>
      <w:divBdr>
        <w:top w:val="none" w:sz="0" w:space="0" w:color="auto"/>
        <w:left w:val="none" w:sz="0" w:space="0" w:color="auto"/>
        <w:bottom w:val="none" w:sz="0" w:space="0" w:color="auto"/>
        <w:right w:val="none" w:sz="0" w:space="0" w:color="auto"/>
      </w:divBdr>
    </w:div>
    <w:div w:id="847019327">
      <w:bodyDiv w:val="1"/>
      <w:marLeft w:val="0"/>
      <w:marRight w:val="0"/>
      <w:marTop w:val="0"/>
      <w:marBottom w:val="0"/>
      <w:divBdr>
        <w:top w:val="none" w:sz="0" w:space="0" w:color="auto"/>
        <w:left w:val="none" w:sz="0" w:space="0" w:color="auto"/>
        <w:bottom w:val="none" w:sz="0" w:space="0" w:color="auto"/>
        <w:right w:val="none" w:sz="0" w:space="0" w:color="auto"/>
      </w:divBdr>
    </w:div>
    <w:div w:id="855849084">
      <w:bodyDiv w:val="1"/>
      <w:marLeft w:val="0"/>
      <w:marRight w:val="0"/>
      <w:marTop w:val="0"/>
      <w:marBottom w:val="0"/>
      <w:divBdr>
        <w:top w:val="none" w:sz="0" w:space="0" w:color="auto"/>
        <w:left w:val="none" w:sz="0" w:space="0" w:color="auto"/>
        <w:bottom w:val="none" w:sz="0" w:space="0" w:color="auto"/>
        <w:right w:val="none" w:sz="0" w:space="0" w:color="auto"/>
      </w:divBdr>
    </w:div>
    <w:div w:id="876240037">
      <w:bodyDiv w:val="1"/>
      <w:marLeft w:val="0"/>
      <w:marRight w:val="0"/>
      <w:marTop w:val="0"/>
      <w:marBottom w:val="0"/>
      <w:divBdr>
        <w:top w:val="none" w:sz="0" w:space="0" w:color="auto"/>
        <w:left w:val="none" w:sz="0" w:space="0" w:color="auto"/>
        <w:bottom w:val="none" w:sz="0" w:space="0" w:color="auto"/>
        <w:right w:val="none" w:sz="0" w:space="0" w:color="auto"/>
      </w:divBdr>
    </w:div>
    <w:div w:id="880480427">
      <w:bodyDiv w:val="1"/>
      <w:marLeft w:val="0"/>
      <w:marRight w:val="0"/>
      <w:marTop w:val="0"/>
      <w:marBottom w:val="0"/>
      <w:divBdr>
        <w:top w:val="none" w:sz="0" w:space="0" w:color="auto"/>
        <w:left w:val="none" w:sz="0" w:space="0" w:color="auto"/>
        <w:bottom w:val="none" w:sz="0" w:space="0" w:color="auto"/>
        <w:right w:val="none" w:sz="0" w:space="0" w:color="auto"/>
      </w:divBdr>
    </w:div>
    <w:div w:id="975524360">
      <w:bodyDiv w:val="1"/>
      <w:marLeft w:val="0"/>
      <w:marRight w:val="0"/>
      <w:marTop w:val="0"/>
      <w:marBottom w:val="0"/>
      <w:divBdr>
        <w:top w:val="none" w:sz="0" w:space="0" w:color="auto"/>
        <w:left w:val="none" w:sz="0" w:space="0" w:color="auto"/>
        <w:bottom w:val="none" w:sz="0" w:space="0" w:color="auto"/>
        <w:right w:val="none" w:sz="0" w:space="0" w:color="auto"/>
      </w:divBdr>
    </w:div>
    <w:div w:id="977078144">
      <w:bodyDiv w:val="1"/>
      <w:marLeft w:val="0"/>
      <w:marRight w:val="0"/>
      <w:marTop w:val="0"/>
      <w:marBottom w:val="0"/>
      <w:divBdr>
        <w:top w:val="none" w:sz="0" w:space="0" w:color="auto"/>
        <w:left w:val="none" w:sz="0" w:space="0" w:color="auto"/>
        <w:bottom w:val="none" w:sz="0" w:space="0" w:color="auto"/>
        <w:right w:val="none" w:sz="0" w:space="0" w:color="auto"/>
      </w:divBdr>
    </w:div>
    <w:div w:id="989401166">
      <w:bodyDiv w:val="1"/>
      <w:marLeft w:val="0"/>
      <w:marRight w:val="0"/>
      <w:marTop w:val="0"/>
      <w:marBottom w:val="0"/>
      <w:divBdr>
        <w:top w:val="none" w:sz="0" w:space="0" w:color="auto"/>
        <w:left w:val="none" w:sz="0" w:space="0" w:color="auto"/>
        <w:bottom w:val="none" w:sz="0" w:space="0" w:color="auto"/>
        <w:right w:val="none" w:sz="0" w:space="0" w:color="auto"/>
      </w:divBdr>
    </w:div>
    <w:div w:id="1002666528">
      <w:bodyDiv w:val="1"/>
      <w:marLeft w:val="0"/>
      <w:marRight w:val="0"/>
      <w:marTop w:val="0"/>
      <w:marBottom w:val="0"/>
      <w:divBdr>
        <w:top w:val="none" w:sz="0" w:space="0" w:color="auto"/>
        <w:left w:val="none" w:sz="0" w:space="0" w:color="auto"/>
        <w:bottom w:val="none" w:sz="0" w:space="0" w:color="auto"/>
        <w:right w:val="none" w:sz="0" w:space="0" w:color="auto"/>
      </w:divBdr>
    </w:div>
    <w:div w:id="1004632263">
      <w:bodyDiv w:val="1"/>
      <w:marLeft w:val="0"/>
      <w:marRight w:val="0"/>
      <w:marTop w:val="0"/>
      <w:marBottom w:val="0"/>
      <w:divBdr>
        <w:top w:val="none" w:sz="0" w:space="0" w:color="auto"/>
        <w:left w:val="none" w:sz="0" w:space="0" w:color="auto"/>
        <w:bottom w:val="none" w:sz="0" w:space="0" w:color="auto"/>
        <w:right w:val="none" w:sz="0" w:space="0" w:color="auto"/>
      </w:divBdr>
    </w:div>
    <w:div w:id="1022125031">
      <w:bodyDiv w:val="1"/>
      <w:marLeft w:val="0"/>
      <w:marRight w:val="0"/>
      <w:marTop w:val="0"/>
      <w:marBottom w:val="0"/>
      <w:divBdr>
        <w:top w:val="none" w:sz="0" w:space="0" w:color="auto"/>
        <w:left w:val="none" w:sz="0" w:space="0" w:color="auto"/>
        <w:bottom w:val="none" w:sz="0" w:space="0" w:color="auto"/>
        <w:right w:val="none" w:sz="0" w:space="0" w:color="auto"/>
      </w:divBdr>
    </w:div>
    <w:div w:id="1036321395">
      <w:bodyDiv w:val="1"/>
      <w:marLeft w:val="0"/>
      <w:marRight w:val="0"/>
      <w:marTop w:val="0"/>
      <w:marBottom w:val="0"/>
      <w:divBdr>
        <w:top w:val="none" w:sz="0" w:space="0" w:color="auto"/>
        <w:left w:val="none" w:sz="0" w:space="0" w:color="auto"/>
        <w:bottom w:val="none" w:sz="0" w:space="0" w:color="auto"/>
        <w:right w:val="none" w:sz="0" w:space="0" w:color="auto"/>
      </w:divBdr>
    </w:div>
    <w:div w:id="1060207098">
      <w:bodyDiv w:val="1"/>
      <w:marLeft w:val="0"/>
      <w:marRight w:val="0"/>
      <w:marTop w:val="0"/>
      <w:marBottom w:val="0"/>
      <w:divBdr>
        <w:top w:val="none" w:sz="0" w:space="0" w:color="auto"/>
        <w:left w:val="none" w:sz="0" w:space="0" w:color="auto"/>
        <w:bottom w:val="none" w:sz="0" w:space="0" w:color="auto"/>
        <w:right w:val="none" w:sz="0" w:space="0" w:color="auto"/>
      </w:divBdr>
    </w:div>
    <w:div w:id="1070805648">
      <w:bodyDiv w:val="1"/>
      <w:marLeft w:val="0"/>
      <w:marRight w:val="0"/>
      <w:marTop w:val="0"/>
      <w:marBottom w:val="0"/>
      <w:divBdr>
        <w:top w:val="none" w:sz="0" w:space="0" w:color="auto"/>
        <w:left w:val="none" w:sz="0" w:space="0" w:color="auto"/>
        <w:bottom w:val="none" w:sz="0" w:space="0" w:color="auto"/>
        <w:right w:val="none" w:sz="0" w:space="0" w:color="auto"/>
      </w:divBdr>
    </w:div>
    <w:div w:id="1071389149">
      <w:bodyDiv w:val="1"/>
      <w:marLeft w:val="0"/>
      <w:marRight w:val="0"/>
      <w:marTop w:val="0"/>
      <w:marBottom w:val="0"/>
      <w:divBdr>
        <w:top w:val="none" w:sz="0" w:space="0" w:color="auto"/>
        <w:left w:val="none" w:sz="0" w:space="0" w:color="auto"/>
        <w:bottom w:val="none" w:sz="0" w:space="0" w:color="auto"/>
        <w:right w:val="none" w:sz="0" w:space="0" w:color="auto"/>
      </w:divBdr>
    </w:div>
    <w:div w:id="1078405202">
      <w:bodyDiv w:val="1"/>
      <w:marLeft w:val="0"/>
      <w:marRight w:val="0"/>
      <w:marTop w:val="0"/>
      <w:marBottom w:val="0"/>
      <w:divBdr>
        <w:top w:val="none" w:sz="0" w:space="0" w:color="auto"/>
        <w:left w:val="none" w:sz="0" w:space="0" w:color="auto"/>
        <w:bottom w:val="none" w:sz="0" w:space="0" w:color="auto"/>
        <w:right w:val="none" w:sz="0" w:space="0" w:color="auto"/>
      </w:divBdr>
    </w:div>
    <w:div w:id="1104812315">
      <w:bodyDiv w:val="1"/>
      <w:marLeft w:val="0"/>
      <w:marRight w:val="0"/>
      <w:marTop w:val="0"/>
      <w:marBottom w:val="0"/>
      <w:divBdr>
        <w:top w:val="none" w:sz="0" w:space="0" w:color="auto"/>
        <w:left w:val="none" w:sz="0" w:space="0" w:color="auto"/>
        <w:bottom w:val="none" w:sz="0" w:space="0" w:color="auto"/>
        <w:right w:val="none" w:sz="0" w:space="0" w:color="auto"/>
      </w:divBdr>
    </w:div>
    <w:div w:id="1137793598">
      <w:bodyDiv w:val="1"/>
      <w:marLeft w:val="0"/>
      <w:marRight w:val="0"/>
      <w:marTop w:val="0"/>
      <w:marBottom w:val="0"/>
      <w:divBdr>
        <w:top w:val="none" w:sz="0" w:space="0" w:color="auto"/>
        <w:left w:val="none" w:sz="0" w:space="0" w:color="auto"/>
        <w:bottom w:val="none" w:sz="0" w:space="0" w:color="auto"/>
        <w:right w:val="none" w:sz="0" w:space="0" w:color="auto"/>
      </w:divBdr>
    </w:div>
    <w:div w:id="1141732817">
      <w:bodyDiv w:val="1"/>
      <w:marLeft w:val="0"/>
      <w:marRight w:val="0"/>
      <w:marTop w:val="0"/>
      <w:marBottom w:val="0"/>
      <w:divBdr>
        <w:top w:val="none" w:sz="0" w:space="0" w:color="auto"/>
        <w:left w:val="none" w:sz="0" w:space="0" w:color="auto"/>
        <w:bottom w:val="none" w:sz="0" w:space="0" w:color="auto"/>
        <w:right w:val="none" w:sz="0" w:space="0" w:color="auto"/>
      </w:divBdr>
    </w:div>
    <w:div w:id="1210917397">
      <w:bodyDiv w:val="1"/>
      <w:marLeft w:val="0"/>
      <w:marRight w:val="0"/>
      <w:marTop w:val="0"/>
      <w:marBottom w:val="0"/>
      <w:divBdr>
        <w:top w:val="none" w:sz="0" w:space="0" w:color="auto"/>
        <w:left w:val="none" w:sz="0" w:space="0" w:color="auto"/>
        <w:bottom w:val="none" w:sz="0" w:space="0" w:color="auto"/>
        <w:right w:val="none" w:sz="0" w:space="0" w:color="auto"/>
      </w:divBdr>
    </w:div>
    <w:div w:id="1241401141">
      <w:bodyDiv w:val="1"/>
      <w:marLeft w:val="0"/>
      <w:marRight w:val="0"/>
      <w:marTop w:val="0"/>
      <w:marBottom w:val="0"/>
      <w:divBdr>
        <w:top w:val="none" w:sz="0" w:space="0" w:color="auto"/>
        <w:left w:val="none" w:sz="0" w:space="0" w:color="auto"/>
        <w:bottom w:val="none" w:sz="0" w:space="0" w:color="auto"/>
        <w:right w:val="none" w:sz="0" w:space="0" w:color="auto"/>
      </w:divBdr>
    </w:div>
    <w:div w:id="1249117618">
      <w:bodyDiv w:val="1"/>
      <w:marLeft w:val="0"/>
      <w:marRight w:val="0"/>
      <w:marTop w:val="0"/>
      <w:marBottom w:val="0"/>
      <w:divBdr>
        <w:top w:val="none" w:sz="0" w:space="0" w:color="auto"/>
        <w:left w:val="none" w:sz="0" w:space="0" w:color="auto"/>
        <w:bottom w:val="none" w:sz="0" w:space="0" w:color="auto"/>
        <w:right w:val="none" w:sz="0" w:space="0" w:color="auto"/>
      </w:divBdr>
    </w:div>
    <w:div w:id="1253271482">
      <w:bodyDiv w:val="1"/>
      <w:marLeft w:val="0"/>
      <w:marRight w:val="0"/>
      <w:marTop w:val="0"/>
      <w:marBottom w:val="0"/>
      <w:divBdr>
        <w:top w:val="none" w:sz="0" w:space="0" w:color="auto"/>
        <w:left w:val="none" w:sz="0" w:space="0" w:color="auto"/>
        <w:bottom w:val="none" w:sz="0" w:space="0" w:color="auto"/>
        <w:right w:val="none" w:sz="0" w:space="0" w:color="auto"/>
      </w:divBdr>
    </w:div>
    <w:div w:id="1282614906">
      <w:bodyDiv w:val="1"/>
      <w:marLeft w:val="0"/>
      <w:marRight w:val="0"/>
      <w:marTop w:val="0"/>
      <w:marBottom w:val="0"/>
      <w:divBdr>
        <w:top w:val="none" w:sz="0" w:space="0" w:color="auto"/>
        <w:left w:val="none" w:sz="0" w:space="0" w:color="auto"/>
        <w:bottom w:val="none" w:sz="0" w:space="0" w:color="auto"/>
        <w:right w:val="none" w:sz="0" w:space="0" w:color="auto"/>
      </w:divBdr>
    </w:div>
    <w:div w:id="1331176421">
      <w:bodyDiv w:val="1"/>
      <w:marLeft w:val="0"/>
      <w:marRight w:val="0"/>
      <w:marTop w:val="0"/>
      <w:marBottom w:val="0"/>
      <w:divBdr>
        <w:top w:val="none" w:sz="0" w:space="0" w:color="auto"/>
        <w:left w:val="none" w:sz="0" w:space="0" w:color="auto"/>
        <w:bottom w:val="none" w:sz="0" w:space="0" w:color="auto"/>
        <w:right w:val="none" w:sz="0" w:space="0" w:color="auto"/>
      </w:divBdr>
    </w:div>
    <w:div w:id="1376932584">
      <w:bodyDiv w:val="1"/>
      <w:marLeft w:val="0"/>
      <w:marRight w:val="0"/>
      <w:marTop w:val="0"/>
      <w:marBottom w:val="0"/>
      <w:divBdr>
        <w:top w:val="none" w:sz="0" w:space="0" w:color="auto"/>
        <w:left w:val="none" w:sz="0" w:space="0" w:color="auto"/>
        <w:bottom w:val="none" w:sz="0" w:space="0" w:color="auto"/>
        <w:right w:val="none" w:sz="0" w:space="0" w:color="auto"/>
      </w:divBdr>
    </w:div>
    <w:div w:id="1397625172">
      <w:bodyDiv w:val="1"/>
      <w:marLeft w:val="0"/>
      <w:marRight w:val="0"/>
      <w:marTop w:val="0"/>
      <w:marBottom w:val="0"/>
      <w:divBdr>
        <w:top w:val="none" w:sz="0" w:space="0" w:color="auto"/>
        <w:left w:val="none" w:sz="0" w:space="0" w:color="auto"/>
        <w:bottom w:val="none" w:sz="0" w:space="0" w:color="auto"/>
        <w:right w:val="none" w:sz="0" w:space="0" w:color="auto"/>
      </w:divBdr>
    </w:div>
    <w:div w:id="1400862497">
      <w:bodyDiv w:val="1"/>
      <w:marLeft w:val="0"/>
      <w:marRight w:val="0"/>
      <w:marTop w:val="0"/>
      <w:marBottom w:val="0"/>
      <w:divBdr>
        <w:top w:val="none" w:sz="0" w:space="0" w:color="auto"/>
        <w:left w:val="none" w:sz="0" w:space="0" w:color="auto"/>
        <w:bottom w:val="none" w:sz="0" w:space="0" w:color="auto"/>
        <w:right w:val="none" w:sz="0" w:space="0" w:color="auto"/>
      </w:divBdr>
    </w:div>
    <w:div w:id="1426221562">
      <w:bodyDiv w:val="1"/>
      <w:marLeft w:val="0"/>
      <w:marRight w:val="0"/>
      <w:marTop w:val="0"/>
      <w:marBottom w:val="0"/>
      <w:divBdr>
        <w:top w:val="none" w:sz="0" w:space="0" w:color="auto"/>
        <w:left w:val="none" w:sz="0" w:space="0" w:color="auto"/>
        <w:bottom w:val="none" w:sz="0" w:space="0" w:color="auto"/>
        <w:right w:val="none" w:sz="0" w:space="0" w:color="auto"/>
      </w:divBdr>
    </w:div>
    <w:div w:id="1430197941">
      <w:bodyDiv w:val="1"/>
      <w:marLeft w:val="0"/>
      <w:marRight w:val="0"/>
      <w:marTop w:val="0"/>
      <w:marBottom w:val="0"/>
      <w:divBdr>
        <w:top w:val="none" w:sz="0" w:space="0" w:color="auto"/>
        <w:left w:val="none" w:sz="0" w:space="0" w:color="auto"/>
        <w:bottom w:val="none" w:sz="0" w:space="0" w:color="auto"/>
        <w:right w:val="none" w:sz="0" w:space="0" w:color="auto"/>
      </w:divBdr>
    </w:div>
    <w:div w:id="1440178634">
      <w:bodyDiv w:val="1"/>
      <w:marLeft w:val="0"/>
      <w:marRight w:val="0"/>
      <w:marTop w:val="0"/>
      <w:marBottom w:val="0"/>
      <w:divBdr>
        <w:top w:val="none" w:sz="0" w:space="0" w:color="auto"/>
        <w:left w:val="none" w:sz="0" w:space="0" w:color="auto"/>
        <w:bottom w:val="none" w:sz="0" w:space="0" w:color="auto"/>
        <w:right w:val="none" w:sz="0" w:space="0" w:color="auto"/>
      </w:divBdr>
    </w:div>
    <w:div w:id="1440249978">
      <w:bodyDiv w:val="1"/>
      <w:marLeft w:val="0"/>
      <w:marRight w:val="0"/>
      <w:marTop w:val="0"/>
      <w:marBottom w:val="0"/>
      <w:divBdr>
        <w:top w:val="none" w:sz="0" w:space="0" w:color="auto"/>
        <w:left w:val="none" w:sz="0" w:space="0" w:color="auto"/>
        <w:bottom w:val="none" w:sz="0" w:space="0" w:color="auto"/>
        <w:right w:val="none" w:sz="0" w:space="0" w:color="auto"/>
      </w:divBdr>
    </w:div>
    <w:div w:id="1496022557">
      <w:bodyDiv w:val="1"/>
      <w:marLeft w:val="0"/>
      <w:marRight w:val="0"/>
      <w:marTop w:val="0"/>
      <w:marBottom w:val="0"/>
      <w:divBdr>
        <w:top w:val="none" w:sz="0" w:space="0" w:color="auto"/>
        <w:left w:val="none" w:sz="0" w:space="0" w:color="auto"/>
        <w:bottom w:val="none" w:sz="0" w:space="0" w:color="auto"/>
        <w:right w:val="none" w:sz="0" w:space="0" w:color="auto"/>
      </w:divBdr>
    </w:div>
    <w:div w:id="1515417863">
      <w:bodyDiv w:val="1"/>
      <w:marLeft w:val="0"/>
      <w:marRight w:val="0"/>
      <w:marTop w:val="0"/>
      <w:marBottom w:val="0"/>
      <w:divBdr>
        <w:top w:val="none" w:sz="0" w:space="0" w:color="auto"/>
        <w:left w:val="none" w:sz="0" w:space="0" w:color="auto"/>
        <w:bottom w:val="none" w:sz="0" w:space="0" w:color="auto"/>
        <w:right w:val="none" w:sz="0" w:space="0" w:color="auto"/>
      </w:divBdr>
    </w:div>
    <w:div w:id="1523322607">
      <w:bodyDiv w:val="1"/>
      <w:marLeft w:val="0"/>
      <w:marRight w:val="0"/>
      <w:marTop w:val="0"/>
      <w:marBottom w:val="0"/>
      <w:divBdr>
        <w:top w:val="none" w:sz="0" w:space="0" w:color="auto"/>
        <w:left w:val="none" w:sz="0" w:space="0" w:color="auto"/>
        <w:bottom w:val="none" w:sz="0" w:space="0" w:color="auto"/>
        <w:right w:val="none" w:sz="0" w:space="0" w:color="auto"/>
      </w:divBdr>
    </w:div>
    <w:div w:id="1528255095">
      <w:bodyDiv w:val="1"/>
      <w:marLeft w:val="0"/>
      <w:marRight w:val="0"/>
      <w:marTop w:val="0"/>
      <w:marBottom w:val="0"/>
      <w:divBdr>
        <w:top w:val="none" w:sz="0" w:space="0" w:color="auto"/>
        <w:left w:val="none" w:sz="0" w:space="0" w:color="auto"/>
        <w:bottom w:val="none" w:sz="0" w:space="0" w:color="auto"/>
        <w:right w:val="none" w:sz="0" w:space="0" w:color="auto"/>
      </w:divBdr>
    </w:div>
    <w:div w:id="1551305702">
      <w:bodyDiv w:val="1"/>
      <w:marLeft w:val="0"/>
      <w:marRight w:val="0"/>
      <w:marTop w:val="0"/>
      <w:marBottom w:val="0"/>
      <w:divBdr>
        <w:top w:val="none" w:sz="0" w:space="0" w:color="auto"/>
        <w:left w:val="none" w:sz="0" w:space="0" w:color="auto"/>
        <w:bottom w:val="none" w:sz="0" w:space="0" w:color="auto"/>
        <w:right w:val="none" w:sz="0" w:space="0" w:color="auto"/>
      </w:divBdr>
    </w:div>
    <w:div w:id="1575898750">
      <w:bodyDiv w:val="1"/>
      <w:marLeft w:val="0"/>
      <w:marRight w:val="0"/>
      <w:marTop w:val="0"/>
      <w:marBottom w:val="0"/>
      <w:divBdr>
        <w:top w:val="none" w:sz="0" w:space="0" w:color="auto"/>
        <w:left w:val="none" w:sz="0" w:space="0" w:color="auto"/>
        <w:bottom w:val="none" w:sz="0" w:space="0" w:color="auto"/>
        <w:right w:val="none" w:sz="0" w:space="0" w:color="auto"/>
      </w:divBdr>
    </w:div>
    <w:div w:id="1591235592">
      <w:bodyDiv w:val="1"/>
      <w:marLeft w:val="0"/>
      <w:marRight w:val="0"/>
      <w:marTop w:val="0"/>
      <w:marBottom w:val="0"/>
      <w:divBdr>
        <w:top w:val="none" w:sz="0" w:space="0" w:color="auto"/>
        <w:left w:val="none" w:sz="0" w:space="0" w:color="auto"/>
        <w:bottom w:val="none" w:sz="0" w:space="0" w:color="auto"/>
        <w:right w:val="none" w:sz="0" w:space="0" w:color="auto"/>
      </w:divBdr>
    </w:div>
    <w:div w:id="1605767232">
      <w:bodyDiv w:val="1"/>
      <w:marLeft w:val="0"/>
      <w:marRight w:val="0"/>
      <w:marTop w:val="0"/>
      <w:marBottom w:val="0"/>
      <w:divBdr>
        <w:top w:val="none" w:sz="0" w:space="0" w:color="auto"/>
        <w:left w:val="none" w:sz="0" w:space="0" w:color="auto"/>
        <w:bottom w:val="none" w:sz="0" w:space="0" w:color="auto"/>
        <w:right w:val="none" w:sz="0" w:space="0" w:color="auto"/>
      </w:divBdr>
    </w:div>
    <w:div w:id="1613514127">
      <w:bodyDiv w:val="1"/>
      <w:marLeft w:val="0"/>
      <w:marRight w:val="0"/>
      <w:marTop w:val="0"/>
      <w:marBottom w:val="0"/>
      <w:divBdr>
        <w:top w:val="none" w:sz="0" w:space="0" w:color="auto"/>
        <w:left w:val="none" w:sz="0" w:space="0" w:color="auto"/>
        <w:bottom w:val="none" w:sz="0" w:space="0" w:color="auto"/>
        <w:right w:val="none" w:sz="0" w:space="0" w:color="auto"/>
      </w:divBdr>
    </w:div>
    <w:div w:id="1683312705">
      <w:bodyDiv w:val="1"/>
      <w:marLeft w:val="0"/>
      <w:marRight w:val="0"/>
      <w:marTop w:val="0"/>
      <w:marBottom w:val="0"/>
      <w:divBdr>
        <w:top w:val="none" w:sz="0" w:space="0" w:color="auto"/>
        <w:left w:val="none" w:sz="0" w:space="0" w:color="auto"/>
        <w:bottom w:val="none" w:sz="0" w:space="0" w:color="auto"/>
        <w:right w:val="none" w:sz="0" w:space="0" w:color="auto"/>
      </w:divBdr>
    </w:div>
    <w:div w:id="1692535330">
      <w:bodyDiv w:val="1"/>
      <w:marLeft w:val="0"/>
      <w:marRight w:val="0"/>
      <w:marTop w:val="0"/>
      <w:marBottom w:val="0"/>
      <w:divBdr>
        <w:top w:val="none" w:sz="0" w:space="0" w:color="auto"/>
        <w:left w:val="none" w:sz="0" w:space="0" w:color="auto"/>
        <w:bottom w:val="none" w:sz="0" w:space="0" w:color="auto"/>
        <w:right w:val="none" w:sz="0" w:space="0" w:color="auto"/>
      </w:divBdr>
    </w:div>
    <w:div w:id="1694577802">
      <w:bodyDiv w:val="1"/>
      <w:marLeft w:val="0"/>
      <w:marRight w:val="0"/>
      <w:marTop w:val="0"/>
      <w:marBottom w:val="0"/>
      <w:divBdr>
        <w:top w:val="none" w:sz="0" w:space="0" w:color="auto"/>
        <w:left w:val="none" w:sz="0" w:space="0" w:color="auto"/>
        <w:bottom w:val="none" w:sz="0" w:space="0" w:color="auto"/>
        <w:right w:val="none" w:sz="0" w:space="0" w:color="auto"/>
      </w:divBdr>
    </w:div>
    <w:div w:id="1724137232">
      <w:bodyDiv w:val="1"/>
      <w:marLeft w:val="0"/>
      <w:marRight w:val="0"/>
      <w:marTop w:val="0"/>
      <w:marBottom w:val="0"/>
      <w:divBdr>
        <w:top w:val="none" w:sz="0" w:space="0" w:color="auto"/>
        <w:left w:val="none" w:sz="0" w:space="0" w:color="auto"/>
        <w:bottom w:val="none" w:sz="0" w:space="0" w:color="auto"/>
        <w:right w:val="none" w:sz="0" w:space="0" w:color="auto"/>
      </w:divBdr>
    </w:div>
    <w:div w:id="1764110850">
      <w:bodyDiv w:val="1"/>
      <w:marLeft w:val="0"/>
      <w:marRight w:val="0"/>
      <w:marTop w:val="0"/>
      <w:marBottom w:val="0"/>
      <w:divBdr>
        <w:top w:val="none" w:sz="0" w:space="0" w:color="auto"/>
        <w:left w:val="none" w:sz="0" w:space="0" w:color="auto"/>
        <w:bottom w:val="none" w:sz="0" w:space="0" w:color="auto"/>
        <w:right w:val="none" w:sz="0" w:space="0" w:color="auto"/>
      </w:divBdr>
    </w:div>
    <w:div w:id="1766267497">
      <w:bodyDiv w:val="1"/>
      <w:marLeft w:val="0"/>
      <w:marRight w:val="0"/>
      <w:marTop w:val="0"/>
      <w:marBottom w:val="0"/>
      <w:divBdr>
        <w:top w:val="none" w:sz="0" w:space="0" w:color="auto"/>
        <w:left w:val="none" w:sz="0" w:space="0" w:color="auto"/>
        <w:bottom w:val="none" w:sz="0" w:space="0" w:color="auto"/>
        <w:right w:val="none" w:sz="0" w:space="0" w:color="auto"/>
      </w:divBdr>
    </w:div>
    <w:div w:id="1777408728">
      <w:bodyDiv w:val="1"/>
      <w:marLeft w:val="0"/>
      <w:marRight w:val="0"/>
      <w:marTop w:val="0"/>
      <w:marBottom w:val="0"/>
      <w:divBdr>
        <w:top w:val="none" w:sz="0" w:space="0" w:color="auto"/>
        <w:left w:val="none" w:sz="0" w:space="0" w:color="auto"/>
        <w:bottom w:val="none" w:sz="0" w:space="0" w:color="auto"/>
        <w:right w:val="none" w:sz="0" w:space="0" w:color="auto"/>
      </w:divBdr>
    </w:div>
    <w:div w:id="1845781080">
      <w:bodyDiv w:val="1"/>
      <w:marLeft w:val="0"/>
      <w:marRight w:val="0"/>
      <w:marTop w:val="0"/>
      <w:marBottom w:val="0"/>
      <w:divBdr>
        <w:top w:val="none" w:sz="0" w:space="0" w:color="auto"/>
        <w:left w:val="none" w:sz="0" w:space="0" w:color="auto"/>
        <w:bottom w:val="none" w:sz="0" w:space="0" w:color="auto"/>
        <w:right w:val="none" w:sz="0" w:space="0" w:color="auto"/>
      </w:divBdr>
    </w:div>
    <w:div w:id="1868640279">
      <w:bodyDiv w:val="1"/>
      <w:marLeft w:val="0"/>
      <w:marRight w:val="0"/>
      <w:marTop w:val="0"/>
      <w:marBottom w:val="0"/>
      <w:divBdr>
        <w:top w:val="none" w:sz="0" w:space="0" w:color="auto"/>
        <w:left w:val="none" w:sz="0" w:space="0" w:color="auto"/>
        <w:bottom w:val="none" w:sz="0" w:space="0" w:color="auto"/>
        <w:right w:val="none" w:sz="0" w:space="0" w:color="auto"/>
      </w:divBdr>
    </w:div>
    <w:div w:id="1873223031">
      <w:bodyDiv w:val="1"/>
      <w:marLeft w:val="0"/>
      <w:marRight w:val="0"/>
      <w:marTop w:val="0"/>
      <w:marBottom w:val="0"/>
      <w:divBdr>
        <w:top w:val="none" w:sz="0" w:space="0" w:color="auto"/>
        <w:left w:val="none" w:sz="0" w:space="0" w:color="auto"/>
        <w:bottom w:val="none" w:sz="0" w:space="0" w:color="auto"/>
        <w:right w:val="none" w:sz="0" w:space="0" w:color="auto"/>
      </w:divBdr>
    </w:div>
    <w:div w:id="1889491321">
      <w:bodyDiv w:val="1"/>
      <w:marLeft w:val="0"/>
      <w:marRight w:val="0"/>
      <w:marTop w:val="0"/>
      <w:marBottom w:val="0"/>
      <w:divBdr>
        <w:top w:val="none" w:sz="0" w:space="0" w:color="auto"/>
        <w:left w:val="none" w:sz="0" w:space="0" w:color="auto"/>
        <w:bottom w:val="none" w:sz="0" w:space="0" w:color="auto"/>
        <w:right w:val="none" w:sz="0" w:space="0" w:color="auto"/>
      </w:divBdr>
    </w:div>
    <w:div w:id="1892379587">
      <w:bodyDiv w:val="1"/>
      <w:marLeft w:val="0"/>
      <w:marRight w:val="0"/>
      <w:marTop w:val="0"/>
      <w:marBottom w:val="0"/>
      <w:divBdr>
        <w:top w:val="none" w:sz="0" w:space="0" w:color="auto"/>
        <w:left w:val="none" w:sz="0" w:space="0" w:color="auto"/>
        <w:bottom w:val="none" w:sz="0" w:space="0" w:color="auto"/>
        <w:right w:val="none" w:sz="0" w:space="0" w:color="auto"/>
      </w:divBdr>
    </w:div>
    <w:div w:id="1926255700">
      <w:bodyDiv w:val="1"/>
      <w:marLeft w:val="0"/>
      <w:marRight w:val="0"/>
      <w:marTop w:val="0"/>
      <w:marBottom w:val="0"/>
      <w:divBdr>
        <w:top w:val="none" w:sz="0" w:space="0" w:color="auto"/>
        <w:left w:val="none" w:sz="0" w:space="0" w:color="auto"/>
        <w:bottom w:val="none" w:sz="0" w:space="0" w:color="auto"/>
        <w:right w:val="none" w:sz="0" w:space="0" w:color="auto"/>
      </w:divBdr>
    </w:div>
    <w:div w:id="1928731307">
      <w:bodyDiv w:val="1"/>
      <w:marLeft w:val="0"/>
      <w:marRight w:val="0"/>
      <w:marTop w:val="0"/>
      <w:marBottom w:val="0"/>
      <w:divBdr>
        <w:top w:val="none" w:sz="0" w:space="0" w:color="auto"/>
        <w:left w:val="none" w:sz="0" w:space="0" w:color="auto"/>
        <w:bottom w:val="none" w:sz="0" w:space="0" w:color="auto"/>
        <w:right w:val="none" w:sz="0" w:space="0" w:color="auto"/>
      </w:divBdr>
    </w:div>
    <w:div w:id="1929196556">
      <w:bodyDiv w:val="1"/>
      <w:marLeft w:val="0"/>
      <w:marRight w:val="0"/>
      <w:marTop w:val="0"/>
      <w:marBottom w:val="0"/>
      <w:divBdr>
        <w:top w:val="none" w:sz="0" w:space="0" w:color="auto"/>
        <w:left w:val="none" w:sz="0" w:space="0" w:color="auto"/>
        <w:bottom w:val="none" w:sz="0" w:space="0" w:color="auto"/>
        <w:right w:val="none" w:sz="0" w:space="0" w:color="auto"/>
      </w:divBdr>
    </w:div>
    <w:div w:id="1933390274">
      <w:bodyDiv w:val="1"/>
      <w:marLeft w:val="0"/>
      <w:marRight w:val="0"/>
      <w:marTop w:val="0"/>
      <w:marBottom w:val="0"/>
      <w:divBdr>
        <w:top w:val="none" w:sz="0" w:space="0" w:color="auto"/>
        <w:left w:val="none" w:sz="0" w:space="0" w:color="auto"/>
        <w:bottom w:val="none" w:sz="0" w:space="0" w:color="auto"/>
        <w:right w:val="none" w:sz="0" w:space="0" w:color="auto"/>
      </w:divBdr>
    </w:div>
    <w:div w:id="1936133994">
      <w:bodyDiv w:val="1"/>
      <w:marLeft w:val="0"/>
      <w:marRight w:val="0"/>
      <w:marTop w:val="0"/>
      <w:marBottom w:val="0"/>
      <w:divBdr>
        <w:top w:val="none" w:sz="0" w:space="0" w:color="auto"/>
        <w:left w:val="none" w:sz="0" w:space="0" w:color="auto"/>
        <w:bottom w:val="none" w:sz="0" w:space="0" w:color="auto"/>
        <w:right w:val="none" w:sz="0" w:space="0" w:color="auto"/>
      </w:divBdr>
    </w:div>
    <w:div w:id="1977643495">
      <w:bodyDiv w:val="1"/>
      <w:marLeft w:val="0"/>
      <w:marRight w:val="0"/>
      <w:marTop w:val="0"/>
      <w:marBottom w:val="0"/>
      <w:divBdr>
        <w:top w:val="none" w:sz="0" w:space="0" w:color="auto"/>
        <w:left w:val="none" w:sz="0" w:space="0" w:color="auto"/>
        <w:bottom w:val="none" w:sz="0" w:space="0" w:color="auto"/>
        <w:right w:val="none" w:sz="0" w:space="0" w:color="auto"/>
      </w:divBdr>
    </w:div>
    <w:div w:id="2008434268">
      <w:bodyDiv w:val="1"/>
      <w:marLeft w:val="0"/>
      <w:marRight w:val="0"/>
      <w:marTop w:val="0"/>
      <w:marBottom w:val="0"/>
      <w:divBdr>
        <w:top w:val="none" w:sz="0" w:space="0" w:color="auto"/>
        <w:left w:val="none" w:sz="0" w:space="0" w:color="auto"/>
        <w:bottom w:val="none" w:sz="0" w:space="0" w:color="auto"/>
        <w:right w:val="none" w:sz="0" w:space="0" w:color="auto"/>
      </w:divBdr>
    </w:div>
    <w:div w:id="2033532205">
      <w:bodyDiv w:val="1"/>
      <w:marLeft w:val="0"/>
      <w:marRight w:val="0"/>
      <w:marTop w:val="0"/>
      <w:marBottom w:val="0"/>
      <w:divBdr>
        <w:top w:val="none" w:sz="0" w:space="0" w:color="auto"/>
        <w:left w:val="none" w:sz="0" w:space="0" w:color="auto"/>
        <w:bottom w:val="none" w:sz="0" w:space="0" w:color="auto"/>
        <w:right w:val="none" w:sz="0" w:space="0" w:color="auto"/>
      </w:divBdr>
    </w:div>
    <w:div w:id="2044138090">
      <w:bodyDiv w:val="1"/>
      <w:marLeft w:val="0"/>
      <w:marRight w:val="0"/>
      <w:marTop w:val="0"/>
      <w:marBottom w:val="0"/>
      <w:divBdr>
        <w:top w:val="none" w:sz="0" w:space="0" w:color="auto"/>
        <w:left w:val="none" w:sz="0" w:space="0" w:color="auto"/>
        <w:bottom w:val="none" w:sz="0" w:space="0" w:color="auto"/>
        <w:right w:val="none" w:sz="0" w:space="0" w:color="auto"/>
      </w:divBdr>
    </w:div>
    <w:div w:id="2057462060">
      <w:bodyDiv w:val="1"/>
      <w:marLeft w:val="0"/>
      <w:marRight w:val="0"/>
      <w:marTop w:val="0"/>
      <w:marBottom w:val="0"/>
      <w:divBdr>
        <w:top w:val="none" w:sz="0" w:space="0" w:color="auto"/>
        <w:left w:val="none" w:sz="0" w:space="0" w:color="auto"/>
        <w:bottom w:val="none" w:sz="0" w:space="0" w:color="auto"/>
        <w:right w:val="none" w:sz="0" w:space="0" w:color="auto"/>
      </w:divBdr>
    </w:div>
    <w:div w:id="2064021165">
      <w:bodyDiv w:val="1"/>
      <w:marLeft w:val="0"/>
      <w:marRight w:val="0"/>
      <w:marTop w:val="0"/>
      <w:marBottom w:val="0"/>
      <w:divBdr>
        <w:top w:val="none" w:sz="0" w:space="0" w:color="auto"/>
        <w:left w:val="none" w:sz="0" w:space="0" w:color="auto"/>
        <w:bottom w:val="none" w:sz="0" w:space="0" w:color="auto"/>
        <w:right w:val="none" w:sz="0" w:space="0" w:color="auto"/>
      </w:divBdr>
    </w:div>
    <w:div w:id="2071269441">
      <w:bodyDiv w:val="1"/>
      <w:marLeft w:val="0"/>
      <w:marRight w:val="0"/>
      <w:marTop w:val="0"/>
      <w:marBottom w:val="0"/>
      <w:divBdr>
        <w:top w:val="none" w:sz="0" w:space="0" w:color="auto"/>
        <w:left w:val="none" w:sz="0" w:space="0" w:color="auto"/>
        <w:bottom w:val="none" w:sz="0" w:space="0" w:color="auto"/>
        <w:right w:val="none" w:sz="0" w:space="0" w:color="auto"/>
      </w:divBdr>
    </w:div>
    <w:div w:id="2118018581">
      <w:bodyDiv w:val="1"/>
      <w:marLeft w:val="0"/>
      <w:marRight w:val="0"/>
      <w:marTop w:val="0"/>
      <w:marBottom w:val="0"/>
      <w:divBdr>
        <w:top w:val="none" w:sz="0" w:space="0" w:color="auto"/>
        <w:left w:val="none" w:sz="0" w:space="0" w:color="auto"/>
        <w:bottom w:val="none" w:sz="0" w:space="0" w:color="auto"/>
        <w:right w:val="none" w:sz="0" w:space="0" w:color="auto"/>
      </w:divBdr>
    </w:div>
    <w:div w:id="2118795615">
      <w:bodyDiv w:val="1"/>
      <w:marLeft w:val="0"/>
      <w:marRight w:val="0"/>
      <w:marTop w:val="0"/>
      <w:marBottom w:val="0"/>
      <w:divBdr>
        <w:top w:val="none" w:sz="0" w:space="0" w:color="auto"/>
        <w:left w:val="none" w:sz="0" w:space="0" w:color="auto"/>
        <w:bottom w:val="none" w:sz="0" w:space="0" w:color="auto"/>
        <w:right w:val="none" w:sz="0" w:space="0" w:color="auto"/>
      </w:divBdr>
    </w:div>
    <w:div w:id="21473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hyperlink" Target="https://doi.org/10.1101/2024.07.18.604204" TargetMode="External"/><Relationship Id="rId68" Type="http://schemas.openxmlformats.org/officeDocument/2006/relationships/hyperlink" Target="http://dx.doi.org/10.5958/0974-4150.2021.00025.0" TargetMode="External"/><Relationship Id="rId84" Type="http://schemas.openxmlformats.org/officeDocument/2006/relationships/hyperlink" Target="https://doi.org/10.1007/978-981-15-6815-2_7" TargetMode="External"/><Relationship Id="rId89" Type="http://schemas.openxmlformats.org/officeDocument/2006/relationships/hyperlink" Target="https://doi.org/10.1002/tcr.202300276" TargetMode="External"/><Relationship Id="rId16" Type="http://schemas.openxmlformats.org/officeDocument/2006/relationships/footer" Target="footer1.xml"/><Relationship Id="rId11" Type="http://schemas.openxmlformats.org/officeDocument/2006/relationships/hyperlink" Target="https://pubchem.ncbi.nlm.nih.gov/" TargetMode="External"/><Relationship Id="rId32" Type="http://schemas.openxmlformats.org/officeDocument/2006/relationships/image" Target="media/image12.png"/><Relationship Id="rId37" Type="http://schemas.openxmlformats.org/officeDocument/2006/relationships/image" Target="media/image150.png"/><Relationship Id="rId53" Type="http://schemas.openxmlformats.org/officeDocument/2006/relationships/image" Target="media/image28.png"/><Relationship Id="rId58" Type="http://schemas.openxmlformats.org/officeDocument/2006/relationships/hyperlink" Target="https://doi.org/10.1155/2021/5539544" TargetMode="External"/><Relationship Id="rId74" Type="http://schemas.openxmlformats.org/officeDocument/2006/relationships/hyperlink" Target="https://doi.org/10.1007/s00894-022-05131-w" TargetMode="External"/><Relationship Id="rId79" Type="http://schemas.openxmlformats.org/officeDocument/2006/relationships/hyperlink" Target="https://doi.org/10.1016/B978-0-323-91172-6.00012-1" TargetMode="External"/><Relationship Id="rId5" Type="http://schemas.openxmlformats.org/officeDocument/2006/relationships/footnotes" Target="footnotes.xml"/><Relationship Id="rId90" Type="http://schemas.openxmlformats.org/officeDocument/2006/relationships/hyperlink" Target="https://doi.org/10.1007/s41745-019-00141-9"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190.png"/><Relationship Id="rId48" Type="http://schemas.openxmlformats.org/officeDocument/2006/relationships/image" Target="media/image23.png"/><Relationship Id="rId64" Type="http://schemas.openxmlformats.org/officeDocument/2006/relationships/hyperlink" Target="https://doi.org/10.9734/ijbcrr/2024/v33i6941" TargetMode="External"/><Relationship Id="rId69" Type="http://schemas.openxmlformats.org/officeDocument/2006/relationships/hyperlink" Target="https://doi.org/10.1093/nar/gky473" TargetMode="External"/><Relationship Id="rId8" Type="http://schemas.openxmlformats.org/officeDocument/2006/relationships/hyperlink" Target="https://www.rcsb.org" TargetMode="External"/><Relationship Id="rId51" Type="http://schemas.openxmlformats.org/officeDocument/2006/relationships/image" Target="media/image26.png"/><Relationship Id="rId72" Type="http://schemas.openxmlformats.org/officeDocument/2006/relationships/hyperlink" Target="https://doi.org/10.1186/1471-2105-12-S1-S33" TargetMode="External"/><Relationship Id="rId80" Type="http://schemas.openxmlformats.org/officeDocument/2006/relationships/hyperlink" Target="https://doi.org/10.1017/S0033583515000190" TargetMode="External"/><Relationship Id="rId85" Type="http://schemas.openxmlformats.org/officeDocument/2006/relationships/hyperlink" Target="https://doi.org/10.1080/07391102.2021.1932598"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zinc20.docking.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0.png"/><Relationship Id="rId59" Type="http://schemas.openxmlformats.org/officeDocument/2006/relationships/hyperlink" Target="https://doi.org/10.55251/jmbfs.10384" TargetMode="External"/><Relationship Id="rId67" Type="http://schemas.openxmlformats.org/officeDocument/2006/relationships/hyperlink" Target="https://doi.org/10.1155/2018/3502514" TargetMode="Externa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hyperlink" Target="https://doi.org/10.1186/s13071-021-04797-0" TargetMode="External"/><Relationship Id="rId62" Type="http://schemas.openxmlformats.org/officeDocument/2006/relationships/hyperlink" Target="https://d.docs.live.net/c28f4ced47f09daa/Desktop/EVERYTHING%20RESEARCH_2025/DOI%2010.1186/s13029-015-0037-3" TargetMode="External"/><Relationship Id="rId70" Type="http://schemas.openxmlformats.org/officeDocument/2006/relationships/hyperlink" Target="https://doi.org/10.1186/1758-2946-3-33" TargetMode="External"/><Relationship Id="rId75" Type="http://schemas.openxmlformats.org/officeDocument/2006/relationships/hyperlink" Target="https://doi.org/10.1016/j.ddtec.2004.11.007" TargetMode="External"/><Relationship Id="rId83" Type="http://schemas.openxmlformats.org/officeDocument/2006/relationships/hyperlink" Target="http://dx.doi.org/10.32598/PBR.8.4.1052.1" TargetMode="External"/><Relationship Id="rId88" Type="http://schemas.openxmlformats.org/officeDocument/2006/relationships/hyperlink" Target="https://doi.org/10.1021/acs.jcim.9b01062" TargetMode="External"/><Relationship Id="rId91" Type="http://schemas.openxmlformats.org/officeDocument/2006/relationships/hyperlink" Target="https://doi.org/10.9734/jabb/2025/v28i6249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0.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doi.org/10.2147/DDDT.S265602" TargetMode="External"/><Relationship Id="rId10" Type="http://schemas.openxmlformats.org/officeDocument/2006/relationships/hyperlink" Target="http://www.accelrys.com" TargetMode="External"/><Relationship Id="rId31" Type="http://schemas.openxmlformats.org/officeDocument/2006/relationships/image" Target="media/image110.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s://doi.org/10.1007/s40203-021-00097-8" TargetMode="External"/><Relationship Id="rId65" Type="http://schemas.openxmlformats.org/officeDocument/2006/relationships/hyperlink" Target="https://doi.org/10.1016/B978-0-323-89775-4.00010-9" TargetMode="External"/><Relationship Id="rId73" Type="http://schemas.openxmlformats.org/officeDocument/2006/relationships/hyperlink" Target="https://doi.org/10.1021/ci500681r" TargetMode="External"/><Relationship Id="rId78" Type="http://schemas.openxmlformats.org/officeDocument/2006/relationships/hyperlink" Target="https://doi.org/10.1089/cmb.2019.0323" TargetMode="External"/><Relationship Id="rId81" Type="http://schemas.openxmlformats.org/officeDocument/2006/relationships/hyperlink" Target="https://doi.org/10.2174/1389200222666210705122913" TargetMode="External"/><Relationship Id="rId86" Type="http://schemas.openxmlformats.org/officeDocument/2006/relationships/hyperlink" Target="https://doi.org/10.1021/acs.jmedchem.3c01828" TargetMode="External"/><Relationship Id="rId4" Type="http://schemas.openxmlformats.org/officeDocument/2006/relationships/webSettings" Target="webSettings.xml"/><Relationship Id="rId9" Type="http://schemas.openxmlformats.org/officeDocument/2006/relationships/hyperlink" Target="file:///C:\Users\USER\AppData\Local\Microsoft\Olk\Attachments\ooa-4832d5fd-7237-4ec8-90d5-1003076203fd\cfba25bde67b658512e993085f4453b86933f5d0e2ca0cce4a569e4043d1a751\(https:\doi.org\10.2210\pdb8r3q\pdb)" TargetMode="External"/><Relationship Id="rId13" Type="http://schemas.openxmlformats.org/officeDocument/2006/relationships/chart" Target="charts/chart1.xml"/><Relationship Id="rId18" Type="http://schemas.openxmlformats.org/officeDocument/2006/relationships/header" Target="header3.xml"/><Relationship Id="rId39" Type="http://schemas.openxmlformats.org/officeDocument/2006/relationships/image" Target="media/image17.png"/><Relationship Id="rId34" Type="http://schemas.openxmlformats.org/officeDocument/2006/relationships/image" Target="media/image130.png"/><Relationship Id="rId50" Type="http://schemas.openxmlformats.org/officeDocument/2006/relationships/image" Target="media/image25.png"/><Relationship Id="rId55" Type="http://schemas.openxmlformats.org/officeDocument/2006/relationships/hyperlink" Target="https://doi.org/10.1016/j.amsu.2022.104366" TargetMode="External"/><Relationship Id="rId76" Type="http://schemas.openxmlformats.org/officeDocument/2006/relationships/hyperlink" Target="https://doi.org/10.1093/nar/gkae236" TargetMode="External"/><Relationship Id="rId7" Type="http://schemas.openxmlformats.org/officeDocument/2006/relationships/image" Target="media/image1.png"/><Relationship Id="rId71" Type="http://schemas.openxmlformats.org/officeDocument/2006/relationships/hyperlink" Target="http://vina.scripps.edu."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170.png"/><Relationship Id="rId45" Type="http://schemas.openxmlformats.org/officeDocument/2006/relationships/image" Target="media/image21.png"/><Relationship Id="rId66" Type="http://schemas.openxmlformats.org/officeDocument/2006/relationships/hyperlink" Target="https://doi.org/10.1007/7355_2021_130" TargetMode="External"/><Relationship Id="rId87" Type="http://schemas.openxmlformats.org/officeDocument/2006/relationships/hyperlink" Target="https://doi.org/10.9734/jalsi/2025/v28i4702" TargetMode="External"/><Relationship Id="rId61" Type="http://schemas.openxmlformats.org/officeDocument/2006/relationships/hyperlink" Target="https://doi.org/10.1186/s12936-020-03512-1" TargetMode="External"/><Relationship Id="rId82" Type="http://schemas.openxmlformats.org/officeDocument/2006/relationships/hyperlink" Target="https://doi.org/10.4103/njecp.njecp_15_22"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yperlink" Target="https://doi.org/10.3390/pharmaceutics16111416" TargetMode="External"/><Relationship Id="rId77" Type="http://schemas.openxmlformats.org/officeDocument/2006/relationships/hyperlink" Target="https://doi.org/10.1021/acs.jmedchem.5b0010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Oxythiamine</a:t>
            </a:r>
            <a:r>
              <a:rPr lang="en-US" sz="8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2-((3-hydroxy   2-((3,4-dimethoxy  2-((2,4-dihydroxy 2-((4-dimethylamino 2-((4-methoxy 2-((2-hydroxy </a:t>
            </a:r>
            <a:endParaRPr lang="en-US" sz="8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14348686706132538"/>
          <c:y val="7.8420197475315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Sheet1!$E$3</c:f>
              <c:strCache>
                <c:ptCount val="1"/>
                <c:pt idx="0">
                  <c:v>Binding affinity (AutoDock Vina) Kcal/mol)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Sheet1!$D$4:$D$10</c:f>
              <c:strCache>
                <c:ptCount val="7"/>
                <c:pt idx="0">
                  <c:v>Oxythiamine</c:v>
                </c:pt>
                <c:pt idx="1">
                  <c:v>Compound 1</c:v>
                </c:pt>
                <c:pt idx="2">
                  <c:v>Compound 2</c:v>
                </c:pt>
                <c:pt idx="3">
                  <c:v>Compound 3</c:v>
                </c:pt>
                <c:pt idx="4">
                  <c:v>Compound 4</c:v>
                </c:pt>
                <c:pt idx="5">
                  <c:v>Compound 5</c:v>
                </c:pt>
                <c:pt idx="6">
                  <c:v>Compound 6</c:v>
                </c:pt>
              </c:strCache>
            </c:strRef>
          </c:cat>
          <c:val>
            <c:numRef>
              <c:f>Sheet1!$E$4:$E$10</c:f>
              <c:numCache>
                <c:formatCode>General</c:formatCode>
                <c:ptCount val="7"/>
                <c:pt idx="0">
                  <c:v>-5.2</c:v>
                </c:pt>
                <c:pt idx="1">
                  <c:v>-7.7</c:v>
                </c:pt>
                <c:pt idx="2">
                  <c:v>-7.5</c:v>
                </c:pt>
                <c:pt idx="3">
                  <c:v>-7.4</c:v>
                </c:pt>
                <c:pt idx="4">
                  <c:v>-7.3</c:v>
                </c:pt>
                <c:pt idx="5">
                  <c:v>-7.2</c:v>
                </c:pt>
                <c:pt idx="6">
                  <c:v>-7.2</c:v>
                </c:pt>
              </c:numCache>
            </c:numRef>
          </c:val>
          <c:extLst>
            <c:ext xmlns:c16="http://schemas.microsoft.com/office/drawing/2014/chart" uri="{C3380CC4-5D6E-409C-BE32-E72D297353CC}">
              <c16:uniqueId val="{00000000-088D-44CD-ADFF-C2FCDF72809A}"/>
            </c:ext>
          </c:extLst>
        </c:ser>
        <c:ser>
          <c:idx val="1"/>
          <c:order val="1"/>
          <c:tx>
            <c:strRef>
              <c:f>Sheet1!$F$3</c:f>
              <c:strCache>
                <c:ptCount val="1"/>
                <c:pt idx="0">
                  <c:v>Binding affinity (iGEMDock) Kcal/mol)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Sheet1!$D$4:$D$10</c:f>
              <c:strCache>
                <c:ptCount val="7"/>
                <c:pt idx="0">
                  <c:v>Oxythiamine</c:v>
                </c:pt>
                <c:pt idx="1">
                  <c:v>Compound 1</c:v>
                </c:pt>
                <c:pt idx="2">
                  <c:v>Compound 2</c:v>
                </c:pt>
                <c:pt idx="3">
                  <c:v>Compound 3</c:v>
                </c:pt>
                <c:pt idx="4">
                  <c:v>Compound 4</c:v>
                </c:pt>
                <c:pt idx="5">
                  <c:v>Compound 5</c:v>
                </c:pt>
                <c:pt idx="6">
                  <c:v>Compound 6</c:v>
                </c:pt>
              </c:strCache>
            </c:strRef>
          </c:cat>
          <c:val>
            <c:numRef>
              <c:f>Sheet1!$F$4:$F$10</c:f>
              <c:numCache>
                <c:formatCode>General</c:formatCode>
                <c:ptCount val="7"/>
                <c:pt idx="0">
                  <c:v>-7.1</c:v>
                </c:pt>
                <c:pt idx="1">
                  <c:v>-10.3</c:v>
                </c:pt>
                <c:pt idx="2">
                  <c:v>-9.6999999999999993</c:v>
                </c:pt>
                <c:pt idx="3">
                  <c:v>-9.9</c:v>
                </c:pt>
                <c:pt idx="4">
                  <c:v>-9.1999999999999993</c:v>
                </c:pt>
                <c:pt idx="5">
                  <c:v>-9.5</c:v>
                </c:pt>
                <c:pt idx="6">
                  <c:v>-9.4</c:v>
                </c:pt>
              </c:numCache>
            </c:numRef>
          </c:val>
          <c:extLst>
            <c:ext xmlns:c16="http://schemas.microsoft.com/office/drawing/2014/chart" uri="{C3380CC4-5D6E-409C-BE32-E72D297353CC}">
              <c16:uniqueId val="{00000001-088D-44CD-ADFF-C2FCDF72809A}"/>
            </c:ext>
          </c:extLst>
        </c:ser>
        <c:dLbls>
          <c:showLegendKey val="0"/>
          <c:showVal val="1"/>
          <c:showCatName val="0"/>
          <c:showSerName val="0"/>
          <c:showPercent val="0"/>
          <c:showBubbleSize val="0"/>
        </c:dLbls>
        <c:gapWidth val="150"/>
        <c:shape val="box"/>
        <c:axId val="552159144"/>
        <c:axId val="552150864"/>
        <c:axId val="0"/>
      </c:bar3DChart>
      <c:catAx>
        <c:axId val="552159144"/>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Autodock </a:t>
                </a:r>
                <a:r>
                  <a:rPr lang="en-US" sz="1000" b="1" i="0" u="none" strike="noStrike" kern="1200" baseline="0">
                    <a:solidFill>
                      <a:schemeClr val="accent1"/>
                    </a:solidFill>
                    <a:latin typeface="Times New Roman" panose="02020603050405020304" pitchFamily="18" charset="0"/>
                    <a:cs typeface="Times New Roman" panose="02020603050405020304" pitchFamily="18" charset="0"/>
                  </a:rPr>
                  <a:t>[ ]     </a:t>
                </a: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iGEMDock</a:t>
                </a:r>
                <a:r>
                  <a:rPr lang="en-US" sz="1000" b="1" i="0" u="none" strike="noStrike" kern="1200" baseline="0">
                    <a:solidFill>
                      <a:schemeClr val="accent2"/>
                    </a:solidFill>
                    <a:latin typeface="Times New Roman" panose="02020603050405020304" pitchFamily="18" charset="0"/>
                    <a:cs typeface="Times New Roman" panose="02020603050405020304" pitchFamily="18" charset="0"/>
                  </a:rPr>
                  <a:t> [ ]  </a:t>
                </a: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endParaRPr lang="en-US" b="1"/>
              </a:p>
            </c:rich>
          </c:tx>
          <c:layout>
            <c:manualLayout>
              <c:xMode val="edge"/>
              <c:yMode val="edge"/>
              <c:x val="0.35862751531058612"/>
              <c:y val="0.8324259988334791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crossAx val="552150864"/>
        <c:crosses val="autoZero"/>
        <c:auto val="1"/>
        <c:lblAlgn val="ctr"/>
        <c:lblOffset val="100"/>
        <c:noMultiLvlLbl val="0"/>
      </c:catAx>
      <c:valAx>
        <c:axId val="552150864"/>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Binding Free Energy (Kcal/mol)</a:t>
                </a:r>
              </a:p>
            </c:rich>
          </c:tx>
          <c:layout>
            <c:manualLayout>
              <c:xMode val="edge"/>
              <c:yMode val="edge"/>
              <c:x val="3.046351322872962E-2"/>
              <c:y val="0.16498366275644116"/>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159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29</Pages>
  <Words>8287</Words>
  <Characters>47240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emmanuel</dc:creator>
  <cp:keywords/>
  <dc:description/>
  <cp:lastModifiedBy>SDI CPU 1117</cp:lastModifiedBy>
  <cp:revision>18</cp:revision>
  <cp:lastPrinted>2025-06-18T10:52:00Z</cp:lastPrinted>
  <dcterms:created xsi:type="dcterms:W3CDTF">2025-07-07T15:38:00Z</dcterms:created>
  <dcterms:modified xsi:type="dcterms:W3CDTF">2025-07-19T12:36:00Z</dcterms:modified>
</cp:coreProperties>
</file>