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05876" w14:textId="77777777" w:rsidR="002F68D5" w:rsidRPr="002F68D5" w:rsidRDefault="002F68D5" w:rsidP="002F68D5">
      <w:pPr>
        <w:spacing w:before="100" w:beforeAutospacing="1" w:after="100" w:afterAutospacing="1" w:line="480" w:lineRule="auto"/>
        <w:ind w:left="-142"/>
        <w:jc w:val="both"/>
        <w:rPr>
          <w:rFonts w:ascii="Arial" w:eastAsia="Times New Roman" w:hAnsi="Arial" w:cs="Arial"/>
          <w:b/>
          <w:bCs/>
          <w:i/>
          <w:iCs/>
          <w:u w:val="single"/>
        </w:rPr>
      </w:pPr>
      <w:bookmarkStart w:id="0" w:name="_Hlk201740011"/>
      <w:r w:rsidRPr="002F68D5">
        <w:rPr>
          <w:rFonts w:ascii="Arial" w:eastAsia="Times New Roman" w:hAnsi="Arial" w:cs="Arial"/>
          <w:b/>
          <w:bCs/>
          <w:i/>
          <w:iCs/>
          <w:u w:val="single"/>
        </w:rPr>
        <w:t>Original Research Article</w:t>
      </w:r>
    </w:p>
    <w:bookmarkEnd w:id="0"/>
    <w:p w14:paraId="2B7FAE5A" w14:textId="37D2A329" w:rsidR="004054E9" w:rsidRDefault="00F56FDE" w:rsidP="00F56FDE">
      <w:pPr>
        <w:pStyle w:val="ListParagraph"/>
        <w:spacing w:line="240" w:lineRule="auto"/>
        <w:ind w:left="-142" w:right="-330"/>
        <w:jc w:val="both"/>
        <w:rPr>
          <w:rFonts w:ascii="Arial" w:hAnsi="Arial" w:cs="Arial"/>
          <w:b/>
          <w:bCs/>
          <w:lang w:val="en-GB"/>
        </w:rPr>
      </w:pPr>
      <w:r w:rsidRPr="00F56FDE">
        <w:rPr>
          <w:rFonts w:ascii="Arial" w:hAnsi="Arial" w:cs="Arial"/>
          <w:b/>
          <w:bCs/>
          <w:lang w:val="en-GB"/>
        </w:rPr>
        <w:t>Effect of gasoline exposure to level of inflammatory response: A cross sectional study of measurement of C-Reactive protein in exposed people of Nigeria</w:t>
      </w:r>
    </w:p>
    <w:p w14:paraId="26CA1C43" w14:textId="77777777" w:rsidR="00F56FDE" w:rsidRPr="00F56FDE" w:rsidRDefault="00F56FDE" w:rsidP="00F56FDE">
      <w:pPr>
        <w:pStyle w:val="ListParagraph"/>
        <w:spacing w:line="240" w:lineRule="auto"/>
        <w:ind w:left="-142" w:right="-330"/>
        <w:jc w:val="both"/>
        <w:rPr>
          <w:rFonts w:ascii="Arial" w:hAnsi="Arial" w:cs="Arial"/>
          <w:b/>
        </w:rPr>
      </w:pPr>
    </w:p>
    <w:p w14:paraId="3B1454FA" w14:textId="101FB56C" w:rsidR="0070588B" w:rsidRPr="00D93B76" w:rsidRDefault="00D93B76" w:rsidP="00AD49E5">
      <w:pPr>
        <w:pStyle w:val="ListParagraph"/>
        <w:spacing w:line="480" w:lineRule="auto"/>
        <w:ind w:left="-142" w:right="-330"/>
        <w:jc w:val="both"/>
        <w:rPr>
          <w:rFonts w:ascii="Arial" w:hAnsi="Arial" w:cs="Arial"/>
          <w:b/>
        </w:rPr>
      </w:pPr>
      <w:r w:rsidRPr="00D93B76">
        <w:rPr>
          <w:rFonts w:ascii="Arial" w:hAnsi="Arial" w:cs="Arial"/>
          <w:b/>
        </w:rPr>
        <w:t>ABSTRACT</w:t>
      </w:r>
    </w:p>
    <w:p w14:paraId="5EDA4AFB" w14:textId="6B4D2BE1" w:rsidR="003A2B18" w:rsidRPr="009831E1" w:rsidRDefault="0089781D" w:rsidP="009831E1">
      <w:pPr>
        <w:pStyle w:val="ListParagraph"/>
        <w:spacing w:line="240" w:lineRule="auto"/>
        <w:ind w:left="-142" w:right="-330"/>
        <w:jc w:val="both"/>
        <w:rPr>
          <w:rFonts w:ascii="Arial" w:hAnsi="Arial" w:cs="Arial"/>
          <w:b/>
          <w:bCs/>
          <w:sz w:val="20"/>
          <w:szCs w:val="20"/>
        </w:rPr>
      </w:pPr>
      <w:r w:rsidRPr="00D93B76">
        <w:rPr>
          <w:rStyle w:val="Strong"/>
          <w:rFonts w:ascii="Arial" w:hAnsi="Arial" w:cs="Arial"/>
          <w:sz w:val="20"/>
          <w:szCs w:val="20"/>
        </w:rPr>
        <w:t>Aim</w:t>
      </w:r>
      <w:r w:rsidR="0070588B" w:rsidRPr="00D93B76">
        <w:rPr>
          <w:rStyle w:val="Strong"/>
          <w:rFonts w:ascii="Arial" w:hAnsi="Arial" w:cs="Arial"/>
          <w:sz w:val="20"/>
          <w:szCs w:val="20"/>
        </w:rPr>
        <w:t>:</w:t>
      </w:r>
    </w:p>
    <w:p w14:paraId="160CD543" w14:textId="2D080420" w:rsidR="0070588B" w:rsidRPr="003A2B18" w:rsidRDefault="006A3C85" w:rsidP="003A2B18">
      <w:pPr>
        <w:pStyle w:val="ListParagraph"/>
        <w:spacing w:line="240" w:lineRule="auto"/>
        <w:ind w:left="-142" w:right="-330"/>
        <w:jc w:val="both"/>
        <w:rPr>
          <w:rFonts w:ascii="Arial" w:hAnsi="Arial" w:cs="Arial"/>
          <w:sz w:val="20"/>
          <w:szCs w:val="20"/>
        </w:rPr>
      </w:pPr>
      <w:r w:rsidRPr="006A3C85">
        <w:rPr>
          <w:rFonts w:ascii="Arial" w:hAnsi="Arial" w:cs="Arial"/>
          <w:sz w:val="20"/>
          <w:szCs w:val="20"/>
        </w:rPr>
        <w:t>C-reactive protein (CRP)</w:t>
      </w:r>
      <w:r w:rsidR="009831E1">
        <w:rPr>
          <w:rFonts w:ascii="Arial" w:hAnsi="Arial" w:cs="Arial"/>
          <w:sz w:val="20"/>
          <w:szCs w:val="20"/>
        </w:rPr>
        <w:t xml:space="preserve"> levels</w:t>
      </w:r>
      <w:r w:rsidRPr="006A3C85">
        <w:rPr>
          <w:rFonts w:ascii="Arial" w:hAnsi="Arial" w:cs="Arial"/>
          <w:sz w:val="20"/>
          <w:szCs w:val="20"/>
        </w:rPr>
        <w:t xml:space="preserve"> are widely recognized as </w:t>
      </w:r>
      <w:r w:rsidR="009831E1">
        <w:rPr>
          <w:rFonts w:ascii="Arial" w:hAnsi="Arial" w:cs="Arial"/>
          <w:sz w:val="20"/>
          <w:szCs w:val="20"/>
        </w:rPr>
        <w:t>biomarkers</w:t>
      </w:r>
      <w:r w:rsidRPr="006A3C85">
        <w:rPr>
          <w:rFonts w:ascii="Arial" w:hAnsi="Arial" w:cs="Arial"/>
          <w:sz w:val="20"/>
          <w:szCs w:val="20"/>
        </w:rPr>
        <w:t xml:space="preserve"> of systemic inflammation and have been linked to an increased risk of chronic diseases.</w:t>
      </w:r>
      <w:r w:rsidR="003A2B18">
        <w:rPr>
          <w:rFonts w:ascii="Arial" w:hAnsi="Arial" w:cs="Arial"/>
          <w:sz w:val="20"/>
          <w:szCs w:val="20"/>
        </w:rPr>
        <w:t xml:space="preserve"> </w:t>
      </w:r>
      <w:r w:rsidRPr="006A3C85">
        <w:rPr>
          <w:rFonts w:ascii="Arial" w:hAnsi="Arial" w:cs="Arial"/>
          <w:sz w:val="20"/>
          <w:szCs w:val="20"/>
        </w:rPr>
        <w:t xml:space="preserve">However, potential analytical variability and individual biological responses may influence CRP readings particularly in environmental exposure studies. </w:t>
      </w:r>
      <w:r w:rsidRPr="003A2B18">
        <w:rPr>
          <w:rFonts w:ascii="Arial" w:hAnsi="Arial" w:cs="Arial"/>
          <w:sz w:val="20"/>
          <w:szCs w:val="20"/>
        </w:rPr>
        <w:t>Therefore, careful interpretation of CRP levels is essential when assessing inflammatory responses among</w:t>
      </w:r>
      <w:r w:rsidR="003A2B18">
        <w:rPr>
          <w:rFonts w:ascii="Arial" w:hAnsi="Arial" w:cs="Arial"/>
          <w:sz w:val="20"/>
          <w:szCs w:val="20"/>
        </w:rPr>
        <w:t xml:space="preserve"> </w:t>
      </w:r>
      <w:r w:rsidRPr="003A2B18">
        <w:rPr>
          <w:rFonts w:ascii="Arial" w:hAnsi="Arial" w:cs="Arial"/>
          <w:sz w:val="20"/>
          <w:szCs w:val="20"/>
        </w:rPr>
        <w:t>gasoline-exposed</w:t>
      </w:r>
      <w:r w:rsidR="003A2B18">
        <w:rPr>
          <w:rFonts w:ascii="Arial" w:hAnsi="Arial" w:cs="Arial"/>
          <w:sz w:val="20"/>
          <w:szCs w:val="20"/>
        </w:rPr>
        <w:t xml:space="preserve"> individuals. </w:t>
      </w:r>
      <w:r w:rsidR="0070588B" w:rsidRPr="003A2B18">
        <w:rPr>
          <w:rFonts w:ascii="Arial" w:hAnsi="Arial" w:cs="Arial"/>
          <w:sz w:val="20"/>
          <w:szCs w:val="20"/>
        </w:rPr>
        <w:t>This study investigates the impact of prolonged gasoline exposure on inflammatory response, using C-reactive protein (CRP) levels as a biomarker.</w:t>
      </w:r>
    </w:p>
    <w:p w14:paraId="055E2809" w14:textId="1647F2A9" w:rsidR="0070588B" w:rsidRPr="00D93B76" w:rsidRDefault="0070588B" w:rsidP="00D93B76">
      <w:pPr>
        <w:pStyle w:val="ListParagraph"/>
        <w:spacing w:line="240" w:lineRule="auto"/>
        <w:ind w:left="-142" w:right="-330"/>
        <w:jc w:val="both"/>
        <w:rPr>
          <w:rFonts w:ascii="Arial" w:hAnsi="Arial" w:cs="Arial"/>
          <w:sz w:val="20"/>
          <w:szCs w:val="20"/>
        </w:rPr>
      </w:pPr>
      <w:r w:rsidRPr="00D93B76">
        <w:rPr>
          <w:rStyle w:val="Strong"/>
          <w:rFonts w:ascii="Arial" w:hAnsi="Arial" w:cs="Arial"/>
          <w:sz w:val="20"/>
          <w:szCs w:val="20"/>
        </w:rPr>
        <w:t>Method</w:t>
      </w:r>
      <w:r w:rsidR="0089781D" w:rsidRPr="00D93B76">
        <w:rPr>
          <w:rStyle w:val="Strong"/>
          <w:rFonts w:ascii="Arial" w:hAnsi="Arial" w:cs="Arial"/>
          <w:sz w:val="20"/>
          <w:szCs w:val="20"/>
        </w:rPr>
        <w:t>ology</w:t>
      </w:r>
      <w:r w:rsidRPr="00D93B76">
        <w:rPr>
          <w:rStyle w:val="Strong"/>
          <w:rFonts w:ascii="Arial" w:hAnsi="Arial" w:cs="Arial"/>
          <w:sz w:val="20"/>
          <w:szCs w:val="20"/>
        </w:rPr>
        <w:t>:</w:t>
      </w:r>
      <w:r w:rsidRPr="00D93B76">
        <w:rPr>
          <w:rFonts w:ascii="Arial" w:hAnsi="Arial" w:cs="Arial"/>
          <w:sz w:val="20"/>
          <w:szCs w:val="20"/>
        </w:rPr>
        <w:br/>
        <w:t>A cross-sectional case-control study was conducted involving 60 apparently healthy participants (31 males, 29 females, aged 18–45). The experimental group comprised petroleum station attendants with gasoline exposure of over one year, further categorized into subgroups based on exposure duration: 1–2 years, 3–5 years, and over 5 years. Venous blood samples were collected and analyzed for CRP concentrations using standard laboratory methods.</w:t>
      </w:r>
    </w:p>
    <w:p w14:paraId="083299B2" w14:textId="5D9D5DDF" w:rsidR="00616C32" w:rsidRPr="00D93B76" w:rsidRDefault="0070588B" w:rsidP="00D93B76">
      <w:pPr>
        <w:pStyle w:val="ListParagraph"/>
        <w:spacing w:line="240" w:lineRule="auto"/>
        <w:ind w:left="-142" w:right="-330"/>
        <w:jc w:val="both"/>
        <w:rPr>
          <w:rFonts w:ascii="Arial" w:hAnsi="Arial" w:cs="Arial"/>
          <w:sz w:val="20"/>
          <w:szCs w:val="20"/>
        </w:rPr>
      </w:pPr>
      <w:r w:rsidRPr="00D93B76">
        <w:rPr>
          <w:rStyle w:val="Strong"/>
          <w:rFonts w:ascii="Arial" w:hAnsi="Arial" w:cs="Arial"/>
          <w:sz w:val="20"/>
          <w:szCs w:val="20"/>
        </w:rPr>
        <w:t>Result</w:t>
      </w:r>
      <w:r w:rsidR="0089781D" w:rsidRPr="00D93B76">
        <w:rPr>
          <w:rStyle w:val="Strong"/>
          <w:rFonts w:ascii="Arial" w:hAnsi="Arial" w:cs="Arial"/>
          <w:sz w:val="20"/>
          <w:szCs w:val="20"/>
        </w:rPr>
        <w:t>s</w:t>
      </w:r>
      <w:r w:rsidRPr="00D93B76">
        <w:rPr>
          <w:rStyle w:val="Strong"/>
          <w:rFonts w:ascii="Arial" w:hAnsi="Arial" w:cs="Arial"/>
          <w:sz w:val="20"/>
          <w:szCs w:val="20"/>
        </w:rPr>
        <w:t>:</w:t>
      </w:r>
      <w:r w:rsidRPr="00D93B76">
        <w:rPr>
          <w:rFonts w:ascii="Arial" w:hAnsi="Arial" w:cs="Arial"/>
          <w:sz w:val="20"/>
          <w:szCs w:val="20"/>
        </w:rPr>
        <w:br/>
        <w:t>CRP levels were significantly elevated in the 3–5 years (5.98 ± 2.29 mg/L) and &gt;5 years (5.37 ± 2.88 mg/L) exposure groups compared to the control group (1.25 ± 0.21 mg/L</w:t>
      </w:r>
      <w:r w:rsidR="00A915F4" w:rsidRPr="00A915F4">
        <w:rPr>
          <w:rFonts w:ascii="Arial" w:hAnsi="Arial" w:cs="Arial"/>
          <w:sz w:val="20"/>
          <w:szCs w:val="20"/>
        </w:rPr>
        <w:t>,</w:t>
      </w:r>
      <w:r w:rsidR="00A915F4">
        <w:rPr>
          <w:rFonts w:ascii="Arial" w:hAnsi="Arial" w:cs="Arial"/>
          <w:sz w:val="20"/>
          <w:szCs w:val="20"/>
        </w:rPr>
        <w:t xml:space="preserve"> </w:t>
      </w:r>
      <w:r w:rsidR="00A915F4" w:rsidRPr="00A915F4">
        <w:rPr>
          <w:rFonts w:ascii="Arial" w:hAnsi="Arial" w:cs="Arial"/>
          <w:sz w:val="20"/>
          <w:szCs w:val="20"/>
        </w:rPr>
        <w:t>p</w:t>
      </w:r>
      <w:r w:rsidR="00A915F4">
        <w:rPr>
          <w:rFonts w:ascii="Arial" w:hAnsi="Arial" w:cs="Arial"/>
          <w:sz w:val="20"/>
          <w:szCs w:val="20"/>
        </w:rPr>
        <w:t xml:space="preserve"> </w:t>
      </w:r>
      <w:r w:rsidR="00A915F4" w:rsidRPr="00A915F4">
        <w:rPr>
          <w:rFonts w:ascii="Arial" w:hAnsi="Arial" w:cs="Arial"/>
          <w:sz w:val="20"/>
          <w:szCs w:val="20"/>
        </w:rPr>
        <w:t>&lt;</w:t>
      </w:r>
      <w:r w:rsidR="00A915F4">
        <w:rPr>
          <w:rFonts w:ascii="Arial" w:hAnsi="Arial" w:cs="Arial"/>
          <w:sz w:val="20"/>
          <w:szCs w:val="20"/>
        </w:rPr>
        <w:t xml:space="preserve"> </w:t>
      </w:r>
      <w:r w:rsidR="00A915F4" w:rsidRPr="00A915F4">
        <w:rPr>
          <w:rFonts w:ascii="Arial" w:hAnsi="Arial" w:cs="Arial"/>
          <w:sz w:val="20"/>
          <w:szCs w:val="20"/>
        </w:rPr>
        <w:t>0.05</w:t>
      </w:r>
      <w:r w:rsidRPr="00A915F4">
        <w:rPr>
          <w:rFonts w:ascii="Arial" w:hAnsi="Arial" w:cs="Arial"/>
          <w:sz w:val="20"/>
          <w:szCs w:val="20"/>
        </w:rPr>
        <w:t>),</w:t>
      </w:r>
      <w:r w:rsidRPr="00D93B76">
        <w:rPr>
          <w:rFonts w:ascii="Arial" w:hAnsi="Arial" w:cs="Arial"/>
          <w:sz w:val="20"/>
          <w:szCs w:val="20"/>
        </w:rPr>
        <w:t xml:space="preserve"> indicating a notable inflammatory response in long-term exposed individuals. </w:t>
      </w:r>
    </w:p>
    <w:p w14:paraId="183EEC87" w14:textId="3F3FCFB9" w:rsidR="0070588B" w:rsidRPr="00D93B76" w:rsidRDefault="0070588B" w:rsidP="00D93B76">
      <w:pPr>
        <w:pStyle w:val="ListParagraph"/>
        <w:spacing w:line="240" w:lineRule="auto"/>
        <w:ind w:left="-142" w:right="-330"/>
        <w:jc w:val="both"/>
        <w:rPr>
          <w:rFonts w:ascii="Arial" w:hAnsi="Arial" w:cs="Arial"/>
          <w:b/>
          <w:sz w:val="20"/>
          <w:szCs w:val="20"/>
        </w:rPr>
      </w:pPr>
      <w:r w:rsidRPr="00D93B76">
        <w:rPr>
          <w:rStyle w:val="Strong"/>
          <w:rFonts w:ascii="Arial" w:hAnsi="Arial" w:cs="Arial"/>
          <w:sz w:val="20"/>
          <w:szCs w:val="20"/>
        </w:rPr>
        <w:t>Conclusion:</w:t>
      </w:r>
      <w:r w:rsidRPr="00D93B76">
        <w:rPr>
          <w:rFonts w:ascii="Arial" w:hAnsi="Arial" w:cs="Arial"/>
          <w:sz w:val="20"/>
          <w:szCs w:val="20"/>
        </w:rPr>
        <w:br/>
        <w:t xml:space="preserve">Prolonged exposure to gasoline </w:t>
      </w:r>
      <w:r w:rsidR="0089781D" w:rsidRPr="00D93B76">
        <w:rPr>
          <w:rFonts w:ascii="Arial" w:hAnsi="Arial" w:cs="Arial"/>
          <w:sz w:val="20"/>
          <w:szCs w:val="20"/>
        </w:rPr>
        <w:t>vapors</w:t>
      </w:r>
      <w:r w:rsidRPr="00D93B76">
        <w:rPr>
          <w:rFonts w:ascii="Arial" w:hAnsi="Arial" w:cs="Arial"/>
          <w:sz w:val="20"/>
          <w:szCs w:val="20"/>
        </w:rPr>
        <w:t xml:space="preserve"> is associated with systemic inflammation, as evidenced by elevated CRP levels. These findings </w:t>
      </w:r>
      <w:r w:rsidR="00616C32" w:rsidRPr="00D93B76">
        <w:rPr>
          <w:rFonts w:ascii="Arial" w:hAnsi="Arial" w:cs="Arial"/>
          <w:sz w:val="20"/>
          <w:szCs w:val="20"/>
        </w:rPr>
        <w:t xml:space="preserve">emphasize </w:t>
      </w:r>
      <w:r w:rsidRPr="00D93B76">
        <w:rPr>
          <w:rFonts w:ascii="Arial" w:hAnsi="Arial" w:cs="Arial"/>
          <w:sz w:val="20"/>
          <w:szCs w:val="20"/>
        </w:rPr>
        <w:t>the potential health risks for petroleum workers and the importance of implementing occupational health safety measures and regular health screenings.</w:t>
      </w:r>
    </w:p>
    <w:p w14:paraId="4104A69F" w14:textId="77777777" w:rsidR="00FD4E91" w:rsidRPr="00D93B76" w:rsidRDefault="00FD4E91" w:rsidP="00D93B76">
      <w:pPr>
        <w:pStyle w:val="Body"/>
        <w:spacing w:after="0"/>
        <w:rPr>
          <w:rFonts w:ascii="Arial" w:hAnsi="Arial" w:cs="Arial"/>
        </w:rPr>
      </w:pPr>
    </w:p>
    <w:p w14:paraId="6A7908B6" w14:textId="77777777" w:rsidR="00FD4E91" w:rsidRPr="00D93B76" w:rsidRDefault="0069480B" w:rsidP="00D93B76">
      <w:pPr>
        <w:pStyle w:val="Body"/>
        <w:spacing w:after="0"/>
        <w:ind w:left="-142"/>
        <w:rPr>
          <w:rFonts w:ascii="Arial" w:hAnsi="Arial" w:cs="Arial"/>
        </w:rPr>
      </w:pPr>
      <w:r w:rsidRPr="00D93B76">
        <w:rPr>
          <w:rFonts w:ascii="Arial" w:hAnsi="Arial" w:cs="Arial"/>
          <w:b/>
        </w:rPr>
        <w:t xml:space="preserve">Keywords: </w:t>
      </w:r>
      <w:r w:rsidR="003A2E4F" w:rsidRPr="00D93B76">
        <w:rPr>
          <w:rFonts w:ascii="Arial" w:hAnsi="Arial" w:cs="Arial"/>
        </w:rPr>
        <w:t xml:space="preserve">C-reactive protein, Gasoline exposure, </w:t>
      </w:r>
      <w:r w:rsidR="00616C32" w:rsidRPr="00D93B76">
        <w:rPr>
          <w:rFonts w:ascii="Arial" w:hAnsi="Arial" w:cs="Arial"/>
        </w:rPr>
        <w:t xml:space="preserve">Biomarker, </w:t>
      </w:r>
      <w:r w:rsidR="003A2E4F" w:rsidRPr="00D93B76">
        <w:rPr>
          <w:rFonts w:ascii="Arial" w:hAnsi="Arial" w:cs="Arial"/>
        </w:rPr>
        <w:t>Inflammatory response.</w:t>
      </w:r>
    </w:p>
    <w:p w14:paraId="40501DFC" w14:textId="77777777" w:rsidR="00192A61" w:rsidRPr="00AD49E5" w:rsidRDefault="00192A61" w:rsidP="00AD49E5">
      <w:pPr>
        <w:pStyle w:val="Body"/>
        <w:spacing w:after="0" w:line="480" w:lineRule="auto"/>
        <w:rPr>
          <w:rFonts w:ascii="Times New Roman" w:hAnsi="Times New Roman"/>
          <w:sz w:val="24"/>
          <w:szCs w:val="24"/>
        </w:rPr>
      </w:pPr>
    </w:p>
    <w:p w14:paraId="05CE617C" w14:textId="3786014D" w:rsidR="002F3E0A" w:rsidRPr="002F3E0A" w:rsidRDefault="0089781D" w:rsidP="002F3E0A">
      <w:pPr>
        <w:pStyle w:val="Body"/>
        <w:numPr>
          <w:ilvl w:val="0"/>
          <w:numId w:val="19"/>
        </w:numPr>
        <w:tabs>
          <w:tab w:val="left" w:pos="1571"/>
        </w:tabs>
        <w:spacing w:after="0" w:line="480" w:lineRule="auto"/>
        <w:jc w:val="left"/>
        <w:rPr>
          <w:rFonts w:ascii="Arial" w:hAnsi="Arial" w:cs="Arial"/>
          <w:b/>
          <w:sz w:val="24"/>
          <w:szCs w:val="24"/>
        </w:rPr>
      </w:pPr>
      <w:r w:rsidRPr="0089781D">
        <w:rPr>
          <w:rFonts w:ascii="Arial" w:hAnsi="Arial" w:cs="Arial"/>
          <w:b/>
          <w:sz w:val="24"/>
          <w:szCs w:val="24"/>
        </w:rPr>
        <w:t>INTRODUCTION</w:t>
      </w:r>
    </w:p>
    <w:p w14:paraId="32D57893" w14:textId="20B31CD3" w:rsidR="002F3E0A" w:rsidRPr="002F3E0A" w:rsidRDefault="002F3E0A" w:rsidP="002F3E0A">
      <w:pPr>
        <w:pStyle w:val="NormalWeb"/>
        <w:jc w:val="both"/>
        <w:rPr>
          <w:rFonts w:ascii="Arial" w:hAnsi="Arial" w:cs="Arial"/>
          <w:sz w:val="20"/>
          <w:szCs w:val="20"/>
        </w:rPr>
      </w:pPr>
      <w:r w:rsidRPr="002F3E0A">
        <w:rPr>
          <w:rFonts w:ascii="Arial" w:hAnsi="Arial" w:cs="Arial"/>
          <w:sz w:val="20"/>
          <w:szCs w:val="20"/>
        </w:rPr>
        <w:t>Gasoline plays a central role in the transportation industry, serving as the primary fuel for internal combustion engines in vehicles such as cars, trucks, airplanes, all-terrain vehicles, lawnmowers, generators, and heating systems (Agarwal, 2007). However, exposure to gasoline</w:t>
      </w:r>
      <w:r>
        <w:rPr>
          <w:rFonts w:ascii="Arial" w:hAnsi="Arial" w:cs="Arial"/>
          <w:sz w:val="20"/>
          <w:szCs w:val="20"/>
        </w:rPr>
        <w:t xml:space="preserve"> </w:t>
      </w:r>
      <w:r w:rsidRPr="002F3E0A">
        <w:rPr>
          <w:rFonts w:ascii="Arial" w:hAnsi="Arial" w:cs="Arial"/>
          <w:sz w:val="20"/>
          <w:szCs w:val="20"/>
        </w:rPr>
        <w:t>through inhalation, ingestion, or skin contact</w:t>
      </w:r>
      <w:r>
        <w:rPr>
          <w:rFonts w:ascii="Arial" w:hAnsi="Arial" w:cs="Arial"/>
          <w:sz w:val="20"/>
          <w:szCs w:val="20"/>
        </w:rPr>
        <w:t xml:space="preserve"> </w:t>
      </w:r>
      <w:r w:rsidRPr="002F3E0A">
        <w:rPr>
          <w:rFonts w:ascii="Arial" w:hAnsi="Arial" w:cs="Arial"/>
          <w:sz w:val="20"/>
          <w:szCs w:val="20"/>
        </w:rPr>
        <w:t>has been linked to multiple health hazards, including alterations in hematological parameters and damage to vital organs such as the liver and kidneys. Prolonged exposure can cause skin irritation, respiratory distress, and internal organ dysfunction as a result of dermal absorption, vapor inhalation, or accidental ingestion (</w:t>
      </w:r>
      <w:proofErr w:type="spellStart"/>
      <w:r w:rsidRPr="002F3E0A">
        <w:rPr>
          <w:rFonts w:ascii="Arial" w:hAnsi="Arial" w:cs="Arial"/>
          <w:sz w:val="20"/>
          <w:szCs w:val="20"/>
        </w:rPr>
        <w:t>Asefaw</w:t>
      </w:r>
      <w:proofErr w:type="spellEnd"/>
      <w:r w:rsidRPr="002F3E0A">
        <w:rPr>
          <w:rFonts w:ascii="Arial" w:hAnsi="Arial" w:cs="Arial"/>
          <w:sz w:val="20"/>
          <w:szCs w:val="20"/>
        </w:rPr>
        <w:t xml:space="preserve"> et al., 2020; Christian et al., 2016; </w:t>
      </w:r>
      <w:proofErr w:type="spellStart"/>
      <w:r w:rsidRPr="002F3E0A">
        <w:rPr>
          <w:rFonts w:ascii="Arial" w:hAnsi="Arial" w:cs="Arial"/>
          <w:sz w:val="20"/>
          <w:szCs w:val="20"/>
        </w:rPr>
        <w:t>Alzahrani</w:t>
      </w:r>
      <w:proofErr w:type="spellEnd"/>
      <w:r w:rsidRPr="002F3E0A">
        <w:rPr>
          <w:rFonts w:ascii="Arial" w:hAnsi="Arial" w:cs="Arial"/>
          <w:sz w:val="20"/>
          <w:szCs w:val="20"/>
        </w:rPr>
        <w:t xml:space="preserve"> &amp; Rajendran, 2019). These effects are driven by the toxic interaction of petroleum constituents with body tissues and their ability to trigger oxidative stress and inflammatory responses.</w:t>
      </w:r>
    </w:p>
    <w:p w14:paraId="427F7B57" w14:textId="12DAF612" w:rsidR="002F3E0A" w:rsidRPr="002F3E0A" w:rsidRDefault="002F3E0A" w:rsidP="002F3E0A">
      <w:pPr>
        <w:pStyle w:val="NormalWeb"/>
        <w:jc w:val="both"/>
        <w:rPr>
          <w:rFonts w:ascii="Arial" w:hAnsi="Arial" w:cs="Arial"/>
          <w:sz w:val="20"/>
          <w:szCs w:val="20"/>
        </w:rPr>
      </w:pPr>
      <w:r w:rsidRPr="002F3E0A">
        <w:rPr>
          <w:rFonts w:ascii="Arial" w:hAnsi="Arial" w:cs="Arial"/>
          <w:sz w:val="20"/>
          <w:szCs w:val="20"/>
        </w:rPr>
        <w:t>In Port Harcourt, Nigeria</w:t>
      </w:r>
      <w:r>
        <w:rPr>
          <w:rFonts w:ascii="Arial" w:hAnsi="Arial" w:cs="Arial"/>
          <w:sz w:val="20"/>
          <w:szCs w:val="20"/>
        </w:rPr>
        <w:t xml:space="preserve"> </w:t>
      </w:r>
      <w:r w:rsidRPr="002F3E0A">
        <w:rPr>
          <w:rFonts w:ascii="Arial" w:hAnsi="Arial" w:cs="Arial"/>
          <w:sz w:val="20"/>
          <w:szCs w:val="20"/>
        </w:rPr>
        <w:t>a major city within the oil-rich Niger Delta region</w:t>
      </w:r>
      <w:r>
        <w:rPr>
          <w:rFonts w:ascii="Arial" w:hAnsi="Arial" w:cs="Arial"/>
          <w:sz w:val="20"/>
          <w:szCs w:val="20"/>
        </w:rPr>
        <w:t xml:space="preserve">, </w:t>
      </w:r>
      <w:r w:rsidRPr="002F3E0A">
        <w:rPr>
          <w:rFonts w:ascii="Arial" w:hAnsi="Arial" w:cs="Arial"/>
          <w:sz w:val="20"/>
          <w:szCs w:val="20"/>
        </w:rPr>
        <w:t>petroleum-related industrial activities have contributed to worsening air pollution and public health outcomes. Oil and gas operations have been identified as significant sources of ambient air pollution (</w:t>
      </w:r>
      <w:proofErr w:type="spellStart"/>
      <w:r w:rsidRPr="002F3E0A">
        <w:rPr>
          <w:rFonts w:ascii="Arial" w:hAnsi="Arial" w:cs="Arial"/>
          <w:sz w:val="20"/>
          <w:szCs w:val="20"/>
        </w:rPr>
        <w:t>Zabbey</w:t>
      </w:r>
      <w:proofErr w:type="spellEnd"/>
      <w:r w:rsidRPr="002F3E0A">
        <w:rPr>
          <w:rFonts w:ascii="Arial" w:hAnsi="Arial" w:cs="Arial"/>
          <w:sz w:val="20"/>
          <w:szCs w:val="20"/>
        </w:rPr>
        <w:t xml:space="preserve"> et al., 2021). Residents and workers in this region are increasingly reporting respiratory illnesses, including asthma and pneumonia, signaling a growing environmental health concern (Yakubu, 2017). Among the most affected are </w:t>
      </w:r>
      <w:r w:rsidRPr="002F3E0A">
        <w:rPr>
          <w:rStyle w:val="Strong"/>
          <w:rFonts w:ascii="Arial" w:hAnsi="Arial" w:cs="Arial"/>
          <w:b w:val="0"/>
          <w:sz w:val="20"/>
          <w:szCs w:val="20"/>
        </w:rPr>
        <w:t>petroleum pump attendants</w:t>
      </w:r>
      <w:r w:rsidRPr="002F3E0A">
        <w:rPr>
          <w:rFonts w:ascii="Arial" w:hAnsi="Arial" w:cs="Arial"/>
          <w:sz w:val="20"/>
          <w:szCs w:val="20"/>
        </w:rPr>
        <w:t>, who are continually exposed to gasoline vapors during fuel dispensing, engine checks, and daily station operations. In Nigeria, these workers represent the frontline of fueling services and are particularly susceptible to long-term health risks from hydrocarbon exposure.</w:t>
      </w:r>
    </w:p>
    <w:p w14:paraId="2FAB8D93" w14:textId="78BB5C43" w:rsidR="002F3E0A" w:rsidRPr="002F3E0A" w:rsidRDefault="002F3E0A" w:rsidP="002F3E0A">
      <w:pPr>
        <w:pStyle w:val="NormalWeb"/>
        <w:jc w:val="both"/>
        <w:rPr>
          <w:rFonts w:ascii="Arial" w:hAnsi="Arial" w:cs="Arial"/>
          <w:sz w:val="20"/>
          <w:szCs w:val="20"/>
        </w:rPr>
      </w:pPr>
      <w:r w:rsidRPr="002F3E0A">
        <w:rPr>
          <w:rFonts w:ascii="Arial" w:hAnsi="Arial" w:cs="Arial"/>
          <w:sz w:val="20"/>
          <w:szCs w:val="20"/>
        </w:rPr>
        <w:t>Previous studies have shown that repeated exposure to petroleum products can lead to damage in sensitive organs and systems, particularly the lungs, liver, kidneys, and hematopoietic system (</w:t>
      </w:r>
      <w:proofErr w:type="spellStart"/>
      <w:r w:rsidRPr="002F3E0A">
        <w:rPr>
          <w:rFonts w:ascii="Arial" w:hAnsi="Arial" w:cs="Arial"/>
          <w:sz w:val="20"/>
          <w:szCs w:val="20"/>
        </w:rPr>
        <w:t>Asefaw</w:t>
      </w:r>
      <w:proofErr w:type="spellEnd"/>
      <w:r w:rsidRPr="002F3E0A">
        <w:rPr>
          <w:rFonts w:ascii="Arial" w:hAnsi="Arial" w:cs="Arial"/>
          <w:sz w:val="20"/>
          <w:szCs w:val="20"/>
        </w:rPr>
        <w:t xml:space="preserve"> et al., 2020; Christian et al., 2016; </w:t>
      </w:r>
      <w:proofErr w:type="spellStart"/>
      <w:r w:rsidRPr="002F3E0A">
        <w:rPr>
          <w:rFonts w:ascii="Arial" w:hAnsi="Arial" w:cs="Arial"/>
          <w:sz w:val="20"/>
          <w:szCs w:val="20"/>
        </w:rPr>
        <w:t>Orolua</w:t>
      </w:r>
      <w:proofErr w:type="spellEnd"/>
      <w:r w:rsidRPr="002F3E0A">
        <w:rPr>
          <w:rFonts w:ascii="Arial" w:hAnsi="Arial" w:cs="Arial"/>
          <w:sz w:val="20"/>
          <w:szCs w:val="20"/>
        </w:rPr>
        <w:t xml:space="preserve"> et al., 2024). Skin contact may result in rashes and </w:t>
      </w:r>
      <w:r w:rsidRPr="002F3E0A">
        <w:rPr>
          <w:rFonts w:ascii="Arial" w:hAnsi="Arial" w:cs="Arial"/>
          <w:sz w:val="20"/>
          <w:szCs w:val="20"/>
        </w:rPr>
        <w:lastRenderedPageBreak/>
        <w:t>inflammation, while inhalation and ingestion can impair internal organ function (</w:t>
      </w:r>
      <w:proofErr w:type="spellStart"/>
      <w:r w:rsidRPr="002F3E0A">
        <w:rPr>
          <w:rFonts w:ascii="Arial" w:hAnsi="Arial" w:cs="Arial"/>
          <w:sz w:val="20"/>
          <w:szCs w:val="20"/>
        </w:rPr>
        <w:t>Alzahrani</w:t>
      </w:r>
      <w:proofErr w:type="spellEnd"/>
      <w:r w:rsidRPr="002F3E0A">
        <w:rPr>
          <w:rFonts w:ascii="Arial" w:hAnsi="Arial" w:cs="Arial"/>
          <w:sz w:val="20"/>
          <w:szCs w:val="20"/>
        </w:rPr>
        <w:t xml:space="preserve"> &amp; Rajendran, 2019). In the Niger Delta, the widespread use of petroleum products and emissions from oil refineries mean that both residents and workers face near-constant exposure to airborne hydrocarbons and particulate matter. This environmental backdrop makes it important to investigate biological responses to exposure using reliable biomarkers.</w:t>
      </w:r>
    </w:p>
    <w:p w14:paraId="056E8A2E" w14:textId="302C3101" w:rsidR="00400B09" w:rsidRDefault="002F3E0A" w:rsidP="002F3E0A">
      <w:pPr>
        <w:pStyle w:val="NormalWeb"/>
        <w:jc w:val="both"/>
        <w:rPr>
          <w:rFonts w:ascii="Arial" w:hAnsi="Arial" w:cs="Arial"/>
          <w:sz w:val="20"/>
          <w:szCs w:val="20"/>
        </w:rPr>
      </w:pPr>
      <w:r w:rsidRPr="002F3E0A">
        <w:rPr>
          <w:rFonts w:ascii="Arial" w:hAnsi="Arial" w:cs="Arial"/>
          <w:sz w:val="20"/>
          <w:szCs w:val="20"/>
        </w:rPr>
        <w:t>C-reactive protein (CRP) is a well-established acute-phase protein synthesized in the liver in response to cytokines such as interleukin-6 (IL-6) and interleukin-1β (IL-1β). Its concentration can increase dramatically</w:t>
      </w:r>
      <w:r w:rsidR="00400B09">
        <w:rPr>
          <w:rFonts w:ascii="Arial" w:hAnsi="Arial" w:cs="Arial"/>
          <w:sz w:val="20"/>
          <w:szCs w:val="20"/>
        </w:rPr>
        <w:t xml:space="preserve"> </w:t>
      </w:r>
      <w:r w:rsidRPr="002F3E0A">
        <w:rPr>
          <w:rFonts w:ascii="Arial" w:hAnsi="Arial" w:cs="Arial"/>
          <w:sz w:val="20"/>
          <w:szCs w:val="20"/>
        </w:rPr>
        <w:t>up to a thousand-fold</w:t>
      </w:r>
      <w:r w:rsidR="00400B09">
        <w:rPr>
          <w:rFonts w:ascii="Arial" w:hAnsi="Arial" w:cs="Arial"/>
          <w:sz w:val="20"/>
          <w:szCs w:val="20"/>
        </w:rPr>
        <w:t xml:space="preserve"> </w:t>
      </w:r>
      <w:r w:rsidRPr="002F3E0A">
        <w:rPr>
          <w:rFonts w:ascii="Arial" w:hAnsi="Arial" w:cs="Arial"/>
          <w:sz w:val="20"/>
          <w:szCs w:val="20"/>
        </w:rPr>
        <w:t>during acute inflammation, tissue injury or infection (</w:t>
      </w:r>
      <w:proofErr w:type="spellStart"/>
      <w:r w:rsidRPr="002F3E0A">
        <w:rPr>
          <w:rFonts w:ascii="Arial" w:hAnsi="Arial" w:cs="Arial"/>
          <w:sz w:val="20"/>
          <w:szCs w:val="20"/>
        </w:rPr>
        <w:t>Sproston</w:t>
      </w:r>
      <w:proofErr w:type="spellEnd"/>
      <w:r w:rsidRPr="002F3E0A">
        <w:rPr>
          <w:rFonts w:ascii="Arial" w:hAnsi="Arial" w:cs="Arial"/>
          <w:sz w:val="20"/>
          <w:szCs w:val="20"/>
        </w:rPr>
        <w:t xml:space="preserve"> &amp; Ashworth, 2018; </w:t>
      </w:r>
      <w:proofErr w:type="spellStart"/>
      <w:r w:rsidRPr="002F3E0A">
        <w:rPr>
          <w:rFonts w:ascii="Arial" w:hAnsi="Arial" w:cs="Arial"/>
          <w:sz w:val="20"/>
          <w:szCs w:val="20"/>
        </w:rPr>
        <w:t>Mackiewicz</w:t>
      </w:r>
      <w:proofErr w:type="spellEnd"/>
      <w:r w:rsidRPr="002F3E0A">
        <w:rPr>
          <w:rFonts w:ascii="Arial" w:hAnsi="Arial" w:cs="Arial"/>
          <w:sz w:val="20"/>
          <w:szCs w:val="20"/>
        </w:rPr>
        <w:t xml:space="preserve"> et al., 2023). CRP is widely used in clinical settings to detect and monitor systemic inflammation and is closely linked to the pathogenesis of cardiovascular and other chronic diseases (Li &amp; Fang, 2004; </w:t>
      </w:r>
      <w:proofErr w:type="spellStart"/>
      <w:r w:rsidRPr="002F3E0A">
        <w:rPr>
          <w:rFonts w:ascii="Arial" w:hAnsi="Arial" w:cs="Arial"/>
          <w:sz w:val="20"/>
          <w:szCs w:val="20"/>
        </w:rPr>
        <w:t>Ridker</w:t>
      </w:r>
      <w:proofErr w:type="spellEnd"/>
      <w:r w:rsidRPr="002F3E0A">
        <w:rPr>
          <w:rFonts w:ascii="Arial" w:hAnsi="Arial" w:cs="Arial"/>
          <w:sz w:val="20"/>
          <w:szCs w:val="20"/>
        </w:rPr>
        <w:t>, 2009). It exists in two structural forms: pentameric CRP (</w:t>
      </w:r>
      <w:proofErr w:type="spellStart"/>
      <w:r w:rsidRPr="002F3E0A">
        <w:rPr>
          <w:rFonts w:ascii="Arial" w:hAnsi="Arial" w:cs="Arial"/>
          <w:sz w:val="20"/>
          <w:szCs w:val="20"/>
        </w:rPr>
        <w:t>pCRP</w:t>
      </w:r>
      <w:proofErr w:type="spellEnd"/>
      <w:r w:rsidRPr="002F3E0A">
        <w:rPr>
          <w:rFonts w:ascii="Arial" w:hAnsi="Arial" w:cs="Arial"/>
          <w:sz w:val="20"/>
          <w:szCs w:val="20"/>
        </w:rPr>
        <w:t>) and monomeric CRP (</w:t>
      </w:r>
      <w:proofErr w:type="spellStart"/>
      <w:r w:rsidRPr="002F3E0A">
        <w:rPr>
          <w:rFonts w:ascii="Arial" w:hAnsi="Arial" w:cs="Arial"/>
          <w:sz w:val="20"/>
          <w:szCs w:val="20"/>
        </w:rPr>
        <w:t>mCRP</w:t>
      </w:r>
      <w:proofErr w:type="spellEnd"/>
      <w:r w:rsidRPr="002F3E0A">
        <w:rPr>
          <w:rFonts w:ascii="Arial" w:hAnsi="Arial" w:cs="Arial"/>
          <w:sz w:val="20"/>
          <w:szCs w:val="20"/>
        </w:rPr>
        <w:t xml:space="preserve">), which is pro-inflammatory and typically found at sites of tissue damage (McFadyen et al., 2018). The shift from </w:t>
      </w:r>
      <w:proofErr w:type="spellStart"/>
      <w:r w:rsidRPr="002F3E0A">
        <w:rPr>
          <w:rFonts w:ascii="Arial" w:hAnsi="Arial" w:cs="Arial"/>
          <w:sz w:val="20"/>
          <w:szCs w:val="20"/>
        </w:rPr>
        <w:t>pCRP</w:t>
      </w:r>
      <w:proofErr w:type="spellEnd"/>
      <w:r w:rsidRPr="002F3E0A">
        <w:rPr>
          <w:rFonts w:ascii="Arial" w:hAnsi="Arial" w:cs="Arial"/>
          <w:sz w:val="20"/>
          <w:szCs w:val="20"/>
        </w:rPr>
        <w:t xml:space="preserve"> to </w:t>
      </w:r>
      <w:proofErr w:type="spellStart"/>
      <w:r w:rsidRPr="002F3E0A">
        <w:rPr>
          <w:rFonts w:ascii="Arial" w:hAnsi="Arial" w:cs="Arial"/>
          <w:sz w:val="20"/>
          <w:szCs w:val="20"/>
        </w:rPr>
        <w:t>mCRP</w:t>
      </w:r>
      <w:proofErr w:type="spellEnd"/>
      <w:r w:rsidR="00400B09">
        <w:rPr>
          <w:rFonts w:ascii="Arial" w:hAnsi="Arial" w:cs="Arial"/>
          <w:sz w:val="20"/>
          <w:szCs w:val="20"/>
        </w:rPr>
        <w:t xml:space="preserve"> is </w:t>
      </w:r>
      <w:r w:rsidRPr="002F3E0A">
        <w:rPr>
          <w:rFonts w:ascii="Arial" w:hAnsi="Arial" w:cs="Arial"/>
          <w:sz w:val="20"/>
          <w:szCs w:val="20"/>
        </w:rPr>
        <w:t>driven by activated immune cells</w:t>
      </w:r>
      <w:r w:rsidR="00400B09">
        <w:rPr>
          <w:rFonts w:ascii="Arial" w:hAnsi="Arial" w:cs="Arial"/>
          <w:sz w:val="20"/>
          <w:szCs w:val="20"/>
        </w:rPr>
        <w:t xml:space="preserve"> and</w:t>
      </w:r>
      <w:r w:rsidRPr="002F3E0A">
        <w:rPr>
          <w:rFonts w:ascii="Arial" w:hAnsi="Arial" w:cs="Arial"/>
          <w:sz w:val="20"/>
          <w:szCs w:val="20"/>
        </w:rPr>
        <w:t xml:space="preserve"> amplifies the local inflammatory response.</w:t>
      </w:r>
      <w:r w:rsidR="00400B09">
        <w:rPr>
          <w:rFonts w:ascii="Arial" w:hAnsi="Arial" w:cs="Arial"/>
          <w:sz w:val="20"/>
          <w:szCs w:val="20"/>
        </w:rPr>
        <w:t xml:space="preserve"> </w:t>
      </w:r>
      <w:r w:rsidRPr="002F3E0A">
        <w:rPr>
          <w:rFonts w:ascii="Arial" w:hAnsi="Arial" w:cs="Arial"/>
          <w:sz w:val="20"/>
          <w:szCs w:val="20"/>
        </w:rPr>
        <w:t xml:space="preserve">CRP is not only useful in diagnosing infections and inflammatory disorders, but also in understanding environmental and occupational exposures. Persistent inflammation, if left unregulated, is a key mechanism in the development of chronic diseases such as diabetes and coronary artery disease (Van Dyke &amp; </w:t>
      </w:r>
      <w:proofErr w:type="spellStart"/>
      <w:r w:rsidRPr="002F3E0A">
        <w:rPr>
          <w:rFonts w:ascii="Arial" w:hAnsi="Arial" w:cs="Arial"/>
          <w:sz w:val="20"/>
          <w:szCs w:val="20"/>
        </w:rPr>
        <w:t>Kornman</w:t>
      </w:r>
      <w:proofErr w:type="spellEnd"/>
      <w:r w:rsidRPr="002F3E0A">
        <w:rPr>
          <w:rFonts w:ascii="Arial" w:hAnsi="Arial" w:cs="Arial"/>
          <w:sz w:val="20"/>
          <w:szCs w:val="20"/>
        </w:rPr>
        <w:t>, 2008). Th</w:t>
      </w:r>
      <w:r w:rsidR="00400B09">
        <w:rPr>
          <w:rFonts w:ascii="Arial" w:hAnsi="Arial" w:cs="Arial"/>
          <w:sz w:val="20"/>
          <w:szCs w:val="20"/>
        </w:rPr>
        <w:t>erefore</w:t>
      </w:r>
      <w:r w:rsidRPr="002F3E0A">
        <w:rPr>
          <w:rFonts w:ascii="Arial" w:hAnsi="Arial" w:cs="Arial"/>
          <w:sz w:val="20"/>
          <w:szCs w:val="20"/>
        </w:rPr>
        <w:t xml:space="preserve">, CRP serves both as a diagnostic and prognostic tool, capable of detecting early biological responses to </w:t>
      </w:r>
      <w:r w:rsidR="00400B09">
        <w:rPr>
          <w:rFonts w:ascii="Arial" w:hAnsi="Arial" w:cs="Arial"/>
          <w:sz w:val="20"/>
          <w:szCs w:val="20"/>
        </w:rPr>
        <w:t xml:space="preserve">unhealthy </w:t>
      </w:r>
      <w:r w:rsidRPr="002F3E0A">
        <w:rPr>
          <w:rFonts w:ascii="Arial" w:hAnsi="Arial" w:cs="Arial"/>
          <w:sz w:val="20"/>
          <w:szCs w:val="20"/>
        </w:rPr>
        <w:t xml:space="preserve">environmental </w:t>
      </w:r>
      <w:r w:rsidR="00400B09">
        <w:rPr>
          <w:rFonts w:ascii="Arial" w:hAnsi="Arial" w:cs="Arial"/>
          <w:sz w:val="20"/>
          <w:szCs w:val="20"/>
        </w:rPr>
        <w:t>exposure</w:t>
      </w:r>
      <w:r w:rsidRPr="002F3E0A">
        <w:rPr>
          <w:rFonts w:ascii="Arial" w:hAnsi="Arial" w:cs="Arial"/>
          <w:sz w:val="20"/>
          <w:szCs w:val="20"/>
        </w:rPr>
        <w:t>s.</w:t>
      </w:r>
    </w:p>
    <w:p w14:paraId="664B120C" w14:textId="1461C27A" w:rsidR="002F3E0A" w:rsidRPr="002F3E0A" w:rsidRDefault="002F3E0A" w:rsidP="002F3E0A">
      <w:pPr>
        <w:pStyle w:val="NormalWeb"/>
        <w:jc w:val="both"/>
        <w:rPr>
          <w:rFonts w:ascii="Arial" w:hAnsi="Arial" w:cs="Arial"/>
          <w:sz w:val="20"/>
          <w:szCs w:val="20"/>
        </w:rPr>
      </w:pPr>
      <w:r w:rsidRPr="002F3E0A">
        <w:rPr>
          <w:rFonts w:ascii="Arial" w:hAnsi="Arial" w:cs="Arial"/>
          <w:sz w:val="20"/>
          <w:szCs w:val="20"/>
        </w:rPr>
        <w:t>Despite the significant and ongoing exposure of petroleum pump attendants to gasoline fumes, few studies have investigated the systemic inflammatory impact of such exposure using CRP as a biomarker. Given the high-risk environment in Port Harcourt, this study was designed to assess CRP levels among gasoline-exposed workers compared to a non-exposed control group. The goal is to determine whether chronic exposure to gasoline is associated with elevated CRP levels, which may suggest heightened inflammatory responses and increased health risks</w:t>
      </w:r>
      <w:r w:rsidRPr="002F3E0A">
        <w:rPr>
          <w:rFonts w:ascii="Arial" w:hAnsi="Arial" w:cs="Arial"/>
          <w:sz w:val="20"/>
          <w:szCs w:val="20"/>
        </w:rPr>
        <w:t>.</w:t>
      </w:r>
    </w:p>
    <w:p w14:paraId="77047DF6" w14:textId="77777777" w:rsidR="000D23E1" w:rsidRDefault="000D23E1" w:rsidP="000D23E1">
      <w:pPr>
        <w:spacing w:line="480" w:lineRule="auto"/>
        <w:jc w:val="both"/>
        <w:rPr>
          <w:rFonts w:ascii="Times New Roman" w:hAnsi="Times New Roman" w:cs="Times New Roman"/>
          <w:b/>
          <w:sz w:val="24"/>
          <w:szCs w:val="24"/>
        </w:rPr>
      </w:pPr>
    </w:p>
    <w:p w14:paraId="071E8F73" w14:textId="2F0B943C" w:rsidR="003A2100" w:rsidRPr="0089781D" w:rsidRDefault="0089781D" w:rsidP="000D23E1">
      <w:pPr>
        <w:spacing w:line="480" w:lineRule="auto"/>
        <w:jc w:val="both"/>
        <w:rPr>
          <w:rFonts w:ascii="Arial" w:hAnsi="Arial" w:cs="Arial"/>
          <w:b/>
        </w:rPr>
      </w:pPr>
      <w:r w:rsidRPr="0089781D">
        <w:rPr>
          <w:rFonts w:ascii="Arial" w:hAnsi="Arial" w:cs="Arial"/>
          <w:b/>
        </w:rPr>
        <w:t>2. METHODOLOGY</w:t>
      </w:r>
    </w:p>
    <w:p w14:paraId="75CCE092" w14:textId="410DA6DB" w:rsidR="00B852AC" w:rsidRPr="0027155A" w:rsidRDefault="009A1260" w:rsidP="0027155A">
      <w:pPr>
        <w:jc w:val="both"/>
        <w:rPr>
          <w:rFonts w:ascii="Arial" w:hAnsi="Arial" w:cs="Arial"/>
          <w:sz w:val="20"/>
          <w:szCs w:val="20"/>
        </w:rPr>
      </w:pPr>
      <w:r w:rsidRPr="0027155A">
        <w:rPr>
          <w:rFonts w:ascii="Arial" w:hAnsi="Arial" w:cs="Arial"/>
          <w:sz w:val="20"/>
          <w:szCs w:val="20"/>
        </w:rPr>
        <w:t>In Port Harcourt Metropolis, Nigeria, two distinct populations participated in a cross-sectional case-control study. For this study, a total of 60 participants between the ages of 18 and 45 were enlisted.</w:t>
      </w:r>
      <w:r w:rsidR="0029356A" w:rsidRPr="0027155A">
        <w:rPr>
          <w:rFonts w:ascii="Arial" w:hAnsi="Arial" w:cs="Arial"/>
          <w:sz w:val="20"/>
          <w:szCs w:val="20"/>
        </w:rPr>
        <w:t xml:space="preserve"> </w:t>
      </w:r>
      <w:r w:rsidRPr="0027155A">
        <w:rPr>
          <w:rFonts w:ascii="Arial" w:eastAsia="Times New Roman" w:hAnsi="Arial" w:cs="Arial"/>
          <w:sz w:val="20"/>
          <w:szCs w:val="20"/>
        </w:rPr>
        <w:t>Blood s</w:t>
      </w:r>
      <w:r w:rsidR="0029356A" w:rsidRPr="0027155A">
        <w:rPr>
          <w:rFonts w:ascii="Arial" w:eastAsia="Times New Roman" w:hAnsi="Arial" w:cs="Arial"/>
          <w:sz w:val="20"/>
          <w:szCs w:val="20"/>
        </w:rPr>
        <w:t>amples</w:t>
      </w:r>
      <w:r w:rsidRPr="0027155A">
        <w:rPr>
          <w:rFonts w:ascii="Arial" w:eastAsia="Times New Roman" w:hAnsi="Arial" w:cs="Arial"/>
          <w:sz w:val="20"/>
          <w:szCs w:val="20"/>
        </w:rPr>
        <w:t xml:space="preserve"> were </w:t>
      </w:r>
      <w:r w:rsidR="0029356A" w:rsidRPr="0027155A">
        <w:rPr>
          <w:rFonts w:ascii="Arial" w:eastAsia="Times New Roman" w:hAnsi="Arial" w:cs="Arial"/>
          <w:sz w:val="20"/>
          <w:szCs w:val="20"/>
        </w:rPr>
        <w:t>collected</w:t>
      </w:r>
      <w:r w:rsidRPr="0027155A">
        <w:rPr>
          <w:rFonts w:ascii="Arial" w:eastAsia="Times New Roman" w:hAnsi="Arial" w:cs="Arial"/>
          <w:sz w:val="20"/>
          <w:szCs w:val="20"/>
        </w:rPr>
        <w:t xml:space="preserve"> from study participants</w:t>
      </w:r>
      <w:r w:rsidRPr="0027155A">
        <w:rPr>
          <w:rFonts w:ascii="Arial" w:hAnsi="Arial" w:cs="Arial"/>
          <w:sz w:val="20"/>
          <w:szCs w:val="20"/>
        </w:rPr>
        <w:t xml:space="preserve"> in plain sample bottle</w:t>
      </w:r>
      <w:r w:rsidR="0029356A" w:rsidRPr="0027155A">
        <w:rPr>
          <w:rFonts w:ascii="Arial" w:hAnsi="Arial" w:cs="Arial"/>
          <w:sz w:val="20"/>
          <w:szCs w:val="20"/>
        </w:rPr>
        <w:t>s</w:t>
      </w:r>
      <w:r w:rsidRPr="0027155A">
        <w:rPr>
          <w:rFonts w:ascii="Arial" w:hAnsi="Arial" w:cs="Arial"/>
          <w:sz w:val="20"/>
          <w:szCs w:val="20"/>
        </w:rPr>
        <w:t xml:space="preserve"> for determination of C-reactive protein levels.</w:t>
      </w:r>
      <w:r w:rsidRPr="0027155A">
        <w:rPr>
          <w:rFonts w:ascii="Arial" w:eastAsia="Times New Roman" w:hAnsi="Arial" w:cs="Arial"/>
          <w:sz w:val="20"/>
          <w:szCs w:val="20"/>
        </w:rPr>
        <w:t xml:space="preserve"> After collection, t</w:t>
      </w:r>
      <w:r w:rsidRPr="0027155A">
        <w:rPr>
          <w:rFonts w:ascii="Arial" w:hAnsi="Arial" w:cs="Arial"/>
          <w:sz w:val="20"/>
          <w:szCs w:val="20"/>
        </w:rPr>
        <w:t>he blood samples were conveyed immediately to the University of Port Harcourt Teaching Hospital where they were separated with a centrifuge and analyzed at the Department of Chemical Pathology, University of Port Harcourt Teaching Hospital, Choba, Rivers State, Nigeria.</w:t>
      </w:r>
      <w:r w:rsidRPr="0027155A">
        <w:rPr>
          <w:rFonts w:ascii="Arial" w:eastAsia="Times New Roman" w:hAnsi="Arial" w:cs="Arial"/>
          <w:sz w:val="20"/>
          <w:szCs w:val="20"/>
        </w:rPr>
        <w:t xml:space="preserve"> Samples were centrifuged for 5 minutes at 1000 rpm. The serum was separated from the cells and transferred into a Bijou (sample) bottle at 20</w:t>
      </w:r>
      <w:r w:rsidRPr="0027155A">
        <w:rPr>
          <w:rFonts w:ascii="Arial" w:eastAsia="Times New Roman" w:hAnsi="Arial" w:cs="Arial"/>
          <w:sz w:val="20"/>
          <w:szCs w:val="20"/>
          <w:vertAlign w:val="superscript"/>
        </w:rPr>
        <w:t>0</w:t>
      </w:r>
      <w:r w:rsidRPr="0027155A">
        <w:rPr>
          <w:rFonts w:ascii="Arial" w:eastAsia="Times New Roman" w:hAnsi="Arial" w:cs="Arial"/>
          <w:sz w:val="20"/>
          <w:szCs w:val="20"/>
        </w:rPr>
        <w:t>C.</w:t>
      </w:r>
      <w:r w:rsidR="0029356A" w:rsidRPr="0027155A">
        <w:rPr>
          <w:rFonts w:ascii="Arial" w:eastAsia="Times New Roman" w:hAnsi="Arial" w:cs="Arial"/>
          <w:sz w:val="20"/>
          <w:szCs w:val="20"/>
        </w:rPr>
        <w:t xml:space="preserve"> </w:t>
      </w:r>
      <w:r w:rsidR="008B6F07" w:rsidRPr="0027155A">
        <w:rPr>
          <w:rFonts w:ascii="Arial" w:hAnsi="Arial" w:cs="Arial"/>
          <w:sz w:val="20"/>
          <w:szCs w:val="20"/>
        </w:rPr>
        <w:t>The C-reactive protein was determined using the latex agglutination method (</w:t>
      </w:r>
      <w:r w:rsidR="00D25F50">
        <w:rPr>
          <w:rFonts w:ascii="Arial" w:hAnsi="Arial" w:cs="Arial"/>
          <w:sz w:val="20"/>
          <w:szCs w:val="20"/>
        </w:rPr>
        <w:t>Trivedi</w:t>
      </w:r>
      <w:r w:rsidR="008B6F07" w:rsidRPr="0027155A">
        <w:rPr>
          <w:rFonts w:ascii="Arial" w:hAnsi="Arial" w:cs="Arial"/>
          <w:sz w:val="20"/>
          <w:szCs w:val="20"/>
        </w:rPr>
        <w:t xml:space="preserve"> et al., </w:t>
      </w:r>
      <w:r w:rsidR="00D25F50">
        <w:rPr>
          <w:rFonts w:ascii="Arial" w:hAnsi="Arial" w:cs="Arial"/>
          <w:sz w:val="20"/>
          <w:szCs w:val="20"/>
        </w:rPr>
        <w:t>20</w:t>
      </w:r>
      <w:r w:rsidR="008B6F07" w:rsidRPr="0027155A">
        <w:rPr>
          <w:rFonts w:ascii="Arial" w:hAnsi="Arial" w:cs="Arial"/>
          <w:sz w:val="20"/>
          <w:szCs w:val="20"/>
        </w:rPr>
        <w:t>1</w:t>
      </w:r>
      <w:r w:rsidR="00D25F50">
        <w:rPr>
          <w:rFonts w:ascii="Arial" w:hAnsi="Arial" w:cs="Arial"/>
          <w:sz w:val="20"/>
          <w:szCs w:val="20"/>
        </w:rPr>
        <w:t>9</w:t>
      </w:r>
      <w:r w:rsidR="008B6F07" w:rsidRPr="0027155A">
        <w:rPr>
          <w:rFonts w:ascii="Arial" w:hAnsi="Arial" w:cs="Arial"/>
          <w:sz w:val="20"/>
          <w:szCs w:val="20"/>
        </w:rPr>
        <w:t>). The principle is based on an immunological reaction in which the antibodies against C-reactive protein bind to biological inoculated particles and C-reactive protein in the test specimen. When serum containing CRP is greater than 0.6mg/dl is mixed with the latex reagent; visible agglutination occurs</w:t>
      </w:r>
      <w:r w:rsidR="00167429">
        <w:rPr>
          <w:rFonts w:ascii="Arial" w:hAnsi="Arial" w:cs="Arial"/>
          <w:sz w:val="20"/>
          <w:szCs w:val="20"/>
        </w:rPr>
        <w:t>.</w:t>
      </w:r>
    </w:p>
    <w:p w14:paraId="00C733AA" w14:textId="7DB53785" w:rsidR="00B852AC" w:rsidRDefault="00B852AC" w:rsidP="00AE3616">
      <w:pPr>
        <w:jc w:val="both"/>
        <w:rPr>
          <w:rFonts w:ascii="Arial" w:eastAsia="Times New Roman" w:hAnsi="Arial" w:cs="Arial"/>
          <w:sz w:val="20"/>
          <w:szCs w:val="20"/>
        </w:rPr>
      </w:pPr>
      <w:r w:rsidRPr="00435FC7">
        <w:rPr>
          <w:rFonts w:ascii="Arial" w:hAnsi="Arial" w:cs="Arial"/>
          <w:sz w:val="20"/>
          <w:szCs w:val="20"/>
        </w:rPr>
        <w:t xml:space="preserve">The raw data collated by the present study was analyzed using Statistical Package for Social Science (SPSS) (version 23 for Windows 11, SPSS Inc., Chicago, USA). </w:t>
      </w:r>
      <w:r w:rsidRPr="00435FC7">
        <w:rPr>
          <w:rFonts w:ascii="Arial" w:eastAsia="Times New Roman" w:hAnsi="Arial" w:cs="Arial"/>
          <w:sz w:val="20"/>
          <w:szCs w:val="20"/>
        </w:rPr>
        <w:t>Descriptive statistics including means, standard deviations, and confidence intervals, were calculated for CRP value</w:t>
      </w:r>
      <w:r w:rsidR="00AE3616">
        <w:rPr>
          <w:rFonts w:ascii="Arial" w:eastAsia="Times New Roman" w:hAnsi="Arial" w:cs="Arial"/>
          <w:sz w:val="20"/>
          <w:szCs w:val="20"/>
        </w:rPr>
        <w:t xml:space="preserve"> and electrolytes</w:t>
      </w:r>
      <w:r w:rsidRPr="00435FC7">
        <w:rPr>
          <w:rFonts w:ascii="Arial" w:eastAsia="Times New Roman" w:hAnsi="Arial" w:cs="Arial"/>
          <w:sz w:val="20"/>
          <w:szCs w:val="20"/>
        </w:rPr>
        <w:t>.</w:t>
      </w:r>
      <w:r w:rsidRPr="00435FC7">
        <w:rPr>
          <w:rFonts w:ascii="Arial" w:hAnsi="Arial" w:cs="Arial"/>
          <w:sz w:val="20"/>
          <w:szCs w:val="20"/>
        </w:rPr>
        <w:t xml:space="preserve">  </w:t>
      </w:r>
      <w:r w:rsidRPr="00435FC7">
        <w:rPr>
          <w:rFonts w:ascii="Arial" w:eastAsia="Times New Roman" w:hAnsi="Arial" w:cs="Arial"/>
          <w:sz w:val="20"/>
          <w:szCs w:val="20"/>
        </w:rPr>
        <w:t>All statistical tests were two-tailed, and a p-value of &lt;0.05 was considered statistically significant. Results were presented as mean ± standard deviation or mean ± standard error (SE) where appropriate.</w:t>
      </w:r>
    </w:p>
    <w:p w14:paraId="2C1FF0B7" w14:textId="77777777" w:rsidR="00AE3616" w:rsidRPr="00AE3616" w:rsidRDefault="00AE3616" w:rsidP="00AE3616">
      <w:pPr>
        <w:jc w:val="both"/>
        <w:rPr>
          <w:rFonts w:ascii="Arial" w:eastAsia="Times New Roman" w:hAnsi="Arial" w:cs="Arial"/>
          <w:sz w:val="20"/>
          <w:szCs w:val="20"/>
        </w:rPr>
      </w:pPr>
    </w:p>
    <w:p w14:paraId="1403A2AC" w14:textId="37024317" w:rsidR="00AF6C28" w:rsidRPr="0089781D" w:rsidRDefault="0089781D" w:rsidP="0029356A">
      <w:pPr>
        <w:pStyle w:val="Body"/>
        <w:spacing w:after="0" w:line="480" w:lineRule="auto"/>
        <w:ind w:left="-142"/>
        <w:rPr>
          <w:rFonts w:ascii="Arial" w:hAnsi="Arial" w:cs="Arial"/>
          <w:b/>
          <w:sz w:val="22"/>
          <w:szCs w:val="22"/>
        </w:rPr>
      </w:pPr>
      <w:bookmarkStart w:id="1" w:name="_Hlk172658841"/>
      <w:r w:rsidRPr="0089781D">
        <w:rPr>
          <w:rFonts w:ascii="Arial" w:hAnsi="Arial" w:cs="Arial"/>
          <w:b/>
          <w:sz w:val="22"/>
          <w:szCs w:val="22"/>
        </w:rPr>
        <w:t>3. RESULTS</w:t>
      </w:r>
      <w:bookmarkEnd w:id="1"/>
    </w:p>
    <w:p w14:paraId="3D8B92C0" w14:textId="36971973" w:rsidR="00C409AC" w:rsidRDefault="00C409AC" w:rsidP="00522225">
      <w:pPr>
        <w:jc w:val="both"/>
        <w:rPr>
          <w:rFonts w:ascii="Arial" w:hAnsi="Arial" w:cs="Arial"/>
          <w:sz w:val="20"/>
          <w:szCs w:val="20"/>
        </w:rPr>
      </w:pPr>
      <w:r w:rsidRPr="00C409AC">
        <w:rPr>
          <w:rFonts w:ascii="Arial" w:hAnsi="Arial" w:cs="Arial"/>
          <w:sz w:val="20"/>
          <w:szCs w:val="20"/>
        </w:rPr>
        <w:t>There were 60 participants involved in this study. 40 participants had been exposed to PMS inhalation by reason of working as petrol pump attendants consistently for a year and above. This exposed group encountered various PMS derivatives for at least 8 hours per day. While 20 participants were individuals who have not been constantly exposed to PMS inhalation on a daily basis, they served as the control group. Table1 below, presents the socio-demographic attributes and exposure duration of petrol station attendants compared to a control group. It includes the distribution of gender, duration of exposure to PMS fumes, age categories of the participants and existing lifestyles.</w:t>
      </w:r>
    </w:p>
    <w:p w14:paraId="7CDD65DA" w14:textId="5E45ECB9" w:rsidR="00B852AC" w:rsidRPr="00435FC7" w:rsidRDefault="00B852AC" w:rsidP="00B852AC">
      <w:pPr>
        <w:spacing w:before="100" w:beforeAutospacing="1" w:after="100" w:afterAutospacing="1"/>
        <w:jc w:val="both"/>
        <w:rPr>
          <w:rFonts w:ascii="Arial" w:eastAsia="Times New Roman" w:hAnsi="Arial" w:cs="Arial"/>
          <w:sz w:val="20"/>
          <w:szCs w:val="20"/>
        </w:rPr>
      </w:pPr>
      <w:r w:rsidRPr="00435FC7">
        <w:rPr>
          <w:rFonts w:ascii="Arial" w:eastAsia="Times New Roman" w:hAnsi="Arial" w:cs="Arial"/>
          <w:sz w:val="20"/>
          <w:szCs w:val="20"/>
        </w:rPr>
        <w:lastRenderedPageBreak/>
        <w:t>T</w:t>
      </w:r>
      <w:r>
        <w:rPr>
          <w:rFonts w:ascii="Arial" w:eastAsia="Times New Roman" w:hAnsi="Arial" w:cs="Arial"/>
          <w:sz w:val="20"/>
          <w:szCs w:val="20"/>
        </w:rPr>
        <w:t xml:space="preserve">able 2 </w:t>
      </w:r>
      <w:r w:rsidR="00BC65E0">
        <w:rPr>
          <w:rFonts w:ascii="Arial" w:eastAsia="Times New Roman" w:hAnsi="Arial" w:cs="Arial"/>
          <w:sz w:val="20"/>
          <w:szCs w:val="20"/>
        </w:rPr>
        <w:t>below</w:t>
      </w:r>
      <w:r>
        <w:rPr>
          <w:rFonts w:ascii="Arial" w:eastAsia="Times New Roman" w:hAnsi="Arial" w:cs="Arial"/>
          <w:sz w:val="20"/>
          <w:szCs w:val="20"/>
        </w:rPr>
        <w:t xml:space="preserve"> </w:t>
      </w:r>
      <w:r w:rsidRPr="00435FC7">
        <w:rPr>
          <w:rFonts w:ascii="Arial" w:eastAsia="Times New Roman" w:hAnsi="Arial" w:cs="Arial"/>
          <w:sz w:val="20"/>
          <w:szCs w:val="20"/>
        </w:rPr>
        <w:t xml:space="preserve">presents the mean levels of the inflammatory marker C-reactive protein (CRP) across different </w:t>
      </w:r>
      <w:r>
        <w:rPr>
          <w:rFonts w:ascii="Arial" w:eastAsia="Times New Roman" w:hAnsi="Arial" w:cs="Arial"/>
          <w:sz w:val="20"/>
          <w:szCs w:val="20"/>
        </w:rPr>
        <w:t xml:space="preserve">groups based on </w:t>
      </w:r>
      <w:r w:rsidRPr="00435FC7">
        <w:rPr>
          <w:rFonts w:ascii="Arial" w:eastAsia="Times New Roman" w:hAnsi="Arial" w:cs="Arial"/>
          <w:sz w:val="20"/>
          <w:szCs w:val="20"/>
        </w:rPr>
        <w:t>durations of gasoline exposure. The control group (unexposed individuals) recorded the lowest CRP level (1.25 ± 0.21 mg/L), while participants exposed for 1–2 years showed a similar CRP level (1.73 ± 0.77 mg/L), indicating minimal inflammatory response in both groups. However, a marked increase in CRP was observed among those with prolonged exposure: individuals exposed for 3–5 years and over 5 years had significantly elevated CRP levels (5.98 ± 2.29 mg/L and 5.37 ± 2.88 mg/L, respectively).</w:t>
      </w:r>
      <w:r>
        <w:rPr>
          <w:rFonts w:ascii="Arial" w:eastAsia="Times New Roman" w:hAnsi="Arial" w:cs="Arial"/>
          <w:sz w:val="20"/>
          <w:szCs w:val="20"/>
        </w:rPr>
        <w:t xml:space="preserve"> </w:t>
      </w:r>
      <w:r w:rsidRPr="00435FC7">
        <w:rPr>
          <w:rFonts w:ascii="Arial" w:eastAsia="Times New Roman" w:hAnsi="Arial" w:cs="Arial"/>
          <w:sz w:val="20"/>
          <w:szCs w:val="20"/>
        </w:rPr>
        <w:t>Statistical analysis revealed significant differences in CRP levels between the control</w:t>
      </w:r>
      <w:r>
        <w:rPr>
          <w:rFonts w:ascii="Arial" w:eastAsia="Times New Roman" w:hAnsi="Arial" w:cs="Arial"/>
          <w:sz w:val="20"/>
          <w:szCs w:val="20"/>
        </w:rPr>
        <w:t xml:space="preserve"> and </w:t>
      </w:r>
      <w:r w:rsidRPr="00435FC7">
        <w:rPr>
          <w:rFonts w:ascii="Arial" w:eastAsia="Times New Roman" w:hAnsi="Arial" w:cs="Arial"/>
          <w:sz w:val="20"/>
          <w:szCs w:val="20"/>
        </w:rPr>
        <w:t>1–2 years group and the 3–5</w:t>
      </w:r>
      <w:r>
        <w:rPr>
          <w:rFonts w:ascii="Arial" w:eastAsia="Times New Roman" w:hAnsi="Arial" w:cs="Arial"/>
          <w:sz w:val="20"/>
          <w:szCs w:val="20"/>
        </w:rPr>
        <w:t xml:space="preserve"> and </w:t>
      </w:r>
      <w:r w:rsidRPr="00435FC7">
        <w:rPr>
          <w:rFonts w:ascii="Arial" w:eastAsia="Times New Roman" w:hAnsi="Arial" w:cs="Arial"/>
          <w:sz w:val="20"/>
          <w:szCs w:val="20"/>
        </w:rPr>
        <w:t xml:space="preserve">&gt;5 years group (p &lt; 0.05). These findings suggest that sustained exposure to gasoline </w:t>
      </w:r>
      <w:proofErr w:type="spellStart"/>
      <w:r w:rsidRPr="00435FC7">
        <w:rPr>
          <w:rFonts w:ascii="Arial" w:eastAsia="Times New Roman" w:hAnsi="Arial" w:cs="Arial"/>
          <w:sz w:val="20"/>
          <w:szCs w:val="20"/>
        </w:rPr>
        <w:t>vapours</w:t>
      </w:r>
      <w:proofErr w:type="spellEnd"/>
      <w:r w:rsidRPr="00435FC7">
        <w:rPr>
          <w:rFonts w:ascii="Arial" w:eastAsia="Times New Roman" w:hAnsi="Arial" w:cs="Arial"/>
          <w:sz w:val="20"/>
          <w:szCs w:val="20"/>
        </w:rPr>
        <w:t xml:space="preserve"> may induce chronic inflammatory response</w:t>
      </w:r>
      <w:r>
        <w:rPr>
          <w:rFonts w:ascii="Arial" w:eastAsia="Times New Roman" w:hAnsi="Arial" w:cs="Arial"/>
          <w:sz w:val="20"/>
          <w:szCs w:val="20"/>
        </w:rPr>
        <w:t>s</w:t>
      </w:r>
      <w:r w:rsidRPr="00435FC7">
        <w:rPr>
          <w:rFonts w:ascii="Arial" w:eastAsia="Times New Roman" w:hAnsi="Arial" w:cs="Arial"/>
          <w:sz w:val="20"/>
          <w:szCs w:val="20"/>
        </w:rPr>
        <w:t>, as evidenced by the elevated CRP levels in long-term exposed individuals.</w:t>
      </w:r>
      <w:r w:rsidRPr="0000556A">
        <w:rPr>
          <w:rFonts w:ascii="Times New Roman" w:hAnsi="Times New Roman" w:cs="Times New Roman"/>
          <w:sz w:val="24"/>
          <w:szCs w:val="24"/>
        </w:rPr>
        <w:t xml:space="preserve"> </w:t>
      </w:r>
      <w:r w:rsidRPr="0000556A">
        <w:rPr>
          <w:rFonts w:ascii="Arial" w:hAnsi="Arial" w:cs="Arial"/>
          <w:sz w:val="20"/>
          <w:szCs w:val="20"/>
        </w:rPr>
        <w:t>Moreover, no discernible trend or pattern was observed for these electrolyte concentrations with increasing duration of exposur</w:t>
      </w:r>
      <w:r>
        <w:rPr>
          <w:rFonts w:ascii="Arial" w:hAnsi="Arial" w:cs="Arial"/>
          <w:sz w:val="20"/>
          <w:szCs w:val="20"/>
        </w:rPr>
        <w:t>e as well as age,</w:t>
      </w:r>
      <w:r w:rsidRPr="0000556A">
        <w:rPr>
          <w:rFonts w:ascii="Arial" w:hAnsi="Arial" w:cs="Arial"/>
          <w:sz w:val="20"/>
          <w:szCs w:val="20"/>
        </w:rPr>
        <w:t xml:space="preserve"> suggest</w:t>
      </w:r>
      <w:r>
        <w:rPr>
          <w:rFonts w:ascii="Arial" w:hAnsi="Arial" w:cs="Arial"/>
          <w:sz w:val="20"/>
          <w:szCs w:val="20"/>
        </w:rPr>
        <w:t>ing</w:t>
      </w:r>
      <w:r w:rsidRPr="0000556A">
        <w:rPr>
          <w:rFonts w:ascii="Arial" w:hAnsi="Arial" w:cs="Arial"/>
          <w:sz w:val="20"/>
          <w:szCs w:val="20"/>
        </w:rPr>
        <w:t xml:space="preserve"> that long-term exposure did not result in systematic alterations in the levels of these electrolytes</w:t>
      </w:r>
      <w:r w:rsidR="00BC65E0">
        <w:rPr>
          <w:rFonts w:ascii="Arial" w:hAnsi="Arial" w:cs="Arial"/>
          <w:sz w:val="20"/>
          <w:szCs w:val="20"/>
        </w:rPr>
        <w:t xml:space="preserve">. </w:t>
      </w:r>
      <w:r w:rsidRPr="0000556A">
        <w:rPr>
          <w:rFonts w:ascii="Arial" w:hAnsi="Arial" w:cs="Arial"/>
          <w:sz w:val="20"/>
          <w:szCs w:val="20"/>
        </w:rPr>
        <w:t>The analysis consider</w:t>
      </w:r>
      <w:r>
        <w:rPr>
          <w:rFonts w:ascii="Arial" w:hAnsi="Arial" w:cs="Arial"/>
          <w:sz w:val="20"/>
          <w:szCs w:val="20"/>
        </w:rPr>
        <w:t>ed</w:t>
      </w:r>
      <w:r w:rsidRPr="0000556A">
        <w:rPr>
          <w:rFonts w:ascii="Arial" w:hAnsi="Arial" w:cs="Arial"/>
          <w:sz w:val="20"/>
          <w:szCs w:val="20"/>
        </w:rPr>
        <w:t xml:space="preserve"> age groups ranging from 18 to 45 years</w:t>
      </w:r>
      <w:r w:rsidR="00BC65E0">
        <w:rPr>
          <w:rFonts w:ascii="Arial" w:hAnsi="Arial" w:cs="Arial"/>
          <w:sz w:val="20"/>
          <w:szCs w:val="20"/>
        </w:rPr>
        <w:t>,</w:t>
      </w:r>
      <w:r w:rsidRPr="0000556A">
        <w:rPr>
          <w:rFonts w:ascii="Arial" w:hAnsi="Arial" w:cs="Arial"/>
          <w:sz w:val="20"/>
          <w:szCs w:val="20"/>
        </w:rPr>
        <w:t xml:space="preserve"> </w:t>
      </w:r>
      <w:r>
        <w:rPr>
          <w:rFonts w:ascii="Arial" w:hAnsi="Arial" w:cs="Arial"/>
          <w:sz w:val="20"/>
          <w:szCs w:val="20"/>
        </w:rPr>
        <w:t xml:space="preserve">although </w:t>
      </w:r>
      <w:r w:rsidRPr="0000556A">
        <w:rPr>
          <w:rFonts w:ascii="Arial" w:hAnsi="Arial" w:cs="Arial"/>
          <w:sz w:val="20"/>
          <w:szCs w:val="20"/>
        </w:rPr>
        <w:t>variations were observed but did not follow a consistent trend with increasing age.</w:t>
      </w:r>
    </w:p>
    <w:p w14:paraId="5DB827D8" w14:textId="77777777" w:rsidR="00B852AC" w:rsidRPr="00C409AC" w:rsidRDefault="00B852AC" w:rsidP="00522225">
      <w:pPr>
        <w:jc w:val="both"/>
        <w:rPr>
          <w:rFonts w:ascii="Arial" w:hAnsi="Arial" w:cs="Arial"/>
          <w:b/>
          <w:sz w:val="20"/>
          <w:szCs w:val="20"/>
        </w:rPr>
      </w:pPr>
    </w:p>
    <w:p w14:paraId="6F8716B1" w14:textId="77777777" w:rsidR="00C409AC" w:rsidRDefault="00C409AC" w:rsidP="00936102">
      <w:pPr>
        <w:pStyle w:val="Body"/>
        <w:spacing w:after="0" w:line="480" w:lineRule="auto"/>
        <w:ind w:left="-142"/>
        <w:rPr>
          <w:rFonts w:ascii="Arial" w:hAnsi="Arial" w:cs="Arial"/>
          <w:b/>
        </w:rPr>
      </w:pPr>
    </w:p>
    <w:p w14:paraId="0BF902B0" w14:textId="2D2BCC4E" w:rsidR="00C409AC" w:rsidRDefault="00C409AC" w:rsidP="00936102">
      <w:pPr>
        <w:pStyle w:val="Body"/>
        <w:spacing w:after="0" w:line="480" w:lineRule="auto"/>
        <w:ind w:left="-142"/>
        <w:rPr>
          <w:rFonts w:ascii="Arial" w:hAnsi="Arial" w:cs="Arial"/>
          <w:b/>
        </w:rPr>
      </w:pPr>
    </w:p>
    <w:p w14:paraId="04498942" w14:textId="14234FF1" w:rsidR="000D3223" w:rsidRDefault="000D3223" w:rsidP="00936102">
      <w:pPr>
        <w:pStyle w:val="Body"/>
        <w:spacing w:after="0" w:line="480" w:lineRule="auto"/>
        <w:ind w:left="-142"/>
        <w:rPr>
          <w:rFonts w:ascii="Arial" w:hAnsi="Arial" w:cs="Arial"/>
          <w:b/>
        </w:rPr>
      </w:pPr>
    </w:p>
    <w:p w14:paraId="29BE9569" w14:textId="39A01482" w:rsidR="000D3223" w:rsidRDefault="000D3223" w:rsidP="00936102">
      <w:pPr>
        <w:pStyle w:val="Body"/>
        <w:spacing w:after="0" w:line="480" w:lineRule="auto"/>
        <w:ind w:left="-142"/>
        <w:rPr>
          <w:rFonts w:ascii="Arial" w:hAnsi="Arial" w:cs="Arial"/>
          <w:b/>
        </w:rPr>
      </w:pPr>
    </w:p>
    <w:p w14:paraId="4D3F9CD0" w14:textId="1C6FAC62" w:rsidR="00167429" w:rsidRDefault="00167429" w:rsidP="00936102">
      <w:pPr>
        <w:pStyle w:val="Body"/>
        <w:spacing w:after="0" w:line="480" w:lineRule="auto"/>
        <w:ind w:left="-142"/>
        <w:rPr>
          <w:rFonts w:ascii="Arial" w:hAnsi="Arial" w:cs="Arial"/>
          <w:b/>
        </w:rPr>
      </w:pPr>
    </w:p>
    <w:p w14:paraId="0334F6C2" w14:textId="21EB2B13" w:rsidR="00167429" w:rsidRDefault="00167429" w:rsidP="00936102">
      <w:pPr>
        <w:pStyle w:val="Body"/>
        <w:spacing w:after="0" w:line="480" w:lineRule="auto"/>
        <w:ind w:left="-142"/>
        <w:rPr>
          <w:rFonts w:ascii="Arial" w:hAnsi="Arial" w:cs="Arial"/>
          <w:b/>
        </w:rPr>
      </w:pPr>
    </w:p>
    <w:p w14:paraId="55E02D07" w14:textId="142C4E12" w:rsidR="00167429" w:rsidRDefault="00167429" w:rsidP="00936102">
      <w:pPr>
        <w:pStyle w:val="Body"/>
        <w:spacing w:after="0" w:line="480" w:lineRule="auto"/>
        <w:ind w:left="-142"/>
        <w:rPr>
          <w:rFonts w:ascii="Arial" w:hAnsi="Arial" w:cs="Arial"/>
          <w:b/>
        </w:rPr>
      </w:pPr>
    </w:p>
    <w:p w14:paraId="02BBCAEE" w14:textId="77777777" w:rsidR="00167429" w:rsidRDefault="00167429" w:rsidP="00936102">
      <w:pPr>
        <w:pStyle w:val="Body"/>
        <w:spacing w:after="0" w:line="480" w:lineRule="auto"/>
        <w:ind w:left="-142"/>
        <w:rPr>
          <w:rFonts w:ascii="Arial" w:hAnsi="Arial" w:cs="Arial"/>
          <w:b/>
        </w:rPr>
      </w:pPr>
    </w:p>
    <w:p w14:paraId="57EC5801" w14:textId="77777777" w:rsidR="000D3223" w:rsidRDefault="000D3223" w:rsidP="00936102">
      <w:pPr>
        <w:pStyle w:val="Body"/>
        <w:spacing w:after="0" w:line="480" w:lineRule="auto"/>
        <w:ind w:left="-142"/>
        <w:rPr>
          <w:rFonts w:ascii="Arial" w:hAnsi="Arial" w:cs="Arial"/>
          <w:b/>
        </w:rPr>
      </w:pPr>
    </w:p>
    <w:p w14:paraId="38E0E533" w14:textId="7964BD63" w:rsidR="00C409AC" w:rsidRDefault="00C409AC" w:rsidP="00B852AC">
      <w:pPr>
        <w:pStyle w:val="Body"/>
        <w:spacing w:after="0" w:line="480" w:lineRule="auto"/>
        <w:rPr>
          <w:rFonts w:ascii="Arial" w:hAnsi="Arial" w:cs="Arial"/>
          <w:b/>
        </w:rPr>
      </w:pPr>
    </w:p>
    <w:p w14:paraId="28C27043" w14:textId="4659771B" w:rsidR="00167429" w:rsidRDefault="00167429" w:rsidP="00B852AC">
      <w:pPr>
        <w:pStyle w:val="Body"/>
        <w:spacing w:after="0" w:line="480" w:lineRule="auto"/>
        <w:rPr>
          <w:rFonts w:ascii="Arial" w:hAnsi="Arial" w:cs="Arial"/>
          <w:b/>
        </w:rPr>
      </w:pPr>
    </w:p>
    <w:p w14:paraId="713B2C8F" w14:textId="06295D6B" w:rsidR="00167429" w:rsidRDefault="00167429" w:rsidP="00B852AC">
      <w:pPr>
        <w:pStyle w:val="Body"/>
        <w:spacing w:after="0" w:line="480" w:lineRule="auto"/>
        <w:rPr>
          <w:rFonts w:ascii="Arial" w:hAnsi="Arial" w:cs="Arial"/>
          <w:b/>
        </w:rPr>
      </w:pPr>
    </w:p>
    <w:p w14:paraId="7BF181E6" w14:textId="7B113EF3" w:rsidR="00167429" w:rsidRDefault="00167429" w:rsidP="00B852AC">
      <w:pPr>
        <w:pStyle w:val="Body"/>
        <w:spacing w:after="0" w:line="480" w:lineRule="auto"/>
        <w:rPr>
          <w:rFonts w:ascii="Arial" w:hAnsi="Arial" w:cs="Arial"/>
          <w:b/>
        </w:rPr>
      </w:pPr>
    </w:p>
    <w:p w14:paraId="5FA8EDC8" w14:textId="77777777" w:rsidR="00167429" w:rsidRDefault="00167429" w:rsidP="00B852AC">
      <w:pPr>
        <w:pStyle w:val="Body"/>
        <w:spacing w:after="0" w:line="480" w:lineRule="auto"/>
        <w:rPr>
          <w:rFonts w:ascii="Arial" w:hAnsi="Arial" w:cs="Arial"/>
          <w:b/>
        </w:rPr>
      </w:pPr>
    </w:p>
    <w:p w14:paraId="6A8455AE" w14:textId="0F9D5B47" w:rsidR="008B6F07" w:rsidRDefault="003A2E4F" w:rsidP="00BC65E0">
      <w:pPr>
        <w:pStyle w:val="Body"/>
        <w:spacing w:after="0"/>
        <w:ind w:left="-142"/>
        <w:rPr>
          <w:rFonts w:ascii="Arial" w:hAnsi="Arial" w:cs="Arial"/>
          <w:b/>
        </w:rPr>
      </w:pPr>
      <w:r w:rsidRPr="00F15984">
        <w:rPr>
          <w:rFonts w:ascii="Arial" w:hAnsi="Arial" w:cs="Arial"/>
          <w:b/>
        </w:rPr>
        <w:t>Table 1</w:t>
      </w:r>
      <w:r w:rsidR="000565D4">
        <w:rPr>
          <w:rFonts w:ascii="Arial" w:hAnsi="Arial" w:cs="Arial"/>
          <w:b/>
        </w:rPr>
        <w:t>:</w:t>
      </w:r>
      <w:r w:rsidRPr="00F15984">
        <w:rPr>
          <w:rFonts w:ascii="Arial" w:hAnsi="Arial" w:cs="Arial"/>
          <w:b/>
        </w:rPr>
        <w:t xml:space="preserve"> </w:t>
      </w:r>
      <w:bookmarkStart w:id="2" w:name="_Hlk171190510"/>
      <w:r w:rsidRPr="00F15984">
        <w:rPr>
          <w:rFonts w:ascii="Arial" w:hAnsi="Arial" w:cs="Arial"/>
          <w:b/>
        </w:rPr>
        <w:t>Socio-Demographic Characteristics and Exposure Duration of Study Group at Port Harcourt Metropolis, Rivers State, Nigeria (n=60).</w:t>
      </w:r>
      <w:bookmarkEnd w:id="2"/>
    </w:p>
    <w:p w14:paraId="22C36D77" w14:textId="77777777" w:rsidR="00BC65E0" w:rsidRPr="00F15984" w:rsidRDefault="00BC65E0" w:rsidP="00BC65E0">
      <w:pPr>
        <w:pStyle w:val="Body"/>
        <w:spacing w:after="0"/>
        <w:ind w:left="-142"/>
        <w:rPr>
          <w:rFonts w:ascii="Arial" w:hAnsi="Arial" w:cs="Arial"/>
          <w:b/>
        </w:rPr>
      </w:pPr>
    </w:p>
    <w:tbl>
      <w:tblPr>
        <w:tblStyle w:val="TableGrid"/>
        <w:tblW w:w="98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2410"/>
        <w:gridCol w:w="3204"/>
      </w:tblGrid>
      <w:tr w:rsidR="008B6F07" w:rsidRPr="00BC65E0" w14:paraId="76582E05" w14:textId="77777777" w:rsidTr="00F15984">
        <w:trPr>
          <w:trHeight w:val="736"/>
        </w:trPr>
        <w:tc>
          <w:tcPr>
            <w:tcW w:w="4258" w:type="dxa"/>
            <w:tcBorders>
              <w:top w:val="single" w:sz="4" w:space="0" w:color="auto"/>
              <w:bottom w:val="single" w:sz="4" w:space="0" w:color="auto"/>
            </w:tcBorders>
          </w:tcPr>
          <w:p w14:paraId="71D7F310" w14:textId="498F7451" w:rsidR="008B6F07" w:rsidRPr="00BC65E0" w:rsidRDefault="00F15984" w:rsidP="00AD49E5">
            <w:pPr>
              <w:spacing w:line="480" w:lineRule="auto"/>
              <w:ind w:left="-142"/>
              <w:jc w:val="both"/>
              <w:rPr>
                <w:rFonts w:ascii="Arial" w:hAnsi="Arial" w:cs="Arial"/>
                <w:b/>
              </w:rPr>
            </w:pPr>
            <w:bookmarkStart w:id="3" w:name="_Hlk172658861"/>
            <w:r w:rsidRPr="00BC65E0">
              <w:rPr>
                <w:rFonts w:ascii="Arial" w:eastAsia="Times New Roman" w:hAnsi="Arial" w:cs="Arial"/>
                <w:b/>
                <w:bCs/>
              </w:rPr>
              <w:t xml:space="preserve"> </w:t>
            </w:r>
            <w:r w:rsidR="008B6F07" w:rsidRPr="00BC65E0">
              <w:rPr>
                <w:rFonts w:ascii="Arial" w:eastAsia="Times New Roman" w:hAnsi="Arial" w:cs="Arial"/>
                <w:b/>
                <w:bCs/>
              </w:rPr>
              <w:t>Confounding Factors</w:t>
            </w:r>
          </w:p>
        </w:tc>
        <w:tc>
          <w:tcPr>
            <w:tcW w:w="2410" w:type="dxa"/>
            <w:tcBorders>
              <w:top w:val="single" w:sz="4" w:space="0" w:color="auto"/>
              <w:bottom w:val="single" w:sz="4" w:space="0" w:color="auto"/>
            </w:tcBorders>
          </w:tcPr>
          <w:p w14:paraId="49A4925A" w14:textId="77777777" w:rsidR="00F15984" w:rsidRPr="00BC65E0" w:rsidRDefault="00F15984" w:rsidP="00AD49E5">
            <w:pPr>
              <w:spacing w:line="480" w:lineRule="auto"/>
              <w:ind w:left="-142"/>
              <w:jc w:val="both"/>
              <w:rPr>
                <w:rFonts w:ascii="Arial" w:eastAsia="Times New Roman" w:hAnsi="Arial" w:cs="Arial"/>
                <w:b/>
                <w:bCs/>
              </w:rPr>
            </w:pPr>
            <w:r w:rsidRPr="00BC65E0">
              <w:rPr>
                <w:rFonts w:ascii="Arial" w:eastAsia="Times New Roman" w:hAnsi="Arial" w:cs="Arial"/>
                <w:b/>
                <w:bCs/>
              </w:rPr>
              <w:t xml:space="preserve"> </w:t>
            </w:r>
            <w:r w:rsidR="008B6F07" w:rsidRPr="00BC65E0">
              <w:rPr>
                <w:rFonts w:ascii="Arial" w:eastAsia="Times New Roman" w:hAnsi="Arial" w:cs="Arial"/>
                <w:b/>
                <w:bCs/>
              </w:rPr>
              <w:t>Gas Station Attendant</w:t>
            </w:r>
          </w:p>
          <w:p w14:paraId="04949A83" w14:textId="71BBB891" w:rsidR="008B6F07" w:rsidRPr="00BC65E0" w:rsidRDefault="008B6F07" w:rsidP="00AD49E5">
            <w:pPr>
              <w:spacing w:line="480" w:lineRule="auto"/>
              <w:ind w:left="-142"/>
              <w:jc w:val="both"/>
              <w:rPr>
                <w:rFonts w:ascii="Arial" w:hAnsi="Arial" w:cs="Arial"/>
                <w:b/>
              </w:rPr>
            </w:pPr>
            <w:r w:rsidRPr="00BC65E0">
              <w:rPr>
                <w:rFonts w:ascii="Arial" w:eastAsia="Times New Roman" w:hAnsi="Arial" w:cs="Arial"/>
                <w:b/>
                <w:bCs/>
              </w:rPr>
              <w:t xml:space="preserve"> (n=40)</w:t>
            </w:r>
          </w:p>
        </w:tc>
        <w:tc>
          <w:tcPr>
            <w:tcW w:w="3204" w:type="dxa"/>
            <w:tcBorders>
              <w:top w:val="single" w:sz="4" w:space="0" w:color="auto"/>
              <w:bottom w:val="single" w:sz="4" w:space="0" w:color="auto"/>
            </w:tcBorders>
          </w:tcPr>
          <w:p w14:paraId="53F84411" w14:textId="4836C995" w:rsidR="008B6F07" w:rsidRPr="00BC65E0" w:rsidRDefault="00F15984" w:rsidP="00AD49E5">
            <w:pPr>
              <w:spacing w:line="480" w:lineRule="auto"/>
              <w:ind w:left="-142"/>
              <w:jc w:val="both"/>
              <w:rPr>
                <w:rFonts w:ascii="Arial" w:hAnsi="Arial" w:cs="Arial"/>
                <w:b/>
              </w:rPr>
            </w:pPr>
            <w:r w:rsidRPr="00BC65E0">
              <w:rPr>
                <w:rFonts w:ascii="Arial" w:eastAsia="Times New Roman" w:hAnsi="Arial" w:cs="Arial"/>
                <w:b/>
                <w:bCs/>
              </w:rPr>
              <w:t xml:space="preserve"> </w:t>
            </w:r>
            <w:r w:rsidR="008B6F07" w:rsidRPr="00BC65E0">
              <w:rPr>
                <w:rFonts w:ascii="Arial" w:eastAsia="Times New Roman" w:hAnsi="Arial" w:cs="Arial"/>
                <w:b/>
                <w:bCs/>
              </w:rPr>
              <w:t>Control Group (n=20)</w:t>
            </w:r>
          </w:p>
        </w:tc>
      </w:tr>
      <w:tr w:rsidR="008B6F07" w:rsidRPr="00BC65E0" w14:paraId="2B403161" w14:textId="77777777" w:rsidTr="00F15984">
        <w:trPr>
          <w:trHeight w:val="562"/>
        </w:trPr>
        <w:tc>
          <w:tcPr>
            <w:tcW w:w="4258" w:type="dxa"/>
            <w:tcBorders>
              <w:top w:val="single" w:sz="4" w:space="0" w:color="auto"/>
            </w:tcBorders>
          </w:tcPr>
          <w:p w14:paraId="2FEA5A99" w14:textId="1F6E174D" w:rsidR="008B6F07" w:rsidRPr="00BC65E0" w:rsidRDefault="00F15984" w:rsidP="00AD49E5">
            <w:pPr>
              <w:spacing w:line="480" w:lineRule="auto"/>
              <w:ind w:left="-142"/>
              <w:jc w:val="both"/>
              <w:rPr>
                <w:rFonts w:ascii="Arial" w:hAnsi="Arial" w:cs="Arial"/>
                <w:b/>
              </w:rPr>
            </w:pPr>
            <w:r w:rsidRPr="00BC65E0">
              <w:rPr>
                <w:rFonts w:ascii="Arial" w:eastAsia="Times New Roman" w:hAnsi="Arial" w:cs="Arial"/>
              </w:rPr>
              <w:t xml:space="preserve"> </w:t>
            </w:r>
            <w:r w:rsidR="008B6F07" w:rsidRPr="00BC65E0">
              <w:rPr>
                <w:rFonts w:ascii="Arial" w:eastAsia="Times New Roman" w:hAnsi="Arial" w:cs="Arial"/>
              </w:rPr>
              <w:t>Male n (%)</w:t>
            </w:r>
          </w:p>
        </w:tc>
        <w:tc>
          <w:tcPr>
            <w:tcW w:w="2410" w:type="dxa"/>
            <w:tcBorders>
              <w:top w:val="single" w:sz="4" w:space="0" w:color="auto"/>
            </w:tcBorders>
          </w:tcPr>
          <w:p w14:paraId="4CA25EE5" w14:textId="37712B0D"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21(52.5%)</w:t>
            </w:r>
          </w:p>
        </w:tc>
        <w:tc>
          <w:tcPr>
            <w:tcW w:w="3204" w:type="dxa"/>
            <w:tcBorders>
              <w:top w:val="single" w:sz="4" w:space="0" w:color="auto"/>
            </w:tcBorders>
          </w:tcPr>
          <w:p w14:paraId="0C1F63B1" w14:textId="51B3972F"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10 (50%)</w:t>
            </w:r>
          </w:p>
        </w:tc>
      </w:tr>
      <w:tr w:rsidR="008B6F07" w:rsidRPr="00BC65E0" w14:paraId="1CC2ED1E" w14:textId="77777777" w:rsidTr="00F15984">
        <w:trPr>
          <w:trHeight w:val="442"/>
        </w:trPr>
        <w:tc>
          <w:tcPr>
            <w:tcW w:w="4258" w:type="dxa"/>
            <w:tcBorders>
              <w:bottom w:val="single" w:sz="4" w:space="0" w:color="auto"/>
            </w:tcBorders>
          </w:tcPr>
          <w:p w14:paraId="58B312EE" w14:textId="5D80B093" w:rsidR="008B6F07" w:rsidRPr="00BC65E0" w:rsidRDefault="00F15984" w:rsidP="00AD49E5">
            <w:pPr>
              <w:spacing w:line="480" w:lineRule="auto"/>
              <w:ind w:left="-142"/>
              <w:jc w:val="both"/>
              <w:rPr>
                <w:rFonts w:ascii="Arial" w:hAnsi="Arial" w:cs="Arial"/>
                <w:b/>
              </w:rPr>
            </w:pPr>
            <w:r w:rsidRPr="00BC65E0">
              <w:rPr>
                <w:rFonts w:ascii="Arial" w:eastAsia="Times New Roman" w:hAnsi="Arial" w:cs="Arial"/>
              </w:rPr>
              <w:t xml:space="preserve"> </w:t>
            </w:r>
            <w:r w:rsidR="008B6F07" w:rsidRPr="00BC65E0">
              <w:rPr>
                <w:rFonts w:ascii="Arial" w:eastAsia="Times New Roman" w:hAnsi="Arial" w:cs="Arial"/>
              </w:rPr>
              <w:t>Female n (%)</w:t>
            </w:r>
          </w:p>
        </w:tc>
        <w:tc>
          <w:tcPr>
            <w:tcW w:w="2410" w:type="dxa"/>
            <w:tcBorders>
              <w:bottom w:val="single" w:sz="4" w:space="0" w:color="auto"/>
            </w:tcBorders>
          </w:tcPr>
          <w:p w14:paraId="68EA133E" w14:textId="77777777" w:rsidR="008B6F07" w:rsidRPr="00BC65E0" w:rsidRDefault="008B6F07" w:rsidP="00AD49E5">
            <w:pPr>
              <w:spacing w:line="480" w:lineRule="auto"/>
              <w:ind w:left="-142"/>
              <w:jc w:val="both"/>
              <w:rPr>
                <w:rFonts w:ascii="Arial" w:hAnsi="Arial" w:cs="Arial"/>
              </w:rPr>
            </w:pPr>
            <w:r w:rsidRPr="00BC65E0">
              <w:rPr>
                <w:rFonts w:ascii="Arial" w:hAnsi="Arial" w:cs="Arial"/>
              </w:rPr>
              <w:t>19 (47.5%)</w:t>
            </w:r>
          </w:p>
        </w:tc>
        <w:tc>
          <w:tcPr>
            <w:tcW w:w="3204" w:type="dxa"/>
            <w:tcBorders>
              <w:bottom w:val="single" w:sz="4" w:space="0" w:color="auto"/>
            </w:tcBorders>
          </w:tcPr>
          <w:p w14:paraId="76F1291B" w14:textId="342D877D"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10 (50%)</w:t>
            </w:r>
          </w:p>
        </w:tc>
      </w:tr>
      <w:tr w:rsidR="008B6F07" w:rsidRPr="00BC65E0" w14:paraId="50C55CC9" w14:textId="77777777" w:rsidTr="00C211AA">
        <w:trPr>
          <w:trHeight w:val="676"/>
        </w:trPr>
        <w:tc>
          <w:tcPr>
            <w:tcW w:w="9872" w:type="dxa"/>
            <w:gridSpan w:val="3"/>
            <w:tcBorders>
              <w:top w:val="single" w:sz="4" w:space="0" w:color="auto"/>
              <w:bottom w:val="single" w:sz="4" w:space="0" w:color="auto"/>
            </w:tcBorders>
          </w:tcPr>
          <w:p w14:paraId="7D0F588F" w14:textId="2D02DBCF" w:rsidR="008B6F07" w:rsidRPr="00BC65E0" w:rsidRDefault="00F15984" w:rsidP="00AD49E5">
            <w:pPr>
              <w:spacing w:line="480" w:lineRule="auto"/>
              <w:ind w:left="-142"/>
              <w:jc w:val="both"/>
              <w:rPr>
                <w:rFonts w:ascii="Arial" w:hAnsi="Arial" w:cs="Arial"/>
                <w:b/>
              </w:rPr>
            </w:pPr>
            <w:r w:rsidRPr="00BC65E0">
              <w:rPr>
                <w:rFonts w:ascii="Arial" w:eastAsia="Times New Roman" w:hAnsi="Arial" w:cs="Arial"/>
                <w:b/>
              </w:rPr>
              <w:t xml:space="preserve"> </w:t>
            </w:r>
            <w:r w:rsidR="008B6F07" w:rsidRPr="00BC65E0">
              <w:rPr>
                <w:rFonts w:ascii="Arial" w:eastAsia="Times New Roman" w:hAnsi="Arial" w:cs="Arial"/>
                <w:b/>
              </w:rPr>
              <w:t>Comparison Based on Duration of Exposure</w:t>
            </w:r>
          </w:p>
        </w:tc>
      </w:tr>
      <w:tr w:rsidR="008B6F07" w:rsidRPr="00BC65E0" w14:paraId="4805DCD2" w14:textId="77777777" w:rsidTr="00F15984">
        <w:trPr>
          <w:trHeight w:val="442"/>
        </w:trPr>
        <w:tc>
          <w:tcPr>
            <w:tcW w:w="4258" w:type="dxa"/>
            <w:tcBorders>
              <w:top w:val="single" w:sz="4" w:space="0" w:color="auto"/>
            </w:tcBorders>
          </w:tcPr>
          <w:p w14:paraId="3E856828" w14:textId="61B756F5" w:rsidR="008B6F07" w:rsidRPr="00BC65E0" w:rsidRDefault="00F15984" w:rsidP="00AD49E5">
            <w:pPr>
              <w:spacing w:line="480" w:lineRule="auto"/>
              <w:ind w:left="-142"/>
              <w:jc w:val="both"/>
              <w:rPr>
                <w:rFonts w:ascii="Arial" w:eastAsia="Times New Roman" w:hAnsi="Arial" w:cs="Arial"/>
              </w:rPr>
            </w:pPr>
            <w:r w:rsidRPr="00BC65E0">
              <w:rPr>
                <w:rFonts w:ascii="Arial" w:eastAsia="Times New Roman" w:hAnsi="Arial" w:cs="Arial"/>
              </w:rPr>
              <w:lastRenderedPageBreak/>
              <w:t xml:space="preserve"> </w:t>
            </w:r>
            <w:r w:rsidR="008B6F07" w:rsidRPr="00BC65E0">
              <w:rPr>
                <w:rFonts w:ascii="Arial" w:eastAsia="Times New Roman" w:hAnsi="Arial" w:cs="Arial"/>
              </w:rPr>
              <w:t>Non-exposed</w:t>
            </w:r>
            <w:r w:rsidRPr="00BC65E0">
              <w:rPr>
                <w:rFonts w:ascii="Arial" w:eastAsia="Times New Roman" w:hAnsi="Arial" w:cs="Arial"/>
              </w:rPr>
              <w:t xml:space="preserve"> </w:t>
            </w:r>
          </w:p>
        </w:tc>
        <w:tc>
          <w:tcPr>
            <w:tcW w:w="2410" w:type="dxa"/>
            <w:tcBorders>
              <w:top w:val="single" w:sz="4" w:space="0" w:color="auto"/>
            </w:tcBorders>
          </w:tcPr>
          <w:p w14:paraId="1EF997E8" w14:textId="17A12F3D"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20(33.3%)</w:t>
            </w:r>
          </w:p>
        </w:tc>
        <w:tc>
          <w:tcPr>
            <w:tcW w:w="3204" w:type="dxa"/>
            <w:tcBorders>
              <w:top w:val="single" w:sz="4" w:space="0" w:color="auto"/>
            </w:tcBorders>
          </w:tcPr>
          <w:p w14:paraId="68455CCC" w14:textId="77777777" w:rsidR="008B6F07" w:rsidRPr="00BC65E0" w:rsidRDefault="008B6F07" w:rsidP="00AD49E5">
            <w:pPr>
              <w:spacing w:line="480" w:lineRule="auto"/>
              <w:ind w:left="-142"/>
              <w:jc w:val="both"/>
              <w:rPr>
                <w:rFonts w:ascii="Arial" w:hAnsi="Arial" w:cs="Arial"/>
              </w:rPr>
            </w:pPr>
          </w:p>
        </w:tc>
      </w:tr>
      <w:tr w:rsidR="008B6F07" w:rsidRPr="00BC65E0" w14:paraId="35B31012" w14:textId="77777777" w:rsidTr="00F15984">
        <w:trPr>
          <w:trHeight w:val="442"/>
        </w:trPr>
        <w:tc>
          <w:tcPr>
            <w:tcW w:w="4258" w:type="dxa"/>
          </w:tcPr>
          <w:p w14:paraId="23F52E8C" w14:textId="77777777" w:rsidR="008B6F07" w:rsidRPr="00BC65E0" w:rsidRDefault="008B6F07" w:rsidP="00AD49E5">
            <w:pPr>
              <w:spacing w:line="480" w:lineRule="auto"/>
              <w:ind w:left="-142"/>
              <w:jc w:val="both"/>
              <w:rPr>
                <w:rFonts w:ascii="Arial" w:eastAsia="Times New Roman" w:hAnsi="Arial" w:cs="Arial"/>
              </w:rPr>
            </w:pPr>
            <w:r w:rsidRPr="00BC65E0">
              <w:rPr>
                <w:rFonts w:ascii="Arial" w:eastAsia="Times New Roman" w:hAnsi="Arial" w:cs="Arial"/>
              </w:rPr>
              <w:t>1 – 2 years</w:t>
            </w:r>
          </w:p>
        </w:tc>
        <w:tc>
          <w:tcPr>
            <w:tcW w:w="2410" w:type="dxa"/>
          </w:tcPr>
          <w:p w14:paraId="10076490" w14:textId="1D9DF042"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25(41.7%)</w:t>
            </w:r>
          </w:p>
        </w:tc>
        <w:tc>
          <w:tcPr>
            <w:tcW w:w="3204" w:type="dxa"/>
          </w:tcPr>
          <w:p w14:paraId="06A9A888" w14:textId="77777777" w:rsidR="008B6F07" w:rsidRPr="00BC65E0" w:rsidRDefault="008B6F07" w:rsidP="00AD49E5">
            <w:pPr>
              <w:spacing w:line="480" w:lineRule="auto"/>
              <w:ind w:left="-142"/>
              <w:jc w:val="both"/>
              <w:rPr>
                <w:rFonts w:ascii="Arial" w:hAnsi="Arial" w:cs="Arial"/>
                <w:b/>
              </w:rPr>
            </w:pPr>
          </w:p>
        </w:tc>
      </w:tr>
      <w:tr w:rsidR="008B6F07" w:rsidRPr="00BC65E0" w14:paraId="57FDF51B" w14:textId="77777777" w:rsidTr="00F15984">
        <w:trPr>
          <w:trHeight w:val="442"/>
        </w:trPr>
        <w:tc>
          <w:tcPr>
            <w:tcW w:w="4258" w:type="dxa"/>
          </w:tcPr>
          <w:p w14:paraId="317C51E4" w14:textId="518FEF23" w:rsidR="008B6F07" w:rsidRPr="00BC65E0" w:rsidRDefault="00F15984" w:rsidP="00AD49E5">
            <w:pPr>
              <w:spacing w:line="480" w:lineRule="auto"/>
              <w:ind w:left="-142"/>
              <w:jc w:val="both"/>
              <w:rPr>
                <w:rFonts w:ascii="Arial" w:eastAsia="Times New Roman" w:hAnsi="Arial" w:cs="Arial"/>
              </w:rPr>
            </w:pPr>
            <w:r w:rsidRPr="00BC65E0">
              <w:rPr>
                <w:rFonts w:ascii="Arial" w:eastAsia="Times New Roman" w:hAnsi="Arial" w:cs="Arial"/>
              </w:rPr>
              <w:t xml:space="preserve"> </w:t>
            </w:r>
            <w:r w:rsidR="008B6F07" w:rsidRPr="00BC65E0">
              <w:rPr>
                <w:rFonts w:ascii="Arial" w:eastAsia="Times New Roman" w:hAnsi="Arial" w:cs="Arial"/>
              </w:rPr>
              <w:t>3 – 5 years</w:t>
            </w:r>
          </w:p>
        </w:tc>
        <w:tc>
          <w:tcPr>
            <w:tcW w:w="2410" w:type="dxa"/>
          </w:tcPr>
          <w:p w14:paraId="095E5905" w14:textId="4F16D730"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8(13.3%)</w:t>
            </w:r>
          </w:p>
        </w:tc>
        <w:tc>
          <w:tcPr>
            <w:tcW w:w="3204" w:type="dxa"/>
          </w:tcPr>
          <w:p w14:paraId="0389C958" w14:textId="77777777" w:rsidR="008B6F07" w:rsidRPr="00BC65E0" w:rsidRDefault="008B6F07" w:rsidP="00AD49E5">
            <w:pPr>
              <w:spacing w:line="480" w:lineRule="auto"/>
              <w:ind w:left="-142"/>
              <w:jc w:val="both"/>
              <w:rPr>
                <w:rFonts w:ascii="Arial" w:hAnsi="Arial" w:cs="Arial"/>
                <w:b/>
              </w:rPr>
            </w:pPr>
          </w:p>
        </w:tc>
      </w:tr>
      <w:tr w:rsidR="008B6F07" w:rsidRPr="00BC65E0" w14:paraId="76931F20" w14:textId="77777777" w:rsidTr="00F15984">
        <w:trPr>
          <w:trHeight w:val="182"/>
        </w:trPr>
        <w:tc>
          <w:tcPr>
            <w:tcW w:w="4258" w:type="dxa"/>
            <w:tcBorders>
              <w:bottom w:val="single" w:sz="4" w:space="0" w:color="auto"/>
            </w:tcBorders>
          </w:tcPr>
          <w:p w14:paraId="44B0F93B" w14:textId="19D5EE67" w:rsidR="008B6F07" w:rsidRPr="00BC65E0" w:rsidRDefault="00F15984" w:rsidP="00AD49E5">
            <w:pPr>
              <w:spacing w:line="480" w:lineRule="auto"/>
              <w:ind w:left="-142"/>
              <w:jc w:val="both"/>
              <w:rPr>
                <w:rFonts w:ascii="Arial" w:eastAsia="Times New Roman" w:hAnsi="Arial" w:cs="Arial"/>
              </w:rPr>
            </w:pPr>
            <w:r w:rsidRPr="00BC65E0">
              <w:rPr>
                <w:rFonts w:ascii="Arial" w:eastAsia="Times New Roman" w:hAnsi="Arial" w:cs="Arial"/>
              </w:rPr>
              <w:t xml:space="preserve"> </w:t>
            </w:r>
            <w:r w:rsidR="008B6F07" w:rsidRPr="00BC65E0">
              <w:rPr>
                <w:rFonts w:ascii="Arial" w:eastAsia="Times New Roman" w:hAnsi="Arial" w:cs="Arial"/>
              </w:rPr>
              <w:t xml:space="preserve">Above 5 years </w:t>
            </w:r>
          </w:p>
        </w:tc>
        <w:tc>
          <w:tcPr>
            <w:tcW w:w="2410" w:type="dxa"/>
            <w:tcBorders>
              <w:bottom w:val="single" w:sz="4" w:space="0" w:color="auto"/>
            </w:tcBorders>
          </w:tcPr>
          <w:p w14:paraId="54561FE7" w14:textId="3A4A23A8"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7(11.7%)</w:t>
            </w:r>
          </w:p>
        </w:tc>
        <w:tc>
          <w:tcPr>
            <w:tcW w:w="3204" w:type="dxa"/>
            <w:tcBorders>
              <w:bottom w:val="single" w:sz="4" w:space="0" w:color="auto"/>
            </w:tcBorders>
          </w:tcPr>
          <w:p w14:paraId="0712C819" w14:textId="77777777" w:rsidR="008B6F07" w:rsidRPr="00BC65E0" w:rsidRDefault="008B6F07" w:rsidP="00AD49E5">
            <w:pPr>
              <w:spacing w:line="480" w:lineRule="auto"/>
              <w:ind w:left="-142"/>
              <w:jc w:val="both"/>
              <w:rPr>
                <w:rFonts w:ascii="Arial" w:hAnsi="Arial" w:cs="Arial"/>
                <w:b/>
              </w:rPr>
            </w:pPr>
          </w:p>
        </w:tc>
      </w:tr>
      <w:tr w:rsidR="008B6F07" w:rsidRPr="00BC65E0" w14:paraId="6C68358E" w14:textId="77777777" w:rsidTr="00C211AA">
        <w:trPr>
          <w:trHeight w:val="612"/>
        </w:trPr>
        <w:tc>
          <w:tcPr>
            <w:tcW w:w="9872" w:type="dxa"/>
            <w:gridSpan w:val="3"/>
            <w:tcBorders>
              <w:top w:val="single" w:sz="4" w:space="0" w:color="auto"/>
              <w:bottom w:val="single" w:sz="4" w:space="0" w:color="auto"/>
            </w:tcBorders>
          </w:tcPr>
          <w:p w14:paraId="051E09BC" w14:textId="3F27B358" w:rsidR="008B6F07" w:rsidRPr="00BC65E0" w:rsidRDefault="00F15984" w:rsidP="00AD49E5">
            <w:pPr>
              <w:spacing w:line="480" w:lineRule="auto"/>
              <w:ind w:left="-142"/>
              <w:jc w:val="both"/>
              <w:rPr>
                <w:rFonts w:ascii="Arial" w:hAnsi="Arial" w:cs="Arial"/>
                <w:b/>
              </w:rPr>
            </w:pPr>
            <w:r w:rsidRPr="00BC65E0">
              <w:rPr>
                <w:rFonts w:ascii="Arial" w:eastAsia="Times New Roman" w:hAnsi="Arial" w:cs="Arial"/>
                <w:b/>
              </w:rPr>
              <w:t xml:space="preserve"> </w:t>
            </w:r>
            <w:r w:rsidR="008B6F07" w:rsidRPr="00BC65E0">
              <w:rPr>
                <w:rFonts w:ascii="Arial" w:eastAsia="Times New Roman" w:hAnsi="Arial" w:cs="Arial"/>
                <w:b/>
              </w:rPr>
              <w:t>Comparison Based on Age of Exposed Participants</w:t>
            </w:r>
          </w:p>
        </w:tc>
      </w:tr>
      <w:tr w:rsidR="008B6F07" w:rsidRPr="00BC65E0" w14:paraId="3D3224A7" w14:textId="77777777" w:rsidTr="00F15984">
        <w:trPr>
          <w:trHeight w:val="419"/>
        </w:trPr>
        <w:tc>
          <w:tcPr>
            <w:tcW w:w="4258" w:type="dxa"/>
            <w:tcBorders>
              <w:top w:val="single" w:sz="4" w:space="0" w:color="auto"/>
            </w:tcBorders>
          </w:tcPr>
          <w:p w14:paraId="74DB74A1" w14:textId="71180D35"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18 - 25 years</w:t>
            </w:r>
          </w:p>
        </w:tc>
        <w:tc>
          <w:tcPr>
            <w:tcW w:w="2410" w:type="dxa"/>
            <w:tcBorders>
              <w:top w:val="single" w:sz="4" w:space="0" w:color="auto"/>
            </w:tcBorders>
          </w:tcPr>
          <w:p w14:paraId="221641FF" w14:textId="77777777" w:rsidR="008B6F07" w:rsidRPr="00BC65E0" w:rsidRDefault="008B6F07" w:rsidP="00AD49E5">
            <w:pPr>
              <w:spacing w:line="480" w:lineRule="auto"/>
              <w:ind w:left="-142"/>
              <w:jc w:val="both"/>
              <w:rPr>
                <w:rFonts w:ascii="Arial" w:hAnsi="Arial" w:cs="Arial"/>
              </w:rPr>
            </w:pPr>
            <w:r w:rsidRPr="00BC65E0">
              <w:rPr>
                <w:rFonts w:ascii="Arial" w:hAnsi="Arial" w:cs="Arial"/>
              </w:rPr>
              <w:t>12 (30%)</w:t>
            </w:r>
          </w:p>
        </w:tc>
        <w:tc>
          <w:tcPr>
            <w:tcW w:w="3204" w:type="dxa"/>
            <w:tcBorders>
              <w:top w:val="single" w:sz="4" w:space="0" w:color="auto"/>
            </w:tcBorders>
          </w:tcPr>
          <w:p w14:paraId="4AEE90B4" w14:textId="77777777" w:rsidR="008B6F07" w:rsidRPr="00BC65E0" w:rsidRDefault="008B6F07" w:rsidP="00AD49E5">
            <w:pPr>
              <w:spacing w:line="480" w:lineRule="auto"/>
              <w:ind w:left="-142"/>
              <w:jc w:val="both"/>
              <w:rPr>
                <w:rFonts w:ascii="Arial" w:hAnsi="Arial" w:cs="Arial"/>
              </w:rPr>
            </w:pPr>
          </w:p>
        </w:tc>
      </w:tr>
      <w:tr w:rsidR="008B6F07" w:rsidRPr="00BC65E0" w14:paraId="4D3FCAE0" w14:textId="77777777" w:rsidTr="00F15984">
        <w:trPr>
          <w:trHeight w:val="419"/>
        </w:trPr>
        <w:tc>
          <w:tcPr>
            <w:tcW w:w="4258" w:type="dxa"/>
          </w:tcPr>
          <w:p w14:paraId="47B4FDA6" w14:textId="42BFAD14"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26 - 35 years</w:t>
            </w:r>
          </w:p>
        </w:tc>
        <w:tc>
          <w:tcPr>
            <w:tcW w:w="2410" w:type="dxa"/>
          </w:tcPr>
          <w:p w14:paraId="0573A120" w14:textId="77777777" w:rsidR="008B6F07" w:rsidRPr="00BC65E0" w:rsidRDefault="008B6F07" w:rsidP="00AD49E5">
            <w:pPr>
              <w:spacing w:line="480" w:lineRule="auto"/>
              <w:ind w:left="-142"/>
              <w:jc w:val="both"/>
              <w:rPr>
                <w:rFonts w:ascii="Arial" w:hAnsi="Arial" w:cs="Arial"/>
              </w:rPr>
            </w:pPr>
            <w:r w:rsidRPr="00BC65E0">
              <w:rPr>
                <w:rFonts w:ascii="Arial" w:hAnsi="Arial" w:cs="Arial"/>
              </w:rPr>
              <w:t>16 (40.0%)</w:t>
            </w:r>
          </w:p>
        </w:tc>
        <w:tc>
          <w:tcPr>
            <w:tcW w:w="3204" w:type="dxa"/>
          </w:tcPr>
          <w:p w14:paraId="3FF8F79B" w14:textId="77777777" w:rsidR="008B6F07" w:rsidRPr="00BC65E0" w:rsidRDefault="008B6F07" w:rsidP="00AD49E5">
            <w:pPr>
              <w:spacing w:line="480" w:lineRule="auto"/>
              <w:ind w:left="-142"/>
              <w:jc w:val="both"/>
              <w:rPr>
                <w:rFonts w:ascii="Arial" w:hAnsi="Arial" w:cs="Arial"/>
              </w:rPr>
            </w:pPr>
          </w:p>
        </w:tc>
      </w:tr>
      <w:tr w:rsidR="008B6F07" w:rsidRPr="00BC65E0" w14:paraId="6BB4C2B0" w14:textId="77777777" w:rsidTr="00F15984">
        <w:trPr>
          <w:trHeight w:val="419"/>
        </w:trPr>
        <w:tc>
          <w:tcPr>
            <w:tcW w:w="4258" w:type="dxa"/>
            <w:tcBorders>
              <w:bottom w:val="single" w:sz="4" w:space="0" w:color="auto"/>
            </w:tcBorders>
          </w:tcPr>
          <w:p w14:paraId="2356DDDA" w14:textId="4E5FB7CC"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36 - 45 years</w:t>
            </w:r>
          </w:p>
        </w:tc>
        <w:tc>
          <w:tcPr>
            <w:tcW w:w="2410" w:type="dxa"/>
            <w:tcBorders>
              <w:bottom w:val="single" w:sz="4" w:space="0" w:color="auto"/>
            </w:tcBorders>
          </w:tcPr>
          <w:p w14:paraId="5689ABF1" w14:textId="77777777" w:rsidR="008B6F07" w:rsidRPr="00BC65E0" w:rsidRDefault="008B6F07" w:rsidP="00AD49E5">
            <w:pPr>
              <w:spacing w:line="480" w:lineRule="auto"/>
              <w:ind w:left="-142"/>
              <w:jc w:val="both"/>
              <w:rPr>
                <w:rFonts w:ascii="Arial" w:hAnsi="Arial" w:cs="Arial"/>
              </w:rPr>
            </w:pPr>
            <w:r w:rsidRPr="00BC65E0">
              <w:rPr>
                <w:rFonts w:ascii="Arial" w:hAnsi="Arial" w:cs="Arial"/>
              </w:rPr>
              <w:t>12 (30%)</w:t>
            </w:r>
          </w:p>
        </w:tc>
        <w:tc>
          <w:tcPr>
            <w:tcW w:w="3204" w:type="dxa"/>
            <w:tcBorders>
              <w:bottom w:val="single" w:sz="4" w:space="0" w:color="auto"/>
            </w:tcBorders>
          </w:tcPr>
          <w:p w14:paraId="7A961BC8" w14:textId="77777777" w:rsidR="008B6F07" w:rsidRPr="00BC65E0" w:rsidRDefault="008B6F07" w:rsidP="00AD49E5">
            <w:pPr>
              <w:spacing w:line="480" w:lineRule="auto"/>
              <w:ind w:left="-142"/>
              <w:jc w:val="both"/>
              <w:rPr>
                <w:rFonts w:ascii="Arial" w:hAnsi="Arial" w:cs="Arial"/>
              </w:rPr>
            </w:pPr>
          </w:p>
        </w:tc>
      </w:tr>
      <w:tr w:rsidR="008B6F07" w:rsidRPr="00BC65E0" w14:paraId="0E8219F9" w14:textId="77777777" w:rsidTr="00C211AA">
        <w:trPr>
          <w:trHeight w:val="419"/>
        </w:trPr>
        <w:tc>
          <w:tcPr>
            <w:tcW w:w="9872" w:type="dxa"/>
            <w:gridSpan w:val="3"/>
            <w:tcBorders>
              <w:top w:val="single" w:sz="4" w:space="0" w:color="auto"/>
              <w:bottom w:val="single" w:sz="4" w:space="0" w:color="auto"/>
            </w:tcBorders>
          </w:tcPr>
          <w:p w14:paraId="109DBDAC" w14:textId="491AFDA7" w:rsidR="008B6F07" w:rsidRPr="00BC65E0" w:rsidRDefault="00F15984" w:rsidP="00AD49E5">
            <w:pPr>
              <w:spacing w:line="480" w:lineRule="auto"/>
              <w:ind w:left="-142"/>
              <w:jc w:val="both"/>
              <w:rPr>
                <w:rFonts w:ascii="Arial" w:hAnsi="Arial" w:cs="Arial"/>
              </w:rPr>
            </w:pPr>
            <w:r w:rsidRPr="00BC65E0">
              <w:rPr>
                <w:rFonts w:ascii="Arial" w:hAnsi="Arial" w:cs="Arial"/>
                <w:b/>
              </w:rPr>
              <w:t xml:space="preserve"> </w:t>
            </w:r>
            <w:r w:rsidR="008B6F07" w:rsidRPr="00BC65E0">
              <w:rPr>
                <w:rFonts w:ascii="Arial" w:hAnsi="Arial" w:cs="Arial"/>
                <w:b/>
              </w:rPr>
              <w:t>Lifestyle Factors</w:t>
            </w:r>
          </w:p>
        </w:tc>
      </w:tr>
      <w:tr w:rsidR="008B6F07" w:rsidRPr="00BC65E0" w14:paraId="22FEDF42" w14:textId="77777777" w:rsidTr="00F15984">
        <w:trPr>
          <w:trHeight w:val="419"/>
        </w:trPr>
        <w:tc>
          <w:tcPr>
            <w:tcW w:w="4258" w:type="dxa"/>
            <w:tcBorders>
              <w:top w:val="single" w:sz="4" w:space="0" w:color="auto"/>
            </w:tcBorders>
          </w:tcPr>
          <w:p w14:paraId="302B188F" w14:textId="2B81C2C4"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Smokers</w:t>
            </w:r>
          </w:p>
        </w:tc>
        <w:tc>
          <w:tcPr>
            <w:tcW w:w="2410" w:type="dxa"/>
            <w:tcBorders>
              <w:top w:val="single" w:sz="4" w:space="0" w:color="auto"/>
            </w:tcBorders>
          </w:tcPr>
          <w:p w14:paraId="0059FB26" w14:textId="77777777" w:rsidR="008B6F07" w:rsidRPr="00BC65E0" w:rsidRDefault="00192A61"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0</w:t>
            </w:r>
          </w:p>
        </w:tc>
        <w:tc>
          <w:tcPr>
            <w:tcW w:w="3204" w:type="dxa"/>
            <w:tcBorders>
              <w:top w:val="single" w:sz="4" w:space="0" w:color="auto"/>
            </w:tcBorders>
          </w:tcPr>
          <w:p w14:paraId="17048213" w14:textId="77777777" w:rsidR="008B6F07" w:rsidRPr="00BC65E0" w:rsidRDefault="008B6F07" w:rsidP="00AD49E5">
            <w:pPr>
              <w:spacing w:line="480" w:lineRule="auto"/>
              <w:ind w:left="-142"/>
              <w:jc w:val="both"/>
              <w:rPr>
                <w:rFonts w:ascii="Arial" w:hAnsi="Arial" w:cs="Arial"/>
              </w:rPr>
            </w:pPr>
            <w:r w:rsidRPr="00BC65E0">
              <w:rPr>
                <w:rFonts w:ascii="Arial" w:hAnsi="Arial" w:cs="Arial"/>
              </w:rPr>
              <w:t xml:space="preserve">         0</w:t>
            </w:r>
          </w:p>
        </w:tc>
      </w:tr>
      <w:tr w:rsidR="008B6F07" w:rsidRPr="00BC65E0" w14:paraId="555746BF" w14:textId="77777777" w:rsidTr="00F15984">
        <w:trPr>
          <w:trHeight w:val="419"/>
        </w:trPr>
        <w:tc>
          <w:tcPr>
            <w:tcW w:w="4258" w:type="dxa"/>
            <w:tcBorders>
              <w:bottom w:val="single" w:sz="4" w:space="0" w:color="auto"/>
            </w:tcBorders>
          </w:tcPr>
          <w:p w14:paraId="26C7AC58" w14:textId="2C199D8A" w:rsidR="008B6F07" w:rsidRPr="00BC65E0" w:rsidRDefault="00F15984" w:rsidP="00AD49E5">
            <w:pPr>
              <w:spacing w:line="480" w:lineRule="auto"/>
              <w:ind w:left="-142"/>
              <w:jc w:val="both"/>
              <w:rPr>
                <w:rFonts w:ascii="Arial" w:hAnsi="Arial" w:cs="Arial"/>
              </w:rPr>
            </w:pPr>
            <w:r w:rsidRPr="00BC65E0">
              <w:rPr>
                <w:rFonts w:ascii="Arial" w:hAnsi="Arial" w:cs="Arial"/>
              </w:rPr>
              <w:t xml:space="preserve"> </w:t>
            </w:r>
            <w:r w:rsidR="005D074B" w:rsidRPr="00BC65E0">
              <w:rPr>
                <w:rFonts w:ascii="Arial" w:hAnsi="Arial" w:cs="Arial"/>
              </w:rPr>
              <w:t>Pregnant</w:t>
            </w:r>
          </w:p>
        </w:tc>
        <w:tc>
          <w:tcPr>
            <w:tcW w:w="2410" w:type="dxa"/>
            <w:tcBorders>
              <w:bottom w:val="single" w:sz="4" w:space="0" w:color="auto"/>
            </w:tcBorders>
          </w:tcPr>
          <w:p w14:paraId="552B6EF4" w14:textId="77777777" w:rsidR="008B6F07" w:rsidRPr="00BC65E0" w:rsidRDefault="00192A61" w:rsidP="00AD49E5">
            <w:pPr>
              <w:spacing w:line="480" w:lineRule="auto"/>
              <w:ind w:left="-142"/>
              <w:jc w:val="both"/>
              <w:rPr>
                <w:rFonts w:ascii="Arial" w:hAnsi="Arial" w:cs="Arial"/>
              </w:rPr>
            </w:pPr>
            <w:r w:rsidRPr="00BC65E0">
              <w:rPr>
                <w:rFonts w:ascii="Arial" w:hAnsi="Arial" w:cs="Arial"/>
              </w:rPr>
              <w:t xml:space="preserve"> </w:t>
            </w:r>
            <w:r w:rsidR="008B6F07" w:rsidRPr="00BC65E0">
              <w:rPr>
                <w:rFonts w:ascii="Arial" w:hAnsi="Arial" w:cs="Arial"/>
              </w:rPr>
              <w:t>0</w:t>
            </w:r>
          </w:p>
        </w:tc>
        <w:tc>
          <w:tcPr>
            <w:tcW w:w="3204" w:type="dxa"/>
            <w:tcBorders>
              <w:bottom w:val="single" w:sz="4" w:space="0" w:color="auto"/>
            </w:tcBorders>
          </w:tcPr>
          <w:p w14:paraId="7E4C6F50" w14:textId="77777777" w:rsidR="008B6F07" w:rsidRPr="00BC65E0" w:rsidRDefault="008B6F07" w:rsidP="00AD49E5">
            <w:pPr>
              <w:spacing w:line="480" w:lineRule="auto"/>
              <w:ind w:left="-142"/>
              <w:jc w:val="both"/>
              <w:rPr>
                <w:rFonts w:ascii="Arial" w:hAnsi="Arial" w:cs="Arial"/>
              </w:rPr>
            </w:pPr>
            <w:r w:rsidRPr="00BC65E0">
              <w:rPr>
                <w:rFonts w:ascii="Arial" w:hAnsi="Arial" w:cs="Arial"/>
              </w:rPr>
              <w:t xml:space="preserve">         0</w:t>
            </w:r>
          </w:p>
        </w:tc>
      </w:tr>
    </w:tbl>
    <w:p w14:paraId="17563E29" w14:textId="629B790B" w:rsidR="000565D4" w:rsidRPr="00BC65E0" w:rsidRDefault="000565D4" w:rsidP="00AD49E5">
      <w:pPr>
        <w:pStyle w:val="Body"/>
        <w:spacing w:after="0" w:line="480" w:lineRule="auto"/>
        <w:ind w:left="-142"/>
        <w:rPr>
          <w:rFonts w:ascii="Arial" w:hAnsi="Arial" w:cs="Arial"/>
          <w:b/>
        </w:rPr>
      </w:pPr>
      <w:bookmarkStart w:id="4" w:name="_Hlk172658895"/>
      <w:bookmarkEnd w:id="3"/>
    </w:p>
    <w:p w14:paraId="017F8626" w14:textId="0F3A1FBA" w:rsidR="000565D4" w:rsidRPr="000565D4" w:rsidRDefault="000565D4" w:rsidP="00AD49E5">
      <w:pPr>
        <w:pStyle w:val="Body"/>
        <w:spacing w:after="0" w:line="480" w:lineRule="auto"/>
        <w:ind w:left="-142"/>
        <w:rPr>
          <w:rFonts w:ascii="Arial" w:hAnsi="Arial" w:cs="Arial"/>
          <w:b/>
        </w:rPr>
      </w:pPr>
      <w:r>
        <w:rPr>
          <w:rFonts w:ascii="Arial" w:hAnsi="Arial" w:cs="Arial"/>
          <w:b/>
        </w:rPr>
        <w:t xml:space="preserve">Table 2: </w:t>
      </w:r>
      <w:r w:rsidRPr="000565D4">
        <w:rPr>
          <w:rFonts w:ascii="Arial" w:hAnsi="Arial" w:cs="Arial"/>
          <w:b/>
        </w:rPr>
        <w:t>Comparative Analysis of C-Reactive Protein Levels by Exposure Duration and Age Group</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99"/>
        <w:gridCol w:w="1741"/>
        <w:gridCol w:w="2714"/>
        <w:gridCol w:w="1772"/>
      </w:tblGrid>
      <w:tr w:rsidR="000565D4" w:rsidRPr="000565D4" w14:paraId="3A35FCAD" w14:textId="77777777" w:rsidTr="000565D4">
        <w:trPr>
          <w:tblHeader/>
          <w:tblCellSpacing w:w="15" w:type="dxa"/>
        </w:trPr>
        <w:tc>
          <w:tcPr>
            <w:tcW w:w="1526" w:type="pct"/>
            <w:tcBorders>
              <w:top w:val="single" w:sz="4" w:space="0" w:color="auto"/>
              <w:bottom w:val="single" w:sz="4" w:space="0" w:color="auto"/>
            </w:tcBorders>
            <w:vAlign w:val="center"/>
            <w:hideMark/>
          </w:tcPr>
          <w:p w14:paraId="1F2BFADA" w14:textId="77777777" w:rsidR="000565D4" w:rsidRPr="000565D4" w:rsidRDefault="000565D4" w:rsidP="000565D4">
            <w:pPr>
              <w:jc w:val="center"/>
              <w:rPr>
                <w:rFonts w:ascii="Arial" w:eastAsia="Times New Roman" w:hAnsi="Arial" w:cs="Arial"/>
                <w:b/>
                <w:bCs/>
                <w:lang w:val="en-NG" w:eastAsia="en-NG"/>
              </w:rPr>
            </w:pPr>
            <w:r w:rsidRPr="000565D4">
              <w:rPr>
                <w:rFonts w:ascii="Arial" w:eastAsia="Times New Roman" w:hAnsi="Arial" w:cs="Arial"/>
                <w:b/>
                <w:bCs/>
                <w:lang w:val="en-NG" w:eastAsia="en-NG"/>
              </w:rPr>
              <w:t>Category</w:t>
            </w:r>
          </w:p>
        </w:tc>
        <w:tc>
          <w:tcPr>
            <w:tcW w:w="948" w:type="pct"/>
            <w:tcBorders>
              <w:top w:val="single" w:sz="4" w:space="0" w:color="auto"/>
              <w:bottom w:val="single" w:sz="4" w:space="0" w:color="auto"/>
            </w:tcBorders>
            <w:vAlign w:val="center"/>
            <w:hideMark/>
          </w:tcPr>
          <w:p w14:paraId="75434785" w14:textId="77777777" w:rsidR="000565D4" w:rsidRPr="000565D4" w:rsidRDefault="000565D4" w:rsidP="000565D4">
            <w:pPr>
              <w:rPr>
                <w:rFonts w:ascii="Arial" w:eastAsia="Times New Roman" w:hAnsi="Arial" w:cs="Arial"/>
                <w:b/>
                <w:bCs/>
                <w:lang w:val="en-NG" w:eastAsia="en-NG"/>
              </w:rPr>
            </w:pPr>
            <w:r w:rsidRPr="000565D4">
              <w:rPr>
                <w:rFonts w:ascii="Arial" w:eastAsia="Times New Roman" w:hAnsi="Arial" w:cs="Arial"/>
                <w:b/>
                <w:bCs/>
                <w:lang w:val="en-NG" w:eastAsia="en-NG"/>
              </w:rPr>
              <w:t>Group</w:t>
            </w:r>
          </w:p>
        </w:tc>
        <w:tc>
          <w:tcPr>
            <w:tcW w:w="1487" w:type="pct"/>
            <w:tcBorders>
              <w:top w:val="single" w:sz="4" w:space="0" w:color="auto"/>
              <w:bottom w:val="single" w:sz="4" w:space="0" w:color="auto"/>
            </w:tcBorders>
            <w:vAlign w:val="center"/>
            <w:hideMark/>
          </w:tcPr>
          <w:p w14:paraId="311BC0B7" w14:textId="77777777" w:rsidR="000565D4" w:rsidRPr="000565D4" w:rsidRDefault="000565D4" w:rsidP="000565D4">
            <w:pPr>
              <w:rPr>
                <w:rFonts w:ascii="Arial" w:eastAsia="Times New Roman" w:hAnsi="Arial" w:cs="Arial"/>
                <w:b/>
                <w:bCs/>
                <w:lang w:val="en-NG" w:eastAsia="en-NG"/>
              </w:rPr>
            </w:pPr>
            <w:r w:rsidRPr="000565D4">
              <w:rPr>
                <w:rFonts w:ascii="Arial" w:eastAsia="Times New Roman" w:hAnsi="Arial" w:cs="Arial"/>
                <w:b/>
                <w:bCs/>
                <w:lang w:val="en-NG" w:eastAsia="en-NG"/>
              </w:rPr>
              <w:t>CRP (mg/L) ± SEM</w:t>
            </w:r>
          </w:p>
        </w:tc>
        <w:tc>
          <w:tcPr>
            <w:tcW w:w="957" w:type="pct"/>
            <w:tcBorders>
              <w:top w:val="single" w:sz="4" w:space="0" w:color="auto"/>
              <w:bottom w:val="single" w:sz="4" w:space="0" w:color="auto"/>
            </w:tcBorders>
            <w:vAlign w:val="center"/>
            <w:hideMark/>
          </w:tcPr>
          <w:p w14:paraId="10BCE8A7" w14:textId="77777777" w:rsidR="000565D4" w:rsidRPr="000565D4" w:rsidRDefault="000565D4" w:rsidP="000565D4">
            <w:pPr>
              <w:rPr>
                <w:rFonts w:ascii="Arial" w:eastAsia="Times New Roman" w:hAnsi="Arial" w:cs="Arial"/>
                <w:b/>
                <w:bCs/>
                <w:lang w:val="en-NG" w:eastAsia="en-NG"/>
              </w:rPr>
            </w:pPr>
            <w:r w:rsidRPr="000565D4">
              <w:rPr>
                <w:rFonts w:ascii="Arial" w:eastAsia="Times New Roman" w:hAnsi="Arial" w:cs="Arial"/>
                <w:b/>
                <w:bCs/>
                <w:lang w:val="en-NG" w:eastAsia="en-NG"/>
              </w:rPr>
              <w:t>Superscript</w:t>
            </w:r>
          </w:p>
        </w:tc>
      </w:tr>
      <w:tr w:rsidR="000565D4" w:rsidRPr="000565D4" w14:paraId="1FEC0917" w14:textId="77777777" w:rsidTr="000565D4">
        <w:trPr>
          <w:tblCellSpacing w:w="15" w:type="dxa"/>
        </w:trPr>
        <w:tc>
          <w:tcPr>
            <w:tcW w:w="1526" w:type="pct"/>
            <w:vAlign w:val="center"/>
            <w:hideMark/>
          </w:tcPr>
          <w:p w14:paraId="442B408E" w14:textId="77777777" w:rsidR="000565D4" w:rsidRPr="000565D4" w:rsidRDefault="000565D4" w:rsidP="000565D4">
            <w:pPr>
              <w:rPr>
                <w:rFonts w:ascii="Arial" w:eastAsia="Times New Roman" w:hAnsi="Arial" w:cs="Arial"/>
                <w:lang w:val="en-NG" w:eastAsia="en-NG"/>
              </w:rPr>
            </w:pPr>
            <w:r w:rsidRPr="000565D4">
              <w:rPr>
                <w:rFonts w:ascii="Arial" w:eastAsia="Times New Roman" w:hAnsi="Arial" w:cs="Arial"/>
                <w:b/>
                <w:bCs/>
                <w:lang w:val="en-NG" w:eastAsia="en-NG"/>
              </w:rPr>
              <w:t>Exposure Duration</w:t>
            </w:r>
          </w:p>
        </w:tc>
        <w:tc>
          <w:tcPr>
            <w:tcW w:w="948" w:type="pct"/>
            <w:vAlign w:val="center"/>
            <w:hideMark/>
          </w:tcPr>
          <w:p w14:paraId="4A585AE8"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Control</w:t>
            </w:r>
          </w:p>
        </w:tc>
        <w:tc>
          <w:tcPr>
            <w:tcW w:w="1487" w:type="pct"/>
            <w:vAlign w:val="center"/>
            <w:hideMark/>
          </w:tcPr>
          <w:p w14:paraId="3AA44F86"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1.25 ± 0.21</w:t>
            </w:r>
          </w:p>
        </w:tc>
        <w:tc>
          <w:tcPr>
            <w:tcW w:w="957" w:type="pct"/>
            <w:vAlign w:val="center"/>
            <w:hideMark/>
          </w:tcPr>
          <w:p w14:paraId="4C8B87F8"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a</w:t>
            </w:r>
          </w:p>
        </w:tc>
      </w:tr>
      <w:tr w:rsidR="000565D4" w:rsidRPr="000565D4" w14:paraId="0C26E991" w14:textId="77777777" w:rsidTr="000565D4">
        <w:trPr>
          <w:tblCellSpacing w:w="15" w:type="dxa"/>
        </w:trPr>
        <w:tc>
          <w:tcPr>
            <w:tcW w:w="1526" w:type="pct"/>
            <w:vAlign w:val="center"/>
            <w:hideMark/>
          </w:tcPr>
          <w:p w14:paraId="3D258295" w14:textId="77777777" w:rsidR="000565D4" w:rsidRPr="000565D4" w:rsidRDefault="000565D4" w:rsidP="000565D4">
            <w:pPr>
              <w:rPr>
                <w:rFonts w:ascii="Arial" w:eastAsia="Times New Roman" w:hAnsi="Arial" w:cs="Arial"/>
                <w:sz w:val="20"/>
                <w:szCs w:val="20"/>
                <w:lang w:val="en-NG" w:eastAsia="en-NG"/>
              </w:rPr>
            </w:pPr>
          </w:p>
        </w:tc>
        <w:tc>
          <w:tcPr>
            <w:tcW w:w="948" w:type="pct"/>
            <w:vAlign w:val="center"/>
            <w:hideMark/>
          </w:tcPr>
          <w:p w14:paraId="630F760D"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1–2 years</w:t>
            </w:r>
          </w:p>
        </w:tc>
        <w:tc>
          <w:tcPr>
            <w:tcW w:w="1487" w:type="pct"/>
            <w:vAlign w:val="center"/>
            <w:hideMark/>
          </w:tcPr>
          <w:p w14:paraId="6330CE73"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1.73 ± 0.77</w:t>
            </w:r>
          </w:p>
        </w:tc>
        <w:tc>
          <w:tcPr>
            <w:tcW w:w="957" w:type="pct"/>
            <w:vAlign w:val="center"/>
            <w:hideMark/>
          </w:tcPr>
          <w:p w14:paraId="626D0A09"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a</w:t>
            </w:r>
          </w:p>
        </w:tc>
      </w:tr>
      <w:tr w:rsidR="000565D4" w:rsidRPr="000565D4" w14:paraId="4BE52962" w14:textId="77777777" w:rsidTr="000565D4">
        <w:trPr>
          <w:tblCellSpacing w:w="15" w:type="dxa"/>
        </w:trPr>
        <w:tc>
          <w:tcPr>
            <w:tcW w:w="1526" w:type="pct"/>
            <w:vAlign w:val="center"/>
            <w:hideMark/>
          </w:tcPr>
          <w:p w14:paraId="4BDB218A" w14:textId="77777777" w:rsidR="000565D4" w:rsidRPr="000565D4" w:rsidRDefault="000565D4" w:rsidP="000565D4">
            <w:pPr>
              <w:rPr>
                <w:rFonts w:ascii="Arial" w:eastAsia="Times New Roman" w:hAnsi="Arial" w:cs="Arial"/>
                <w:sz w:val="20"/>
                <w:szCs w:val="20"/>
                <w:lang w:val="en-NG" w:eastAsia="en-NG"/>
              </w:rPr>
            </w:pPr>
          </w:p>
        </w:tc>
        <w:tc>
          <w:tcPr>
            <w:tcW w:w="948" w:type="pct"/>
            <w:vAlign w:val="center"/>
            <w:hideMark/>
          </w:tcPr>
          <w:p w14:paraId="30A27803"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3–5 years</w:t>
            </w:r>
          </w:p>
        </w:tc>
        <w:tc>
          <w:tcPr>
            <w:tcW w:w="1487" w:type="pct"/>
            <w:vAlign w:val="center"/>
            <w:hideMark/>
          </w:tcPr>
          <w:p w14:paraId="63E2CC80"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5.98 ± 2.29</w:t>
            </w:r>
          </w:p>
        </w:tc>
        <w:tc>
          <w:tcPr>
            <w:tcW w:w="957" w:type="pct"/>
            <w:vAlign w:val="center"/>
            <w:hideMark/>
          </w:tcPr>
          <w:p w14:paraId="0ECC3A4C"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b</w:t>
            </w:r>
          </w:p>
        </w:tc>
      </w:tr>
      <w:tr w:rsidR="000565D4" w:rsidRPr="000565D4" w14:paraId="0F3C3200" w14:textId="77777777" w:rsidTr="000565D4">
        <w:trPr>
          <w:tblCellSpacing w:w="15" w:type="dxa"/>
        </w:trPr>
        <w:tc>
          <w:tcPr>
            <w:tcW w:w="1526" w:type="pct"/>
            <w:vAlign w:val="center"/>
            <w:hideMark/>
          </w:tcPr>
          <w:p w14:paraId="31718226" w14:textId="77777777" w:rsidR="000565D4" w:rsidRPr="000565D4" w:rsidRDefault="000565D4" w:rsidP="000565D4">
            <w:pPr>
              <w:rPr>
                <w:rFonts w:ascii="Arial" w:eastAsia="Times New Roman" w:hAnsi="Arial" w:cs="Arial"/>
                <w:sz w:val="20"/>
                <w:szCs w:val="20"/>
                <w:lang w:val="en-NG" w:eastAsia="en-NG"/>
              </w:rPr>
            </w:pPr>
          </w:p>
        </w:tc>
        <w:tc>
          <w:tcPr>
            <w:tcW w:w="948" w:type="pct"/>
            <w:vAlign w:val="center"/>
            <w:hideMark/>
          </w:tcPr>
          <w:p w14:paraId="6A9AB4B5"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&gt;5 years</w:t>
            </w:r>
          </w:p>
        </w:tc>
        <w:tc>
          <w:tcPr>
            <w:tcW w:w="1487" w:type="pct"/>
            <w:vAlign w:val="center"/>
            <w:hideMark/>
          </w:tcPr>
          <w:p w14:paraId="4C1379D7"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5.37 ± 2.88</w:t>
            </w:r>
          </w:p>
        </w:tc>
        <w:tc>
          <w:tcPr>
            <w:tcW w:w="957" w:type="pct"/>
            <w:vAlign w:val="center"/>
            <w:hideMark/>
          </w:tcPr>
          <w:p w14:paraId="22361123"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b</w:t>
            </w:r>
          </w:p>
        </w:tc>
      </w:tr>
      <w:tr w:rsidR="000565D4" w:rsidRPr="000565D4" w14:paraId="3F7E6AE3" w14:textId="77777777" w:rsidTr="000565D4">
        <w:trPr>
          <w:tblCellSpacing w:w="15" w:type="dxa"/>
        </w:trPr>
        <w:tc>
          <w:tcPr>
            <w:tcW w:w="1526" w:type="pct"/>
            <w:vAlign w:val="center"/>
            <w:hideMark/>
          </w:tcPr>
          <w:p w14:paraId="1356EC04" w14:textId="77777777" w:rsidR="000565D4" w:rsidRPr="000565D4" w:rsidRDefault="000565D4" w:rsidP="000565D4">
            <w:pPr>
              <w:rPr>
                <w:rFonts w:ascii="Arial" w:eastAsia="Times New Roman" w:hAnsi="Arial" w:cs="Arial"/>
                <w:lang w:val="en-NG" w:eastAsia="en-NG"/>
              </w:rPr>
            </w:pPr>
            <w:r w:rsidRPr="000565D4">
              <w:rPr>
                <w:rFonts w:ascii="Arial" w:eastAsia="Times New Roman" w:hAnsi="Arial" w:cs="Arial"/>
                <w:b/>
                <w:bCs/>
                <w:lang w:val="en-NG" w:eastAsia="en-NG"/>
              </w:rPr>
              <w:t>Age Group</w:t>
            </w:r>
          </w:p>
        </w:tc>
        <w:tc>
          <w:tcPr>
            <w:tcW w:w="948" w:type="pct"/>
            <w:vAlign w:val="center"/>
            <w:hideMark/>
          </w:tcPr>
          <w:p w14:paraId="08A909E8"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18–25 years</w:t>
            </w:r>
          </w:p>
        </w:tc>
        <w:tc>
          <w:tcPr>
            <w:tcW w:w="1487" w:type="pct"/>
            <w:vAlign w:val="center"/>
            <w:hideMark/>
          </w:tcPr>
          <w:p w14:paraId="57EDC273"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3.01 ± 1.78</w:t>
            </w:r>
          </w:p>
        </w:tc>
        <w:tc>
          <w:tcPr>
            <w:tcW w:w="957" w:type="pct"/>
            <w:vAlign w:val="center"/>
            <w:hideMark/>
          </w:tcPr>
          <w:p w14:paraId="5749A652"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b</w:t>
            </w:r>
          </w:p>
        </w:tc>
      </w:tr>
      <w:tr w:rsidR="000565D4" w:rsidRPr="000565D4" w14:paraId="179E475F" w14:textId="77777777" w:rsidTr="000565D4">
        <w:trPr>
          <w:tblCellSpacing w:w="15" w:type="dxa"/>
        </w:trPr>
        <w:tc>
          <w:tcPr>
            <w:tcW w:w="1526" w:type="pct"/>
            <w:vAlign w:val="center"/>
            <w:hideMark/>
          </w:tcPr>
          <w:p w14:paraId="6FD74ACC" w14:textId="77777777" w:rsidR="000565D4" w:rsidRPr="000565D4" w:rsidRDefault="000565D4" w:rsidP="000565D4">
            <w:pPr>
              <w:rPr>
                <w:rFonts w:ascii="Arial" w:eastAsia="Times New Roman" w:hAnsi="Arial" w:cs="Arial"/>
                <w:sz w:val="20"/>
                <w:szCs w:val="20"/>
                <w:lang w:val="en-NG" w:eastAsia="en-NG"/>
              </w:rPr>
            </w:pPr>
          </w:p>
        </w:tc>
        <w:tc>
          <w:tcPr>
            <w:tcW w:w="948" w:type="pct"/>
            <w:vAlign w:val="center"/>
            <w:hideMark/>
          </w:tcPr>
          <w:p w14:paraId="315D6720"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26–35 years</w:t>
            </w:r>
          </w:p>
        </w:tc>
        <w:tc>
          <w:tcPr>
            <w:tcW w:w="1487" w:type="pct"/>
            <w:vAlign w:val="center"/>
            <w:hideMark/>
          </w:tcPr>
          <w:p w14:paraId="674A0992"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3.93 ± 1.59</w:t>
            </w:r>
          </w:p>
        </w:tc>
        <w:tc>
          <w:tcPr>
            <w:tcW w:w="957" w:type="pct"/>
            <w:vAlign w:val="center"/>
            <w:hideMark/>
          </w:tcPr>
          <w:p w14:paraId="1E5E02CD"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b</w:t>
            </w:r>
          </w:p>
        </w:tc>
      </w:tr>
      <w:tr w:rsidR="000565D4" w:rsidRPr="000565D4" w14:paraId="7EF61B3D" w14:textId="77777777" w:rsidTr="000565D4">
        <w:trPr>
          <w:tblCellSpacing w:w="15" w:type="dxa"/>
        </w:trPr>
        <w:tc>
          <w:tcPr>
            <w:tcW w:w="1526" w:type="pct"/>
            <w:vAlign w:val="center"/>
            <w:hideMark/>
          </w:tcPr>
          <w:p w14:paraId="2E24B345" w14:textId="77777777" w:rsidR="000565D4" w:rsidRPr="000565D4" w:rsidRDefault="000565D4" w:rsidP="000565D4">
            <w:pPr>
              <w:rPr>
                <w:rFonts w:ascii="Arial" w:eastAsia="Times New Roman" w:hAnsi="Arial" w:cs="Arial"/>
                <w:sz w:val="20"/>
                <w:szCs w:val="20"/>
                <w:lang w:val="en-NG" w:eastAsia="en-NG"/>
              </w:rPr>
            </w:pPr>
          </w:p>
        </w:tc>
        <w:tc>
          <w:tcPr>
            <w:tcW w:w="948" w:type="pct"/>
            <w:vAlign w:val="center"/>
            <w:hideMark/>
          </w:tcPr>
          <w:p w14:paraId="50FE3AE7"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36–45 years</w:t>
            </w:r>
          </w:p>
        </w:tc>
        <w:tc>
          <w:tcPr>
            <w:tcW w:w="1487" w:type="pct"/>
            <w:vAlign w:val="center"/>
            <w:hideMark/>
          </w:tcPr>
          <w:p w14:paraId="44268BC8"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2.48 ± 0.86</w:t>
            </w:r>
          </w:p>
        </w:tc>
        <w:tc>
          <w:tcPr>
            <w:tcW w:w="957" w:type="pct"/>
            <w:vAlign w:val="center"/>
            <w:hideMark/>
          </w:tcPr>
          <w:p w14:paraId="15CD45A9" w14:textId="77777777" w:rsidR="000565D4" w:rsidRPr="000565D4" w:rsidRDefault="000565D4" w:rsidP="000565D4">
            <w:pPr>
              <w:rPr>
                <w:rFonts w:ascii="Arial" w:eastAsia="Times New Roman" w:hAnsi="Arial" w:cs="Arial"/>
                <w:sz w:val="20"/>
                <w:szCs w:val="20"/>
                <w:lang w:val="en-NG" w:eastAsia="en-NG"/>
              </w:rPr>
            </w:pPr>
            <w:r w:rsidRPr="000565D4">
              <w:rPr>
                <w:rFonts w:ascii="Arial" w:eastAsia="Times New Roman" w:hAnsi="Arial" w:cs="Arial"/>
                <w:sz w:val="20"/>
                <w:szCs w:val="20"/>
                <w:lang w:val="en-NG" w:eastAsia="en-NG"/>
              </w:rPr>
              <w:t>a</w:t>
            </w:r>
          </w:p>
        </w:tc>
      </w:tr>
    </w:tbl>
    <w:p w14:paraId="775CD3A3" w14:textId="7DA8EDF8" w:rsidR="000565D4" w:rsidRPr="000565D4" w:rsidRDefault="000565D4" w:rsidP="000565D4">
      <w:pPr>
        <w:jc w:val="both"/>
        <w:rPr>
          <w:rFonts w:ascii="Arial" w:hAnsi="Arial" w:cs="Arial"/>
          <w:sz w:val="20"/>
          <w:szCs w:val="20"/>
        </w:rPr>
      </w:pPr>
      <w:r w:rsidRPr="000565D4">
        <w:rPr>
          <w:rFonts w:ascii="Arial" w:hAnsi="Arial" w:cs="Arial"/>
          <w:sz w:val="20"/>
          <w:szCs w:val="20"/>
        </w:rPr>
        <w:t xml:space="preserve">Values represent the Mean ± Standard Error of Mean (SEM) for the sample (n=60). Means within </w:t>
      </w:r>
      <w:r w:rsidR="00BC65E0">
        <w:rPr>
          <w:rFonts w:ascii="Arial" w:hAnsi="Arial" w:cs="Arial"/>
          <w:sz w:val="20"/>
          <w:szCs w:val="20"/>
        </w:rPr>
        <w:t>each section</w:t>
      </w:r>
      <w:r w:rsidRPr="000565D4">
        <w:rPr>
          <w:rFonts w:ascii="Arial" w:hAnsi="Arial" w:cs="Arial"/>
          <w:sz w:val="20"/>
          <w:szCs w:val="20"/>
        </w:rPr>
        <w:t xml:space="preserve"> that do not share the same superscript alphabet are significantly different (p &lt; 0.05). CRP, C-reactive protein; mg/L, milligrams per liter;</w:t>
      </w:r>
    </w:p>
    <w:p w14:paraId="77FBC01E" w14:textId="77777777" w:rsidR="00C409AC" w:rsidRPr="00F15984" w:rsidRDefault="00C409AC" w:rsidP="00B852AC">
      <w:pPr>
        <w:pStyle w:val="Body"/>
        <w:spacing w:after="0" w:line="480" w:lineRule="auto"/>
        <w:rPr>
          <w:rFonts w:ascii="Arial" w:hAnsi="Arial" w:cs="Arial"/>
          <w:b/>
        </w:rPr>
      </w:pPr>
    </w:p>
    <w:p w14:paraId="0F0C87D8" w14:textId="7C2C9318" w:rsidR="00C161F8" w:rsidRPr="00C161F8" w:rsidRDefault="00C161F8" w:rsidP="00C161F8">
      <w:pPr>
        <w:jc w:val="both"/>
        <w:rPr>
          <w:rFonts w:ascii="Arial" w:hAnsi="Arial" w:cs="Arial"/>
          <w:sz w:val="20"/>
          <w:szCs w:val="20"/>
        </w:rPr>
      </w:pPr>
      <w:r w:rsidRPr="00C161F8">
        <w:rPr>
          <w:rFonts w:ascii="Arial" w:hAnsi="Arial" w:cs="Arial"/>
          <w:sz w:val="20"/>
          <w:szCs w:val="20"/>
        </w:rPr>
        <w:t xml:space="preserve"> </w:t>
      </w:r>
    </w:p>
    <w:p w14:paraId="14204F83" w14:textId="77777777" w:rsidR="00B852AC" w:rsidRDefault="00B852AC" w:rsidP="0029356A">
      <w:pPr>
        <w:pStyle w:val="Body"/>
        <w:spacing w:after="0" w:line="480" w:lineRule="auto"/>
        <w:ind w:left="-142"/>
        <w:rPr>
          <w:rFonts w:ascii="Arial" w:hAnsi="Arial" w:cs="Arial"/>
          <w:b/>
          <w:sz w:val="22"/>
          <w:szCs w:val="22"/>
        </w:rPr>
      </w:pPr>
    </w:p>
    <w:p w14:paraId="7F715373" w14:textId="77777777" w:rsidR="00BC65E0" w:rsidRDefault="00BC65E0" w:rsidP="0029356A">
      <w:pPr>
        <w:pStyle w:val="Body"/>
        <w:spacing w:after="0" w:line="480" w:lineRule="auto"/>
        <w:ind w:left="-142"/>
        <w:rPr>
          <w:rFonts w:ascii="Arial" w:hAnsi="Arial" w:cs="Arial"/>
          <w:b/>
          <w:sz w:val="22"/>
          <w:szCs w:val="22"/>
        </w:rPr>
      </w:pPr>
    </w:p>
    <w:p w14:paraId="72B62383" w14:textId="6F613669" w:rsidR="00696C4C" w:rsidRPr="0089781D" w:rsidRDefault="0089781D" w:rsidP="0029356A">
      <w:pPr>
        <w:pStyle w:val="Body"/>
        <w:spacing w:after="0" w:line="480" w:lineRule="auto"/>
        <w:ind w:left="-142"/>
        <w:rPr>
          <w:rFonts w:ascii="Arial" w:hAnsi="Arial" w:cs="Arial"/>
          <w:b/>
          <w:sz w:val="22"/>
          <w:szCs w:val="22"/>
        </w:rPr>
      </w:pPr>
      <w:r w:rsidRPr="0089781D">
        <w:rPr>
          <w:rFonts w:ascii="Arial" w:hAnsi="Arial" w:cs="Arial"/>
          <w:b/>
          <w:sz w:val="22"/>
          <w:szCs w:val="22"/>
        </w:rPr>
        <w:t>4. DISCUSSION</w:t>
      </w:r>
    </w:p>
    <w:p w14:paraId="42FE573A" w14:textId="02770117" w:rsidR="00885482" w:rsidRPr="00885482" w:rsidRDefault="00885482" w:rsidP="00885482">
      <w:pPr>
        <w:spacing w:before="100" w:beforeAutospacing="1" w:after="100" w:afterAutospacing="1"/>
        <w:jc w:val="both"/>
        <w:rPr>
          <w:rFonts w:ascii="Arial" w:eastAsia="Times New Roman" w:hAnsi="Arial" w:cs="Arial"/>
          <w:sz w:val="20"/>
          <w:szCs w:val="20"/>
          <w:lang w:val="en-NG" w:eastAsia="en-NG"/>
        </w:rPr>
      </w:pPr>
      <w:r w:rsidRPr="00885482">
        <w:rPr>
          <w:rFonts w:ascii="Arial" w:eastAsia="Times New Roman" w:hAnsi="Arial" w:cs="Arial"/>
          <w:sz w:val="20"/>
          <w:szCs w:val="20"/>
          <w:lang w:val="en-NG" w:eastAsia="en-NG"/>
        </w:rPr>
        <w:t>Gasoline contributes significantly to the economy of nations, including Nigeria. However, pollution due to gasoline exposure can have major adverse effects on public health. One of the most vulnerable demographic groups are petroleum station workers, who are in daily contact with gasoline and thus experience consistent exposure to its harmful components. Many of the toxicological effects associated with gasoline exposure are attributed to its specific constituents such as benzene, toluene, ethylene, and xylene</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BTEX</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 xml:space="preserve">which are classified as volatile organic compounds (Al </w:t>
      </w:r>
      <w:proofErr w:type="spellStart"/>
      <w:r w:rsidRPr="00885482">
        <w:rPr>
          <w:rFonts w:ascii="Arial" w:eastAsia="Times New Roman" w:hAnsi="Arial" w:cs="Arial"/>
          <w:sz w:val="20"/>
          <w:szCs w:val="20"/>
          <w:lang w:val="en-NG" w:eastAsia="en-NG"/>
        </w:rPr>
        <w:t>Madhoun</w:t>
      </w:r>
      <w:proofErr w:type="spellEnd"/>
      <w:r w:rsidRPr="00885482">
        <w:rPr>
          <w:rFonts w:ascii="Arial" w:eastAsia="Times New Roman" w:hAnsi="Arial" w:cs="Arial"/>
          <w:sz w:val="20"/>
          <w:szCs w:val="20"/>
          <w:lang w:val="en-NG" w:eastAsia="en-NG"/>
        </w:rPr>
        <w:t xml:space="preserve"> et al., 2008).</w:t>
      </w:r>
    </w:p>
    <w:p w14:paraId="0166B101" w14:textId="5B79D2AF" w:rsidR="00885482" w:rsidRPr="00885482" w:rsidRDefault="00885482" w:rsidP="00885482">
      <w:pPr>
        <w:spacing w:before="100" w:beforeAutospacing="1" w:after="100" w:afterAutospacing="1"/>
        <w:jc w:val="both"/>
        <w:rPr>
          <w:rFonts w:ascii="Arial" w:eastAsia="Times New Roman" w:hAnsi="Arial" w:cs="Arial"/>
          <w:sz w:val="20"/>
          <w:szCs w:val="20"/>
          <w:lang w:val="en-NG" w:eastAsia="en-NG"/>
        </w:rPr>
      </w:pPr>
      <w:r w:rsidRPr="00885482">
        <w:rPr>
          <w:rFonts w:ascii="Arial" w:eastAsia="Times New Roman" w:hAnsi="Arial" w:cs="Arial"/>
          <w:sz w:val="20"/>
          <w:szCs w:val="20"/>
          <w:lang w:val="en-NG" w:eastAsia="en-NG"/>
        </w:rPr>
        <w:t>These compounds are known to be highly toxic and, in some cases, carcinogenic to humans (</w:t>
      </w:r>
      <w:proofErr w:type="spellStart"/>
      <w:r w:rsidRPr="00885482">
        <w:rPr>
          <w:rFonts w:ascii="Arial" w:eastAsia="Times New Roman" w:hAnsi="Arial" w:cs="Arial"/>
          <w:sz w:val="20"/>
          <w:szCs w:val="20"/>
          <w:lang w:val="en-NG" w:eastAsia="en-NG"/>
        </w:rPr>
        <w:t>Folabi</w:t>
      </w:r>
      <w:proofErr w:type="spellEnd"/>
      <w:r w:rsidRPr="00885482">
        <w:rPr>
          <w:rFonts w:ascii="Arial" w:eastAsia="Times New Roman" w:hAnsi="Arial" w:cs="Arial"/>
          <w:sz w:val="20"/>
          <w:szCs w:val="20"/>
          <w:lang w:val="en-NG" w:eastAsia="en-NG"/>
        </w:rPr>
        <w:t xml:space="preserve"> &amp; Phan, 2020). They have been associated with </w:t>
      </w:r>
      <w:proofErr w:type="spellStart"/>
      <w:r w:rsidRPr="00885482">
        <w:rPr>
          <w:rFonts w:ascii="Arial" w:eastAsia="Times New Roman" w:hAnsi="Arial" w:cs="Arial"/>
          <w:sz w:val="20"/>
          <w:szCs w:val="20"/>
          <w:lang w:val="en-NG" w:eastAsia="en-NG"/>
        </w:rPr>
        <w:t>hematological</w:t>
      </w:r>
      <w:proofErr w:type="spellEnd"/>
      <w:r w:rsidRPr="00885482">
        <w:rPr>
          <w:rFonts w:ascii="Arial" w:eastAsia="Times New Roman" w:hAnsi="Arial" w:cs="Arial"/>
          <w:sz w:val="20"/>
          <w:szCs w:val="20"/>
          <w:lang w:val="en-NG" w:eastAsia="en-NG"/>
        </w:rPr>
        <w:t xml:space="preserve"> disorders such as pancytopenia, aplastic </w:t>
      </w:r>
      <w:proofErr w:type="spellStart"/>
      <w:r w:rsidRPr="00885482">
        <w:rPr>
          <w:rFonts w:ascii="Arial" w:eastAsia="Times New Roman" w:hAnsi="Arial" w:cs="Arial"/>
          <w:sz w:val="20"/>
          <w:szCs w:val="20"/>
          <w:lang w:val="en-NG" w:eastAsia="en-NG"/>
        </w:rPr>
        <w:lastRenderedPageBreak/>
        <w:t>anemia</w:t>
      </w:r>
      <w:proofErr w:type="spellEnd"/>
      <w:r w:rsidRPr="00885482">
        <w:rPr>
          <w:rFonts w:ascii="Arial" w:eastAsia="Times New Roman" w:hAnsi="Arial" w:cs="Arial"/>
          <w:sz w:val="20"/>
          <w:szCs w:val="20"/>
          <w:lang w:val="en-NG" w:eastAsia="en-NG"/>
        </w:rPr>
        <w:t>, and increased risk of acute myeloblastic leukemia (</w:t>
      </w:r>
      <w:proofErr w:type="spellStart"/>
      <w:r w:rsidRPr="00885482">
        <w:rPr>
          <w:rFonts w:ascii="Arial" w:eastAsia="Times New Roman" w:hAnsi="Arial" w:cs="Arial"/>
          <w:sz w:val="20"/>
          <w:szCs w:val="20"/>
          <w:lang w:val="en-NG" w:eastAsia="en-NG"/>
        </w:rPr>
        <w:t>Folabi</w:t>
      </w:r>
      <w:proofErr w:type="spellEnd"/>
      <w:r w:rsidRPr="00885482">
        <w:rPr>
          <w:rFonts w:ascii="Arial" w:eastAsia="Times New Roman" w:hAnsi="Arial" w:cs="Arial"/>
          <w:sz w:val="20"/>
          <w:szCs w:val="20"/>
          <w:lang w:val="en-NG" w:eastAsia="en-NG"/>
        </w:rPr>
        <w:t xml:space="preserve"> &amp; Phan, 2020; Lee et al., 2015; Ren et al., 2010). Moreover, VOCs have been linked to liver and kidney dysfunction (Bin-</w:t>
      </w:r>
      <w:proofErr w:type="spellStart"/>
      <w:r w:rsidRPr="00885482">
        <w:rPr>
          <w:rFonts w:ascii="Arial" w:eastAsia="Times New Roman" w:hAnsi="Arial" w:cs="Arial"/>
          <w:sz w:val="20"/>
          <w:szCs w:val="20"/>
          <w:lang w:val="en-NG" w:eastAsia="en-NG"/>
        </w:rPr>
        <w:t>Mefrij</w:t>
      </w:r>
      <w:proofErr w:type="spellEnd"/>
      <w:r w:rsidRPr="00885482">
        <w:rPr>
          <w:rFonts w:ascii="Arial" w:eastAsia="Times New Roman" w:hAnsi="Arial" w:cs="Arial"/>
          <w:sz w:val="20"/>
          <w:szCs w:val="20"/>
          <w:lang w:val="en-NG" w:eastAsia="en-NG"/>
        </w:rPr>
        <w:t xml:space="preserve"> &amp; </w:t>
      </w:r>
      <w:proofErr w:type="spellStart"/>
      <w:r w:rsidRPr="00885482">
        <w:rPr>
          <w:rFonts w:ascii="Arial" w:eastAsia="Times New Roman" w:hAnsi="Arial" w:cs="Arial"/>
          <w:sz w:val="20"/>
          <w:szCs w:val="20"/>
          <w:lang w:val="en-NG" w:eastAsia="en-NG"/>
        </w:rPr>
        <w:t>Alwakeel</w:t>
      </w:r>
      <w:proofErr w:type="spellEnd"/>
      <w:r w:rsidRPr="00885482">
        <w:rPr>
          <w:rFonts w:ascii="Arial" w:eastAsia="Times New Roman" w:hAnsi="Arial" w:cs="Arial"/>
          <w:sz w:val="20"/>
          <w:szCs w:val="20"/>
          <w:lang w:val="en-NG" w:eastAsia="en-NG"/>
        </w:rPr>
        <w:t>, 2017; Olmedo-</w:t>
      </w:r>
      <w:proofErr w:type="spellStart"/>
      <w:r w:rsidRPr="00885482">
        <w:rPr>
          <w:rFonts w:ascii="Arial" w:eastAsia="Times New Roman" w:hAnsi="Arial" w:cs="Arial"/>
          <w:sz w:val="20"/>
          <w:szCs w:val="20"/>
          <w:lang w:val="en-NG" w:eastAsia="en-NG"/>
        </w:rPr>
        <w:t>Buenrostro</w:t>
      </w:r>
      <w:proofErr w:type="spellEnd"/>
      <w:r w:rsidRPr="00885482">
        <w:rPr>
          <w:rFonts w:ascii="Arial" w:eastAsia="Times New Roman" w:hAnsi="Arial" w:cs="Arial"/>
          <w:sz w:val="20"/>
          <w:szCs w:val="20"/>
          <w:lang w:val="en-NG" w:eastAsia="en-NG"/>
        </w:rPr>
        <w:t xml:space="preserve"> et al., 2017). Prior studies have investigated the health impact of petroleum exposure, focusing on hepatic and renal impairments as well as changes in </w:t>
      </w:r>
      <w:proofErr w:type="spellStart"/>
      <w:r w:rsidRPr="00885482">
        <w:rPr>
          <w:rFonts w:ascii="Arial" w:eastAsia="Times New Roman" w:hAnsi="Arial" w:cs="Arial"/>
          <w:sz w:val="20"/>
          <w:szCs w:val="20"/>
          <w:lang w:val="en-NG" w:eastAsia="en-NG"/>
        </w:rPr>
        <w:t>hematological</w:t>
      </w:r>
      <w:proofErr w:type="spellEnd"/>
      <w:r w:rsidRPr="00885482">
        <w:rPr>
          <w:rFonts w:ascii="Arial" w:eastAsia="Times New Roman" w:hAnsi="Arial" w:cs="Arial"/>
          <w:sz w:val="20"/>
          <w:szCs w:val="20"/>
          <w:lang w:val="en-NG" w:eastAsia="en-NG"/>
        </w:rPr>
        <w:t xml:space="preserve"> profiles in affected populations (</w:t>
      </w:r>
      <w:proofErr w:type="spellStart"/>
      <w:r w:rsidRPr="00885482">
        <w:rPr>
          <w:rFonts w:ascii="Arial" w:eastAsia="Times New Roman" w:hAnsi="Arial" w:cs="Arial"/>
          <w:sz w:val="20"/>
          <w:szCs w:val="20"/>
          <w:lang w:val="en-NG" w:eastAsia="en-NG"/>
        </w:rPr>
        <w:t>Asefaw</w:t>
      </w:r>
      <w:proofErr w:type="spellEnd"/>
      <w:r w:rsidRPr="00885482">
        <w:rPr>
          <w:rFonts w:ascii="Arial" w:eastAsia="Times New Roman" w:hAnsi="Arial" w:cs="Arial"/>
          <w:sz w:val="20"/>
          <w:szCs w:val="20"/>
          <w:lang w:val="en-NG" w:eastAsia="en-NG"/>
        </w:rPr>
        <w:t xml:space="preserve"> et al., 2020; </w:t>
      </w:r>
      <w:proofErr w:type="spellStart"/>
      <w:r w:rsidRPr="00885482">
        <w:rPr>
          <w:rFonts w:ascii="Arial" w:eastAsia="Times New Roman" w:hAnsi="Arial" w:cs="Arial"/>
          <w:sz w:val="20"/>
          <w:szCs w:val="20"/>
          <w:lang w:val="en-NG" w:eastAsia="en-NG"/>
        </w:rPr>
        <w:t>Teklu</w:t>
      </w:r>
      <w:proofErr w:type="spellEnd"/>
      <w:r w:rsidRPr="00885482">
        <w:rPr>
          <w:rFonts w:ascii="Arial" w:eastAsia="Times New Roman" w:hAnsi="Arial" w:cs="Arial"/>
          <w:sz w:val="20"/>
          <w:szCs w:val="20"/>
          <w:lang w:val="en-NG" w:eastAsia="en-NG"/>
        </w:rPr>
        <w:t xml:space="preserve"> et al., 2021).</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 xml:space="preserve">C-reactive protein (CRP), an acute-phase protein synthesized in the liver, is stimulated by inflammatory cytokines such as interleukin-6 (IL-6), </w:t>
      </w:r>
      <w:proofErr w:type="spellStart"/>
      <w:r w:rsidRPr="00885482">
        <w:rPr>
          <w:rFonts w:ascii="Arial" w:eastAsia="Times New Roman" w:hAnsi="Arial" w:cs="Arial"/>
          <w:sz w:val="20"/>
          <w:szCs w:val="20"/>
          <w:lang w:val="en-NG" w:eastAsia="en-NG"/>
        </w:rPr>
        <w:t>tumor</w:t>
      </w:r>
      <w:proofErr w:type="spellEnd"/>
      <w:r w:rsidRPr="00885482">
        <w:rPr>
          <w:rFonts w:ascii="Arial" w:eastAsia="Times New Roman" w:hAnsi="Arial" w:cs="Arial"/>
          <w:sz w:val="20"/>
          <w:szCs w:val="20"/>
          <w:lang w:val="en-NG" w:eastAsia="en-NG"/>
        </w:rPr>
        <w:t xml:space="preserve"> necrosis factor-alpha (TNF-α), and IL-1β. It is considered superior to erythrocyte sedimentation rate (ESR) and other inflammation markers due to its sensitivity and clinical reliability (Abraham &amp; </w:t>
      </w:r>
      <w:proofErr w:type="spellStart"/>
      <w:r w:rsidRPr="00885482">
        <w:rPr>
          <w:rFonts w:ascii="Arial" w:eastAsia="Times New Roman" w:hAnsi="Arial" w:cs="Arial"/>
          <w:sz w:val="20"/>
          <w:szCs w:val="20"/>
          <w:lang w:val="en-NG" w:eastAsia="en-NG"/>
        </w:rPr>
        <w:t>Thirumurthi</w:t>
      </w:r>
      <w:proofErr w:type="spellEnd"/>
      <w:r w:rsidRPr="00885482">
        <w:rPr>
          <w:rFonts w:ascii="Arial" w:eastAsia="Times New Roman" w:hAnsi="Arial" w:cs="Arial"/>
          <w:sz w:val="20"/>
          <w:szCs w:val="20"/>
          <w:lang w:val="en-NG" w:eastAsia="en-NG"/>
        </w:rPr>
        <w:t>, 2009). Inflammation is widely implicated as a biological mechanism underlying exposure-related health effects, with components such as particulate matter, metals, and endotoxins known to possess proinflammatory properties (Jacobs et al., 2010).</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In the present study, CRP levels were observed to be higher in the 3–5 years and &gt;5 years exposure groups compared to the control and 1–2 years exposure groups. Age-wise analysis revealed that individuals aged 26–35 years exhibited the highest CRP levels, while those aged 36–45 years had the lowest. The elevated CRP levels in long-term exposure groups suggest a chronic inflammatory response potentially driven by consistent contact with BTEX compounds. These toxicants are known to activate immune pathways and stimulate the release of proinflammatory cytokines, leading to elevated CRP levels (</w:t>
      </w:r>
      <w:proofErr w:type="spellStart"/>
      <w:r w:rsidRPr="00885482">
        <w:rPr>
          <w:rFonts w:ascii="Arial" w:eastAsia="Times New Roman" w:hAnsi="Arial" w:cs="Arial"/>
          <w:sz w:val="20"/>
          <w:szCs w:val="20"/>
          <w:lang w:val="en-NG" w:eastAsia="en-NG"/>
        </w:rPr>
        <w:t>Laveti</w:t>
      </w:r>
      <w:proofErr w:type="spellEnd"/>
      <w:r w:rsidRPr="00885482">
        <w:rPr>
          <w:rFonts w:ascii="Arial" w:eastAsia="Times New Roman" w:hAnsi="Arial" w:cs="Arial"/>
          <w:sz w:val="20"/>
          <w:szCs w:val="20"/>
          <w:lang w:val="en-NG" w:eastAsia="en-NG"/>
        </w:rPr>
        <w:t xml:space="preserve"> et al., 2013).</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Numerous studies support the association between long-term occupational exposure to petroleum products and systemic inflammation, often reflected by raised CRP levels. For instance, research has shown that prolonged exposure to VOCs in petroleum fumes can trigger oxidative stress and immune system activation, both of which contribute to systemic inflammation (Shen et al., 2024; Amor-</w:t>
      </w:r>
      <w:proofErr w:type="spellStart"/>
      <w:r w:rsidRPr="00885482">
        <w:rPr>
          <w:rFonts w:ascii="Arial" w:eastAsia="Times New Roman" w:hAnsi="Arial" w:cs="Arial"/>
          <w:sz w:val="20"/>
          <w:szCs w:val="20"/>
          <w:lang w:val="en-NG" w:eastAsia="en-NG"/>
        </w:rPr>
        <w:t>Carro</w:t>
      </w:r>
      <w:proofErr w:type="spellEnd"/>
      <w:r w:rsidRPr="00885482">
        <w:rPr>
          <w:rFonts w:ascii="Arial" w:eastAsia="Times New Roman" w:hAnsi="Arial" w:cs="Arial"/>
          <w:sz w:val="20"/>
          <w:szCs w:val="20"/>
          <w:lang w:val="en-NG" w:eastAsia="en-NG"/>
        </w:rPr>
        <w:t xml:space="preserve"> et al., 2020). In a study by </w:t>
      </w:r>
      <w:proofErr w:type="spellStart"/>
      <w:r w:rsidRPr="00885482">
        <w:rPr>
          <w:rFonts w:ascii="Arial" w:eastAsia="Times New Roman" w:hAnsi="Arial" w:cs="Arial"/>
          <w:sz w:val="20"/>
          <w:szCs w:val="20"/>
          <w:lang w:val="en-NG" w:eastAsia="en-NG"/>
        </w:rPr>
        <w:t>Abdrabouh</w:t>
      </w:r>
      <w:proofErr w:type="spellEnd"/>
      <w:r w:rsidRPr="00885482">
        <w:rPr>
          <w:rFonts w:ascii="Arial" w:eastAsia="Times New Roman" w:hAnsi="Arial" w:cs="Arial"/>
          <w:sz w:val="20"/>
          <w:szCs w:val="20"/>
          <w:lang w:val="en-NG" w:eastAsia="en-NG"/>
        </w:rPr>
        <w:t xml:space="preserve"> (2022), rats exposed to gasoline fumes demonstrated significantly elevated TNF-α, as well as fibrotic markers such as TGF-β1, collagen type-1 (COL-1), and hydroxyproline (HYP), further linking inhalation exposure to inflammatory and tissue remodelling responses.</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 xml:space="preserve">Moreover, inflammatory cytokines are known to be released from mast cells recruited to inflammatory sites. Under normal conditions, mast cells are typically absent in the lungs but become detectable during inflammation, as several studies have confirmed (Komi et al., 2020; </w:t>
      </w:r>
      <w:proofErr w:type="spellStart"/>
      <w:r w:rsidRPr="00885482">
        <w:rPr>
          <w:rFonts w:ascii="Arial" w:eastAsia="Times New Roman" w:hAnsi="Arial" w:cs="Arial"/>
          <w:sz w:val="20"/>
          <w:szCs w:val="20"/>
          <w:lang w:val="en-NG" w:eastAsia="en-NG"/>
        </w:rPr>
        <w:t>Uslu</w:t>
      </w:r>
      <w:proofErr w:type="spellEnd"/>
      <w:r w:rsidRPr="00885482">
        <w:rPr>
          <w:rFonts w:ascii="Arial" w:eastAsia="Times New Roman" w:hAnsi="Arial" w:cs="Arial"/>
          <w:sz w:val="20"/>
          <w:szCs w:val="20"/>
          <w:lang w:val="en-NG" w:eastAsia="en-NG"/>
        </w:rPr>
        <w:t xml:space="preserve"> &amp; </w:t>
      </w:r>
      <w:proofErr w:type="spellStart"/>
      <w:r w:rsidRPr="00885482">
        <w:rPr>
          <w:rFonts w:ascii="Arial" w:eastAsia="Times New Roman" w:hAnsi="Arial" w:cs="Arial"/>
          <w:sz w:val="20"/>
          <w:szCs w:val="20"/>
          <w:lang w:val="en-NG" w:eastAsia="en-NG"/>
        </w:rPr>
        <w:t>Yoruk</w:t>
      </w:r>
      <w:proofErr w:type="spellEnd"/>
      <w:r w:rsidRPr="00885482">
        <w:rPr>
          <w:rFonts w:ascii="Arial" w:eastAsia="Times New Roman" w:hAnsi="Arial" w:cs="Arial"/>
          <w:sz w:val="20"/>
          <w:szCs w:val="20"/>
          <w:lang w:val="en-NG" w:eastAsia="en-NG"/>
        </w:rPr>
        <w:t>, 2015).</w:t>
      </w:r>
      <w:r>
        <w:rPr>
          <w:rFonts w:ascii="Arial" w:eastAsia="Times New Roman" w:hAnsi="Arial" w:cs="Arial"/>
          <w:sz w:val="20"/>
          <w:szCs w:val="20"/>
          <w:lang w:eastAsia="en-NG"/>
        </w:rPr>
        <w:t xml:space="preserve"> </w:t>
      </w:r>
      <w:r w:rsidRPr="00885482">
        <w:rPr>
          <w:rFonts w:ascii="Arial" w:eastAsia="Times New Roman" w:hAnsi="Arial" w:cs="Arial"/>
          <w:sz w:val="20"/>
          <w:szCs w:val="20"/>
          <w:lang w:val="en-NG" w:eastAsia="en-NG"/>
        </w:rPr>
        <w:t>Given the evidence that persistent inflammation may pose serious health risks to petroleum workers, this study underscores the necessity of routine health monitoring for gasoline station attendants, particularly those with long-term exposure. Interestingly, the slight decrease in CRP levels observed in individuals exposed for more than 5 years compared to those in the 3–</w:t>
      </w:r>
      <w:proofErr w:type="gramStart"/>
      <w:r w:rsidRPr="00885482">
        <w:rPr>
          <w:rFonts w:ascii="Arial" w:eastAsia="Times New Roman" w:hAnsi="Arial" w:cs="Arial"/>
          <w:sz w:val="20"/>
          <w:szCs w:val="20"/>
          <w:lang w:val="en-NG" w:eastAsia="en-NG"/>
        </w:rPr>
        <w:t>5 year</w:t>
      </w:r>
      <w:proofErr w:type="gramEnd"/>
      <w:r w:rsidRPr="00885482">
        <w:rPr>
          <w:rFonts w:ascii="Arial" w:eastAsia="Times New Roman" w:hAnsi="Arial" w:cs="Arial"/>
          <w:sz w:val="20"/>
          <w:szCs w:val="20"/>
          <w:lang w:val="en-NG" w:eastAsia="en-NG"/>
        </w:rPr>
        <w:t xml:space="preserve"> group may suggest a </w:t>
      </w:r>
      <w:r w:rsidRPr="00885482">
        <w:rPr>
          <w:rFonts w:ascii="Arial" w:eastAsia="Times New Roman" w:hAnsi="Arial" w:cs="Arial"/>
          <w:bCs/>
          <w:sz w:val="20"/>
          <w:szCs w:val="20"/>
          <w:lang w:val="en-NG" w:eastAsia="en-NG"/>
        </w:rPr>
        <w:t>physiological adjustment effect</w:t>
      </w:r>
      <w:r w:rsidRPr="00885482">
        <w:rPr>
          <w:rFonts w:ascii="Arial" w:eastAsia="Times New Roman" w:hAnsi="Arial" w:cs="Arial"/>
          <w:sz w:val="20"/>
          <w:szCs w:val="20"/>
          <w:lang w:val="en-NG" w:eastAsia="en-NG"/>
        </w:rPr>
        <w:t xml:space="preserve">. This is consistent with findings that prolonged exposure to environmental toxins can initially trigger a rise in inflammatory markers, which later stabilize due to the body’s compensatory immune-regulatory mechanisms (Edwards &amp; Myers, 2008; </w:t>
      </w:r>
      <w:proofErr w:type="spellStart"/>
      <w:r w:rsidRPr="00885482">
        <w:rPr>
          <w:rFonts w:ascii="Arial" w:eastAsia="Times New Roman" w:hAnsi="Arial" w:cs="Arial"/>
          <w:sz w:val="20"/>
          <w:szCs w:val="20"/>
          <w:lang w:val="en-NG" w:eastAsia="en-NG"/>
        </w:rPr>
        <w:t>Faraut</w:t>
      </w:r>
      <w:proofErr w:type="spellEnd"/>
      <w:r w:rsidRPr="00885482">
        <w:rPr>
          <w:rFonts w:ascii="Arial" w:eastAsia="Times New Roman" w:hAnsi="Arial" w:cs="Arial"/>
          <w:sz w:val="20"/>
          <w:szCs w:val="20"/>
          <w:lang w:val="en-NG" w:eastAsia="en-NG"/>
        </w:rPr>
        <w:t xml:space="preserve"> et al., 2013).</w:t>
      </w:r>
    </w:p>
    <w:p w14:paraId="1761832A" w14:textId="77777777" w:rsidR="00167429" w:rsidRDefault="00167429" w:rsidP="00534214">
      <w:pPr>
        <w:pStyle w:val="Body"/>
        <w:spacing w:after="0" w:line="480" w:lineRule="auto"/>
        <w:rPr>
          <w:rFonts w:ascii="Arial" w:hAnsi="Arial" w:cs="Arial"/>
          <w:b/>
          <w:sz w:val="22"/>
          <w:szCs w:val="22"/>
        </w:rPr>
      </w:pPr>
    </w:p>
    <w:p w14:paraId="7176F014" w14:textId="34E6F1A7" w:rsidR="00A97C2A" w:rsidRPr="0089781D" w:rsidRDefault="0089781D" w:rsidP="0029356A">
      <w:pPr>
        <w:pStyle w:val="Body"/>
        <w:spacing w:after="0" w:line="480" w:lineRule="auto"/>
        <w:ind w:left="-142"/>
        <w:rPr>
          <w:rFonts w:ascii="Arial" w:hAnsi="Arial" w:cs="Arial"/>
          <w:b/>
          <w:sz w:val="22"/>
          <w:szCs w:val="22"/>
        </w:rPr>
      </w:pPr>
      <w:r w:rsidRPr="0089781D">
        <w:rPr>
          <w:rFonts w:ascii="Arial" w:hAnsi="Arial" w:cs="Arial"/>
          <w:b/>
          <w:sz w:val="22"/>
          <w:szCs w:val="22"/>
        </w:rPr>
        <w:t>5. CONCLUSION</w:t>
      </w:r>
    </w:p>
    <w:p w14:paraId="17DA4401" w14:textId="150F4F2F" w:rsidR="00C53E9D" w:rsidRPr="001824DE" w:rsidRDefault="005D074B" w:rsidP="001824DE">
      <w:pPr>
        <w:pStyle w:val="NormalWeb"/>
        <w:jc w:val="both"/>
        <w:rPr>
          <w:rFonts w:ascii="Arial" w:hAnsi="Arial" w:cs="Arial"/>
          <w:sz w:val="20"/>
          <w:szCs w:val="20"/>
        </w:rPr>
      </w:pPr>
      <w:r w:rsidRPr="00400B09">
        <w:rPr>
          <w:rFonts w:ascii="Arial" w:hAnsi="Arial" w:cs="Arial"/>
          <w:sz w:val="20"/>
          <w:szCs w:val="20"/>
        </w:rPr>
        <w:t xml:space="preserve">The study observed significantly higher levels of CRP in attendants exposed to </w:t>
      </w:r>
      <w:r w:rsidR="00A717C9" w:rsidRPr="00400B09">
        <w:rPr>
          <w:rFonts w:ascii="Arial" w:hAnsi="Arial" w:cs="Arial"/>
          <w:sz w:val="20"/>
          <w:szCs w:val="20"/>
        </w:rPr>
        <w:t>gasoline</w:t>
      </w:r>
      <w:r w:rsidRPr="00400B09">
        <w:rPr>
          <w:rFonts w:ascii="Arial" w:hAnsi="Arial" w:cs="Arial"/>
          <w:sz w:val="20"/>
          <w:szCs w:val="20"/>
        </w:rPr>
        <w:t xml:space="preserve"> for over 5 years compared to the control group. Th</w:t>
      </w:r>
      <w:r w:rsidR="00D8529F" w:rsidRPr="00400B09">
        <w:rPr>
          <w:rFonts w:ascii="Arial" w:hAnsi="Arial" w:cs="Arial"/>
          <w:sz w:val="20"/>
          <w:szCs w:val="20"/>
        </w:rPr>
        <w:t>is</w:t>
      </w:r>
      <w:r w:rsidRPr="00400B09">
        <w:rPr>
          <w:rFonts w:ascii="Arial" w:hAnsi="Arial" w:cs="Arial"/>
          <w:sz w:val="20"/>
          <w:szCs w:val="20"/>
        </w:rPr>
        <w:t xml:space="preserve"> finding suggest</w:t>
      </w:r>
      <w:r w:rsidR="00D8529F" w:rsidRPr="00400B09">
        <w:rPr>
          <w:rFonts w:ascii="Arial" w:hAnsi="Arial" w:cs="Arial"/>
          <w:sz w:val="20"/>
          <w:szCs w:val="20"/>
        </w:rPr>
        <w:t>s</w:t>
      </w:r>
      <w:r w:rsidRPr="00400B09">
        <w:rPr>
          <w:rFonts w:ascii="Arial" w:hAnsi="Arial" w:cs="Arial"/>
          <w:sz w:val="20"/>
          <w:szCs w:val="20"/>
        </w:rPr>
        <w:t xml:space="preserve"> that long-term exposure to </w:t>
      </w:r>
      <w:r w:rsidR="00A717C9" w:rsidRPr="00400B09">
        <w:rPr>
          <w:rFonts w:ascii="Arial" w:hAnsi="Arial" w:cs="Arial"/>
          <w:sz w:val="20"/>
          <w:szCs w:val="20"/>
        </w:rPr>
        <w:t>gasoline</w:t>
      </w:r>
      <w:r w:rsidRPr="00400B09">
        <w:rPr>
          <w:rFonts w:ascii="Arial" w:hAnsi="Arial" w:cs="Arial"/>
          <w:sz w:val="20"/>
          <w:szCs w:val="20"/>
        </w:rPr>
        <w:t xml:space="preserve"> can trigger inflammatory responses.</w:t>
      </w:r>
      <w:r w:rsidR="00C53E9D" w:rsidRPr="00400B09">
        <w:rPr>
          <w:rFonts w:ascii="Arial" w:hAnsi="Arial" w:cs="Arial"/>
          <w:sz w:val="20"/>
          <w:szCs w:val="20"/>
        </w:rPr>
        <w:t xml:space="preserve"> Further research is needed to investigate the genetic and molecular mechanisms underlying the health effects of gasoline exposure. This could include studies on genetic susceptibility and DNA damage among exposed individuals. Also, it is important to extend similar investigations to </w:t>
      </w:r>
      <w:r w:rsidR="00400B09">
        <w:rPr>
          <w:rFonts w:ascii="Arial" w:hAnsi="Arial" w:cs="Arial"/>
          <w:sz w:val="20"/>
          <w:szCs w:val="20"/>
        </w:rPr>
        <w:t xml:space="preserve">individuals exposed to </w:t>
      </w:r>
      <w:r w:rsidR="00C53E9D" w:rsidRPr="00400B09">
        <w:rPr>
          <w:rFonts w:ascii="Arial" w:hAnsi="Arial" w:cs="Arial"/>
          <w:sz w:val="20"/>
          <w:szCs w:val="20"/>
        </w:rPr>
        <w:t>alternative fuels used in internal combustion engines, such as hydrogen gas, solar-powered systems and biofuels</w:t>
      </w:r>
      <w:r w:rsidR="00400B09" w:rsidRPr="00400B09">
        <w:rPr>
          <w:rFonts w:ascii="Arial" w:hAnsi="Arial" w:cs="Arial"/>
          <w:sz w:val="20"/>
          <w:szCs w:val="20"/>
        </w:rPr>
        <w:t xml:space="preserve"> </w:t>
      </w:r>
      <w:r w:rsidR="00400B09" w:rsidRPr="00400B09">
        <w:rPr>
          <w:rFonts w:ascii="Arial" w:hAnsi="Arial" w:cs="Arial"/>
          <w:sz w:val="20"/>
          <w:szCs w:val="20"/>
        </w:rPr>
        <w:t xml:space="preserve">These comparative studies will help determine whether cleaner fuels present </w:t>
      </w:r>
      <w:r w:rsidR="00400B09" w:rsidRPr="00400B09">
        <w:rPr>
          <w:rStyle w:val="Strong"/>
          <w:rFonts w:ascii="Arial" w:hAnsi="Arial" w:cs="Arial"/>
          <w:b w:val="0"/>
          <w:sz w:val="20"/>
          <w:szCs w:val="20"/>
        </w:rPr>
        <w:t>reduced biological risks</w:t>
      </w:r>
      <w:r w:rsidR="00400B09" w:rsidRPr="00400B09">
        <w:rPr>
          <w:rFonts w:ascii="Arial" w:hAnsi="Arial" w:cs="Arial"/>
          <w:sz w:val="20"/>
          <w:szCs w:val="20"/>
        </w:rPr>
        <w:t xml:space="preserve"> or different toxicological profiles</w:t>
      </w:r>
      <w:r w:rsidR="00C53E9D" w:rsidRPr="00400B09">
        <w:rPr>
          <w:rFonts w:ascii="Arial" w:hAnsi="Arial" w:cs="Arial"/>
          <w:sz w:val="20"/>
          <w:szCs w:val="20"/>
        </w:rPr>
        <w:t>.</w:t>
      </w:r>
      <w:r w:rsidR="00400B09" w:rsidRPr="00400B09">
        <w:rPr>
          <w:rFonts w:ascii="Arial" w:hAnsi="Arial" w:cs="Arial"/>
          <w:sz w:val="20"/>
          <w:szCs w:val="20"/>
        </w:rPr>
        <w:t xml:space="preserve"> </w:t>
      </w:r>
      <w:r w:rsidR="00400B09" w:rsidRPr="00400B09">
        <w:rPr>
          <w:rFonts w:ascii="Arial" w:hAnsi="Arial" w:cs="Arial"/>
          <w:sz w:val="20"/>
          <w:szCs w:val="20"/>
        </w:rPr>
        <w:t>A</w:t>
      </w:r>
      <w:r w:rsidR="00400B09">
        <w:rPr>
          <w:rFonts w:ascii="Arial" w:hAnsi="Arial" w:cs="Arial"/>
          <w:sz w:val="20"/>
          <w:szCs w:val="20"/>
        </w:rPr>
        <w:t>lso</w:t>
      </w:r>
      <w:r w:rsidR="00400B09" w:rsidRPr="00400B09">
        <w:rPr>
          <w:rFonts w:ascii="Arial" w:hAnsi="Arial" w:cs="Arial"/>
          <w:sz w:val="20"/>
          <w:szCs w:val="20"/>
        </w:rPr>
        <w:t xml:space="preserve">, evaluating the </w:t>
      </w:r>
      <w:r w:rsidR="00400B09" w:rsidRPr="00400B09">
        <w:rPr>
          <w:rStyle w:val="Strong"/>
          <w:rFonts w:ascii="Arial" w:hAnsi="Arial" w:cs="Arial"/>
          <w:b w:val="0"/>
          <w:sz w:val="20"/>
          <w:szCs w:val="20"/>
        </w:rPr>
        <w:t>combined effects of exposure duration, age, lifestyle, and use of protective equipment</w:t>
      </w:r>
      <w:r w:rsidR="00400B09" w:rsidRPr="00400B09">
        <w:rPr>
          <w:rFonts w:ascii="Arial" w:hAnsi="Arial" w:cs="Arial"/>
          <w:sz w:val="20"/>
          <w:szCs w:val="20"/>
        </w:rPr>
        <w:t xml:space="preserve"> could offer more insights.</w:t>
      </w:r>
      <w:r w:rsidR="00400B09">
        <w:rPr>
          <w:rFonts w:ascii="Arial" w:hAnsi="Arial" w:cs="Arial"/>
          <w:sz w:val="20"/>
          <w:szCs w:val="20"/>
        </w:rPr>
        <w:t xml:space="preserve"> </w:t>
      </w:r>
      <w:r w:rsidR="00400B09" w:rsidRPr="00400B09">
        <w:rPr>
          <w:rFonts w:ascii="Arial" w:hAnsi="Arial" w:cs="Arial"/>
          <w:sz w:val="20"/>
          <w:szCs w:val="20"/>
        </w:rPr>
        <w:t>Regular monitoring and protective measures should be prioritized to safeguard the health of fuel station workers, particularly in high-exposure regions such as Port Harcourt and similar urban-industrial settings.</w:t>
      </w:r>
      <w:bookmarkStart w:id="5" w:name="_GoBack"/>
      <w:bookmarkEnd w:id="5"/>
    </w:p>
    <w:p w14:paraId="0C1FF5C8" w14:textId="55808F6F" w:rsidR="000D3223" w:rsidRDefault="000D3223" w:rsidP="000D3223">
      <w:pPr>
        <w:pStyle w:val="Body"/>
        <w:spacing w:after="0"/>
        <w:ind w:left="-142"/>
        <w:rPr>
          <w:rFonts w:ascii="Arial" w:hAnsi="Arial" w:cs="Arial"/>
        </w:rPr>
      </w:pPr>
    </w:p>
    <w:p w14:paraId="3A03E124" w14:textId="77777777" w:rsidR="000D3223" w:rsidRDefault="000D3223" w:rsidP="000D3223">
      <w:pPr>
        <w:pStyle w:val="Body"/>
        <w:spacing w:after="0"/>
        <w:ind w:left="-142"/>
        <w:rPr>
          <w:rFonts w:ascii="Arial" w:hAnsi="Arial" w:cs="Arial"/>
          <w:b/>
        </w:rPr>
      </w:pPr>
    </w:p>
    <w:p w14:paraId="1961ED0C" w14:textId="77777777" w:rsidR="000D3223" w:rsidRDefault="00435FC7" w:rsidP="000D3223">
      <w:pPr>
        <w:pStyle w:val="Body"/>
        <w:spacing w:after="0"/>
        <w:ind w:left="-142"/>
        <w:rPr>
          <w:rFonts w:ascii="Arial" w:hAnsi="Arial" w:cs="Arial"/>
          <w:b/>
        </w:rPr>
      </w:pPr>
      <w:r w:rsidRPr="00435FC7">
        <w:rPr>
          <w:rFonts w:ascii="Arial" w:hAnsi="Arial" w:cs="Arial"/>
          <w:b/>
        </w:rPr>
        <w:t xml:space="preserve">ETHICAL </w:t>
      </w:r>
      <w:r>
        <w:rPr>
          <w:rFonts w:ascii="Arial" w:hAnsi="Arial" w:cs="Arial"/>
          <w:b/>
        </w:rPr>
        <w:t>APPROVAL</w:t>
      </w:r>
    </w:p>
    <w:p w14:paraId="2499EABC" w14:textId="77777777" w:rsidR="000D3223" w:rsidRDefault="000D3223" w:rsidP="000D3223">
      <w:pPr>
        <w:pStyle w:val="Body"/>
        <w:spacing w:after="0"/>
        <w:ind w:left="-142"/>
        <w:rPr>
          <w:rFonts w:ascii="Arial" w:hAnsi="Arial" w:cs="Arial"/>
        </w:rPr>
      </w:pPr>
    </w:p>
    <w:p w14:paraId="591AB602" w14:textId="77777777" w:rsidR="000D3223" w:rsidRDefault="00435FC7" w:rsidP="000D3223">
      <w:pPr>
        <w:pStyle w:val="Body"/>
        <w:spacing w:after="0"/>
        <w:ind w:left="-142"/>
        <w:rPr>
          <w:rFonts w:ascii="Arial" w:hAnsi="Arial" w:cs="Arial"/>
        </w:rPr>
      </w:pPr>
      <w:r w:rsidRPr="00435FC7">
        <w:rPr>
          <w:rFonts w:ascii="Arial" w:hAnsi="Arial" w:cs="Arial"/>
        </w:rPr>
        <w:t>The University of Port Harcourt's Research Ethics Committee granted ethical approval for this study in order to guarantee adherence to the rules and regulations governing human subjects research.</w:t>
      </w:r>
    </w:p>
    <w:p w14:paraId="5CE9A911" w14:textId="77777777" w:rsidR="000D3223" w:rsidRDefault="000D3223" w:rsidP="000D3223">
      <w:pPr>
        <w:pStyle w:val="Body"/>
        <w:spacing w:after="0"/>
        <w:ind w:left="-142"/>
        <w:rPr>
          <w:rFonts w:ascii="Arial" w:hAnsi="Arial" w:cs="Arial"/>
          <w:b/>
          <w:shd w:val="clear" w:color="auto" w:fill="FFFFFF"/>
        </w:rPr>
      </w:pPr>
    </w:p>
    <w:p w14:paraId="48DC2F67" w14:textId="77777777" w:rsidR="000D3223" w:rsidRDefault="009D5CBC" w:rsidP="000D3223">
      <w:pPr>
        <w:pStyle w:val="Body"/>
        <w:spacing w:after="0"/>
        <w:ind w:left="-142"/>
        <w:rPr>
          <w:rFonts w:ascii="Arial" w:hAnsi="Arial" w:cs="Arial"/>
          <w:b/>
          <w:shd w:val="clear" w:color="auto" w:fill="FFFFFF"/>
        </w:rPr>
      </w:pPr>
      <w:r w:rsidRPr="009C23E5">
        <w:rPr>
          <w:rFonts w:ascii="Arial" w:hAnsi="Arial" w:cs="Arial"/>
          <w:b/>
          <w:shd w:val="clear" w:color="auto" w:fill="FFFFFF"/>
        </w:rPr>
        <w:t>DISCLAIMER (ARTIFICIAL INTELLIGENCE)</w:t>
      </w:r>
    </w:p>
    <w:p w14:paraId="7EDABE36" w14:textId="77777777" w:rsidR="000D3223" w:rsidRDefault="000D3223" w:rsidP="000D3223">
      <w:pPr>
        <w:pStyle w:val="Body"/>
        <w:spacing w:after="0"/>
        <w:ind w:left="-142"/>
        <w:rPr>
          <w:rFonts w:ascii="Arial" w:hAnsi="Arial" w:cs="Arial"/>
          <w:shd w:val="clear" w:color="auto" w:fill="FFFFFF"/>
        </w:rPr>
      </w:pPr>
    </w:p>
    <w:p w14:paraId="2078A538" w14:textId="77777777" w:rsidR="000D3223" w:rsidRDefault="00B4133E" w:rsidP="000D3223">
      <w:pPr>
        <w:pStyle w:val="Body"/>
        <w:spacing w:after="0"/>
        <w:ind w:left="-142"/>
        <w:rPr>
          <w:rFonts w:ascii="Arial" w:hAnsi="Arial" w:cs="Arial"/>
        </w:rPr>
      </w:pPr>
      <w:r w:rsidRPr="009C23E5">
        <w:rPr>
          <w:rFonts w:ascii="Arial" w:hAnsi="Arial" w:cs="Arial"/>
          <w:shd w:val="clear" w:color="auto" w:fill="FFFFFF"/>
        </w:rPr>
        <w:t>A</w:t>
      </w:r>
      <w:r w:rsidR="009D5CBC" w:rsidRPr="009C23E5">
        <w:rPr>
          <w:rFonts w:ascii="Arial" w:hAnsi="Arial" w:cs="Arial"/>
          <w:shd w:val="clear" w:color="auto" w:fill="FFFFFF"/>
        </w:rPr>
        <w:t>uthors hereby declare that NO generative AI technologies such as Large Language Models (</w:t>
      </w:r>
      <w:proofErr w:type="spellStart"/>
      <w:r w:rsidR="009D5CBC" w:rsidRPr="009C23E5">
        <w:rPr>
          <w:rFonts w:ascii="Arial" w:hAnsi="Arial" w:cs="Arial"/>
          <w:shd w:val="clear" w:color="auto" w:fill="FFFFFF"/>
        </w:rPr>
        <w:t>ChatGPT</w:t>
      </w:r>
      <w:proofErr w:type="spellEnd"/>
      <w:r w:rsidR="009D5CBC" w:rsidRPr="009C23E5">
        <w:rPr>
          <w:rFonts w:ascii="Arial" w:hAnsi="Arial" w:cs="Arial"/>
          <w:shd w:val="clear" w:color="auto" w:fill="FFFFFF"/>
        </w:rPr>
        <w:t>, COPILOT, etc.)  and text-to-image generators have been used during the writing or editing of this manuscript.</w:t>
      </w:r>
    </w:p>
    <w:p w14:paraId="3ED5B172" w14:textId="77777777" w:rsidR="000D3223" w:rsidRDefault="000D3223" w:rsidP="000D3223">
      <w:pPr>
        <w:pStyle w:val="Body"/>
        <w:spacing w:after="0"/>
        <w:ind w:left="-142"/>
        <w:rPr>
          <w:rFonts w:ascii="Arial" w:hAnsi="Arial" w:cs="Arial"/>
          <w:b/>
          <w:sz w:val="22"/>
          <w:szCs w:val="22"/>
        </w:rPr>
      </w:pPr>
    </w:p>
    <w:p w14:paraId="35C25D9F" w14:textId="77777777" w:rsidR="000D3223" w:rsidRDefault="006835DA" w:rsidP="000D3223">
      <w:pPr>
        <w:pStyle w:val="Body"/>
        <w:spacing w:after="0"/>
        <w:ind w:left="-142"/>
        <w:rPr>
          <w:rFonts w:ascii="Arial" w:hAnsi="Arial" w:cs="Arial"/>
          <w:b/>
          <w:sz w:val="22"/>
          <w:szCs w:val="22"/>
        </w:rPr>
      </w:pPr>
      <w:r w:rsidRPr="0089781D">
        <w:rPr>
          <w:rFonts w:ascii="Arial" w:hAnsi="Arial" w:cs="Arial"/>
          <w:b/>
          <w:sz w:val="22"/>
          <w:szCs w:val="22"/>
        </w:rPr>
        <w:t>R</w:t>
      </w:r>
      <w:bookmarkEnd w:id="4"/>
      <w:r w:rsidRPr="0089781D">
        <w:rPr>
          <w:rFonts w:ascii="Arial" w:hAnsi="Arial" w:cs="Arial"/>
          <w:b/>
          <w:sz w:val="22"/>
          <w:szCs w:val="22"/>
        </w:rPr>
        <w:t>EFERENCES</w:t>
      </w:r>
    </w:p>
    <w:p w14:paraId="7D7A855E" w14:textId="77777777" w:rsidR="000D3223" w:rsidRDefault="000D3223" w:rsidP="000D3223">
      <w:pPr>
        <w:pStyle w:val="Body"/>
        <w:spacing w:after="0"/>
        <w:ind w:left="-142"/>
        <w:rPr>
          <w:rFonts w:ascii="Arial" w:hAnsi="Arial" w:cs="Arial"/>
        </w:rPr>
      </w:pPr>
    </w:p>
    <w:p w14:paraId="5EE8CEE0" w14:textId="77777777" w:rsidR="000D3223" w:rsidRDefault="00AF6C28" w:rsidP="000D3223">
      <w:pPr>
        <w:pStyle w:val="Body"/>
        <w:spacing w:after="0"/>
        <w:ind w:left="-142"/>
        <w:rPr>
          <w:rFonts w:ascii="Arial" w:hAnsi="Arial" w:cs="Arial"/>
        </w:rPr>
      </w:pPr>
      <w:proofErr w:type="spellStart"/>
      <w:r w:rsidRPr="00435FC7">
        <w:rPr>
          <w:rFonts w:ascii="Arial" w:hAnsi="Arial" w:cs="Arial"/>
        </w:rPr>
        <w:t>Abdrabouh</w:t>
      </w:r>
      <w:proofErr w:type="spellEnd"/>
      <w:r w:rsidRPr="00435FC7">
        <w:rPr>
          <w:rFonts w:ascii="Arial" w:hAnsi="Arial" w:cs="Arial"/>
        </w:rPr>
        <w:t xml:space="preserve">, A. E. (2022). Inflammatory and proapoptotic effects of inhaling gasoline fumes on the lung and ameliorative effects of fenugreek seeds. </w:t>
      </w:r>
      <w:r w:rsidRPr="00435FC7">
        <w:rPr>
          <w:rFonts w:ascii="Arial" w:hAnsi="Arial" w:cs="Arial"/>
          <w:i/>
          <w:iCs/>
        </w:rPr>
        <w:t>Scientific Reports</w:t>
      </w:r>
      <w:r w:rsidRPr="00435FC7">
        <w:rPr>
          <w:rFonts w:ascii="Arial" w:hAnsi="Arial" w:cs="Arial"/>
        </w:rPr>
        <w:t xml:space="preserve">, </w:t>
      </w:r>
      <w:r w:rsidRPr="00435FC7">
        <w:rPr>
          <w:rFonts w:ascii="Arial" w:hAnsi="Arial" w:cs="Arial"/>
          <w:i/>
          <w:iCs/>
        </w:rPr>
        <w:t>12</w:t>
      </w:r>
      <w:r w:rsidRPr="00435FC7">
        <w:rPr>
          <w:rFonts w:ascii="Arial" w:hAnsi="Arial" w:cs="Arial"/>
        </w:rPr>
        <w:t>(1), 14446.</w:t>
      </w:r>
    </w:p>
    <w:p w14:paraId="79E0FC8A" w14:textId="77777777" w:rsidR="000D3223" w:rsidRDefault="000D3223" w:rsidP="000D3223">
      <w:pPr>
        <w:pStyle w:val="Body"/>
        <w:spacing w:after="0"/>
        <w:ind w:left="-142"/>
        <w:rPr>
          <w:rFonts w:ascii="Arial" w:hAnsi="Arial" w:cs="Arial"/>
        </w:rPr>
      </w:pPr>
    </w:p>
    <w:p w14:paraId="3B325FB7" w14:textId="77777777" w:rsidR="000D3223" w:rsidRDefault="00AF6C28" w:rsidP="000D3223">
      <w:pPr>
        <w:pStyle w:val="Body"/>
        <w:spacing w:after="0"/>
        <w:ind w:left="-142"/>
        <w:rPr>
          <w:rFonts w:ascii="Arial" w:hAnsi="Arial" w:cs="Arial"/>
        </w:rPr>
      </w:pPr>
      <w:r w:rsidRPr="00435FC7">
        <w:rPr>
          <w:rFonts w:ascii="Arial" w:hAnsi="Arial" w:cs="Arial"/>
        </w:rPr>
        <w:t xml:space="preserve">Abraham, B. P., &amp; Thirumurthi, S. (2009). Clinical significance of inflammatory markers. </w:t>
      </w:r>
      <w:r w:rsidRPr="00435FC7">
        <w:rPr>
          <w:rFonts w:ascii="Arial" w:hAnsi="Arial" w:cs="Arial"/>
          <w:i/>
          <w:iCs/>
        </w:rPr>
        <w:t>Current Gastroenterology Reports</w:t>
      </w:r>
      <w:r w:rsidRPr="00435FC7">
        <w:rPr>
          <w:rFonts w:ascii="Arial" w:hAnsi="Arial" w:cs="Arial"/>
        </w:rPr>
        <w:t xml:space="preserve">, </w:t>
      </w:r>
      <w:r w:rsidRPr="00435FC7">
        <w:rPr>
          <w:rFonts w:ascii="Arial" w:hAnsi="Arial" w:cs="Arial"/>
          <w:i/>
          <w:iCs/>
        </w:rPr>
        <w:t>11</w:t>
      </w:r>
      <w:r w:rsidRPr="00435FC7">
        <w:rPr>
          <w:rFonts w:ascii="Arial" w:hAnsi="Arial" w:cs="Arial"/>
        </w:rPr>
        <w:t>(5), 360-367.</w:t>
      </w:r>
    </w:p>
    <w:p w14:paraId="7BD74299" w14:textId="77777777" w:rsidR="000D3223" w:rsidRDefault="000D3223" w:rsidP="000D3223">
      <w:pPr>
        <w:pStyle w:val="Body"/>
        <w:spacing w:after="0"/>
        <w:ind w:left="-142"/>
        <w:rPr>
          <w:rFonts w:ascii="Arial" w:hAnsi="Arial" w:cs="Arial"/>
        </w:rPr>
      </w:pPr>
    </w:p>
    <w:p w14:paraId="2B4B6F1A" w14:textId="77777777" w:rsidR="000D3223" w:rsidRDefault="00AF6C28" w:rsidP="000D3223">
      <w:pPr>
        <w:pStyle w:val="Body"/>
        <w:spacing w:after="0"/>
        <w:ind w:left="-142"/>
        <w:rPr>
          <w:rFonts w:ascii="Arial" w:hAnsi="Arial" w:cs="Arial"/>
        </w:rPr>
      </w:pPr>
      <w:r w:rsidRPr="00435FC7">
        <w:rPr>
          <w:rFonts w:ascii="Arial" w:hAnsi="Arial" w:cs="Arial"/>
        </w:rPr>
        <w:t xml:space="preserve">Al </w:t>
      </w:r>
      <w:proofErr w:type="spellStart"/>
      <w:r w:rsidRPr="00435FC7">
        <w:rPr>
          <w:rFonts w:ascii="Arial" w:hAnsi="Arial" w:cs="Arial"/>
        </w:rPr>
        <w:t>Madhoun</w:t>
      </w:r>
      <w:proofErr w:type="spellEnd"/>
      <w:r w:rsidRPr="00435FC7">
        <w:rPr>
          <w:rFonts w:ascii="Arial" w:hAnsi="Arial" w:cs="Arial"/>
        </w:rPr>
        <w:t xml:space="preserve">, W. A., Ramli, N. A., Yahaya, A. S., Yusof, N. F., Ghazali, N. A., &amp; Sansuddin, N. U. (2008). A framework for monitoring and modelling of BTEX in various development statuses in Penang Malaysia. </w:t>
      </w:r>
      <w:r w:rsidRPr="00435FC7">
        <w:rPr>
          <w:rFonts w:ascii="Arial" w:hAnsi="Arial" w:cs="Arial"/>
          <w:i/>
          <w:iCs/>
        </w:rPr>
        <w:t>International Conference of Environment</w:t>
      </w:r>
      <w:r w:rsidRPr="00435FC7">
        <w:rPr>
          <w:rFonts w:ascii="Arial" w:hAnsi="Arial" w:cs="Arial"/>
        </w:rPr>
        <w:t>.</w:t>
      </w:r>
    </w:p>
    <w:p w14:paraId="68D778AD" w14:textId="77777777" w:rsidR="000D3223" w:rsidRDefault="000D3223" w:rsidP="000D3223">
      <w:pPr>
        <w:pStyle w:val="Body"/>
        <w:spacing w:after="0"/>
        <w:ind w:left="-142"/>
        <w:rPr>
          <w:rFonts w:ascii="Arial" w:hAnsi="Arial" w:cs="Arial"/>
        </w:rPr>
      </w:pPr>
    </w:p>
    <w:p w14:paraId="5FCF345C" w14:textId="77777777" w:rsidR="000D3223" w:rsidRDefault="00AF6C28" w:rsidP="000D3223">
      <w:pPr>
        <w:pStyle w:val="Body"/>
        <w:spacing w:after="0"/>
        <w:ind w:left="-142"/>
        <w:rPr>
          <w:rFonts w:ascii="Arial" w:hAnsi="Arial" w:cs="Arial"/>
        </w:rPr>
      </w:pPr>
      <w:proofErr w:type="spellStart"/>
      <w:r w:rsidRPr="00435FC7">
        <w:rPr>
          <w:rFonts w:ascii="Arial" w:hAnsi="Arial" w:cs="Arial"/>
        </w:rPr>
        <w:t>Alzahrani</w:t>
      </w:r>
      <w:proofErr w:type="spellEnd"/>
      <w:r w:rsidRPr="00435FC7">
        <w:rPr>
          <w:rFonts w:ascii="Arial" w:hAnsi="Arial" w:cs="Arial"/>
        </w:rPr>
        <w:t xml:space="preserve">, A. M., &amp; Rajendran, P. (2019). Petroleum hydrocarbon and living organisms. </w:t>
      </w:r>
      <w:r w:rsidRPr="00435FC7">
        <w:rPr>
          <w:rFonts w:ascii="Arial" w:hAnsi="Arial" w:cs="Arial"/>
          <w:i/>
        </w:rPr>
        <w:t>Hydrocarbon Pollution and its Effect on the Environment</w:t>
      </w:r>
      <w:r w:rsidRPr="00435FC7">
        <w:rPr>
          <w:rFonts w:ascii="Arial" w:hAnsi="Arial" w:cs="Arial"/>
        </w:rPr>
        <w:t>, 71-82.</w:t>
      </w:r>
    </w:p>
    <w:p w14:paraId="695CEC3D" w14:textId="77777777" w:rsidR="000D3223" w:rsidRDefault="000D3223" w:rsidP="000D3223">
      <w:pPr>
        <w:pStyle w:val="Body"/>
        <w:spacing w:after="0"/>
        <w:ind w:left="-142"/>
        <w:rPr>
          <w:rFonts w:ascii="Arial" w:hAnsi="Arial" w:cs="Arial"/>
        </w:rPr>
      </w:pPr>
    </w:p>
    <w:p w14:paraId="0990EA66" w14:textId="314BD86F" w:rsidR="00D54F9B" w:rsidRDefault="00AF6C28" w:rsidP="00D54F9B">
      <w:pPr>
        <w:pStyle w:val="Body"/>
        <w:spacing w:after="0"/>
        <w:ind w:left="-142"/>
        <w:rPr>
          <w:rFonts w:ascii="Arial" w:hAnsi="Arial" w:cs="Arial"/>
        </w:rPr>
      </w:pPr>
      <w:r w:rsidRPr="0048020F">
        <w:rPr>
          <w:rFonts w:ascii="Arial" w:hAnsi="Arial" w:cs="Arial"/>
        </w:rPr>
        <w:t>Amor-</w:t>
      </w:r>
      <w:proofErr w:type="spellStart"/>
      <w:r w:rsidRPr="0048020F">
        <w:rPr>
          <w:rFonts w:ascii="Arial" w:hAnsi="Arial" w:cs="Arial"/>
        </w:rPr>
        <w:t>Carro</w:t>
      </w:r>
      <w:proofErr w:type="spellEnd"/>
      <w:r w:rsidRPr="0048020F">
        <w:rPr>
          <w:rFonts w:ascii="Arial" w:hAnsi="Arial" w:cs="Arial"/>
        </w:rPr>
        <w:t>, Ó., White, K. M., Fraga-Iriso, R., Mariñas-Pardo, L. A., Núñez-Naveira, L., Lema-Costa, B., Villarnovo, M., Verea-Hernando, H., &amp; Ramos-Barbón, D. (2020</w:t>
      </w:r>
      <w:r w:rsidRPr="00B4133E">
        <w:rPr>
          <w:rFonts w:ascii="Arial" w:hAnsi="Arial" w:cs="Arial"/>
        </w:rPr>
        <w:t>)</w:t>
      </w:r>
      <w:r w:rsidRPr="00435FC7">
        <w:rPr>
          <w:rFonts w:ascii="Arial" w:hAnsi="Arial" w:cs="Arial"/>
        </w:rPr>
        <w:t xml:space="preserve">. Airway hyperresponsiveness, inflammation, and pulmonary emphysema in rodent models designed to mimic exposure to fuel oil–derived volatile organic compounds encountered during an experimental oil spill. </w:t>
      </w:r>
      <w:r w:rsidRPr="00435FC7">
        <w:rPr>
          <w:rFonts w:ascii="Arial" w:hAnsi="Arial" w:cs="Arial"/>
          <w:i/>
          <w:iCs/>
        </w:rPr>
        <w:t>Environmental Health Perspectives</w:t>
      </w:r>
      <w:r w:rsidRPr="00435FC7">
        <w:rPr>
          <w:rFonts w:ascii="Arial" w:hAnsi="Arial" w:cs="Arial"/>
        </w:rPr>
        <w:t xml:space="preserve">, </w:t>
      </w:r>
      <w:r w:rsidRPr="00435FC7">
        <w:rPr>
          <w:rFonts w:ascii="Arial" w:hAnsi="Arial" w:cs="Arial"/>
          <w:i/>
          <w:iCs/>
        </w:rPr>
        <w:t>128</w:t>
      </w:r>
      <w:r w:rsidRPr="00435FC7">
        <w:rPr>
          <w:rFonts w:ascii="Arial" w:hAnsi="Arial" w:cs="Arial"/>
        </w:rPr>
        <w:t>(2), 027003.</w:t>
      </w:r>
    </w:p>
    <w:p w14:paraId="45BADF1C" w14:textId="77777777" w:rsidR="00D54F9B" w:rsidRPr="00D54F9B" w:rsidRDefault="00D54F9B" w:rsidP="00D54F9B">
      <w:pPr>
        <w:pStyle w:val="Body"/>
        <w:spacing w:after="0"/>
        <w:ind w:left="-142"/>
        <w:rPr>
          <w:rFonts w:ascii="Arial" w:hAnsi="Arial" w:cs="Arial"/>
        </w:rPr>
      </w:pPr>
    </w:p>
    <w:p w14:paraId="7EB50DC2" w14:textId="0629B853" w:rsidR="000D3223" w:rsidRPr="00D54F9B" w:rsidRDefault="00D54F9B" w:rsidP="00D54F9B">
      <w:pPr>
        <w:pStyle w:val="Body"/>
        <w:ind w:left="-142"/>
        <w:rPr>
          <w:rFonts w:ascii="Arial" w:hAnsi="Arial" w:cs="Arial"/>
          <w:color w:val="222222"/>
          <w:shd w:val="clear" w:color="auto" w:fill="FFFFFF"/>
          <w:lang w:val="en-NG"/>
        </w:rPr>
      </w:pPr>
      <w:r w:rsidRPr="00D54F9B">
        <w:rPr>
          <w:rFonts w:ascii="Arial" w:hAnsi="Arial" w:cs="Arial"/>
          <w:color w:val="222222"/>
          <w:shd w:val="clear" w:color="auto" w:fill="FFFFFF"/>
          <w:lang w:val="en-NG"/>
        </w:rPr>
        <w:t>Agarwal, A. K. (2007). Biofuels (alcohols and biodiesel) applications as fuels for internal combustion engines. Progress in energy and combustion science, 33(3), 233-271.</w:t>
      </w:r>
    </w:p>
    <w:p w14:paraId="75465EAC" w14:textId="77777777" w:rsidR="000D3223" w:rsidRDefault="00AF6C28" w:rsidP="000D3223">
      <w:pPr>
        <w:pStyle w:val="Body"/>
        <w:spacing w:after="0"/>
        <w:ind w:left="-142"/>
        <w:rPr>
          <w:rFonts w:ascii="Arial" w:hAnsi="Arial" w:cs="Arial"/>
          <w:color w:val="222222"/>
          <w:shd w:val="clear" w:color="auto" w:fill="FFFFFF"/>
        </w:rPr>
      </w:pPr>
      <w:proofErr w:type="spellStart"/>
      <w:r w:rsidRPr="00F16A6B">
        <w:rPr>
          <w:rFonts w:ascii="Arial" w:hAnsi="Arial" w:cs="Arial"/>
          <w:color w:val="222222"/>
          <w:shd w:val="clear" w:color="auto" w:fill="FFFFFF"/>
        </w:rPr>
        <w:t>Asefaw</w:t>
      </w:r>
      <w:proofErr w:type="spellEnd"/>
      <w:r w:rsidRPr="00F16A6B">
        <w:rPr>
          <w:rFonts w:ascii="Arial" w:hAnsi="Arial" w:cs="Arial"/>
          <w:color w:val="222222"/>
          <w:shd w:val="clear" w:color="auto" w:fill="FFFFFF"/>
        </w:rPr>
        <w:t>, T., Wolde, M., Edao, A., Tsegaye, A., Teklu, G., Tesfay, F., &amp; Gebremariam, G. (2020). Assessment of liver and renal function tests among Gasoline</w:t>
      </w:r>
      <w:r w:rsidRPr="00435FC7">
        <w:rPr>
          <w:rFonts w:ascii="Arial" w:hAnsi="Arial" w:cs="Arial"/>
          <w:color w:val="222222"/>
          <w:shd w:val="clear" w:color="auto" w:fill="FFFFFF"/>
        </w:rPr>
        <w:t xml:space="preserve"> exposed gas station workers in Mekelle city, Tigray region, Northern Ethiopia. </w:t>
      </w:r>
      <w:r w:rsidRPr="00435FC7">
        <w:rPr>
          <w:rFonts w:ascii="Arial" w:hAnsi="Arial" w:cs="Arial"/>
          <w:i/>
          <w:iCs/>
          <w:color w:val="222222"/>
          <w:shd w:val="clear" w:color="auto" w:fill="FFFFFF"/>
        </w:rPr>
        <w:t>Public Library of Science One</w:t>
      </w:r>
      <w:r w:rsidRPr="00435FC7">
        <w:rPr>
          <w:rFonts w:ascii="Arial" w:hAnsi="Arial" w:cs="Arial"/>
          <w:color w:val="222222"/>
          <w:shd w:val="clear" w:color="auto" w:fill="FFFFFF"/>
        </w:rPr>
        <w:t>, </w:t>
      </w:r>
      <w:r w:rsidRPr="00435FC7">
        <w:rPr>
          <w:rFonts w:ascii="Arial" w:hAnsi="Arial" w:cs="Arial"/>
          <w:i/>
          <w:iCs/>
          <w:color w:val="222222"/>
          <w:shd w:val="clear" w:color="auto" w:fill="FFFFFF"/>
        </w:rPr>
        <w:t>15</w:t>
      </w:r>
      <w:r w:rsidRPr="00435FC7">
        <w:rPr>
          <w:rFonts w:ascii="Arial" w:hAnsi="Arial" w:cs="Arial"/>
          <w:color w:val="222222"/>
          <w:shd w:val="clear" w:color="auto" w:fill="FFFFFF"/>
        </w:rPr>
        <w:t>(10), e0239716.</w:t>
      </w:r>
    </w:p>
    <w:p w14:paraId="60197235" w14:textId="77777777" w:rsidR="000D3223" w:rsidRDefault="000D3223" w:rsidP="000D3223">
      <w:pPr>
        <w:pStyle w:val="Body"/>
        <w:spacing w:after="0"/>
        <w:ind w:left="-142"/>
        <w:rPr>
          <w:rFonts w:ascii="Arial" w:hAnsi="Arial" w:cs="Arial"/>
        </w:rPr>
      </w:pPr>
    </w:p>
    <w:p w14:paraId="624C44F5" w14:textId="77777777" w:rsidR="000D3223" w:rsidRDefault="00AF6C28" w:rsidP="000D3223">
      <w:pPr>
        <w:pStyle w:val="Body"/>
        <w:spacing w:after="0"/>
        <w:ind w:left="-142"/>
        <w:rPr>
          <w:rFonts w:ascii="Arial" w:hAnsi="Arial" w:cs="Arial"/>
        </w:rPr>
      </w:pPr>
      <w:r w:rsidRPr="00435FC7">
        <w:rPr>
          <w:rFonts w:ascii="Arial" w:hAnsi="Arial" w:cs="Arial"/>
        </w:rPr>
        <w:t>Bin-</w:t>
      </w:r>
      <w:proofErr w:type="spellStart"/>
      <w:r w:rsidRPr="00435FC7">
        <w:rPr>
          <w:rFonts w:ascii="Arial" w:hAnsi="Arial" w:cs="Arial"/>
        </w:rPr>
        <w:t>Mefrij</w:t>
      </w:r>
      <w:proofErr w:type="spellEnd"/>
      <w:r w:rsidRPr="00435FC7">
        <w:rPr>
          <w:rFonts w:ascii="Arial" w:hAnsi="Arial" w:cs="Arial"/>
        </w:rPr>
        <w:t xml:space="preserve">, M., &amp; Alwakeel, S. (2017). The effect of fuel inhalation on the kidney and liver function and blood indices in gasoline station workers. </w:t>
      </w:r>
      <w:r w:rsidRPr="00435FC7">
        <w:rPr>
          <w:rFonts w:ascii="Arial" w:hAnsi="Arial" w:cs="Arial"/>
          <w:i/>
          <w:iCs/>
        </w:rPr>
        <w:t>Advances in Natural and Applied Sciences</w:t>
      </w:r>
      <w:r w:rsidRPr="00435FC7">
        <w:rPr>
          <w:rFonts w:ascii="Arial" w:hAnsi="Arial" w:cs="Arial"/>
        </w:rPr>
        <w:t xml:space="preserve">, </w:t>
      </w:r>
      <w:r w:rsidRPr="00435FC7">
        <w:rPr>
          <w:rFonts w:ascii="Arial" w:hAnsi="Arial" w:cs="Arial"/>
          <w:i/>
          <w:iCs/>
        </w:rPr>
        <w:t>11</w:t>
      </w:r>
      <w:r w:rsidRPr="00435FC7">
        <w:rPr>
          <w:rFonts w:ascii="Arial" w:hAnsi="Arial" w:cs="Arial"/>
        </w:rPr>
        <w:t>(1), 45-50.</w:t>
      </w:r>
    </w:p>
    <w:p w14:paraId="1352B9BA" w14:textId="77777777" w:rsidR="000D3223" w:rsidRDefault="000D3223" w:rsidP="000D3223">
      <w:pPr>
        <w:pStyle w:val="Body"/>
        <w:spacing w:after="0"/>
        <w:ind w:left="-142"/>
        <w:rPr>
          <w:rFonts w:ascii="Arial" w:hAnsi="Arial" w:cs="Arial"/>
          <w:color w:val="222222"/>
          <w:shd w:val="clear" w:color="auto" w:fill="FFFFFF"/>
        </w:rPr>
      </w:pPr>
    </w:p>
    <w:p w14:paraId="44B15C12" w14:textId="70E3416E" w:rsidR="000D3223" w:rsidRDefault="00AF6C28" w:rsidP="000D3223">
      <w:pPr>
        <w:pStyle w:val="Body"/>
        <w:spacing w:after="0"/>
        <w:ind w:left="-142"/>
        <w:rPr>
          <w:rFonts w:ascii="Arial" w:hAnsi="Arial" w:cs="Arial"/>
          <w:color w:val="222222"/>
          <w:shd w:val="clear" w:color="auto" w:fill="FFFFFF"/>
        </w:rPr>
      </w:pPr>
      <w:r w:rsidRPr="00435FC7">
        <w:rPr>
          <w:rFonts w:ascii="Arial" w:hAnsi="Arial" w:cs="Arial"/>
          <w:color w:val="222222"/>
          <w:shd w:val="clear" w:color="auto" w:fill="FFFFFF"/>
        </w:rPr>
        <w:t>Christian, S. G., Elekima, I., Obisike, U. A., &amp; Aleru, C. P. (2016). Effect of petroleum on haematological parameters and lead level in fuel attendants in Port Harcourt, Nigeria. </w:t>
      </w:r>
      <w:r w:rsidRPr="00435FC7">
        <w:rPr>
          <w:rFonts w:ascii="Arial" w:hAnsi="Arial" w:cs="Arial"/>
          <w:i/>
          <w:iCs/>
          <w:color w:val="222222"/>
          <w:shd w:val="clear" w:color="auto" w:fill="FFFFFF"/>
        </w:rPr>
        <w:t>International Journal of Science and Research (IJSR)</w:t>
      </w:r>
      <w:r w:rsidRPr="00435FC7">
        <w:rPr>
          <w:rFonts w:ascii="Arial" w:hAnsi="Arial" w:cs="Arial"/>
          <w:color w:val="222222"/>
          <w:shd w:val="clear" w:color="auto" w:fill="FFFFFF"/>
        </w:rPr>
        <w:t>, </w:t>
      </w:r>
      <w:r w:rsidRPr="00435FC7">
        <w:rPr>
          <w:rFonts w:ascii="Arial" w:hAnsi="Arial" w:cs="Arial"/>
          <w:i/>
          <w:iCs/>
          <w:color w:val="222222"/>
          <w:shd w:val="clear" w:color="auto" w:fill="FFFFFF"/>
        </w:rPr>
        <w:t>5</w:t>
      </w:r>
      <w:r w:rsidRPr="00435FC7">
        <w:rPr>
          <w:rFonts w:ascii="Arial" w:hAnsi="Arial" w:cs="Arial"/>
          <w:color w:val="222222"/>
          <w:shd w:val="clear" w:color="auto" w:fill="FFFFFF"/>
        </w:rPr>
        <w:t>(3), 280-283.</w:t>
      </w:r>
    </w:p>
    <w:p w14:paraId="71E1E68F" w14:textId="77777777" w:rsidR="0073606D" w:rsidRDefault="0073606D" w:rsidP="000D3223">
      <w:pPr>
        <w:pStyle w:val="Body"/>
        <w:spacing w:after="0"/>
        <w:ind w:left="-142"/>
        <w:rPr>
          <w:rFonts w:ascii="Arial" w:hAnsi="Arial" w:cs="Arial"/>
          <w:color w:val="222222"/>
          <w:shd w:val="clear" w:color="auto" w:fill="FFFFFF"/>
        </w:rPr>
      </w:pPr>
    </w:p>
    <w:p w14:paraId="59521232" w14:textId="03E7E251" w:rsidR="0073606D" w:rsidRDefault="0073606D" w:rsidP="000D3223">
      <w:pPr>
        <w:pStyle w:val="Body"/>
        <w:spacing w:after="0"/>
        <w:ind w:left="-142"/>
        <w:rPr>
          <w:rFonts w:ascii="Arial" w:hAnsi="Arial" w:cs="Arial"/>
          <w:color w:val="222222"/>
          <w:shd w:val="clear" w:color="auto" w:fill="FFFFFF"/>
        </w:rPr>
      </w:pPr>
      <w:r>
        <w:rPr>
          <w:rFonts w:ascii="Arial" w:hAnsi="Arial" w:cs="Arial"/>
          <w:color w:val="222222"/>
          <w:shd w:val="clear" w:color="auto" w:fill="FFFFFF"/>
        </w:rPr>
        <w:t>Edwards, T. M., &amp; Myers, J. P. (2008). Environmental exposures and gene regulation in disease etiology. </w:t>
      </w:r>
      <w:proofErr w:type="spellStart"/>
      <w:r>
        <w:rPr>
          <w:rFonts w:ascii="Arial" w:hAnsi="Arial" w:cs="Arial"/>
          <w:i/>
          <w:iCs/>
          <w:color w:val="222222"/>
          <w:shd w:val="clear" w:color="auto" w:fill="FFFFFF"/>
        </w:rPr>
        <w:t>Ciencia</w:t>
      </w:r>
      <w:proofErr w:type="spellEnd"/>
      <w:r>
        <w:rPr>
          <w:rFonts w:ascii="Arial" w:hAnsi="Arial" w:cs="Arial"/>
          <w:i/>
          <w:iCs/>
          <w:color w:val="222222"/>
          <w:shd w:val="clear" w:color="auto" w:fill="FFFFFF"/>
        </w:rPr>
        <w:t xml:space="preserve"> &amp; </w:t>
      </w:r>
      <w:proofErr w:type="spellStart"/>
      <w:r>
        <w:rPr>
          <w:rFonts w:ascii="Arial" w:hAnsi="Arial" w:cs="Arial"/>
          <w:i/>
          <w:iCs/>
          <w:color w:val="222222"/>
          <w:shd w:val="clear" w:color="auto" w:fill="FFFFFF"/>
        </w:rPr>
        <w:t>saude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coletiva</w:t>
      </w:r>
      <w:proofErr w:type="spellEnd"/>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269-281.</w:t>
      </w:r>
    </w:p>
    <w:p w14:paraId="54FA8DFA" w14:textId="77777777" w:rsidR="00D25F50" w:rsidRDefault="00D25F50" w:rsidP="000D3223">
      <w:pPr>
        <w:pStyle w:val="Body"/>
        <w:spacing w:after="0"/>
        <w:ind w:left="-142"/>
        <w:rPr>
          <w:rFonts w:ascii="Arial" w:hAnsi="Arial" w:cs="Arial"/>
          <w:color w:val="222222"/>
          <w:shd w:val="clear" w:color="auto" w:fill="FFFFFF"/>
        </w:rPr>
      </w:pPr>
    </w:p>
    <w:p w14:paraId="731B7EA1" w14:textId="2B258431" w:rsidR="000D3223" w:rsidRDefault="00D25F50" w:rsidP="000D3223">
      <w:pPr>
        <w:pStyle w:val="Body"/>
        <w:spacing w:after="0"/>
        <w:ind w:left="-142"/>
        <w:rPr>
          <w:rFonts w:ascii="Arial" w:hAnsi="Arial" w:cs="Arial"/>
          <w:color w:val="222222"/>
          <w:shd w:val="clear" w:color="auto" w:fill="FFFFFF"/>
        </w:rPr>
      </w:pPr>
      <w:proofErr w:type="spellStart"/>
      <w:r>
        <w:rPr>
          <w:rFonts w:ascii="Arial" w:hAnsi="Arial" w:cs="Arial"/>
          <w:color w:val="222222"/>
          <w:shd w:val="clear" w:color="auto" w:fill="FFFFFF"/>
        </w:rPr>
        <w:t>Faraut</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Bayon</w:t>
      </w:r>
      <w:proofErr w:type="spellEnd"/>
      <w:r>
        <w:rPr>
          <w:rFonts w:ascii="Arial" w:hAnsi="Arial" w:cs="Arial"/>
          <w:color w:val="222222"/>
          <w:shd w:val="clear" w:color="auto" w:fill="FFFFFF"/>
        </w:rPr>
        <w:t>, V., &amp; Léger, D. (2013). Neuroendocrine, immune and oxidative stress in shift workers. </w:t>
      </w:r>
      <w:r>
        <w:rPr>
          <w:rFonts w:ascii="Arial" w:hAnsi="Arial" w:cs="Arial"/>
          <w:i/>
          <w:iCs/>
          <w:color w:val="222222"/>
          <w:shd w:val="clear" w:color="auto" w:fill="FFFFFF"/>
        </w:rPr>
        <w:t>Sleep medicine reviews</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(6), 433-444.</w:t>
      </w:r>
    </w:p>
    <w:p w14:paraId="594D1382" w14:textId="77777777" w:rsidR="00D25F50" w:rsidRDefault="00D25F50" w:rsidP="000D3223">
      <w:pPr>
        <w:pStyle w:val="Body"/>
        <w:spacing w:after="0"/>
        <w:ind w:left="-142"/>
        <w:rPr>
          <w:rFonts w:ascii="Arial" w:hAnsi="Arial" w:cs="Arial"/>
        </w:rPr>
      </w:pPr>
    </w:p>
    <w:p w14:paraId="2B43F989" w14:textId="77777777" w:rsidR="000D3223" w:rsidRDefault="00AF6C28" w:rsidP="000D3223">
      <w:pPr>
        <w:pStyle w:val="Body"/>
        <w:spacing w:after="0"/>
        <w:ind w:left="-142"/>
        <w:rPr>
          <w:rFonts w:ascii="Arial" w:hAnsi="Arial" w:cs="Arial"/>
        </w:rPr>
      </w:pPr>
      <w:proofErr w:type="spellStart"/>
      <w:r w:rsidRPr="00435FC7">
        <w:rPr>
          <w:rFonts w:ascii="Arial" w:hAnsi="Arial" w:cs="Arial"/>
        </w:rPr>
        <w:t>Folabi</w:t>
      </w:r>
      <w:proofErr w:type="spellEnd"/>
      <w:r w:rsidRPr="00435FC7">
        <w:rPr>
          <w:rFonts w:ascii="Arial" w:hAnsi="Arial" w:cs="Arial"/>
        </w:rPr>
        <w:t xml:space="preserve">, T., &amp; Phan, T. (2020). Evaluation of volatile organic compounds and polyaromatic hydrocarbons in Barker Reservoir in Houston, Texas after the 2017 Hurricane Harvey. </w:t>
      </w:r>
      <w:r w:rsidRPr="00435FC7">
        <w:rPr>
          <w:rFonts w:ascii="Arial" w:hAnsi="Arial" w:cs="Arial"/>
          <w:i/>
          <w:iCs/>
        </w:rPr>
        <w:t>American Journal of Analytical Chemistry</w:t>
      </w:r>
      <w:r w:rsidRPr="00435FC7">
        <w:rPr>
          <w:rFonts w:ascii="Arial" w:hAnsi="Arial" w:cs="Arial"/>
        </w:rPr>
        <w:t xml:space="preserve">, </w:t>
      </w:r>
      <w:r w:rsidRPr="00435FC7">
        <w:rPr>
          <w:rFonts w:ascii="Arial" w:hAnsi="Arial" w:cs="Arial"/>
          <w:i/>
          <w:iCs/>
        </w:rPr>
        <w:t>11</w:t>
      </w:r>
      <w:r w:rsidRPr="00435FC7">
        <w:rPr>
          <w:rFonts w:ascii="Arial" w:hAnsi="Arial" w:cs="Arial"/>
        </w:rPr>
        <w:t>(11), 376-388.</w:t>
      </w:r>
      <w:bookmarkStart w:id="6" w:name="_Hlk173919556"/>
    </w:p>
    <w:p w14:paraId="5733138C" w14:textId="77777777" w:rsidR="000D3223" w:rsidRDefault="000D3223" w:rsidP="000D3223">
      <w:pPr>
        <w:pStyle w:val="Body"/>
        <w:spacing w:after="0"/>
        <w:ind w:left="-142"/>
        <w:rPr>
          <w:rFonts w:ascii="Arial" w:hAnsi="Arial" w:cs="Arial"/>
        </w:rPr>
      </w:pPr>
    </w:p>
    <w:p w14:paraId="7DB424D0" w14:textId="77777777" w:rsidR="000D3223" w:rsidRDefault="00AF6C28" w:rsidP="000D3223">
      <w:pPr>
        <w:pStyle w:val="Body"/>
        <w:spacing w:after="0"/>
        <w:ind w:left="-142"/>
        <w:rPr>
          <w:rFonts w:ascii="Arial" w:hAnsi="Arial" w:cs="Arial"/>
        </w:rPr>
      </w:pPr>
      <w:r w:rsidRPr="00435FC7">
        <w:rPr>
          <w:rFonts w:ascii="Arial" w:hAnsi="Arial" w:cs="Arial"/>
        </w:rPr>
        <w:t>Jacobs</w:t>
      </w:r>
      <w:r w:rsidRPr="00F16A6B">
        <w:rPr>
          <w:rFonts w:ascii="Arial" w:hAnsi="Arial" w:cs="Arial"/>
        </w:rPr>
        <w:t>, L., Nawrot, T. S., De Geus, B., Meeusen, R., Degraeuwe, B., Bernard, A., Sughis, M., Nemery, B., &amp; Panis, L. I. (2010).</w:t>
      </w:r>
      <w:r w:rsidRPr="00435FC7">
        <w:rPr>
          <w:rFonts w:ascii="Arial" w:hAnsi="Arial" w:cs="Arial"/>
        </w:rPr>
        <w:t xml:space="preserve"> Subclinical responses in healthy cyclists briefly exposed to traffic-related air pollution: an intervention study. </w:t>
      </w:r>
      <w:r w:rsidRPr="00435FC7">
        <w:rPr>
          <w:rFonts w:ascii="Arial" w:hAnsi="Arial" w:cs="Arial"/>
          <w:i/>
          <w:iCs/>
        </w:rPr>
        <w:t>Environmental Health</w:t>
      </w:r>
      <w:r w:rsidRPr="00435FC7">
        <w:rPr>
          <w:rFonts w:ascii="Arial" w:hAnsi="Arial" w:cs="Arial"/>
        </w:rPr>
        <w:t xml:space="preserve">, </w:t>
      </w:r>
      <w:r w:rsidRPr="00435FC7">
        <w:rPr>
          <w:rFonts w:ascii="Arial" w:hAnsi="Arial" w:cs="Arial"/>
          <w:i/>
          <w:iCs/>
        </w:rPr>
        <w:t>9</w:t>
      </w:r>
      <w:r w:rsidRPr="00435FC7">
        <w:rPr>
          <w:rFonts w:ascii="Arial" w:hAnsi="Arial" w:cs="Arial"/>
        </w:rPr>
        <w:t>, 1-8.</w:t>
      </w:r>
    </w:p>
    <w:p w14:paraId="1500DAF0" w14:textId="77777777" w:rsidR="000D3223" w:rsidRDefault="000D3223" w:rsidP="000D3223">
      <w:pPr>
        <w:pStyle w:val="Body"/>
        <w:spacing w:after="0"/>
        <w:ind w:left="-142"/>
        <w:rPr>
          <w:rFonts w:ascii="Arial" w:hAnsi="Arial" w:cs="Arial"/>
        </w:rPr>
      </w:pPr>
    </w:p>
    <w:p w14:paraId="1286944A" w14:textId="77777777" w:rsidR="000D3223" w:rsidRDefault="00AF6C28" w:rsidP="000D3223">
      <w:pPr>
        <w:pStyle w:val="Body"/>
        <w:spacing w:after="0"/>
        <w:ind w:left="-142"/>
        <w:rPr>
          <w:rFonts w:ascii="Arial" w:hAnsi="Arial" w:cs="Arial"/>
        </w:rPr>
      </w:pPr>
      <w:r w:rsidRPr="00435FC7">
        <w:rPr>
          <w:rFonts w:ascii="Arial" w:hAnsi="Arial" w:cs="Arial"/>
        </w:rPr>
        <w:t xml:space="preserve">Komi, D. E. A., Mortaz, E., Amani, S., Tiotiu, A., Folkerts, G., &amp; Adcock, I. M. (2020). The role of mast cells in IgE-independent lung diseases. </w:t>
      </w:r>
      <w:r w:rsidRPr="00435FC7">
        <w:rPr>
          <w:rFonts w:ascii="Arial" w:hAnsi="Arial" w:cs="Arial"/>
          <w:i/>
          <w:iCs/>
        </w:rPr>
        <w:t>Clinical Reviews in Allergy &amp; Immunology</w:t>
      </w:r>
      <w:r w:rsidRPr="00435FC7">
        <w:rPr>
          <w:rFonts w:ascii="Arial" w:hAnsi="Arial" w:cs="Arial"/>
        </w:rPr>
        <w:t xml:space="preserve">, </w:t>
      </w:r>
      <w:r w:rsidRPr="00435FC7">
        <w:rPr>
          <w:rFonts w:ascii="Arial" w:hAnsi="Arial" w:cs="Arial"/>
          <w:i/>
          <w:iCs/>
        </w:rPr>
        <w:t>58</w:t>
      </w:r>
      <w:r w:rsidRPr="00435FC7">
        <w:rPr>
          <w:rFonts w:ascii="Arial" w:hAnsi="Arial" w:cs="Arial"/>
        </w:rPr>
        <w:t>, 377-387.</w:t>
      </w:r>
    </w:p>
    <w:p w14:paraId="50F64B12" w14:textId="77777777" w:rsidR="000D3223" w:rsidRDefault="000D3223" w:rsidP="000D3223">
      <w:pPr>
        <w:pStyle w:val="Body"/>
        <w:spacing w:after="0"/>
        <w:ind w:left="-142"/>
        <w:rPr>
          <w:rFonts w:ascii="Arial" w:hAnsi="Arial" w:cs="Arial"/>
        </w:rPr>
      </w:pPr>
    </w:p>
    <w:p w14:paraId="1AA9E24B" w14:textId="77777777" w:rsidR="000D3223" w:rsidRDefault="00AF6C28" w:rsidP="000D3223">
      <w:pPr>
        <w:pStyle w:val="Body"/>
        <w:spacing w:after="0"/>
        <w:ind w:left="-142"/>
        <w:rPr>
          <w:rFonts w:ascii="Arial" w:hAnsi="Arial" w:cs="Arial"/>
        </w:rPr>
      </w:pPr>
      <w:proofErr w:type="spellStart"/>
      <w:r w:rsidRPr="00435FC7">
        <w:rPr>
          <w:rFonts w:ascii="Arial" w:hAnsi="Arial" w:cs="Arial"/>
        </w:rPr>
        <w:lastRenderedPageBreak/>
        <w:t>Laveti</w:t>
      </w:r>
      <w:proofErr w:type="spellEnd"/>
      <w:r w:rsidRPr="00435FC7">
        <w:rPr>
          <w:rFonts w:ascii="Arial" w:hAnsi="Arial" w:cs="Arial"/>
        </w:rPr>
        <w:t xml:space="preserve">, </w:t>
      </w:r>
      <w:r w:rsidRPr="00F16A6B">
        <w:rPr>
          <w:rFonts w:ascii="Arial" w:hAnsi="Arial" w:cs="Arial"/>
        </w:rPr>
        <w:t>D., Kumar, M., Hemalatha, R., Sistla, R., Gm Naidu, V., Talla, V., &amp; Nagpal,</w:t>
      </w:r>
      <w:r w:rsidRPr="00435FC7">
        <w:rPr>
          <w:rFonts w:ascii="Arial" w:hAnsi="Arial" w:cs="Arial"/>
        </w:rPr>
        <w:t xml:space="preserve"> R. (2013). Anti-inflammatory treatments for chronic diseases: A review. </w:t>
      </w:r>
      <w:r w:rsidRPr="00435FC7">
        <w:rPr>
          <w:rFonts w:ascii="Arial" w:hAnsi="Arial" w:cs="Arial"/>
          <w:i/>
          <w:iCs/>
        </w:rPr>
        <w:t>Inflammation &amp; Allergy-Drug Targets (Formerly Current Drug Targets-Inflammation &amp; Allergy) (Discontinued)</w:t>
      </w:r>
      <w:r w:rsidRPr="00435FC7">
        <w:rPr>
          <w:rFonts w:ascii="Arial" w:hAnsi="Arial" w:cs="Arial"/>
        </w:rPr>
        <w:t xml:space="preserve">, </w:t>
      </w:r>
      <w:r w:rsidRPr="00435FC7">
        <w:rPr>
          <w:rFonts w:ascii="Arial" w:hAnsi="Arial" w:cs="Arial"/>
          <w:i/>
          <w:iCs/>
        </w:rPr>
        <w:t>12</w:t>
      </w:r>
      <w:r w:rsidRPr="00435FC7">
        <w:rPr>
          <w:rFonts w:ascii="Arial" w:hAnsi="Arial" w:cs="Arial"/>
        </w:rPr>
        <w:t>(5), 349-361.</w:t>
      </w:r>
    </w:p>
    <w:p w14:paraId="7DE75CA3" w14:textId="77777777" w:rsidR="000D3223" w:rsidRDefault="000D3223" w:rsidP="000D3223">
      <w:pPr>
        <w:pStyle w:val="Body"/>
        <w:spacing w:after="0"/>
        <w:ind w:left="-142"/>
        <w:rPr>
          <w:rFonts w:ascii="Arial" w:hAnsi="Arial" w:cs="Arial"/>
        </w:rPr>
      </w:pPr>
    </w:p>
    <w:p w14:paraId="6567A389" w14:textId="77777777" w:rsidR="000D3223" w:rsidRDefault="00AF6C28" w:rsidP="000D3223">
      <w:pPr>
        <w:pStyle w:val="Body"/>
        <w:spacing w:after="0"/>
        <w:ind w:left="-142"/>
        <w:rPr>
          <w:rFonts w:ascii="Arial" w:hAnsi="Arial" w:cs="Arial"/>
        </w:rPr>
      </w:pPr>
      <w:r w:rsidRPr="00435FC7">
        <w:rPr>
          <w:rFonts w:ascii="Arial" w:hAnsi="Arial" w:cs="Arial"/>
        </w:rPr>
        <w:t xml:space="preserve">Lee, S. Y., Park, H. J., Best-Popescu, C., Jang, S., &amp; Park, Y. K. (2015). The effects of ethanol on the morphological and biochemical properties of individual human red blood cells. </w:t>
      </w:r>
      <w:r w:rsidRPr="00435FC7">
        <w:rPr>
          <w:rFonts w:ascii="Arial" w:hAnsi="Arial" w:cs="Arial"/>
          <w:i/>
          <w:iCs/>
        </w:rPr>
        <w:t>Public Library of Science One</w:t>
      </w:r>
      <w:r w:rsidRPr="00435FC7">
        <w:rPr>
          <w:rFonts w:ascii="Arial" w:hAnsi="Arial" w:cs="Arial"/>
        </w:rPr>
        <w:t xml:space="preserve">, </w:t>
      </w:r>
      <w:r w:rsidRPr="00435FC7">
        <w:rPr>
          <w:rFonts w:ascii="Arial" w:hAnsi="Arial" w:cs="Arial"/>
          <w:i/>
          <w:iCs/>
        </w:rPr>
        <w:t>10</w:t>
      </w:r>
      <w:r w:rsidRPr="00435FC7">
        <w:rPr>
          <w:rFonts w:ascii="Arial" w:hAnsi="Arial" w:cs="Arial"/>
        </w:rPr>
        <w:t>(12), e0145327.</w:t>
      </w:r>
    </w:p>
    <w:p w14:paraId="2A96DC61" w14:textId="77777777" w:rsidR="000D3223" w:rsidRDefault="000D3223" w:rsidP="000D3223">
      <w:pPr>
        <w:pStyle w:val="Body"/>
        <w:spacing w:after="0"/>
        <w:ind w:left="-142"/>
        <w:rPr>
          <w:rFonts w:ascii="Arial" w:hAnsi="Arial" w:cs="Arial"/>
        </w:rPr>
      </w:pPr>
    </w:p>
    <w:p w14:paraId="68DB85E8" w14:textId="77777777" w:rsidR="000D3223" w:rsidRDefault="00AF6C28" w:rsidP="000D3223">
      <w:pPr>
        <w:pStyle w:val="Body"/>
        <w:spacing w:after="0"/>
        <w:ind w:left="-142"/>
        <w:rPr>
          <w:rFonts w:ascii="Arial" w:hAnsi="Arial" w:cs="Arial"/>
        </w:rPr>
      </w:pPr>
      <w:r w:rsidRPr="00435FC7">
        <w:rPr>
          <w:rFonts w:ascii="Arial" w:hAnsi="Arial" w:cs="Arial"/>
        </w:rPr>
        <w:t xml:space="preserve">Li, J. J., &amp; Fang, C. H. (2004). C-reactive protein is not only an inflammatory marker but also a direct cause of cardiovascular diseases. </w:t>
      </w:r>
      <w:r w:rsidRPr="00435FC7">
        <w:rPr>
          <w:rFonts w:ascii="Arial" w:hAnsi="Arial" w:cs="Arial"/>
          <w:i/>
        </w:rPr>
        <w:t>Medical Hypotheses</w:t>
      </w:r>
      <w:r w:rsidRPr="00435FC7">
        <w:rPr>
          <w:rFonts w:ascii="Arial" w:hAnsi="Arial" w:cs="Arial"/>
        </w:rPr>
        <w:t>, 62(4), 499-506.</w:t>
      </w:r>
    </w:p>
    <w:p w14:paraId="3101A009" w14:textId="77777777" w:rsidR="000D3223" w:rsidRDefault="000D3223" w:rsidP="000D3223">
      <w:pPr>
        <w:pStyle w:val="Body"/>
        <w:spacing w:after="0"/>
        <w:ind w:left="-142"/>
        <w:rPr>
          <w:rFonts w:ascii="Arial" w:hAnsi="Arial" w:cs="Arial"/>
          <w:color w:val="222222"/>
          <w:shd w:val="clear" w:color="auto" w:fill="FFFFFF"/>
        </w:rPr>
      </w:pPr>
    </w:p>
    <w:p w14:paraId="48A99390" w14:textId="77777777" w:rsidR="000D3223" w:rsidRDefault="00AF6C28" w:rsidP="000D3223">
      <w:pPr>
        <w:pStyle w:val="Body"/>
        <w:spacing w:after="0"/>
        <w:ind w:left="-142"/>
        <w:rPr>
          <w:rFonts w:ascii="Arial" w:hAnsi="Arial" w:cs="Arial"/>
          <w:color w:val="222222"/>
          <w:shd w:val="clear" w:color="auto" w:fill="FFFFFF"/>
        </w:rPr>
      </w:pPr>
      <w:proofErr w:type="spellStart"/>
      <w:r w:rsidRPr="00435FC7">
        <w:rPr>
          <w:rFonts w:ascii="Arial" w:hAnsi="Arial" w:cs="Arial"/>
          <w:color w:val="222222"/>
          <w:shd w:val="clear" w:color="auto" w:fill="FFFFFF"/>
        </w:rPr>
        <w:t>Mackiewicz</w:t>
      </w:r>
      <w:proofErr w:type="spellEnd"/>
      <w:r w:rsidRPr="00435FC7">
        <w:rPr>
          <w:rFonts w:ascii="Arial" w:hAnsi="Arial" w:cs="Arial"/>
          <w:color w:val="222222"/>
          <w:shd w:val="clear" w:color="auto" w:fill="FFFFFF"/>
        </w:rPr>
        <w:t>, A., Kushner, I., &amp; Baumann, H. (2020). </w:t>
      </w:r>
      <w:r w:rsidRPr="00435FC7">
        <w:rPr>
          <w:rFonts w:ascii="Arial" w:hAnsi="Arial" w:cs="Arial"/>
          <w:i/>
          <w:iCs/>
          <w:color w:val="222222"/>
          <w:shd w:val="clear" w:color="auto" w:fill="FFFFFF"/>
        </w:rPr>
        <w:t>Acute phase proteins molecular biology, biochemistry, and clinical applications</w:t>
      </w:r>
      <w:r w:rsidRPr="00435FC7">
        <w:rPr>
          <w:rFonts w:ascii="Arial" w:hAnsi="Arial" w:cs="Arial"/>
          <w:color w:val="222222"/>
          <w:shd w:val="clear" w:color="auto" w:fill="FFFFFF"/>
        </w:rPr>
        <w:t>. CRC Press.</w:t>
      </w:r>
    </w:p>
    <w:p w14:paraId="7C5DC450" w14:textId="77777777" w:rsidR="000D3223" w:rsidRDefault="000D3223" w:rsidP="000D3223">
      <w:pPr>
        <w:pStyle w:val="Body"/>
        <w:spacing w:after="0"/>
        <w:ind w:left="-142"/>
        <w:rPr>
          <w:rFonts w:ascii="Arial" w:hAnsi="Arial" w:cs="Arial"/>
        </w:rPr>
      </w:pPr>
    </w:p>
    <w:p w14:paraId="2D40AAA1" w14:textId="77777777" w:rsidR="000D3223" w:rsidRDefault="00AF6C28" w:rsidP="000D3223">
      <w:pPr>
        <w:pStyle w:val="Body"/>
        <w:spacing w:after="0"/>
        <w:ind w:left="-142"/>
        <w:rPr>
          <w:rFonts w:ascii="Arial" w:hAnsi="Arial" w:cs="Arial"/>
        </w:rPr>
      </w:pPr>
      <w:r w:rsidRPr="00435FC7">
        <w:rPr>
          <w:rFonts w:ascii="Arial" w:hAnsi="Arial" w:cs="Arial"/>
        </w:rPr>
        <w:t xml:space="preserve">McFadyen, J. D., Kiefer, J., Braig, D., Loseff-Silver, </w:t>
      </w:r>
      <w:r w:rsidRPr="00F16A6B">
        <w:rPr>
          <w:rFonts w:ascii="Arial" w:hAnsi="Arial" w:cs="Arial"/>
        </w:rPr>
        <w:t>J., Potempa, L. A., Eisenhardt, S. U., &amp; Peter</w:t>
      </w:r>
      <w:r w:rsidRPr="00435FC7">
        <w:rPr>
          <w:rFonts w:ascii="Arial" w:hAnsi="Arial" w:cs="Arial"/>
        </w:rPr>
        <w:t xml:space="preserve">, K. (2018). Dissociation of C-reactive protein localizes and amplifies inflammation: evidence for a direct biological role of C-reactive protein and its conformational changes. </w:t>
      </w:r>
      <w:r w:rsidRPr="00435FC7">
        <w:rPr>
          <w:rFonts w:ascii="Arial" w:hAnsi="Arial" w:cs="Arial"/>
          <w:i/>
          <w:iCs/>
        </w:rPr>
        <w:t>Frontiers in Immunology</w:t>
      </w:r>
      <w:r w:rsidRPr="00435FC7">
        <w:rPr>
          <w:rFonts w:ascii="Arial" w:hAnsi="Arial" w:cs="Arial"/>
        </w:rPr>
        <w:t xml:space="preserve">, </w:t>
      </w:r>
      <w:r w:rsidRPr="00435FC7">
        <w:rPr>
          <w:rFonts w:ascii="Arial" w:hAnsi="Arial" w:cs="Arial"/>
          <w:i/>
          <w:iCs/>
        </w:rPr>
        <w:t>9</w:t>
      </w:r>
      <w:r w:rsidRPr="00435FC7">
        <w:rPr>
          <w:rFonts w:ascii="Arial" w:hAnsi="Arial" w:cs="Arial"/>
        </w:rPr>
        <w:t>, 1351.</w:t>
      </w:r>
    </w:p>
    <w:p w14:paraId="0BC9E3C8" w14:textId="77777777" w:rsidR="000D3223" w:rsidRDefault="000D3223" w:rsidP="000D3223">
      <w:pPr>
        <w:pStyle w:val="Body"/>
        <w:spacing w:after="0"/>
        <w:ind w:left="-142"/>
        <w:rPr>
          <w:rFonts w:ascii="Arial" w:hAnsi="Arial" w:cs="Arial"/>
          <w:color w:val="222222"/>
          <w:shd w:val="clear" w:color="auto" w:fill="FFFFFF"/>
        </w:rPr>
      </w:pPr>
    </w:p>
    <w:p w14:paraId="4211627C" w14:textId="77777777" w:rsidR="000D3223" w:rsidRDefault="00AF6C28" w:rsidP="000D3223">
      <w:pPr>
        <w:pStyle w:val="Body"/>
        <w:spacing w:after="0"/>
        <w:ind w:left="-142"/>
        <w:rPr>
          <w:rFonts w:ascii="Arial" w:hAnsi="Arial" w:cs="Arial"/>
          <w:color w:val="222222"/>
          <w:shd w:val="clear" w:color="auto" w:fill="FFFFFF"/>
        </w:rPr>
      </w:pPr>
      <w:proofErr w:type="spellStart"/>
      <w:r w:rsidRPr="00435FC7">
        <w:rPr>
          <w:rFonts w:ascii="Arial" w:hAnsi="Arial" w:cs="Arial"/>
          <w:color w:val="222222"/>
          <w:shd w:val="clear" w:color="auto" w:fill="FFFFFF"/>
        </w:rPr>
        <w:t>Nehring</w:t>
      </w:r>
      <w:proofErr w:type="spellEnd"/>
      <w:r w:rsidRPr="00435FC7">
        <w:rPr>
          <w:rFonts w:ascii="Arial" w:hAnsi="Arial" w:cs="Arial"/>
          <w:color w:val="222222"/>
          <w:shd w:val="clear" w:color="auto" w:fill="FFFFFF"/>
        </w:rPr>
        <w:t xml:space="preserve">, S. M., Goyal, A., &amp; Patel, B. C. (2017). C reactive protein. </w:t>
      </w:r>
      <w:r w:rsidRPr="00435FC7">
        <w:rPr>
          <w:rFonts w:ascii="Arial" w:hAnsi="Arial" w:cs="Arial"/>
          <w:i/>
          <w:color w:val="222222"/>
          <w:shd w:val="clear" w:color="auto" w:fill="FFFFFF"/>
        </w:rPr>
        <w:t>In StatPearls</w:t>
      </w:r>
      <w:r w:rsidRPr="00435FC7">
        <w:rPr>
          <w:rFonts w:ascii="Arial" w:hAnsi="Arial" w:cs="Arial"/>
          <w:color w:val="222222"/>
          <w:shd w:val="clear" w:color="auto" w:fill="FFFFFF"/>
        </w:rPr>
        <w:t>. StatPearls Publishing. PMID: 28722873.</w:t>
      </w:r>
      <w:bookmarkEnd w:id="6"/>
    </w:p>
    <w:p w14:paraId="73F9121B" w14:textId="77777777" w:rsidR="000D3223" w:rsidRDefault="000D3223" w:rsidP="000D3223">
      <w:pPr>
        <w:pStyle w:val="Body"/>
        <w:spacing w:after="0"/>
        <w:ind w:left="-142"/>
        <w:rPr>
          <w:rFonts w:ascii="Arial" w:hAnsi="Arial" w:cs="Arial"/>
        </w:rPr>
      </w:pPr>
    </w:p>
    <w:p w14:paraId="72FEE214" w14:textId="77777777" w:rsidR="000D3223" w:rsidRDefault="00AF6C28" w:rsidP="000D3223">
      <w:pPr>
        <w:pStyle w:val="Body"/>
        <w:spacing w:after="0"/>
        <w:ind w:left="-142"/>
        <w:rPr>
          <w:rFonts w:ascii="Arial" w:hAnsi="Arial" w:cs="Arial"/>
        </w:rPr>
      </w:pPr>
      <w:r w:rsidRPr="00435FC7">
        <w:rPr>
          <w:rFonts w:ascii="Arial" w:hAnsi="Arial" w:cs="Arial"/>
        </w:rPr>
        <w:t>Olmedo-</w:t>
      </w:r>
      <w:proofErr w:type="spellStart"/>
      <w:r w:rsidRPr="00435FC7">
        <w:rPr>
          <w:rFonts w:ascii="Arial" w:hAnsi="Arial" w:cs="Arial"/>
        </w:rPr>
        <w:t>Buenrostro</w:t>
      </w:r>
      <w:proofErr w:type="spellEnd"/>
      <w:r w:rsidRPr="00435FC7">
        <w:rPr>
          <w:rFonts w:ascii="Arial" w:hAnsi="Arial" w:cs="Arial"/>
        </w:rPr>
        <w:t xml:space="preserve">, B. A., Ortega-Ortiz, J. G., Guzman-Esquivel, J., Delgado-Enciso, O. G., Ceja-Espiritu, G., Paz-Michel, </w:t>
      </w:r>
      <w:r w:rsidRPr="00F16A6B">
        <w:rPr>
          <w:rFonts w:ascii="Arial" w:hAnsi="Arial" w:cs="Arial"/>
        </w:rPr>
        <w:t>B. A., Rodriguez-Sanchez, I.P., Martinez-Fierro, M. L., Baltazar-Rodriguez, L.M., Melnikov, V., Rodriguez-Hernandez, A</w:t>
      </w:r>
      <w:r w:rsidRPr="00435FC7">
        <w:rPr>
          <w:rFonts w:ascii="Arial" w:hAnsi="Arial" w:cs="Arial"/>
        </w:rPr>
        <w:t xml:space="preserve">., &amp; Delgado-Enciso, I. (2017). Workplace gasoline exposure increases the risk for early renal dysfunction: A case-control study in Mexico. </w:t>
      </w:r>
      <w:r w:rsidRPr="00435FC7">
        <w:rPr>
          <w:rFonts w:ascii="Arial" w:hAnsi="Arial" w:cs="Arial"/>
          <w:i/>
          <w:iCs/>
        </w:rPr>
        <w:t>Biomedical Research</w:t>
      </w:r>
      <w:r w:rsidRPr="00435FC7">
        <w:rPr>
          <w:rFonts w:ascii="Arial" w:hAnsi="Arial" w:cs="Arial"/>
        </w:rPr>
        <w:t xml:space="preserve">, </w:t>
      </w:r>
      <w:r w:rsidRPr="00435FC7">
        <w:rPr>
          <w:rFonts w:ascii="Arial" w:hAnsi="Arial" w:cs="Arial"/>
          <w:i/>
          <w:iCs/>
        </w:rPr>
        <w:t>28</w:t>
      </w:r>
      <w:r w:rsidRPr="00435FC7">
        <w:rPr>
          <w:rFonts w:ascii="Arial" w:hAnsi="Arial" w:cs="Arial"/>
        </w:rPr>
        <w:t>(22), 9859-9863.</w:t>
      </w:r>
    </w:p>
    <w:p w14:paraId="61B9C542" w14:textId="77777777" w:rsidR="000D3223" w:rsidRDefault="000D3223" w:rsidP="000D3223">
      <w:pPr>
        <w:pStyle w:val="Body"/>
        <w:spacing w:after="0"/>
        <w:ind w:left="-142"/>
        <w:rPr>
          <w:rFonts w:ascii="Arial" w:hAnsi="Arial" w:cs="Arial"/>
          <w:bCs/>
          <w:color w:val="000000"/>
        </w:rPr>
      </w:pPr>
    </w:p>
    <w:p w14:paraId="58C58C3D" w14:textId="77777777" w:rsidR="000D3223" w:rsidRDefault="00907046" w:rsidP="000D3223">
      <w:pPr>
        <w:pStyle w:val="Body"/>
        <w:spacing w:after="0"/>
        <w:ind w:left="-142"/>
        <w:rPr>
          <w:rFonts w:ascii="Arial" w:hAnsi="Arial" w:cs="Arial"/>
          <w:bCs/>
          <w:iCs/>
          <w:color w:val="000000"/>
        </w:rPr>
      </w:pPr>
      <w:proofErr w:type="spellStart"/>
      <w:r w:rsidRPr="00435FC7">
        <w:rPr>
          <w:rFonts w:ascii="Arial" w:hAnsi="Arial" w:cs="Arial"/>
          <w:bCs/>
          <w:color w:val="000000"/>
        </w:rPr>
        <w:t>Orolua</w:t>
      </w:r>
      <w:proofErr w:type="spellEnd"/>
      <w:r w:rsidRPr="00435FC7">
        <w:rPr>
          <w:rFonts w:ascii="Arial" w:hAnsi="Arial" w:cs="Arial"/>
          <w:bCs/>
          <w:color w:val="000000"/>
        </w:rPr>
        <w:t>, C. C., Monago-Ighorodje, C. C.,</w:t>
      </w:r>
      <w:r w:rsidRPr="00435FC7">
        <w:rPr>
          <w:rFonts w:ascii="Arial" w:hAnsi="Arial" w:cs="Arial"/>
          <w:color w:val="000000"/>
        </w:rPr>
        <w:t xml:space="preserve"> </w:t>
      </w:r>
      <w:r w:rsidRPr="00435FC7">
        <w:rPr>
          <w:rFonts w:ascii="Arial" w:hAnsi="Arial" w:cs="Arial"/>
          <w:bCs/>
          <w:color w:val="000000"/>
        </w:rPr>
        <w:t>Ogbonnaya, E. A., &amp; Ezendiokwere, O. E. (2024)</w:t>
      </w:r>
      <w:r w:rsidR="000C1EBD" w:rsidRPr="00435FC7">
        <w:rPr>
          <w:rFonts w:ascii="Arial" w:hAnsi="Arial" w:cs="Arial"/>
          <w:bCs/>
          <w:color w:val="000000"/>
        </w:rPr>
        <w:t>.</w:t>
      </w:r>
      <w:r w:rsidR="000C1EBD" w:rsidRPr="00435FC7">
        <w:rPr>
          <w:rFonts w:ascii="Arial" w:hAnsi="Arial" w:cs="Arial"/>
          <w:b/>
          <w:bCs/>
          <w:color w:val="000000"/>
        </w:rPr>
        <w:t xml:space="preserve"> </w:t>
      </w:r>
      <w:r w:rsidR="000C1EBD" w:rsidRPr="00435FC7">
        <w:rPr>
          <w:rFonts w:ascii="Arial" w:hAnsi="Arial" w:cs="Arial"/>
        </w:rPr>
        <w:t xml:space="preserve">Effect of gasoline exposure on some renal and hepatic function parameters of petrol station workers in Port Harcourt Metropolis, Nigeria. </w:t>
      </w:r>
      <w:r w:rsidR="000C1EBD" w:rsidRPr="00435FC7">
        <w:rPr>
          <w:rFonts w:ascii="Arial" w:hAnsi="Arial" w:cs="Arial"/>
          <w:bCs/>
          <w:i/>
          <w:iCs/>
          <w:color w:val="000000"/>
        </w:rPr>
        <w:t>Scientia Africana</w:t>
      </w:r>
      <w:r w:rsidR="000C1EBD" w:rsidRPr="00435FC7">
        <w:rPr>
          <w:rFonts w:ascii="Arial" w:hAnsi="Arial" w:cs="Arial"/>
          <w:b/>
          <w:bCs/>
          <w:i/>
          <w:iCs/>
          <w:color w:val="000000"/>
        </w:rPr>
        <w:t xml:space="preserve">, </w:t>
      </w:r>
      <w:r w:rsidR="000C1EBD" w:rsidRPr="00435FC7">
        <w:rPr>
          <w:rFonts w:ascii="Arial" w:hAnsi="Arial" w:cs="Arial"/>
          <w:bCs/>
          <w:i/>
          <w:iCs/>
          <w:color w:val="000000"/>
        </w:rPr>
        <w:t xml:space="preserve">23 </w:t>
      </w:r>
      <w:r w:rsidR="000C1EBD" w:rsidRPr="00435FC7">
        <w:rPr>
          <w:rFonts w:ascii="Arial" w:hAnsi="Arial" w:cs="Arial"/>
          <w:bCs/>
          <w:iCs/>
          <w:color w:val="000000"/>
        </w:rPr>
        <w:t>(5),</w:t>
      </w:r>
      <w:r w:rsidR="000C1EBD" w:rsidRPr="00435FC7">
        <w:rPr>
          <w:rFonts w:ascii="Arial" w:hAnsi="Arial" w:cs="Arial"/>
          <w:bCs/>
          <w:i/>
          <w:iCs/>
          <w:color w:val="000000"/>
        </w:rPr>
        <w:t xml:space="preserve"> </w:t>
      </w:r>
      <w:r w:rsidR="000C1EBD" w:rsidRPr="00435FC7">
        <w:rPr>
          <w:rFonts w:ascii="Arial" w:hAnsi="Arial" w:cs="Arial"/>
          <w:bCs/>
          <w:iCs/>
          <w:color w:val="000000"/>
        </w:rPr>
        <w:t>123-132.</w:t>
      </w:r>
    </w:p>
    <w:p w14:paraId="5142FF0A" w14:textId="77777777" w:rsidR="000D3223" w:rsidRDefault="000D3223" w:rsidP="00911C6E">
      <w:pPr>
        <w:pStyle w:val="Body"/>
        <w:spacing w:after="0"/>
        <w:rPr>
          <w:rFonts w:ascii="Arial" w:hAnsi="Arial" w:cs="Arial"/>
        </w:rPr>
      </w:pPr>
    </w:p>
    <w:p w14:paraId="0C93688C" w14:textId="77777777" w:rsidR="000D3223" w:rsidRDefault="00AF6C28" w:rsidP="000D3223">
      <w:pPr>
        <w:pStyle w:val="Body"/>
        <w:spacing w:after="0"/>
        <w:ind w:left="-142"/>
        <w:rPr>
          <w:rFonts w:ascii="Arial" w:hAnsi="Arial" w:cs="Arial"/>
        </w:rPr>
      </w:pPr>
      <w:r w:rsidRPr="00435FC7">
        <w:rPr>
          <w:rFonts w:ascii="Arial" w:hAnsi="Arial" w:cs="Arial"/>
        </w:rPr>
        <w:t xml:space="preserve">Ren, C., Melly, S., &amp; Schwartz, J. (2010). Modifiers of short-term effects of ozone on mortality in eastern Massachusetts-a case crossover analysis at individual level. </w:t>
      </w:r>
      <w:r w:rsidRPr="00435FC7">
        <w:rPr>
          <w:rFonts w:ascii="Arial" w:hAnsi="Arial" w:cs="Arial"/>
          <w:i/>
          <w:iCs/>
        </w:rPr>
        <w:t>Environmental Health</w:t>
      </w:r>
      <w:r w:rsidRPr="00435FC7">
        <w:rPr>
          <w:rFonts w:ascii="Arial" w:hAnsi="Arial" w:cs="Arial"/>
        </w:rPr>
        <w:t xml:space="preserve">, </w:t>
      </w:r>
      <w:r w:rsidRPr="00435FC7">
        <w:rPr>
          <w:rFonts w:ascii="Arial" w:hAnsi="Arial" w:cs="Arial"/>
          <w:i/>
          <w:iCs/>
        </w:rPr>
        <w:t>9</w:t>
      </w:r>
      <w:r w:rsidRPr="00435FC7">
        <w:rPr>
          <w:rFonts w:ascii="Arial" w:hAnsi="Arial" w:cs="Arial"/>
        </w:rPr>
        <w:t>, 1-10.</w:t>
      </w:r>
    </w:p>
    <w:p w14:paraId="446BF35C" w14:textId="77777777" w:rsidR="000D3223" w:rsidRDefault="000D3223" w:rsidP="000D3223">
      <w:pPr>
        <w:pStyle w:val="Body"/>
        <w:spacing w:after="0"/>
        <w:ind w:left="-142"/>
        <w:rPr>
          <w:rFonts w:ascii="Arial" w:hAnsi="Arial" w:cs="Arial"/>
        </w:rPr>
      </w:pPr>
    </w:p>
    <w:p w14:paraId="3FDCCAF2" w14:textId="77777777" w:rsidR="000D3223" w:rsidRDefault="00AF6C28" w:rsidP="000D3223">
      <w:pPr>
        <w:pStyle w:val="Body"/>
        <w:spacing w:after="0"/>
        <w:ind w:left="-142"/>
        <w:rPr>
          <w:rFonts w:ascii="Arial" w:hAnsi="Arial" w:cs="Arial"/>
        </w:rPr>
      </w:pPr>
      <w:proofErr w:type="spellStart"/>
      <w:r w:rsidRPr="00435FC7">
        <w:rPr>
          <w:rFonts w:ascii="Arial" w:hAnsi="Arial" w:cs="Arial"/>
        </w:rPr>
        <w:t>Ridker</w:t>
      </w:r>
      <w:proofErr w:type="spellEnd"/>
      <w:r w:rsidRPr="00435FC7">
        <w:rPr>
          <w:rFonts w:ascii="Arial" w:hAnsi="Arial" w:cs="Arial"/>
        </w:rPr>
        <w:t xml:space="preserve">, P. M. (2009). C-reactive protein: eighty years from discovery to emergence as a major risk marker for cardiovascular disease. </w:t>
      </w:r>
      <w:r w:rsidRPr="00435FC7">
        <w:rPr>
          <w:rFonts w:ascii="Arial" w:hAnsi="Arial" w:cs="Arial"/>
          <w:i/>
        </w:rPr>
        <w:t>Clinical chemistry, 55</w:t>
      </w:r>
      <w:r w:rsidRPr="00435FC7">
        <w:rPr>
          <w:rFonts w:ascii="Arial" w:hAnsi="Arial" w:cs="Arial"/>
        </w:rPr>
        <w:t>(2), 209-215.</w:t>
      </w:r>
    </w:p>
    <w:p w14:paraId="1F679C55" w14:textId="77777777" w:rsidR="000D3223" w:rsidRDefault="000D3223" w:rsidP="000D3223">
      <w:pPr>
        <w:pStyle w:val="Body"/>
        <w:spacing w:after="0"/>
        <w:ind w:left="-142"/>
        <w:rPr>
          <w:rFonts w:ascii="Arial" w:hAnsi="Arial" w:cs="Arial"/>
        </w:rPr>
      </w:pPr>
    </w:p>
    <w:p w14:paraId="52F210AB" w14:textId="77777777" w:rsidR="000D3223" w:rsidRDefault="00AF6C28" w:rsidP="000D3223">
      <w:pPr>
        <w:pStyle w:val="Body"/>
        <w:spacing w:after="0"/>
        <w:ind w:left="-142"/>
        <w:rPr>
          <w:rFonts w:ascii="Arial" w:hAnsi="Arial" w:cs="Arial"/>
        </w:rPr>
      </w:pPr>
      <w:r w:rsidRPr="00435FC7">
        <w:rPr>
          <w:rFonts w:ascii="Arial" w:hAnsi="Arial" w:cs="Arial"/>
        </w:rPr>
        <w:t xml:space="preserve">Shen, Q., Liu, Y., Li, G., &amp; An, T. (2024). A review of disrupted biological response associated with volatile organic compound exposure: Insight into identification of biomarkers. </w:t>
      </w:r>
      <w:r w:rsidRPr="00435FC7">
        <w:rPr>
          <w:rFonts w:ascii="Arial" w:hAnsi="Arial" w:cs="Arial"/>
          <w:i/>
          <w:iCs/>
        </w:rPr>
        <w:t>Science of The Total Environment</w:t>
      </w:r>
      <w:r w:rsidRPr="00435FC7">
        <w:rPr>
          <w:rFonts w:ascii="Arial" w:hAnsi="Arial" w:cs="Arial"/>
        </w:rPr>
        <w:t>, 174924.</w:t>
      </w:r>
    </w:p>
    <w:p w14:paraId="125AF4DF" w14:textId="77777777" w:rsidR="000D3223" w:rsidRDefault="000D3223" w:rsidP="00D25F50">
      <w:pPr>
        <w:pStyle w:val="Body"/>
        <w:spacing w:after="0"/>
        <w:rPr>
          <w:rFonts w:ascii="Arial" w:hAnsi="Arial" w:cs="Arial"/>
        </w:rPr>
      </w:pPr>
    </w:p>
    <w:p w14:paraId="1ED4D469" w14:textId="77777777" w:rsidR="000D3223" w:rsidRDefault="00AF6C28" w:rsidP="000D3223">
      <w:pPr>
        <w:pStyle w:val="Body"/>
        <w:spacing w:after="0"/>
        <w:ind w:left="-142"/>
        <w:rPr>
          <w:rFonts w:ascii="Arial" w:hAnsi="Arial" w:cs="Arial"/>
        </w:rPr>
      </w:pPr>
      <w:proofErr w:type="spellStart"/>
      <w:r w:rsidRPr="00435FC7">
        <w:rPr>
          <w:rFonts w:ascii="Arial" w:hAnsi="Arial" w:cs="Arial"/>
        </w:rPr>
        <w:t>Sproston</w:t>
      </w:r>
      <w:proofErr w:type="spellEnd"/>
      <w:r w:rsidRPr="00435FC7">
        <w:rPr>
          <w:rFonts w:ascii="Arial" w:hAnsi="Arial" w:cs="Arial"/>
        </w:rPr>
        <w:t xml:space="preserve">, N. R., &amp; Ashworth, J. J. (2018, April 13). Role of C-Reactive Protein at Sites of Inflammation and Infection. </w:t>
      </w:r>
      <w:r w:rsidRPr="00435FC7">
        <w:rPr>
          <w:rFonts w:ascii="Arial" w:hAnsi="Arial" w:cs="Arial"/>
          <w:i/>
        </w:rPr>
        <w:t>Frontiers in Immunology, 9</w:t>
      </w:r>
      <w:r w:rsidRPr="00435FC7">
        <w:rPr>
          <w:rFonts w:ascii="Arial" w:hAnsi="Arial" w:cs="Arial"/>
        </w:rPr>
        <w:t>.</w:t>
      </w:r>
    </w:p>
    <w:p w14:paraId="68519BA1" w14:textId="77777777" w:rsidR="00D25F50" w:rsidRDefault="00D25F50" w:rsidP="000D3223">
      <w:pPr>
        <w:pStyle w:val="Body"/>
        <w:spacing w:after="0"/>
        <w:ind w:left="-142"/>
        <w:rPr>
          <w:rFonts w:ascii="Arial" w:hAnsi="Arial" w:cs="Arial"/>
          <w:color w:val="222222"/>
          <w:shd w:val="clear" w:color="auto" w:fill="FFFFFF"/>
        </w:rPr>
      </w:pPr>
    </w:p>
    <w:p w14:paraId="2EE7A88E" w14:textId="46BECF7D" w:rsidR="000D3223" w:rsidRDefault="00D25F50" w:rsidP="000D3223">
      <w:pPr>
        <w:pStyle w:val="Body"/>
        <w:spacing w:after="0"/>
        <w:ind w:left="-142"/>
        <w:rPr>
          <w:rFonts w:ascii="Arial" w:hAnsi="Arial" w:cs="Arial"/>
        </w:rPr>
      </w:pPr>
      <w:r>
        <w:rPr>
          <w:rFonts w:ascii="Arial" w:hAnsi="Arial" w:cs="Arial"/>
          <w:color w:val="222222"/>
          <w:shd w:val="clear" w:color="auto" w:fill="FFFFFF"/>
        </w:rPr>
        <w:t>Trivedi, R., Amer, A., Patel, R., &amp; Trivedi, P. (2019). Comparison of a rapid Semi-Quantitative latex agglutination slide method against quantitative particle enhanced turbidimetric immunoassay for measurement of C-</w:t>
      </w:r>
      <w:r w:rsidR="00885482">
        <w:rPr>
          <w:rFonts w:ascii="Arial" w:hAnsi="Arial" w:cs="Arial"/>
          <w:color w:val="222222"/>
          <w:shd w:val="clear" w:color="auto" w:fill="FFFFFF"/>
        </w:rPr>
        <w:t>r</w:t>
      </w:r>
      <w:r>
        <w:rPr>
          <w:rFonts w:ascii="Arial" w:hAnsi="Arial" w:cs="Arial"/>
          <w:color w:val="222222"/>
          <w:shd w:val="clear" w:color="auto" w:fill="FFFFFF"/>
        </w:rPr>
        <w:t>eactive</w:t>
      </w:r>
      <w:r w:rsidR="00885482">
        <w:rPr>
          <w:rFonts w:ascii="Arial" w:hAnsi="Arial" w:cs="Arial"/>
          <w:color w:val="222222"/>
          <w:shd w:val="clear" w:color="auto" w:fill="FFFFFF"/>
        </w:rPr>
        <w:t xml:space="preserve"> p</w:t>
      </w:r>
      <w:r>
        <w:rPr>
          <w:rFonts w:ascii="Arial" w:hAnsi="Arial" w:cs="Arial"/>
          <w:color w:val="222222"/>
          <w:shd w:val="clear" w:color="auto" w:fill="FFFFFF"/>
        </w:rPr>
        <w:t>rotein. </w:t>
      </w:r>
      <w:r>
        <w:rPr>
          <w:rFonts w:ascii="Arial" w:hAnsi="Arial" w:cs="Arial"/>
          <w:i/>
          <w:iCs/>
          <w:color w:val="222222"/>
          <w:shd w:val="clear" w:color="auto" w:fill="FFFFFF"/>
        </w:rPr>
        <w:t>International Journal of Medical and Biomedical Sciences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(5), 190-95.</w:t>
      </w:r>
    </w:p>
    <w:p w14:paraId="45E8B65A" w14:textId="77777777" w:rsidR="00D25F50" w:rsidRDefault="00D25F50" w:rsidP="000D3223">
      <w:pPr>
        <w:pStyle w:val="Body"/>
        <w:spacing w:after="0"/>
        <w:ind w:left="-142"/>
        <w:rPr>
          <w:rFonts w:ascii="Arial" w:hAnsi="Arial" w:cs="Arial"/>
        </w:rPr>
      </w:pPr>
    </w:p>
    <w:p w14:paraId="1465E994" w14:textId="1DCC6919" w:rsidR="000D3223" w:rsidRDefault="00AF6C28" w:rsidP="000D3223">
      <w:pPr>
        <w:pStyle w:val="Body"/>
        <w:spacing w:after="0"/>
        <w:ind w:left="-142"/>
        <w:rPr>
          <w:rFonts w:ascii="Arial" w:hAnsi="Arial" w:cs="Arial"/>
        </w:rPr>
      </w:pPr>
      <w:proofErr w:type="spellStart"/>
      <w:r w:rsidRPr="00435FC7">
        <w:rPr>
          <w:rFonts w:ascii="Arial" w:hAnsi="Arial" w:cs="Arial"/>
        </w:rPr>
        <w:t>Teklu</w:t>
      </w:r>
      <w:proofErr w:type="spellEnd"/>
      <w:r w:rsidRPr="00435FC7">
        <w:rPr>
          <w:rFonts w:ascii="Arial" w:hAnsi="Arial" w:cs="Arial"/>
        </w:rPr>
        <w:t xml:space="preserve">, G., Negash, M., Asefaw, T., Tesfay, F., Gebremariam, G., Teklehaimanot, G., Wolde, M., &amp; Tsegaye, A. (2021). Effect of Gasoline Exposure on Haematological Parameters of Gas Station Workers in Mekelle City, Tigray Region, Northern Ethiopia. </w:t>
      </w:r>
      <w:r w:rsidRPr="00435FC7">
        <w:rPr>
          <w:rFonts w:ascii="Arial" w:hAnsi="Arial" w:cs="Arial"/>
          <w:i/>
        </w:rPr>
        <w:t>Journal of Blood Medicine,</w:t>
      </w:r>
      <w:r w:rsidRPr="00435FC7">
        <w:rPr>
          <w:rFonts w:ascii="Arial" w:hAnsi="Arial" w:cs="Arial"/>
        </w:rPr>
        <w:t xml:space="preserve"> </w:t>
      </w:r>
      <w:r w:rsidRPr="00435FC7">
        <w:rPr>
          <w:rFonts w:ascii="Arial" w:hAnsi="Arial" w:cs="Arial"/>
          <w:i/>
        </w:rPr>
        <w:t>12</w:t>
      </w:r>
      <w:r w:rsidRPr="00435FC7">
        <w:rPr>
          <w:rFonts w:ascii="Arial" w:hAnsi="Arial" w:cs="Arial"/>
        </w:rPr>
        <w:t>, 839–847.</w:t>
      </w:r>
    </w:p>
    <w:p w14:paraId="3F360768" w14:textId="77777777" w:rsidR="000D3223" w:rsidRDefault="000D3223" w:rsidP="000D3223">
      <w:pPr>
        <w:pStyle w:val="Body"/>
        <w:spacing w:after="0"/>
        <w:ind w:left="-142"/>
        <w:rPr>
          <w:rFonts w:ascii="Arial" w:hAnsi="Arial" w:cs="Arial"/>
          <w:color w:val="222222"/>
          <w:shd w:val="clear" w:color="auto" w:fill="FFFFFF"/>
        </w:rPr>
      </w:pPr>
    </w:p>
    <w:p w14:paraId="75A52792" w14:textId="77777777" w:rsidR="000D3223" w:rsidRDefault="00B4133E" w:rsidP="000D3223">
      <w:pPr>
        <w:pStyle w:val="Body"/>
        <w:spacing w:after="0"/>
        <w:ind w:left="-142"/>
        <w:rPr>
          <w:rFonts w:ascii="Arial" w:hAnsi="Arial" w:cs="Arial"/>
          <w:color w:val="222222"/>
          <w:shd w:val="clear" w:color="auto" w:fill="FFFFFF"/>
        </w:rPr>
      </w:pPr>
      <w:proofErr w:type="spellStart"/>
      <w:r>
        <w:rPr>
          <w:rFonts w:ascii="Arial" w:hAnsi="Arial" w:cs="Arial"/>
          <w:color w:val="222222"/>
          <w:shd w:val="clear" w:color="auto" w:fill="FFFFFF"/>
        </w:rPr>
        <w:t>Tochukwu</w:t>
      </w:r>
      <w:proofErr w:type="spellEnd"/>
      <w:r>
        <w:rPr>
          <w:rFonts w:ascii="Arial" w:hAnsi="Arial" w:cs="Arial"/>
          <w:color w:val="222222"/>
          <w:shd w:val="clear" w:color="auto" w:fill="FFFFFF"/>
        </w:rPr>
        <w:t xml:space="preserve">, U., </w:t>
      </w:r>
      <w:proofErr w:type="spellStart"/>
      <w:r>
        <w:rPr>
          <w:rFonts w:ascii="Arial" w:hAnsi="Arial" w:cs="Arial"/>
          <w:color w:val="222222"/>
          <w:shd w:val="clear" w:color="auto" w:fill="FFFFFF"/>
        </w:rPr>
        <w:t>Meludu</w:t>
      </w:r>
      <w:proofErr w:type="spellEnd"/>
      <w:r>
        <w:rPr>
          <w:rFonts w:ascii="Arial" w:hAnsi="Arial" w:cs="Arial"/>
          <w:color w:val="222222"/>
          <w:shd w:val="clear" w:color="auto" w:fill="FFFFFF"/>
        </w:rPr>
        <w:t xml:space="preserve">, S. C., </w:t>
      </w:r>
      <w:proofErr w:type="spellStart"/>
      <w:r>
        <w:rPr>
          <w:rFonts w:ascii="Arial" w:hAnsi="Arial" w:cs="Arial"/>
          <w:color w:val="222222"/>
          <w:shd w:val="clear" w:color="auto" w:fill="FFFFFF"/>
        </w:rPr>
        <w:t>Dioka</w:t>
      </w:r>
      <w:proofErr w:type="spellEnd"/>
      <w:r>
        <w:rPr>
          <w:rFonts w:ascii="Arial" w:hAnsi="Arial" w:cs="Arial"/>
          <w:color w:val="222222"/>
          <w:shd w:val="clear" w:color="auto" w:fill="FFFFFF"/>
        </w:rPr>
        <w:t xml:space="preserve">, C. E., </w:t>
      </w:r>
      <w:proofErr w:type="spellStart"/>
      <w:r>
        <w:rPr>
          <w:rFonts w:ascii="Arial" w:hAnsi="Arial" w:cs="Arial"/>
          <w:color w:val="222222"/>
          <w:shd w:val="clear" w:color="auto" w:fill="FFFFFF"/>
        </w:rPr>
        <w:t>Chikezie</w:t>
      </w:r>
      <w:proofErr w:type="spellEnd"/>
      <w:r>
        <w:rPr>
          <w:rFonts w:ascii="Arial" w:hAnsi="Arial" w:cs="Arial"/>
          <w:color w:val="222222"/>
          <w:shd w:val="clear" w:color="auto" w:fill="FFFFFF"/>
        </w:rPr>
        <w:t xml:space="preserve">, O. D., </w:t>
      </w:r>
      <w:proofErr w:type="spellStart"/>
      <w:r>
        <w:rPr>
          <w:rFonts w:ascii="Arial" w:hAnsi="Arial" w:cs="Arial"/>
          <w:color w:val="222222"/>
          <w:shd w:val="clear" w:color="auto" w:fill="FFFFFF"/>
        </w:rPr>
        <w:t>Awalu</w:t>
      </w:r>
      <w:proofErr w:type="spellEnd"/>
      <w:r>
        <w:rPr>
          <w:rFonts w:ascii="Arial" w:hAnsi="Arial" w:cs="Arial"/>
          <w:color w:val="222222"/>
          <w:shd w:val="clear" w:color="auto" w:fill="FFFFFF"/>
        </w:rPr>
        <w:t xml:space="preserve">, C. J., &amp; </w:t>
      </w:r>
      <w:proofErr w:type="spellStart"/>
      <w:r>
        <w:rPr>
          <w:rFonts w:ascii="Arial" w:hAnsi="Arial" w:cs="Arial"/>
          <w:color w:val="222222"/>
          <w:shd w:val="clear" w:color="auto" w:fill="FFFFFF"/>
        </w:rPr>
        <w:t>Ibekailo</w:t>
      </w:r>
      <w:proofErr w:type="spellEnd"/>
      <w:r>
        <w:rPr>
          <w:rFonts w:ascii="Arial" w:hAnsi="Arial" w:cs="Arial"/>
          <w:color w:val="222222"/>
          <w:shd w:val="clear" w:color="auto" w:fill="FFFFFF"/>
        </w:rPr>
        <w:t>, S. N. (2020). Comparative nephrotoxicity and hepatotoxicity effects of kerosene, gasoline, liquefied petroleum gas and biomass fuel exposure on male albino rats. </w:t>
      </w:r>
      <w:r>
        <w:rPr>
          <w:rFonts w:ascii="Arial" w:hAnsi="Arial" w:cs="Arial"/>
          <w:i/>
          <w:iCs/>
          <w:color w:val="222222"/>
          <w:shd w:val="clear" w:color="auto" w:fill="FFFFFF"/>
        </w:rPr>
        <w:t xml:space="preserve">Asian J. Res. </w:t>
      </w:r>
      <w:proofErr w:type="spellStart"/>
      <w:r>
        <w:rPr>
          <w:rFonts w:ascii="Arial" w:hAnsi="Arial" w:cs="Arial"/>
          <w:i/>
          <w:iCs/>
          <w:color w:val="222222"/>
          <w:shd w:val="clear" w:color="auto" w:fill="FFFFFF"/>
        </w:rPr>
        <w:t>Biochem</w:t>
      </w:r>
      <w:proofErr w:type="spellEnd"/>
      <w:r>
        <w:rPr>
          <w:rFonts w:ascii="Arial" w:hAnsi="Arial" w:cs="Arial"/>
          <w:i/>
          <w:iCs/>
          <w:color w:val="222222"/>
          <w:shd w:val="clear" w:color="auto" w:fill="FFFFFF"/>
        </w:rPr>
        <w: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45-52.</w:t>
      </w:r>
    </w:p>
    <w:p w14:paraId="0A846DED" w14:textId="77777777" w:rsidR="000D3223" w:rsidRDefault="000D3223" w:rsidP="000D3223">
      <w:pPr>
        <w:pStyle w:val="Body"/>
        <w:spacing w:after="0"/>
        <w:ind w:left="-142"/>
        <w:rPr>
          <w:rFonts w:ascii="Arial" w:hAnsi="Arial" w:cs="Arial"/>
        </w:rPr>
      </w:pPr>
    </w:p>
    <w:p w14:paraId="3146DD0A" w14:textId="77777777" w:rsidR="000D3223" w:rsidRDefault="00AF6C28" w:rsidP="000D3223">
      <w:pPr>
        <w:pStyle w:val="Body"/>
        <w:spacing w:after="0"/>
        <w:ind w:left="-142"/>
        <w:rPr>
          <w:rFonts w:ascii="Arial" w:hAnsi="Arial" w:cs="Arial"/>
        </w:rPr>
      </w:pPr>
      <w:proofErr w:type="spellStart"/>
      <w:r w:rsidRPr="00435FC7">
        <w:rPr>
          <w:rFonts w:ascii="Arial" w:hAnsi="Arial" w:cs="Arial"/>
        </w:rPr>
        <w:t>Uslu</w:t>
      </w:r>
      <w:proofErr w:type="spellEnd"/>
      <w:r w:rsidRPr="00435FC7">
        <w:rPr>
          <w:rFonts w:ascii="Arial" w:hAnsi="Arial" w:cs="Arial"/>
        </w:rPr>
        <w:t xml:space="preserve">, S., &amp; Yörük, M. (2015). A morphological and histometric study on the distribution and heterogeneity of mast cells found in lungs and trachea of Van Cats. </w:t>
      </w:r>
      <w:r w:rsidRPr="00435FC7">
        <w:rPr>
          <w:rFonts w:ascii="Arial" w:hAnsi="Arial" w:cs="Arial"/>
          <w:i/>
        </w:rPr>
        <w:t>Ankara University Veterinary Faculty Journal</w:t>
      </w:r>
      <w:r w:rsidRPr="00435FC7">
        <w:rPr>
          <w:rFonts w:ascii="Arial" w:hAnsi="Arial" w:cs="Arial"/>
        </w:rPr>
        <w:t xml:space="preserve">, </w:t>
      </w:r>
      <w:r w:rsidRPr="00435FC7">
        <w:rPr>
          <w:rFonts w:ascii="Arial" w:hAnsi="Arial" w:cs="Arial"/>
          <w:i/>
          <w:iCs/>
        </w:rPr>
        <w:t>62</w:t>
      </w:r>
      <w:r w:rsidRPr="00435FC7">
        <w:rPr>
          <w:rFonts w:ascii="Arial" w:hAnsi="Arial" w:cs="Arial"/>
        </w:rPr>
        <w:t>(2), 87-91.</w:t>
      </w:r>
    </w:p>
    <w:p w14:paraId="72EAF510" w14:textId="77777777" w:rsidR="000D3223" w:rsidRDefault="000D3223" w:rsidP="000D3223">
      <w:pPr>
        <w:pStyle w:val="Body"/>
        <w:spacing w:after="0"/>
        <w:ind w:left="-142"/>
        <w:rPr>
          <w:rFonts w:ascii="Arial" w:hAnsi="Arial" w:cs="Arial"/>
        </w:rPr>
      </w:pPr>
    </w:p>
    <w:p w14:paraId="422251B6" w14:textId="77777777" w:rsidR="000D3223" w:rsidRDefault="00AF6C28" w:rsidP="000D3223">
      <w:pPr>
        <w:pStyle w:val="Body"/>
        <w:spacing w:after="0"/>
        <w:ind w:left="-142"/>
        <w:rPr>
          <w:rFonts w:ascii="Arial" w:hAnsi="Arial" w:cs="Arial"/>
        </w:rPr>
      </w:pPr>
      <w:r w:rsidRPr="00435FC7">
        <w:rPr>
          <w:rFonts w:ascii="Arial" w:hAnsi="Arial" w:cs="Arial"/>
        </w:rPr>
        <w:t xml:space="preserve">Yakubu, O. (2017). Particle (soot) pollution in Port Harcourt Rivers State, Nigeria—Double air pollution burden? Understanding and tackling potential environmental public health impacts. </w:t>
      </w:r>
      <w:r w:rsidRPr="00435FC7">
        <w:rPr>
          <w:rFonts w:ascii="Arial" w:hAnsi="Arial" w:cs="Arial"/>
          <w:i/>
        </w:rPr>
        <w:t>Environments, 5</w:t>
      </w:r>
      <w:r w:rsidRPr="00435FC7">
        <w:rPr>
          <w:rFonts w:ascii="Arial" w:hAnsi="Arial" w:cs="Arial"/>
        </w:rPr>
        <w:t>(1), 2.</w:t>
      </w:r>
    </w:p>
    <w:p w14:paraId="1E8DAB25" w14:textId="77777777" w:rsidR="000D3223" w:rsidRDefault="000D3223" w:rsidP="000D3223">
      <w:pPr>
        <w:pStyle w:val="Body"/>
        <w:spacing w:after="0"/>
        <w:ind w:left="-142"/>
        <w:rPr>
          <w:rFonts w:ascii="Arial" w:hAnsi="Arial" w:cs="Arial"/>
        </w:rPr>
      </w:pPr>
    </w:p>
    <w:p w14:paraId="11E8E545" w14:textId="77777777" w:rsidR="000D3223" w:rsidRDefault="00AF6C28" w:rsidP="000D3223">
      <w:pPr>
        <w:pStyle w:val="Body"/>
        <w:spacing w:after="0"/>
        <w:ind w:left="-142"/>
        <w:rPr>
          <w:rFonts w:ascii="Arial" w:hAnsi="Arial" w:cs="Arial"/>
        </w:rPr>
      </w:pPr>
      <w:proofErr w:type="spellStart"/>
      <w:r w:rsidRPr="00435FC7">
        <w:rPr>
          <w:rFonts w:ascii="Arial" w:hAnsi="Arial" w:cs="Arial"/>
        </w:rPr>
        <w:t>Zabbey</w:t>
      </w:r>
      <w:proofErr w:type="spellEnd"/>
      <w:r w:rsidRPr="00435FC7">
        <w:rPr>
          <w:rFonts w:ascii="Arial" w:hAnsi="Arial" w:cs="Arial"/>
        </w:rPr>
        <w:t xml:space="preserve">, N., Sam, K., Newsom, C. A., &amp; Nyiaghan, P. B. (2021). The COVID-19 lockdown: An opportunity for conducting an air quality baseline in Port Harcourt, Nigeria. </w:t>
      </w:r>
      <w:r w:rsidRPr="00435FC7">
        <w:rPr>
          <w:rFonts w:ascii="Arial" w:hAnsi="Arial" w:cs="Arial"/>
          <w:i/>
        </w:rPr>
        <w:t>The Extractive Industries and Society, 8</w:t>
      </w:r>
      <w:r w:rsidRPr="00435FC7">
        <w:rPr>
          <w:rFonts w:ascii="Arial" w:hAnsi="Arial" w:cs="Arial"/>
        </w:rPr>
        <w:t>(1), 244–256.</w:t>
      </w:r>
    </w:p>
    <w:p w14:paraId="3CC05473" w14:textId="77777777" w:rsidR="000D3223" w:rsidRDefault="000D3223" w:rsidP="000D3223">
      <w:pPr>
        <w:pStyle w:val="Body"/>
        <w:spacing w:after="0"/>
        <w:ind w:left="-142"/>
        <w:rPr>
          <w:rFonts w:ascii="Arial" w:hAnsi="Arial" w:cs="Arial"/>
          <w:color w:val="212121"/>
          <w:shd w:val="clear" w:color="auto" w:fill="FFFFFF"/>
        </w:rPr>
      </w:pPr>
    </w:p>
    <w:p w14:paraId="4959B6F9" w14:textId="2EB04E80" w:rsidR="007B1007" w:rsidRPr="00435FC7" w:rsidRDefault="007B1007" w:rsidP="000D3223">
      <w:pPr>
        <w:pStyle w:val="Body"/>
        <w:spacing w:after="0"/>
        <w:ind w:left="-142"/>
        <w:rPr>
          <w:rFonts w:ascii="Arial" w:hAnsi="Arial" w:cs="Arial"/>
        </w:rPr>
      </w:pPr>
      <w:r w:rsidRPr="00435FC7">
        <w:rPr>
          <w:rFonts w:ascii="Arial" w:hAnsi="Arial" w:cs="Arial"/>
          <w:color w:val="212121"/>
          <w:shd w:val="clear" w:color="auto" w:fill="FFFFFF"/>
        </w:rPr>
        <w:t>Van Dyke, T. E., &amp; Kornman, K. S. (2008). Inflammation and factors that may regulate inflammatory response. </w:t>
      </w:r>
      <w:r w:rsidRPr="00435FC7">
        <w:rPr>
          <w:rFonts w:ascii="Arial" w:hAnsi="Arial" w:cs="Arial"/>
          <w:i/>
          <w:iCs/>
          <w:color w:val="212121"/>
          <w:shd w:val="clear" w:color="auto" w:fill="FFFFFF"/>
        </w:rPr>
        <w:t>Journal of periodontology</w:t>
      </w:r>
      <w:r w:rsidRPr="00435FC7">
        <w:rPr>
          <w:rFonts w:ascii="Arial" w:hAnsi="Arial" w:cs="Arial"/>
          <w:color w:val="212121"/>
          <w:shd w:val="clear" w:color="auto" w:fill="FFFFFF"/>
        </w:rPr>
        <w:t>, </w:t>
      </w:r>
      <w:r w:rsidRPr="00435FC7">
        <w:rPr>
          <w:rFonts w:ascii="Arial" w:hAnsi="Arial" w:cs="Arial"/>
          <w:i/>
          <w:iCs/>
          <w:color w:val="212121"/>
          <w:shd w:val="clear" w:color="auto" w:fill="FFFFFF"/>
        </w:rPr>
        <w:t>79</w:t>
      </w:r>
      <w:r w:rsidRPr="00435FC7">
        <w:rPr>
          <w:rFonts w:ascii="Arial" w:hAnsi="Arial" w:cs="Arial"/>
          <w:color w:val="212121"/>
          <w:shd w:val="clear" w:color="auto" w:fill="FFFFFF"/>
        </w:rPr>
        <w:t>(8 Suppl), 1503–1507. https://doi.org/10.1902/jop.2008.080239</w:t>
      </w:r>
    </w:p>
    <w:p w14:paraId="11CD38CA" w14:textId="77777777" w:rsidR="00864872" w:rsidRPr="00435FC7" w:rsidRDefault="00864872" w:rsidP="00B4133E">
      <w:pPr>
        <w:spacing w:before="240"/>
        <w:jc w:val="both"/>
        <w:rPr>
          <w:rFonts w:ascii="Arial" w:hAnsi="Arial" w:cs="Arial"/>
          <w:sz w:val="20"/>
          <w:szCs w:val="20"/>
        </w:rPr>
      </w:pPr>
    </w:p>
    <w:sectPr w:rsidR="00864872" w:rsidRPr="00435FC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2F2FC" w14:textId="77777777" w:rsidR="000B7778" w:rsidRDefault="000B7778" w:rsidP="00896EFC">
      <w:r>
        <w:separator/>
      </w:r>
    </w:p>
  </w:endnote>
  <w:endnote w:type="continuationSeparator" w:id="0">
    <w:p w14:paraId="6D20E87E" w14:textId="77777777" w:rsidR="000B7778" w:rsidRDefault="000B7778" w:rsidP="008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F13F" w14:textId="77777777" w:rsidR="00896EFC" w:rsidRDefault="0089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B253" w14:textId="77777777" w:rsidR="00896EFC" w:rsidRDefault="0089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DFB99" w14:textId="77777777" w:rsidR="00896EFC" w:rsidRDefault="0089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B493" w14:textId="77777777" w:rsidR="000B7778" w:rsidRDefault="000B7778" w:rsidP="00896EFC">
      <w:r>
        <w:separator/>
      </w:r>
    </w:p>
  </w:footnote>
  <w:footnote w:type="continuationSeparator" w:id="0">
    <w:p w14:paraId="61B656C4" w14:textId="77777777" w:rsidR="000B7778" w:rsidRDefault="000B7778" w:rsidP="0089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4DAF" w14:textId="7B259DC2" w:rsidR="00896EFC" w:rsidRDefault="000B7778">
    <w:pPr>
      <w:pStyle w:val="Header"/>
    </w:pPr>
    <w:r>
      <w:rPr>
        <w:noProof/>
      </w:rPr>
      <w:pict w14:anchorId="3ECDE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7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9B2C8" w14:textId="19BF70D8" w:rsidR="00896EFC" w:rsidRDefault="000B7778">
    <w:pPr>
      <w:pStyle w:val="Header"/>
    </w:pPr>
    <w:r>
      <w:rPr>
        <w:noProof/>
      </w:rPr>
      <w:pict w14:anchorId="5F068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7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08B3" w14:textId="6551484D" w:rsidR="00896EFC" w:rsidRDefault="000B7778">
    <w:pPr>
      <w:pStyle w:val="Header"/>
    </w:pPr>
    <w:r>
      <w:rPr>
        <w:noProof/>
      </w:rPr>
      <w:pict w14:anchorId="408C6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7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1FC"/>
    <w:multiLevelType w:val="multilevel"/>
    <w:tmpl w:val="8C4A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6D25"/>
    <w:multiLevelType w:val="multilevel"/>
    <w:tmpl w:val="D8C4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B177C"/>
    <w:multiLevelType w:val="multilevel"/>
    <w:tmpl w:val="43A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01CBA"/>
    <w:multiLevelType w:val="multilevel"/>
    <w:tmpl w:val="8428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946C6"/>
    <w:multiLevelType w:val="multilevel"/>
    <w:tmpl w:val="159946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3A3CB8"/>
    <w:multiLevelType w:val="multilevel"/>
    <w:tmpl w:val="5CCA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9A306A"/>
    <w:multiLevelType w:val="multilevel"/>
    <w:tmpl w:val="024A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17D97"/>
    <w:multiLevelType w:val="multilevel"/>
    <w:tmpl w:val="A78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20939"/>
    <w:multiLevelType w:val="hybridMultilevel"/>
    <w:tmpl w:val="4692C0BA"/>
    <w:lvl w:ilvl="0" w:tplc="C76AD9F0">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9" w15:restartNumberingAfterBreak="0">
    <w:nsid w:val="340D1445"/>
    <w:multiLevelType w:val="multilevel"/>
    <w:tmpl w:val="8798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A761F"/>
    <w:multiLevelType w:val="multilevel"/>
    <w:tmpl w:val="8D76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D6D49"/>
    <w:multiLevelType w:val="multilevel"/>
    <w:tmpl w:val="B1C2CEB6"/>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7733B31"/>
    <w:multiLevelType w:val="multilevel"/>
    <w:tmpl w:val="EEA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A2AE7"/>
    <w:multiLevelType w:val="multilevel"/>
    <w:tmpl w:val="390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645E5"/>
    <w:multiLevelType w:val="multilevel"/>
    <w:tmpl w:val="4D68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D47945"/>
    <w:multiLevelType w:val="multilevel"/>
    <w:tmpl w:val="3C9C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7C4D4C"/>
    <w:multiLevelType w:val="multilevel"/>
    <w:tmpl w:val="659EB684"/>
    <w:lvl w:ilvl="0">
      <w:start w:val="1"/>
      <w:numFmt w:val="decimal"/>
      <w:lvlText w:val="%1.0"/>
      <w:lvlJc w:val="left"/>
      <w:pPr>
        <w:ind w:left="218"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17" w15:restartNumberingAfterBreak="0">
    <w:nsid w:val="664826FF"/>
    <w:multiLevelType w:val="hybridMultilevel"/>
    <w:tmpl w:val="4F9EE6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65D4B3F"/>
    <w:multiLevelType w:val="multilevel"/>
    <w:tmpl w:val="F96C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8D2186"/>
    <w:multiLevelType w:val="multilevel"/>
    <w:tmpl w:val="76F2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65935"/>
    <w:multiLevelType w:val="multilevel"/>
    <w:tmpl w:val="21B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3"/>
  </w:num>
  <w:num w:numId="4">
    <w:abstractNumId w:val="12"/>
  </w:num>
  <w:num w:numId="5">
    <w:abstractNumId w:val="2"/>
  </w:num>
  <w:num w:numId="6">
    <w:abstractNumId w:val="7"/>
  </w:num>
  <w:num w:numId="7">
    <w:abstractNumId w:val="20"/>
  </w:num>
  <w:num w:numId="8">
    <w:abstractNumId w:val="19"/>
  </w:num>
  <w:num w:numId="9">
    <w:abstractNumId w:val="1"/>
  </w:num>
  <w:num w:numId="10">
    <w:abstractNumId w:val="5"/>
  </w:num>
  <w:num w:numId="11">
    <w:abstractNumId w:val="14"/>
  </w:num>
  <w:num w:numId="12">
    <w:abstractNumId w:val="18"/>
  </w:num>
  <w:num w:numId="13">
    <w:abstractNumId w:val="10"/>
  </w:num>
  <w:num w:numId="14">
    <w:abstractNumId w:val="15"/>
  </w:num>
  <w:num w:numId="15">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16"/>
  </w:num>
  <w:num w:numId="19">
    <w:abstractNumId w:val="8"/>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00"/>
    <w:rsid w:val="000002D9"/>
    <w:rsid w:val="00000623"/>
    <w:rsid w:val="0000556A"/>
    <w:rsid w:val="00027BF8"/>
    <w:rsid w:val="00045F1E"/>
    <w:rsid w:val="000565D4"/>
    <w:rsid w:val="000A0130"/>
    <w:rsid w:val="000B7778"/>
    <w:rsid w:val="000C1EBD"/>
    <w:rsid w:val="000D23E1"/>
    <w:rsid w:val="000D3223"/>
    <w:rsid w:val="000E554E"/>
    <w:rsid w:val="00104D12"/>
    <w:rsid w:val="001178EC"/>
    <w:rsid w:val="00117EB1"/>
    <w:rsid w:val="00132589"/>
    <w:rsid w:val="00145556"/>
    <w:rsid w:val="0016187A"/>
    <w:rsid w:val="00167429"/>
    <w:rsid w:val="001824DE"/>
    <w:rsid w:val="001841E0"/>
    <w:rsid w:val="00184715"/>
    <w:rsid w:val="00186722"/>
    <w:rsid w:val="00192A61"/>
    <w:rsid w:val="001A7641"/>
    <w:rsid w:val="001C4034"/>
    <w:rsid w:val="00217FE9"/>
    <w:rsid w:val="002272EE"/>
    <w:rsid w:val="0027155A"/>
    <w:rsid w:val="00274579"/>
    <w:rsid w:val="0029356A"/>
    <w:rsid w:val="002D6591"/>
    <w:rsid w:val="002F3E0A"/>
    <w:rsid w:val="002F68D5"/>
    <w:rsid w:val="00311C64"/>
    <w:rsid w:val="00320CE9"/>
    <w:rsid w:val="0032549A"/>
    <w:rsid w:val="003A2100"/>
    <w:rsid w:val="003A2B18"/>
    <w:rsid w:val="003A2E4F"/>
    <w:rsid w:val="003C4EF0"/>
    <w:rsid w:val="003C72A9"/>
    <w:rsid w:val="00400B09"/>
    <w:rsid w:val="004054E9"/>
    <w:rsid w:val="00406089"/>
    <w:rsid w:val="00435FC7"/>
    <w:rsid w:val="004679DB"/>
    <w:rsid w:val="004747A0"/>
    <w:rsid w:val="0048020F"/>
    <w:rsid w:val="004C196D"/>
    <w:rsid w:val="004D570F"/>
    <w:rsid w:val="004F4B79"/>
    <w:rsid w:val="00512F89"/>
    <w:rsid w:val="00522225"/>
    <w:rsid w:val="00534214"/>
    <w:rsid w:val="0055398B"/>
    <w:rsid w:val="00581E95"/>
    <w:rsid w:val="00584901"/>
    <w:rsid w:val="005D074B"/>
    <w:rsid w:val="005D71B9"/>
    <w:rsid w:val="005E32A1"/>
    <w:rsid w:val="00607D3E"/>
    <w:rsid w:val="00616C32"/>
    <w:rsid w:val="006601EF"/>
    <w:rsid w:val="00670143"/>
    <w:rsid w:val="006835DA"/>
    <w:rsid w:val="0068531C"/>
    <w:rsid w:val="0069480B"/>
    <w:rsid w:val="00696C4C"/>
    <w:rsid w:val="006A22C3"/>
    <w:rsid w:val="006A3C85"/>
    <w:rsid w:val="0070588B"/>
    <w:rsid w:val="0073606D"/>
    <w:rsid w:val="00740998"/>
    <w:rsid w:val="00762B3A"/>
    <w:rsid w:val="00771C56"/>
    <w:rsid w:val="0077765C"/>
    <w:rsid w:val="007908D1"/>
    <w:rsid w:val="007A0AA0"/>
    <w:rsid w:val="007B1007"/>
    <w:rsid w:val="007D1C05"/>
    <w:rsid w:val="0080333C"/>
    <w:rsid w:val="0086054F"/>
    <w:rsid w:val="00864872"/>
    <w:rsid w:val="00885482"/>
    <w:rsid w:val="00896EFC"/>
    <w:rsid w:val="0089781D"/>
    <w:rsid w:val="008B6F07"/>
    <w:rsid w:val="008E4AAE"/>
    <w:rsid w:val="00901236"/>
    <w:rsid w:val="009018B4"/>
    <w:rsid w:val="00907046"/>
    <w:rsid w:val="00911C6E"/>
    <w:rsid w:val="00936102"/>
    <w:rsid w:val="00940906"/>
    <w:rsid w:val="009810F0"/>
    <w:rsid w:val="009831E1"/>
    <w:rsid w:val="009A1260"/>
    <w:rsid w:val="009A6C0D"/>
    <w:rsid w:val="009B065B"/>
    <w:rsid w:val="009C1592"/>
    <w:rsid w:val="009C23E5"/>
    <w:rsid w:val="009D5CBC"/>
    <w:rsid w:val="00A409CD"/>
    <w:rsid w:val="00A4109F"/>
    <w:rsid w:val="00A717C9"/>
    <w:rsid w:val="00A915F4"/>
    <w:rsid w:val="00A97C2A"/>
    <w:rsid w:val="00AA022E"/>
    <w:rsid w:val="00AA6B20"/>
    <w:rsid w:val="00AC32D7"/>
    <w:rsid w:val="00AD49E5"/>
    <w:rsid w:val="00AE3096"/>
    <w:rsid w:val="00AE3616"/>
    <w:rsid w:val="00AF2C63"/>
    <w:rsid w:val="00AF6C28"/>
    <w:rsid w:val="00B4133E"/>
    <w:rsid w:val="00B852AC"/>
    <w:rsid w:val="00BC65E0"/>
    <w:rsid w:val="00C10440"/>
    <w:rsid w:val="00C161F8"/>
    <w:rsid w:val="00C20B33"/>
    <w:rsid w:val="00C22903"/>
    <w:rsid w:val="00C40732"/>
    <w:rsid w:val="00C409AC"/>
    <w:rsid w:val="00C53E9D"/>
    <w:rsid w:val="00C550EF"/>
    <w:rsid w:val="00C719A2"/>
    <w:rsid w:val="00C9075F"/>
    <w:rsid w:val="00C96F3B"/>
    <w:rsid w:val="00CB23B5"/>
    <w:rsid w:val="00CD0861"/>
    <w:rsid w:val="00CE6D80"/>
    <w:rsid w:val="00D25F50"/>
    <w:rsid w:val="00D54F9B"/>
    <w:rsid w:val="00D77419"/>
    <w:rsid w:val="00D8529F"/>
    <w:rsid w:val="00D86973"/>
    <w:rsid w:val="00D93B76"/>
    <w:rsid w:val="00DC096C"/>
    <w:rsid w:val="00DC551E"/>
    <w:rsid w:val="00E010AA"/>
    <w:rsid w:val="00E159F0"/>
    <w:rsid w:val="00E17201"/>
    <w:rsid w:val="00E40223"/>
    <w:rsid w:val="00E436B1"/>
    <w:rsid w:val="00E82F0F"/>
    <w:rsid w:val="00E85840"/>
    <w:rsid w:val="00EB3735"/>
    <w:rsid w:val="00ED29A3"/>
    <w:rsid w:val="00ED340F"/>
    <w:rsid w:val="00EF4D89"/>
    <w:rsid w:val="00EF7745"/>
    <w:rsid w:val="00F15984"/>
    <w:rsid w:val="00F16A6B"/>
    <w:rsid w:val="00F370D5"/>
    <w:rsid w:val="00F56FDE"/>
    <w:rsid w:val="00FA0863"/>
    <w:rsid w:val="00FA3D2C"/>
    <w:rsid w:val="00FA489C"/>
    <w:rsid w:val="00FA79E6"/>
    <w:rsid w:val="00FB367F"/>
    <w:rsid w:val="00FD17B2"/>
    <w:rsid w:val="00FD4295"/>
    <w:rsid w:val="00FD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5177B2"/>
  <w15:chartTrackingRefBased/>
  <w15:docId w15:val="{1E73B5BE-EE83-425A-82CA-CC558873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908D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7EB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7E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A2100"/>
    <w:pPr>
      <w:spacing w:after="240"/>
      <w:jc w:val="both"/>
    </w:pPr>
    <w:rPr>
      <w:rFonts w:ascii="Helvetica" w:eastAsia="Times New Roman" w:hAnsi="Helvetica" w:cs="Times New Roman"/>
      <w:sz w:val="20"/>
      <w:szCs w:val="20"/>
    </w:rPr>
  </w:style>
  <w:style w:type="character" w:customStyle="1" w:styleId="Heading2Char">
    <w:name w:val="Heading 2 Char"/>
    <w:basedOn w:val="DefaultParagraphFont"/>
    <w:link w:val="Heading2"/>
    <w:uiPriority w:val="9"/>
    <w:rsid w:val="007908D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908D1"/>
    <w:rPr>
      <w:color w:val="0000FF"/>
      <w:u w:val="single"/>
    </w:rPr>
  </w:style>
  <w:style w:type="paragraph" w:styleId="NormalWeb">
    <w:name w:val="Normal (Web)"/>
    <w:basedOn w:val="Normal"/>
    <w:uiPriority w:val="99"/>
    <w:unhideWhenUsed/>
    <w:rsid w:val="00117E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7EB1"/>
    <w:rPr>
      <w:b/>
      <w:bCs/>
    </w:rPr>
  </w:style>
  <w:style w:type="character" w:customStyle="1" w:styleId="Heading3Char">
    <w:name w:val="Heading 3 Char"/>
    <w:basedOn w:val="DefaultParagraphFont"/>
    <w:link w:val="Heading3"/>
    <w:uiPriority w:val="9"/>
    <w:semiHidden/>
    <w:rsid w:val="00117E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7EB1"/>
    <w:rPr>
      <w:rFonts w:asciiTheme="majorHAnsi" w:eastAsiaTheme="majorEastAsia" w:hAnsiTheme="majorHAnsi" w:cstheme="majorBidi"/>
      <w:i/>
      <w:iCs/>
      <w:color w:val="2F5496" w:themeColor="accent1" w:themeShade="BF"/>
    </w:rPr>
  </w:style>
  <w:style w:type="paragraph" w:customStyle="1" w:styleId="mt-0">
    <w:name w:val="mt-0"/>
    <w:basedOn w:val="Normal"/>
    <w:rsid w:val="00117EB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17EB1"/>
    <w:rPr>
      <w:i/>
      <w:iCs/>
    </w:rPr>
  </w:style>
  <w:style w:type="paragraph" w:styleId="ListParagraph">
    <w:name w:val="List Paragraph"/>
    <w:basedOn w:val="Normal"/>
    <w:uiPriority w:val="34"/>
    <w:qFormat/>
    <w:rsid w:val="00FD4E91"/>
    <w:pPr>
      <w:spacing w:line="256" w:lineRule="auto"/>
      <w:ind w:left="720"/>
      <w:contextualSpacing/>
    </w:pPr>
    <w:rPr>
      <w:rFonts w:eastAsiaTheme="minorEastAsia"/>
    </w:rPr>
  </w:style>
  <w:style w:type="paragraph" w:customStyle="1" w:styleId="muitypography-root">
    <w:name w:val="muitypography-root"/>
    <w:basedOn w:val="Normal"/>
    <w:rsid w:val="00FD4E9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18B4"/>
    <w:rPr>
      <w:color w:val="605E5C"/>
      <w:shd w:val="clear" w:color="auto" w:fill="E1DFDD"/>
    </w:rPr>
  </w:style>
  <w:style w:type="table" w:styleId="TableGrid">
    <w:name w:val="Table Grid"/>
    <w:basedOn w:val="TableNormal"/>
    <w:uiPriority w:val="39"/>
    <w:rsid w:val="00145556"/>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x5hiaf">
    <w:name w:val="css-x5hiaf"/>
    <w:basedOn w:val="DefaultParagraphFont"/>
    <w:rsid w:val="008B6F07"/>
  </w:style>
  <w:style w:type="character" w:customStyle="1" w:styleId="css-0">
    <w:name w:val="css-0"/>
    <w:basedOn w:val="DefaultParagraphFont"/>
    <w:rsid w:val="008B6F07"/>
  </w:style>
  <w:style w:type="character" w:customStyle="1" w:styleId="css-rh820s">
    <w:name w:val="css-rh820s"/>
    <w:basedOn w:val="DefaultParagraphFont"/>
    <w:rsid w:val="008B6F07"/>
  </w:style>
  <w:style w:type="character" w:customStyle="1" w:styleId="css-1eh0vfs">
    <w:name w:val="css-1eh0vfs"/>
    <w:basedOn w:val="DefaultParagraphFont"/>
    <w:rsid w:val="008B6F07"/>
  </w:style>
  <w:style w:type="character" w:customStyle="1" w:styleId="url">
    <w:name w:val="url"/>
    <w:basedOn w:val="DefaultParagraphFont"/>
    <w:rsid w:val="00C550EF"/>
  </w:style>
  <w:style w:type="character" w:customStyle="1" w:styleId="whitespace-nowrap">
    <w:name w:val="whitespace-nowrap"/>
    <w:basedOn w:val="DefaultParagraphFont"/>
    <w:rsid w:val="00771C56"/>
  </w:style>
  <w:style w:type="paragraph" w:customStyle="1" w:styleId="Author">
    <w:name w:val="Author"/>
    <w:basedOn w:val="Normal"/>
    <w:rsid w:val="00C10440"/>
    <w:pPr>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C10440"/>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896EFC"/>
    <w:pPr>
      <w:tabs>
        <w:tab w:val="center" w:pos="4680"/>
        <w:tab w:val="right" w:pos="9360"/>
      </w:tabs>
    </w:pPr>
  </w:style>
  <w:style w:type="character" w:customStyle="1" w:styleId="HeaderChar">
    <w:name w:val="Header Char"/>
    <w:basedOn w:val="DefaultParagraphFont"/>
    <w:link w:val="Header"/>
    <w:uiPriority w:val="99"/>
    <w:rsid w:val="00896EFC"/>
  </w:style>
  <w:style w:type="paragraph" w:styleId="Footer">
    <w:name w:val="footer"/>
    <w:basedOn w:val="Normal"/>
    <w:link w:val="FooterChar"/>
    <w:uiPriority w:val="99"/>
    <w:unhideWhenUsed/>
    <w:rsid w:val="00896EFC"/>
    <w:pPr>
      <w:tabs>
        <w:tab w:val="center" w:pos="4680"/>
        <w:tab w:val="right" w:pos="9360"/>
      </w:tabs>
    </w:pPr>
  </w:style>
  <w:style w:type="character" w:customStyle="1" w:styleId="FooterChar">
    <w:name w:val="Footer Char"/>
    <w:basedOn w:val="DefaultParagraphFont"/>
    <w:link w:val="Footer"/>
    <w:uiPriority w:val="99"/>
    <w:rsid w:val="00896EFC"/>
  </w:style>
  <w:style w:type="character" w:customStyle="1" w:styleId="mord">
    <w:name w:val="mord"/>
    <w:basedOn w:val="DefaultParagraphFont"/>
    <w:rsid w:val="00B852AC"/>
  </w:style>
  <w:style w:type="character" w:customStyle="1" w:styleId="mrel">
    <w:name w:val="mrel"/>
    <w:basedOn w:val="DefaultParagraphFont"/>
    <w:rsid w:val="00B852AC"/>
  </w:style>
  <w:style w:type="character" w:customStyle="1" w:styleId="mbin">
    <w:name w:val="mbin"/>
    <w:basedOn w:val="DefaultParagraphFont"/>
    <w:rsid w:val="00B852AC"/>
  </w:style>
  <w:style w:type="character" w:customStyle="1" w:styleId="vlist-s">
    <w:name w:val="vlist-s"/>
    <w:basedOn w:val="DefaultParagraphFont"/>
    <w:rsid w:val="00B852AC"/>
  </w:style>
  <w:style w:type="character" w:customStyle="1" w:styleId="mopen">
    <w:name w:val="mopen"/>
    <w:basedOn w:val="DefaultParagraphFont"/>
    <w:rsid w:val="00B852AC"/>
  </w:style>
  <w:style w:type="character" w:customStyle="1" w:styleId="delimsizing">
    <w:name w:val="delimsizing"/>
    <w:basedOn w:val="DefaultParagraphFont"/>
    <w:rsid w:val="00B852AC"/>
  </w:style>
  <w:style w:type="character" w:customStyle="1" w:styleId="mclose">
    <w:name w:val="mclose"/>
    <w:basedOn w:val="DefaultParagraphFont"/>
    <w:rsid w:val="00B852AC"/>
  </w:style>
  <w:style w:type="paragraph" w:styleId="BalloonText">
    <w:name w:val="Balloon Text"/>
    <w:basedOn w:val="Normal"/>
    <w:link w:val="BalloonTextChar"/>
    <w:uiPriority w:val="99"/>
    <w:semiHidden/>
    <w:unhideWhenUsed/>
    <w:rsid w:val="000565D4"/>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0565D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30730">
      <w:bodyDiv w:val="1"/>
      <w:marLeft w:val="0"/>
      <w:marRight w:val="0"/>
      <w:marTop w:val="0"/>
      <w:marBottom w:val="0"/>
      <w:divBdr>
        <w:top w:val="none" w:sz="0" w:space="0" w:color="auto"/>
        <w:left w:val="none" w:sz="0" w:space="0" w:color="auto"/>
        <w:bottom w:val="none" w:sz="0" w:space="0" w:color="auto"/>
        <w:right w:val="none" w:sz="0" w:space="0" w:color="auto"/>
      </w:divBdr>
    </w:div>
    <w:div w:id="114831894">
      <w:bodyDiv w:val="1"/>
      <w:marLeft w:val="0"/>
      <w:marRight w:val="0"/>
      <w:marTop w:val="0"/>
      <w:marBottom w:val="0"/>
      <w:divBdr>
        <w:top w:val="none" w:sz="0" w:space="0" w:color="auto"/>
        <w:left w:val="none" w:sz="0" w:space="0" w:color="auto"/>
        <w:bottom w:val="none" w:sz="0" w:space="0" w:color="auto"/>
        <w:right w:val="none" w:sz="0" w:space="0" w:color="auto"/>
      </w:divBdr>
    </w:div>
    <w:div w:id="122432015">
      <w:bodyDiv w:val="1"/>
      <w:marLeft w:val="0"/>
      <w:marRight w:val="0"/>
      <w:marTop w:val="0"/>
      <w:marBottom w:val="0"/>
      <w:divBdr>
        <w:top w:val="none" w:sz="0" w:space="0" w:color="auto"/>
        <w:left w:val="none" w:sz="0" w:space="0" w:color="auto"/>
        <w:bottom w:val="none" w:sz="0" w:space="0" w:color="auto"/>
        <w:right w:val="none" w:sz="0" w:space="0" w:color="auto"/>
      </w:divBdr>
    </w:div>
    <w:div w:id="200217558">
      <w:bodyDiv w:val="1"/>
      <w:marLeft w:val="0"/>
      <w:marRight w:val="0"/>
      <w:marTop w:val="0"/>
      <w:marBottom w:val="0"/>
      <w:divBdr>
        <w:top w:val="none" w:sz="0" w:space="0" w:color="auto"/>
        <w:left w:val="none" w:sz="0" w:space="0" w:color="auto"/>
        <w:bottom w:val="none" w:sz="0" w:space="0" w:color="auto"/>
        <w:right w:val="none" w:sz="0" w:space="0" w:color="auto"/>
      </w:divBdr>
    </w:div>
    <w:div w:id="219023901">
      <w:bodyDiv w:val="1"/>
      <w:marLeft w:val="0"/>
      <w:marRight w:val="0"/>
      <w:marTop w:val="0"/>
      <w:marBottom w:val="0"/>
      <w:divBdr>
        <w:top w:val="none" w:sz="0" w:space="0" w:color="auto"/>
        <w:left w:val="none" w:sz="0" w:space="0" w:color="auto"/>
        <w:bottom w:val="none" w:sz="0" w:space="0" w:color="auto"/>
        <w:right w:val="none" w:sz="0" w:space="0" w:color="auto"/>
      </w:divBdr>
    </w:div>
    <w:div w:id="233975064">
      <w:bodyDiv w:val="1"/>
      <w:marLeft w:val="0"/>
      <w:marRight w:val="0"/>
      <w:marTop w:val="0"/>
      <w:marBottom w:val="0"/>
      <w:divBdr>
        <w:top w:val="none" w:sz="0" w:space="0" w:color="auto"/>
        <w:left w:val="none" w:sz="0" w:space="0" w:color="auto"/>
        <w:bottom w:val="none" w:sz="0" w:space="0" w:color="auto"/>
        <w:right w:val="none" w:sz="0" w:space="0" w:color="auto"/>
      </w:divBdr>
    </w:div>
    <w:div w:id="292102016">
      <w:bodyDiv w:val="1"/>
      <w:marLeft w:val="0"/>
      <w:marRight w:val="0"/>
      <w:marTop w:val="0"/>
      <w:marBottom w:val="0"/>
      <w:divBdr>
        <w:top w:val="none" w:sz="0" w:space="0" w:color="auto"/>
        <w:left w:val="none" w:sz="0" w:space="0" w:color="auto"/>
        <w:bottom w:val="none" w:sz="0" w:space="0" w:color="auto"/>
        <w:right w:val="none" w:sz="0" w:space="0" w:color="auto"/>
      </w:divBdr>
    </w:div>
    <w:div w:id="300110373">
      <w:bodyDiv w:val="1"/>
      <w:marLeft w:val="0"/>
      <w:marRight w:val="0"/>
      <w:marTop w:val="0"/>
      <w:marBottom w:val="0"/>
      <w:divBdr>
        <w:top w:val="none" w:sz="0" w:space="0" w:color="auto"/>
        <w:left w:val="none" w:sz="0" w:space="0" w:color="auto"/>
        <w:bottom w:val="none" w:sz="0" w:space="0" w:color="auto"/>
        <w:right w:val="none" w:sz="0" w:space="0" w:color="auto"/>
      </w:divBdr>
    </w:div>
    <w:div w:id="387539160">
      <w:bodyDiv w:val="1"/>
      <w:marLeft w:val="0"/>
      <w:marRight w:val="0"/>
      <w:marTop w:val="0"/>
      <w:marBottom w:val="0"/>
      <w:divBdr>
        <w:top w:val="none" w:sz="0" w:space="0" w:color="auto"/>
        <w:left w:val="none" w:sz="0" w:space="0" w:color="auto"/>
        <w:bottom w:val="none" w:sz="0" w:space="0" w:color="auto"/>
        <w:right w:val="none" w:sz="0" w:space="0" w:color="auto"/>
      </w:divBdr>
    </w:div>
    <w:div w:id="422921813">
      <w:bodyDiv w:val="1"/>
      <w:marLeft w:val="0"/>
      <w:marRight w:val="0"/>
      <w:marTop w:val="0"/>
      <w:marBottom w:val="0"/>
      <w:divBdr>
        <w:top w:val="none" w:sz="0" w:space="0" w:color="auto"/>
        <w:left w:val="none" w:sz="0" w:space="0" w:color="auto"/>
        <w:bottom w:val="none" w:sz="0" w:space="0" w:color="auto"/>
        <w:right w:val="none" w:sz="0" w:space="0" w:color="auto"/>
      </w:divBdr>
    </w:div>
    <w:div w:id="435636469">
      <w:bodyDiv w:val="1"/>
      <w:marLeft w:val="0"/>
      <w:marRight w:val="0"/>
      <w:marTop w:val="0"/>
      <w:marBottom w:val="0"/>
      <w:divBdr>
        <w:top w:val="none" w:sz="0" w:space="0" w:color="auto"/>
        <w:left w:val="none" w:sz="0" w:space="0" w:color="auto"/>
        <w:bottom w:val="none" w:sz="0" w:space="0" w:color="auto"/>
        <w:right w:val="none" w:sz="0" w:space="0" w:color="auto"/>
      </w:divBdr>
    </w:div>
    <w:div w:id="436371313">
      <w:bodyDiv w:val="1"/>
      <w:marLeft w:val="0"/>
      <w:marRight w:val="0"/>
      <w:marTop w:val="0"/>
      <w:marBottom w:val="0"/>
      <w:divBdr>
        <w:top w:val="none" w:sz="0" w:space="0" w:color="auto"/>
        <w:left w:val="none" w:sz="0" w:space="0" w:color="auto"/>
        <w:bottom w:val="none" w:sz="0" w:space="0" w:color="auto"/>
        <w:right w:val="none" w:sz="0" w:space="0" w:color="auto"/>
      </w:divBdr>
    </w:div>
    <w:div w:id="552891689">
      <w:bodyDiv w:val="1"/>
      <w:marLeft w:val="0"/>
      <w:marRight w:val="0"/>
      <w:marTop w:val="0"/>
      <w:marBottom w:val="0"/>
      <w:divBdr>
        <w:top w:val="none" w:sz="0" w:space="0" w:color="auto"/>
        <w:left w:val="none" w:sz="0" w:space="0" w:color="auto"/>
        <w:bottom w:val="none" w:sz="0" w:space="0" w:color="auto"/>
        <w:right w:val="none" w:sz="0" w:space="0" w:color="auto"/>
      </w:divBdr>
    </w:div>
    <w:div w:id="556284634">
      <w:bodyDiv w:val="1"/>
      <w:marLeft w:val="0"/>
      <w:marRight w:val="0"/>
      <w:marTop w:val="0"/>
      <w:marBottom w:val="0"/>
      <w:divBdr>
        <w:top w:val="none" w:sz="0" w:space="0" w:color="auto"/>
        <w:left w:val="none" w:sz="0" w:space="0" w:color="auto"/>
        <w:bottom w:val="none" w:sz="0" w:space="0" w:color="auto"/>
        <w:right w:val="none" w:sz="0" w:space="0" w:color="auto"/>
      </w:divBdr>
    </w:div>
    <w:div w:id="56807517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sChild>
        <w:div w:id="1400520452">
          <w:marLeft w:val="0"/>
          <w:marRight w:val="0"/>
          <w:marTop w:val="0"/>
          <w:marBottom w:val="0"/>
          <w:divBdr>
            <w:top w:val="none" w:sz="0" w:space="0" w:color="auto"/>
            <w:left w:val="none" w:sz="0" w:space="0" w:color="auto"/>
            <w:bottom w:val="none" w:sz="0" w:space="0" w:color="auto"/>
            <w:right w:val="none" w:sz="0" w:space="0" w:color="auto"/>
          </w:divBdr>
        </w:div>
        <w:div w:id="130364302">
          <w:marLeft w:val="0"/>
          <w:marRight w:val="0"/>
          <w:marTop w:val="0"/>
          <w:marBottom w:val="0"/>
          <w:divBdr>
            <w:top w:val="none" w:sz="0" w:space="0" w:color="auto"/>
            <w:left w:val="none" w:sz="0" w:space="0" w:color="auto"/>
            <w:bottom w:val="none" w:sz="0" w:space="0" w:color="auto"/>
            <w:right w:val="none" w:sz="0" w:space="0" w:color="auto"/>
          </w:divBdr>
        </w:div>
        <w:div w:id="1653101377">
          <w:marLeft w:val="0"/>
          <w:marRight w:val="0"/>
          <w:marTop w:val="0"/>
          <w:marBottom w:val="0"/>
          <w:divBdr>
            <w:top w:val="none" w:sz="0" w:space="0" w:color="auto"/>
            <w:left w:val="none" w:sz="0" w:space="0" w:color="auto"/>
            <w:bottom w:val="none" w:sz="0" w:space="0" w:color="auto"/>
            <w:right w:val="none" w:sz="0" w:space="0" w:color="auto"/>
          </w:divBdr>
        </w:div>
        <w:div w:id="292298618">
          <w:marLeft w:val="0"/>
          <w:marRight w:val="0"/>
          <w:marTop w:val="0"/>
          <w:marBottom w:val="0"/>
          <w:divBdr>
            <w:top w:val="none" w:sz="0" w:space="0" w:color="auto"/>
            <w:left w:val="none" w:sz="0" w:space="0" w:color="auto"/>
            <w:bottom w:val="none" w:sz="0" w:space="0" w:color="auto"/>
            <w:right w:val="none" w:sz="0" w:space="0" w:color="auto"/>
          </w:divBdr>
        </w:div>
        <w:div w:id="759524886">
          <w:marLeft w:val="0"/>
          <w:marRight w:val="0"/>
          <w:marTop w:val="0"/>
          <w:marBottom w:val="0"/>
          <w:divBdr>
            <w:top w:val="none" w:sz="0" w:space="0" w:color="auto"/>
            <w:left w:val="none" w:sz="0" w:space="0" w:color="auto"/>
            <w:bottom w:val="none" w:sz="0" w:space="0" w:color="auto"/>
            <w:right w:val="none" w:sz="0" w:space="0" w:color="auto"/>
          </w:divBdr>
        </w:div>
        <w:div w:id="1838878775">
          <w:marLeft w:val="0"/>
          <w:marRight w:val="0"/>
          <w:marTop w:val="0"/>
          <w:marBottom w:val="0"/>
          <w:divBdr>
            <w:top w:val="none" w:sz="0" w:space="0" w:color="auto"/>
            <w:left w:val="none" w:sz="0" w:space="0" w:color="auto"/>
            <w:bottom w:val="none" w:sz="0" w:space="0" w:color="auto"/>
            <w:right w:val="none" w:sz="0" w:space="0" w:color="auto"/>
          </w:divBdr>
        </w:div>
        <w:div w:id="765465296">
          <w:marLeft w:val="0"/>
          <w:marRight w:val="0"/>
          <w:marTop w:val="0"/>
          <w:marBottom w:val="0"/>
          <w:divBdr>
            <w:top w:val="none" w:sz="0" w:space="0" w:color="auto"/>
            <w:left w:val="none" w:sz="0" w:space="0" w:color="auto"/>
            <w:bottom w:val="none" w:sz="0" w:space="0" w:color="auto"/>
            <w:right w:val="none" w:sz="0" w:space="0" w:color="auto"/>
          </w:divBdr>
        </w:div>
        <w:div w:id="994651614">
          <w:marLeft w:val="0"/>
          <w:marRight w:val="0"/>
          <w:marTop w:val="0"/>
          <w:marBottom w:val="0"/>
          <w:divBdr>
            <w:top w:val="none" w:sz="0" w:space="0" w:color="auto"/>
            <w:left w:val="none" w:sz="0" w:space="0" w:color="auto"/>
            <w:bottom w:val="none" w:sz="0" w:space="0" w:color="auto"/>
            <w:right w:val="none" w:sz="0" w:space="0" w:color="auto"/>
          </w:divBdr>
        </w:div>
        <w:div w:id="1105270844">
          <w:marLeft w:val="0"/>
          <w:marRight w:val="0"/>
          <w:marTop w:val="0"/>
          <w:marBottom w:val="0"/>
          <w:divBdr>
            <w:top w:val="none" w:sz="0" w:space="0" w:color="auto"/>
            <w:left w:val="none" w:sz="0" w:space="0" w:color="auto"/>
            <w:bottom w:val="none" w:sz="0" w:space="0" w:color="auto"/>
            <w:right w:val="none" w:sz="0" w:space="0" w:color="auto"/>
          </w:divBdr>
        </w:div>
        <w:div w:id="1005132306">
          <w:marLeft w:val="0"/>
          <w:marRight w:val="0"/>
          <w:marTop w:val="0"/>
          <w:marBottom w:val="0"/>
          <w:divBdr>
            <w:top w:val="none" w:sz="0" w:space="0" w:color="auto"/>
            <w:left w:val="none" w:sz="0" w:space="0" w:color="auto"/>
            <w:bottom w:val="none" w:sz="0" w:space="0" w:color="auto"/>
            <w:right w:val="none" w:sz="0" w:space="0" w:color="auto"/>
          </w:divBdr>
        </w:div>
      </w:divsChild>
    </w:div>
    <w:div w:id="585386630">
      <w:bodyDiv w:val="1"/>
      <w:marLeft w:val="0"/>
      <w:marRight w:val="0"/>
      <w:marTop w:val="0"/>
      <w:marBottom w:val="0"/>
      <w:divBdr>
        <w:top w:val="none" w:sz="0" w:space="0" w:color="auto"/>
        <w:left w:val="none" w:sz="0" w:space="0" w:color="auto"/>
        <w:bottom w:val="none" w:sz="0" w:space="0" w:color="auto"/>
        <w:right w:val="none" w:sz="0" w:space="0" w:color="auto"/>
      </w:divBdr>
    </w:div>
    <w:div w:id="616449482">
      <w:bodyDiv w:val="1"/>
      <w:marLeft w:val="0"/>
      <w:marRight w:val="0"/>
      <w:marTop w:val="0"/>
      <w:marBottom w:val="0"/>
      <w:divBdr>
        <w:top w:val="none" w:sz="0" w:space="0" w:color="auto"/>
        <w:left w:val="none" w:sz="0" w:space="0" w:color="auto"/>
        <w:bottom w:val="none" w:sz="0" w:space="0" w:color="auto"/>
        <w:right w:val="none" w:sz="0" w:space="0" w:color="auto"/>
      </w:divBdr>
    </w:div>
    <w:div w:id="631863298">
      <w:bodyDiv w:val="1"/>
      <w:marLeft w:val="0"/>
      <w:marRight w:val="0"/>
      <w:marTop w:val="0"/>
      <w:marBottom w:val="0"/>
      <w:divBdr>
        <w:top w:val="none" w:sz="0" w:space="0" w:color="auto"/>
        <w:left w:val="none" w:sz="0" w:space="0" w:color="auto"/>
        <w:bottom w:val="none" w:sz="0" w:space="0" w:color="auto"/>
        <w:right w:val="none" w:sz="0" w:space="0" w:color="auto"/>
      </w:divBdr>
    </w:div>
    <w:div w:id="660428432">
      <w:bodyDiv w:val="1"/>
      <w:marLeft w:val="0"/>
      <w:marRight w:val="0"/>
      <w:marTop w:val="0"/>
      <w:marBottom w:val="0"/>
      <w:divBdr>
        <w:top w:val="none" w:sz="0" w:space="0" w:color="auto"/>
        <w:left w:val="none" w:sz="0" w:space="0" w:color="auto"/>
        <w:bottom w:val="none" w:sz="0" w:space="0" w:color="auto"/>
        <w:right w:val="none" w:sz="0" w:space="0" w:color="auto"/>
      </w:divBdr>
      <w:divsChild>
        <w:div w:id="68772668">
          <w:marLeft w:val="0"/>
          <w:marRight w:val="0"/>
          <w:marTop w:val="0"/>
          <w:marBottom w:val="0"/>
          <w:divBdr>
            <w:top w:val="none" w:sz="0" w:space="0" w:color="auto"/>
            <w:left w:val="none" w:sz="0" w:space="0" w:color="auto"/>
            <w:bottom w:val="none" w:sz="0" w:space="0" w:color="auto"/>
            <w:right w:val="none" w:sz="0" w:space="0" w:color="auto"/>
          </w:divBdr>
          <w:divsChild>
            <w:div w:id="2084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8606">
      <w:bodyDiv w:val="1"/>
      <w:marLeft w:val="0"/>
      <w:marRight w:val="0"/>
      <w:marTop w:val="0"/>
      <w:marBottom w:val="0"/>
      <w:divBdr>
        <w:top w:val="none" w:sz="0" w:space="0" w:color="auto"/>
        <w:left w:val="none" w:sz="0" w:space="0" w:color="auto"/>
        <w:bottom w:val="none" w:sz="0" w:space="0" w:color="auto"/>
        <w:right w:val="none" w:sz="0" w:space="0" w:color="auto"/>
      </w:divBdr>
    </w:div>
    <w:div w:id="718435304">
      <w:bodyDiv w:val="1"/>
      <w:marLeft w:val="0"/>
      <w:marRight w:val="0"/>
      <w:marTop w:val="0"/>
      <w:marBottom w:val="0"/>
      <w:divBdr>
        <w:top w:val="none" w:sz="0" w:space="0" w:color="auto"/>
        <w:left w:val="none" w:sz="0" w:space="0" w:color="auto"/>
        <w:bottom w:val="none" w:sz="0" w:space="0" w:color="auto"/>
        <w:right w:val="none" w:sz="0" w:space="0" w:color="auto"/>
      </w:divBdr>
      <w:divsChild>
        <w:div w:id="108356713">
          <w:marLeft w:val="0"/>
          <w:marRight w:val="0"/>
          <w:marTop w:val="0"/>
          <w:marBottom w:val="0"/>
          <w:divBdr>
            <w:top w:val="none" w:sz="0" w:space="0" w:color="auto"/>
            <w:left w:val="none" w:sz="0" w:space="0" w:color="auto"/>
            <w:bottom w:val="none" w:sz="0" w:space="0" w:color="auto"/>
            <w:right w:val="none" w:sz="0" w:space="0" w:color="auto"/>
          </w:divBdr>
        </w:div>
        <w:div w:id="1083456335">
          <w:marLeft w:val="0"/>
          <w:marRight w:val="0"/>
          <w:marTop w:val="0"/>
          <w:marBottom w:val="0"/>
          <w:divBdr>
            <w:top w:val="none" w:sz="0" w:space="0" w:color="auto"/>
            <w:left w:val="none" w:sz="0" w:space="0" w:color="auto"/>
            <w:bottom w:val="none" w:sz="0" w:space="0" w:color="auto"/>
            <w:right w:val="none" w:sz="0" w:space="0" w:color="auto"/>
          </w:divBdr>
        </w:div>
        <w:div w:id="1623612554">
          <w:marLeft w:val="0"/>
          <w:marRight w:val="0"/>
          <w:marTop w:val="0"/>
          <w:marBottom w:val="0"/>
          <w:divBdr>
            <w:top w:val="none" w:sz="0" w:space="0" w:color="auto"/>
            <w:left w:val="none" w:sz="0" w:space="0" w:color="auto"/>
            <w:bottom w:val="none" w:sz="0" w:space="0" w:color="auto"/>
            <w:right w:val="none" w:sz="0" w:space="0" w:color="auto"/>
          </w:divBdr>
        </w:div>
        <w:div w:id="1196120578">
          <w:marLeft w:val="0"/>
          <w:marRight w:val="0"/>
          <w:marTop w:val="0"/>
          <w:marBottom w:val="0"/>
          <w:divBdr>
            <w:top w:val="none" w:sz="0" w:space="0" w:color="auto"/>
            <w:left w:val="none" w:sz="0" w:space="0" w:color="auto"/>
            <w:bottom w:val="none" w:sz="0" w:space="0" w:color="auto"/>
            <w:right w:val="none" w:sz="0" w:space="0" w:color="auto"/>
          </w:divBdr>
        </w:div>
      </w:divsChild>
    </w:div>
    <w:div w:id="735707393">
      <w:bodyDiv w:val="1"/>
      <w:marLeft w:val="0"/>
      <w:marRight w:val="0"/>
      <w:marTop w:val="0"/>
      <w:marBottom w:val="0"/>
      <w:divBdr>
        <w:top w:val="none" w:sz="0" w:space="0" w:color="auto"/>
        <w:left w:val="none" w:sz="0" w:space="0" w:color="auto"/>
        <w:bottom w:val="none" w:sz="0" w:space="0" w:color="auto"/>
        <w:right w:val="none" w:sz="0" w:space="0" w:color="auto"/>
      </w:divBdr>
    </w:div>
    <w:div w:id="750734362">
      <w:bodyDiv w:val="1"/>
      <w:marLeft w:val="0"/>
      <w:marRight w:val="0"/>
      <w:marTop w:val="0"/>
      <w:marBottom w:val="0"/>
      <w:divBdr>
        <w:top w:val="none" w:sz="0" w:space="0" w:color="auto"/>
        <w:left w:val="none" w:sz="0" w:space="0" w:color="auto"/>
        <w:bottom w:val="none" w:sz="0" w:space="0" w:color="auto"/>
        <w:right w:val="none" w:sz="0" w:space="0" w:color="auto"/>
      </w:divBdr>
      <w:divsChild>
        <w:div w:id="1037119210">
          <w:marLeft w:val="-225"/>
          <w:marRight w:val="-225"/>
          <w:marTop w:val="0"/>
          <w:marBottom w:val="0"/>
          <w:divBdr>
            <w:top w:val="none" w:sz="0" w:space="0" w:color="auto"/>
            <w:left w:val="none" w:sz="0" w:space="0" w:color="auto"/>
            <w:bottom w:val="none" w:sz="0" w:space="0" w:color="auto"/>
            <w:right w:val="none" w:sz="0" w:space="0" w:color="auto"/>
          </w:divBdr>
          <w:divsChild>
            <w:div w:id="20933978">
              <w:marLeft w:val="0"/>
              <w:marRight w:val="0"/>
              <w:marTop w:val="0"/>
              <w:marBottom w:val="0"/>
              <w:divBdr>
                <w:top w:val="none" w:sz="0" w:space="0" w:color="auto"/>
                <w:left w:val="none" w:sz="0" w:space="0" w:color="auto"/>
                <w:bottom w:val="none" w:sz="0" w:space="0" w:color="auto"/>
                <w:right w:val="none" w:sz="0" w:space="0" w:color="auto"/>
              </w:divBdr>
              <w:divsChild>
                <w:div w:id="1440224068">
                  <w:marLeft w:val="0"/>
                  <w:marRight w:val="0"/>
                  <w:marTop w:val="0"/>
                  <w:marBottom w:val="0"/>
                  <w:divBdr>
                    <w:top w:val="none" w:sz="0" w:space="0" w:color="auto"/>
                    <w:left w:val="none" w:sz="0" w:space="0" w:color="auto"/>
                    <w:bottom w:val="none" w:sz="0" w:space="0" w:color="auto"/>
                    <w:right w:val="none" w:sz="0" w:space="0" w:color="auto"/>
                  </w:divBdr>
                </w:div>
                <w:div w:id="5479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4321">
          <w:marLeft w:val="-225"/>
          <w:marRight w:val="-225"/>
          <w:marTop w:val="0"/>
          <w:marBottom w:val="0"/>
          <w:divBdr>
            <w:top w:val="none" w:sz="0" w:space="0" w:color="auto"/>
            <w:left w:val="none" w:sz="0" w:space="0" w:color="auto"/>
            <w:bottom w:val="none" w:sz="0" w:space="0" w:color="auto"/>
            <w:right w:val="none" w:sz="0" w:space="0" w:color="auto"/>
          </w:divBdr>
          <w:divsChild>
            <w:div w:id="156655072">
              <w:marLeft w:val="0"/>
              <w:marRight w:val="0"/>
              <w:marTop w:val="0"/>
              <w:marBottom w:val="0"/>
              <w:divBdr>
                <w:top w:val="none" w:sz="0" w:space="0" w:color="auto"/>
                <w:left w:val="none" w:sz="0" w:space="0" w:color="auto"/>
                <w:bottom w:val="none" w:sz="0" w:space="0" w:color="auto"/>
                <w:right w:val="none" w:sz="0" w:space="0" w:color="auto"/>
              </w:divBdr>
              <w:divsChild>
                <w:div w:id="1632635525">
                  <w:marLeft w:val="0"/>
                  <w:marRight w:val="0"/>
                  <w:marTop w:val="0"/>
                  <w:marBottom w:val="0"/>
                  <w:divBdr>
                    <w:top w:val="none" w:sz="0" w:space="0" w:color="auto"/>
                    <w:left w:val="none" w:sz="0" w:space="0" w:color="auto"/>
                    <w:bottom w:val="none" w:sz="0" w:space="0" w:color="auto"/>
                    <w:right w:val="none" w:sz="0" w:space="0" w:color="auto"/>
                  </w:divBdr>
                </w:div>
                <w:div w:id="727654149">
                  <w:marLeft w:val="0"/>
                  <w:marRight w:val="0"/>
                  <w:marTop w:val="0"/>
                  <w:marBottom w:val="0"/>
                  <w:divBdr>
                    <w:top w:val="none" w:sz="0" w:space="0" w:color="auto"/>
                    <w:left w:val="none" w:sz="0" w:space="0" w:color="auto"/>
                    <w:bottom w:val="none" w:sz="0" w:space="0" w:color="auto"/>
                    <w:right w:val="none" w:sz="0" w:space="0" w:color="auto"/>
                  </w:divBdr>
                </w:div>
                <w:div w:id="4635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612">
      <w:bodyDiv w:val="1"/>
      <w:marLeft w:val="0"/>
      <w:marRight w:val="0"/>
      <w:marTop w:val="0"/>
      <w:marBottom w:val="0"/>
      <w:divBdr>
        <w:top w:val="none" w:sz="0" w:space="0" w:color="auto"/>
        <w:left w:val="none" w:sz="0" w:space="0" w:color="auto"/>
        <w:bottom w:val="none" w:sz="0" w:space="0" w:color="auto"/>
        <w:right w:val="none" w:sz="0" w:space="0" w:color="auto"/>
      </w:divBdr>
    </w:div>
    <w:div w:id="842357673">
      <w:bodyDiv w:val="1"/>
      <w:marLeft w:val="0"/>
      <w:marRight w:val="0"/>
      <w:marTop w:val="0"/>
      <w:marBottom w:val="0"/>
      <w:divBdr>
        <w:top w:val="none" w:sz="0" w:space="0" w:color="auto"/>
        <w:left w:val="none" w:sz="0" w:space="0" w:color="auto"/>
        <w:bottom w:val="none" w:sz="0" w:space="0" w:color="auto"/>
        <w:right w:val="none" w:sz="0" w:space="0" w:color="auto"/>
      </w:divBdr>
    </w:div>
    <w:div w:id="884296178">
      <w:bodyDiv w:val="1"/>
      <w:marLeft w:val="0"/>
      <w:marRight w:val="0"/>
      <w:marTop w:val="0"/>
      <w:marBottom w:val="0"/>
      <w:divBdr>
        <w:top w:val="none" w:sz="0" w:space="0" w:color="auto"/>
        <w:left w:val="none" w:sz="0" w:space="0" w:color="auto"/>
        <w:bottom w:val="none" w:sz="0" w:space="0" w:color="auto"/>
        <w:right w:val="none" w:sz="0" w:space="0" w:color="auto"/>
      </w:divBdr>
    </w:div>
    <w:div w:id="884760819">
      <w:bodyDiv w:val="1"/>
      <w:marLeft w:val="0"/>
      <w:marRight w:val="0"/>
      <w:marTop w:val="0"/>
      <w:marBottom w:val="0"/>
      <w:divBdr>
        <w:top w:val="none" w:sz="0" w:space="0" w:color="auto"/>
        <w:left w:val="none" w:sz="0" w:space="0" w:color="auto"/>
        <w:bottom w:val="none" w:sz="0" w:space="0" w:color="auto"/>
        <w:right w:val="none" w:sz="0" w:space="0" w:color="auto"/>
      </w:divBdr>
    </w:div>
    <w:div w:id="1079404064">
      <w:bodyDiv w:val="1"/>
      <w:marLeft w:val="0"/>
      <w:marRight w:val="0"/>
      <w:marTop w:val="0"/>
      <w:marBottom w:val="0"/>
      <w:divBdr>
        <w:top w:val="none" w:sz="0" w:space="0" w:color="auto"/>
        <w:left w:val="none" w:sz="0" w:space="0" w:color="auto"/>
        <w:bottom w:val="none" w:sz="0" w:space="0" w:color="auto"/>
        <w:right w:val="none" w:sz="0" w:space="0" w:color="auto"/>
      </w:divBdr>
    </w:div>
    <w:div w:id="1099059717">
      <w:bodyDiv w:val="1"/>
      <w:marLeft w:val="0"/>
      <w:marRight w:val="0"/>
      <w:marTop w:val="0"/>
      <w:marBottom w:val="0"/>
      <w:divBdr>
        <w:top w:val="none" w:sz="0" w:space="0" w:color="auto"/>
        <w:left w:val="none" w:sz="0" w:space="0" w:color="auto"/>
        <w:bottom w:val="none" w:sz="0" w:space="0" w:color="auto"/>
        <w:right w:val="none" w:sz="0" w:space="0" w:color="auto"/>
      </w:divBdr>
    </w:div>
    <w:div w:id="1159232739">
      <w:bodyDiv w:val="1"/>
      <w:marLeft w:val="0"/>
      <w:marRight w:val="0"/>
      <w:marTop w:val="0"/>
      <w:marBottom w:val="0"/>
      <w:divBdr>
        <w:top w:val="none" w:sz="0" w:space="0" w:color="auto"/>
        <w:left w:val="none" w:sz="0" w:space="0" w:color="auto"/>
        <w:bottom w:val="none" w:sz="0" w:space="0" w:color="auto"/>
        <w:right w:val="none" w:sz="0" w:space="0" w:color="auto"/>
      </w:divBdr>
    </w:div>
    <w:div w:id="1201893116">
      <w:bodyDiv w:val="1"/>
      <w:marLeft w:val="0"/>
      <w:marRight w:val="0"/>
      <w:marTop w:val="0"/>
      <w:marBottom w:val="0"/>
      <w:divBdr>
        <w:top w:val="none" w:sz="0" w:space="0" w:color="auto"/>
        <w:left w:val="none" w:sz="0" w:space="0" w:color="auto"/>
        <w:bottom w:val="none" w:sz="0" w:space="0" w:color="auto"/>
        <w:right w:val="none" w:sz="0" w:space="0" w:color="auto"/>
      </w:divBdr>
    </w:div>
    <w:div w:id="1278293879">
      <w:bodyDiv w:val="1"/>
      <w:marLeft w:val="0"/>
      <w:marRight w:val="0"/>
      <w:marTop w:val="0"/>
      <w:marBottom w:val="0"/>
      <w:divBdr>
        <w:top w:val="none" w:sz="0" w:space="0" w:color="auto"/>
        <w:left w:val="none" w:sz="0" w:space="0" w:color="auto"/>
        <w:bottom w:val="none" w:sz="0" w:space="0" w:color="auto"/>
        <w:right w:val="none" w:sz="0" w:space="0" w:color="auto"/>
      </w:divBdr>
    </w:div>
    <w:div w:id="1401831790">
      <w:bodyDiv w:val="1"/>
      <w:marLeft w:val="0"/>
      <w:marRight w:val="0"/>
      <w:marTop w:val="0"/>
      <w:marBottom w:val="0"/>
      <w:divBdr>
        <w:top w:val="none" w:sz="0" w:space="0" w:color="auto"/>
        <w:left w:val="none" w:sz="0" w:space="0" w:color="auto"/>
        <w:bottom w:val="none" w:sz="0" w:space="0" w:color="auto"/>
        <w:right w:val="none" w:sz="0" w:space="0" w:color="auto"/>
      </w:divBdr>
    </w:div>
    <w:div w:id="1455562444">
      <w:bodyDiv w:val="1"/>
      <w:marLeft w:val="0"/>
      <w:marRight w:val="0"/>
      <w:marTop w:val="0"/>
      <w:marBottom w:val="0"/>
      <w:divBdr>
        <w:top w:val="none" w:sz="0" w:space="0" w:color="auto"/>
        <w:left w:val="none" w:sz="0" w:space="0" w:color="auto"/>
        <w:bottom w:val="none" w:sz="0" w:space="0" w:color="auto"/>
        <w:right w:val="none" w:sz="0" w:space="0" w:color="auto"/>
      </w:divBdr>
    </w:div>
    <w:div w:id="1478111727">
      <w:bodyDiv w:val="1"/>
      <w:marLeft w:val="0"/>
      <w:marRight w:val="0"/>
      <w:marTop w:val="0"/>
      <w:marBottom w:val="0"/>
      <w:divBdr>
        <w:top w:val="none" w:sz="0" w:space="0" w:color="auto"/>
        <w:left w:val="none" w:sz="0" w:space="0" w:color="auto"/>
        <w:bottom w:val="none" w:sz="0" w:space="0" w:color="auto"/>
        <w:right w:val="none" w:sz="0" w:space="0" w:color="auto"/>
      </w:divBdr>
      <w:divsChild>
        <w:div w:id="1879968105">
          <w:marLeft w:val="0"/>
          <w:marRight w:val="0"/>
          <w:marTop w:val="0"/>
          <w:marBottom w:val="0"/>
          <w:divBdr>
            <w:top w:val="none" w:sz="0" w:space="0" w:color="auto"/>
            <w:left w:val="none" w:sz="0" w:space="0" w:color="auto"/>
            <w:bottom w:val="none" w:sz="0" w:space="0" w:color="auto"/>
            <w:right w:val="none" w:sz="0" w:space="0" w:color="auto"/>
          </w:divBdr>
        </w:div>
        <w:div w:id="245463271">
          <w:marLeft w:val="0"/>
          <w:marRight w:val="0"/>
          <w:marTop w:val="0"/>
          <w:marBottom w:val="0"/>
          <w:divBdr>
            <w:top w:val="none" w:sz="0" w:space="0" w:color="auto"/>
            <w:left w:val="none" w:sz="0" w:space="0" w:color="auto"/>
            <w:bottom w:val="none" w:sz="0" w:space="0" w:color="auto"/>
            <w:right w:val="none" w:sz="0" w:space="0" w:color="auto"/>
          </w:divBdr>
        </w:div>
      </w:divsChild>
    </w:div>
    <w:div w:id="1506436221">
      <w:bodyDiv w:val="1"/>
      <w:marLeft w:val="0"/>
      <w:marRight w:val="0"/>
      <w:marTop w:val="0"/>
      <w:marBottom w:val="0"/>
      <w:divBdr>
        <w:top w:val="none" w:sz="0" w:space="0" w:color="auto"/>
        <w:left w:val="none" w:sz="0" w:space="0" w:color="auto"/>
        <w:bottom w:val="none" w:sz="0" w:space="0" w:color="auto"/>
        <w:right w:val="none" w:sz="0" w:space="0" w:color="auto"/>
      </w:divBdr>
    </w:div>
    <w:div w:id="1522282742">
      <w:bodyDiv w:val="1"/>
      <w:marLeft w:val="0"/>
      <w:marRight w:val="0"/>
      <w:marTop w:val="0"/>
      <w:marBottom w:val="0"/>
      <w:divBdr>
        <w:top w:val="none" w:sz="0" w:space="0" w:color="auto"/>
        <w:left w:val="none" w:sz="0" w:space="0" w:color="auto"/>
        <w:bottom w:val="none" w:sz="0" w:space="0" w:color="auto"/>
        <w:right w:val="none" w:sz="0" w:space="0" w:color="auto"/>
      </w:divBdr>
    </w:div>
    <w:div w:id="1668054281">
      <w:bodyDiv w:val="1"/>
      <w:marLeft w:val="0"/>
      <w:marRight w:val="0"/>
      <w:marTop w:val="0"/>
      <w:marBottom w:val="0"/>
      <w:divBdr>
        <w:top w:val="none" w:sz="0" w:space="0" w:color="auto"/>
        <w:left w:val="none" w:sz="0" w:space="0" w:color="auto"/>
        <w:bottom w:val="none" w:sz="0" w:space="0" w:color="auto"/>
        <w:right w:val="none" w:sz="0" w:space="0" w:color="auto"/>
      </w:divBdr>
    </w:div>
    <w:div w:id="1672561712">
      <w:bodyDiv w:val="1"/>
      <w:marLeft w:val="0"/>
      <w:marRight w:val="0"/>
      <w:marTop w:val="0"/>
      <w:marBottom w:val="0"/>
      <w:divBdr>
        <w:top w:val="none" w:sz="0" w:space="0" w:color="auto"/>
        <w:left w:val="none" w:sz="0" w:space="0" w:color="auto"/>
        <w:bottom w:val="none" w:sz="0" w:space="0" w:color="auto"/>
        <w:right w:val="none" w:sz="0" w:space="0" w:color="auto"/>
      </w:divBdr>
    </w:div>
    <w:div w:id="1726947044">
      <w:bodyDiv w:val="1"/>
      <w:marLeft w:val="0"/>
      <w:marRight w:val="0"/>
      <w:marTop w:val="0"/>
      <w:marBottom w:val="0"/>
      <w:divBdr>
        <w:top w:val="none" w:sz="0" w:space="0" w:color="auto"/>
        <w:left w:val="none" w:sz="0" w:space="0" w:color="auto"/>
        <w:bottom w:val="none" w:sz="0" w:space="0" w:color="auto"/>
        <w:right w:val="none" w:sz="0" w:space="0" w:color="auto"/>
      </w:divBdr>
    </w:div>
    <w:div w:id="1749813360">
      <w:bodyDiv w:val="1"/>
      <w:marLeft w:val="0"/>
      <w:marRight w:val="0"/>
      <w:marTop w:val="0"/>
      <w:marBottom w:val="0"/>
      <w:divBdr>
        <w:top w:val="none" w:sz="0" w:space="0" w:color="auto"/>
        <w:left w:val="none" w:sz="0" w:space="0" w:color="auto"/>
        <w:bottom w:val="none" w:sz="0" w:space="0" w:color="auto"/>
        <w:right w:val="none" w:sz="0" w:space="0" w:color="auto"/>
      </w:divBdr>
    </w:div>
    <w:div w:id="1925413390">
      <w:bodyDiv w:val="1"/>
      <w:marLeft w:val="0"/>
      <w:marRight w:val="0"/>
      <w:marTop w:val="0"/>
      <w:marBottom w:val="0"/>
      <w:divBdr>
        <w:top w:val="none" w:sz="0" w:space="0" w:color="auto"/>
        <w:left w:val="none" w:sz="0" w:space="0" w:color="auto"/>
        <w:bottom w:val="none" w:sz="0" w:space="0" w:color="auto"/>
        <w:right w:val="none" w:sz="0" w:space="0" w:color="auto"/>
      </w:divBdr>
    </w:div>
    <w:div w:id="1974166841">
      <w:bodyDiv w:val="1"/>
      <w:marLeft w:val="0"/>
      <w:marRight w:val="0"/>
      <w:marTop w:val="0"/>
      <w:marBottom w:val="0"/>
      <w:divBdr>
        <w:top w:val="none" w:sz="0" w:space="0" w:color="auto"/>
        <w:left w:val="none" w:sz="0" w:space="0" w:color="auto"/>
        <w:bottom w:val="none" w:sz="0" w:space="0" w:color="auto"/>
        <w:right w:val="none" w:sz="0" w:space="0" w:color="auto"/>
      </w:divBdr>
    </w:div>
    <w:div w:id="1976255261">
      <w:bodyDiv w:val="1"/>
      <w:marLeft w:val="0"/>
      <w:marRight w:val="0"/>
      <w:marTop w:val="0"/>
      <w:marBottom w:val="0"/>
      <w:divBdr>
        <w:top w:val="none" w:sz="0" w:space="0" w:color="auto"/>
        <w:left w:val="none" w:sz="0" w:space="0" w:color="auto"/>
        <w:bottom w:val="none" w:sz="0" w:space="0" w:color="auto"/>
        <w:right w:val="none" w:sz="0" w:space="0" w:color="auto"/>
      </w:divBdr>
    </w:div>
    <w:div w:id="2026402787">
      <w:bodyDiv w:val="1"/>
      <w:marLeft w:val="0"/>
      <w:marRight w:val="0"/>
      <w:marTop w:val="0"/>
      <w:marBottom w:val="0"/>
      <w:divBdr>
        <w:top w:val="none" w:sz="0" w:space="0" w:color="auto"/>
        <w:left w:val="none" w:sz="0" w:space="0" w:color="auto"/>
        <w:bottom w:val="none" w:sz="0" w:space="0" w:color="auto"/>
        <w:right w:val="none" w:sz="0" w:space="0" w:color="auto"/>
      </w:divBdr>
      <w:divsChild>
        <w:div w:id="133791262">
          <w:marLeft w:val="-720"/>
          <w:marRight w:val="0"/>
          <w:marTop w:val="0"/>
          <w:marBottom w:val="0"/>
          <w:divBdr>
            <w:top w:val="none" w:sz="0" w:space="0" w:color="auto"/>
            <w:left w:val="none" w:sz="0" w:space="0" w:color="auto"/>
            <w:bottom w:val="none" w:sz="0" w:space="0" w:color="auto"/>
            <w:right w:val="none" w:sz="0" w:space="0" w:color="auto"/>
          </w:divBdr>
        </w:div>
      </w:divsChild>
    </w:div>
    <w:div w:id="2043438235">
      <w:bodyDiv w:val="1"/>
      <w:marLeft w:val="0"/>
      <w:marRight w:val="0"/>
      <w:marTop w:val="0"/>
      <w:marBottom w:val="0"/>
      <w:divBdr>
        <w:top w:val="none" w:sz="0" w:space="0" w:color="auto"/>
        <w:left w:val="none" w:sz="0" w:space="0" w:color="auto"/>
        <w:bottom w:val="none" w:sz="0" w:space="0" w:color="auto"/>
        <w:right w:val="none" w:sz="0" w:space="0" w:color="auto"/>
      </w:divBdr>
    </w:div>
    <w:div w:id="2046103737">
      <w:bodyDiv w:val="1"/>
      <w:marLeft w:val="0"/>
      <w:marRight w:val="0"/>
      <w:marTop w:val="0"/>
      <w:marBottom w:val="0"/>
      <w:divBdr>
        <w:top w:val="none" w:sz="0" w:space="0" w:color="auto"/>
        <w:left w:val="none" w:sz="0" w:space="0" w:color="auto"/>
        <w:bottom w:val="none" w:sz="0" w:space="0" w:color="auto"/>
        <w:right w:val="none" w:sz="0" w:space="0" w:color="auto"/>
      </w:divBdr>
    </w:div>
    <w:div w:id="2057730981">
      <w:bodyDiv w:val="1"/>
      <w:marLeft w:val="0"/>
      <w:marRight w:val="0"/>
      <w:marTop w:val="0"/>
      <w:marBottom w:val="0"/>
      <w:divBdr>
        <w:top w:val="none" w:sz="0" w:space="0" w:color="auto"/>
        <w:left w:val="none" w:sz="0" w:space="0" w:color="auto"/>
        <w:bottom w:val="none" w:sz="0" w:space="0" w:color="auto"/>
        <w:right w:val="none" w:sz="0" w:space="0" w:color="auto"/>
      </w:divBdr>
      <w:divsChild>
        <w:div w:id="1441218351">
          <w:marLeft w:val="-720"/>
          <w:marRight w:val="0"/>
          <w:marTop w:val="0"/>
          <w:marBottom w:val="0"/>
          <w:divBdr>
            <w:top w:val="none" w:sz="0" w:space="0" w:color="auto"/>
            <w:left w:val="none" w:sz="0" w:space="0" w:color="auto"/>
            <w:bottom w:val="none" w:sz="0" w:space="0" w:color="auto"/>
            <w:right w:val="none" w:sz="0" w:space="0" w:color="auto"/>
          </w:divBdr>
        </w:div>
      </w:divsChild>
    </w:div>
    <w:div w:id="2084453099">
      <w:bodyDiv w:val="1"/>
      <w:marLeft w:val="0"/>
      <w:marRight w:val="0"/>
      <w:marTop w:val="0"/>
      <w:marBottom w:val="0"/>
      <w:divBdr>
        <w:top w:val="none" w:sz="0" w:space="0" w:color="auto"/>
        <w:left w:val="none" w:sz="0" w:space="0" w:color="auto"/>
        <w:bottom w:val="none" w:sz="0" w:space="0" w:color="auto"/>
        <w:right w:val="none" w:sz="0" w:space="0" w:color="auto"/>
      </w:divBdr>
    </w:div>
    <w:div w:id="20898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2959</TotalTime>
  <Pages>8</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2024-07-23T19:30:00Z</dcterms:created>
  <dcterms:modified xsi:type="dcterms:W3CDTF">2025-07-03T22:33:00Z</dcterms:modified>
</cp:coreProperties>
</file>