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601C" w14:textId="77777777" w:rsidR="005C49AC" w:rsidRDefault="005C49AC" w:rsidP="005C49AC">
      <w:pPr>
        <w:jc w:val="right"/>
        <w:rPr>
          <w:rFonts w:ascii="Arial" w:hAnsi="Arial" w:cs="Arial"/>
          <w:b/>
          <w:bCs/>
          <w:i/>
          <w:iCs/>
          <w:sz w:val="36"/>
          <w:szCs w:val="36"/>
          <w:u w:val="single"/>
          <w:lang w:val="en-US"/>
        </w:rPr>
      </w:pPr>
      <w:bookmarkStart w:id="0" w:name="_Hlk191249979"/>
      <w:bookmarkStart w:id="1" w:name="_Hlk201110758"/>
      <w:bookmarkEnd w:id="0"/>
      <w:r w:rsidRPr="005C49AC">
        <w:rPr>
          <w:rFonts w:ascii="Arial" w:hAnsi="Arial" w:cs="Arial"/>
          <w:b/>
          <w:bCs/>
          <w:i/>
          <w:iCs/>
          <w:sz w:val="36"/>
          <w:szCs w:val="36"/>
          <w:u w:val="single"/>
          <w:lang w:val="en-US"/>
        </w:rPr>
        <w:t>Original Research Article</w:t>
      </w:r>
    </w:p>
    <w:p w14:paraId="7813793C" w14:textId="77777777" w:rsidR="005C49AC" w:rsidRPr="005C49AC" w:rsidRDefault="005C49AC" w:rsidP="005C49AC">
      <w:pPr>
        <w:jc w:val="right"/>
        <w:rPr>
          <w:rFonts w:ascii="Arial" w:hAnsi="Arial" w:cs="Arial"/>
          <w:b/>
          <w:bCs/>
          <w:i/>
          <w:iCs/>
          <w:sz w:val="36"/>
          <w:szCs w:val="36"/>
          <w:u w:val="single"/>
          <w:lang w:val="en-US"/>
        </w:rPr>
      </w:pPr>
    </w:p>
    <w:p w14:paraId="3ABE51BE" w14:textId="5664BF9F" w:rsidR="007C4222" w:rsidRDefault="00B013B8" w:rsidP="00D458C3">
      <w:pPr>
        <w:jc w:val="right"/>
        <w:rPr>
          <w:rFonts w:ascii="Arial" w:hAnsi="Arial" w:cs="Arial"/>
          <w:b/>
          <w:bCs/>
          <w:sz w:val="36"/>
          <w:szCs w:val="36"/>
        </w:rPr>
      </w:pPr>
      <w:r>
        <w:rPr>
          <w:rFonts w:ascii="Arial" w:hAnsi="Arial" w:cs="Arial"/>
          <w:b/>
          <w:bCs/>
          <w:i/>
          <w:sz w:val="36"/>
          <w:szCs w:val="36"/>
        </w:rPr>
        <w:t>Parinari curatellifolia, biosafety and</w:t>
      </w:r>
      <w:r w:rsidR="00D458C3">
        <w:rPr>
          <w:rFonts w:ascii="Arial" w:hAnsi="Arial" w:cs="Arial"/>
          <w:b/>
          <w:bCs/>
          <w:i/>
          <w:sz w:val="36"/>
          <w:szCs w:val="36"/>
        </w:rPr>
        <w:t xml:space="preserve"> p</w:t>
      </w:r>
      <w:r>
        <w:rPr>
          <w:rFonts w:ascii="Arial" w:hAnsi="Arial" w:cs="Arial"/>
          <w:b/>
          <w:bCs/>
          <w:i/>
          <w:sz w:val="36"/>
          <w:szCs w:val="36"/>
        </w:rPr>
        <w:t xml:space="preserve">harmacological </w:t>
      </w:r>
      <w:r w:rsidR="00D458C3">
        <w:rPr>
          <w:rFonts w:ascii="Arial" w:hAnsi="Arial" w:cs="Arial"/>
          <w:b/>
          <w:bCs/>
          <w:i/>
          <w:sz w:val="36"/>
          <w:szCs w:val="36"/>
        </w:rPr>
        <w:t xml:space="preserve"> </w:t>
      </w:r>
      <w:r>
        <w:rPr>
          <w:rFonts w:ascii="Arial" w:hAnsi="Arial" w:cs="Arial"/>
          <w:b/>
          <w:bCs/>
          <w:i/>
          <w:sz w:val="36"/>
          <w:szCs w:val="36"/>
        </w:rPr>
        <w:t>efficacy</w:t>
      </w:r>
      <w:r w:rsidR="00122B55">
        <w:rPr>
          <w:rFonts w:ascii="Arial" w:hAnsi="Arial" w:cs="Arial"/>
          <w:b/>
          <w:bCs/>
          <w:i/>
          <w:sz w:val="36"/>
          <w:szCs w:val="36"/>
        </w:rPr>
        <w:t xml:space="preserve"> against biological end  points of pneumonia</w:t>
      </w:r>
    </w:p>
    <w:bookmarkEnd w:id="1"/>
    <w:p w14:paraId="3252C4A9" w14:textId="77777777" w:rsidR="007C4222" w:rsidRDefault="007C4222" w:rsidP="00D344A2">
      <w:pPr>
        <w:pStyle w:val="Author"/>
        <w:spacing w:line="240" w:lineRule="auto"/>
        <w:jc w:val="both"/>
        <w:rPr>
          <w:rFonts w:ascii="Arial" w:hAnsi="Arial" w:cs="Arial"/>
          <w:bCs/>
          <w:iCs/>
          <w:kern w:val="28"/>
          <w:sz w:val="36"/>
        </w:rPr>
      </w:pPr>
    </w:p>
    <w:p w14:paraId="60CC5EB6" w14:textId="77777777" w:rsidR="007C4222" w:rsidRDefault="008006B3" w:rsidP="00D344A2">
      <w:pPr>
        <w:contextualSpacing/>
        <w:jc w:val="both"/>
      </w:pPr>
      <w:r>
        <w:rPr>
          <w:rFonts w:ascii="Arial" w:hAnsi="Arial" w:cs="Arial"/>
          <w:i/>
          <w:noProof/>
          <w:vertAlign w:val="superscript"/>
          <w:lang w:val="en-ZA" w:eastAsia="en-ZA"/>
        </w:rPr>
        <mc:AlternateContent>
          <mc:Choice Requires="wps">
            <w:drawing>
              <wp:anchor distT="0" distB="0" distL="114300" distR="114300" simplePos="0" relativeHeight="251659264" behindDoc="0" locked="0" layoutInCell="1" allowOverlap="1" wp14:anchorId="088020C7" wp14:editId="36761C1B">
                <wp:simplePos x="0" y="0"/>
                <wp:positionH relativeFrom="column">
                  <wp:posOffset>-60960</wp:posOffset>
                </wp:positionH>
                <wp:positionV relativeFrom="paragraph">
                  <wp:posOffset>207010</wp:posOffset>
                </wp:positionV>
                <wp:extent cx="58674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4.8pt;margin-top:16.3pt;height:0.6pt;width:462pt;z-index:251659264;mso-width-relative:page;mso-height-relative:page;" filled="f" stroked="t" coordsize="21600,21600" o:gfxdata="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MfSu9cAAAAIAQAADwAA&#10;AAAAAAABACAAAAAiAAAAZHJzL2Rvd25yZXYueG1sUEsBAhQAFAAAAAgAh07iQONOVNTeAQAAwgMA&#10;AA4AAAAAAAAAAQAgAAAAJgEAAGRycy9lMm9Eb2MueG1sUEsFBgAAAAAGAAYAWQEAAHYFAAAAAA==&#10;">
                <v:fill on="f" focussize="0,0"/>
                <v:stroke weight="1.5pt" color="#000000 [3200]" miterlimit="8" joinstyle="miter"/>
                <v:imagedata o:title=""/>
                <o:lock v:ext="edit" aspectratio="f"/>
              </v:line>
            </w:pict>
          </mc:Fallback>
        </mc:AlternateContent>
      </w:r>
    </w:p>
    <w:p w14:paraId="1B5A589E" w14:textId="77777777" w:rsidR="007C4222" w:rsidRDefault="007C4222" w:rsidP="00D344A2">
      <w:pPr>
        <w:contextualSpacing/>
        <w:jc w:val="both"/>
      </w:pPr>
    </w:p>
    <w:p w14:paraId="74065979" w14:textId="77777777" w:rsidR="007C4222" w:rsidRDefault="007C4222" w:rsidP="00D344A2">
      <w:pPr>
        <w:contextualSpacing/>
        <w:jc w:val="both"/>
      </w:pPr>
    </w:p>
    <w:p w14:paraId="32A35A03" w14:textId="77777777" w:rsidR="007C4222" w:rsidRDefault="008006B3" w:rsidP="00D344A2">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3FC10406" w14:textId="77777777" w:rsidR="007C4222" w:rsidRDefault="007C4222" w:rsidP="00D344A2">
      <w:pPr>
        <w:autoSpaceDE w:val="0"/>
        <w:autoSpaceDN w:val="0"/>
        <w:adjustRightInd w:val="0"/>
        <w:jc w:val="both"/>
        <w:rPr>
          <w:rFonts w:ascii="Arial" w:hAnsi="Arial" w:cs="Arial"/>
          <w:b/>
          <w:caps/>
          <w:szCs w:val="20"/>
          <w:lang w:val="en-US"/>
        </w:rPr>
      </w:pPr>
    </w:p>
    <w:p w14:paraId="689050B1" w14:textId="4C7C73F7" w:rsidR="00294ACB" w:rsidRPr="00294ACB" w:rsidRDefault="00B877C6" w:rsidP="00294ACB">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r w:rsidRPr="00403B80">
        <w:rPr>
          <w:rFonts w:ascii="Arial" w:hAnsi="Arial" w:cs="Arial"/>
          <w:i/>
          <w:iCs/>
          <w:sz w:val="20"/>
          <w:szCs w:val="20"/>
          <w:highlight w:val="yellow"/>
        </w:rPr>
        <w:t>Parinari curatellifolia</w:t>
      </w:r>
      <w:r w:rsidR="00403B80" w:rsidRPr="00403B80">
        <w:rPr>
          <w:rFonts w:ascii="Arial" w:hAnsi="Arial" w:cs="Arial"/>
          <w:i/>
          <w:iCs/>
          <w:sz w:val="20"/>
          <w:szCs w:val="20"/>
          <w:highlight w:val="yellow"/>
        </w:rPr>
        <w:t xml:space="preserve"> </w:t>
      </w:r>
      <w:r w:rsidRPr="00403B80">
        <w:rPr>
          <w:rFonts w:ascii="Arial" w:hAnsi="Arial" w:cs="Arial"/>
          <w:sz w:val="20"/>
          <w:szCs w:val="20"/>
          <w:highlight w:val="yellow"/>
        </w:rPr>
        <w:t xml:space="preserve">is a widely utilized medicinal plant in Zimbabwe. </w:t>
      </w:r>
      <w:r w:rsidR="005F0FC0" w:rsidRPr="00403B80">
        <w:rPr>
          <w:rFonts w:ascii="Arial" w:hAnsi="Arial" w:cs="Arial"/>
          <w:sz w:val="20"/>
          <w:szCs w:val="20"/>
          <w:highlight w:val="yellow"/>
        </w:rPr>
        <w:t>The major t</w:t>
      </w:r>
      <w:r w:rsidRPr="00403B80">
        <w:rPr>
          <w:rFonts w:ascii="Arial" w:hAnsi="Arial" w:cs="Arial"/>
          <w:sz w:val="20"/>
          <w:szCs w:val="20"/>
          <w:highlight w:val="yellow"/>
        </w:rPr>
        <w:t xml:space="preserve">raditional applications include the </w:t>
      </w:r>
      <w:r w:rsidR="00D458C3" w:rsidRPr="00403B80">
        <w:rPr>
          <w:rFonts w:ascii="Arial" w:hAnsi="Arial" w:cs="Arial"/>
          <w:sz w:val="20"/>
          <w:szCs w:val="20"/>
          <w:highlight w:val="yellow"/>
        </w:rPr>
        <w:t xml:space="preserve">management </w:t>
      </w:r>
      <w:r w:rsidRPr="00403B80">
        <w:rPr>
          <w:rFonts w:ascii="Arial" w:hAnsi="Arial" w:cs="Arial"/>
          <w:sz w:val="20"/>
          <w:szCs w:val="20"/>
          <w:highlight w:val="yellow"/>
        </w:rPr>
        <w:t>of</w:t>
      </w:r>
      <w:r w:rsidR="00D458C3" w:rsidRPr="00403B80">
        <w:rPr>
          <w:rFonts w:ascii="Arial" w:hAnsi="Arial" w:cs="Arial"/>
          <w:sz w:val="20"/>
          <w:szCs w:val="20"/>
          <w:highlight w:val="yellow"/>
        </w:rPr>
        <w:t xml:space="preserve"> key biological end points</w:t>
      </w:r>
      <w:r w:rsidRPr="00403B80">
        <w:rPr>
          <w:rFonts w:ascii="Arial" w:hAnsi="Arial" w:cs="Arial"/>
          <w:sz w:val="20"/>
          <w:szCs w:val="20"/>
          <w:highlight w:val="yellow"/>
        </w:rPr>
        <w:t xml:space="preserve"> </w:t>
      </w:r>
      <w:r w:rsidR="00D458C3" w:rsidRPr="00403B80">
        <w:rPr>
          <w:rFonts w:ascii="Arial" w:hAnsi="Arial" w:cs="Arial"/>
          <w:sz w:val="20"/>
          <w:szCs w:val="20"/>
          <w:highlight w:val="yellow"/>
        </w:rPr>
        <w:t xml:space="preserve">of </w:t>
      </w:r>
      <w:r w:rsidRPr="00403B80">
        <w:rPr>
          <w:rFonts w:ascii="Arial" w:hAnsi="Arial" w:cs="Arial"/>
          <w:sz w:val="20"/>
          <w:szCs w:val="20"/>
          <w:highlight w:val="yellow"/>
        </w:rPr>
        <w:t>pneumonia</w:t>
      </w:r>
      <w:r w:rsidRPr="00537914">
        <w:rPr>
          <w:rFonts w:ascii="Arial" w:hAnsi="Arial" w:cs="Arial"/>
          <w:sz w:val="20"/>
          <w:szCs w:val="20"/>
        </w:rPr>
        <w:t>, a critical global health concern particularly in</w:t>
      </w:r>
      <w:r w:rsidR="006E3BEE">
        <w:rPr>
          <w:rFonts w:ascii="Arial" w:hAnsi="Arial" w:cs="Arial"/>
          <w:sz w:val="20"/>
          <w:szCs w:val="20"/>
        </w:rPr>
        <w:t xml:space="preserve"> the</w:t>
      </w:r>
      <w:r w:rsidRPr="00537914">
        <w:rPr>
          <w:rFonts w:ascii="Arial" w:hAnsi="Arial" w:cs="Arial"/>
          <w:sz w:val="20"/>
          <w:szCs w:val="20"/>
        </w:rPr>
        <w:t xml:space="preserve"> sub-Saharan Africa and south Asia</w:t>
      </w:r>
      <w:r w:rsidR="006E3BEE">
        <w:rPr>
          <w:rFonts w:ascii="Arial" w:hAnsi="Arial" w:cs="Arial"/>
          <w:sz w:val="20"/>
          <w:szCs w:val="20"/>
        </w:rPr>
        <w:t xml:space="preserve"> regions</w:t>
      </w:r>
      <w:r w:rsidRPr="00537914">
        <w:rPr>
          <w:rFonts w:ascii="Arial" w:hAnsi="Arial" w:cs="Arial"/>
          <w:sz w:val="20"/>
          <w:szCs w:val="20"/>
        </w:rPr>
        <w:t xml:space="preserve"> where it contributes to over 14% of under-five deaths. Pneumonia is characterized by inflammatory biomarkers such as elevated procalcitonin and C-reactive protein. Given the limitations and challenges associated with current </w:t>
      </w:r>
      <w:r w:rsidR="00E04FC5" w:rsidRPr="00537914">
        <w:rPr>
          <w:rFonts w:ascii="Arial" w:hAnsi="Arial" w:cs="Arial"/>
          <w:sz w:val="20"/>
          <w:szCs w:val="20"/>
        </w:rPr>
        <w:t>paediatric</w:t>
      </w:r>
      <w:r w:rsidRPr="00537914">
        <w:rPr>
          <w:rFonts w:ascii="Arial" w:hAnsi="Arial" w:cs="Arial"/>
          <w:sz w:val="20"/>
          <w:szCs w:val="20"/>
        </w:rPr>
        <w:t xml:space="preserve"> pneumonia treatments, there is an urgent need for safe, effective, and affordable alternatives capable of modulating the disease’s biological endpoints. This study investigated the phytoconstituent profile</w:t>
      </w:r>
      <w:r w:rsidR="00403B80">
        <w:rPr>
          <w:rFonts w:ascii="Arial" w:hAnsi="Arial" w:cs="Arial"/>
          <w:sz w:val="20"/>
          <w:szCs w:val="20"/>
        </w:rPr>
        <w:t xml:space="preserve">, </w:t>
      </w:r>
      <w:r w:rsidRPr="00537914">
        <w:rPr>
          <w:rFonts w:ascii="Arial" w:hAnsi="Arial" w:cs="Arial"/>
          <w:sz w:val="20"/>
          <w:szCs w:val="20"/>
        </w:rPr>
        <w:t xml:space="preserve">the anti-inflammatory and antibacterial activities of </w:t>
      </w:r>
      <w:r w:rsidRPr="006E3BEE">
        <w:rPr>
          <w:rFonts w:ascii="Arial" w:hAnsi="Arial" w:cs="Arial"/>
          <w:i/>
          <w:iCs/>
          <w:sz w:val="20"/>
          <w:szCs w:val="20"/>
        </w:rPr>
        <w:t>P. curatellifolia</w:t>
      </w:r>
      <w:r w:rsidRPr="00537914">
        <w:rPr>
          <w:rFonts w:ascii="Arial" w:hAnsi="Arial" w:cs="Arial"/>
          <w:sz w:val="20"/>
          <w:szCs w:val="20"/>
        </w:rPr>
        <w:t>.</w:t>
      </w:r>
      <w:r w:rsidR="00FA3FD9">
        <w:rPr>
          <w:rFonts w:ascii="Arial" w:hAnsi="Arial" w:cs="Arial"/>
          <w:sz w:val="20"/>
          <w:szCs w:val="20"/>
        </w:rPr>
        <w:t xml:space="preserve"> Various wet chemical techniques were employed to screen for the pharmacologically active secondary </w:t>
      </w:r>
      <w:r w:rsidR="00D458C3">
        <w:rPr>
          <w:rFonts w:ascii="Arial" w:hAnsi="Arial" w:cs="Arial"/>
          <w:sz w:val="20"/>
          <w:szCs w:val="20"/>
        </w:rPr>
        <w:t>metabolites;</w:t>
      </w:r>
      <w:r w:rsidR="00FA3FD9">
        <w:rPr>
          <w:rFonts w:ascii="Arial" w:hAnsi="Arial" w:cs="Arial"/>
          <w:sz w:val="20"/>
          <w:szCs w:val="20"/>
        </w:rPr>
        <w:t xml:space="preserve"> the </w:t>
      </w:r>
      <w:r w:rsidR="005F0FC0">
        <w:rPr>
          <w:rFonts w:ascii="Arial" w:hAnsi="Arial" w:cs="Arial"/>
          <w:sz w:val="20"/>
          <w:szCs w:val="20"/>
        </w:rPr>
        <w:t>anti-inflammatory</w:t>
      </w:r>
      <w:r w:rsidR="00FA3FD9">
        <w:rPr>
          <w:rFonts w:ascii="Arial" w:hAnsi="Arial" w:cs="Arial"/>
          <w:sz w:val="20"/>
          <w:szCs w:val="20"/>
        </w:rPr>
        <w:t xml:space="preserve"> activity was determined through the egg albumin assay </w:t>
      </w:r>
      <w:r w:rsidR="005F0FC0">
        <w:rPr>
          <w:rFonts w:ascii="Arial" w:hAnsi="Arial" w:cs="Arial"/>
          <w:sz w:val="20"/>
          <w:szCs w:val="20"/>
        </w:rPr>
        <w:t>using</w:t>
      </w:r>
      <w:r w:rsidR="00FA3FD9">
        <w:rPr>
          <w:rFonts w:ascii="Arial" w:hAnsi="Arial" w:cs="Arial"/>
          <w:sz w:val="20"/>
          <w:szCs w:val="20"/>
        </w:rPr>
        <w:t xml:space="preserve"> diclofenac as a </w:t>
      </w:r>
      <w:r w:rsidR="00D458C3">
        <w:rPr>
          <w:rFonts w:ascii="Arial" w:hAnsi="Arial" w:cs="Arial"/>
          <w:sz w:val="20"/>
          <w:szCs w:val="20"/>
        </w:rPr>
        <w:t>standard</w:t>
      </w:r>
      <w:r w:rsidR="00FA3FD9">
        <w:rPr>
          <w:rFonts w:ascii="Arial" w:hAnsi="Arial" w:cs="Arial"/>
          <w:sz w:val="20"/>
          <w:szCs w:val="20"/>
        </w:rPr>
        <w:t>. The antibacterial effectivity was  assessed through the</w:t>
      </w:r>
      <w:r w:rsidR="005F0FC0">
        <w:rPr>
          <w:rFonts w:ascii="Arial" w:hAnsi="Arial" w:cs="Arial"/>
          <w:sz w:val="20"/>
          <w:szCs w:val="20"/>
        </w:rPr>
        <w:t xml:space="preserve"> </w:t>
      </w:r>
      <w:r w:rsidR="00FA3FD9">
        <w:rPr>
          <w:rFonts w:ascii="Arial" w:hAnsi="Arial" w:cs="Arial"/>
          <w:sz w:val="20"/>
          <w:szCs w:val="20"/>
        </w:rPr>
        <w:t>agar well diffusion method</w:t>
      </w:r>
      <w:r w:rsidR="00600FB0" w:rsidRPr="00600FB0">
        <w:rPr>
          <w:rFonts w:ascii="Arial" w:hAnsi="Arial" w:cs="Arial"/>
          <w:sz w:val="20"/>
          <w:szCs w:val="20"/>
        </w:rPr>
        <w:t xml:space="preserve"> </w:t>
      </w:r>
      <w:r w:rsidR="00600FB0" w:rsidRPr="00D97711">
        <w:rPr>
          <w:rFonts w:ascii="Arial" w:hAnsi="Arial" w:cs="Arial"/>
          <w:sz w:val="20"/>
          <w:szCs w:val="20"/>
        </w:rPr>
        <w:t xml:space="preserve">against </w:t>
      </w:r>
      <w:r w:rsidR="00600FB0" w:rsidRPr="00294ACB">
        <w:rPr>
          <w:rFonts w:ascii="Arial" w:hAnsi="Arial" w:cs="Arial"/>
          <w:i/>
          <w:iCs/>
          <w:sz w:val="20"/>
          <w:szCs w:val="20"/>
        </w:rPr>
        <w:t>S.</w:t>
      </w:r>
      <w:r w:rsidR="00600FB0" w:rsidRPr="00D97711">
        <w:rPr>
          <w:rFonts w:ascii="Arial" w:hAnsi="Arial" w:cs="Arial"/>
          <w:sz w:val="20"/>
          <w:szCs w:val="20"/>
        </w:rPr>
        <w:t xml:space="preserve"> </w:t>
      </w:r>
      <w:r w:rsidR="00600FB0" w:rsidRPr="00294ACB">
        <w:rPr>
          <w:rFonts w:ascii="Arial" w:hAnsi="Arial" w:cs="Arial"/>
          <w:i/>
          <w:iCs/>
          <w:sz w:val="20"/>
          <w:szCs w:val="20"/>
        </w:rPr>
        <w:t>aureus</w:t>
      </w:r>
      <w:r w:rsidR="00600FB0" w:rsidRPr="00D97711">
        <w:rPr>
          <w:rFonts w:ascii="Arial" w:hAnsi="Arial" w:cs="Arial"/>
          <w:sz w:val="20"/>
          <w:szCs w:val="20"/>
        </w:rPr>
        <w:t xml:space="preserve"> and </w:t>
      </w:r>
      <w:r w:rsidR="00600FB0" w:rsidRPr="00294ACB">
        <w:rPr>
          <w:rFonts w:ascii="Arial" w:hAnsi="Arial" w:cs="Arial"/>
          <w:i/>
          <w:iCs/>
          <w:sz w:val="20"/>
          <w:szCs w:val="20"/>
        </w:rPr>
        <w:t>K. pneumoniae</w:t>
      </w:r>
      <w:r w:rsidR="00600FB0">
        <w:rPr>
          <w:rFonts w:ascii="Arial" w:hAnsi="Arial" w:cs="Arial"/>
          <w:i/>
          <w:iCs/>
          <w:sz w:val="20"/>
          <w:szCs w:val="20"/>
        </w:rPr>
        <w:t xml:space="preserve"> </w:t>
      </w:r>
      <w:r w:rsidR="005F0FC0">
        <w:rPr>
          <w:rFonts w:ascii="Arial" w:hAnsi="Arial" w:cs="Arial"/>
          <w:sz w:val="20"/>
          <w:szCs w:val="20"/>
        </w:rPr>
        <w:t xml:space="preserve"> </w:t>
      </w:r>
      <w:r w:rsidR="005F0FC0" w:rsidRPr="00403B80">
        <w:rPr>
          <w:rFonts w:ascii="Arial" w:hAnsi="Arial" w:cs="Arial"/>
          <w:sz w:val="20"/>
          <w:szCs w:val="20"/>
          <w:highlight w:val="yellow"/>
        </w:rPr>
        <w:t>and the acute oral toxicity evaluation was done using an amended OECD technical guideline 42</w:t>
      </w:r>
      <w:r w:rsidR="00DD13D5" w:rsidRPr="00403B80">
        <w:rPr>
          <w:rFonts w:ascii="Arial" w:hAnsi="Arial" w:cs="Arial"/>
          <w:sz w:val="20"/>
          <w:szCs w:val="20"/>
          <w:highlight w:val="yellow"/>
        </w:rPr>
        <w:t>3 (the limit test)</w:t>
      </w:r>
      <w:r w:rsidR="005F0FC0" w:rsidRPr="00403B80">
        <w:rPr>
          <w:rFonts w:ascii="Arial" w:hAnsi="Arial" w:cs="Arial"/>
          <w:sz w:val="20"/>
          <w:szCs w:val="20"/>
          <w:highlight w:val="yellow"/>
        </w:rPr>
        <w:t>. The p</w:t>
      </w:r>
      <w:r w:rsidRPr="00403B80">
        <w:rPr>
          <w:rFonts w:ascii="Arial" w:hAnsi="Arial" w:cs="Arial"/>
          <w:sz w:val="20"/>
          <w:szCs w:val="20"/>
          <w:highlight w:val="yellow"/>
        </w:rPr>
        <w:t xml:space="preserve">hytochemical screening revealed the presence of diverse biomedically relevant secondary metabolites. Biosafety assessment in Sprague Dawley rats </w:t>
      </w:r>
      <w:r w:rsidR="005F0FC0" w:rsidRPr="00403B80">
        <w:rPr>
          <w:rFonts w:ascii="Arial" w:hAnsi="Arial" w:cs="Arial"/>
          <w:sz w:val="20"/>
          <w:szCs w:val="20"/>
          <w:highlight w:val="yellow"/>
        </w:rPr>
        <w:t>confirmed the absence of acute  oral toxicity effects</w:t>
      </w:r>
      <w:r w:rsidRPr="00403B80">
        <w:rPr>
          <w:rFonts w:ascii="Arial" w:hAnsi="Arial" w:cs="Arial"/>
          <w:sz w:val="20"/>
          <w:szCs w:val="20"/>
          <w:highlight w:val="yellow"/>
        </w:rPr>
        <w:t xml:space="preserve"> </w:t>
      </w:r>
      <w:r w:rsidR="005F0FC0" w:rsidRPr="00403B80">
        <w:rPr>
          <w:rFonts w:ascii="Arial" w:hAnsi="Arial" w:cs="Arial"/>
          <w:sz w:val="20"/>
          <w:szCs w:val="20"/>
          <w:highlight w:val="yellow"/>
        </w:rPr>
        <w:t xml:space="preserve">at </w:t>
      </w:r>
      <w:r w:rsidR="00DD13D5" w:rsidRPr="00403B80">
        <w:rPr>
          <w:rFonts w:ascii="Arial" w:hAnsi="Arial" w:cs="Arial"/>
          <w:sz w:val="20"/>
          <w:szCs w:val="20"/>
          <w:highlight w:val="yellow"/>
        </w:rPr>
        <w:t xml:space="preserve"> a fixed dose of </w:t>
      </w:r>
      <w:r w:rsidRPr="00403B80">
        <w:rPr>
          <w:rFonts w:ascii="Arial" w:hAnsi="Arial" w:cs="Arial"/>
          <w:sz w:val="20"/>
          <w:szCs w:val="20"/>
          <w:highlight w:val="yellow"/>
        </w:rPr>
        <w:t xml:space="preserve"> </w:t>
      </w:r>
      <w:r w:rsidR="00DD13D5" w:rsidRPr="00403B80">
        <w:rPr>
          <w:rFonts w:ascii="Arial" w:hAnsi="Arial" w:cs="Arial"/>
          <w:sz w:val="20"/>
          <w:szCs w:val="20"/>
          <w:highlight w:val="yellow"/>
        </w:rPr>
        <w:t>4</w:t>
      </w:r>
      <w:r w:rsidRPr="00403B80">
        <w:rPr>
          <w:rFonts w:ascii="Arial" w:hAnsi="Arial" w:cs="Arial"/>
          <w:sz w:val="20"/>
          <w:szCs w:val="20"/>
          <w:highlight w:val="yellow"/>
        </w:rPr>
        <w:t xml:space="preserve">000 mg/kg </w:t>
      </w:r>
      <w:r w:rsidR="005F0FC0" w:rsidRPr="00403B80">
        <w:rPr>
          <w:rFonts w:ascii="Arial" w:hAnsi="Arial" w:cs="Arial"/>
          <w:sz w:val="20"/>
          <w:szCs w:val="20"/>
          <w:highlight w:val="yellow"/>
        </w:rPr>
        <w:t>body weight</w:t>
      </w:r>
      <w:r w:rsidR="00FD2BF9" w:rsidRPr="00403B80">
        <w:rPr>
          <w:rFonts w:ascii="Arial" w:hAnsi="Arial" w:cs="Arial"/>
          <w:sz w:val="20"/>
          <w:szCs w:val="20"/>
          <w:highlight w:val="yellow"/>
        </w:rPr>
        <w:t xml:space="preserve">. </w:t>
      </w:r>
      <w:r w:rsidR="006E3BEE" w:rsidRPr="00403B80">
        <w:rPr>
          <w:rFonts w:ascii="Arial" w:hAnsi="Arial" w:cs="Arial"/>
          <w:sz w:val="20"/>
          <w:szCs w:val="20"/>
          <w:highlight w:val="yellow"/>
        </w:rPr>
        <w:t>T</w:t>
      </w:r>
      <w:r w:rsidRPr="00403B80">
        <w:rPr>
          <w:rFonts w:ascii="Arial" w:hAnsi="Arial" w:cs="Arial"/>
          <w:sz w:val="20"/>
          <w:szCs w:val="20"/>
          <w:highlight w:val="yellow"/>
        </w:rPr>
        <w:t xml:space="preserve">he </w:t>
      </w:r>
      <w:r w:rsidR="005F0FC0" w:rsidRPr="00403B80">
        <w:rPr>
          <w:rFonts w:ascii="Arial" w:hAnsi="Arial" w:cs="Arial"/>
          <w:sz w:val="20"/>
          <w:szCs w:val="20"/>
          <w:highlight w:val="yellow"/>
        </w:rPr>
        <w:t xml:space="preserve">lyophilised </w:t>
      </w:r>
      <w:r w:rsidRPr="00403B80">
        <w:rPr>
          <w:rFonts w:ascii="Arial" w:hAnsi="Arial" w:cs="Arial"/>
          <w:sz w:val="20"/>
          <w:szCs w:val="20"/>
          <w:highlight w:val="yellow"/>
        </w:rPr>
        <w:t xml:space="preserve">hydroethanolic bark extract </w:t>
      </w:r>
      <w:r w:rsidR="006E3BEE" w:rsidRPr="00403B80">
        <w:rPr>
          <w:rFonts w:ascii="Arial" w:hAnsi="Arial" w:cs="Arial"/>
          <w:sz w:val="20"/>
          <w:szCs w:val="20"/>
          <w:highlight w:val="yellow"/>
        </w:rPr>
        <w:t xml:space="preserve">also </w:t>
      </w:r>
      <w:r w:rsidRPr="00403B80">
        <w:rPr>
          <w:rFonts w:ascii="Arial" w:hAnsi="Arial" w:cs="Arial"/>
          <w:sz w:val="20"/>
          <w:szCs w:val="20"/>
          <w:highlight w:val="yellow"/>
        </w:rPr>
        <w:t>exhibited significant anti-inflammatory activity</w:t>
      </w:r>
      <w:r w:rsidR="00FD2BF9" w:rsidRPr="00403B80">
        <w:rPr>
          <w:rFonts w:ascii="Arial" w:hAnsi="Arial" w:cs="Arial"/>
          <w:sz w:val="20"/>
          <w:szCs w:val="20"/>
          <w:highlight w:val="yellow"/>
        </w:rPr>
        <w:t xml:space="preserve"> at 8000mg/kg body weight comparable to diclofenac at 2000mg/kg</w:t>
      </w:r>
      <w:r w:rsidRPr="00403B80">
        <w:rPr>
          <w:rFonts w:ascii="Arial" w:hAnsi="Arial" w:cs="Arial"/>
          <w:sz w:val="20"/>
          <w:szCs w:val="20"/>
          <w:highlight w:val="yellow"/>
        </w:rPr>
        <w:t>.</w:t>
      </w:r>
      <w:r w:rsidR="005F0FC0" w:rsidRPr="00403B80">
        <w:rPr>
          <w:rFonts w:ascii="Arial" w:hAnsi="Arial" w:cs="Arial"/>
          <w:sz w:val="20"/>
          <w:szCs w:val="20"/>
          <w:highlight w:val="yellow"/>
        </w:rPr>
        <w:t xml:space="preserve"> The antibacterial tests </w:t>
      </w:r>
      <w:r w:rsidRPr="00403B80">
        <w:rPr>
          <w:rFonts w:ascii="Arial" w:hAnsi="Arial" w:cs="Arial"/>
          <w:sz w:val="20"/>
          <w:szCs w:val="20"/>
          <w:highlight w:val="yellow"/>
        </w:rPr>
        <w:t xml:space="preserve"> </w:t>
      </w:r>
      <w:r w:rsidR="005F0FC0" w:rsidRPr="00403B80">
        <w:rPr>
          <w:rFonts w:ascii="Arial" w:hAnsi="Arial" w:cs="Arial"/>
          <w:sz w:val="20"/>
          <w:szCs w:val="20"/>
          <w:highlight w:val="yellow"/>
        </w:rPr>
        <w:t xml:space="preserve">confirmed antibacterial inhibition </w:t>
      </w:r>
      <w:r w:rsidR="00403B80" w:rsidRPr="00403B80">
        <w:rPr>
          <w:rFonts w:ascii="Arial" w:hAnsi="Arial" w:cs="Arial"/>
          <w:sz w:val="20"/>
          <w:szCs w:val="20"/>
          <w:highlight w:val="yellow"/>
        </w:rPr>
        <w:t>with a zone of inhibition diameter of 21mm and 17mm for</w:t>
      </w:r>
      <w:r w:rsidR="00403B80" w:rsidRPr="00403B80">
        <w:rPr>
          <w:rFonts w:ascii="Arial" w:hAnsi="Arial" w:cs="Arial"/>
          <w:i/>
          <w:iCs/>
          <w:sz w:val="20"/>
          <w:szCs w:val="20"/>
          <w:highlight w:val="yellow"/>
        </w:rPr>
        <w:t xml:space="preserve"> </w:t>
      </w:r>
      <w:r w:rsidR="00403B80" w:rsidRPr="00403B80">
        <w:rPr>
          <w:rFonts w:ascii="Arial" w:hAnsi="Arial" w:cs="Arial"/>
          <w:i/>
          <w:iCs/>
          <w:sz w:val="20"/>
          <w:szCs w:val="20"/>
          <w:highlight w:val="yellow"/>
        </w:rPr>
        <w:t>S.</w:t>
      </w:r>
      <w:r w:rsidR="00403B80" w:rsidRPr="00403B80">
        <w:rPr>
          <w:rFonts w:ascii="Arial" w:hAnsi="Arial" w:cs="Arial"/>
          <w:sz w:val="20"/>
          <w:szCs w:val="20"/>
          <w:highlight w:val="yellow"/>
        </w:rPr>
        <w:t xml:space="preserve"> </w:t>
      </w:r>
      <w:r w:rsidR="00403B80" w:rsidRPr="00403B80">
        <w:rPr>
          <w:rFonts w:ascii="Arial" w:hAnsi="Arial" w:cs="Arial"/>
          <w:i/>
          <w:iCs/>
          <w:sz w:val="20"/>
          <w:szCs w:val="20"/>
          <w:highlight w:val="yellow"/>
        </w:rPr>
        <w:t>aureus</w:t>
      </w:r>
      <w:r w:rsidR="00403B80" w:rsidRPr="00403B80">
        <w:rPr>
          <w:rFonts w:ascii="Arial" w:hAnsi="Arial" w:cs="Arial"/>
          <w:sz w:val="20"/>
          <w:szCs w:val="20"/>
          <w:highlight w:val="yellow"/>
        </w:rPr>
        <w:t xml:space="preserve"> and </w:t>
      </w:r>
      <w:r w:rsidR="00403B80" w:rsidRPr="00403B80">
        <w:rPr>
          <w:rFonts w:ascii="Arial" w:hAnsi="Arial" w:cs="Arial"/>
          <w:i/>
          <w:iCs/>
          <w:sz w:val="20"/>
          <w:szCs w:val="20"/>
          <w:highlight w:val="yellow"/>
        </w:rPr>
        <w:t xml:space="preserve">K. pneumoniae </w:t>
      </w:r>
      <w:r w:rsidR="00403B80" w:rsidRPr="00403B80">
        <w:rPr>
          <w:rFonts w:ascii="Arial" w:hAnsi="Arial" w:cs="Arial"/>
          <w:sz w:val="20"/>
          <w:szCs w:val="20"/>
          <w:highlight w:val="yellow"/>
        </w:rPr>
        <w:t xml:space="preserve"> </w:t>
      </w:r>
      <w:r w:rsidR="00403B80" w:rsidRPr="00403B80">
        <w:rPr>
          <w:rFonts w:ascii="Arial" w:hAnsi="Arial" w:cs="Arial"/>
          <w:sz w:val="20"/>
          <w:szCs w:val="20"/>
          <w:highlight w:val="yellow"/>
        </w:rPr>
        <w:t>respectively</w:t>
      </w:r>
      <w:r w:rsidR="005F0FC0" w:rsidRPr="00403B80">
        <w:rPr>
          <w:rFonts w:ascii="Arial" w:hAnsi="Arial" w:cs="Arial"/>
          <w:sz w:val="20"/>
          <w:szCs w:val="20"/>
          <w:highlight w:val="yellow"/>
        </w:rPr>
        <w:t xml:space="preserve">. It was therefore concluded that the numerous </w:t>
      </w:r>
      <w:r w:rsidRPr="00403B80">
        <w:rPr>
          <w:rFonts w:ascii="Arial" w:hAnsi="Arial" w:cs="Arial"/>
          <w:sz w:val="20"/>
          <w:szCs w:val="20"/>
          <w:highlight w:val="yellow"/>
        </w:rPr>
        <w:t xml:space="preserve"> bioactive secondary metabolites present in </w:t>
      </w:r>
      <w:r w:rsidRPr="00403B80">
        <w:rPr>
          <w:rFonts w:ascii="Arial" w:hAnsi="Arial" w:cs="Arial"/>
          <w:i/>
          <w:iCs/>
          <w:sz w:val="20"/>
          <w:szCs w:val="20"/>
          <w:highlight w:val="yellow"/>
        </w:rPr>
        <w:t>P. curatellifolia</w:t>
      </w:r>
      <w:r w:rsidRPr="00403B80">
        <w:rPr>
          <w:rFonts w:ascii="Arial" w:hAnsi="Arial" w:cs="Arial"/>
          <w:sz w:val="20"/>
          <w:szCs w:val="20"/>
          <w:highlight w:val="yellow"/>
        </w:rPr>
        <w:t xml:space="preserve"> bark possess anti-inflammatory</w:t>
      </w:r>
      <w:r w:rsidR="005F0FC0" w:rsidRPr="00403B80">
        <w:rPr>
          <w:rFonts w:ascii="Arial" w:hAnsi="Arial" w:cs="Arial"/>
          <w:sz w:val="20"/>
          <w:szCs w:val="20"/>
          <w:highlight w:val="yellow"/>
        </w:rPr>
        <w:t xml:space="preserve">, </w:t>
      </w:r>
      <w:r w:rsidR="00FD2BF9" w:rsidRPr="00403B80">
        <w:rPr>
          <w:rFonts w:ascii="Arial" w:hAnsi="Arial" w:cs="Arial"/>
          <w:sz w:val="20"/>
          <w:szCs w:val="20"/>
          <w:highlight w:val="yellow"/>
        </w:rPr>
        <w:t>antibacterial,</w:t>
      </w:r>
      <w:r w:rsidRPr="00403B80">
        <w:rPr>
          <w:rFonts w:ascii="Arial" w:hAnsi="Arial" w:cs="Arial"/>
          <w:sz w:val="20"/>
          <w:szCs w:val="20"/>
          <w:highlight w:val="yellow"/>
        </w:rPr>
        <w:t xml:space="preserve"> and potentially antioxidant properties</w:t>
      </w:r>
      <w:r w:rsidR="005F0FC0" w:rsidRPr="00403B80">
        <w:rPr>
          <w:rFonts w:ascii="Arial" w:hAnsi="Arial" w:cs="Arial"/>
          <w:sz w:val="20"/>
          <w:szCs w:val="20"/>
          <w:highlight w:val="yellow"/>
        </w:rPr>
        <w:t xml:space="preserve"> and are toxicologically safe. This study validates the use of </w:t>
      </w:r>
      <w:r w:rsidR="005F0FC0" w:rsidRPr="00403B80">
        <w:rPr>
          <w:rFonts w:ascii="Arial" w:hAnsi="Arial" w:cs="Arial"/>
          <w:i/>
          <w:iCs/>
          <w:sz w:val="20"/>
          <w:szCs w:val="20"/>
          <w:highlight w:val="yellow"/>
        </w:rPr>
        <w:t xml:space="preserve">Parinari curatellifolia </w:t>
      </w:r>
      <w:r w:rsidR="005F0FC0" w:rsidRPr="00403B80">
        <w:rPr>
          <w:rFonts w:ascii="Arial" w:hAnsi="Arial" w:cs="Arial"/>
          <w:sz w:val="20"/>
          <w:szCs w:val="20"/>
          <w:highlight w:val="yellow"/>
        </w:rPr>
        <w:t>as a potential complementary treatment in the management of</w:t>
      </w:r>
      <w:r w:rsidR="005F0FC0" w:rsidRPr="00403B80">
        <w:rPr>
          <w:rFonts w:ascii="Arial" w:hAnsi="Arial" w:cs="Arial"/>
          <w:i/>
          <w:iCs/>
          <w:sz w:val="20"/>
          <w:szCs w:val="20"/>
          <w:highlight w:val="yellow"/>
        </w:rPr>
        <w:t xml:space="preserve"> </w:t>
      </w:r>
      <w:r w:rsidRPr="00403B80">
        <w:rPr>
          <w:rFonts w:ascii="Arial" w:hAnsi="Arial" w:cs="Arial"/>
          <w:sz w:val="20"/>
          <w:szCs w:val="20"/>
          <w:highlight w:val="yellow"/>
        </w:rPr>
        <w:t xml:space="preserve"> </w:t>
      </w:r>
      <w:r w:rsidR="005F0FC0" w:rsidRPr="00403B80">
        <w:rPr>
          <w:rFonts w:ascii="Arial" w:hAnsi="Arial" w:cs="Arial"/>
          <w:sz w:val="20"/>
          <w:szCs w:val="20"/>
          <w:highlight w:val="yellow"/>
        </w:rPr>
        <w:t>key biological endpoints of pneumonia in traditional Zimbabwean medicinal practices</w:t>
      </w:r>
      <w:r w:rsidR="00485A20">
        <w:rPr>
          <w:rFonts w:ascii="Arial" w:hAnsi="Arial" w:cs="Arial"/>
          <w:sz w:val="20"/>
          <w:szCs w:val="20"/>
        </w:rPr>
        <w:t>.</w:t>
      </w:r>
    </w:p>
    <w:p w14:paraId="6AC43956" w14:textId="77777777" w:rsidR="007C4222" w:rsidRDefault="007C4222" w:rsidP="00D344A2">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p>
    <w:p w14:paraId="04D88C4F" w14:textId="77777777" w:rsidR="007C4222" w:rsidRDefault="007C4222" w:rsidP="00D344A2">
      <w:pPr>
        <w:autoSpaceDE w:val="0"/>
        <w:autoSpaceDN w:val="0"/>
        <w:adjustRightInd w:val="0"/>
        <w:jc w:val="both"/>
        <w:rPr>
          <w:rFonts w:ascii="Arial" w:hAnsi="Arial" w:cs="Arial"/>
          <w:b/>
          <w:caps/>
          <w:szCs w:val="20"/>
          <w:lang w:val="en-US"/>
        </w:rPr>
      </w:pPr>
    </w:p>
    <w:p w14:paraId="4F0AAF6E" w14:textId="4DAE7604" w:rsidR="006E3BEE" w:rsidRPr="006E3BEE" w:rsidRDefault="008006B3" w:rsidP="006E3BEE">
      <w:pPr>
        <w:autoSpaceDE w:val="0"/>
        <w:autoSpaceDN w:val="0"/>
        <w:adjustRightInd w:val="0"/>
        <w:jc w:val="both"/>
        <w:rPr>
          <w:rFonts w:ascii="Arial" w:hAnsi="Arial" w:cs="Arial"/>
          <w:sz w:val="20"/>
          <w:szCs w:val="20"/>
        </w:rPr>
      </w:pPr>
      <w:r>
        <w:rPr>
          <w:rFonts w:ascii="Arial" w:hAnsi="Arial" w:cs="Arial"/>
          <w:b/>
          <w:sz w:val="20"/>
          <w:szCs w:val="20"/>
        </w:rPr>
        <w:t>Key words</w:t>
      </w:r>
      <w:r>
        <w:rPr>
          <w:rFonts w:ascii="Arial" w:hAnsi="Arial" w:cs="Arial"/>
          <w:sz w:val="20"/>
          <w:szCs w:val="20"/>
        </w:rPr>
        <w:t>:</w:t>
      </w:r>
      <w:r w:rsidR="00537914">
        <w:rPr>
          <w:rFonts w:ascii="Arial" w:hAnsi="Arial" w:cs="Arial"/>
          <w:sz w:val="20"/>
          <w:szCs w:val="20"/>
        </w:rPr>
        <w:t xml:space="preserve"> </w:t>
      </w:r>
      <w:r>
        <w:rPr>
          <w:rFonts w:ascii="Arial" w:hAnsi="Arial" w:cs="Arial"/>
          <w:sz w:val="20"/>
          <w:szCs w:val="20"/>
        </w:rPr>
        <w:t xml:space="preserve"> </w:t>
      </w:r>
      <w:r w:rsidR="006E3BEE" w:rsidRPr="006E3BEE">
        <w:rPr>
          <w:rFonts w:ascii="Arial" w:hAnsi="Arial" w:cs="Arial"/>
          <w:i/>
          <w:iCs/>
          <w:sz w:val="20"/>
          <w:szCs w:val="20"/>
        </w:rPr>
        <w:t>Parinari curatellifolia</w:t>
      </w:r>
      <w:r w:rsidR="006E3BEE" w:rsidRPr="006E3BEE">
        <w:rPr>
          <w:rFonts w:ascii="Arial" w:hAnsi="Arial" w:cs="Arial"/>
          <w:sz w:val="20"/>
          <w:szCs w:val="20"/>
        </w:rPr>
        <w:t xml:space="preserve">, </w:t>
      </w:r>
      <w:r w:rsidR="00403B80">
        <w:rPr>
          <w:rFonts w:ascii="Arial" w:hAnsi="Arial" w:cs="Arial"/>
          <w:sz w:val="20"/>
          <w:szCs w:val="20"/>
        </w:rPr>
        <w:t xml:space="preserve">anti-bacterial, </w:t>
      </w:r>
      <w:r w:rsidR="006E3BEE" w:rsidRPr="006E3BEE">
        <w:rPr>
          <w:rFonts w:ascii="Arial" w:hAnsi="Arial" w:cs="Arial"/>
          <w:sz w:val="20"/>
          <w:szCs w:val="20"/>
        </w:rPr>
        <w:t xml:space="preserve">anti-inflammatory, </w:t>
      </w:r>
      <w:r w:rsidR="00E04FC5">
        <w:rPr>
          <w:rFonts w:ascii="Arial" w:hAnsi="Arial" w:cs="Arial"/>
          <w:sz w:val="20"/>
          <w:szCs w:val="20"/>
        </w:rPr>
        <w:t>pneumonia,</w:t>
      </w:r>
      <w:r w:rsidR="006E3BEE" w:rsidRPr="006E3BEE">
        <w:rPr>
          <w:rFonts w:ascii="Arial" w:hAnsi="Arial" w:cs="Arial"/>
          <w:sz w:val="20"/>
          <w:szCs w:val="20"/>
        </w:rPr>
        <w:t xml:space="preserve"> secondary metabolites</w:t>
      </w:r>
    </w:p>
    <w:p w14:paraId="028B741E" w14:textId="67F8F490" w:rsidR="007C4222" w:rsidRDefault="007C4222" w:rsidP="00D344A2">
      <w:pPr>
        <w:autoSpaceDE w:val="0"/>
        <w:autoSpaceDN w:val="0"/>
        <w:adjustRightInd w:val="0"/>
        <w:jc w:val="both"/>
        <w:rPr>
          <w:rFonts w:ascii="Arial" w:hAnsi="Arial" w:cs="Arial"/>
          <w:sz w:val="20"/>
          <w:szCs w:val="20"/>
        </w:rPr>
      </w:pPr>
    </w:p>
    <w:p w14:paraId="3AF245F7" w14:textId="77777777" w:rsidR="007C4222" w:rsidRDefault="007C4222" w:rsidP="00D344A2">
      <w:pPr>
        <w:autoSpaceDE w:val="0"/>
        <w:autoSpaceDN w:val="0"/>
        <w:adjustRightInd w:val="0"/>
        <w:jc w:val="both"/>
      </w:pPr>
    </w:p>
    <w:p w14:paraId="7B72EEDE" w14:textId="77777777" w:rsidR="007C4222" w:rsidRDefault="007C4222" w:rsidP="00D344A2">
      <w:pPr>
        <w:autoSpaceDE w:val="0"/>
        <w:autoSpaceDN w:val="0"/>
        <w:adjustRightInd w:val="0"/>
        <w:jc w:val="both"/>
        <w:rPr>
          <w:rFonts w:ascii="TimesNewRomanPSMT" w:hAnsi="TimesNewRomanPSMT" w:cs="TimesNewRomanPSMT"/>
          <w:sz w:val="19"/>
          <w:szCs w:val="19"/>
        </w:rPr>
      </w:pPr>
    </w:p>
    <w:p w14:paraId="0342BF33" w14:textId="77777777" w:rsidR="007C4222" w:rsidRDefault="007C4222" w:rsidP="00D344A2">
      <w:pPr>
        <w:autoSpaceDE w:val="0"/>
        <w:autoSpaceDN w:val="0"/>
        <w:adjustRightInd w:val="0"/>
        <w:jc w:val="both"/>
      </w:pPr>
    </w:p>
    <w:p w14:paraId="32ADC771" w14:textId="77777777" w:rsidR="007C4222" w:rsidRDefault="007C4222" w:rsidP="00D344A2">
      <w:pPr>
        <w:autoSpaceDE w:val="0"/>
        <w:autoSpaceDN w:val="0"/>
        <w:adjustRightInd w:val="0"/>
        <w:jc w:val="both"/>
      </w:pPr>
    </w:p>
    <w:p w14:paraId="4FC91192" w14:textId="77777777" w:rsidR="007C4222" w:rsidRDefault="007C4222" w:rsidP="00D344A2">
      <w:pPr>
        <w:jc w:val="both"/>
      </w:pPr>
    </w:p>
    <w:p w14:paraId="6FB3DE82" w14:textId="77777777" w:rsidR="007C4222" w:rsidRDefault="007C4222" w:rsidP="00D344A2">
      <w:pPr>
        <w:jc w:val="both"/>
      </w:pPr>
    </w:p>
    <w:p w14:paraId="200B4186" w14:textId="68C1B8DF" w:rsidR="007C4222" w:rsidRDefault="008006B3" w:rsidP="00D344A2">
      <w:pPr>
        <w:jc w:val="both"/>
        <w:rPr>
          <w:rStyle w:val="Hyperlink"/>
        </w:rPr>
      </w:pPr>
      <w:r>
        <w:rPr>
          <w:rStyle w:val="Hyperlink"/>
        </w:rPr>
        <w:br w:type="page"/>
      </w:r>
    </w:p>
    <w:p w14:paraId="6ADD6527" w14:textId="77777777" w:rsidR="007C4222" w:rsidRDefault="008006B3" w:rsidP="00D344A2">
      <w:pPr>
        <w:pStyle w:val="Heading1"/>
        <w:jc w:val="both"/>
        <w:rPr>
          <w:rFonts w:cs="Arial"/>
          <w:szCs w:val="24"/>
        </w:rPr>
      </w:pPr>
      <w:r>
        <w:rPr>
          <w:rFonts w:cs="Arial"/>
          <w:szCs w:val="24"/>
        </w:rPr>
        <w:lastRenderedPageBreak/>
        <w:t>Introduction</w:t>
      </w:r>
    </w:p>
    <w:p w14:paraId="4A7E8134" w14:textId="1EBDA850" w:rsidR="007C4222" w:rsidRDefault="008006B3" w:rsidP="00D344A2">
      <w:pPr>
        <w:jc w:val="both"/>
        <w:rPr>
          <w:rFonts w:ascii="Arial" w:hAnsi="Arial" w:cs="Arial"/>
          <w:sz w:val="20"/>
          <w:szCs w:val="20"/>
        </w:rPr>
      </w:pPr>
      <w:bookmarkStart w:id="2" w:name="_Hlk191162183"/>
      <w:bookmarkStart w:id="3" w:name="_Hlk191149662"/>
      <w:r>
        <w:rPr>
          <w:rFonts w:ascii="Arial" w:hAnsi="Arial" w:cs="Arial"/>
          <w:sz w:val="20"/>
          <w:szCs w:val="20"/>
        </w:rPr>
        <w:t xml:space="preserve"> </w:t>
      </w:r>
    </w:p>
    <w:bookmarkEnd w:id="2"/>
    <w:p w14:paraId="722F816D" w14:textId="77777777" w:rsidR="007C4222" w:rsidRDefault="007C4222" w:rsidP="00D344A2">
      <w:pPr>
        <w:jc w:val="both"/>
      </w:pPr>
    </w:p>
    <w:bookmarkEnd w:id="3"/>
    <w:p w14:paraId="23853520" w14:textId="77777777" w:rsidR="007C4222" w:rsidRPr="00EF57C5" w:rsidRDefault="008006B3" w:rsidP="00D344A2">
      <w:pPr>
        <w:pStyle w:val="Heading2"/>
        <w:jc w:val="both"/>
        <w:rPr>
          <w:i/>
          <w:sz w:val="20"/>
          <w:szCs w:val="20"/>
        </w:rPr>
      </w:pPr>
      <w:r w:rsidRPr="00EF57C5">
        <w:rPr>
          <w:i/>
          <w:sz w:val="20"/>
          <w:szCs w:val="20"/>
        </w:rPr>
        <w:t xml:space="preserve">Parinari curatellifolia </w:t>
      </w:r>
    </w:p>
    <w:p w14:paraId="1E77C8CE" w14:textId="04351FA1" w:rsidR="00B013B8" w:rsidRDefault="00B013B8" w:rsidP="00D344A2">
      <w:pPr>
        <w:jc w:val="both"/>
        <w:rPr>
          <w:rFonts w:ascii="Arial" w:hAnsi="Arial" w:cs="Arial"/>
          <w:sz w:val="20"/>
          <w:szCs w:val="20"/>
        </w:rPr>
      </w:pPr>
      <w:r w:rsidRPr="00A21894">
        <w:rPr>
          <w:rFonts w:ascii="Arial" w:hAnsi="Arial" w:cs="Arial"/>
          <w:i/>
          <w:iCs/>
          <w:sz w:val="20"/>
          <w:szCs w:val="20"/>
        </w:rPr>
        <w:t>Parinari curate</w:t>
      </w:r>
      <w:r w:rsidR="00E04FC5" w:rsidRPr="00A21894">
        <w:rPr>
          <w:rFonts w:ascii="Arial" w:hAnsi="Arial" w:cs="Arial"/>
          <w:i/>
          <w:iCs/>
          <w:sz w:val="20"/>
          <w:szCs w:val="20"/>
        </w:rPr>
        <w:t>ll</w:t>
      </w:r>
      <w:r w:rsidRPr="00A21894">
        <w:rPr>
          <w:rFonts w:ascii="Arial" w:hAnsi="Arial" w:cs="Arial"/>
          <w:i/>
          <w:iCs/>
          <w:sz w:val="20"/>
          <w:szCs w:val="20"/>
        </w:rPr>
        <w:t>ifolia (P</w:t>
      </w:r>
      <w:r w:rsidRPr="00FD2BF9">
        <w:rPr>
          <w:rFonts w:ascii="Arial" w:hAnsi="Arial" w:cs="Arial"/>
          <w:i/>
          <w:iCs/>
          <w:sz w:val="20"/>
          <w:szCs w:val="20"/>
          <w:highlight w:val="yellow"/>
        </w:rPr>
        <w:t>. curate</w:t>
      </w:r>
      <w:r w:rsidR="00E04FC5" w:rsidRPr="00FD2BF9">
        <w:rPr>
          <w:rFonts w:ascii="Arial" w:hAnsi="Arial" w:cs="Arial"/>
          <w:i/>
          <w:iCs/>
          <w:sz w:val="20"/>
          <w:szCs w:val="20"/>
          <w:highlight w:val="yellow"/>
        </w:rPr>
        <w:t>ll</w:t>
      </w:r>
      <w:r w:rsidRPr="00FD2BF9">
        <w:rPr>
          <w:rFonts w:ascii="Arial" w:hAnsi="Arial" w:cs="Arial"/>
          <w:i/>
          <w:iCs/>
          <w:sz w:val="20"/>
          <w:szCs w:val="20"/>
          <w:highlight w:val="yellow"/>
        </w:rPr>
        <w:t>ifolia</w:t>
      </w:r>
      <w:r w:rsidRPr="00FD2BF9">
        <w:rPr>
          <w:rFonts w:ascii="Arial" w:hAnsi="Arial" w:cs="Arial"/>
          <w:sz w:val="20"/>
          <w:szCs w:val="20"/>
          <w:highlight w:val="yellow"/>
        </w:rPr>
        <w:t xml:space="preserve">), is known in varying regions of Zimbabwe as </w:t>
      </w:r>
      <w:r w:rsidRPr="00FD2BF9">
        <w:rPr>
          <w:rFonts w:ascii="Arial" w:hAnsi="Arial" w:cs="Arial"/>
          <w:i/>
          <w:iCs/>
          <w:sz w:val="20"/>
          <w:szCs w:val="20"/>
          <w:highlight w:val="yellow"/>
        </w:rPr>
        <w:t>muchakata, mubuni, mobola, muisha</w:t>
      </w:r>
      <w:r w:rsidR="00D12278" w:rsidRPr="00FD2BF9">
        <w:rPr>
          <w:rFonts w:ascii="Arial" w:hAnsi="Arial" w:cs="Arial"/>
          <w:i/>
          <w:iCs/>
          <w:sz w:val="20"/>
          <w:szCs w:val="20"/>
          <w:highlight w:val="yellow"/>
        </w:rPr>
        <w:t xml:space="preserve"> and umkhuna</w:t>
      </w:r>
      <w:r w:rsidR="00D12278" w:rsidRPr="00FD2BF9">
        <w:rPr>
          <w:rFonts w:ascii="Arial" w:hAnsi="Arial" w:cs="Arial"/>
          <w:sz w:val="20"/>
          <w:szCs w:val="20"/>
          <w:highlight w:val="yellow"/>
        </w:rPr>
        <w:t xml:space="preserve"> [1]</w:t>
      </w:r>
      <w:r w:rsidRPr="00FD2BF9">
        <w:rPr>
          <w:rFonts w:ascii="Arial" w:hAnsi="Arial" w:cs="Arial"/>
          <w:sz w:val="20"/>
          <w:szCs w:val="20"/>
          <w:highlight w:val="yellow"/>
        </w:rPr>
        <w:t>.</w:t>
      </w:r>
      <w:r w:rsidR="00D12278" w:rsidRPr="00FD2BF9">
        <w:rPr>
          <w:highlight w:val="yellow"/>
        </w:rPr>
        <w:t xml:space="preserve"> </w:t>
      </w:r>
      <w:r w:rsidR="00D12278" w:rsidRPr="00FD2BF9">
        <w:rPr>
          <w:rFonts w:ascii="Arial" w:hAnsi="Arial" w:cs="Arial"/>
          <w:sz w:val="20"/>
          <w:szCs w:val="20"/>
          <w:highlight w:val="yellow"/>
        </w:rPr>
        <w:t xml:space="preserve">Previously classified under the </w:t>
      </w:r>
      <w:r w:rsidR="00D12278" w:rsidRPr="00FD2BF9">
        <w:rPr>
          <w:rFonts w:ascii="Arial" w:hAnsi="Arial" w:cs="Arial"/>
          <w:i/>
          <w:iCs/>
          <w:sz w:val="20"/>
          <w:szCs w:val="20"/>
          <w:highlight w:val="yellow"/>
        </w:rPr>
        <w:t>Rosaceae</w:t>
      </w:r>
      <w:r w:rsidR="00D12278" w:rsidRPr="00FD2BF9">
        <w:rPr>
          <w:rFonts w:ascii="Arial" w:hAnsi="Arial" w:cs="Arial"/>
          <w:sz w:val="20"/>
          <w:szCs w:val="20"/>
          <w:highlight w:val="yellow"/>
        </w:rPr>
        <w:t xml:space="preserve"> order </w:t>
      </w:r>
      <w:r w:rsidR="00D12278" w:rsidRPr="00FD2BF9">
        <w:rPr>
          <w:rFonts w:ascii="Arial" w:hAnsi="Arial" w:cs="Arial"/>
          <w:i/>
          <w:iCs/>
          <w:sz w:val="20"/>
          <w:szCs w:val="20"/>
          <w:highlight w:val="yellow"/>
        </w:rPr>
        <w:t>P. curatellifolia</w:t>
      </w:r>
      <w:r w:rsidR="00D12278" w:rsidRPr="00FD2BF9">
        <w:rPr>
          <w:rFonts w:ascii="Arial" w:hAnsi="Arial" w:cs="Arial"/>
          <w:sz w:val="20"/>
          <w:szCs w:val="20"/>
          <w:highlight w:val="yellow"/>
        </w:rPr>
        <w:t xml:space="preserve"> belongs to the </w:t>
      </w:r>
      <w:r w:rsidR="00D12278" w:rsidRPr="00FD2BF9">
        <w:rPr>
          <w:rFonts w:ascii="Arial" w:hAnsi="Arial" w:cs="Arial"/>
          <w:i/>
          <w:iCs/>
          <w:sz w:val="20"/>
          <w:szCs w:val="20"/>
          <w:highlight w:val="yellow"/>
        </w:rPr>
        <w:t xml:space="preserve">Chrysobalancaceae </w:t>
      </w:r>
      <w:r w:rsidR="00D12278" w:rsidRPr="00FD2BF9">
        <w:rPr>
          <w:rFonts w:ascii="Arial" w:hAnsi="Arial" w:cs="Arial"/>
          <w:sz w:val="20"/>
          <w:szCs w:val="20"/>
          <w:highlight w:val="yellow"/>
        </w:rPr>
        <w:t xml:space="preserve">family </w:t>
      </w:r>
      <w:r w:rsidR="00D458C3" w:rsidRPr="00FD2BF9">
        <w:rPr>
          <w:rFonts w:ascii="Arial" w:hAnsi="Arial" w:cs="Arial"/>
          <w:sz w:val="20"/>
          <w:szCs w:val="20"/>
          <w:highlight w:val="yellow"/>
        </w:rPr>
        <w:t>[2,</w:t>
      </w:r>
      <w:r w:rsidR="00D12278" w:rsidRPr="00FD2BF9">
        <w:rPr>
          <w:rFonts w:ascii="Arial" w:hAnsi="Arial" w:cs="Arial"/>
          <w:sz w:val="20"/>
          <w:szCs w:val="20"/>
          <w:highlight w:val="yellow"/>
        </w:rPr>
        <w:t>3].</w:t>
      </w:r>
      <w:r w:rsidR="00D12278" w:rsidRPr="00FD2BF9">
        <w:rPr>
          <w:highlight w:val="yellow"/>
        </w:rPr>
        <w:t xml:space="preserve"> </w:t>
      </w:r>
      <w:r w:rsidR="00D12278" w:rsidRPr="00FD2BF9">
        <w:rPr>
          <w:rFonts w:ascii="Arial" w:hAnsi="Arial" w:cs="Arial"/>
          <w:sz w:val="20"/>
          <w:szCs w:val="20"/>
          <w:highlight w:val="yellow"/>
        </w:rPr>
        <w:t>It is a medium to large evergreen tree that can grow up to 20m tall, with a bare stem and a dense, roundish mushroom-shaped crown [3].</w:t>
      </w:r>
      <w:r w:rsidR="00D12278" w:rsidRPr="00FD2BF9">
        <w:rPr>
          <w:highlight w:val="yellow"/>
        </w:rPr>
        <w:t xml:space="preserve"> </w:t>
      </w:r>
      <w:r w:rsidR="00D12278" w:rsidRPr="00FD2BF9">
        <w:rPr>
          <w:rFonts w:ascii="Arial" w:hAnsi="Arial" w:cs="Arial"/>
          <w:sz w:val="20"/>
          <w:szCs w:val="20"/>
          <w:highlight w:val="yellow"/>
        </w:rPr>
        <w:t xml:space="preserve">The trees’ small, white fragrant flowers are borne in large </w:t>
      </w:r>
      <w:r w:rsidR="00D458C3" w:rsidRPr="00FD2BF9">
        <w:rPr>
          <w:rFonts w:ascii="Arial" w:hAnsi="Arial" w:cs="Arial"/>
          <w:sz w:val="20"/>
          <w:szCs w:val="20"/>
          <w:highlight w:val="yellow"/>
        </w:rPr>
        <w:t>panicles,</w:t>
      </w:r>
      <w:r w:rsidR="00D12278" w:rsidRPr="00FD2BF9">
        <w:rPr>
          <w:rFonts w:ascii="Arial" w:hAnsi="Arial" w:cs="Arial"/>
          <w:sz w:val="20"/>
          <w:szCs w:val="20"/>
          <w:highlight w:val="yellow"/>
        </w:rPr>
        <w:t xml:space="preserve"> and the fruit</w:t>
      </w:r>
      <w:r w:rsidR="00D458C3" w:rsidRPr="00FD2BF9">
        <w:rPr>
          <w:rFonts w:ascii="Arial" w:hAnsi="Arial" w:cs="Arial"/>
          <w:sz w:val="20"/>
          <w:szCs w:val="20"/>
          <w:highlight w:val="yellow"/>
        </w:rPr>
        <w:t xml:space="preserve"> is</w:t>
      </w:r>
      <w:r w:rsidR="00D12278" w:rsidRPr="00FD2BF9">
        <w:rPr>
          <w:rFonts w:ascii="Arial" w:hAnsi="Arial" w:cs="Arial"/>
          <w:sz w:val="20"/>
          <w:szCs w:val="20"/>
          <w:highlight w:val="yellow"/>
        </w:rPr>
        <w:t xml:space="preserve"> fleshy and yellow when ripe containing a single seed [4,5].</w:t>
      </w:r>
      <w:r w:rsidR="00D12278" w:rsidRPr="00FD2BF9">
        <w:rPr>
          <w:highlight w:val="yellow"/>
        </w:rPr>
        <w:t xml:space="preserve"> </w:t>
      </w:r>
      <w:r w:rsidR="00D12278" w:rsidRPr="00FD2BF9">
        <w:rPr>
          <w:rFonts w:ascii="Arial" w:hAnsi="Arial" w:cs="Arial"/>
          <w:sz w:val="20"/>
          <w:szCs w:val="20"/>
          <w:highlight w:val="yellow"/>
        </w:rPr>
        <w:t xml:space="preserve">This species is widespread throughout </w:t>
      </w:r>
      <w:r w:rsidR="00D458C3" w:rsidRPr="00FD2BF9">
        <w:rPr>
          <w:rFonts w:ascii="Arial" w:hAnsi="Arial" w:cs="Arial"/>
          <w:sz w:val="20"/>
          <w:szCs w:val="20"/>
          <w:highlight w:val="yellow"/>
        </w:rPr>
        <w:t>Southern Africa</w:t>
      </w:r>
      <w:r w:rsidR="00D12278" w:rsidRPr="00D12278">
        <w:rPr>
          <w:rFonts w:ascii="Arial" w:hAnsi="Arial" w:cs="Arial"/>
          <w:sz w:val="20"/>
          <w:szCs w:val="20"/>
        </w:rPr>
        <w:t xml:space="preserve"> and is an indigenous fruit species that serves as a food source for many rural communities, and an important medicinal plant [6,7].</w:t>
      </w:r>
      <w:r>
        <w:rPr>
          <w:rFonts w:ascii="Arial" w:hAnsi="Arial" w:cs="Arial"/>
          <w:sz w:val="20"/>
          <w:szCs w:val="20"/>
        </w:rPr>
        <w:t xml:space="preserve"> Traditionally, it has been used to treat a variety of ailments </w:t>
      </w:r>
      <w:r w:rsidR="00D458C3">
        <w:rPr>
          <w:rFonts w:ascii="Arial" w:hAnsi="Arial" w:cs="Arial"/>
          <w:sz w:val="20"/>
          <w:szCs w:val="20"/>
        </w:rPr>
        <w:t>mostly</w:t>
      </w:r>
      <w:r>
        <w:rPr>
          <w:rFonts w:ascii="Arial" w:hAnsi="Arial" w:cs="Arial"/>
          <w:sz w:val="20"/>
          <w:szCs w:val="20"/>
        </w:rPr>
        <w:t xml:space="preserve"> pneumonia</w:t>
      </w:r>
      <w:r w:rsidR="00D458C3">
        <w:rPr>
          <w:rFonts w:ascii="Arial" w:hAnsi="Arial" w:cs="Arial"/>
          <w:sz w:val="20"/>
          <w:szCs w:val="20"/>
        </w:rPr>
        <w:t xml:space="preserve"> as well as</w:t>
      </w:r>
      <w:r>
        <w:rPr>
          <w:rFonts w:ascii="Arial" w:hAnsi="Arial" w:cs="Arial"/>
          <w:sz w:val="20"/>
          <w:szCs w:val="20"/>
        </w:rPr>
        <w:t xml:space="preserve"> fever, bacterial </w:t>
      </w:r>
      <w:r w:rsidR="00FD2BF9">
        <w:rPr>
          <w:rFonts w:ascii="Arial" w:hAnsi="Arial" w:cs="Arial"/>
          <w:sz w:val="20"/>
          <w:szCs w:val="20"/>
        </w:rPr>
        <w:t>infections,</w:t>
      </w:r>
      <w:r>
        <w:rPr>
          <w:rFonts w:ascii="Arial" w:hAnsi="Arial" w:cs="Arial"/>
          <w:sz w:val="20"/>
          <w:szCs w:val="20"/>
        </w:rPr>
        <w:t xml:space="preserve"> and inflammato</w:t>
      </w:r>
      <w:r w:rsidR="00EF57C5">
        <w:rPr>
          <w:rFonts w:ascii="Arial" w:hAnsi="Arial" w:cs="Arial"/>
          <w:sz w:val="20"/>
          <w:szCs w:val="20"/>
        </w:rPr>
        <w:t>ry disorders [7</w:t>
      </w:r>
      <w:r w:rsidR="00D458C3">
        <w:rPr>
          <w:rFonts w:ascii="Arial" w:hAnsi="Arial" w:cs="Arial"/>
          <w:sz w:val="20"/>
          <w:szCs w:val="20"/>
        </w:rPr>
        <w:t>,8,</w:t>
      </w:r>
      <w:r w:rsidR="00EF57C5">
        <w:rPr>
          <w:rFonts w:ascii="Arial" w:hAnsi="Arial" w:cs="Arial"/>
          <w:sz w:val="20"/>
          <w:szCs w:val="20"/>
        </w:rPr>
        <w:t>9].</w:t>
      </w:r>
      <w:r>
        <w:rPr>
          <w:rFonts w:ascii="Arial" w:hAnsi="Arial" w:cs="Arial"/>
          <w:sz w:val="20"/>
          <w:szCs w:val="20"/>
        </w:rPr>
        <w:t xml:space="preserve"> The bark and leaf extracts can also be used for tanning, and bark produces a pink-brown dye which is used in bask</w:t>
      </w:r>
      <w:r w:rsidR="00EF57C5">
        <w:rPr>
          <w:rFonts w:ascii="Arial" w:hAnsi="Arial" w:cs="Arial"/>
          <w:sz w:val="20"/>
          <w:szCs w:val="20"/>
        </w:rPr>
        <w:t>et work [10].</w:t>
      </w:r>
    </w:p>
    <w:p w14:paraId="7895C245" w14:textId="77777777" w:rsidR="00B013B8" w:rsidRPr="00B013B8" w:rsidRDefault="00B013B8" w:rsidP="00D344A2">
      <w:pPr>
        <w:jc w:val="both"/>
      </w:pPr>
    </w:p>
    <w:p w14:paraId="4853D049" w14:textId="77777777" w:rsidR="007C4222" w:rsidRDefault="007C4222" w:rsidP="00D344A2">
      <w:pPr>
        <w:pBdr>
          <w:top w:val="single" w:sz="4" w:space="0" w:color="7F7F7F" w:themeColor="text1" w:themeTint="80"/>
          <w:left w:val="single" w:sz="4" w:space="1" w:color="7F7F7F" w:themeColor="text1" w:themeTint="80"/>
          <w:bottom w:val="single" w:sz="4" w:space="9" w:color="7F7F7F" w:themeColor="text1" w:themeTint="80"/>
          <w:right w:val="single" w:sz="4" w:space="0" w:color="7F7F7F" w:themeColor="text1" w:themeTint="80"/>
        </w:pBdr>
        <w:jc w:val="both"/>
        <w:rPr>
          <w:rFonts w:ascii="Arial" w:hAnsi="Arial" w:cs="Arial"/>
          <w:sz w:val="20"/>
          <w:szCs w:val="20"/>
          <w:lang w:val="en-US"/>
        </w:rPr>
      </w:pPr>
    </w:p>
    <w:p w14:paraId="526A5B2F" w14:textId="77777777" w:rsidR="007C4222" w:rsidRDefault="008006B3" w:rsidP="00D344A2">
      <w:pPr>
        <w:pBdr>
          <w:top w:val="single" w:sz="4" w:space="0" w:color="7F7F7F" w:themeColor="text1" w:themeTint="80"/>
          <w:left w:val="single" w:sz="4" w:space="1" w:color="7F7F7F" w:themeColor="text1" w:themeTint="80"/>
          <w:bottom w:val="single" w:sz="4" w:space="9" w:color="7F7F7F" w:themeColor="text1" w:themeTint="80"/>
          <w:right w:val="single" w:sz="4" w:space="0" w:color="7F7F7F" w:themeColor="text1" w:themeTint="80"/>
        </w:pBdr>
        <w:jc w:val="both"/>
      </w:pPr>
      <w:r>
        <w:t xml:space="preserve">   </w:t>
      </w:r>
      <w:r>
        <w:rPr>
          <w:rFonts w:ascii="Arial" w:hAnsi="Arial" w:cs="Arial"/>
          <w:noProof/>
          <w:sz w:val="20"/>
          <w:szCs w:val="20"/>
          <w:lang w:val="en-ZA" w:eastAsia="en-ZA"/>
        </w:rPr>
        <w:drawing>
          <wp:inline distT="0" distB="0" distL="0" distR="0" wp14:anchorId="6C20F8EB" wp14:editId="3A6D7243">
            <wp:extent cx="1805322" cy="1830380"/>
            <wp:effectExtent l="0" t="0" r="4445" b="0"/>
            <wp:docPr id="751180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18061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7328" cy="1832413"/>
                    </a:xfrm>
                    <a:prstGeom prst="rect">
                      <a:avLst/>
                    </a:prstGeom>
                  </pic:spPr>
                </pic:pic>
              </a:graphicData>
            </a:graphic>
          </wp:inline>
        </w:drawing>
      </w:r>
      <w:r>
        <w:rPr>
          <w:noProof/>
          <w:lang w:val="en-ZA" w:eastAsia="en-ZA"/>
        </w:rPr>
        <w:drawing>
          <wp:inline distT="0" distB="0" distL="0" distR="0" wp14:anchorId="67E8764A" wp14:editId="56955868">
            <wp:extent cx="1966358" cy="1820235"/>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7045" cy="1867156"/>
                    </a:xfrm>
                    <a:prstGeom prst="rect">
                      <a:avLst/>
                    </a:prstGeom>
                    <a:noFill/>
                    <a:ln>
                      <a:noFill/>
                    </a:ln>
                  </pic:spPr>
                </pic:pic>
              </a:graphicData>
            </a:graphic>
          </wp:inline>
        </w:drawing>
      </w:r>
      <w:r>
        <w:t xml:space="preserve">  </w:t>
      </w:r>
      <w:r>
        <w:rPr>
          <w:noProof/>
          <w:lang w:val="en-ZA" w:eastAsia="en-ZA"/>
        </w:rPr>
        <w:drawing>
          <wp:inline distT="0" distB="0" distL="0" distR="0" wp14:anchorId="41D7E174" wp14:editId="5AA34165">
            <wp:extent cx="1699843" cy="1845635"/>
            <wp:effectExtent l="0" t="0" r="0" b="2540"/>
            <wp:docPr id="387616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16348"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3273" cy="1968794"/>
                    </a:xfrm>
                    <a:prstGeom prst="rect">
                      <a:avLst/>
                    </a:prstGeom>
                  </pic:spPr>
                </pic:pic>
              </a:graphicData>
            </a:graphic>
          </wp:inline>
        </w:drawing>
      </w:r>
    </w:p>
    <w:p w14:paraId="5538EBAC" w14:textId="3DC14173" w:rsidR="007C4222" w:rsidRDefault="008006B3" w:rsidP="00D344A2">
      <w:pPr>
        <w:pStyle w:val="Caption"/>
        <w:jc w:val="both"/>
        <w:rPr>
          <w:rFonts w:ascii="Arial" w:hAnsi="Arial" w:cs="Arial"/>
          <w:sz w:val="20"/>
          <w:szCs w:val="20"/>
          <w:lang w:val="en-US"/>
        </w:rPr>
      </w:pPr>
      <w:r>
        <w:t xml:space="preserve">Figure </w:t>
      </w:r>
      <w:fldSimple w:instr=" SEQ Figure \* ARABIC ">
        <w:r w:rsidR="007C4222">
          <w:t>1</w:t>
        </w:r>
      </w:fldSimple>
      <w:r>
        <w:t xml:space="preserve">: Images of P </w:t>
      </w:r>
      <w:r w:rsidR="00E04FC5">
        <w:t>curatellifolia</w:t>
      </w:r>
      <w:r>
        <w:t xml:space="preserve"> plant, aerial parts, </w:t>
      </w:r>
      <w:r w:rsidR="00FD2BF9">
        <w:t>foliage,</w:t>
      </w:r>
      <w:r>
        <w:t xml:space="preserve"> and </w:t>
      </w:r>
      <w:r w:rsidR="00FD2BF9">
        <w:t>fruit.</w:t>
      </w:r>
    </w:p>
    <w:p w14:paraId="03B5F7E9" w14:textId="6A7D2003" w:rsidR="007C4222" w:rsidRDefault="008006B3" w:rsidP="00D344A2">
      <w:pPr>
        <w:pStyle w:val="Heading2"/>
        <w:jc w:val="both"/>
        <w:rPr>
          <w:sz w:val="20"/>
          <w:szCs w:val="20"/>
        </w:rPr>
      </w:pPr>
      <w:r>
        <w:rPr>
          <w:sz w:val="20"/>
          <w:szCs w:val="20"/>
        </w:rPr>
        <w:t xml:space="preserve">Antibacterial </w:t>
      </w:r>
      <w:r w:rsidR="00B013B8">
        <w:rPr>
          <w:sz w:val="20"/>
          <w:szCs w:val="20"/>
        </w:rPr>
        <w:t xml:space="preserve">activity of </w:t>
      </w:r>
      <w:r>
        <w:rPr>
          <w:sz w:val="20"/>
          <w:szCs w:val="20"/>
        </w:rPr>
        <w:t xml:space="preserve">Secondary metabolites </w:t>
      </w:r>
    </w:p>
    <w:p w14:paraId="271A0C4D" w14:textId="0D9972E6" w:rsidR="007C4222" w:rsidRDefault="008006B3" w:rsidP="00D344A2">
      <w:pPr>
        <w:contextualSpacing/>
        <w:jc w:val="both"/>
        <w:rPr>
          <w:rFonts w:ascii="Arial" w:hAnsi="Arial" w:cs="Arial"/>
          <w:i/>
          <w:iCs/>
          <w:sz w:val="20"/>
          <w:szCs w:val="20"/>
          <w:lang w:val="en-US"/>
        </w:rPr>
      </w:pPr>
      <w:r>
        <w:rPr>
          <w:rFonts w:ascii="Arial" w:hAnsi="Arial" w:cs="Arial"/>
          <w:sz w:val="20"/>
          <w:szCs w:val="20"/>
          <w:lang w:val="en-US"/>
        </w:rPr>
        <w:t>Resistance to conventional antimicrobial drugs has been on the rise and this has necessitated the need to discover more effective therapies. Antibiotic-resistant bacterial infections account for more than a million deaths worldwide every year, with the number expected to rise over the next decades unless new antibiot</w:t>
      </w:r>
      <w:r w:rsidR="00EF57C5">
        <w:rPr>
          <w:rFonts w:ascii="Arial" w:hAnsi="Arial" w:cs="Arial"/>
          <w:sz w:val="20"/>
          <w:szCs w:val="20"/>
          <w:lang w:val="en-US"/>
        </w:rPr>
        <w:t>ics can be developed [11]</w:t>
      </w:r>
      <w:r>
        <w:rPr>
          <w:rFonts w:ascii="Arial" w:hAnsi="Arial" w:cs="Arial"/>
          <w:sz w:val="20"/>
          <w:szCs w:val="20"/>
          <w:lang w:val="en-US"/>
        </w:rPr>
        <w:t>. Plants are a promising source of antibiotics due to their diverse array of bioactive secondary metabolites. Secondary metabolites are diverse chemical structures that play a role in the adaptation of plants to their environment, for example in defense against predators and pests but are not essential for their life and are broadly classified in three groups: phenolics, terpenes and steroids</w:t>
      </w:r>
      <w:r w:rsidR="00EF57C5">
        <w:rPr>
          <w:rFonts w:ascii="Arial" w:hAnsi="Arial" w:cs="Arial"/>
          <w:sz w:val="20"/>
          <w:szCs w:val="20"/>
          <w:lang w:val="en-US"/>
        </w:rPr>
        <w:t>, and alkaloids [12]</w:t>
      </w:r>
      <w:r>
        <w:rPr>
          <w:rFonts w:ascii="Arial" w:hAnsi="Arial" w:cs="Arial"/>
          <w:sz w:val="20"/>
          <w:szCs w:val="20"/>
          <w:lang w:val="en-US"/>
        </w:rPr>
        <w:t>.</w:t>
      </w:r>
    </w:p>
    <w:p w14:paraId="24222B3A" w14:textId="3A61D58C" w:rsidR="007C4222" w:rsidRDefault="008006B3" w:rsidP="00D344A2">
      <w:pPr>
        <w:contextualSpacing/>
        <w:jc w:val="both"/>
        <w:rPr>
          <w:rFonts w:ascii="Arial" w:hAnsi="Arial" w:cs="Arial"/>
          <w:sz w:val="20"/>
          <w:szCs w:val="20"/>
          <w:lang w:val="en-US"/>
        </w:rPr>
      </w:pPr>
      <w:r>
        <w:rPr>
          <w:rFonts w:ascii="Arial" w:hAnsi="Arial" w:cs="Arial"/>
          <w:sz w:val="20"/>
          <w:szCs w:val="20"/>
          <w:lang w:val="en-US"/>
        </w:rPr>
        <w:t xml:space="preserve">Phenolics are found in leaves, stems, roots, flowers, and fruits and have demonstrated antimicrobial properties. Some of the most extensively studied compounds are eugenol, carvacrol, thymol, resveratrol, </w:t>
      </w:r>
      <w:r w:rsidR="00EF57C5">
        <w:rPr>
          <w:rFonts w:ascii="Arial" w:hAnsi="Arial" w:cs="Arial"/>
          <w:sz w:val="20"/>
          <w:szCs w:val="20"/>
          <w:lang w:val="en-US"/>
        </w:rPr>
        <w:t>cinnamaldehyde, and pyrogallol [13]</w:t>
      </w:r>
      <w:r>
        <w:rPr>
          <w:rFonts w:ascii="Arial" w:hAnsi="Arial" w:cs="Arial"/>
          <w:sz w:val="20"/>
          <w:szCs w:val="20"/>
          <w:lang w:val="en-US"/>
        </w:rPr>
        <w:t>. The ability of</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 xml:space="preserve">phenols and phenolic acids to link with and disable some bacterial enzymes essential for bacterial cell wall synthesis could play a positive role in the treatment of infections caused by resistant bacteria and their use as adjunct therapies to existing antibiotics could have a synergistic effect </w:t>
      </w:r>
      <w:r w:rsidR="00EF57C5">
        <w:rPr>
          <w:rFonts w:ascii="Arial" w:hAnsi="Arial" w:cs="Arial"/>
          <w:sz w:val="20"/>
          <w:szCs w:val="20"/>
          <w:lang w:val="en-US"/>
        </w:rPr>
        <w:t>[14]</w:t>
      </w:r>
      <w:r>
        <w:rPr>
          <w:rFonts w:ascii="Arial" w:hAnsi="Arial" w:cs="Arial"/>
          <w:sz w:val="20"/>
          <w:szCs w:val="20"/>
          <w:lang w:val="en-US"/>
        </w:rPr>
        <w:t xml:space="preserve">. Polyphenols can be classified as phenolic acids, flavonoids, lignans, stilbenes and tannins based on the number of aromatic rings and the structural </w:t>
      </w:r>
      <w:r w:rsidR="00FD2BF9">
        <w:rPr>
          <w:rFonts w:ascii="Arial" w:hAnsi="Arial" w:cs="Arial"/>
          <w:sz w:val="20"/>
          <w:szCs w:val="20"/>
          <w:lang w:val="en-US"/>
        </w:rPr>
        <w:t>elements but</w:t>
      </w:r>
      <w:r>
        <w:rPr>
          <w:rFonts w:ascii="Arial" w:hAnsi="Arial" w:cs="Arial"/>
          <w:sz w:val="20"/>
          <w:szCs w:val="20"/>
          <w:lang w:val="en-US"/>
        </w:rPr>
        <w:t xml:space="preserve"> can also be classified by their source of origin, natural distribution and biolo</w:t>
      </w:r>
      <w:r w:rsidR="00EF57C5">
        <w:rPr>
          <w:rFonts w:ascii="Arial" w:hAnsi="Arial" w:cs="Arial"/>
          <w:sz w:val="20"/>
          <w:szCs w:val="20"/>
          <w:lang w:val="en-US"/>
        </w:rPr>
        <w:t>gical activity [14]</w:t>
      </w:r>
      <w:r>
        <w:rPr>
          <w:rFonts w:ascii="Arial" w:hAnsi="Arial" w:cs="Arial"/>
          <w:sz w:val="20"/>
          <w:szCs w:val="20"/>
          <w:lang w:val="en-US"/>
        </w:rPr>
        <w:t>. Plant polyphenols</w:t>
      </w:r>
      <w:r w:rsidR="00D458C3">
        <w:rPr>
          <w:rFonts w:ascii="Arial" w:hAnsi="Arial" w:cs="Arial"/>
          <w:sz w:val="20"/>
          <w:szCs w:val="20"/>
          <w:lang w:val="en-US"/>
        </w:rPr>
        <w:t>’</w:t>
      </w:r>
      <w:r>
        <w:rPr>
          <w:rFonts w:ascii="Arial" w:hAnsi="Arial" w:cs="Arial"/>
          <w:sz w:val="20"/>
          <w:szCs w:val="20"/>
          <w:lang w:val="en-US"/>
        </w:rPr>
        <w:t xml:space="preserve"> antibacterial pathways include interaction with proteins and bacterial cell walls, alteration of the cytoplasmic functions and of membrane permeability, inhibition of energy metabolism </w:t>
      </w:r>
      <w:r w:rsidR="008F10D8">
        <w:rPr>
          <w:rFonts w:ascii="Arial" w:hAnsi="Arial" w:cs="Arial"/>
          <w:sz w:val="20"/>
          <w:szCs w:val="20"/>
          <w:lang w:val="en-US"/>
        </w:rPr>
        <w:t xml:space="preserve">  </w:t>
      </w:r>
      <w:r>
        <w:rPr>
          <w:rFonts w:ascii="Arial" w:hAnsi="Arial" w:cs="Arial"/>
          <w:sz w:val="20"/>
          <w:szCs w:val="20"/>
          <w:lang w:val="en-US"/>
        </w:rPr>
        <w:t>and DNA damage or inhibition of nucleic acids synthesis with mechanisms of inhibition differing, depending on the specific properties given by functional groups and aromatic rings as</w:t>
      </w:r>
      <w:r w:rsidR="00EF57C5">
        <w:rPr>
          <w:rFonts w:ascii="Arial" w:hAnsi="Arial" w:cs="Arial"/>
          <w:sz w:val="20"/>
          <w:szCs w:val="20"/>
          <w:lang w:val="en-US"/>
        </w:rPr>
        <w:t xml:space="preserve"> well as the bacterial species [15,14]. </w:t>
      </w:r>
      <w:r>
        <w:rPr>
          <w:rFonts w:ascii="Arial" w:hAnsi="Arial" w:cs="Arial"/>
          <w:sz w:val="20"/>
          <w:szCs w:val="20"/>
          <w:lang w:val="en-US"/>
        </w:rPr>
        <w:t>Terpenes are linear or cyclic hydrocarbons, whereas terpenoids are oxygen-</w:t>
      </w:r>
      <w:r w:rsidR="00FD2BF9">
        <w:rPr>
          <w:rFonts w:ascii="Arial" w:hAnsi="Arial" w:cs="Arial"/>
          <w:sz w:val="20"/>
          <w:szCs w:val="20"/>
          <w:lang w:val="en-US"/>
        </w:rPr>
        <w:t>containing</w:t>
      </w:r>
      <w:r>
        <w:rPr>
          <w:rFonts w:ascii="Arial" w:hAnsi="Arial" w:cs="Arial"/>
          <w:sz w:val="20"/>
          <w:szCs w:val="20"/>
          <w:lang w:val="en-US"/>
        </w:rPr>
        <w:t xml:space="preserve"> analogues found in all living organisms. Steroids are a subclass of terpenoids that are biosynthesized from terpene precursors</w:t>
      </w:r>
      <w:r w:rsidR="00EF57C5">
        <w:rPr>
          <w:rFonts w:ascii="Arial" w:hAnsi="Arial" w:cs="Arial"/>
          <w:sz w:val="20"/>
          <w:szCs w:val="20"/>
          <w:lang w:val="en-US"/>
        </w:rPr>
        <w:t xml:space="preserve">[16]. </w:t>
      </w:r>
      <w:r>
        <w:rPr>
          <w:rFonts w:ascii="Arial" w:hAnsi="Arial" w:cs="Arial"/>
          <w:sz w:val="20"/>
          <w:szCs w:val="20"/>
          <w:lang w:val="en-US"/>
        </w:rPr>
        <w:t>The multitarget impact of terpenes and their derivatives make them</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 xml:space="preserve">potent antimicrobial agents against multidrug-resistant organisms, particularly bacteria and fungi </w:t>
      </w:r>
      <w:r w:rsidR="00EF57C5">
        <w:rPr>
          <w:rFonts w:ascii="Arial" w:hAnsi="Arial" w:cs="Arial"/>
          <w:sz w:val="20"/>
          <w:szCs w:val="20"/>
          <w:lang w:val="en-US"/>
        </w:rPr>
        <w:t>[17]</w:t>
      </w:r>
      <w:r>
        <w:rPr>
          <w:rFonts w:ascii="Arial" w:hAnsi="Arial" w:cs="Arial"/>
          <w:sz w:val="20"/>
          <w:szCs w:val="20"/>
          <w:lang w:val="en-US"/>
        </w:rPr>
        <w:t xml:space="preserve">. Due to their multiple target sites and methods of action, no microbial resistance has yet been observed to terpenes </w:t>
      </w:r>
      <w:bookmarkStart w:id="4" w:name="_Hlk191257123"/>
      <w:r w:rsidR="00EF57C5">
        <w:rPr>
          <w:rFonts w:ascii="Arial" w:hAnsi="Arial" w:cs="Arial"/>
          <w:sz w:val="20"/>
          <w:szCs w:val="20"/>
          <w:lang w:val="en-US"/>
        </w:rPr>
        <w:t>[17]</w:t>
      </w:r>
      <w:r>
        <w:rPr>
          <w:rFonts w:ascii="Arial" w:hAnsi="Arial" w:cs="Arial"/>
          <w:sz w:val="20"/>
          <w:szCs w:val="20"/>
          <w:lang w:val="en-US"/>
        </w:rPr>
        <w:t xml:space="preserve">. </w:t>
      </w:r>
      <w:bookmarkEnd w:id="4"/>
      <w:r>
        <w:rPr>
          <w:rFonts w:ascii="Arial" w:hAnsi="Arial" w:cs="Arial"/>
          <w:sz w:val="20"/>
          <w:szCs w:val="20"/>
          <w:lang w:val="en-US"/>
        </w:rPr>
        <w:t>Examples of terpenes include monoterpenes, sesquiterpenes, diterpenes, triterpenes and terpenoids.</w:t>
      </w:r>
      <w:r w:rsidR="00D458C3">
        <w:rPr>
          <w:rFonts w:ascii="Arial" w:hAnsi="Arial" w:cs="Arial"/>
          <w:sz w:val="20"/>
          <w:szCs w:val="20"/>
          <w:lang w:val="en-US"/>
        </w:rPr>
        <w:t xml:space="preserve"> </w:t>
      </w:r>
      <w:r>
        <w:rPr>
          <w:rFonts w:ascii="Arial" w:hAnsi="Arial" w:cs="Arial"/>
          <w:sz w:val="20"/>
          <w:szCs w:val="20"/>
          <w:lang w:val="en-US"/>
        </w:rPr>
        <w:t xml:space="preserve">Terpenes have antimicrobial activities against both the antibiotic-susceptible </w:t>
      </w:r>
      <w:r>
        <w:rPr>
          <w:rFonts w:ascii="Arial" w:hAnsi="Arial" w:cs="Arial"/>
          <w:sz w:val="20"/>
          <w:szCs w:val="20"/>
          <w:lang w:val="en-US"/>
        </w:rPr>
        <w:lastRenderedPageBreak/>
        <w:t>and antibiotic-resistant bacteria, mainly via their abilities to promote cell rupture and inhibition of protein and DNA s</w:t>
      </w:r>
      <w:r w:rsidR="00EF57C5">
        <w:rPr>
          <w:rFonts w:ascii="Arial" w:hAnsi="Arial" w:cs="Arial"/>
          <w:sz w:val="20"/>
          <w:szCs w:val="20"/>
          <w:lang w:val="en-US"/>
        </w:rPr>
        <w:t>ynthesis [17]</w:t>
      </w:r>
      <w:r>
        <w:rPr>
          <w:rFonts w:ascii="Arial" w:hAnsi="Arial" w:cs="Arial"/>
          <w:sz w:val="20"/>
          <w:szCs w:val="20"/>
          <w:lang w:val="en-US"/>
        </w:rPr>
        <w:t>. In a study by Gallucci et al.,</w:t>
      </w:r>
      <w:r w:rsidR="00EF57C5">
        <w:rPr>
          <w:rFonts w:ascii="Arial" w:hAnsi="Arial" w:cs="Arial"/>
          <w:sz w:val="20"/>
          <w:szCs w:val="20"/>
          <w:lang w:val="en-US"/>
        </w:rPr>
        <w:t>[18]</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carvacrol, carvone, eugenol, geraniol, and thymol were among the terpenes that demonstrated antibacterial action by causing</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structural and functional changes to the inner or outer cytoplasmic membrane, interacting with membrane proteins, and their effects on intracellular targets</w:t>
      </w:r>
      <w:r w:rsidR="00D344A2">
        <w:rPr>
          <w:rFonts w:ascii="Arial" w:hAnsi="Arial" w:cs="Arial"/>
          <w:sz w:val="20"/>
          <w:szCs w:val="20"/>
          <w:lang w:val="en-US"/>
        </w:rPr>
        <w:t>.</w:t>
      </w:r>
      <w:r w:rsidR="00D458C3">
        <w:rPr>
          <w:rFonts w:ascii="Arial" w:hAnsi="Arial" w:cs="Arial"/>
          <w:sz w:val="20"/>
          <w:szCs w:val="20"/>
          <w:lang w:val="en-US"/>
        </w:rPr>
        <w:t xml:space="preserve"> </w:t>
      </w:r>
      <w:r>
        <w:rPr>
          <w:rFonts w:ascii="Arial" w:hAnsi="Arial" w:cs="Arial"/>
          <w:sz w:val="20"/>
          <w:szCs w:val="20"/>
          <w:lang w:val="en-US"/>
        </w:rPr>
        <w:t xml:space="preserve">Alkaloids are found in bacteria, fungi, plants and animals but flowering plants, particularly angiosperms, are </w:t>
      </w:r>
      <w:r w:rsidR="00EF57C5">
        <w:rPr>
          <w:rFonts w:ascii="Arial" w:hAnsi="Arial" w:cs="Arial"/>
          <w:sz w:val="20"/>
          <w:szCs w:val="20"/>
          <w:lang w:val="en-US"/>
        </w:rPr>
        <w:t>the main source [19]</w:t>
      </w:r>
      <w:r>
        <w:rPr>
          <w:rFonts w:ascii="Arial" w:hAnsi="Arial" w:cs="Arial"/>
          <w:sz w:val="20"/>
          <w:szCs w:val="20"/>
          <w:lang w:val="en-US"/>
        </w:rPr>
        <w:t>.  Structurally, alkaloids are extremely diverse and have served as scaffolds for important antibacterial drugs such as metronidazole and the quinolones due to their wide antibacterial spectrum on common clinical strains, including drug-resistant bacteria</w:t>
      </w:r>
      <w:r w:rsidR="00EF57C5">
        <w:rPr>
          <w:rFonts w:ascii="Arial" w:hAnsi="Arial" w:cs="Arial"/>
          <w:sz w:val="20"/>
          <w:szCs w:val="20"/>
          <w:lang w:val="en-US"/>
        </w:rPr>
        <w:t xml:space="preserve"> [20,21]</w:t>
      </w:r>
      <w:r>
        <w:rPr>
          <w:rFonts w:ascii="Arial" w:hAnsi="Arial" w:cs="Arial"/>
          <w:sz w:val="20"/>
          <w:szCs w:val="20"/>
          <w:lang w:val="en-US"/>
        </w:rPr>
        <w:t xml:space="preserve">. The antibacterial mechanisms of natural alkaloids include disruption of the bacterial cell membrane, disruption of the DNA function and inhibition </w:t>
      </w:r>
      <w:r w:rsidR="00EF57C5">
        <w:rPr>
          <w:rFonts w:ascii="Arial" w:hAnsi="Arial" w:cs="Arial"/>
          <w:sz w:val="20"/>
          <w:szCs w:val="20"/>
          <w:lang w:val="en-US"/>
        </w:rPr>
        <w:t>protein synthesis [21]</w:t>
      </w:r>
      <w:r>
        <w:rPr>
          <w:rFonts w:ascii="Arial" w:hAnsi="Arial" w:cs="Arial"/>
          <w:sz w:val="20"/>
          <w:szCs w:val="20"/>
          <w:lang w:val="en-US"/>
        </w:rPr>
        <w:t>. Examples of alkaloids include purines, aporphine, isoquinoline and piperedine alkaloids.</w:t>
      </w:r>
    </w:p>
    <w:p w14:paraId="743C72E5" w14:textId="025FBEBB" w:rsidR="007C4222" w:rsidRDefault="008006B3" w:rsidP="00D344A2">
      <w:pPr>
        <w:contextualSpacing/>
        <w:jc w:val="both"/>
        <w:rPr>
          <w:rFonts w:ascii="Arial" w:hAnsi="Arial" w:cs="Arial"/>
          <w:sz w:val="20"/>
          <w:szCs w:val="20"/>
          <w:lang w:val="en-US"/>
        </w:rPr>
      </w:pPr>
      <w:r>
        <w:rPr>
          <w:rFonts w:ascii="Arial" w:hAnsi="Arial" w:cs="Arial"/>
          <w:sz w:val="20"/>
          <w:szCs w:val="20"/>
          <w:lang w:val="en-US"/>
        </w:rPr>
        <w:t xml:space="preserve">The use of indigenous plants in the treatment of bacterial infections is prevalent in Southern Africa with a reliance on plant species such as Acacia, Aloe vera and Cassia abbreviate. These are used in forms such infusions, decoctions or topical ointments to fight bacterial infection such as pneumonia, tuberculosis and skin infections. P. </w:t>
      </w:r>
      <w:r w:rsidR="006E3BEE">
        <w:rPr>
          <w:rFonts w:ascii="Arial" w:hAnsi="Arial" w:cs="Arial"/>
          <w:sz w:val="20"/>
          <w:szCs w:val="20"/>
          <w:lang w:val="en-US"/>
        </w:rPr>
        <w:t>curatellifolia</w:t>
      </w:r>
      <w:r>
        <w:rPr>
          <w:rFonts w:ascii="Arial" w:hAnsi="Arial" w:cs="Arial"/>
          <w:sz w:val="20"/>
          <w:szCs w:val="20"/>
          <w:lang w:val="en-US"/>
        </w:rPr>
        <w:t xml:space="preserve"> has been used traditionally to treat ailments such as bacterial pneumonia but its bioactivity and safety profiles are not well characterized. Hence, the purpose of this study is to investigate the bioactivity and biosafety of hydro-ethanolic lyophilized P.  </w:t>
      </w:r>
      <w:r w:rsidR="006E3BEE">
        <w:rPr>
          <w:rFonts w:ascii="Arial" w:hAnsi="Arial" w:cs="Arial"/>
          <w:sz w:val="20"/>
          <w:szCs w:val="20"/>
          <w:lang w:val="en-US"/>
        </w:rPr>
        <w:t>curatellifolia</w:t>
      </w:r>
      <w:r>
        <w:rPr>
          <w:rFonts w:ascii="Arial" w:hAnsi="Arial" w:cs="Arial"/>
          <w:sz w:val="20"/>
          <w:szCs w:val="20"/>
          <w:lang w:val="en-US"/>
        </w:rPr>
        <w:t xml:space="preserve"> bark extract in order to validate its use in the treatment of bacterial pneumonia. </w:t>
      </w:r>
    </w:p>
    <w:p w14:paraId="4E10BF37" w14:textId="77777777" w:rsidR="007C4222" w:rsidRDefault="007C4222" w:rsidP="00D344A2">
      <w:pPr>
        <w:contextualSpacing/>
        <w:jc w:val="both"/>
        <w:rPr>
          <w:rFonts w:ascii="Arial" w:hAnsi="Arial" w:cs="Arial"/>
          <w:sz w:val="20"/>
          <w:szCs w:val="20"/>
          <w:lang w:val="en-US"/>
        </w:rPr>
      </w:pPr>
    </w:p>
    <w:p w14:paraId="23E79AD9" w14:textId="77777777" w:rsidR="007C4222" w:rsidRDefault="008006B3" w:rsidP="00D344A2">
      <w:pPr>
        <w:jc w:val="both"/>
        <w:rPr>
          <w:rFonts w:ascii="Arial" w:hAnsi="Arial" w:cs="Arial"/>
          <w:sz w:val="20"/>
          <w:szCs w:val="20"/>
          <w:lang w:val="en-US"/>
        </w:rPr>
      </w:pPr>
      <w:r>
        <w:rPr>
          <w:rFonts w:ascii="Arial" w:hAnsi="Arial" w:cs="Arial"/>
          <w:sz w:val="20"/>
          <w:szCs w:val="20"/>
          <w:lang w:val="en-US"/>
        </w:rPr>
        <w:t xml:space="preserve"> </w:t>
      </w:r>
    </w:p>
    <w:p w14:paraId="072C3720" w14:textId="3D32F6EC" w:rsidR="007C4222" w:rsidRDefault="008006B3" w:rsidP="00D344A2">
      <w:pPr>
        <w:pStyle w:val="Heading2"/>
        <w:jc w:val="both"/>
        <w:rPr>
          <w:sz w:val="20"/>
          <w:szCs w:val="20"/>
        </w:rPr>
      </w:pPr>
      <w:r>
        <w:rPr>
          <w:sz w:val="20"/>
          <w:szCs w:val="20"/>
        </w:rPr>
        <w:t>Anti-</w:t>
      </w:r>
      <w:r w:rsidR="006E3BEE">
        <w:rPr>
          <w:sz w:val="20"/>
          <w:szCs w:val="20"/>
        </w:rPr>
        <w:t>inflammatory activity</w:t>
      </w:r>
      <w:r w:rsidR="00B013B8">
        <w:rPr>
          <w:sz w:val="20"/>
          <w:szCs w:val="20"/>
        </w:rPr>
        <w:t xml:space="preserve"> </w:t>
      </w:r>
      <w:r>
        <w:rPr>
          <w:sz w:val="20"/>
          <w:szCs w:val="20"/>
        </w:rPr>
        <w:t>secondary metabolites</w:t>
      </w:r>
    </w:p>
    <w:p w14:paraId="676AB45F" w14:textId="74744E4E" w:rsidR="007C4222" w:rsidRDefault="008006B3" w:rsidP="00D344A2">
      <w:pPr>
        <w:jc w:val="both"/>
        <w:rPr>
          <w:rFonts w:ascii="Arial" w:hAnsi="Arial" w:cs="Arial"/>
          <w:sz w:val="20"/>
          <w:szCs w:val="20"/>
          <w:lang w:val="en-US"/>
        </w:rPr>
      </w:pPr>
      <w:r>
        <w:rPr>
          <w:rFonts w:ascii="Arial" w:hAnsi="Arial" w:cs="Arial"/>
          <w:sz w:val="20"/>
          <w:szCs w:val="20"/>
          <w:lang w:val="en-US"/>
        </w:rPr>
        <w:t xml:space="preserve">Inflammation can be defined as </w:t>
      </w:r>
      <w:r w:rsidR="00FD2BF9">
        <w:rPr>
          <w:rFonts w:ascii="Arial" w:hAnsi="Arial" w:cs="Arial"/>
          <w:sz w:val="20"/>
          <w:szCs w:val="20"/>
          <w:lang w:val="en-US"/>
        </w:rPr>
        <w:t>a</w:t>
      </w:r>
      <w:r>
        <w:rPr>
          <w:rFonts w:ascii="Arial" w:hAnsi="Arial" w:cs="Arial"/>
          <w:sz w:val="20"/>
          <w:szCs w:val="20"/>
          <w:lang w:val="en-US"/>
        </w:rPr>
        <w:t xml:space="preserve"> nonspecific immune response against physical, chemical, or even biological attack to the body resulting in physiological changes that provide the indistinguishable redness characteristics, heat in the affected area due to an increase in blood flow and vascular permeability, pain, swelling, and movement difficulty or loss of funct</w:t>
      </w:r>
      <w:r w:rsidR="00EF57C5">
        <w:rPr>
          <w:rFonts w:ascii="Arial" w:hAnsi="Arial" w:cs="Arial"/>
          <w:sz w:val="20"/>
          <w:szCs w:val="20"/>
          <w:lang w:val="en-US"/>
        </w:rPr>
        <w:t>ion [22]</w:t>
      </w:r>
      <w:r>
        <w:rPr>
          <w:rFonts w:ascii="Arial" w:hAnsi="Arial" w:cs="Arial"/>
          <w:sz w:val="20"/>
          <w:szCs w:val="20"/>
          <w:lang w:val="en-US"/>
        </w:rPr>
        <w:t xml:space="preserve">. Inflammation in pneumonia occurs as an immune response to infection in the lungs that can help fight the infection but can also cause lung injury when </w:t>
      </w:r>
      <w:r w:rsidR="006E3BEE">
        <w:rPr>
          <w:rFonts w:ascii="Arial" w:hAnsi="Arial" w:cs="Arial"/>
          <w:sz w:val="20"/>
          <w:szCs w:val="20"/>
          <w:lang w:val="en-US"/>
        </w:rPr>
        <w:t>prolonged</w:t>
      </w:r>
      <w:r w:rsidR="00EF57C5">
        <w:rPr>
          <w:rFonts w:ascii="Arial" w:hAnsi="Arial" w:cs="Arial"/>
          <w:sz w:val="20"/>
          <w:szCs w:val="20"/>
          <w:lang w:val="en-US"/>
        </w:rPr>
        <w:t xml:space="preserve"> [23]</w:t>
      </w:r>
      <w:r>
        <w:rPr>
          <w:rFonts w:ascii="Arial" w:hAnsi="Arial" w:cs="Arial"/>
          <w:sz w:val="20"/>
          <w:szCs w:val="20"/>
          <w:lang w:val="en-US"/>
        </w:rPr>
        <w:t xml:space="preserve">. Harmful </w:t>
      </w:r>
      <w:r w:rsidR="00D458C3">
        <w:rPr>
          <w:rFonts w:ascii="Arial" w:hAnsi="Arial" w:cs="Arial"/>
          <w:sz w:val="20"/>
          <w:szCs w:val="20"/>
          <w:lang w:val="en-US"/>
        </w:rPr>
        <w:t>stimulus</w:t>
      </w:r>
      <w:r>
        <w:rPr>
          <w:rFonts w:ascii="Arial" w:hAnsi="Arial" w:cs="Arial"/>
          <w:sz w:val="20"/>
          <w:szCs w:val="20"/>
          <w:lang w:val="en-US"/>
        </w:rPr>
        <w:t xml:space="preserve"> triggers the release of proinflammatory proteins, known as cytokines and in cases where the stimulus persists, such as in the cases of drug-resistant bacteria, inflammation becomes chronic. </w:t>
      </w:r>
      <w:r w:rsidR="006E3BEE">
        <w:rPr>
          <w:rFonts w:ascii="Arial" w:hAnsi="Arial" w:cs="Arial"/>
          <w:sz w:val="20"/>
          <w:szCs w:val="20"/>
          <w:lang w:val="en-US"/>
        </w:rPr>
        <w:t>Nonrevolving</w:t>
      </w:r>
      <w:r>
        <w:rPr>
          <w:rFonts w:ascii="Arial" w:hAnsi="Arial" w:cs="Arial"/>
          <w:sz w:val="20"/>
          <w:szCs w:val="20"/>
          <w:lang w:val="en-US"/>
        </w:rPr>
        <w:t xml:space="preserve"> inflammation is a major driver of disease resulting in tissue damage and </w:t>
      </w:r>
      <w:r w:rsidR="00EF57C5">
        <w:rPr>
          <w:rFonts w:ascii="Arial" w:hAnsi="Arial" w:cs="Arial"/>
          <w:sz w:val="20"/>
          <w:szCs w:val="20"/>
          <w:lang w:val="en-US"/>
        </w:rPr>
        <w:t>necrosis [24]</w:t>
      </w:r>
      <w:r>
        <w:rPr>
          <w:rFonts w:ascii="Arial" w:hAnsi="Arial" w:cs="Arial"/>
          <w:sz w:val="20"/>
          <w:szCs w:val="20"/>
          <w:lang w:val="en-US"/>
        </w:rPr>
        <w:t>. While current treatment includes the use of non-steroidal anti-inflammatories (NSAIDS), concerns have been raised over their safety and tolerability highlighting the need to develop new and effective NSAID formulations that are efficacious in management of inflammation a</w:t>
      </w:r>
      <w:r w:rsidR="00EF57C5">
        <w:rPr>
          <w:rFonts w:ascii="Arial" w:hAnsi="Arial" w:cs="Arial"/>
          <w:sz w:val="20"/>
          <w:szCs w:val="20"/>
          <w:lang w:val="en-US"/>
        </w:rPr>
        <w:t>nd pain [25]</w:t>
      </w:r>
      <w:r>
        <w:rPr>
          <w:rFonts w:ascii="Arial" w:hAnsi="Arial" w:cs="Arial"/>
          <w:sz w:val="20"/>
          <w:szCs w:val="20"/>
          <w:lang w:val="en-US"/>
        </w:rPr>
        <w:t>.</w:t>
      </w:r>
      <w:r w:rsidR="00537914">
        <w:rPr>
          <w:rFonts w:ascii="Arial" w:hAnsi="Arial" w:cs="Arial"/>
          <w:sz w:val="20"/>
          <w:szCs w:val="20"/>
          <w:lang w:val="en-US"/>
        </w:rPr>
        <w:t xml:space="preserve"> </w:t>
      </w:r>
      <w:r>
        <w:rPr>
          <w:rFonts w:ascii="Arial" w:hAnsi="Arial" w:cs="Arial"/>
          <w:sz w:val="20"/>
          <w:szCs w:val="20"/>
          <w:lang w:val="en-US"/>
        </w:rPr>
        <w:t xml:space="preserve">Phytochemicals, such as phenols, polyphenols, tannins, flavonoids, and more recently thiosulfinates and polysulfides have been found to play an important role as anti-inflammatories, antioxidants and </w:t>
      </w:r>
      <w:r w:rsidR="006E3BEE">
        <w:rPr>
          <w:rFonts w:ascii="Arial" w:hAnsi="Arial" w:cs="Arial"/>
          <w:sz w:val="20"/>
          <w:szCs w:val="20"/>
          <w:lang w:val="en-US"/>
        </w:rPr>
        <w:t>immunosuppressants</w:t>
      </w:r>
      <w:r w:rsidR="00EF57C5">
        <w:rPr>
          <w:rFonts w:ascii="Arial" w:hAnsi="Arial" w:cs="Arial"/>
          <w:sz w:val="20"/>
          <w:szCs w:val="20"/>
          <w:lang w:val="en-US"/>
        </w:rPr>
        <w:t xml:space="preserve"> in humans [2</w:t>
      </w:r>
      <w:r w:rsidR="00FB1378">
        <w:rPr>
          <w:rFonts w:ascii="Arial" w:hAnsi="Arial" w:cs="Arial"/>
          <w:sz w:val="20"/>
          <w:szCs w:val="20"/>
          <w:lang w:val="en-US"/>
        </w:rPr>
        <w:t>2,26</w:t>
      </w:r>
      <w:r w:rsidR="00EF57C5">
        <w:rPr>
          <w:rFonts w:ascii="Arial" w:hAnsi="Arial" w:cs="Arial"/>
          <w:sz w:val="20"/>
          <w:szCs w:val="20"/>
          <w:lang w:val="en-US"/>
        </w:rPr>
        <w:t>]</w:t>
      </w:r>
      <w:r>
        <w:rPr>
          <w:rFonts w:ascii="Arial" w:hAnsi="Arial" w:cs="Arial"/>
          <w:sz w:val="20"/>
          <w:szCs w:val="20"/>
          <w:lang w:val="en-US"/>
        </w:rPr>
        <w:t>.</w:t>
      </w:r>
      <w:r>
        <w:rPr>
          <w:rFonts w:ascii="Arial" w:hAnsi="Arial" w:cs="Arial"/>
          <w:color w:val="222222"/>
          <w:kern w:val="2"/>
          <w:sz w:val="20"/>
          <w:szCs w:val="20"/>
          <w:shd w:val="clear" w:color="auto" w:fill="FFFFFF"/>
          <w:lang w:val="en-US" w:eastAsia="en-US"/>
          <w14:ligatures w14:val="standardContextual"/>
        </w:rPr>
        <w:t xml:space="preserve"> </w:t>
      </w:r>
      <w:r>
        <w:rPr>
          <w:rFonts w:ascii="Arial" w:hAnsi="Arial" w:cs="Arial"/>
          <w:sz w:val="20"/>
          <w:szCs w:val="20"/>
          <w:lang w:val="en-US"/>
        </w:rPr>
        <w:t xml:space="preserve">Studies has shown they inhibit pro-inflammatory enzymes, for example phenolic compounds inhibit enzymes such as cyclooxygenase (COX-2), lipoxygenase (LOX), and inducible nitric oxide synthase (iNOS), and modulate cellular signaling, by scavenging free radicals to reduce oxidative stress and regulate inflammatory pathways </w:t>
      </w:r>
      <w:r w:rsidR="00FB1378">
        <w:rPr>
          <w:rFonts w:ascii="Arial" w:hAnsi="Arial" w:cs="Arial"/>
          <w:sz w:val="20"/>
          <w:szCs w:val="20"/>
          <w:lang w:val="en-US"/>
        </w:rPr>
        <w:t>on the body [26].</w:t>
      </w:r>
      <w:r>
        <w:rPr>
          <w:rFonts w:ascii="Arial" w:hAnsi="Arial" w:cs="Arial"/>
          <w:sz w:val="20"/>
          <w:szCs w:val="20"/>
          <w:lang w:val="en-US"/>
        </w:rPr>
        <w:t xml:space="preserve"> </w:t>
      </w:r>
    </w:p>
    <w:p w14:paraId="0DB6C72F" w14:textId="77777777" w:rsidR="00B013B8" w:rsidRDefault="00B013B8" w:rsidP="00D344A2">
      <w:pPr>
        <w:jc w:val="both"/>
        <w:rPr>
          <w:rFonts w:ascii="Arial" w:hAnsi="Arial" w:cs="Arial"/>
          <w:sz w:val="20"/>
          <w:szCs w:val="20"/>
          <w:lang w:val="en-US"/>
        </w:rPr>
      </w:pPr>
    </w:p>
    <w:p w14:paraId="41088789" w14:textId="723DFC3C" w:rsidR="007C4222" w:rsidRDefault="008006B3" w:rsidP="00D344A2">
      <w:pPr>
        <w:jc w:val="both"/>
        <w:rPr>
          <w:rFonts w:ascii="Arial" w:hAnsi="Arial" w:cs="Arial"/>
          <w:sz w:val="20"/>
          <w:szCs w:val="20"/>
          <w:lang w:val="en-US"/>
        </w:rPr>
      </w:pPr>
      <w:r>
        <w:rPr>
          <w:rFonts w:ascii="Arial" w:hAnsi="Arial" w:cs="Arial"/>
          <w:sz w:val="20"/>
          <w:szCs w:val="20"/>
          <w:lang w:val="en-US"/>
        </w:rPr>
        <w:t xml:space="preserve">With the aim to expand the range of orally administered antibacterial agents, this study was carried out to confirm the bioactivity of </w:t>
      </w:r>
      <w:r w:rsidR="006E3BEE">
        <w:rPr>
          <w:rFonts w:ascii="Arial" w:hAnsi="Arial" w:cs="Arial"/>
          <w:sz w:val="20"/>
          <w:szCs w:val="20"/>
          <w:lang w:val="en-US"/>
        </w:rPr>
        <w:t>lyophilized</w:t>
      </w:r>
      <w:r>
        <w:rPr>
          <w:rFonts w:ascii="Arial" w:hAnsi="Arial" w:cs="Arial"/>
          <w:sz w:val="20"/>
          <w:szCs w:val="20"/>
          <w:lang w:val="en-US"/>
        </w:rPr>
        <w:t xml:space="preserve"> hydro-ethanolic extracts of </w:t>
      </w:r>
      <w:r w:rsidRPr="00D458C3">
        <w:rPr>
          <w:rFonts w:ascii="Arial" w:hAnsi="Arial" w:cs="Arial"/>
          <w:i/>
          <w:iCs/>
          <w:sz w:val="20"/>
          <w:szCs w:val="20"/>
          <w:lang w:val="en-US"/>
        </w:rPr>
        <w:t xml:space="preserve">P. </w:t>
      </w:r>
      <w:r w:rsidR="006E3BEE" w:rsidRPr="00D458C3">
        <w:rPr>
          <w:rFonts w:ascii="Arial" w:hAnsi="Arial" w:cs="Arial"/>
          <w:i/>
          <w:iCs/>
          <w:sz w:val="20"/>
          <w:szCs w:val="20"/>
          <w:lang w:val="en-US"/>
        </w:rPr>
        <w:t>curatellifolia</w:t>
      </w:r>
      <w:r>
        <w:rPr>
          <w:rFonts w:ascii="Arial" w:hAnsi="Arial" w:cs="Arial"/>
          <w:sz w:val="20"/>
          <w:szCs w:val="20"/>
          <w:lang w:val="en-US"/>
        </w:rPr>
        <w:t xml:space="preserve"> bark against markers of pneumonia progression such as inflammation. This study also is intended to determine the </w:t>
      </w:r>
      <w:r w:rsidR="00DF45D1">
        <w:rPr>
          <w:rFonts w:ascii="Arial" w:hAnsi="Arial" w:cs="Arial"/>
          <w:sz w:val="20"/>
          <w:szCs w:val="20"/>
          <w:lang w:val="en-US"/>
        </w:rPr>
        <w:t>bio</w:t>
      </w:r>
      <w:r>
        <w:rPr>
          <w:rFonts w:ascii="Arial" w:hAnsi="Arial" w:cs="Arial"/>
          <w:sz w:val="20"/>
          <w:szCs w:val="20"/>
          <w:lang w:val="en-US"/>
        </w:rPr>
        <w:t>safety in animal models.</w:t>
      </w:r>
    </w:p>
    <w:p w14:paraId="011E164B" w14:textId="77777777" w:rsidR="007C4222" w:rsidRDefault="007C4222" w:rsidP="00D344A2">
      <w:pPr>
        <w:jc w:val="both"/>
        <w:rPr>
          <w:rFonts w:ascii="Arial" w:hAnsi="Arial" w:cs="Arial"/>
          <w:sz w:val="20"/>
          <w:szCs w:val="20"/>
        </w:rPr>
      </w:pPr>
    </w:p>
    <w:p w14:paraId="7A49EF05" w14:textId="77777777" w:rsidR="007C4222" w:rsidRDefault="008006B3" w:rsidP="00D344A2">
      <w:pPr>
        <w:pStyle w:val="Heading1"/>
        <w:jc w:val="both"/>
      </w:pPr>
      <w:r>
        <w:t>Materials and methods</w:t>
      </w:r>
    </w:p>
    <w:p w14:paraId="0163805E" w14:textId="251FE0D8" w:rsidR="007C4222" w:rsidRDefault="008006B3" w:rsidP="00D344A2">
      <w:pPr>
        <w:pStyle w:val="Heading2"/>
        <w:jc w:val="both"/>
        <w:rPr>
          <w:sz w:val="20"/>
          <w:szCs w:val="20"/>
        </w:rPr>
      </w:pPr>
      <w:r>
        <w:rPr>
          <w:sz w:val="20"/>
          <w:szCs w:val="20"/>
        </w:rPr>
        <w:t xml:space="preserve">Materials, </w:t>
      </w:r>
      <w:r w:rsidR="00FD2BF9">
        <w:rPr>
          <w:sz w:val="20"/>
          <w:szCs w:val="20"/>
        </w:rPr>
        <w:t>equipment,</w:t>
      </w:r>
      <w:r>
        <w:rPr>
          <w:sz w:val="20"/>
          <w:szCs w:val="20"/>
        </w:rPr>
        <w:t xml:space="preserve"> and facilities</w:t>
      </w:r>
    </w:p>
    <w:p w14:paraId="6140443A" w14:textId="4E7F8F9A" w:rsidR="007C4222" w:rsidRDefault="008006B3" w:rsidP="00D344A2">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in-vivo</w:t>
      </w:r>
      <w:r>
        <w:rPr>
          <w:rFonts w:ascii="Arial" w:hAnsi="Arial" w:cs="Arial"/>
          <w:sz w:val="20"/>
          <w:szCs w:val="20"/>
        </w:rPr>
        <w:t xml:space="preserve"> laboratory animal toxicity investigations and the bioactivity assays were obtained from the University of Zimbabwe, Faculty of </w:t>
      </w:r>
      <w:r w:rsidR="00FD2BF9">
        <w:rPr>
          <w:rFonts w:ascii="Arial" w:hAnsi="Arial" w:cs="Arial"/>
          <w:sz w:val="20"/>
          <w:szCs w:val="20"/>
        </w:rPr>
        <w:t>Medicine,</w:t>
      </w:r>
      <w:r>
        <w:rPr>
          <w:rFonts w:ascii="Arial" w:hAnsi="Arial" w:cs="Arial"/>
          <w:sz w:val="20"/>
          <w:szCs w:val="20"/>
        </w:rPr>
        <w:t xml:space="preserve"> and Health Sciences laboratories.</w:t>
      </w:r>
    </w:p>
    <w:p w14:paraId="79865A1B"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 </w:t>
      </w:r>
    </w:p>
    <w:p w14:paraId="323BBED6" w14:textId="77777777" w:rsidR="007C4222" w:rsidRDefault="008006B3" w:rsidP="00D344A2">
      <w:pPr>
        <w:pStyle w:val="Heading2"/>
        <w:jc w:val="both"/>
        <w:rPr>
          <w:sz w:val="20"/>
          <w:szCs w:val="20"/>
        </w:rPr>
      </w:pPr>
      <w:r>
        <w:rPr>
          <w:sz w:val="20"/>
          <w:szCs w:val="20"/>
        </w:rPr>
        <w:t xml:space="preserve">Animal use approval </w:t>
      </w:r>
    </w:p>
    <w:p w14:paraId="3914E97D"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724E40C4"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 </w:t>
      </w:r>
    </w:p>
    <w:p w14:paraId="3F178FAC" w14:textId="77777777" w:rsidR="007C4222" w:rsidRDefault="008006B3" w:rsidP="00D344A2">
      <w:pPr>
        <w:pStyle w:val="Heading2"/>
        <w:jc w:val="both"/>
        <w:rPr>
          <w:sz w:val="20"/>
          <w:szCs w:val="20"/>
        </w:rPr>
      </w:pPr>
      <w:r>
        <w:rPr>
          <w:sz w:val="20"/>
          <w:szCs w:val="20"/>
        </w:rPr>
        <w:lastRenderedPageBreak/>
        <w:t xml:space="preserve">Parinari curatellifolia plant material collection and preparation </w:t>
      </w:r>
    </w:p>
    <w:p w14:paraId="05EF85B1" w14:textId="4FACA7D3" w:rsidR="007C4222" w:rsidRDefault="008006B3" w:rsidP="00D344A2">
      <w:pPr>
        <w:contextualSpacing/>
        <w:jc w:val="both"/>
        <w:rPr>
          <w:rFonts w:ascii="Arial" w:hAnsi="Arial" w:cs="Arial"/>
          <w:sz w:val="20"/>
          <w:szCs w:val="20"/>
        </w:rPr>
      </w:pPr>
      <w:r>
        <w:rPr>
          <w:rFonts w:ascii="Arial" w:hAnsi="Arial" w:cs="Arial"/>
          <w:sz w:val="20"/>
          <w:szCs w:val="20"/>
        </w:rPr>
        <w:t xml:space="preserve">Plant material was collected from Spitzkop, 24 km West to the City of Harare (17.7861° S, 30.8705° E). In observing the rules for Zimbabwe's Sustainable Harvesting of Traditional Medicinal Plants, the material was collected from 5 different plants. The plant material was authenticated as </w:t>
      </w:r>
      <w:r>
        <w:rPr>
          <w:rFonts w:ascii="Arial" w:hAnsi="Arial" w:cs="Arial"/>
          <w:i/>
          <w:iCs/>
          <w:sz w:val="20"/>
          <w:szCs w:val="20"/>
        </w:rPr>
        <w:t xml:space="preserve">P. curatellifolia </w:t>
      </w:r>
      <w:r>
        <w:rPr>
          <w:rFonts w:ascii="Arial" w:hAnsi="Arial" w:cs="Arial"/>
          <w:sz w:val="20"/>
          <w:szCs w:val="20"/>
        </w:rPr>
        <w:t xml:space="preserve">by the National Herbarium and Botanical Garden in Harare, Zimbabwe. The bark was thoroughly washed using clean water to remove debris and other contaminants, shade dried at room temperature to constant weight for three </w:t>
      </w:r>
      <w:r w:rsidR="00FD2BF9">
        <w:rPr>
          <w:rFonts w:ascii="Arial" w:hAnsi="Arial" w:cs="Arial"/>
          <w:sz w:val="20"/>
          <w:szCs w:val="20"/>
        </w:rPr>
        <w:t>weeks and</w:t>
      </w:r>
      <w:r>
        <w:rPr>
          <w:rFonts w:ascii="Arial" w:hAnsi="Arial" w:cs="Arial"/>
          <w:sz w:val="20"/>
          <w:szCs w:val="20"/>
        </w:rPr>
        <w:t xml:space="preserve"> then pulverized using mortar and pestle. The pulverized material was ground into a fine powder using a coffee grinder (Hamilton Beach Coffee Grinder Model- 80410). </w:t>
      </w:r>
    </w:p>
    <w:p w14:paraId="50E8805C" w14:textId="742A7CD4" w:rsidR="007C4222" w:rsidRDefault="008006B3" w:rsidP="00D344A2">
      <w:pPr>
        <w:jc w:val="both"/>
        <w:rPr>
          <w:rFonts w:ascii="Arial" w:hAnsi="Arial" w:cs="Arial"/>
          <w:sz w:val="20"/>
          <w:szCs w:val="20"/>
        </w:rPr>
      </w:pPr>
      <w:r>
        <w:rPr>
          <w:rFonts w:ascii="Arial" w:hAnsi="Arial" w:cs="Arial"/>
          <w:sz w:val="20"/>
          <w:szCs w:val="20"/>
        </w:rPr>
        <w:t>The phyto-extraction was done by adding 100g plant powder into 1000ml of 70% (v/v) hydro-ethanolic mixture in a 2-litre sterile amber bottle and macerated for 5 days, with 3 minutes physical shaking twice a day.</w:t>
      </w:r>
      <w:r>
        <w:rPr>
          <w:rFonts w:ascii="Arial" w:hAnsi="Arial" w:cs="Arial"/>
          <w:sz w:val="20"/>
          <w:szCs w:val="20"/>
          <w:lang w:val="en-US"/>
        </w:rPr>
        <w:t xml:space="preserve"> A muslin cloth was used to </w:t>
      </w:r>
      <w:r w:rsidR="00FD2BF9">
        <w:rPr>
          <w:rFonts w:ascii="Arial" w:hAnsi="Arial" w:cs="Arial"/>
          <w:sz w:val="20"/>
          <w:szCs w:val="20"/>
          <w:lang w:val="en-US"/>
        </w:rPr>
        <w:t>obtain filtration</w:t>
      </w:r>
      <w:r>
        <w:rPr>
          <w:rFonts w:ascii="Arial" w:hAnsi="Arial" w:cs="Arial"/>
          <w:sz w:val="20"/>
          <w:szCs w:val="20"/>
          <w:lang w:val="en-US"/>
        </w:rPr>
        <w:t xml:space="preserve"> from the solution, which was further clarified by filtration using Whatman filter paper number 1. The filtrate was then</w:t>
      </w:r>
      <w:r>
        <w:rPr>
          <w:rFonts w:ascii="Arial" w:hAnsi="Arial" w:cs="Arial"/>
          <w:sz w:val="20"/>
          <w:szCs w:val="20"/>
        </w:rPr>
        <w:t xml:space="preserve"> evaporated under vacuum and low pressure (Rotavapor® R-300, Buchi, Switzerland), followed by lyophilization (Lyovapor l-200, Buchi, Switzerland) under 140Pa pressure and -50 °C. The lyophilized extract was stored in an airtight sample </w:t>
      </w:r>
      <w:r w:rsidR="00FD2BF9">
        <w:rPr>
          <w:rFonts w:ascii="Arial" w:hAnsi="Arial" w:cs="Arial"/>
          <w:sz w:val="20"/>
          <w:szCs w:val="20"/>
        </w:rPr>
        <w:t>bottle.</w:t>
      </w:r>
    </w:p>
    <w:p w14:paraId="029137F2" w14:textId="77777777" w:rsidR="007C4222" w:rsidRDefault="007C4222" w:rsidP="00D344A2">
      <w:pPr>
        <w:jc w:val="both"/>
        <w:rPr>
          <w:rFonts w:ascii="Arial" w:hAnsi="Arial" w:cs="Arial"/>
          <w:sz w:val="20"/>
          <w:szCs w:val="20"/>
        </w:rPr>
      </w:pPr>
    </w:p>
    <w:p w14:paraId="181BEF52" w14:textId="77777777" w:rsidR="007C4222" w:rsidRDefault="008006B3" w:rsidP="00D344A2">
      <w:pPr>
        <w:pStyle w:val="Heading3"/>
        <w:numPr>
          <w:ilvl w:val="0"/>
          <w:numId w:val="0"/>
        </w:numPr>
        <w:jc w:val="both"/>
        <w:rPr>
          <w:b/>
          <w:bCs/>
          <w:i w:val="0"/>
          <w:iCs/>
          <w:szCs w:val="20"/>
        </w:rPr>
      </w:pPr>
      <w:r>
        <w:rPr>
          <w:b/>
          <w:bCs/>
          <w:i w:val="0"/>
          <w:iCs/>
          <w:szCs w:val="20"/>
        </w:rPr>
        <w:t>2.4</w:t>
      </w:r>
      <w:r>
        <w:rPr>
          <w:b/>
          <w:bCs/>
          <w:i w:val="0"/>
          <w:iCs/>
          <w:sz w:val="24"/>
        </w:rPr>
        <w:t xml:space="preserve">   </w:t>
      </w:r>
      <w:r>
        <w:rPr>
          <w:b/>
          <w:bCs/>
          <w:i w:val="0"/>
          <w:iCs/>
          <w:szCs w:val="20"/>
        </w:rPr>
        <w:t xml:space="preserve">Phytochemical Screening of </w:t>
      </w:r>
      <w:r w:rsidRPr="00C62C59">
        <w:rPr>
          <w:b/>
          <w:bCs/>
          <w:szCs w:val="20"/>
        </w:rPr>
        <w:t>Parinari curatellifolia</w:t>
      </w:r>
    </w:p>
    <w:p w14:paraId="02B8DD4F" w14:textId="77777777" w:rsidR="007C4222" w:rsidRDefault="007C4222" w:rsidP="00D344A2">
      <w:pPr>
        <w:jc w:val="both"/>
        <w:rPr>
          <w:rFonts w:ascii="Arial" w:hAnsi="Arial" w:cs="Arial"/>
          <w:i/>
          <w:sz w:val="20"/>
          <w:szCs w:val="20"/>
        </w:rPr>
      </w:pPr>
    </w:p>
    <w:p w14:paraId="090ED2E1" w14:textId="379216AD" w:rsidR="007C4222" w:rsidRDefault="008006B3" w:rsidP="00D344A2">
      <w:pPr>
        <w:autoSpaceDE w:val="0"/>
        <w:autoSpaceDN w:val="0"/>
        <w:adjustRightInd w:val="0"/>
        <w:contextualSpacing/>
        <w:jc w:val="both"/>
        <w:rPr>
          <w:rFonts w:ascii="Arial" w:hAnsi="Arial" w:cs="Arial"/>
          <w:sz w:val="20"/>
          <w:szCs w:val="20"/>
        </w:rPr>
      </w:pPr>
      <w:bookmarkStart w:id="5" w:name="_Hlk194305870"/>
      <w:r>
        <w:rPr>
          <w:rFonts w:ascii="Arial" w:hAnsi="Arial" w:cs="Arial"/>
          <w:sz w:val="20"/>
          <w:szCs w:val="20"/>
        </w:rPr>
        <w:t xml:space="preserve">5g of the lyophilized hydro-ethanolic extracts of </w:t>
      </w:r>
      <w:r>
        <w:rPr>
          <w:rFonts w:ascii="Arial" w:eastAsia="Calibri" w:hAnsi="Arial" w:cs="Arial"/>
          <w:i/>
          <w:sz w:val="20"/>
          <w:szCs w:val="20"/>
        </w:rPr>
        <w:t>P. curatellifolia</w:t>
      </w:r>
      <w:r>
        <w:rPr>
          <w:rFonts w:ascii="Arial" w:hAnsi="Arial" w:cs="Arial"/>
          <w:sz w:val="20"/>
          <w:szCs w:val="20"/>
        </w:rPr>
        <w:t xml:space="preserve"> were dissolved in 50ml of distilled water in a 100ml round bottom flask and subjected to various phyto-screening techniques to confirm the presence or absence of relevant phytoconstituents of pharmacological interest. The following qualitative tests were conducted on the extract liquor</w:t>
      </w:r>
      <w:bookmarkEnd w:id="5"/>
      <w:r>
        <w:rPr>
          <w:rFonts w:ascii="Arial" w:hAnsi="Arial" w:cs="Arial"/>
          <w:sz w:val="20"/>
          <w:szCs w:val="20"/>
        </w:rPr>
        <w:t xml:space="preserve"> using studies by </w:t>
      </w:r>
      <w:r w:rsidR="003227BC">
        <w:rPr>
          <w:rFonts w:ascii="Arial" w:hAnsi="Arial" w:cs="Arial"/>
          <w:sz w:val="20"/>
          <w:szCs w:val="20"/>
        </w:rPr>
        <w:t>Gwaze</w:t>
      </w:r>
      <w:r w:rsidR="00FB1378">
        <w:rPr>
          <w:rFonts w:ascii="Arial" w:hAnsi="Arial" w:cs="Arial"/>
          <w:sz w:val="20"/>
          <w:szCs w:val="20"/>
        </w:rPr>
        <w:t xml:space="preserve"> </w:t>
      </w:r>
      <w:r w:rsidR="00FB1378" w:rsidRPr="00FD2BF9">
        <w:rPr>
          <w:rFonts w:ascii="Arial" w:hAnsi="Arial" w:cs="Arial"/>
          <w:i/>
          <w:iCs/>
          <w:sz w:val="20"/>
          <w:szCs w:val="20"/>
        </w:rPr>
        <w:t>et al</w:t>
      </w:r>
      <w:r w:rsidR="00FB1378">
        <w:rPr>
          <w:rFonts w:ascii="Arial" w:hAnsi="Arial" w:cs="Arial"/>
          <w:sz w:val="20"/>
          <w:szCs w:val="20"/>
        </w:rPr>
        <w:t xml:space="preserve"> [27]</w:t>
      </w:r>
      <w:r w:rsidR="00FD2BF9">
        <w:rPr>
          <w:rFonts w:ascii="Arial" w:hAnsi="Arial" w:cs="Arial"/>
          <w:sz w:val="20"/>
          <w:szCs w:val="20"/>
        </w:rPr>
        <w:t xml:space="preserve">. </w:t>
      </w:r>
    </w:p>
    <w:p w14:paraId="7120E4E2" w14:textId="77777777" w:rsidR="00C62C59" w:rsidRPr="00DF45D1" w:rsidRDefault="00C62C59" w:rsidP="00D344A2">
      <w:pPr>
        <w:autoSpaceDE w:val="0"/>
        <w:autoSpaceDN w:val="0"/>
        <w:adjustRightInd w:val="0"/>
        <w:contextualSpacing/>
        <w:jc w:val="both"/>
        <w:rPr>
          <w:rFonts w:ascii="Arial" w:hAnsi="Arial" w:cs="Arial"/>
          <w:i/>
          <w:iCs/>
          <w:color w:val="5B9BD5" w:themeColor="accent1"/>
          <w:sz w:val="20"/>
          <w:szCs w:val="20"/>
        </w:rPr>
      </w:pPr>
    </w:p>
    <w:p w14:paraId="18BCB78B" w14:textId="64355AB5" w:rsidR="007C4222" w:rsidRPr="00E04FC5" w:rsidRDefault="00C62C59" w:rsidP="00D344A2">
      <w:pPr>
        <w:autoSpaceDE w:val="0"/>
        <w:autoSpaceDN w:val="0"/>
        <w:adjustRightInd w:val="0"/>
        <w:contextualSpacing/>
        <w:jc w:val="both"/>
        <w:rPr>
          <w:rFonts w:ascii="Arial" w:hAnsi="Arial" w:cs="Arial"/>
          <w:i/>
          <w:iCs/>
          <w:color w:val="5B9BD5" w:themeColor="accent1"/>
          <w:sz w:val="20"/>
          <w:szCs w:val="20"/>
        </w:rPr>
      </w:pPr>
      <w:r w:rsidRPr="008C52A5">
        <w:rPr>
          <w:rFonts w:ascii="Arial" w:hAnsi="Arial" w:cs="Arial"/>
          <w:i/>
          <w:iCs/>
          <w:color w:val="5B9BD5" w:themeColor="accent1"/>
          <w:sz w:val="20"/>
          <w:szCs w:val="20"/>
        </w:rPr>
        <w:t>Table 1</w:t>
      </w:r>
      <w:r w:rsidR="008C52A5">
        <w:rPr>
          <w:rFonts w:ascii="Arial" w:hAnsi="Arial" w:cs="Arial"/>
          <w:i/>
          <w:iCs/>
          <w:color w:val="5B9BD5" w:themeColor="accent1"/>
          <w:sz w:val="20"/>
          <w:szCs w:val="20"/>
        </w:rPr>
        <w:t xml:space="preserve">: Phytochemical </w:t>
      </w:r>
      <w:r w:rsidR="00DF45D1">
        <w:rPr>
          <w:rFonts w:ascii="Arial" w:hAnsi="Arial" w:cs="Arial"/>
          <w:i/>
          <w:iCs/>
          <w:color w:val="5B9BD5" w:themeColor="accent1"/>
          <w:sz w:val="20"/>
          <w:szCs w:val="20"/>
        </w:rPr>
        <w:t xml:space="preserve">screening </w:t>
      </w:r>
      <w:r w:rsidR="008C52A5">
        <w:rPr>
          <w:rFonts w:ascii="Arial" w:hAnsi="Arial" w:cs="Arial"/>
          <w:i/>
          <w:iCs/>
          <w:color w:val="5B9BD5" w:themeColor="accent1"/>
          <w:sz w:val="20"/>
          <w:szCs w:val="20"/>
        </w:rPr>
        <w:t xml:space="preserve">tests </w:t>
      </w:r>
      <w:r w:rsidR="00DF45D1">
        <w:rPr>
          <w:rFonts w:ascii="Arial" w:hAnsi="Arial" w:cs="Arial"/>
          <w:i/>
          <w:iCs/>
          <w:color w:val="5B9BD5" w:themeColor="accent1"/>
          <w:sz w:val="20"/>
          <w:szCs w:val="20"/>
        </w:rPr>
        <w:t>done on</w:t>
      </w:r>
      <w:r w:rsidR="00DF45D1" w:rsidRPr="00DF45D1">
        <w:rPr>
          <w:rFonts w:ascii="Arial" w:hAnsi="Arial" w:cs="Arial"/>
          <w:i/>
          <w:iCs/>
          <w:color w:val="5B9BD5" w:themeColor="accent1"/>
          <w:sz w:val="20"/>
          <w:szCs w:val="20"/>
        </w:rPr>
        <w:t xml:space="preserve"> P. </w:t>
      </w:r>
      <w:r w:rsidR="00FD2BF9" w:rsidRPr="00DF45D1">
        <w:rPr>
          <w:rFonts w:ascii="Arial" w:hAnsi="Arial" w:cs="Arial"/>
          <w:i/>
          <w:iCs/>
          <w:color w:val="5B9BD5" w:themeColor="accent1"/>
          <w:sz w:val="20"/>
          <w:szCs w:val="20"/>
        </w:rPr>
        <w:t>curatellifolia</w:t>
      </w:r>
      <w:r w:rsidR="00FD2BF9">
        <w:rPr>
          <w:rFonts w:ascii="Arial" w:hAnsi="Arial" w:cs="Arial"/>
          <w:i/>
          <w:iCs/>
          <w:color w:val="5B9BD5" w:themeColor="accent1"/>
          <w:sz w:val="20"/>
          <w:szCs w:val="20"/>
        </w:rPr>
        <w:t xml:space="preserve"> [27]</w:t>
      </w:r>
      <w:r w:rsidR="00FD2BF9" w:rsidRPr="00DF45D1">
        <w:rPr>
          <w:rFonts w:ascii="Arial" w:hAnsi="Arial" w:cs="Arial"/>
          <w:i/>
          <w:iCs/>
          <w:color w:val="5B9BD5" w:themeColor="accent1"/>
          <w:sz w:val="20"/>
          <w:szCs w:val="20"/>
        </w:rPr>
        <w:t>.</w:t>
      </w:r>
      <w:r w:rsidR="00DF45D1">
        <w:rPr>
          <w:rFonts w:ascii="Arial" w:hAnsi="Arial" w:cs="Arial"/>
          <w:i/>
          <w:iCs/>
          <w:color w:val="5B9BD5" w:themeColor="accent1"/>
          <w:sz w:val="20"/>
          <w:szCs w:val="20"/>
        </w:rPr>
        <w:t xml:space="preserve"> </w:t>
      </w:r>
    </w:p>
    <w:tbl>
      <w:tblPr>
        <w:tblStyle w:val="TableGrid"/>
        <w:tblW w:w="0" w:type="auto"/>
        <w:tblLook w:val="04A0" w:firstRow="1" w:lastRow="0" w:firstColumn="1" w:lastColumn="0" w:noHBand="0" w:noVBand="1"/>
      </w:tblPr>
      <w:tblGrid>
        <w:gridCol w:w="3119"/>
        <w:gridCol w:w="5760"/>
      </w:tblGrid>
      <w:tr w:rsidR="007C4222" w:rsidRPr="00DF45D1" w14:paraId="46AAFF24" w14:textId="77777777" w:rsidTr="00DF45D1">
        <w:tc>
          <w:tcPr>
            <w:tcW w:w="3119" w:type="dxa"/>
            <w:vMerge w:val="restart"/>
          </w:tcPr>
          <w:p w14:paraId="1ADA03A4" w14:textId="4B7B3C2F" w:rsidR="007C4222" w:rsidRPr="00DF45D1" w:rsidRDefault="008006B3" w:rsidP="00D344A2">
            <w:pPr>
              <w:pStyle w:val="Heading3"/>
              <w:numPr>
                <w:ilvl w:val="0"/>
                <w:numId w:val="0"/>
              </w:numPr>
              <w:contextualSpacing/>
              <w:jc w:val="both"/>
              <w:rPr>
                <w:rFonts w:cs="Arial"/>
                <w:i w:val="0"/>
                <w:iCs/>
                <w:sz w:val="18"/>
                <w:szCs w:val="18"/>
              </w:rPr>
            </w:pPr>
            <w:bookmarkStart w:id="6" w:name="_Hlk194306042"/>
            <w:bookmarkStart w:id="7" w:name="_Hlk194306131"/>
            <w:r w:rsidRPr="00DF45D1">
              <w:rPr>
                <w:rFonts w:cs="Arial"/>
                <w:i w:val="0"/>
                <w:iCs/>
                <w:sz w:val="18"/>
                <w:szCs w:val="18"/>
              </w:rPr>
              <w:t xml:space="preserve"> Detection for alkaloids by the Iodine test</w:t>
            </w:r>
            <w:bookmarkEnd w:id="6"/>
          </w:p>
        </w:tc>
        <w:tc>
          <w:tcPr>
            <w:tcW w:w="5760" w:type="dxa"/>
            <w:tcBorders>
              <w:bottom w:val="single" w:sz="4" w:space="0" w:color="auto"/>
            </w:tcBorders>
          </w:tcPr>
          <w:p w14:paraId="38CA5EFE" w14:textId="77777777" w:rsidR="007C4222" w:rsidRPr="00FD2BF9" w:rsidRDefault="008006B3" w:rsidP="00D344A2">
            <w:pPr>
              <w:pStyle w:val="Heading3"/>
              <w:numPr>
                <w:ilvl w:val="0"/>
                <w:numId w:val="0"/>
              </w:numPr>
              <w:contextualSpacing/>
              <w:jc w:val="both"/>
              <w:rPr>
                <w:rFonts w:cs="Arial"/>
                <w:i w:val="0"/>
                <w:iCs/>
                <w:sz w:val="18"/>
                <w:szCs w:val="18"/>
                <w:highlight w:val="yellow"/>
              </w:rPr>
            </w:pPr>
            <w:r w:rsidRPr="00FD2BF9">
              <w:rPr>
                <w:rFonts w:eastAsia="Times New Roman" w:cs="Arial"/>
                <w:i w:val="0"/>
                <w:iCs/>
                <w:sz w:val="18"/>
                <w:szCs w:val="18"/>
                <w:highlight w:val="yellow"/>
              </w:rPr>
              <w:t xml:space="preserve"> </w:t>
            </w:r>
            <w:r w:rsidRPr="00FD2BF9">
              <w:rPr>
                <w:rFonts w:cs="Arial"/>
                <w:i w:val="0"/>
                <w:iCs/>
                <w:sz w:val="18"/>
                <w:szCs w:val="18"/>
                <w:highlight w:val="yellow"/>
              </w:rPr>
              <w:t>To 3ml of the lyophilized extract solution, a few drops of iodine solution were slowly added along the sides of the test tube</w:t>
            </w:r>
          </w:p>
        </w:tc>
      </w:tr>
      <w:tr w:rsidR="007C4222" w:rsidRPr="00DF45D1" w14:paraId="0C207330" w14:textId="77777777" w:rsidTr="00DF45D1">
        <w:tc>
          <w:tcPr>
            <w:tcW w:w="3119" w:type="dxa"/>
            <w:vMerge/>
          </w:tcPr>
          <w:p w14:paraId="290AE78A" w14:textId="77777777" w:rsidR="007C4222" w:rsidRPr="00DF45D1" w:rsidRDefault="007C4222" w:rsidP="00D344A2">
            <w:pPr>
              <w:pStyle w:val="Heading3"/>
              <w:numPr>
                <w:ilvl w:val="0"/>
                <w:numId w:val="0"/>
              </w:numPr>
              <w:contextualSpacing/>
              <w:jc w:val="both"/>
              <w:rPr>
                <w:rFonts w:cs="Arial"/>
                <w:i w:val="0"/>
                <w:iCs/>
                <w:sz w:val="18"/>
                <w:szCs w:val="18"/>
              </w:rPr>
            </w:pPr>
          </w:p>
        </w:tc>
        <w:tc>
          <w:tcPr>
            <w:tcW w:w="5760" w:type="dxa"/>
            <w:shd w:val="clear" w:color="auto" w:fill="E7E6E6" w:themeFill="background2"/>
          </w:tcPr>
          <w:p w14:paraId="22615C58" w14:textId="77777777" w:rsidR="007C4222" w:rsidRPr="00FD2BF9" w:rsidRDefault="008006B3" w:rsidP="00D344A2">
            <w:pPr>
              <w:pStyle w:val="Default"/>
              <w:contextualSpacing/>
              <w:jc w:val="both"/>
              <w:rPr>
                <w:rFonts w:ascii="Arial" w:hAnsi="Arial" w:cs="Arial"/>
                <w:iCs/>
                <w:sz w:val="18"/>
                <w:szCs w:val="18"/>
                <w:highlight w:val="yellow"/>
              </w:rPr>
            </w:pPr>
            <w:r w:rsidRPr="00FD2BF9">
              <w:rPr>
                <w:rFonts w:ascii="Arial" w:hAnsi="Arial" w:cs="Arial"/>
                <w:iCs/>
                <w:sz w:val="18"/>
                <w:szCs w:val="18"/>
                <w:highlight w:val="yellow"/>
              </w:rPr>
              <w:t xml:space="preserve"> The presence of alkaloids was then identified by the appearance of a blue colour, which disappears on boiling and reappears on cooling</w:t>
            </w:r>
            <w:r w:rsidRPr="00FD2BF9">
              <w:rPr>
                <w:rFonts w:ascii="Arial" w:hAnsi="Arial" w:cs="Arial"/>
                <w:iCs/>
                <w:sz w:val="18"/>
                <w:szCs w:val="18"/>
                <w:highlight w:val="yellow"/>
                <w:vertAlign w:val="superscript"/>
              </w:rPr>
              <w:t xml:space="preserve"> </w:t>
            </w:r>
          </w:p>
        </w:tc>
      </w:tr>
      <w:tr w:rsidR="007C4222" w:rsidRPr="00DF45D1" w14:paraId="4907498C" w14:textId="77777777" w:rsidTr="00DF45D1">
        <w:tc>
          <w:tcPr>
            <w:tcW w:w="3119" w:type="dxa"/>
            <w:vMerge w:val="restart"/>
          </w:tcPr>
          <w:p w14:paraId="53EFBC66" w14:textId="54408918" w:rsidR="007C4222" w:rsidRPr="00DF45D1" w:rsidRDefault="008006B3" w:rsidP="00D344A2">
            <w:pPr>
              <w:pStyle w:val="Heading3"/>
              <w:numPr>
                <w:ilvl w:val="0"/>
                <w:numId w:val="0"/>
              </w:numPr>
              <w:contextualSpacing/>
              <w:jc w:val="both"/>
              <w:rPr>
                <w:rFonts w:cs="Arial"/>
                <w:i w:val="0"/>
                <w:iCs/>
                <w:sz w:val="18"/>
                <w:szCs w:val="18"/>
              </w:rPr>
            </w:pPr>
            <w:bookmarkStart w:id="8" w:name="_Hlk194306191"/>
            <w:bookmarkEnd w:id="7"/>
            <w:r w:rsidRPr="00DF45D1">
              <w:rPr>
                <w:rFonts w:cs="Arial"/>
                <w:i w:val="0"/>
                <w:iCs/>
                <w:sz w:val="18"/>
                <w:szCs w:val="18"/>
              </w:rPr>
              <w:t xml:space="preserve"> Detection of tannins by</w:t>
            </w:r>
            <w:r w:rsidR="00C62C59" w:rsidRPr="00DF45D1">
              <w:rPr>
                <w:rFonts w:cs="Arial"/>
                <w:i w:val="0"/>
                <w:iCs/>
                <w:sz w:val="18"/>
                <w:szCs w:val="18"/>
              </w:rPr>
              <w:t xml:space="preserve"> </w:t>
            </w:r>
            <w:r w:rsidRPr="00DF45D1">
              <w:rPr>
                <w:rFonts w:cs="Arial"/>
                <w:i w:val="0"/>
                <w:iCs/>
                <w:sz w:val="18"/>
                <w:szCs w:val="18"/>
              </w:rPr>
              <w:t>the Braymer’s test</w:t>
            </w:r>
          </w:p>
        </w:tc>
        <w:tc>
          <w:tcPr>
            <w:tcW w:w="5760" w:type="dxa"/>
            <w:tcBorders>
              <w:bottom w:val="single" w:sz="4" w:space="0" w:color="auto"/>
            </w:tcBorders>
          </w:tcPr>
          <w:p w14:paraId="2F1B653B" w14:textId="77777777" w:rsidR="007C4222" w:rsidRPr="00FD2BF9" w:rsidRDefault="008006B3" w:rsidP="00D344A2">
            <w:pPr>
              <w:pStyle w:val="Heading3"/>
              <w:numPr>
                <w:ilvl w:val="0"/>
                <w:numId w:val="0"/>
              </w:numPr>
              <w:contextualSpacing/>
              <w:jc w:val="both"/>
              <w:rPr>
                <w:rFonts w:cs="Arial"/>
                <w:i w:val="0"/>
                <w:iCs/>
                <w:sz w:val="18"/>
                <w:szCs w:val="18"/>
                <w:highlight w:val="yellow"/>
              </w:rPr>
            </w:pPr>
            <w:r w:rsidRPr="00FD2BF9">
              <w:rPr>
                <w:rFonts w:cs="Arial"/>
                <w:i w:val="0"/>
                <w:iCs/>
                <w:sz w:val="18"/>
                <w:szCs w:val="18"/>
                <w:highlight w:val="yellow"/>
              </w:rPr>
              <w:t xml:space="preserve"> To 1ml lyophilised extract solution, 3 drops of a 10% Ferric chloride solution were added</w:t>
            </w:r>
          </w:p>
        </w:tc>
      </w:tr>
      <w:tr w:rsidR="007C4222" w:rsidRPr="00DF45D1" w14:paraId="0F6B740F" w14:textId="77777777" w:rsidTr="00DF45D1">
        <w:tc>
          <w:tcPr>
            <w:tcW w:w="3119" w:type="dxa"/>
            <w:vMerge/>
          </w:tcPr>
          <w:p w14:paraId="379D53C8" w14:textId="77777777" w:rsidR="007C4222" w:rsidRPr="00DF45D1" w:rsidRDefault="007C4222" w:rsidP="00D344A2">
            <w:pPr>
              <w:pStyle w:val="Default"/>
              <w:contextualSpacing/>
              <w:jc w:val="both"/>
              <w:rPr>
                <w:rFonts w:ascii="Arial" w:hAnsi="Arial" w:cs="Arial"/>
                <w:iCs/>
                <w:sz w:val="18"/>
                <w:szCs w:val="18"/>
                <w:lang w:eastAsia="en-ZW"/>
              </w:rPr>
            </w:pPr>
          </w:p>
        </w:tc>
        <w:tc>
          <w:tcPr>
            <w:tcW w:w="5760" w:type="dxa"/>
            <w:shd w:val="clear" w:color="auto" w:fill="E7E6E6" w:themeFill="background2"/>
          </w:tcPr>
          <w:p w14:paraId="29A3E3EB" w14:textId="77777777" w:rsidR="007C4222" w:rsidRPr="00FD2BF9" w:rsidRDefault="008006B3" w:rsidP="00D344A2">
            <w:pPr>
              <w:pStyle w:val="Default"/>
              <w:contextualSpacing/>
              <w:jc w:val="both"/>
              <w:rPr>
                <w:rFonts w:ascii="Arial" w:hAnsi="Arial" w:cs="Arial"/>
                <w:iCs/>
                <w:sz w:val="18"/>
                <w:szCs w:val="18"/>
                <w:highlight w:val="yellow"/>
                <w:lang w:eastAsia="en-ZW"/>
              </w:rPr>
            </w:pPr>
            <w:r w:rsidRPr="00FD2BF9">
              <w:rPr>
                <w:rFonts w:ascii="Arial" w:hAnsi="Arial" w:cs="Arial"/>
                <w:iCs/>
                <w:sz w:val="18"/>
                <w:szCs w:val="18"/>
                <w:highlight w:val="yellow"/>
                <w:lang w:eastAsia="en-ZW"/>
              </w:rPr>
              <w:t>The presence of tannins was confirmed by conversion of the solution to a blue-green colour</w:t>
            </w:r>
          </w:p>
        </w:tc>
      </w:tr>
      <w:tr w:rsidR="007C4222" w:rsidRPr="00DF45D1" w14:paraId="1F638678" w14:textId="77777777" w:rsidTr="00DF45D1">
        <w:tc>
          <w:tcPr>
            <w:tcW w:w="3119" w:type="dxa"/>
            <w:vMerge w:val="restart"/>
          </w:tcPr>
          <w:p w14:paraId="2D5A272E" w14:textId="77777777" w:rsidR="007C4222" w:rsidRPr="00DF45D1" w:rsidRDefault="008006B3" w:rsidP="00D344A2">
            <w:pPr>
              <w:pStyle w:val="Heading3"/>
              <w:numPr>
                <w:ilvl w:val="0"/>
                <w:numId w:val="0"/>
              </w:numPr>
              <w:contextualSpacing/>
              <w:jc w:val="both"/>
              <w:rPr>
                <w:rFonts w:cs="Arial"/>
                <w:i w:val="0"/>
                <w:iCs/>
                <w:sz w:val="18"/>
                <w:szCs w:val="18"/>
              </w:rPr>
            </w:pPr>
            <w:bookmarkStart w:id="9" w:name="_Hlk194306582"/>
            <w:bookmarkStart w:id="10" w:name="_Hlk194306635"/>
            <w:bookmarkEnd w:id="8"/>
            <w:r w:rsidRPr="00DF45D1">
              <w:rPr>
                <w:rFonts w:cs="Arial"/>
                <w:i w:val="0"/>
                <w:iCs/>
                <w:sz w:val="18"/>
                <w:szCs w:val="18"/>
              </w:rPr>
              <w:t>Detection of Glycosides by the Keller-Killani test</w:t>
            </w:r>
            <w:bookmarkEnd w:id="9"/>
          </w:p>
        </w:tc>
        <w:tc>
          <w:tcPr>
            <w:tcW w:w="5760" w:type="dxa"/>
            <w:tcBorders>
              <w:bottom w:val="single" w:sz="4" w:space="0" w:color="auto"/>
            </w:tcBorders>
          </w:tcPr>
          <w:p w14:paraId="769DD0E3" w14:textId="77777777" w:rsidR="007C4222" w:rsidRPr="00FD2BF9" w:rsidRDefault="008006B3" w:rsidP="00D344A2">
            <w:pPr>
              <w:pStyle w:val="Heading3"/>
              <w:numPr>
                <w:ilvl w:val="0"/>
                <w:numId w:val="0"/>
              </w:numPr>
              <w:contextualSpacing/>
              <w:jc w:val="both"/>
              <w:rPr>
                <w:rFonts w:cs="Arial"/>
                <w:i w:val="0"/>
                <w:iCs/>
                <w:sz w:val="18"/>
                <w:szCs w:val="18"/>
                <w:highlight w:val="yellow"/>
                <w:vertAlign w:val="superscript"/>
              </w:rPr>
            </w:pPr>
            <w:r w:rsidRPr="00FD2BF9">
              <w:rPr>
                <w:rFonts w:cs="Arial"/>
                <w:i w:val="0"/>
                <w:iCs/>
                <w:sz w:val="18"/>
                <w:szCs w:val="18"/>
                <w:highlight w:val="yellow"/>
              </w:rPr>
              <w:t>To 5Ml of the lyophilised solution, 5mL glacial acetic acid was added and a few drops of 5% ferric chloride were added followed by a few drops of concentrated sulphuric acid along the side of test tube</w:t>
            </w:r>
          </w:p>
        </w:tc>
      </w:tr>
      <w:bookmarkEnd w:id="10"/>
      <w:tr w:rsidR="007C4222" w:rsidRPr="00DF45D1" w14:paraId="525B9176" w14:textId="77777777" w:rsidTr="00DF45D1">
        <w:tc>
          <w:tcPr>
            <w:tcW w:w="3119" w:type="dxa"/>
            <w:vMerge/>
          </w:tcPr>
          <w:p w14:paraId="482A7E56" w14:textId="77777777" w:rsidR="007C4222" w:rsidRPr="00DF45D1" w:rsidRDefault="007C4222" w:rsidP="00D344A2">
            <w:pPr>
              <w:pStyle w:val="Default"/>
              <w:contextualSpacing/>
              <w:jc w:val="both"/>
              <w:rPr>
                <w:rFonts w:ascii="Arial" w:hAnsi="Arial" w:cs="Arial"/>
                <w:iCs/>
                <w:sz w:val="18"/>
                <w:szCs w:val="18"/>
                <w:lang w:eastAsia="en-ZW"/>
              </w:rPr>
            </w:pPr>
          </w:p>
        </w:tc>
        <w:tc>
          <w:tcPr>
            <w:tcW w:w="5760" w:type="dxa"/>
            <w:shd w:val="clear" w:color="auto" w:fill="E7E6E6" w:themeFill="background2"/>
          </w:tcPr>
          <w:p w14:paraId="213D93CB" w14:textId="77777777" w:rsidR="007C4222" w:rsidRPr="00DF45D1" w:rsidRDefault="008006B3" w:rsidP="00D344A2">
            <w:pPr>
              <w:pStyle w:val="Default"/>
              <w:contextualSpacing/>
              <w:jc w:val="both"/>
              <w:rPr>
                <w:rFonts w:ascii="Arial" w:hAnsi="Arial" w:cs="Arial"/>
                <w:iCs/>
                <w:sz w:val="18"/>
                <w:szCs w:val="18"/>
                <w:lang w:eastAsia="en-ZW"/>
              </w:rPr>
            </w:pPr>
            <w:r w:rsidRPr="00DF45D1">
              <w:rPr>
                <w:rFonts w:ascii="Arial" w:hAnsi="Arial" w:cs="Arial"/>
                <w:iCs/>
                <w:sz w:val="18"/>
                <w:szCs w:val="18"/>
              </w:rPr>
              <w:t xml:space="preserve"> </w:t>
            </w:r>
            <w:bookmarkStart w:id="11" w:name="_Hlk194306664"/>
            <w:r w:rsidRPr="00DF45D1">
              <w:rPr>
                <w:rFonts w:ascii="Arial" w:hAnsi="Arial" w:cs="Arial"/>
                <w:iCs/>
                <w:sz w:val="18"/>
                <w:szCs w:val="18"/>
              </w:rPr>
              <w:t>The presence of glycosides was confirmed by the emergence of a blue coloured solution in mixture acetic acid layer</w:t>
            </w:r>
            <w:bookmarkEnd w:id="11"/>
          </w:p>
        </w:tc>
      </w:tr>
      <w:tr w:rsidR="007C4222" w:rsidRPr="00DF45D1" w14:paraId="2E856121" w14:textId="77777777" w:rsidTr="00DF45D1">
        <w:tc>
          <w:tcPr>
            <w:tcW w:w="3119" w:type="dxa"/>
            <w:vMerge w:val="restart"/>
          </w:tcPr>
          <w:p w14:paraId="1DE836FB" w14:textId="21379744" w:rsidR="007C4222" w:rsidRPr="00DF45D1" w:rsidRDefault="008006B3" w:rsidP="00D344A2">
            <w:pPr>
              <w:pStyle w:val="Default"/>
              <w:contextualSpacing/>
              <w:jc w:val="both"/>
              <w:rPr>
                <w:rFonts w:ascii="Arial" w:hAnsi="Arial" w:cs="Arial"/>
                <w:iCs/>
                <w:sz w:val="18"/>
                <w:szCs w:val="18"/>
              </w:rPr>
            </w:pPr>
            <w:bookmarkStart w:id="12" w:name="_Hlk194306695"/>
            <w:bookmarkStart w:id="13" w:name="_Hlk194306823"/>
            <w:r w:rsidRPr="00DF45D1">
              <w:rPr>
                <w:rFonts w:ascii="Arial" w:hAnsi="Arial" w:cs="Arial"/>
                <w:iCs/>
                <w:sz w:val="18"/>
                <w:szCs w:val="18"/>
                <w:lang w:eastAsia="en-ZW"/>
              </w:rPr>
              <w:t>Detection</w:t>
            </w:r>
            <w:r w:rsidR="00D344A2" w:rsidRPr="00DF45D1">
              <w:rPr>
                <w:rFonts w:ascii="Arial" w:hAnsi="Arial" w:cs="Arial"/>
                <w:iCs/>
                <w:sz w:val="18"/>
                <w:szCs w:val="18"/>
                <w:lang w:eastAsia="en-ZW"/>
              </w:rPr>
              <w:t xml:space="preserve"> </w:t>
            </w:r>
            <w:r w:rsidRPr="00DF45D1">
              <w:rPr>
                <w:rFonts w:ascii="Arial" w:hAnsi="Arial" w:cs="Arial"/>
                <w:iCs/>
                <w:sz w:val="18"/>
                <w:szCs w:val="18"/>
                <w:lang w:eastAsia="en-ZW"/>
              </w:rPr>
              <w:t xml:space="preserve">of Phenolic compounds by the Gelatin test </w:t>
            </w:r>
            <w:bookmarkEnd w:id="12"/>
          </w:p>
        </w:tc>
        <w:tc>
          <w:tcPr>
            <w:tcW w:w="5760" w:type="dxa"/>
            <w:tcBorders>
              <w:bottom w:val="single" w:sz="4" w:space="0" w:color="auto"/>
            </w:tcBorders>
          </w:tcPr>
          <w:p w14:paraId="70921039" w14:textId="77777777" w:rsidR="007C4222" w:rsidRPr="00DF45D1" w:rsidRDefault="008006B3" w:rsidP="00D344A2">
            <w:pPr>
              <w:pStyle w:val="Default"/>
              <w:contextualSpacing/>
              <w:jc w:val="both"/>
              <w:rPr>
                <w:rFonts w:ascii="Arial" w:hAnsi="Arial" w:cs="Arial"/>
                <w:iCs/>
                <w:sz w:val="18"/>
                <w:szCs w:val="18"/>
              </w:rPr>
            </w:pPr>
            <w:r w:rsidRPr="00DF45D1">
              <w:rPr>
                <w:rFonts w:ascii="Arial" w:hAnsi="Arial" w:cs="Arial"/>
                <w:iCs/>
                <w:sz w:val="18"/>
                <w:szCs w:val="18"/>
              </w:rPr>
              <w:t>2ml the lyophilised extract solution was added to 5ml of a 1% gelatin</w:t>
            </w:r>
            <w:r w:rsidRPr="00DF45D1">
              <w:rPr>
                <w:rFonts w:ascii="Arial" w:eastAsia="Times New Roman" w:hAnsi="Arial" w:cs="Arial"/>
                <w:iCs/>
                <w:color w:val="auto"/>
                <w:sz w:val="18"/>
                <w:szCs w:val="18"/>
                <w:lang w:eastAsia="en-ZW"/>
              </w:rPr>
              <w:t xml:space="preserve"> </w:t>
            </w:r>
            <w:r w:rsidRPr="00DF45D1">
              <w:rPr>
                <w:rFonts w:ascii="Arial" w:hAnsi="Arial" w:cs="Arial"/>
                <w:iCs/>
                <w:sz w:val="18"/>
                <w:szCs w:val="18"/>
              </w:rPr>
              <w:t>solution and 5 drops of a 10% NaCl were further added</w:t>
            </w:r>
          </w:p>
        </w:tc>
      </w:tr>
      <w:tr w:rsidR="007C4222" w:rsidRPr="00DF45D1" w14:paraId="3623DEC3" w14:textId="77777777" w:rsidTr="00DF45D1">
        <w:tc>
          <w:tcPr>
            <w:tcW w:w="3119" w:type="dxa"/>
            <w:vMerge/>
          </w:tcPr>
          <w:p w14:paraId="4DEC03BB" w14:textId="77777777" w:rsidR="007C4222" w:rsidRPr="00DF45D1" w:rsidRDefault="007C4222" w:rsidP="00D344A2">
            <w:pPr>
              <w:pStyle w:val="Default"/>
              <w:contextualSpacing/>
              <w:jc w:val="both"/>
              <w:rPr>
                <w:rFonts w:ascii="Arial" w:hAnsi="Arial" w:cs="Arial"/>
                <w:iCs/>
                <w:sz w:val="18"/>
                <w:szCs w:val="18"/>
                <w:lang w:eastAsia="en-ZW"/>
              </w:rPr>
            </w:pPr>
          </w:p>
        </w:tc>
        <w:tc>
          <w:tcPr>
            <w:tcW w:w="5760" w:type="dxa"/>
            <w:shd w:val="clear" w:color="auto" w:fill="E7E6E6" w:themeFill="background2"/>
          </w:tcPr>
          <w:p w14:paraId="7258077B" w14:textId="77777777" w:rsidR="007C4222" w:rsidRPr="00DF45D1" w:rsidRDefault="008006B3" w:rsidP="00D344A2">
            <w:pPr>
              <w:pStyle w:val="Default"/>
              <w:contextualSpacing/>
              <w:jc w:val="both"/>
              <w:rPr>
                <w:rFonts w:ascii="Arial" w:hAnsi="Arial" w:cs="Arial"/>
                <w:iCs/>
                <w:sz w:val="18"/>
                <w:szCs w:val="18"/>
                <w:lang w:eastAsia="en-ZW"/>
              </w:rPr>
            </w:pPr>
            <w:r w:rsidRPr="00DF45D1">
              <w:rPr>
                <w:rFonts w:ascii="Arial" w:hAnsi="Arial" w:cs="Arial"/>
                <w:iCs/>
                <w:sz w:val="18"/>
                <w:szCs w:val="18"/>
                <w:lang w:eastAsia="en-ZW"/>
              </w:rPr>
              <w:t>Phenolics were identified by the appearance of a white precipitate</w:t>
            </w:r>
          </w:p>
        </w:tc>
      </w:tr>
      <w:tr w:rsidR="007C4222" w:rsidRPr="00DF45D1" w14:paraId="5E907585" w14:textId="77777777" w:rsidTr="00DF45D1">
        <w:tc>
          <w:tcPr>
            <w:tcW w:w="3119" w:type="dxa"/>
            <w:vMerge w:val="restart"/>
          </w:tcPr>
          <w:p w14:paraId="1925BA08" w14:textId="4819F7DD" w:rsidR="007C4222" w:rsidRPr="00DF45D1" w:rsidRDefault="008006B3" w:rsidP="00D344A2">
            <w:pPr>
              <w:pStyle w:val="Heading3"/>
              <w:numPr>
                <w:ilvl w:val="0"/>
                <w:numId w:val="0"/>
              </w:numPr>
              <w:contextualSpacing/>
              <w:jc w:val="both"/>
              <w:rPr>
                <w:rFonts w:cs="Arial"/>
                <w:i w:val="0"/>
                <w:iCs/>
                <w:sz w:val="18"/>
                <w:szCs w:val="18"/>
              </w:rPr>
            </w:pPr>
            <w:bookmarkStart w:id="14" w:name="_Hlk194306868"/>
            <w:bookmarkStart w:id="15" w:name="_Hlk194306917"/>
            <w:bookmarkEnd w:id="13"/>
            <w:r w:rsidRPr="00DF45D1">
              <w:rPr>
                <w:rFonts w:cs="Arial"/>
                <w:i w:val="0"/>
                <w:iCs/>
                <w:sz w:val="18"/>
                <w:szCs w:val="18"/>
              </w:rPr>
              <w:t xml:space="preserve"> Detection of saponins by the simplified foam test</w:t>
            </w:r>
            <w:bookmarkEnd w:id="14"/>
          </w:p>
        </w:tc>
        <w:tc>
          <w:tcPr>
            <w:tcW w:w="5760" w:type="dxa"/>
            <w:tcBorders>
              <w:bottom w:val="single" w:sz="4" w:space="0" w:color="auto"/>
            </w:tcBorders>
          </w:tcPr>
          <w:p w14:paraId="575E7A8E" w14:textId="77777777" w:rsidR="007C4222" w:rsidRPr="00DF45D1" w:rsidRDefault="008006B3" w:rsidP="00D344A2">
            <w:pPr>
              <w:pStyle w:val="Heading3"/>
              <w:numPr>
                <w:ilvl w:val="0"/>
                <w:numId w:val="0"/>
              </w:numPr>
              <w:contextualSpacing/>
              <w:jc w:val="both"/>
              <w:rPr>
                <w:rFonts w:cs="Arial"/>
                <w:i w:val="0"/>
                <w:iCs/>
                <w:sz w:val="18"/>
                <w:szCs w:val="18"/>
              </w:rPr>
            </w:pPr>
            <w:r w:rsidRPr="00DF45D1">
              <w:rPr>
                <w:rFonts w:cs="Arial"/>
                <w:i w:val="0"/>
                <w:iCs/>
                <w:sz w:val="18"/>
                <w:szCs w:val="18"/>
              </w:rPr>
              <w:t>2ml of the extract was added to 20ml distilled water. The mixture was shaken in a graduated cylinder for 15 minutes</w:t>
            </w:r>
          </w:p>
        </w:tc>
      </w:tr>
      <w:tr w:rsidR="007C4222" w:rsidRPr="00DF45D1" w14:paraId="245C6A69" w14:textId="77777777" w:rsidTr="00DF45D1">
        <w:tc>
          <w:tcPr>
            <w:tcW w:w="3119" w:type="dxa"/>
            <w:vMerge/>
          </w:tcPr>
          <w:p w14:paraId="66F96AA5" w14:textId="77777777" w:rsidR="007C4222" w:rsidRPr="00DF45D1" w:rsidRDefault="007C4222" w:rsidP="00D344A2">
            <w:pPr>
              <w:autoSpaceDE w:val="0"/>
              <w:autoSpaceDN w:val="0"/>
              <w:adjustRightInd w:val="0"/>
              <w:contextualSpacing/>
              <w:jc w:val="both"/>
              <w:rPr>
                <w:rFonts w:ascii="Arial" w:hAnsi="Arial" w:cs="Arial"/>
                <w:iCs/>
                <w:sz w:val="18"/>
                <w:szCs w:val="18"/>
              </w:rPr>
            </w:pPr>
          </w:p>
        </w:tc>
        <w:tc>
          <w:tcPr>
            <w:tcW w:w="5760" w:type="dxa"/>
            <w:shd w:val="clear" w:color="auto" w:fill="E7E6E6" w:themeFill="background2"/>
          </w:tcPr>
          <w:p w14:paraId="097D3B66" w14:textId="77777777" w:rsidR="007C4222" w:rsidRPr="00DF45D1" w:rsidRDefault="008006B3" w:rsidP="00D344A2">
            <w:pPr>
              <w:autoSpaceDE w:val="0"/>
              <w:autoSpaceDN w:val="0"/>
              <w:adjustRightInd w:val="0"/>
              <w:contextualSpacing/>
              <w:jc w:val="both"/>
              <w:rPr>
                <w:rFonts w:ascii="Arial" w:hAnsi="Arial" w:cs="Arial"/>
                <w:iCs/>
                <w:sz w:val="18"/>
                <w:szCs w:val="18"/>
              </w:rPr>
            </w:pPr>
            <w:r w:rsidRPr="00DF45D1">
              <w:rPr>
                <w:rFonts w:ascii="Arial" w:hAnsi="Arial" w:cs="Arial"/>
                <w:iCs/>
                <w:sz w:val="18"/>
                <w:szCs w:val="18"/>
              </w:rPr>
              <w:t>The presence of saponins would be confirmed by the formation of form with a head height of at least 1cm</w:t>
            </w:r>
            <w:r w:rsidRPr="00DF45D1">
              <w:rPr>
                <w:rFonts w:ascii="Arial" w:hAnsi="Arial" w:cs="Arial"/>
                <w:iCs/>
                <w:sz w:val="18"/>
                <w:szCs w:val="18"/>
                <w:vertAlign w:val="superscript"/>
              </w:rPr>
              <w:t>3</w:t>
            </w:r>
          </w:p>
        </w:tc>
      </w:tr>
      <w:tr w:rsidR="00DF45D1" w:rsidRPr="00DF45D1" w14:paraId="67E08D37" w14:textId="77777777" w:rsidTr="00DF45D1">
        <w:trPr>
          <w:trHeight w:val="312"/>
        </w:trPr>
        <w:tc>
          <w:tcPr>
            <w:tcW w:w="3119" w:type="dxa"/>
            <w:vMerge w:val="restart"/>
          </w:tcPr>
          <w:p w14:paraId="09427EFF" w14:textId="3D47E09B" w:rsidR="00DF45D1" w:rsidRPr="00DF45D1" w:rsidRDefault="00DF45D1" w:rsidP="00D344A2">
            <w:pPr>
              <w:autoSpaceDE w:val="0"/>
              <w:autoSpaceDN w:val="0"/>
              <w:adjustRightInd w:val="0"/>
              <w:contextualSpacing/>
              <w:jc w:val="both"/>
              <w:rPr>
                <w:rFonts w:ascii="Arial" w:hAnsi="Arial" w:cs="Arial"/>
                <w:iCs/>
                <w:sz w:val="18"/>
                <w:szCs w:val="18"/>
              </w:rPr>
            </w:pPr>
            <w:bookmarkStart w:id="16" w:name="_Hlk194306328"/>
            <w:r w:rsidRPr="00DF45D1">
              <w:rPr>
                <w:rFonts w:ascii="Arial" w:hAnsi="Arial" w:cs="Arial"/>
                <w:iCs/>
                <w:sz w:val="18"/>
                <w:szCs w:val="18"/>
              </w:rPr>
              <w:t>Detection of flavonoids by the Ammonia test</w:t>
            </w:r>
            <w:bookmarkEnd w:id="16"/>
          </w:p>
        </w:tc>
        <w:tc>
          <w:tcPr>
            <w:tcW w:w="5760" w:type="dxa"/>
            <w:tcBorders>
              <w:bottom w:val="single" w:sz="4" w:space="0" w:color="auto"/>
            </w:tcBorders>
          </w:tcPr>
          <w:p w14:paraId="76626A03" w14:textId="211287FA" w:rsidR="00DF45D1" w:rsidRPr="00DF45D1" w:rsidRDefault="00DF45D1" w:rsidP="00D344A2">
            <w:pPr>
              <w:autoSpaceDE w:val="0"/>
              <w:autoSpaceDN w:val="0"/>
              <w:adjustRightInd w:val="0"/>
              <w:contextualSpacing/>
              <w:jc w:val="both"/>
              <w:rPr>
                <w:rFonts w:ascii="Arial" w:hAnsi="Arial" w:cs="Arial"/>
                <w:iCs/>
                <w:sz w:val="18"/>
                <w:szCs w:val="18"/>
              </w:rPr>
            </w:pPr>
            <w:r w:rsidRPr="00DF45D1">
              <w:rPr>
                <w:rFonts w:ascii="Arial" w:hAnsi="Arial" w:cs="Arial"/>
                <w:iCs/>
                <w:sz w:val="18"/>
                <w:szCs w:val="18"/>
              </w:rPr>
              <w:t xml:space="preserve">5ml dilute ammonia solution was added to 5ml of the lyophilised solution followed by a few drops of concentrated sulphuric </w:t>
            </w:r>
            <w:r w:rsidR="00FD2BF9" w:rsidRPr="00DF45D1">
              <w:rPr>
                <w:rFonts w:ascii="Arial" w:hAnsi="Arial" w:cs="Arial"/>
                <w:iCs/>
                <w:sz w:val="18"/>
                <w:szCs w:val="18"/>
              </w:rPr>
              <w:t>acid.</w:t>
            </w:r>
          </w:p>
          <w:p w14:paraId="570EA519" w14:textId="1B9315D3" w:rsidR="00DF45D1" w:rsidRPr="00DF45D1" w:rsidRDefault="00DF45D1" w:rsidP="00D344A2">
            <w:pPr>
              <w:autoSpaceDE w:val="0"/>
              <w:autoSpaceDN w:val="0"/>
              <w:adjustRightInd w:val="0"/>
              <w:contextualSpacing/>
              <w:jc w:val="both"/>
              <w:rPr>
                <w:rFonts w:ascii="Arial" w:hAnsi="Arial" w:cs="Arial"/>
                <w:iCs/>
                <w:sz w:val="18"/>
                <w:szCs w:val="18"/>
              </w:rPr>
            </w:pPr>
          </w:p>
        </w:tc>
      </w:tr>
      <w:tr w:rsidR="00DF45D1" w:rsidRPr="00DF45D1" w14:paraId="64E77EE3" w14:textId="77777777" w:rsidTr="00DF45D1">
        <w:trPr>
          <w:trHeight w:val="312"/>
        </w:trPr>
        <w:tc>
          <w:tcPr>
            <w:tcW w:w="3119" w:type="dxa"/>
            <w:vMerge/>
          </w:tcPr>
          <w:p w14:paraId="7132923E" w14:textId="77777777" w:rsidR="00DF45D1" w:rsidRPr="00DF45D1" w:rsidRDefault="00DF45D1" w:rsidP="00D344A2">
            <w:pPr>
              <w:autoSpaceDE w:val="0"/>
              <w:autoSpaceDN w:val="0"/>
              <w:adjustRightInd w:val="0"/>
              <w:contextualSpacing/>
              <w:jc w:val="both"/>
              <w:rPr>
                <w:rFonts w:ascii="Arial" w:hAnsi="Arial" w:cs="Arial"/>
                <w:iCs/>
                <w:sz w:val="18"/>
                <w:szCs w:val="18"/>
              </w:rPr>
            </w:pPr>
          </w:p>
        </w:tc>
        <w:tc>
          <w:tcPr>
            <w:tcW w:w="5760" w:type="dxa"/>
            <w:shd w:val="clear" w:color="auto" w:fill="E7E6E6" w:themeFill="background2"/>
          </w:tcPr>
          <w:p w14:paraId="3C214F2E" w14:textId="1E946C76" w:rsidR="00DF45D1" w:rsidRPr="00DF45D1" w:rsidRDefault="00DF45D1" w:rsidP="00D344A2">
            <w:pPr>
              <w:autoSpaceDE w:val="0"/>
              <w:autoSpaceDN w:val="0"/>
              <w:adjustRightInd w:val="0"/>
              <w:contextualSpacing/>
              <w:jc w:val="both"/>
              <w:rPr>
                <w:rFonts w:ascii="Arial" w:hAnsi="Arial" w:cs="Arial"/>
                <w:iCs/>
                <w:sz w:val="18"/>
                <w:szCs w:val="18"/>
              </w:rPr>
            </w:pPr>
            <w:r w:rsidRPr="00DF45D1">
              <w:rPr>
                <w:rFonts w:ascii="Arial" w:hAnsi="Arial" w:cs="Arial"/>
                <w:iCs/>
                <w:sz w:val="18"/>
                <w:szCs w:val="18"/>
              </w:rPr>
              <w:t>The emergence of a yellow colour indicates the presence of flavonoids</w:t>
            </w:r>
          </w:p>
        </w:tc>
      </w:tr>
    </w:tbl>
    <w:p w14:paraId="086AF406" w14:textId="77777777" w:rsidR="007C4222" w:rsidRPr="00DF45D1" w:rsidRDefault="007C4222" w:rsidP="00D344A2">
      <w:pPr>
        <w:autoSpaceDE w:val="0"/>
        <w:autoSpaceDN w:val="0"/>
        <w:adjustRightInd w:val="0"/>
        <w:contextualSpacing/>
        <w:jc w:val="both"/>
        <w:rPr>
          <w:rFonts w:ascii="Arial" w:hAnsi="Arial" w:cs="Arial"/>
          <w:iCs/>
          <w:sz w:val="18"/>
          <w:szCs w:val="18"/>
        </w:rPr>
      </w:pPr>
      <w:bookmarkStart w:id="17" w:name="_Toc157026289"/>
      <w:bookmarkEnd w:id="15"/>
      <w:bookmarkEnd w:id="17"/>
    </w:p>
    <w:p w14:paraId="0A202E4C" w14:textId="77777777" w:rsidR="007C4222" w:rsidRPr="00DF45D1" w:rsidRDefault="007C4222" w:rsidP="00D344A2">
      <w:pPr>
        <w:autoSpaceDE w:val="0"/>
        <w:autoSpaceDN w:val="0"/>
        <w:adjustRightInd w:val="0"/>
        <w:contextualSpacing/>
        <w:jc w:val="both"/>
        <w:rPr>
          <w:rFonts w:ascii="Arial" w:hAnsi="Arial" w:cs="Arial"/>
          <w:sz w:val="18"/>
          <w:szCs w:val="18"/>
        </w:rPr>
      </w:pPr>
    </w:p>
    <w:p w14:paraId="0F9CE238" w14:textId="77777777" w:rsidR="007C4222" w:rsidRPr="00DF45D1" w:rsidRDefault="007C4222" w:rsidP="00D344A2">
      <w:pPr>
        <w:autoSpaceDE w:val="0"/>
        <w:autoSpaceDN w:val="0"/>
        <w:adjustRightInd w:val="0"/>
        <w:contextualSpacing/>
        <w:jc w:val="both"/>
        <w:rPr>
          <w:rFonts w:ascii="Arial" w:hAnsi="Arial" w:cs="Arial"/>
          <w:sz w:val="18"/>
          <w:szCs w:val="18"/>
        </w:rPr>
      </w:pPr>
    </w:p>
    <w:p w14:paraId="46557650" w14:textId="763E3006" w:rsidR="007C4222" w:rsidRPr="00A21894" w:rsidRDefault="001E144F" w:rsidP="00E04FC5">
      <w:pPr>
        <w:pStyle w:val="Heading2"/>
        <w:numPr>
          <w:ilvl w:val="0"/>
          <w:numId w:val="0"/>
        </w:numPr>
        <w:contextualSpacing/>
        <w:jc w:val="both"/>
        <w:rPr>
          <w:rFonts w:cs="Arial"/>
          <w:szCs w:val="24"/>
        </w:rPr>
      </w:pPr>
      <w:r>
        <w:rPr>
          <w:rFonts w:cs="Arial"/>
          <w:szCs w:val="24"/>
        </w:rPr>
        <w:t>2.5</w:t>
      </w:r>
      <w:r w:rsidR="008006B3" w:rsidRPr="00A21894">
        <w:rPr>
          <w:rFonts w:cs="Arial"/>
          <w:szCs w:val="24"/>
        </w:rPr>
        <w:t xml:space="preserve"> Anti-inflammatory activity of </w:t>
      </w:r>
      <w:r w:rsidR="008006B3" w:rsidRPr="00A21894">
        <w:rPr>
          <w:rFonts w:cs="Arial"/>
          <w:i/>
          <w:iCs/>
          <w:szCs w:val="24"/>
        </w:rPr>
        <w:t xml:space="preserve">Parinari </w:t>
      </w:r>
      <w:r w:rsidR="00E04FC5" w:rsidRPr="00A21894">
        <w:rPr>
          <w:rFonts w:cs="Arial"/>
          <w:i/>
          <w:iCs/>
          <w:szCs w:val="24"/>
        </w:rPr>
        <w:t>curatellifolia</w:t>
      </w:r>
      <w:r w:rsidR="008006B3" w:rsidRPr="00A21894">
        <w:rPr>
          <w:rFonts w:cs="Arial"/>
          <w:i/>
          <w:iCs/>
          <w:szCs w:val="24"/>
        </w:rPr>
        <w:t xml:space="preserve"> using </w:t>
      </w:r>
      <w:r w:rsidR="008006B3" w:rsidRPr="00A21894">
        <w:rPr>
          <w:rFonts w:cs="Arial"/>
          <w:szCs w:val="24"/>
        </w:rPr>
        <w:t xml:space="preserve">the egg albumin denaturation </w:t>
      </w:r>
      <w:r w:rsidR="00FD2BF9" w:rsidRPr="00A21894">
        <w:rPr>
          <w:rFonts w:cs="Arial"/>
          <w:szCs w:val="24"/>
        </w:rPr>
        <w:t>test.</w:t>
      </w:r>
    </w:p>
    <w:p w14:paraId="57A8C635" w14:textId="70CB0248" w:rsidR="007C4222" w:rsidRDefault="008006B3" w:rsidP="00D344A2">
      <w:pPr>
        <w:jc w:val="both"/>
        <w:rPr>
          <w:rFonts w:ascii="Arial" w:hAnsi="Arial" w:cs="Arial"/>
          <w:sz w:val="20"/>
          <w:szCs w:val="20"/>
        </w:rPr>
      </w:pPr>
      <w:bookmarkStart w:id="18" w:name="_Hlk194307138"/>
      <w:r>
        <w:rPr>
          <w:rFonts w:ascii="Arial" w:hAnsi="Arial" w:cs="Arial"/>
          <w:sz w:val="20"/>
          <w:szCs w:val="20"/>
        </w:rPr>
        <w:t xml:space="preserve">The anti-inflammatory activity of </w:t>
      </w:r>
      <w:r w:rsidRPr="00DF45D1">
        <w:rPr>
          <w:rFonts w:ascii="Arial" w:hAnsi="Arial" w:cs="Arial"/>
          <w:i/>
          <w:iCs/>
          <w:sz w:val="20"/>
          <w:szCs w:val="20"/>
        </w:rPr>
        <w:t>P. curatellifolia</w:t>
      </w:r>
      <w:r>
        <w:rPr>
          <w:rFonts w:ascii="Arial" w:hAnsi="Arial" w:cs="Arial"/>
          <w:sz w:val="20"/>
          <w:szCs w:val="20"/>
        </w:rPr>
        <w:t xml:space="preserve"> was assessed using the egg albumin denaturation assay. The method is based on the idea that compounds with anti-inflammatory properties have the ability to stabilize proteins and prevent their denaturation</w:t>
      </w:r>
      <w:r w:rsidR="00FD2BF9">
        <w:rPr>
          <w:rFonts w:ascii="Arial" w:hAnsi="Arial" w:cs="Arial"/>
          <w:sz w:val="20"/>
          <w:szCs w:val="20"/>
        </w:rPr>
        <w:t xml:space="preserve">. </w:t>
      </w:r>
      <w:r>
        <w:rPr>
          <w:rFonts w:ascii="Arial" w:hAnsi="Arial" w:cs="Arial"/>
          <w:sz w:val="20"/>
          <w:szCs w:val="20"/>
        </w:rPr>
        <w:t xml:space="preserve">Hence, the principle of the test is to measure the extent to which a substance prevents the denaturation of egg albumin. The assay was </w:t>
      </w:r>
      <w:r w:rsidR="00FD2BF9">
        <w:rPr>
          <w:rFonts w:ascii="Arial" w:hAnsi="Arial" w:cs="Arial"/>
          <w:sz w:val="20"/>
          <w:szCs w:val="20"/>
        </w:rPr>
        <w:t>conducted</w:t>
      </w:r>
      <w:r>
        <w:rPr>
          <w:rFonts w:ascii="Arial" w:hAnsi="Arial" w:cs="Arial"/>
          <w:sz w:val="20"/>
          <w:szCs w:val="20"/>
        </w:rPr>
        <w:t xml:space="preserve"> following the method described </w:t>
      </w:r>
      <w:bookmarkStart w:id="19" w:name="_Hlk193843602"/>
      <w:r>
        <w:rPr>
          <w:rFonts w:ascii="Arial" w:hAnsi="Arial" w:cs="Arial"/>
          <w:sz w:val="20"/>
          <w:szCs w:val="20"/>
        </w:rPr>
        <w:t>by Madhuranga &amp; Samarakoon</w:t>
      </w:r>
      <w:bookmarkEnd w:id="19"/>
      <w:r w:rsidR="00FB1378">
        <w:rPr>
          <w:rFonts w:ascii="Arial" w:hAnsi="Arial" w:cs="Arial"/>
          <w:sz w:val="20"/>
          <w:szCs w:val="20"/>
        </w:rPr>
        <w:t xml:space="preserve"> [28].</w:t>
      </w:r>
      <w:r>
        <w:rPr>
          <w:rFonts w:ascii="Arial" w:hAnsi="Arial" w:cs="Arial"/>
          <w:sz w:val="20"/>
          <w:szCs w:val="20"/>
        </w:rPr>
        <w:t xml:space="preserve"> </w:t>
      </w:r>
    </w:p>
    <w:p w14:paraId="33BBADFD" w14:textId="33B37EB6" w:rsidR="007C4222" w:rsidRPr="00E04FC5" w:rsidRDefault="001E144F" w:rsidP="00E04FC5">
      <w:pPr>
        <w:pStyle w:val="Heading1"/>
        <w:numPr>
          <w:ilvl w:val="0"/>
          <w:numId w:val="0"/>
        </w:numPr>
        <w:jc w:val="both"/>
        <w:rPr>
          <w:sz w:val="20"/>
          <w:szCs w:val="20"/>
        </w:rPr>
      </w:pPr>
      <w:r>
        <w:rPr>
          <w:sz w:val="20"/>
          <w:szCs w:val="20"/>
        </w:rPr>
        <w:lastRenderedPageBreak/>
        <w:t>2.5</w:t>
      </w:r>
      <w:r w:rsidR="008006B3">
        <w:rPr>
          <w:sz w:val="20"/>
          <w:szCs w:val="20"/>
        </w:rPr>
        <w:t>.1 Preparation of the Egg Albumin Solution</w:t>
      </w:r>
    </w:p>
    <w:p w14:paraId="420E9AF4"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Albumin was separated from the yolk of a fresh hen’s egg. The albumin was then diluted with sterile phosphate-buffered saline (PBS, pH7,4) to achieve a final concentration of 2% (v/v).</w:t>
      </w:r>
    </w:p>
    <w:p w14:paraId="5B66AE5C" w14:textId="087B7A66" w:rsidR="007C4222" w:rsidRPr="00E04FC5" w:rsidRDefault="001E144F" w:rsidP="00E04FC5">
      <w:pPr>
        <w:pStyle w:val="Heading1"/>
        <w:numPr>
          <w:ilvl w:val="0"/>
          <w:numId w:val="0"/>
        </w:numPr>
        <w:jc w:val="both"/>
        <w:rPr>
          <w:sz w:val="20"/>
          <w:szCs w:val="20"/>
        </w:rPr>
      </w:pPr>
      <w:r>
        <w:rPr>
          <w:sz w:val="20"/>
          <w:szCs w:val="20"/>
        </w:rPr>
        <w:t>2.5</w:t>
      </w:r>
      <w:r w:rsidR="008006B3">
        <w:rPr>
          <w:sz w:val="20"/>
          <w:szCs w:val="20"/>
        </w:rPr>
        <w:t>.2 Preparation of test samples</w:t>
      </w:r>
    </w:p>
    <w:p w14:paraId="0D3BD4C5"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 xml:space="preserve">A stock solution of </w:t>
      </w:r>
      <w:r w:rsidRPr="00DD13D5">
        <w:rPr>
          <w:rFonts w:ascii="Arial" w:eastAsia="Calibri" w:hAnsi="Arial" w:cs="Arial"/>
          <w:i/>
          <w:iCs/>
          <w:sz w:val="20"/>
          <w:szCs w:val="20"/>
        </w:rPr>
        <w:t>P. curatellifolia</w:t>
      </w:r>
      <w:r>
        <w:rPr>
          <w:rFonts w:ascii="Arial" w:eastAsia="Calibri" w:hAnsi="Arial" w:cs="Arial"/>
          <w:sz w:val="20"/>
          <w:szCs w:val="20"/>
        </w:rPr>
        <w:t xml:space="preserve"> extract was prepared at a concentration of 200mg/ml. Serial dilutions were done to obtain working concentrations of 100mg/ml, 50mg/ml, 20mg/ml and 10mg/ml. Diclofenac sodium, a standard non-steroidal anti-inflammatory drug was used as a positive control and prepared similarly at concentrations of 5mg/ml and distilled water served as the negative control.</w:t>
      </w:r>
    </w:p>
    <w:p w14:paraId="4B5E38C5" w14:textId="77777777" w:rsidR="007C4222" w:rsidRDefault="007C4222" w:rsidP="00D344A2">
      <w:pPr>
        <w:jc w:val="both"/>
        <w:rPr>
          <w:rFonts w:ascii="Arial" w:eastAsia="Calibri" w:hAnsi="Arial" w:cs="Arial"/>
          <w:sz w:val="20"/>
          <w:szCs w:val="20"/>
        </w:rPr>
      </w:pPr>
    </w:p>
    <w:p w14:paraId="78B4C809" w14:textId="77777777" w:rsidR="007C4222" w:rsidRDefault="007C4222" w:rsidP="00D344A2">
      <w:pPr>
        <w:jc w:val="both"/>
        <w:rPr>
          <w:rFonts w:ascii="Arial" w:eastAsia="Calibri" w:hAnsi="Arial" w:cs="Arial"/>
          <w:sz w:val="20"/>
          <w:szCs w:val="20"/>
        </w:rPr>
      </w:pPr>
    </w:p>
    <w:p w14:paraId="47E39DA5" w14:textId="74ACDE15" w:rsidR="007C4222" w:rsidRPr="00E04FC5" w:rsidRDefault="001E144F" w:rsidP="00D344A2">
      <w:pPr>
        <w:jc w:val="both"/>
        <w:rPr>
          <w:rFonts w:ascii="Arial" w:eastAsia="Calibri" w:hAnsi="Arial" w:cs="Arial"/>
          <w:b/>
          <w:bCs/>
          <w:sz w:val="20"/>
          <w:szCs w:val="20"/>
        </w:rPr>
      </w:pPr>
      <w:r>
        <w:rPr>
          <w:rFonts w:ascii="Arial" w:eastAsia="Calibri" w:hAnsi="Arial" w:cs="Arial"/>
          <w:b/>
          <w:bCs/>
          <w:sz w:val="20"/>
          <w:szCs w:val="20"/>
        </w:rPr>
        <w:t>2.5</w:t>
      </w:r>
      <w:r w:rsidR="008006B3">
        <w:rPr>
          <w:rFonts w:ascii="Arial" w:eastAsia="Calibri" w:hAnsi="Arial" w:cs="Arial"/>
          <w:b/>
          <w:bCs/>
          <w:sz w:val="20"/>
          <w:szCs w:val="20"/>
        </w:rPr>
        <w:t>.3 Assay procedure</w:t>
      </w:r>
    </w:p>
    <w:p w14:paraId="0223A686"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A reaction mixture of 2ml of the test sample, 2.8ml of PBS and 0.2ml of 1% egg albumin solution was prepared in test tubes. The tubes were incubated at 37</w:t>
      </w:r>
      <w:r>
        <w:rPr>
          <w:rFonts w:ascii="Arial" w:eastAsia="Calibri" w:hAnsi="Arial" w:cs="Arial"/>
          <w:sz w:val="20"/>
          <w:szCs w:val="20"/>
          <w:vertAlign w:val="superscript"/>
        </w:rPr>
        <w:t>o</w:t>
      </w:r>
      <w:r>
        <w:rPr>
          <w:rFonts w:ascii="Arial" w:eastAsia="Calibri" w:hAnsi="Arial" w:cs="Arial"/>
          <w:sz w:val="20"/>
          <w:szCs w:val="20"/>
        </w:rPr>
        <w:t>C for 15 minutes then heated in a water bath at 70</w:t>
      </w:r>
      <w:r>
        <w:rPr>
          <w:rFonts w:ascii="Arial" w:eastAsia="Calibri" w:hAnsi="Arial" w:cs="Arial"/>
          <w:sz w:val="20"/>
          <w:szCs w:val="20"/>
          <w:vertAlign w:val="superscript"/>
        </w:rPr>
        <w:t>o</w:t>
      </w:r>
      <w:r>
        <w:rPr>
          <w:rFonts w:ascii="Arial" w:eastAsia="Calibri" w:hAnsi="Arial" w:cs="Arial"/>
          <w:sz w:val="20"/>
          <w:szCs w:val="20"/>
        </w:rPr>
        <w:t>C for 10 minutes in a water bath. After cooling, the absorbance of the resulting solution was measured using a spectrophotometer (</w:t>
      </w:r>
      <w:r>
        <w:rPr>
          <w:rFonts w:ascii="Arial" w:eastAsia="Calibri" w:hAnsi="Arial" w:cs="Arial"/>
          <w:sz w:val="20"/>
          <w:szCs w:val="20"/>
          <w:lang w:bidi="en-IN"/>
        </w:rPr>
        <w:t>UV spectrophotometer, Lambda 35 UV/Vis-Spectrometer, Perkin Elmer Instruments</w:t>
      </w:r>
      <w:r>
        <w:rPr>
          <w:rFonts w:ascii="Arial" w:eastAsia="Calibri" w:hAnsi="Arial" w:cs="Arial"/>
          <w:sz w:val="20"/>
          <w:szCs w:val="20"/>
        </w:rPr>
        <w:t>) at 660nm.</w:t>
      </w:r>
    </w:p>
    <w:p w14:paraId="2CB82584" w14:textId="77777777" w:rsidR="007C4222" w:rsidRDefault="007C4222" w:rsidP="00D344A2">
      <w:pPr>
        <w:jc w:val="both"/>
        <w:rPr>
          <w:rFonts w:ascii="Arial" w:eastAsia="Calibri" w:hAnsi="Arial" w:cs="Arial"/>
          <w:sz w:val="20"/>
          <w:szCs w:val="20"/>
        </w:rPr>
      </w:pPr>
    </w:p>
    <w:p w14:paraId="78F45CDE" w14:textId="3256A5A4" w:rsidR="007C4222" w:rsidRPr="00E04FC5" w:rsidRDefault="001E144F" w:rsidP="00D344A2">
      <w:pPr>
        <w:jc w:val="both"/>
        <w:rPr>
          <w:rFonts w:ascii="Arial" w:eastAsia="Calibri" w:hAnsi="Arial" w:cs="Arial"/>
          <w:b/>
          <w:bCs/>
          <w:sz w:val="20"/>
          <w:szCs w:val="20"/>
        </w:rPr>
      </w:pPr>
      <w:r>
        <w:rPr>
          <w:rFonts w:ascii="Arial" w:eastAsia="Calibri" w:hAnsi="Arial" w:cs="Arial"/>
          <w:b/>
          <w:bCs/>
          <w:sz w:val="20"/>
          <w:szCs w:val="20"/>
        </w:rPr>
        <w:t>2.5</w:t>
      </w:r>
      <w:r w:rsidR="008006B3">
        <w:rPr>
          <w:rFonts w:ascii="Arial" w:eastAsia="Calibri" w:hAnsi="Arial" w:cs="Arial"/>
          <w:b/>
          <w:bCs/>
          <w:sz w:val="20"/>
          <w:szCs w:val="20"/>
        </w:rPr>
        <w:t>.4 Calculation of the Percentage Inhibition</w:t>
      </w:r>
    </w:p>
    <w:p w14:paraId="519B9C3F"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To calculate the percentage inhibition of protein denaturation, the following formula was used:</w:t>
      </w:r>
    </w:p>
    <w:p w14:paraId="697B7527" w14:textId="77777777" w:rsidR="00DD13D5" w:rsidRDefault="00DD13D5" w:rsidP="00D344A2">
      <w:pPr>
        <w:jc w:val="both"/>
        <w:rPr>
          <w:rFonts w:ascii="Arial" w:eastAsia="Calibri" w:hAnsi="Arial" w:cs="Arial"/>
          <w:sz w:val="20"/>
          <w:szCs w:val="20"/>
        </w:rPr>
      </w:pPr>
    </w:p>
    <w:p w14:paraId="7F19E5C4" w14:textId="5AB4BACB" w:rsidR="00DD13D5" w:rsidRDefault="00DD13D5" w:rsidP="00D344A2">
      <w:pPr>
        <w:jc w:val="both"/>
        <w:rPr>
          <w:rFonts w:ascii="Arial" w:eastAsia="Calibri" w:hAnsi="Arial" w:cs="Arial"/>
          <w:sz w:val="20"/>
          <w:szCs w:val="20"/>
        </w:rPr>
      </w:pPr>
      <w:r>
        <w:rPr>
          <w:rFonts w:ascii="Arial" w:eastAsia="Calibri" w:hAnsi="Arial" w:cs="Arial"/>
          <w:sz w:val="20"/>
          <w:szCs w:val="20"/>
        </w:rPr>
        <w:t>Equation  1</w:t>
      </w:r>
    </w:p>
    <w:p w14:paraId="03174278" w14:textId="60D56245" w:rsidR="00DD13D5" w:rsidRDefault="00DD13D5" w:rsidP="00D344A2">
      <w:pPr>
        <w:jc w:val="both"/>
        <w:rPr>
          <w:rFonts w:ascii="Arial" w:eastAsia="Calibri" w:hAnsi="Arial" w:cs="Arial"/>
          <w:sz w:val="20"/>
          <w:szCs w:val="20"/>
        </w:rPr>
      </w:pPr>
    </w:p>
    <w:p w14:paraId="59C5F06E" w14:textId="1D558EB6" w:rsidR="007C4222" w:rsidRDefault="00DD13D5" w:rsidP="00D344A2">
      <w:pPr>
        <w:jc w:val="both"/>
        <w:rPr>
          <w:rFonts w:ascii="Arial" w:eastAsia="Calibri" w:hAnsi="Arial" w:cs="Arial"/>
          <w:sz w:val="20"/>
          <w:szCs w:val="20"/>
        </w:rPr>
      </w:pPr>
      <w:r>
        <w:rPr>
          <w:rFonts w:ascii="Arial" w:eastAsia="Calibri" w:hAnsi="Arial" w:cs="Arial"/>
          <w:sz w:val="20"/>
          <w:szCs w:val="20"/>
        </w:rPr>
        <w:t xml:space="preserve">                         </w:t>
      </w:r>
      <w:r w:rsidRPr="00DD13D5">
        <w:rPr>
          <w:rFonts w:ascii="Arial" w:eastAsia="Calibri" w:hAnsi="Arial" w:cs="Arial"/>
          <w:noProof/>
          <w:sz w:val="20"/>
          <w:szCs w:val="20"/>
          <w:lang w:val="en-ZA" w:eastAsia="en-ZA"/>
        </w:rPr>
        <w:drawing>
          <wp:inline distT="0" distB="0" distL="0" distR="0" wp14:anchorId="79362B63" wp14:editId="68931C2B">
            <wp:extent cx="4030980" cy="326635"/>
            <wp:effectExtent l="0" t="0" r="0" b="0"/>
            <wp:docPr id="531021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21486" name=""/>
                    <pic:cNvPicPr/>
                  </pic:nvPicPr>
                  <pic:blipFill>
                    <a:blip r:embed="rId12"/>
                    <a:stretch>
                      <a:fillRect/>
                    </a:stretch>
                  </pic:blipFill>
                  <pic:spPr>
                    <a:xfrm>
                      <a:off x="0" y="0"/>
                      <a:ext cx="4146393" cy="335987"/>
                    </a:xfrm>
                    <a:prstGeom prst="rect">
                      <a:avLst/>
                    </a:prstGeom>
                  </pic:spPr>
                </pic:pic>
              </a:graphicData>
            </a:graphic>
          </wp:inline>
        </w:drawing>
      </w:r>
    </w:p>
    <w:p w14:paraId="3E100C33" w14:textId="77777777" w:rsidR="007C4222" w:rsidRDefault="007C4222" w:rsidP="00D344A2">
      <w:pPr>
        <w:jc w:val="both"/>
        <w:rPr>
          <w:rFonts w:eastAsia="Calibri"/>
        </w:rPr>
      </w:pPr>
    </w:p>
    <w:p w14:paraId="08B0E78F" w14:textId="77777777" w:rsidR="007C4222" w:rsidRDefault="007C4222" w:rsidP="00D344A2">
      <w:pPr>
        <w:autoSpaceDE w:val="0"/>
        <w:autoSpaceDN w:val="0"/>
        <w:adjustRightInd w:val="0"/>
        <w:contextualSpacing/>
        <w:jc w:val="both"/>
        <w:rPr>
          <w:rFonts w:ascii="Arial" w:eastAsia="Calibri" w:hAnsi="Arial" w:cs="Arial"/>
          <w:color w:val="000000"/>
          <w:sz w:val="20"/>
          <w:szCs w:val="20"/>
        </w:rPr>
      </w:pPr>
    </w:p>
    <w:bookmarkEnd w:id="18"/>
    <w:p w14:paraId="4E29FFA6" w14:textId="52A8A10F" w:rsidR="007C4222" w:rsidRPr="001E144F" w:rsidRDefault="008006B3" w:rsidP="001E144F">
      <w:pPr>
        <w:pStyle w:val="Heading2"/>
        <w:numPr>
          <w:ilvl w:val="1"/>
          <w:numId w:val="11"/>
        </w:numPr>
        <w:contextualSpacing/>
        <w:jc w:val="both"/>
        <w:rPr>
          <w:rFonts w:cs="Arial"/>
          <w:i/>
          <w:iCs/>
          <w:sz w:val="20"/>
          <w:szCs w:val="20"/>
        </w:rPr>
      </w:pPr>
      <w:r w:rsidRPr="001E144F">
        <w:rPr>
          <w:rFonts w:cs="Arial"/>
          <w:sz w:val="20"/>
          <w:szCs w:val="20"/>
        </w:rPr>
        <w:t xml:space="preserve">Anti-bacterial evaluation of </w:t>
      </w:r>
      <w:bookmarkStart w:id="20" w:name="_Hlk194525654"/>
      <w:r w:rsidRPr="001E144F">
        <w:rPr>
          <w:rFonts w:cs="Arial"/>
          <w:i/>
          <w:iCs/>
          <w:sz w:val="20"/>
          <w:szCs w:val="20"/>
        </w:rPr>
        <w:t xml:space="preserve">Parinari </w:t>
      </w:r>
      <w:bookmarkEnd w:id="20"/>
      <w:r w:rsidR="00E04FC5" w:rsidRPr="001E144F">
        <w:rPr>
          <w:rFonts w:cs="Arial"/>
          <w:i/>
          <w:iCs/>
          <w:sz w:val="20"/>
          <w:szCs w:val="20"/>
        </w:rPr>
        <w:t>curatellifolia</w:t>
      </w:r>
    </w:p>
    <w:p w14:paraId="32826768" w14:textId="665AA908" w:rsidR="007C4222" w:rsidRDefault="008006B3" w:rsidP="00D344A2">
      <w:pPr>
        <w:jc w:val="both"/>
        <w:rPr>
          <w:rFonts w:ascii="Arial" w:hAnsi="Arial" w:cs="Arial"/>
          <w:sz w:val="20"/>
          <w:szCs w:val="20"/>
        </w:rPr>
      </w:pPr>
      <w:bookmarkStart w:id="21" w:name="_Hlk194308168"/>
      <w:r>
        <w:rPr>
          <w:rFonts w:ascii="Arial" w:hAnsi="Arial" w:cs="Arial"/>
          <w:sz w:val="20"/>
          <w:szCs w:val="20"/>
        </w:rPr>
        <w:t xml:space="preserve">To evaluate the antibacterial activity of </w:t>
      </w:r>
      <w:r w:rsidRPr="00DD13D5">
        <w:rPr>
          <w:rFonts w:ascii="Arial" w:hAnsi="Arial" w:cs="Arial"/>
          <w:i/>
          <w:iCs/>
          <w:sz w:val="20"/>
          <w:szCs w:val="20"/>
        </w:rPr>
        <w:t>P. curatellifolia</w:t>
      </w:r>
      <w:r>
        <w:rPr>
          <w:rFonts w:ascii="Arial" w:hAnsi="Arial" w:cs="Arial"/>
          <w:sz w:val="20"/>
          <w:szCs w:val="20"/>
        </w:rPr>
        <w:t xml:space="preserve"> bark extract, the zone diameter of inhibition (ZDI) was </w:t>
      </w:r>
      <w:r w:rsidR="00FD2BF9">
        <w:rPr>
          <w:rFonts w:ascii="Arial" w:hAnsi="Arial" w:cs="Arial"/>
          <w:sz w:val="20"/>
          <w:szCs w:val="20"/>
        </w:rPr>
        <w:t>conducted</w:t>
      </w:r>
      <w:r>
        <w:rPr>
          <w:rFonts w:ascii="Arial" w:hAnsi="Arial" w:cs="Arial"/>
          <w:sz w:val="20"/>
          <w:szCs w:val="20"/>
        </w:rPr>
        <w:t xml:space="preserve"> using the agar diffusion plate</w:t>
      </w:r>
      <w:r w:rsidR="00FB1378">
        <w:rPr>
          <w:rFonts w:ascii="Arial" w:hAnsi="Arial" w:cs="Arial"/>
          <w:sz w:val="20"/>
          <w:szCs w:val="20"/>
        </w:rPr>
        <w:t xml:space="preserve"> method [29]</w:t>
      </w:r>
      <w:r>
        <w:rPr>
          <w:rFonts w:ascii="Arial" w:hAnsi="Arial" w:cs="Arial"/>
          <w:sz w:val="20"/>
          <w:szCs w:val="20"/>
        </w:rPr>
        <w:t>. In petri dishes containing nutrient agar, 0,2ml of the inoculum was spread. Wells were made using a sterilized borer, then filled with varying concentrations of the extract and incubated at 37</w:t>
      </w:r>
      <w:r>
        <w:rPr>
          <w:rFonts w:ascii="Arial" w:hAnsi="Arial" w:cs="Arial"/>
          <w:sz w:val="20"/>
          <w:szCs w:val="20"/>
          <w:vertAlign w:val="superscript"/>
        </w:rPr>
        <w:t>o</w:t>
      </w:r>
      <w:r>
        <w:rPr>
          <w:rFonts w:ascii="Arial" w:hAnsi="Arial" w:cs="Arial"/>
          <w:sz w:val="20"/>
          <w:szCs w:val="20"/>
        </w:rPr>
        <w:t xml:space="preserve">C for 24 hours. </w:t>
      </w:r>
    </w:p>
    <w:p w14:paraId="74BCD34B" w14:textId="79D6F621" w:rsidR="007C4222" w:rsidRPr="008C52A5" w:rsidRDefault="008006B3" w:rsidP="00D344A2">
      <w:pPr>
        <w:jc w:val="both"/>
        <w:rPr>
          <w:rFonts w:ascii="Arial" w:hAnsi="Arial" w:cs="Arial"/>
          <w:sz w:val="20"/>
          <w:szCs w:val="20"/>
        </w:rPr>
      </w:pPr>
      <w:r>
        <w:rPr>
          <w:rFonts w:ascii="Arial" w:hAnsi="Arial" w:cs="Arial"/>
          <w:sz w:val="20"/>
          <w:szCs w:val="20"/>
        </w:rPr>
        <w:t xml:space="preserve"> </w:t>
      </w:r>
      <w:bookmarkEnd w:id="21"/>
    </w:p>
    <w:p w14:paraId="0B02D338" w14:textId="77777777" w:rsidR="007C4222" w:rsidRDefault="008006B3" w:rsidP="00D344A2">
      <w:pPr>
        <w:pStyle w:val="Heading2"/>
        <w:contextualSpacing/>
        <w:jc w:val="both"/>
        <w:rPr>
          <w:rFonts w:cs="Arial"/>
          <w:sz w:val="20"/>
          <w:szCs w:val="20"/>
        </w:rPr>
      </w:pPr>
      <w:r>
        <w:rPr>
          <w:rFonts w:cs="Arial"/>
          <w:sz w:val="20"/>
          <w:szCs w:val="20"/>
        </w:rPr>
        <w:t>Minimum inhibitory concentration</w:t>
      </w:r>
    </w:p>
    <w:p w14:paraId="3B4F8F30" w14:textId="0D4333A2" w:rsidR="007C4222" w:rsidRDefault="008006B3" w:rsidP="00D344A2">
      <w:pPr>
        <w:jc w:val="both"/>
        <w:rPr>
          <w:rFonts w:ascii="Arial" w:hAnsi="Arial" w:cs="Arial"/>
          <w:sz w:val="20"/>
          <w:szCs w:val="20"/>
        </w:rPr>
      </w:pPr>
      <w:r>
        <w:rPr>
          <w:rFonts w:ascii="Arial" w:hAnsi="Arial" w:cs="Arial"/>
          <w:sz w:val="20"/>
          <w:szCs w:val="20"/>
        </w:rPr>
        <w:t>To determine the Minimum Inhibitory Concentrations (MIC), the broth macro d</w:t>
      </w:r>
      <w:r w:rsidR="00FB1378">
        <w:rPr>
          <w:rFonts w:ascii="Arial" w:hAnsi="Arial" w:cs="Arial"/>
          <w:sz w:val="20"/>
          <w:szCs w:val="20"/>
        </w:rPr>
        <w:t>ilution method was used [30]</w:t>
      </w:r>
      <w:r>
        <w:rPr>
          <w:rFonts w:ascii="Arial" w:hAnsi="Arial" w:cs="Arial"/>
          <w:sz w:val="20"/>
          <w:szCs w:val="20"/>
        </w:rPr>
        <w:t xml:space="preserve">. </w:t>
      </w:r>
      <w:r w:rsidRPr="00FD2BF9">
        <w:rPr>
          <w:rFonts w:ascii="Arial" w:hAnsi="Arial" w:cs="Arial"/>
          <w:sz w:val="20"/>
          <w:szCs w:val="20"/>
          <w:highlight w:val="yellow"/>
        </w:rPr>
        <w:t>We prepared a loopful of each organism with normal saline using 0.5 McFarland standards. About 0.1 ml of the different concentrations of the different extracts was aseptically introduced into test tubes containing 2 ml of Nutrient broth then 0.1 ml of each of the inoculums</w:t>
      </w:r>
      <w:r>
        <w:rPr>
          <w:rFonts w:ascii="Arial" w:hAnsi="Arial" w:cs="Arial"/>
          <w:sz w:val="20"/>
          <w:szCs w:val="20"/>
        </w:rPr>
        <w:t xml:space="preserve"> was also introduced into the different test tubes. The test tubes were then incubated 37°C for 24 h and were observed for turbidity.</w:t>
      </w:r>
    </w:p>
    <w:p w14:paraId="6645E6EB" w14:textId="77777777" w:rsidR="007C4222" w:rsidRDefault="007C4222" w:rsidP="00D344A2">
      <w:pPr>
        <w:jc w:val="both"/>
      </w:pPr>
    </w:p>
    <w:p w14:paraId="22B8A282" w14:textId="56D56489" w:rsidR="007C4222" w:rsidRDefault="008006B3" w:rsidP="00D344A2">
      <w:pPr>
        <w:pStyle w:val="Heading2"/>
        <w:contextualSpacing/>
        <w:jc w:val="both"/>
        <w:rPr>
          <w:rFonts w:cs="Arial"/>
          <w:i/>
          <w:iCs/>
          <w:sz w:val="20"/>
          <w:szCs w:val="20"/>
        </w:rPr>
      </w:pPr>
      <w:r>
        <w:rPr>
          <w:rFonts w:cs="Arial"/>
          <w:sz w:val="20"/>
          <w:szCs w:val="20"/>
        </w:rPr>
        <w:t xml:space="preserve">Acute oral toxicity evaluation of </w:t>
      </w:r>
      <w:r>
        <w:rPr>
          <w:rFonts w:cs="Arial"/>
          <w:i/>
          <w:iCs/>
          <w:sz w:val="20"/>
          <w:szCs w:val="20"/>
        </w:rPr>
        <w:t xml:space="preserve">Parinari </w:t>
      </w:r>
      <w:r w:rsidR="00E04FC5">
        <w:rPr>
          <w:rFonts w:cs="Arial"/>
          <w:i/>
          <w:iCs/>
          <w:sz w:val="20"/>
          <w:szCs w:val="20"/>
        </w:rPr>
        <w:t>curatellifolia</w:t>
      </w:r>
    </w:p>
    <w:p w14:paraId="31B89F76" w14:textId="77777777" w:rsidR="007C4222" w:rsidRDefault="008006B3" w:rsidP="00D344A2">
      <w:pPr>
        <w:jc w:val="both"/>
        <w:rPr>
          <w:rFonts w:ascii="Arial" w:hAnsi="Arial" w:cs="Arial"/>
          <w:sz w:val="20"/>
          <w:szCs w:val="20"/>
          <w:lang w:val="en-US"/>
        </w:rPr>
      </w:pPr>
      <w:bookmarkStart w:id="22" w:name="_Hlk194309126"/>
      <w:r>
        <w:rPr>
          <w:rFonts w:ascii="Arial" w:hAnsi="Arial" w:cs="Arial"/>
          <w:sz w:val="20"/>
          <w:szCs w:val="20"/>
        </w:rPr>
        <w:t xml:space="preserve">The </w:t>
      </w:r>
      <w:r>
        <w:rPr>
          <w:rFonts w:ascii="Arial" w:hAnsi="Arial" w:cs="Arial"/>
          <w:sz w:val="20"/>
          <w:szCs w:val="20"/>
          <w:lang w:val="en-US"/>
        </w:rPr>
        <w:t>limit test procedure outlined in the OECD guideline 423 (Acute Oral Toxicity - Acute Toxic Class Method) was used to evaluate the acute oral toxicity of Parinari curatellifolia extracts. The aim of the study was to determine the potential acute toxic effects of the extracts following oral administration.</w:t>
      </w:r>
    </w:p>
    <w:p w14:paraId="12CA5094" w14:textId="77777777" w:rsidR="007C4222" w:rsidRDefault="007C4222" w:rsidP="00D344A2">
      <w:pPr>
        <w:jc w:val="both"/>
        <w:rPr>
          <w:rFonts w:ascii="Arial" w:hAnsi="Arial" w:cs="Arial"/>
          <w:b/>
          <w:bCs/>
          <w:sz w:val="20"/>
          <w:szCs w:val="20"/>
          <w:lang w:val="en-US"/>
        </w:rPr>
      </w:pPr>
    </w:p>
    <w:p w14:paraId="76820804" w14:textId="77777777" w:rsidR="007C4222" w:rsidRDefault="008006B3" w:rsidP="00D344A2">
      <w:pPr>
        <w:pStyle w:val="Heading3"/>
        <w:jc w:val="both"/>
        <w:rPr>
          <w:b/>
          <w:bCs/>
          <w:i w:val="0"/>
          <w:iCs/>
        </w:rPr>
      </w:pPr>
      <w:r>
        <w:rPr>
          <w:b/>
          <w:bCs/>
          <w:i w:val="0"/>
          <w:iCs/>
        </w:rPr>
        <w:t>Experimental Animals</w:t>
      </w:r>
    </w:p>
    <w:p w14:paraId="77D57B76" w14:textId="77777777" w:rsidR="007C4222" w:rsidRDefault="008006B3" w:rsidP="00D344A2">
      <w:pPr>
        <w:jc w:val="both"/>
        <w:rPr>
          <w:rFonts w:ascii="Arial" w:hAnsi="Arial" w:cs="Arial"/>
          <w:sz w:val="20"/>
          <w:szCs w:val="20"/>
        </w:rPr>
      </w:pPr>
      <w:r>
        <w:rPr>
          <w:rFonts w:ascii="Arial" w:hAnsi="Arial" w:cs="Arial"/>
          <w:sz w:val="20"/>
          <w:szCs w:val="20"/>
          <w:lang w:val="en-US"/>
        </w:rPr>
        <w:t xml:space="preserve">Healthy, adult female Sprague-Dawley rats weighing 200-300 g were used. The rats were sourced from the University of Zimbabwe Animal House and were acclimatized to the laboratory conditions for a week before the experiment. They were kept in standard cages at standard room temperature and pressure conditions with free access to food and water. </w:t>
      </w:r>
    </w:p>
    <w:p w14:paraId="53EE5F44" w14:textId="77777777" w:rsidR="007C4222" w:rsidRDefault="007C4222" w:rsidP="00D344A2">
      <w:pPr>
        <w:autoSpaceDE w:val="0"/>
        <w:autoSpaceDN w:val="0"/>
        <w:adjustRightInd w:val="0"/>
        <w:contextualSpacing/>
        <w:jc w:val="both"/>
        <w:rPr>
          <w:rFonts w:ascii="Arial" w:hAnsi="Arial" w:cs="Arial"/>
          <w:iCs/>
          <w:sz w:val="20"/>
          <w:szCs w:val="20"/>
          <w:lang w:val="en-US"/>
        </w:rPr>
      </w:pPr>
    </w:p>
    <w:p w14:paraId="7AC9A837" w14:textId="77777777" w:rsidR="007C4222" w:rsidRDefault="008006B3" w:rsidP="00D344A2">
      <w:pPr>
        <w:autoSpaceDE w:val="0"/>
        <w:autoSpaceDN w:val="0"/>
        <w:adjustRightInd w:val="0"/>
        <w:contextualSpacing/>
        <w:jc w:val="both"/>
        <w:rPr>
          <w:rFonts w:ascii="Arial" w:hAnsi="Arial" w:cs="Arial"/>
          <w:b/>
          <w:bCs/>
          <w:iCs/>
          <w:sz w:val="20"/>
          <w:szCs w:val="20"/>
          <w:lang w:val="en-US"/>
        </w:rPr>
      </w:pPr>
      <w:r>
        <w:rPr>
          <w:rFonts w:ascii="Arial" w:hAnsi="Arial" w:cs="Arial"/>
          <w:b/>
          <w:bCs/>
          <w:iCs/>
          <w:sz w:val="20"/>
          <w:szCs w:val="20"/>
          <w:lang w:val="en-US"/>
        </w:rPr>
        <w:t>2.4.2. Preparation of Test Substance</w:t>
      </w:r>
    </w:p>
    <w:p w14:paraId="25473121" w14:textId="77777777" w:rsidR="007C4222" w:rsidRDefault="008006B3" w:rsidP="00D344A2">
      <w:pPr>
        <w:spacing w:after="160" w:line="278" w:lineRule="auto"/>
        <w:jc w:val="both"/>
        <w:rPr>
          <w:rFonts w:ascii="Arial" w:hAnsi="Arial" w:cs="Arial"/>
          <w:kern w:val="2"/>
          <w:sz w:val="20"/>
          <w:szCs w:val="20"/>
          <w:lang w:val="en-US" w:eastAsia="en-US"/>
          <w14:ligatures w14:val="standardContextual"/>
        </w:rPr>
      </w:pPr>
      <w:r>
        <w:rPr>
          <w:rFonts w:ascii="Arial" w:hAnsi="Arial" w:cs="Arial"/>
          <w:kern w:val="2"/>
          <w:sz w:val="20"/>
          <w:szCs w:val="20"/>
          <w:lang w:val="en-US" w:eastAsia="en-US"/>
          <w14:ligatures w14:val="standardContextual"/>
        </w:rPr>
        <w:t xml:space="preserve">The lyophilized hydro-ethanolic extract of P. curatellifolia was dissolved in distilled water to obtain a stock solution of 2000 mg/ml. </w:t>
      </w:r>
    </w:p>
    <w:p w14:paraId="42B11381" w14:textId="77777777" w:rsidR="00E04FC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b/>
          <w:bCs/>
          <w:kern w:val="2"/>
          <w:sz w:val="20"/>
          <w:szCs w:val="20"/>
          <w:lang w:val="en-US" w:eastAsia="en-US"/>
          <w14:ligatures w14:val="standardContextual"/>
        </w:rPr>
        <w:t>2.4.3. Limit Test Procedure</w:t>
      </w:r>
    </w:p>
    <w:p w14:paraId="7667DF3D" w14:textId="6E43C3ED" w:rsidR="007C4222" w:rsidRPr="008C52A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kern w:val="2"/>
          <w:sz w:val="20"/>
          <w:szCs w:val="20"/>
          <w:lang w:val="en-US" w:eastAsia="en-US"/>
          <w14:ligatures w14:val="standardContextual"/>
        </w:rPr>
        <w:t xml:space="preserve">A single dose of </w:t>
      </w:r>
      <w:r w:rsidR="00DD13D5">
        <w:rPr>
          <w:rFonts w:ascii="Arial" w:hAnsi="Arial" w:cs="Arial"/>
          <w:kern w:val="2"/>
          <w:sz w:val="20"/>
          <w:szCs w:val="20"/>
          <w:lang w:val="en-US" w:eastAsia="en-US"/>
          <w14:ligatures w14:val="standardContextual"/>
        </w:rPr>
        <w:t>4</w:t>
      </w:r>
      <w:r>
        <w:rPr>
          <w:rFonts w:ascii="Arial" w:hAnsi="Arial" w:cs="Arial"/>
          <w:kern w:val="2"/>
          <w:sz w:val="20"/>
          <w:szCs w:val="20"/>
          <w:lang w:val="en-US" w:eastAsia="en-US"/>
          <w14:ligatures w14:val="standardContextual"/>
        </w:rPr>
        <w:t xml:space="preserve">000 mg/kg body weight was selected as the limit dose, as per OECD guideline 423. Three animals were randomly selected and orally administered the test substance using a gastric </w:t>
      </w:r>
      <w:r>
        <w:rPr>
          <w:rFonts w:ascii="Arial" w:hAnsi="Arial" w:cs="Arial"/>
          <w:kern w:val="2"/>
          <w:sz w:val="20"/>
          <w:szCs w:val="20"/>
          <w:lang w:val="en-US" w:eastAsia="en-US"/>
          <w14:ligatures w14:val="standardContextual"/>
        </w:rPr>
        <w:lastRenderedPageBreak/>
        <w:t>gavage needle. The animals were observed continuously for the first 4 hours after dosing, with special attention to signs of toxicity such as tremors, convulsions, salivation, diarrhea, lethargy, and changes in respiration then daily for fourteen days. The body weight of each animal was recorded before dosing and at regular intervals throughout the 14-day observation period. The animals were monitored for clinical signs of toxicity and mortality throughout the study period. At the end of the 14-day observation period, all surviving animals were euthanized by chloroform inhalation and a gross necropsy was performed. Any macroscopic abnormalities in the organs were recorded.</w:t>
      </w:r>
    </w:p>
    <w:p w14:paraId="162E069A" w14:textId="77777777" w:rsidR="00E04FC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b/>
          <w:bCs/>
          <w:kern w:val="2"/>
          <w:sz w:val="20"/>
          <w:szCs w:val="20"/>
          <w:lang w:val="en-US" w:eastAsia="en-US"/>
          <w14:ligatures w14:val="standardContextual"/>
        </w:rPr>
        <w:t>2.4.4. Data Analysis</w:t>
      </w:r>
    </w:p>
    <w:p w14:paraId="422DBDDD" w14:textId="1DB87037" w:rsidR="007C4222" w:rsidRPr="00E04FC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kern w:val="2"/>
          <w:sz w:val="20"/>
          <w:szCs w:val="20"/>
          <w:lang w:val="en-US" w:eastAsia="en-US"/>
          <w14:ligatures w14:val="standardContextual"/>
        </w:rPr>
        <w:t xml:space="preserve">Data recorded included the number of dead animals, the presence and severity of clinical signs, changes in body weight and macroscopic pathological findings. If no mortality or significant toxicity was observed at the limit dose of </w:t>
      </w:r>
      <w:r w:rsidR="00DD13D5">
        <w:rPr>
          <w:rFonts w:ascii="Arial" w:hAnsi="Arial" w:cs="Arial"/>
          <w:kern w:val="2"/>
          <w:sz w:val="20"/>
          <w:szCs w:val="20"/>
          <w:lang w:val="en-US" w:eastAsia="en-US"/>
          <w14:ligatures w14:val="standardContextual"/>
        </w:rPr>
        <w:t>4</w:t>
      </w:r>
      <w:r>
        <w:rPr>
          <w:rFonts w:ascii="Arial" w:hAnsi="Arial" w:cs="Arial"/>
          <w:kern w:val="2"/>
          <w:sz w:val="20"/>
          <w:szCs w:val="20"/>
          <w:lang w:val="en-US" w:eastAsia="en-US"/>
          <w14:ligatures w14:val="standardContextual"/>
        </w:rPr>
        <w:t xml:space="preserve">000 mg/kg, the extract was considered to have low acute oral toxicity. If mortality or significant toxicity </w:t>
      </w:r>
      <w:r w:rsidR="00FD2BF9">
        <w:rPr>
          <w:rFonts w:ascii="Arial" w:hAnsi="Arial" w:cs="Arial"/>
          <w:kern w:val="2"/>
          <w:sz w:val="20"/>
          <w:szCs w:val="20"/>
          <w:lang w:val="en-US" w:eastAsia="en-US"/>
          <w14:ligatures w14:val="standardContextual"/>
        </w:rPr>
        <w:t>were</w:t>
      </w:r>
      <w:r>
        <w:rPr>
          <w:rFonts w:ascii="Arial" w:hAnsi="Arial" w:cs="Arial"/>
          <w:kern w:val="2"/>
          <w:sz w:val="20"/>
          <w:szCs w:val="20"/>
          <w:lang w:val="en-US" w:eastAsia="en-US"/>
          <w14:ligatures w14:val="standardContextual"/>
        </w:rPr>
        <w:t xml:space="preserve"> observed, further studies, such as dose-response studies, would be required to determine the LD50 (median lethal dose). The results were documented and reported in accordance with the OECD guideline 423.</w:t>
      </w:r>
    </w:p>
    <w:bookmarkEnd w:id="22"/>
    <w:p w14:paraId="6FD9906A" w14:textId="77777777" w:rsidR="007C4222" w:rsidRDefault="008006B3" w:rsidP="00D344A2">
      <w:pPr>
        <w:pStyle w:val="Heading1"/>
        <w:jc w:val="both"/>
      </w:pPr>
      <w:r>
        <w:t xml:space="preserve">Results and discussion </w:t>
      </w:r>
    </w:p>
    <w:p w14:paraId="08861724" w14:textId="77777777" w:rsidR="007C4222" w:rsidRDefault="007C4222" w:rsidP="00D344A2">
      <w:pPr>
        <w:jc w:val="both"/>
      </w:pPr>
    </w:p>
    <w:p w14:paraId="1B327175" w14:textId="77777777" w:rsidR="007C4222" w:rsidRDefault="008006B3" w:rsidP="00D344A2">
      <w:pPr>
        <w:pStyle w:val="Heading2"/>
        <w:jc w:val="both"/>
        <w:rPr>
          <w:sz w:val="20"/>
          <w:szCs w:val="20"/>
        </w:rPr>
      </w:pPr>
      <w:r>
        <w:rPr>
          <w:sz w:val="20"/>
          <w:szCs w:val="20"/>
        </w:rPr>
        <w:t xml:space="preserve">Phytochemical screening </w:t>
      </w:r>
    </w:p>
    <w:p w14:paraId="71CD99DD" w14:textId="0CDFFDBB" w:rsidR="00311A05" w:rsidRPr="00311A05" w:rsidRDefault="00C62C59" w:rsidP="00311A05">
      <w:pPr>
        <w:jc w:val="both"/>
        <w:rPr>
          <w:rFonts w:ascii="Arial" w:hAnsi="Arial" w:cs="Arial"/>
          <w:sz w:val="20"/>
          <w:szCs w:val="20"/>
          <w:lang w:val="en-US" w:bidi="en-IN"/>
        </w:rPr>
      </w:pPr>
      <w:r>
        <w:rPr>
          <w:rFonts w:ascii="Arial" w:hAnsi="Arial" w:cs="Arial"/>
          <w:sz w:val="20"/>
          <w:szCs w:val="20"/>
          <w:lang w:bidi="en-IN"/>
        </w:rPr>
        <w:t xml:space="preserve">The phytochemical analysis confirmed the presence of primary and secondary metabolites. Of these, phenols, </w:t>
      </w:r>
      <w:r w:rsidR="00FD2BF9">
        <w:rPr>
          <w:rFonts w:ascii="Arial" w:hAnsi="Arial" w:cs="Arial"/>
          <w:sz w:val="20"/>
          <w:szCs w:val="20"/>
          <w:lang w:bidi="en-IN"/>
        </w:rPr>
        <w:t>terpenes,</w:t>
      </w:r>
      <w:r>
        <w:rPr>
          <w:rFonts w:ascii="Arial" w:hAnsi="Arial" w:cs="Arial"/>
          <w:sz w:val="20"/>
          <w:szCs w:val="20"/>
          <w:lang w:bidi="en-IN"/>
        </w:rPr>
        <w:t xml:space="preserve"> and alkaloids are of great biomedical relevance with regards to inflammation caused by bacterial agents (Table </w:t>
      </w:r>
      <w:r w:rsidR="00DD13D5">
        <w:rPr>
          <w:rFonts w:ascii="Arial" w:hAnsi="Arial" w:cs="Arial"/>
          <w:sz w:val="20"/>
          <w:szCs w:val="20"/>
          <w:lang w:bidi="en-IN"/>
        </w:rPr>
        <w:t>2</w:t>
      </w:r>
      <w:r>
        <w:rPr>
          <w:rFonts w:ascii="Arial" w:hAnsi="Arial" w:cs="Arial"/>
          <w:sz w:val="20"/>
          <w:szCs w:val="20"/>
          <w:lang w:bidi="en-IN"/>
        </w:rPr>
        <w:t>). These results correlate with studies by Fatokun Olakunle et al.,</w:t>
      </w:r>
      <w:r w:rsidR="00583A2E">
        <w:rPr>
          <w:rFonts w:ascii="Arial" w:hAnsi="Arial" w:cs="Arial"/>
          <w:sz w:val="20"/>
          <w:szCs w:val="20"/>
          <w:lang w:bidi="en-IN"/>
        </w:rPr>
        <w:t>[30]</w:t>
      </w:r>
      <w:r>
        <w:rPr>
          <w:rFonts w:ascii="Arial" w:hAnsi="Arial" w:cs="Arial"/>
          <w:sz w:val="20"/>
          <w:szCs w:val="20"/>
          <w:lang w:bidi="en-IN"/>
        </w:rPr>
        <w:t xml:space="preserve"> who identified saponins, tannins, alkaloids, </w:t>
      </w:r>
      <w:r w:rsidR="00FD2BF9">
        <w:rPr>
          <w:rFonts w:ascii="Arial" w:hAnsi="Arial" w:cs="Arial"/>
          <w:sz w:val="20"/>
          <w:szCs w:val="20"/>
          <w:lang w:bidi="en-IN"/>
        </w:rPr>
        <w:t>flavonoids,</w:t>
      </w:r>
      <w:r>
        <w:rPr>
          <w:rFonts w:ascii="Arial" w:hAnsi="Arial" w:cs="Arial"/>
          <w:sz w:val="20"/>
          <w:szCs w:val="20"/>
          <w:lang w:bidi="en-IN"/>
        </w:rPr>
        <w:t xml:space="preserve"> and glycosides, among other compounds in </w:t>
      </w:r>
      <w:r>
        <w:rPr>
          <w:rFonts w:ascii="Arial" w:hAnsi="Arial" w:cs="Arial"/>
          <w:i/>
          <w:sz w:val="20"/>
          <w:szCs w:val="20"/>
          <w:lang w:bidi="en-IN"/>
        </w:rPr>
        <w:t>P. curatellifolia</w:t>
      </w:r>
      <w:r>
        <w:rPr>
          <w:rFonts w:ascii="Arial" w:hAnsi="Arial" w:cs="Arial"/>
          <w:sz w:val="20"/>
          <w:szCs w:val="20"/>
          <w:lang w:bidi="en-IN"/>
        </w:rPr>
        <w:t>.</w:t>
      </w:r>
      <w:r w:rsidR="00311A05" w:rsidRPr="00311A05">
        <w:rPr>
          <w:rFonts w:eastAsiaTheme="minorEastAsia"/>
          <w:kern w:val="2"/>
          <w:lang w:val="en-US" w:eastAsia="en-US"/>
          <w14:ligatures w14:val="standardContextual"/>
        </w:rPr>
        <w:t xml:space="preserve"> </w:t>
      </w:r>
      <w:r w:rsidR="00311A05" w:rsidRPr="00311A05">
        <w:rPr>
          <w:rFonts w:ascii="Arial" w:hAnsi="Arial" w:cs="Arial"/>
          <w:sz w:val="20"/>
          <w:szCs w:val="20"/>
          <w:lang w:val="en-US" w:bidi="en-IN"/>
        </w:rPr>
        <w:t xml:space="preserve">The results also highlighted differences in the phytochemical composition of hydroethanolic and distilled water extracts with </w:t>
      </w:r>
      <w:r w:rsidR="00311A05">
        <w:rPr>
          <w:rFonts w:ascii="Arial" w:hAnsi="Arial" w:cs="Arial"/>
          <w:sz w:val="20"/>
          <w:szCs w:val="20"/>
          <w:lang w:val="en-US" w:bidi="en-IN"/>
        </w:rPr>
        <w:t xml:space="preserve">glycosides and saponins </w:t>
      </w:r>
      <w:r w:rsidR="00311A05" w:rsidRPr="00311A05">
        <w:rPr>
          <w:rFonts w:ascii="Arial" w:hAnsi="Arial" w:cs="Arial"/>
          <w:sz w:val="20"/>
          <w:szCs w:val="20"/>
          <w:lang w:val="en-US" w:bidi="en-IN"/>
        </w:rPr>
        <w:t xml:space="preserve">being absent in the distilled water extract. Of these </w:t>
      </w:r>
      <w:r w:rsidR="00FD2BF9" w:rsidRPr="00311A05">
        <w:rPr>
          <w:rFonts w:ascii="Arial" w:hAnsi="Arial" w:cs="Arial"/>
          <w:sz w:val="20"/>
          <w:szCs w:val="20"/>
          <w:lang w:val="en-US" w:bidi="en-IN"/>
        </w:rPr>
        <w:t>phytochemicals,</w:t>
      </w:r>
      <w:r w:rsidR="00311A05" w:rsidRPr="00311A05">
        <w:rPr>
          <w:rFonts w:ascii="Arial" w:hAnsi="Arial" w:cs="Arial"/>
          <w:sz w:val="20"/>
          <w:szCs w:val="20"/>
          <w:lang w:val="en-US" w:bidi="en-IN"/>
        </w:rPr>
        <w:t xml:space="preserve"> phenols, terpenes and alkaloids are of great biomedical relevance with regards to inflammation caused by bacterial agents. This provides evidence for the many traditional applications of the plant, notably in the treatment of pneumonia. The presence of bioactive compounds that have biomedical relevance suggests that the plant can be of pharmaceutical relevance. The plant can be </w:t>
      </w:r>
      <w:r w:rsidR="00FD2BF9" w:rsidRPr="00311A05">
        <w:rPr>
          <w:rFonts w:ascii="Arial" w:hAnsi="Arial" w:cs="Arial"/>
          <w:sz w:val="20"/>
          <w:szCs w:val="20"/>
          <w:lang w:val="en-US" w:bidi="en-IN"/>
        </w:rPr>
        <w:t>studied,</w:t>
      </w:r>
      <w:r w:rsidR="00311A05" w:rsidRPr="00311A05">
        <w:rPr>
          <w:rFonts w:ascii="Arial" w:hAnsi="Arial" w:cs="Arial"/>
          <w:sz w:val="20"/>
          <w:szCs w:val="20"/>
          <w:lang w:val="en-US" w:bidi="en-IN"/>
        </w:rPr>
        <w:t xml:space="preserve"> and compounds </w:t>
      </w:r>
      <w:r w:rsidR="00FD2BF9" w:rsidRPr="00311A05">
        <w:rPr>
          <w:rFonts w:ascii="Arial" w:hAnsi="Arial" w:cs="Arial"/>
          <w:sz w:val="20"/>
          <w:szCs w:val="20"/>
          <w:lang w:val="en-US" w:bidi="en-IN"/>
        </w:rPr>
        <w:t>are isolated</w:t>
      </w:r>
      <w:r w:rsidR="00311A05" w:rsidRPr="00311A05">
        <w:rPr>
          <w:rFonts w:ascii="Arial" w:hAnsi="Arial" w:cs="Arial"/>
          <w:sz w:val="20"/>
          <w:szCs w:val="20"/>
          <w:lang w:val="en-US" w:bidi="en-IN"/>
        </w:rPr>
        <w:t xml:space="preserve"> to make novel therapies particularly for bacterial infections. This can be of great importance as global efforts are being made to combat antimicrobial resistance to therapies. The results of this study therefore highlight the need to conduct further research on the specific bioactive compounds in the plant and their potential therapeutic applications.  </w:t>
      </w:r>
    </w:p>
    <w:p w14:paraId="5CFF886D" w14:textId="254EFD9A" w:rsidR="007C4222" w:rsidRDefault="00C62C59" w:rsidP="00D344A2">
      <w:pPr>
        <w:jc w:val="both"/>
      </w:pPr>
      <w:r>
        <w:rPr>
          <w:rFonts w:ascii="Arial" w:hAnsi="Arial" w:cs="Arial"/>
          <w:sz w:val="20"/>
          <w:szCs w:val="20"/>
          <w:lang w:bidi="en-IN"/>
        </w:rPr>
        <w:t xml:space="preserve"> </w:t>
      </w:r>
    </w:p>
    <w:p w14:paraId="5221A7C5" w14:textId="279A79AB" w:rsidR="007C4222" w:rsidRDefault="008006B3" w:rsidP="00D344A2">
      <w:pPr>
        <w:jc w:val="both"/>
        <w:rPr>
          <w:rFonts w:ascii="Arial" w:hAnsi="Arial" w:cs="Arial"/>
          <w:i/>
          <w:iCs/>
          <w:color w:val="2E74B5" w:themeColor="accent1" w:themeShade="BF"/>
          <w:sz w:val="20"/>
          <w:szCs w:val="20"/>
        </w:rPr>
      </w:pPr>
      <w:r>
        <w:rPr>
          <w:rFonts w:ascii="Arial" w:hAnsi="Arial" w:cs="Arial"/>
          <w:i/>
          <w:iCs/>
          <w:color w:val="2E74B5" w:themeColor="accent1" w:themeShade="BF"/>
          <w:sz w:val="20"/>
          <w:szCs w:val="20"/>
        </w:rPr>
        <w:t xml:space="preserve">Table </w:t>
      </w:r>
      <w:r w:rsidR="00311A05">
        <w:rPr>
          <w:rFonts w:ascii="Arial" w:hAnsi="Arial" w:cs="Arial"/>
          <w:i/>
          <w:iCs/>
          <w:color w:val="2E74B5" w:themeColor="accent1" w:themeShade="BF"/>
          <w:sz w:val="20"/>
          <w:szCs w:val="20"/>
        </w:rPr>
        <w:t>2</w:t>
      </w:r>
      <w:r>
        <w:rPr>
          <w:rFonts w:ascii="Arial" w:hAnsi="Arial" w:cs="Arial"/>
          <w:i/>
          <w:iCs/>
          <w:color w:val="2E74B5" w:themeColor="accent1" w:themeShade="BF"/>
          <w:sz w:val="20"/>
          <w:szCs w:val="20"/>
        </w:rPr>
        <w:t>: results of the phytochemical analysis</w:t>
      </w:r>
    </w:p>
    <w:tbl>
      <w:tblPr>
        <w:tblStyle w:val="ListTable21"/>
        <w:tblW w:w="0" w:type="auto"/>
        <w:tblLook w:val="04A0" w:firstRow="1" w:lastRow="0" w:firstColumn="1" w:lastColumn="0" w:noHBand="0" w:noVBand="1"/>
      </w:tblPr>
      <w:tblGrid>
        <w:gridCol w:w="3005"/>
        <w:gridCol w:w="3005"/>
        <w:gridCol w:w="3006"/>
      </w:tblGrid>
      <w:tr w:rsidR="007C4222" w14:paraId="7CA94772" w14:textId="77777777" w:rsidTr="00C62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14:paraId="702E192A" w14:textId="77777777" w:rsidR="007C4222" w:rsidRPr="00DD13D5" w:rsidRDefault="008006B3" w:rsidP="00DD13D5">
            <w:pPr>
              <w:jc w:val="center"/>
              <w:rPr>
                <w:rFonts w:ascii="Arial" w:hAnsi="Arial" w:cs="Arial"/>
                <w:sz w:val="18"/>
                <w:szCs w:val="18"/>
              </w:rPr>
            </w:pPr>
            <w:r w:rsidRPr="00DD13D5">
              <w:rPr>
                <w:rFonts w:ascii="Arial" w:hAnsi="Arial" w:cs="Arial"/>
                <w:sz w:val="18"/>
                <w:szCs w:val="18"/>
              </w:rPr>
              <w:t>Test</w:t>
            </w:r>
          </w:p>
        </w:tc>
        <w:tc>
          <w:tcPr>
            <w:tcW w:w="3005" w:type="dxa"/>
            <w:shd w:val="clear" w:color="auto" w:fill="E7E6E6" w:themeFill="background2"/>
          </w:tcPr>
          <w:p w14:paraId="33884FFA" w14:textId="77777777" w:rsidR="007C4222" w:rsidRPr="00DD13D5" w:rsidRDefault="008006B3" w:rsidP="00DD13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Presence in hydroethanolic extract</w:t>
            </w:r>
          </w:p>
        </w:tc>
        <w:tc>
          <w:tcPr>
            <w:tcW w:w="3006" w:type="dxa"/>
            <w:shd w:val="clear" w:color="auto" w:fill="E7E6E6" w:themeFill="background2"/>
          </w:tcPr>
          <w:p w14:paraId="0F70FD12" w14:textId="77777777" w:rsidR="007C4222" w:rsidRPr="00DD13D5" w:rsidRDefault="008006B3" w:rsidP="00DD13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Presence in distilled water extract</w:t>
            </w:r>
          </w:p>
        </w:tc>
      </w:tr>
      <w:tr w:rsidR="007C4222" w14:paraId="18A9DE97"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0526CB31"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Alkaloids</w:t>
            </w:r>
          </w:p>
        </w:tc>
        <w:tc>
          <w:tcPr>
            <w:tcW w:w="3005" w:type="dxa"/>
          </w:tcPr>
          <w:p w14:paraId="3C4DC422" w14:textId="3C0AA1C6" w:rsidR="007C4222" w:rsidRPr="00DD13D5" w:rsidRDefault="00C62C59"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0E6A2213"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0202EC85"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47CCF65C"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Tannins</w:t>
            </w:r>
          </w:p>
        </w:tc>
        <w:tc>
          <w:tcPr>
            <w:tcW w:w="3005" w:type="dxa"/>
          </w:tcPr>
          <w:p w14:paraId="1D140768" w14:textId="380E3B4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r w:rsidR="00C62C59" w:rsidRPr="00DD13D5">
              <w:rPr>
                <w:rFonts w:ascii="Arial" w:hAnsi="Arial" w:cs="Arial"/>
                <w:sz w:val="18"/>
                <w:szCs w:val="18"/>
              </w:rPr>
              <w:t>++</w:t>
            </w:r>
          </w:p>
        </w:tc>
        <w:tc>
          <w:tcPr>
            <w:tcW w:w="3006" w:type="dxa"/>
          </w:tcPr>
          <w:p w14:paraId="246CEE69"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3FB49CC0"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45384A89"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Glycosides</w:t>
            </w:r>
          </w:p>
        </w:tc>
        <w:tc>
          <w:tcPr>
            <w:tcW w:w="3005" w:type="dxa"/>
          </w:tcPr>
          <w:p w14:paraId="1B9047A9"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0919D95E"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4CE72719"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0EEE5509"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Flavonoids</w:t>
            </w:r>
          </w:p>
        </w:tc>
        <w:tc>
          <w:tcPr>
            <w:tcW w:w="3005" w:type="dxa"/>
          </w:tcPr>
          <w:p w14:paraId="6840E13B" w14:textId="68392154" w:rsidR="00311A05"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r w:rsidR="00311A05" w:rsidRPr="00DD13D5">
              <w:rPr>
                <w:rFonts w:ascii="Arial" w:hAnsi="Arial" w:cs="Arial"/>
                <w:sz w:val="18"/>
                <w:szCs w:val="18"/>
              </w:rPr>
              <w:t>+</w:t>
            </w:r>
          </w:p>
        </w:tc>
        <w:tc>
          <w:tcPr>
            <w:tcW w:w="3006" w:type="dxa"/>
          </w:tcPr>
          <w:p w14:paraId="1C0D7FA9"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0907161B"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5AD3C678"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Phenolics</w:t>
            </w:r>
          </w:p>
        </w:tc>
        <w:tc>
          <w:tcPr>
            <w:tcW w:w="3005" w:type="dxa"/>
          </w:tcPr>
          <w:p w14:paraId="0971C203"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6C2CAD73"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67786B4C"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6FE7D110"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Terpenoids</w:t>
            </w:r>
          </w:p>
        </w:tc>
        <w:tc>
          <w:tcPr>
            <w:tcW w:w="3005" w:type="dxa"/>
          </w:tcPr>
          <w:p w14:paraId="2B4C490D"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289B437A"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59D314E8"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11B9237F"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Saponins</w:t>
            </w:r>
          </w:p>
        </w:tc>
        <w:tc>
          <w:tcPr>
            <w:tcW w:w="3005" w:type="dxa"/>
          </w:tcPr>
          <w:p w14:paraId="06936D4C" w14:textId="72C0882D"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r w:rsidR="00311A05" w:rsidRPr="00DD13D5">
              <w:rPr>
                <w:rFonts w:ascii="Arial" w:hAnsi="Arial" w:cs="Arial"/>
                <w:sz w:val="18"/>
                <w:szCs w:val="18"/>
              </w:rPr>
              <w:t>+</w:t>
            </w:r>
          </w:p>
        </w:tc>
        <w:tc>
          <w:tcPr>
            <w:tcW w:w="3006" w:type="dxa"/>
          </w:tcPr>
          <w:p w14:paraId="60D4ABE3" w14:textId="7EECFF2B" w:rsidR="007C4222" w:rsidRPr="00DD13D5" w:rsidRDefault="00C62C59"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22287E9D"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11D5E246"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Phytosterols</w:t>
            </w:r>
          </w:p>
        </w:tc>
        <w:tc>
          <w:tcPr>
            <w:tcW w:w="3005" w:type="dxa"/>
          </w:tcPr>
          <w:p w14:paraId="555650AD" w14:textId="17AB96D6" w:rsidR="00311A05"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6B61CDFE"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bl>
    <w:p w14:paraId="6FE944A6" w14:textId="77777777" w:rsidR="007C4222" w:rsidRDefault="007C4222" w:rsidP="00D344A2">
      <w:pPr>
        <w:jc w:val="both"/>
      </w:pPr>
    </w:p>
    <w:p w14:paraId="66B9C55A" w14:textId="77777777" w:rsidR="007C4222" w:rsidRDefault="007C4222" w:rsidP="00D344A2">
      <w:pPr>
        <w:jc w:val="both"/>
        <w:rPr>
          <w:sz w:val="20"/>
          <w:szCs w:val="20"/>
        </w:rPr>
      </w:pPr>
    </w:p>
    <w:p w14:paraId="7FD4EFD9" w14:textId="77777777" w:rsidR="007C4222" w:rsidRDefault="008006B3" w:rsidP="00D344A2">
      <w:pPr>
        <w:pStyle w:val="Heading2"/>
        <w:jc w:val="both"/>
        <w:rPr>
          <w:sz w:val="20"/>
          <w:szCs w:val="20"/>
        </w:rPr>
      </w:pPr>
      <w:r>
        <w:rPr>
          <w:sz w:val="20"/>
          <w:szCs w:val="20"/>
        </w:rPr>
        <w:t>Anti-inflammatory tests</w:t>
      </w:r>
    </w:p>
    <w:p w14:paraId="1FAD6662" w14:textId="7C3D72C7" w:rsidR="007C4222" w:rsidRDefault="00D97711" w:rsidP="00D344A2">
      <w:pPr>
        <w:jc w:val="both"/>
        <w:rPr>
          <w:rFonts w:ascii="Arial" w:hAnsi="Arial" w:cs="Arial"/>
          <w:sz w:val="20"/>
          <w:szCs w:val="20"/>
          <w:lang w:val="en-US"/>
        </w:rPr>
      </w:pPr>
      <w:r w:rsidRPr="00D97711">
        <w:rPr>
          <w:rFonts w:ascii="Arial" w:hAnsi="Arial" w:cs="Arial"/>
          <w:sz w:val="20"/>
          <w:szCs w:val="20"/>
          <w:lang w:val="en-US"/>
        </w:rPr>
        <w:t xml:space="preserve">The anti-inflammatory activity </w:t>
      </w:r>
      <w:r w:rsidRPr="00DD13D5">
        <w:rPr>
          <w:rFonts w:ascii="Arial" w:hAnsi="Arial" w:cs="Arial"/>
          <w:i/>
          <w:iCs/>
          <w:sz w:val="20"/>
          <w:szCs w:val="20"/>
          <w:lang w:val="en-US"/>
        </w:rPr>
        <w:t>of P. curatellifolia</w:t>
      </w:r>
      <w:r w:rsidRPr="00D97711">
        <w:rPr>
          <w:rFonts w:ascii="Arial" w:hAnsi="Arial" w:cs="Arial"/>
          <w:sz w:val="20"/>
          <w:szCs w:val="20"/>
          <w:lang w:val="en-US"/>
        </w:rPr>
        <w:t xml:space="preserve"> was assayed using the egg albumin test. The egg albumin test is a widely accepted invitro method for assaying anti-inflammatory potential. The results of the study highlighted the potential of </w:t>
      </w:r>
      <w:r w:rsidRPr="00FC28F3">
        <w:rPr>
          <w:rFonts w:ascii="Arial" w:hAnsi="Arial" w:cs="Arial"/>
          <w:i/>
          <w:iCs/>
          <w:sz w:val="20"/>
          <w:szCs w:val="20"/>
          <w:lang w:val="en-US"/>
        </w:rPr>
        <w:t xml:space="preserve">P. curatellifolia </w:t>
      </w:r>
      <w:r w:rsidRPr="00D97711">
        <w:rPr>
          <w:rFonts w:ascii="Arial" w:hAnsi="Arial" w:cs="Arial"/>
          <w:sz w:val="20"/>
          <w:szCs w:val="20"/>
          <w:lang w:val="en-US"/>
        </w:rPr>
        <w:t xml:space="preserve">hydroethanolic extracts in the </w:t>
      </w:r>
      <w:bookmarkStart w:id="23" w:name="_Hlk197179918"/>
      <w:r w:rsidRPr="00D97711">
        <w:rPr>
          <w:rFonts w:ascii="Arial" w:hAnsi="Arial" w:cs="Arial"/>
          <w:sz w:val="20"/>
          <w:szCs w:val="20"/>
          <w:lang w:val="en-US"/>
        </w:rPr>
        <w:t xml:space="preserve">inhibition of inflammation </w:t>
      </w:r>
      <w:bookmarkEnd w:id="23"/>
      <w:r w:rsidRPr="00D97711">
        <w:rPr>
          <w:rFonts w:ascii="Arial" w:hAnsi="Arial" w:cs="Arial"/>
          <w:sz w:val="20"/>
          <w:szCs w:val="20"/>
          <w:lang w:val="en-US"/>
        </w:rPr>
        <w:t>which is an important aspect to many diseases. The results</w:t>
      </w:r>
      <w:r w:rsidR="00FC28F3">
        <w:rPr>
          <w:rFonts w:ascii="Arial" w:hAnsi="Arial" w:cs="Arial"/>
          <w:sz w:val="20"/>
          <w:szCs w:val="20"/>
          <w:lang w:val="en-US"/>
        </w:rPr>
        <w:t xml:space="preserve"> in table 3 and figure 2</w:t>
      </w:r>
      <w:r w:rsidRPr="00D97711">
        <w:rPr>
          <w:rFonts w:ascii="Arial" w:hAnsi="Arial" w:cs="Arial"/>
          <w:sz w:val="20"/>
          <w:szCs w:val="20"/>
          <w:lang w:val="en-US"/>
        </w:rPr>
        <w:t xml:space="preserve"> show significant inhibition of protein denaturation by the extract. This indicated P</w:t>
      </w:r>
      <w:r w:rsidRPr="00FC28F3">
        <w:rPr>
          <w:rFonts w:ascii="Arial" w:hAnsi="Arial" w:cs="Arial"/>
          <w:i/>
          <w:iCs/>
          <w:sz w:val="20"/>
          <w:szCs w:val="20"/>
          <w:lang w:val="en-US"/>
        </w:rPr>
        <w:t xml:space="preserve">. </w:t>
      </w:r>
      <w:r w:rsidR="00E04FC5" w:rsidRPr="00FC28F3">
        <w:rPr>
          <w:rFonts w:ascii="Arial" w:hAnsi="Arial" w:cs="Arial"/>
          <w:i/>
          <w:iCs/>
          <w:sz w:val="20"/>
          <w:szCs w:val="20"/>
          <w:lang w:val="en-US"/>
        </w:rPr>
        <w:t>curatellifolia</w:t>
      </w:r>
      <w:r w:rsidRPr="00D97711">
        <w:rPr>
          <w:rFonts w:ascii="Arial" w:hAnsi="Arial" w:cs="Arial"/>
          <w:sz w:val="20"/>
          <w:szCs w:val="20"/>
          <w:lang w:val="en-US"/>
        </w:rPr>
        <w:t xml:space="preserve"> potential anti-inflammatory activity. The inhibition became comparable to the least dose of the positive control Diclofenac (250 µg/ml) used in this study at approximately around 750µg/ml with activity expected to increase further by using bioactive fractions and isolated compounds</w:t>
      </w:r>
      <w:r w:rsidRPr="00D97711">
        <w:rPr>
          <w:rFonts w:ascii="Arial" w:hAnsi="Arial" w:cs="Arial"/>
          <w:b/>
          <w:bCs/>
          <w:sz w:val="20"/>
          <w:szCs w:val="20"/>
          <w:lang w:val="en-US"/>
        </w:rPr>
        <w:t xml:space="preserve">. </w:t>
      </w:r>
      <w:r w:rsidRPr="00D97711">
        <w:rPr>
          <w:rFonts w:ascii="Arial" w:hAnsi="Arial" w:cs="Arial"/>
          <w:sz w:val="20"/>
          <w:szCs w:val="20"/>
          <w:lang w:val="en-US"/>
        </w:rPr>
        <w:t xml:space="preserve">This anti-inflammatory activity can be attributed to the presence of phytochemicals such as terpenoids, flavonoids and phenolics in </w:t>
      </w:r>
      <w:r w:rsidRPr="00D97711">
        <w:rPr>
          <w:rFonts w:ascii="Arial" w:hAnsi="Arial" w:cs="Arial"/>
          <w:sz w:val="20"/>
          <w:szCs w:val="20"/>
          <w:lang w:val="en-US"/>
        </w:rPr>
        <w:lastRenderedPageBreak/>
        <w:t xml:space="preserve">the extract as they have been reported to possess anti-inflammatory properties.  Further studies may need to be conducted to understand the mechanisms of inhibition of inflammation by the extracts. This may include identifying the specific phytochemicals responsible and their molecular targets. These results also provide a basis for further in vivo and clinical research on the anti-inflammatory activity of </w:t>
      </w:r>
      <w:r w:rsidRPr="00DD13D5">
        <w:rPr>
          <w:rFonts w:ascii="Arial" w:hAnsi="Arial" w:cs="Arial"/>
          <w:i/>
          <w:iCs/>
          <w:sz w:val="20"/>
          <w:szCs w:val="20"/>
          <w:lang w:val="en-US"/>
        </w:rPr>
        <w:t>P. curatellifolia.</w:t>
      </w:r>
    </w:p>
    <w:p w14:paraId="10D64A4B" w14:textId="77777777" w:rsidR="00D97711" w:rsidRDefault="00D97711" w:rsidP="00D344A2">
      <w:pPr>
        <w:jc w:val="both"/>
        <w:rPr>
          <w:rFonts w:ascii="Arial" w:hAnsi="Arial" w:cs="Arial"/>
          <w:sz w:val="20"/>
          <w:szCs w:val="20"/>
        </w:rPr>
      </w:pPr>
    </w:p>
    <w:p w14:paraId="5A3D6FA7" w14:textId="15D7268A" w:rsidR="007C4222" w:rsidRDefault="008006B3" w:rsidP="00D344A2">
      <w:pPr>
        <w:ind w:left="576"/>
        <w:jc w:val="both"/>
        <w:rPr>
          <w:rFonts w:ascii="Arial" w:hAnsi="Arial" w:cs="Arial"/>
          <w:i/>
          <w:iCs/>
          <w:color w:val="5B9BD5" w:themeColor="accent1"/>
          <w:sz w:val="20"/>
          <w:szCs w:val="20"/>
        </w:rPr>
      </w:pPr>
      <w:r>
        <w:rPr>
          <w:rFonts w:ascii="Arial" w:hAnsi="Arial" w:cs="Arial"/>
          <w:i/>
          <w:iCs/>
          <w:color w:val="5B9BD5" w:themeColor="accent1"/>
          <w:sz w:val="20"/>
          <w:szCs w:val="20"/>
        </w:rPr>
        <w:t xml:space="preserve">Table </w:t>
      </w:r>
      <w:r w:rsidR="00311A05">
        <w:rPr>
          <w:rFonts w:ascii="Arial" w:hAnsi="Arial" w:cs="Arial"/>
          <w:i/>
          <w:iCs/>
          <w:color w:val="5B9BD5" w:themeColor="accent1"/>
          <w:sz w:val="20"/>
          <w:szCs w:val="20"/>
        </w:rPr>
        <w:t>3</w:t>
      </w:r>
      <w:r>
        <w:rPr>
          <w:rFonts w:ascii="Arial" w:hAnsi="Arial" w:cs="Arial"/>
          <w:i/>
          <w:iCs/>
          <w:color w:val="5B9BD5" w:themeColor="accent1"/>
          <w:sz w:val="20"/>
          <w:szCs w:val="20"/>
        </w:rPr>
        <w:t>: results of the anti-inflammatory assay</w:t>
      </w:r>
    </w:p>
    <w:tbl>
      <w:tblPr>
        <w:tblW w:w="9072" w:type="dxa"/>
        <w:tblCellMar>
          <w:top w:w="9" w:type="dxa"/>
          <w:right w:w="115" w:type="dxa"/>
        </w:tblCellMar>
        <w:tblLook w:val="04A0" w:firstRow="1" w:lastRow="0" w:firstColumn="1" w:lastColumn="0" w:noHBand="0" w:noVBand="1"/>
      </w:tblPr>
      <w:tblGrid>
        <w:gridCol w:w="3080"/>
        <w:gridCol w:w="2787"/>
        <w:gridCol w:w="3205"/>
      </w:tblGrid>
      <w:tr w:rsidR="00E04FC5" w:rsidRPr="00DD13D5" w14:paraId="138CC705" w14:textId="77777777" w:rsidTr="008B0780">
        <w:trPr>
          <w:trHeight w:val="298"/>
        </w:trPr>
        <w:tc>
          <w:tcPr>
            <w:tcW w:w="3080" w:type="dxa"/>
            <w:vMerge w:val="restart"/>
            <w:tcBorders>
              <w:top w:val="single" w:sz="4" w:space="0" w:color="666666"/>
              <w:left w:val="nil"/>
              <w:right w:val="nil"/>
            </w:tcBorders>
            <w:shd w:val="clear" w:color="auto" w:fill="E7E6E6"/>
          </w:tcPr>
          <w:p w14:paraId="7380D971" w14:textId="77777777" w:rsidR="00E04FC5" w:rsidRPr="00DD13D5" w:rsidRDefault="00E04FC5" w:rsidP="00D344A2">
            <w:pPr>
              <w:jc w:val="both"/>
              <w:rPr>
                <w:rFonts w:ascii="Arial" w:hAnsi="Arial" w:cs="Arial"/>
                <w:b/>
                <w:sz w:val="18"/>
                <w:szCs w:val="18"/>
                <w:lang w:bidi="en-IN"/>
              </w:rPr>
            </w:pPr>
            <w:bookmarkStart w:id="24" w:name="_Hlk194535362"/>
            <w:r w:rsidRPr="00DD13D5">
              <w:rPr>
                <w:rFonts w:ascii="Arial" w:hAnsi="Arial" w:cs="Arial"/>
                <w:b/>
                <w:sz w:val="18"/>
                <w:szCs w:val="18"/>
                <w:lang w:bidi="en-IN"/>
              </w:rPr>
              <w:t xml:space="preserve">Concentration </w:t>
            </w:r>
          </w:p>
          <w:p w14:paraId="01F14066" w14:textId="79814A31"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 (µg/ml)</w:t>
            </w:r>
          </w:p>
        </w:tc>
        <w:tc>
          <w:tcPr>
            <w:tcW w:w="5992" w:type="dxa"/>
            <w:gridSpan w:val="2"/>
            <w:tcBorders>
              <w:top w:val="single" w:sz="4" w:space="0" w:color="666666"/>
              <w:left w:val="nil"/>
              <w:bottom w:val="single" w:sz="4" w:space="0" w:color="666666"/>
              <w:right w:val="nil"/>
            </w:tcBorders>
            <w:shd w:val="clear" w:color="auto" w:fill="E7E6E6"/>
          </w:tcPr>
          <w:p w14:paraId="7E8A1D23" w14:textId="3EB6AB9E"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                                % Inhibition  </w:t>
            </w:r>
          </w:p>
        </w:tc>
      </w:tr>
      <w:tr w:rsidR="00E04FC5" w:rsidRPr="00DD13D5" w14:paraId="69554A53" w14:textId="77777777" w:rsidTr="008B0780">
        <w:trPr>
          <w:trHeight w:val="422"/>
        </w:trPr>
        <w:tc>
          <w:tcPr>
            <w:tcW w:w="3080" w:type="dxa"/>
            <w:vMerge/>
            <w:tcBorders>
              <w:left w:val="nil"/>
              <w:bottom w:val="single" w:sz="4" w:space="0" w:color="666666"/>
              <w:right w:val="nil"/>
            </w:tcBorders>
            <w:shd w:val="clear" w:color="auto" w:fill="E7E6E6"/>
          </w:tcPr>
          <w:p w14:paraId="1ABBD5AC" w14:textId="2A96BA96" w:rsidR="00E04FC5" w:rsidRPr="00DD13D5" w:rsidRDefault="00E04FC5" w:rsidP="00D344A2">
            <w:pPr>
              <w:jc w:val="both"/>
              <w:rPr>
                <w:rFonts w:ascii="Arial" w:hAnsi="Arial" w:cs="Arial"/>
                <w:b/>
                <w:sz w:val="18"/>
                <w:szCs w:val="18"/>
                <w:lang w:bidi="en-IN"/>
              </w:rPr>
            </w:pPr>
          </w:p>
        </w:tc>
        <w:tc>
          <w:tcPr>
            <w:tcW w:w="2787" w:type="dxa"/>
            <w:tcBorders>
              <w:top w:val="single" w:sz="4" w:space="0" w:color="666666"/>
              <w:left w:val="nil"/>
              <w:bottom w:val="single" w:sz="4" w:space="0" w:color="666666"/>
              <w:right w:val="nil"/>
            </w:tcBorders>
            <w:shd w:val="clear" w:color="auto" w:fill="E7E6E6"/>
          </w:tcPr>
          <w:p w14:paraId="0ACB09AC" w14:textId="2A3EB85E" w:rsidR="00DD13D5" w:rsidRPr="00DD13D5" w:rsidRDefault="00E04FC5" w:rsidP="00D344A2">
            <w:pPr>
              <w:jc w:val="both"/>
              <w:rPr>
                <w:rFonts w:ascii="Arial" w:hAnsi="Arial" w:cs="Arial"/>
                <w:b/>
                <w:i/>
                <w:iCs/>
                <w:sz w:val="18"/>
                <w:szCs w:val="18"/>
                <w:lang w:bidi="en-IN"/>
              </w:rPr>
            </w:pPr>
            <w:r w:rsidRPr="00DD13D5">
              <w:rPr>
                <w:rFonts w:ascii="Arial" w:hAnsi="Arial" w:cs="Arial"/>
                <w:b/>
                <w:i/>
                <w:iCs/>
                <w:sz w:val="18"/>
                <w:szCs w:val="18"/>
                <w:lang w:bidi="en-IN"/>
              </w:rPr>
              <w:t>P.</w:t>
            </w:r>
            <w:r w:rsidR="00DD13D5">
              <w:rPr>
                <w:rFonts w:ascii="Arial" w:hAnsi="Arial" w:cs="Arial"/>
                <w:b/>
                <w:i/>
                <w:iCs/>
                <w:sz w:val="18"/>
                <w:szCs w:val="18"/>
                <w:lang w:bidi="en-IN"/>
              </w:rPr>
              <w:t xml:space="preserve"> </w:t>
            </w:r>
            <w:r w:rsidRPr="00DD13D5">
              <w:rPr>
                <w:rFonts w:ascii="Arial" w:hAnsi="Arial" w:cs="Arial"/>
                <w:b/>
                <w:i/>
                <w:iCs/>
                <w:sz w:val="18"/>
                <w:szCs w:val="18"/>
                <w:lang w:bidi="en-IN"/>
              </w:rPr>
              <w:t xml:space="preserve">curatellifolia </w:t>
            </w:r>
          </w:p>
          <w:p w14:paraId="3300EC92" w14:textId="48128D7F"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hydroethanolic extract </w:t>
            </w:r>
          </w:p>
        </w:tc>
        <w:tc>
          <w:tcPr>
            <w:tcW w:w="3205" w:type="dxa"/>
            <w:tcBorders>
              <w:top w:val="single" w:sz="4" w:space="0" w:color="666666"/>
              <w:left w:val="nil"/>
              <w:bottom w:val="single" w:sz="4" w:space="0" w:color="666666"/>
              <w:right w:val="nil"/>
            </w:tcBorders>
            <w:shd w:val="clear" w:color="auto" w:fill="E7E6E6"/>
          </w:tcPr>
          <w:p w14:paraId="458062A6" w14:textId="77777777"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Diclofenac (standard) </w:t>
            </w:r>
          </w:p>
        </w:tc>
      </w:tr>
      <w:tr w:rsidR="007C4222" w:rsidRPr="00DD13D5" w14:paraId="1EAAAE92" w14:textId="77777777" w:rsidTr="00311A05">
        <w:trPr>
          <w:trHeight w:val="299"/>
        </w:trPr>
        <w:tc>
          <w:tcPr>
            <w:tcW w:w="3080" w:type="dxa"/>
            <w:tcBorders>
              <w:top w:val="single" w:sz="4" w:space="0" w:color="666666"/>
              <w:left w:val="nil"/>
              <w:bottom w:val="single" w:sz="4" w:space="0" w:color="666666"/>
              <w:right w:val="nil"/>
            </w:tcBorders>
          </w:tcPr>
          <w:p w14:paraId="0811520F"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250 </w:t>
            </w:r>
          </w:p>
        </w:tc>
        <w:tc>
          <w:tcPr>
            <w:tcW w:w="2787" w:type="dxa"/>
            <w:tcBorders>
              <w:top w:val="single" w:sz="4" w:space="0" w:color="666666"/>
              <w:left w:val="nil"/>
              <w:bottom w:val="single" w:sz="4" w:space="0" w:color="666666"/>
              <w:right w:val="nil"/>
            </w:tcBorders>
          </w:tcPr>
          <w:p w14:paraId="1B85BF40"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16± 0.08 </w:t>
            </w:r>
          </w:p>
        </w:tc>
        <w:tc>
          <w:tcPr>
            <w:tcW w:w="3205" w:type="dxa"/>
            <w:tcBorders>
              <w:top w:val="single" w:sz="4" w:space="0" w:color="666666"/>
              <w:left w:val="nil"/>
              <w:bottom w:val="single" w:sz="4" w:space="0" w:color="666666"/>
              <w:right w:val="nil"/>
            </w:tcBorders>
          </w:tcPr>
          <w:p w14:paraId="7506BDC2"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39±0.84 </w:t>
            </w:r>
          </w:p>
        </w:tc>
      </w:tr>
      <w:tr w:rsidR="007C4222" w:rsidRPr="00DD13D5" w14:paraId="7007502D" w14:textId="77777777" w:rsidTr="00311A05">
        <w:trPr>
          <w:trHeight w:val="298"/>
        </w:trPr>
        <w:tc>
          <w:tcPr>
            <w:tcW w:w="3080" w:type="dxa"/>
            <w:tcBorders>
              <w:top w:val="single" w:sz="4" w:space="0" w:color="666666"/>
              <w:left w:val="nil"/>
              <w:bottom w:val="single" w:sz="4" w:space="0" w:color="666666"/>
              <w:right w:val="nil"/>
            </w:tcBorders>
          </w:tcPr>
          <w:p w14:paraId="14F7CA85"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500 </w:t>
            </w:r>
          </w:p>
        </w:tc>
        <w:tc>
          <w:tcPr>
            <w:tcW w:w="2787" w:type="dxa"/>
            <w:tcBorders>
              <w:top w:val="single" w:sz="4" w:space="0" w:color="666666"/>
              <w:left w:val="nil"/>
              <w:bottom w:val="single" w:sz="4" w:space="0" w:color="666666"/>
              <w:right w:val="nil"/>
            </w:tcBorders>
          </w:tcPr>
          <w:p w14:paraId="0120FBA1"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27±0.67 </w:t>
            </w:r>
          </w:p>
        </w:tc>
        <w:tc>
          <w:tcPr>
            <w:tcW w:w="3205" w:type="dxa"/>
            <w:tcBorders>
              <w:top w:val="single" w:sz="4" w:space="0" w:color="666666"/>
              <w:left w:val="nil"/>
              <w:bottom w:val="single" w:sz="4" w:space="0" w:color="666666"/>
              <w:right w:val="nil"/>
            </w:tcBorders>
          </w:tcPr>
          <w:p w14:paraId="69620283"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65±1.78 </w:t>
            </w:r>
          </w:p>
        </w:tc>
      </w:tr>
      <w:tr w:rsidR="007C4222" w:rsidRPr="00DD13D5" w14:paraId="685E7568" w14:textId="77777777" w:rsidTr="00311A05">
        <w:trPr>
          <w:trHeight w:val="300"/>
        </w:trPr>
        <w:tc>
          <w:tcPr>
            <w:tcW w:w="3080" w:type="dxa"/>
            <w:tcBorders>
              <w:top w:val="single" w:sz="4" w:space="0" w:color="666666"/>
              <w:left w:val="nil"/>
              <w:bottom w:val="single" w:sz="4" w:space="0" w:color="666666"/>
              <w:right w:val="nil"/>
            </w:tcBorders>
          </w:tcPr>
          <w:p w14:paraId="639BCBED"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1000 </w:t>
            </w:r>
          </w:p>
        </w:tc>
        <w:tc>
          <w:tcPr>
            <w:tcW w:w="2787" w:type="dxa"/>
            <w:tcBorders>
              <w:top w:val="single" w:sz="4" w:space="0" w:color="666666"/>
              <w:left w:val="nil"/>
              <w:bottom w:val="single" w:sz="4" w:space="0" w:color="666666"/>
              <w:right w:val="nil"/>
            </w:tcBorders>
          </w:tcPr>
          <w:p w14:paraId="6AEB2D6B"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76±0.28 </w:t>
            </w:r>
          </w:p>
        </w:tc>
        <w:tc>
          <w:tcPr>
            <w:tcW w:w="3205" w:type="dxa"/>
            <w:tcBorders>
              <w:top w:val="single" w:sz="4" w:space="0" w:color="666666"/>
              <w:left w:val="nil"/>
              <w:bottom w:val="single" w:sz="4" w:space="0" w:color="666666"/>
              <w:right w:val="nil"/>
            </w:tcBorders>
          </w:tcPr>
          <w:p w14:paraId="5B3A5868"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302±3.40 </w:t>
            </w:r>
          </w:p>
        </w:tc>
      </w:tr>
      <w:tr w:rsidR="007C4222" w:rsidRPr="00DD13D5" w14:paraId="4012AC67" w14:textId="77777777" w:rsidTr="00311A05">
        <w:trPr>
          <w:trHeight w:val="298"/>
        </w:trPr>
        <w:tc>
          <w:tcPr>
            <w:tcW w:w="3080" w:type="dxa"/>
            <w:tcBorders>
              <w:top w:val="single" w:sz="4" w:space="0" w:color="666666"/>
              <w:left w:val="nil"/>
              <w:bottom w:val="single" w:sz="4" w:space="0" w:color="666666"/>
              <w:right w:val="nil"/>
            </w:tcBorders>
          </w:tcPr>
          <w:p w14:paraId="0ACAF8A4"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2000 </w:t>
            </w:r>
          </w:p>
        </w:tc>
        <w:tc>
          <w:tcPr>
            <w:tcW w:w="2787" w:type="dxa"/>
            <w:tcBorders>
              <w:top w:val="single" w:sz="4" w:space="0" w:color="666666"/>
              <w:left w:val="nil"/>
              <w:bottom w:val="single" w:sz="4" w:space="0" w:color="666666"/>
              <w:right w:val="nil"/>
            </w:tcBorders>
          </w:tcPr>
          <w:p w14:paraId="27B16799"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265±1.76 </w:t>
            </w:r>
          </w:p>
        </w:tc>
        <w:tc>
          <w:tcPr>
            <w:tcW w:w="3205" w:type="dxa"/>
            <w:tcBorders>
              <w:top w:val="single" w:sz="4" w:space="0" w:color="666666"/>
              <w:left w:val="nil"/>
              <w:bottom w:val="single" w:sz="4" w:space="0" w:color="666666"/>
              <w:right w:val="nil"/>
            </w:tcBorders>
          </w:tcPr>
          <w:p w14:paraId="5BE01F03"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760.12± 4.20 </w:t>
            </w:r>
          </w:p>
        </w:tc>
      </w:tr>
      <w:tr w:rsidR="007C4222" w:rsidRPr="00DD13D5" w14:paraId="02E4423A" w14:textId="77777777" w:rsidTr="00311A05">
        <w:trPr>
          <w:trHeight w:val="298"/>
        </w:trPr>
        <w:tc>
          <w:tcPr>
            <w:tcW w:w="3080" w:type="dxa"/>
            <w:tcBorders>
              <w:top w:val="single" w:sz="4" w:space="0" w:color="666666"/>
              <w:left w:val="nil"/>
              <w:bottom w:val="single" w:sz="4" w:space="0" w:color="666666"/>
              <w:right w:val="nil"/>
            </w:tcBorders>
          </w:tcPr>
          <w:p w14:paraId="276CBDFE"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4000 </w:t>
            </w:r>
          </w:p>
        </w:tc>
        <w:tc>
          <w:tcPr>
            <w:tcW w:w="2787" w:type="dxa"/>
            <w:tcBorders>
              <w:top w:val="single" w:sz="4" w:space="0" w:color="666666"/>
              <w:left w:val="nil"/>
              <w:bottom w:val="single" w:sz="4" w:space="0" w:color="666666"/>
              <w:right w:val="nil"/>
            </w:tcBorders>
          </w:tcPr>
          <w:p w14:paraId="11C17332"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386±1.34 </w:t>
            </w:r>
          </w:p>
        </w:tc>
        <w:tc>
          <w:tcPr>
            <w:tcW w:w="3205" w:type="dxa"/>
            <w:tcBorders>
              <w:top w:val="single" w:sz="4" w:space="0" w:color="666666"/>
              <w:left w:val="nil"/>
              <w:bottom w:val="single" w:sz="4" w:space="0" w:color="666666"/>
              <w:right w:val="nil"/>
            </w:tcBorders>
          </w:tcPr>
          <w:p w14:paraId="456D084D" w14:textId="33645771"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Not </w:t>
            </w:r>
            <w:r w:rsidR="00FD2BF9" w:rsidRPr="00DD13D5">
              <w:rPr>
                <w:rFonts w:ascii="Arial" w:hAnsi="Arial" w:cs="Arial"/>
                <w:bCs/>
                <w:sz w:val="18"/>
                <w:szCs w:val="18"/>
                <w:lang w:bidi="en-IN"/>
              </w:rPr>
              <w:t>evaluated</w:t>
            </w:r>
            <w:r w:rsidRPr="00DD13D5">
              <w:rPr>
                <w:rFonts w:ascii="Arial" w:hAnsi="Arial" w:cs="Arial"/>
                <w:bCs/>
                <w:sz w:val="18"/>
                <w:szCs w:val="18"/>
                <w:lang w:bidi="en-IN"/>
              </w:rPr>
              <w:t xml:space="preserve"> </w:t>
            </w:r>
          </w:p>
        </w:tc>
      </w:tr>
      <w:tr w:rsidR="007C4222" w:rsidRPr="00DD13D5" w14:paraId="6C3D5099" w14:textId="77777777" w:rsidTr="00311A05">
        <w:trPr>
          <w:trHeight w:val="298"/>
        </w:trPr>
        <w:tc>
          <w:tcPr>
            <w:tcW w:w="3080" w:type="dxa"/>
            <w:tcBorders>
              <w:top w:val="single" w:sz="4" w:space="0" w:color="666666"/>
              <w:left w:val="nil"/>
              <w:bottom w:val="single" w:sz="4" w:space="0" w:color="666666"/>
              <w:right w:val="nil"/>
            </w:tcBorders>
          </w:tcPr>
          <w:p w14:paraId="09CD4CCB"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6000 </w:t>
            </w:r>
          </w:p>
        </w:tc>
        <w:tc>
          <w:tcPr>
            <w:tcW w:w="2787" w:type="dxa"/>
            <w:tcBorders>
              <w:top w:val="single" w:sz="4" w:space="0" w:color="666666"/>
              <w:left w:val="nil"/>
              <w:bottom w:val="single" w:sz="4" w:space="0" w:color="666666"/>
              <w:right w:val="nil"/>
            </w:tcBorders>
          </w:tcPr>
          <w:p w14:paraId="2407B130"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488±3.56 </w:t>
            </w:r>
          </w:p>
        </w:tc>
        <w:tc>
          <w:tcPr>
            <w:tcW w:w="3205" w:type="dxa"/>
            <w:tcBorders>
              <w:top w:val="single" w:sz="4" w:space="0" w:color="666666"/>
              <w:left w:val="nil"/>
              <w:bottom w:val="single" w:sz="4" w:space="0" w:color="666666"/>
              <w:right w:val="nil"/>
            </w:tcBorders>
          </w:tcPr>
          <w:p w14:paraId="562533B3" w14:textId="19771BB4"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Not </w:t>
            </w:r>
            <w:r w:rsidR="00FD2BF9" w:rsidRPr="00DD13D5">
              <w:rPr>
                <w:rFonts w:ascii="Arial" w:hAnsi="Arial" w:cs="Arial"/>
                <w:bCs/>
                <w:sz w:val="18"/>
                <w:szCs w:val="18"/>
                <w:lang w:bidi="en-IN"/>
              </w:rPr>
              <w:t>evaluated</w:t>
            </w:r>
            <w:r w:rsidRPr="00DD13D5">
              <w:rPr>
                <w:rFonts w:ascii="Arial" w:hAnsi="Arial" w:cs="Arial"/>
                <w:bCs/>
                <w:sz w:val="18"/>
                <w:szCs w:val="18"/>
                <w:lang w:bidi="en-IN"/>
              </w:rPr>
              <w:t xml:space="preserve"> </w:t>
            </w:r>
          </w:p>
        </w:tc>
      </w:tr>
      <w:tr w:rsidR="007C4222" w:rsidRPr="00DD13D5" w14:paraId="0882C30E" w14:textId="77777777" w:rsidTr="00311A05">
        <w:trPr>
          <w:trHeight w:val="298"/>
        </w:trPr>
        <w:tc>
          <w:tcPr>
            <w:tcW w:w="3080" w:type="dxa"/>
            <w:tcBorders>
              <w:top w:val="single" w:sz="4" w:space="0" w:color="666666"/>
              <w:left w:val="nil"/>
              <w:bottom w:val="single" w:sz="4" w:space="0" w:color="666666"/>
              <w:right w:val="nil"/>
            </w:tcBorders>
          </w:tcPr>
          <w:p w14:paraId="0749FBC4"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8000 </w:t>
            </w:r>
          </w:p>
        </w:tc>
        <w:tc>
          <w:tcPr>
            <w:tcW w:w="2787" w:type="dxa"/>
            <w:tcBorders>
              <w:top w:val="single" w:sz="4" w:space="0" w:color="666666"/>
              <w:left w:val="nil"/>
              <w:bottom w:val="single" w:sz="4" w:space="0" w:color="666666"/>
              <w:right w:val="nil"/>
            </w:tcBorders>
          </w:tcPr>
          <w:p w14:paraId="3C4C3D2F"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716±3.54 </w:t>
            </w:r>
          </w:p>
        </w:tc>
        <w:tc>
          <w:tcPr>
            <w:tcW w:w="3205" w:type="dxa"/>
            <w:tcBorders>
              <w:top w:val="single" w:sz="4" w:space="0" w:color="666666"/>
              <w:left w:val="nil"/>
              <w:bottom w:val="single" w:sz="4" w:space="0" w:color="666666"/>
              <w:right w:val="nil"/>
            </w:tcBorders>
          </w:tcPr>
          <w:p w14:paraId="53D409A4" w14:textId="13575F34"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Not </w:t>
            </w:r>
            <w:r w:rsidR="00FD2BF9" w:rsidRPr="00DD13D5">
              <w:rPr>
                <w:rFonts w:ascii="Arial" w:hAnsi="Arial" w:cs="Arial"/>
                <w:bCs/>
                <w:sz w:val="18"/>
                <w:szCs w:val="18"/>
                <w:lang w:bidi="en-IN"/>
              </w:rPr>
              <w:t>evaluated</w:t>
            </w:r>
            <w:r w:rsidRPr="00DD13D5">
              <w:rPr>
                <w:rFonts w:ascii="Arial" w:hAnsi="Arial" w:cs="Arial"/>
                <w:bCs/>
                <w:sz w:val="18"/>
                <w:szCs w:val="18"/>
                <w:lang w:bidi="en-IN"/>
              </w:rPr>
              <w:t xml:space="preserve"> </w:t>
            </w:r>
          </w:p>
        </w:tc>
      </w:tr>
      <w:bookmarkEnd w:id="24"/>
    </w:tbl>
    <w:p w14:paraId="1B81A7D6" w14:textId="77777777" w:rsidR="007C4222" w:rsidRDefault="007C4222" w:rsidP="00D344A2">
      <w:pPr>
        <w:pStyle w:val="Heading2"/>
        <w:numPr>
          <w:ilvl w:val="0"/>
          <w:numId w:val="0"/>
        </w:numPr>
        <w:ind w:left="576"/>
        <w:jc w:val="both"/>
        <w:rPr>
          <w:sz w:val="20"/>
          <w:szCs w:val="20"/>
        </w:rPr>
      </w:pPr>
    </w:p>
    <w:p w14:paraId="732BC8F8" w14:textId="614D2FCE" w:rsidR="007C4222" w:rsidRDefault="007C4222" w:rsidP="00D344A2">
      <w:pPr>
        <w:jc w:val="both"/>
        <w:rPr>
          <w:lang w:bidi="en-IN"/>
        </w:rPr>
      </w:pPr>
    </w:p>
    <w:p w14:paraId="1ACA7412" w14:textId="2D8195D4" w:rsidR="00266CD7" w:rsidRDefault="00A04CE5" w:rsidP="00D344A2">
      <w:pPr>
        <w:jc w:val="both"/>
        <w:rPr>
          <w:lang w:bidi="en-IN"/>
        </w:rPr>
      </w:pPr>
      <w:r>
        <w:rPr>
          <w:noProof/>
          <w:lang w:val="en-ZA" w:eastAsia="en-ZA"/>
        </w:rPr>
        <w:drawing>
          <wp:inline distT="0" distB="0" distL="0" distR="0" wp14:anchorId="5F5DB643" wp14:editId="4333C06B">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FD6F1F" w14:textId="54087F16" w:rsidR="00266CD7" w:rsidRDefault="00DD13D5" w:rsidP="00D344A2">
      <w:pPr>
        <w:jc w:val="both"/>
        <w:rPr>
          <w:rFonts w:ascii="Arial" w:hAnsi="Arial" w:cs="Arial"/>
          <w:i/>
          <w:iCs/>
          <w:color w:val="5B9BD5" w:themeColor="accent1"/>
          <w:sz w:val="20"/>
          <w:szCs w:val="20"/>
        </w:rPr>
      </w:pPr>
      <w:r w:rsidRPr="00DD13D5">
        <w:rPr>
          <w:rFonts w:ascii="Arial" w:hAnsi="Arial" w:cs="Arial"/>
          <w:i/>
          <w:iCs/>
          <w:color w:val="5B9BD5" w:themeColor="accent1"/>
          <w:sz w:val="20"/>
          <w:szCs w:val="20"/>
        </w:rPr>
        <w:t>Figure 2: Anti-inflammatory assay of P. curatellifolia</w:t>
      </w:r>
    </w:p>
    <w:p w14:paraId="70DE5E43" w14:textId="77777777" w:rsidR="00DD13D5" w:rsidRPr="00DD13D5" w:rsidRDefault="00DD13D5" w:rsidP="00D344A2">
      <w:pPr>
        <w:jc w:val="both"/>
        <w:rPr>
          <w:rFonts w:ascii="Arial" w:hAnsi="Arial" w:cs="Arial"/>
          <w:i/>
          <w:iCs/>
          <w:color w:val="5B9BD5" w:themeColor="accent1"/>
          <w:sz w:val="20"/>
          <w:szCs w:val="20"/>
        </w:rPr>
      </w:pPr>
    </w:p>
    <w:p w14:paraId="71C9BB4A" w14:textId="77777777" w:rsidR="007C4222" w:rsidRDefault="008006B3" w:rsidP="00D344A2">
      <w:pPr>
        <w:pStyle w:val="Heading2"/>
        <w:jc w:val="both"/>
        <w:rPr>
          <w:sz w:val="20"/>
          <w:szCs w:val="20"/>
        </w:rPr>
      </w:pPr>
      <w:r>
        <w:rPr>
          <w:sz w:val="20"/>
          <w:szCs w:val="20"/>
        </w:rPr>
        <w:t>Antibacterial assay</w:t>
      </w:r>
    </w:p>
    <w:p w14:paraId="632306FC" w14:textId="034AF67F" w:rsidR="007C4222" w:rsidRPr="008C52A5" w:rsidRDefault="00D97711" w:rsidP="00DD13D5">
      <w:pPr>
        <w:jc w:val="both"/>
        <w:rPr>
          <w:rFonts w:ascii="Arial" w:hAnsi="Arial" w:cs="Arial"/>
          <w:sz w:val="20"/>
          <w:szCs w:val="20"/>
        </w:rPr>
      </w:pPr>
      <w:r w:rsidRPr="00D97711">
        <w:rPr>
          <w:rFonts w:ascii="Arial" w:hAnsi="Arial" w:cs="Arial"/>
          <w:sz w:val="20"/>
          <w:szCs w:val="20"/>
        </w:rPr>
        <w:t xml:space="preserve">The antibacterial assay of the hydroethanolic plant extracts (table </w:t>
      </w:r>
      <w:r>
        <w:rPr>
          <w:rFonts w:ascii="Arial" w:hAnsi="Arial" w:cs="Arial"/>
          <w:sz w:val="20"/>
          <w:szCs w:val="20"/>
        </w:rPr>
        <w:t>4</w:t>
      </w:r>
      <w:r w:rsidRPr="00D97711">
        <w:rPr>
          <w:rFonts w:ascii="Arial" w:hAnsi="Arial" w:cs="Arial"/>
          <w:sz w:val="20"/>
          <w:szCs w:val="20"/>
        </w:rPr>
        <w:t xml:space="preserve">) exhibited activities </w:t>
      </w:r>
      <w:bookmarkStart w:id="25" w:name="_Hlk201109925"/>
      <w:r w:rsidRPr="00D97711">
        <w:rPr>
          <w:rFonts w:ascii="Arial" w:hAnsi="Arial" w:cs="Arial"/>
          <w:sz w:val="20"/>
          <w:szCs w:val="20"/>
        </w:rPr>
        <w:t xml:space="preserve">against </w:t>
      </w:r>
      <w:r w:rsidRPr="00294ACB">
        <w:rPr>
          <w:rFonts w:ascii="Arial" w:hAnsi="Arial" w:cs="Arial"/>
          <w:i/>
          <w:iCs/>
          <w:sz w:val="20"/>
          <w:szCs w:val="20"/>
        </w:rPr>
        <w:t>S.</w:t>
      </w:r>
      <w:r w:rsidRPr="00D97711">
        <w:rPr>
          <w:rFonts w:ascii="Arial" w:hAnsi="Arial" w:cs="Arial"/>
          <w:sz w:val="20"/>
          <w:szCs w:val="20"/>
        </w:rPr>
        <w:t xml:space="preserve"> </w:t>
      </w:r>
      <w:r w:rsidRPr="00294ACB">
        <w:rPr>
          <w:rFonts w:ascii="Arial" w:hAnsi="Arial" w:cs="Arial"/>
          <w:i/>
          <w:iCs/>
          <w:sz w:val="20"/>
          <w:szCs w:val="20"/>
        </w:rPr>
        <w:t>aureus</w:t>
      </w:r>
      <w:r w:rsidRPr="00D97711">
        <w:rPr>
          <w:rFonts w:ascii="Arial" w:hAnsi="Arial" w:cs="Arial"/>
          <w:sz w:val="20"/>
          <w:szCs w:val="20"/>
        </w:rPr>
        <w:t xml:space="preserve"> and </w:t>
      </w:r>
      <w:r w:rsidRPr="00294ACB">
        <w:rPr>
          <w:rFonts w:ascii="Arial" w:hAnsi="Arial" w:cs="Arial"/>
          <w:i/>
          <w:iCs/>
          <w:sz w:val="20"/>
          <w:szCs w:val="20"/>
        </w:rPr>
        <w:t>K. pneumoniae</w:t>
      </w:r>
      <w:bookmarkEnd w:id="25"/>
      <w:r w:rsidRPr="00D97711">
        <w:rPr>
          <w:rFonts w:ascii="Arial" w:hAnsi="Arial" w:cs="Arial"/>
          <w:sz w:val="20"/>
          <w:szCs w:val="20"/>
        </w:rPr>
        <w:t xml:space="preserve">. The significant inhibition zone diameters against the tested bacterial strains indicated the potential of the plant in being harnessed for antibacterial therapies. The results indicated a broad spectrum of activity with the extract inhibiting both Gram-negative and Gram-positive bacteria. The differences in the different zone diameter of inhibition reflected the varying degree of sensitivity of the bacteria to the crude extracts and the isolates. The </w:t>
      </w:r>
      <w:r w:rsidRPr="00294ACB">
        <w:rPr>
          <w:rFonts w:ascii="Arial" w:hAnsi="Arial" w:cs="Arial"/>
          <w:i/>
          <w:iCs/>
          <w:sz w:val="20"/>
          <w:szCs w:val="20"/>
        </w:rPr>
        <w:t xml:space="preserve">Klebsiella </w:t>
      </w:r>
      <w:r w:rsidRPr="00D97711">
        <w:rPr>
          <w:rFonts w:ascii="Arial" w:hAnsi="Arial" w:cs="Arial"/>
          <w:sz w:val="20"/>
          <w:szCs w:val="20"/>
        </w:rPr>
        <w:t xml:space="preserve">mutans was </w:t>
      </w:r>
      <w:r w:rsidR="00FD2BF9" w:rsidRPr="00D97711">
        <w:rPr>
          <w:rFonts w:ascii="Arial" w:hAnsi="Arial" w:cs="Arial"/>
          <w:sz w:val="20"/>
          <w:szCs w:val="20"/>
        </w:rPr>
        <w:t>overly sensitive</w:t>
      </w:r>
      <w:r w:rsidRPr="00D97711">
        <w:rPr>
          <w:rFonts w:ascii="Arial" w:hAnsi="Arial" w:cs="Arial"/>
          <w:sz w:val="20"/>
          <w:szCs w:val="20"/>
        </w:rPr>
        <w:t xml:space="preserve"> to the hydroethanolic stem bark extract and </w:t>
      </w:r>
      <w:r w:rsidRPr="00294ACB">
        <w:rPr>
          <w:rFonts w:ascii="Arial" w:hAnsi="Arial" w:cs="Arial"/>
          <w:i/>
          <w:iCs/>
          <w:sz w:val="20"/>
          <w:szCs w:val="20"/>
        </w:rPr>
        <w:t>Staphylococcus aureus</w:t>
      </w:r>
      <w:r w:rsidRPr="00D97711">
        <w:rPr>
          <w:rFonts w:ascii="Arial" w:hAnsi="Arial" w:cs="Arial"/>
          <w:sz w:val="20"/>
          <w:szCs w:val="20"/>
        </w:rPr>
        <w:t xml:space="preserve"> was </w:t>
      </w:r>
      <w:r w:rsidRPr="00FC28F3">
        <w:rPr>
          <w:rFonts w:ascii="Arial" w:hAnsi="Arial" w:cs="Arial"/>
          <w:sz w:val="20"/>
          <w:szCs w:val="20"/>
          <w:highlight w:val="yellow"/>
        </w:rPr>
        <w:t>moderately sensitive (Table 4). The result of the antibacterial assay of the plant extracts is comparable to Erythromycin the standard</w:t>
      </w:r>
      <w:r w:rsidRPr="00D97711">
        <w:rPr>
          <w:rFonts w:ascii="Arial" w:hAnsi="Arial" w:cs="Arial"/>
          <w:sz w:val="20"/>
          <w:szCs w:val="20"/>
        </w:rPr>
        <w:t xml:space="preserve"> antibacterial agent used as the positive control in this work. The results also show a high bactericidal activity of the hydroethanolic extract at relatively low concentrations of the extract</w:t>
      </w:r>
      <w:r w:rsidR="00FC28F3">
        <w:rPr>
          <w:rFonts w:ascii="Arial" w:hAnsi="Arial" w:cs="Arial"/>
          <w:sz w:val="20"/>
          <w:szCs w:val="20"/>
        </w:rPr>
        <w:t xml:space="preserve">. </w:t>
      </w:r>
      <w:r w:rsidR="008C52A5" w:rsidRPr="008C52A5">
        <w:rPr>
          <w:rFonts w:ascii="Arial" w:hAnsi="Arial" w:cs="Arial"/>
          <w:sz w:val="20"/>
          <w:szCs w:val="20"/>
        </w:rPr>
        <w:t>The minimum inhibitory concentration (MIC) and minimum bactericidal concentration (MBC) of the extracts of</w:t>
      </w:r>
      <w:r w:rsidR="00A21894">
        <w:rPr>
          <w:rFonts w:ascii="Arial" w:hAnsi="Arial" w:cs="Arial"/>
          <w:sz w:val="20"/>
          <w:szCs w:val="20"/>
        </w:rPr>
        <w:t xml:space="preserve"> </w:t>
      </w:r>
      <w:r w:rsidR="00A21894" w:rsidRPr="00A21894">
        <w:rPr>
          <w:rFonts w:ascii="Arial" w:hAnsi="Arial" w:cs="Arial"/>
          <w:i/>
          <w:iCs/>
          <w:sz w:val="20"/>
          <w:szCs w:val="20"/>
        </w:rPr>
        <w:t>P.</w:t>
      </w:r>
      <w:r w:rsidR="008C52A5" w:rsidRPr="00A21894">
        <w:rPr>
          <w:rFonts w:ascii="Arial" w:hAnsi="Arial" w:cs="Arial"/>
          <w:i/>
          <w:iCs/>
          <w:sz w:val="20"/>
          <w:szCs w:val="20"/>
        </w:rPr>
        <w:t xml:space="preserve"> </w:t>
      </w:r>
      <w:r w:rsidR="00A21894" w:rsidRPr="00A21894">
        <w:rPr>
          <w:rFonts w:ascii="Arial" w:hAnsi="Arial" w:cs="Arial"/>
          <w:i/>
          <w:iCs/>
          <w:sz w:val="20"/>
          <w:szCs w:val="20"/>
        </w:rPr>
        <w:t>c</w:t>
      </w:r>
      <w:r w:rsidR="00E04FC5" w:rsidRPr="00A21894">
        <w:rPr>
          <w:rFonts w:ascii="Arial" w:hAnsi="Arial" w:cs="Arial"/>
          <w:i/>
          <w:iCs/>
          <w:sz w:val="20"/>
          <w:szCs w:val="20"/>
        </w:rPr>
        <w:t>uratellifolia</w:t>
      </w:r>
      <w:r w:rsidR="008C52A5" w:rsidRPr="008C52A5">
        <w:rPr>
          <w:rFonts w:ascii="Arial" w:hAnsi="Arial" w:cs="Arial"/>
          <w:sz w:val="20"/>
          <w:szCs w:val="20"/>
        </w:rPr>
        <w:t xml:space="preserve"> on the test organisms are of great </w:t>
      </w:r>
      <w:r w:rsidR="00FD2BF9" w:rsidRPr="008C52A5">
        <w:rPr>
          <w:rFonts w:ascii="Arial" w:hAnsi="Arial" w:cs="Arial"/>
          <w:sz w:val="20"/>
          <w:szCs w:val="20"/>
        </w:rPr>
        <w:t>significance since</w:t>
      </w:r>
      <w:r w:rsidR="008C52A5" w:rsidRPr="008C52A5">
        <w:rPr>
          <w:rFonts w:ascii="Arial" w:hAnsi="Arial" w:cs="Arial"/>
          <w:sz w:val="20"/>
          <w:szCs w:val="20"/>
        </w:rPr>
        <w:t xml:space="preserve"> these multidrug resistant organisms are of great epidemiological threat. The low MIC value confirms the high antibacterial activity of the extracts at different concentrations.</w:t>
      </w:r>
      <w:r w:rsidR="00294ACB">
        <w:rPr>
          <w:rFonts w:ascii="Arial" w:hAnsi="Arial" w:cs="Arial"/>
          <w:sz w:val="20"/>
          <w:szCs w:val="20"/>
        </w:rPr>
        <w:t xml:space="preserve"> </w:t>
      </w:r>
      <w:r w:rsidRPr="00D97711">
        <w:rPr>
          <w:rFonts w:ascii="Arial" w:hAnsi="Arial" w:cs="Arial"/>
          <w:sz w:val="20"/>
          <w:szCs w:val="20"/>
        </w:rPr>
        <w:t xml:space="preserve">These results suggest that the extracts of </w:t>
      </w:r>
      <w:r w:rsidRPr="00294ACB">
        <w:rPr>
          <w:rFonts w:ascii="Arial" w:hAnsi="Arial" w:cs="Arial"/>
          <w:i/>
          <w:iCs/>
          <w:sz w:val="20"/>
          <w:szCs w:val="20"/>
        </w:rPr>
        <w:t>P. curatellifolia</w:t>
      </w:r>
      <w:r w:rsidRPr="00D97711">
        <w:rPr>
          <w:rFonts w:ascii="Arial" w:hAnsi="Arial" w:cs="Arial"/>
          <w:sz w:val="20"/>
          <w:szCs w:val="20"/>
        </w:rPr>
        <w:t xml:space="preserve"> can be further enhanced for the treatment of bacterial infections. </w:t>
      </w:r>
    </w:p>
    <w:p w14:paraId="51CFCA30" w14:textId="77777777" w:rsidR="007C4222" w:rsidRDefault="007C4222" w:rsidP="00DD13D5">
      <w:pPr>
        <w:jc w:val="both"/>
      </w:pPr>
    </w:p>
    <w:p w14:paraId="72465F96" w14:textId="77777777" w:rsidR="00600FB0" w:rsidRDefault="00600FB0" w:rsidP="00D344A2">
      <w:pPr>
        <w:jc w:val="both"/>
        <w:rPr>
          <w:rFonts w:ascii="Arial" w:hAnsi="Arial" w:cs="Arial"/>
          <w:i/>
          <w:iCs/>
          <w:color w:val="5B9BD5" w:themeColor="accent1"/>
          <w:sz w:val="20"/>
          <w:szCs w:val="20"/>
        </w:rPr>
      </w:pPr>
    </w:p>
    <w:p w14:paraId="2B8C68B5" w14:textId="0C31EC64" w:rsidR="007C4222" w:rsidRDefault="008006B3" w:rsidP="00D344A2">
      <w:pPr>
        <w:jc w:val="both"/>
        <w:rPr>
          <w:rFonts w:ascii="Arial" w:hAnsi="Arial" w:cs="Arial"/>
          <w:i/>
          <w:iCs/>
          <w:color w:val="5B9BD5" w:themeColor="accent1"/>
          <w:sz w:val="20"/>
          <w:szCs w:val="20"/>
        </w:rPr>
      </w:pPr>
      <w:r>
        <w:rPr>
          <w:rFonts w:ascii="Arial" w:hAnsi="Arial" w:cs="Arial"/>
          <w:i/>
          <w:iCs/>
          <w:color w:val="5B9BD5" w:themeColor="accent1"/>
          <w:sz w:val="20"/>
          <w:szCs w:val="20"/>
        </w:rPr>
        <w:t xml:space="preserve">Table </w:t>
      </w:r>
      <w:r w:rsidR="00311A05">
        <w:rPr>
          <w:rFonts w:ascii="Arial" w:hAnsi="Arial" w:cs="Arial"/>
          <w:i/>
          <w:iCs/>
          <w:color w:val="5B9BD5" w:themeColor="accent1"/>
          <w:sz w:val="20"/>
          <w:szCs w:val="20"/>
        </w:rPr>
        <w:t>4</w:t>
      </w:r>
      <w:r>
        <w:rPr>
          <w:rFonts w:ascii="Arial" w:hAnsi="Arial" w:cs="Arial"/>
          <w:i/>
          <w:iCs/>
          <w:color w:val="5B9BD5" w:themeColor="accent1"/>
          <w:sz w:val="20"/>
          <w:szCs w:val="20"/>
        </w:rPr>
        <w:t>: Antibacterial Activity of Hydroethanolic Extracts of P. Curatellifolia Against the Test Organisms</w:t>
      </w:r>
    </w:p>
    <w:tbl>
      <w:tblPr>
        <w:tblStyle w:val="ListTable21"/>
        <w:tblW w:w="0" w:type="auto"/>
        <w:tblLook w:val="04A0" w:firstRow="1" w:lastRow="0" w:firstColumn="1" w:lastColumn="0" w:noHBand="0" w:noVBand="1"/>
      </w:tblPr>
      <w:tblGrid>
        <w:gridCol w:w="2254"/>
        <w:gridCol w:w="2254"/>
        <w:gridCol w:w="2254"/>
        <w:gridCol w:w="2254"/>
      </w:tblGrid>
      <w:tr w:rsidR="007C4222" w14:paraId="0DFDC528" w14:textId="77777777" w:rsidTr="00600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499B65B" w14:textId="77777777" w:rsidR="007C4222" w:rsidRPr="00600FB0" w:rsidRDefault="008006B3" w:rsidP="00600FB0">
            <w:pPr>
              <w:jc w:val="center"/>
              <w:rPr>
                <w:rFonts w:ascii="Arial" w:hAnsi="Arial" w:cs="Arial"/>
                <w:b w:val="0"/>
                <w:bCs w:val="0"/>
                <w:sz w:val="18"/>
                <w:szCs w:val="18"/>
              </w:rPr>
            </w:pPr>
            <w:r w:rsidRPr="00600FB0">
              <w:rPr>
                <w:rFonts w:ascii="Arial" w:hAnsi="Arial" w:cs="Arial"/>
                <w:sz w:val="18"/>
                <w:szCs w:val="18"/>
              </w:rPr>
              <w:t>Test organism</w:t>
            </w:r>
          </w:p>
        </w:tc>
        <w:tc>
          <w:tcPr>
            <w:tcW w:w="2254" w:type="dxa"/>
          </w:tcPr>
          <w:p w14:paraId="57F5894A" w14:textId="77777777" w:rsidR="007C4222" w:rsidRPr="00600FB0" w:rsidRDefault="008006B3" w:rsidP="00600F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600FB0">
              <w:rPr>
                <w:rFonts w:ascii="Arial" w:hAnsi="Arial" w:cs="Arial"/>
                <w:sz w:val="18"/>
                <w:szCs w:val="18"/>
              </w:rPr>
              <w:t>concentration (mg/ml)</w:t>
            </w:r>
          </w:p>
        </w:tc>
        <w:tc>
          <w:tcPr>
            <w:tcW w:w="4508" w:type="dxa"/>
            <w:gridSpan w:val="2"/>
          </w:tcPr>
          <w:p w14:paraId="01A0B99F" w14:textId="77777777" w:rsidR="007C4222" w:rsidRPr="00600FB0" w:rsidRDefault="008006B3" w:rsidP="00600F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600FB0">
              <w:rPr>
                <w:rFonts w:ascii="Arial" w:hAnsi="Arial" w:cs="Arial"/>
                <w:sz w:val="18"/>
                <w:szCs w:val="18"/>
              </w:rPr>
              <w:t>Zone diameter of inhibition (mm)</w:t>
            </w:r>
          </w:p>
        </w:tc>
      </w:tr>
      <w:tr w:rsidR="007C4222" w14:paraId="3552B2B1" w14:textId="77777777" w:rsidTr="00600FB0">
        <w:tc>
          <w:tcPr>
            <w:cnfStyle w:val="001000000000" w:firstRow="0" w:lastRow="0" w:firstColumn="1" w:lastColumn="0" w:oddVBand="0" w:evenVBand="0" w:oddHBand="0" w:evenHBand="0" w:firstRowFirstColumn="0" w:firstRowLastColumn="0" w:lastRowFirstColumn="0" w:lastRowLastColumn="0"/>
            <w:tcW w:w="4508" w:type="dxa"/>
            <w:gridSpan w:val="2"/>
          </w:tcPr>
          <w:p w14:paraId="5B815271" w14:textId="77777777" w:rsidR="007C4222" w:rsidRPr="00600FB0" w:rsidRDefault="007C4222" w:rsidP="00600FB0">
            <w:pPr>
              <w:jc w:val="center"/>
              <w:rPr>
                <w:rFonts w:ascii="Arial" w:hAnsi="Arial" w:cs="Arial"/>
                <w:sz w:val="18"/>
                <w:szCs w:val="18"/>
              </w:rPr>
            </w:pPr>
          </w:p>
        </w:tc>
        <w:tc>
          <w:tcPr>
            <w:tcW w:w="2254" w:type="dxa"/>
          </w:tcPr>
          <w:p w14:paraId="0B44A64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Extract</w:t>
            </w:r>
          </w:p>
        </w:tc>
        <w:tc>
          <w:tcPr>
            <w:tcW w:w="2254" w:type="dxa"/>
          </w:tcPr>
          <w:p w14:paraId="63AB1508" w14:textId="6F2607B8"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Control</w:t>
            </w:r>
          </w:p>
        </w:tc>
      </w:tr>
      <w:tr w:rsidR="007C4222" w14:paraId="33AE52B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val="restart"/>
          </w:tcPr>
          <w:p w14:paraId="409E0186" w14:textId="77777777" w:rsidR="007C4222" w:rsidRPr="00FD2BF9" w:rsidRDefault="008006B3" w:rsidP="00600FB0">
            <w:pPr>
              <w:jc w:val="center"/>
              <w:rPr>
                <w:rFonts w:ascii="Arial" w:hAnsi="Arial" w:cs="Arial"/>
                <w:b w:val="0"/>
                <w:bCs w:val="0"/>
                <w:i/>
                <w:iCs/>
                <w:sz w:val="18"/>
                <w:szCs w:val="18"/>
              </w:rPr>
            </w:pPr>
            <w:bookmarkStart w:id="26" w:name="_Hlk194536479"/>
            <w:r w:rsidRPr="00FD2BF9">
              <w:rPr>
                <w:rFonts w:ascii="Arial" w:hAnsi="Arial" w:cs="Arial"/>
                <w:b w:val="0"/>
                <w:bCs w:val="0"/>
                <w:i/>
                <w:iCs/>
                <w:sz w:val="18"/>
                <w:szCs w:val="18"/>
              </w:rPr>
              <w:t>Staphylococcus aureus</w:t>
            </w:r>
          </w:p>
        </w:tc>
        <w:tc>
          <w:tcPr>
            <w:tcW w:w="2254" w:type="dxa"/>
          </w:tcPr>
          <w:p w14:paraId="08AD47A0"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250</w:t>
            </w:r>
          </w:p>
        </w:tc>
        <w:tc>
          <w:tcPr>
            <w:tcW w:w="2254" w:type="dxa"/>
          </w:tcPr>
          <w:p w14:paraId="7AA185B6"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 xml:space="preserve">21 </w:t>
            </w:r>
            <w:r w:rsidRPr="00600FB0">
              <w:rPr>
                <w:rFonts w:ascii="Arial" w:hAnsi="Arial" w:cs="Arial"/>
                <w:sz w:val="18"/>
                <w:szCs w:val="18"/>
                <w:u w:val="single"/>
              </w:rPr>
              <w:t>+</w:t>
            </w:r>
            <w:r w:rsidRPr="00600FB0">
              <w:rPr>
                <w:rFonts w:ascii="Arial" w:hAnsi="Arial" w:cs="Arial"/>
                <w:sz w:val="18"/>
                <w:szCs w:val="18"/>
              </w:rPr>
              <w:t xml:space="preserve"> 0.70</w:t>
            </w:r>
          </w:p>
        </w:tc>
        <w:tc>
          <w:tcPr>
            <w:tcW w:w="2254" w:type="dxa"/>
          </w:tcPr>
          <w:p w14:paraId="219386FD"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32+ 0.50</w:t>
            </w:r>
          </w:p>
        </w:tc>
      </w:tr>
      <w:tr w:rsidR="007C4222" w14:paraId="4C89D03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41A899F7" w14:textId="77777777" w:rsidR="007C4222" w:rsidRPr="00600FB0" w:rsidRDefault="007C4222" w:rsidP="00600FB0">
            <w:pPr>
              <w:jc w:val="center"/>
              <w:rPr>
                <w:rFonts w:ascii="Arial" w:hAnsi="Arial" w:cs="Arial"/>
                <w:b w:val="0"/>
                <w:bCs w:val="0"/>
                <w:sz w:val="18"/>
                <w:szCs w:val="18"/>
              </w:rPr>
            </w:pPr>
          </w:p>
        </w:tc>
        <w:tc>
          <w:tcPr>
            <w:tcW w:w="2254" w:type="dxa"/>
          </w:tcPr>
          <w:p w14:paraId="7C275DE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100</w:t>
            </w:r>
          </w:p>
        </w:tc>
        <w:tc>
          <w:tcPr>
            <w:tcW w:w="2254" w:type="dxa"/>
          </w:tcPr>
          <w:p w14:paraId="0D49C069"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11.5 + 3.40</w:t>
            </w:r>
          </w:p>
        </w:tc>
        <w:tc>
          <w:tcPr>
            <w:tcW w:w="2254" w:type="dxa"/>
          </w:tcPr>
          <w:p w14:paraId="616721D5"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23 + 0.00</w:t>
            </w:r>
          </w:p>
        </w:tc>
      </w:tr>
      <w:tr w:rsidR="007C4222" w14:paraId="0048C25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5E0637D5" w14:textId="77777777" w:rsidR="007C4222" w:rsidRPr="00600FB0" w:rsidRDefault="007C4222" w:rsidP="00600FB0">
            <w:pPr>
              <w:jc w:val="center"/>
              <w:rPr>
                <w:rFonts w:ascii="Arial" w:hAnsi="Arial" w:cs="Arial"/>
                <w:b w:val="0"/>
                <w:bCs w:val="0"/>
                <w:sz w:val="18"/>
                <w:szCs w:val="18"/>
              </w:rPr>
            </w:pPr>
          </w:p>
        </w:tc>
        <w:tc>
          <w:tcPr>
            <w:tcW w:w="2254" w:type="dxa"/>
          </w:tcPr>
          <w:p w14:paraId="2F98BC66"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50</w:t>
            </w:r>
          </w:p>
        </w:tc>
        <w:tc>
          <w:tcPr>
            <w:tcW w:w="2254" w:type="dxa"/>
          </w:tcPr>
          <w:p w14:paraId="11805C9D"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 + 0.60</w:t>
            </w:r>
          </w:p>
        </w:tc>
        <w:tc>
          <w:tcPr>
            <w:tcW w:w="2254" w:type="dxa"/>
          </w:tcPr>
          <w:p w14:paraId="046DB86C"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18 + 1.20</w:t>
            </w:r>
          </w:p>
        </w:tc>
      </w:tr>
      <w:tr w:rsidR="007C4222" w14:paraId="0C9FB4A0" w14:textId="77777777" w:rsidTr="00600FB0">
        <w:tc>
          <w:tcPr>
            <w:cnfStyle w:val="001000000000" w:firstRow="0" w:lastRow="0" w:firstColumn="1" w:lastColumn="0" w:oddVBand="0" w:evenVBand="0" w:oddHBand="0" w:evenHBand="0" w:firstRowFirstColumn="0" w:firstRowLastColumn="0" w:lastRowFirstColumn="0" w:lastRowLastColumn="0"/>
            <w:tcW w:w="9016" w:type="dxa"/>
            <w:gridSpan w:val="4"/>
          </w:tcPr>
          <w:p w14:paraId="0254DC9A" w14:textId="77777777" w:rsidR="007C4222" w:rsidRPr="00600FB0" w:rsidRDefault="007C4222" w:rsidP="00600FB0">
            <w:pPr>
              <w:jc w:val="center"/>
              <w:rPr>
                <w:rFonts w:ascii="Arial" w:hAnsi="Arial" w:cs="Arial"/>
                <w:b w:val="0"/>
                <w:bCs w:val="0"/>
                <w:sz w:val="18"/>
                <w:szCs w:val="18"/>
              </w:rPr>
            </w:pPr>
            <w:bookmarkStart w:id="27" w:name="_Hlk194536589"/>
            <w:bookmarkEnd w:id="26"/>
          </w:p>
        </w:tc>
      </w:tr>
      <w:tr w:rsidR="007C4222" w14:paraId="74D8B2AD"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val="restart"/>
          </w:tcPr>
          <w:p w14:paraId="65E11436" w14:textId="77777777" w:rsidR="007C4222" w:rsidRPr="00600FB0" w:rsidRDefault="007C4222" w:rsidP="00600FB0">
            <w:pPr>
              <w:jc w:val="center"/>
              <w:rPr>
                <w:rFonts w:ascii="Arial" w:hAnsi="Arial" w:cs="Arial"/>
                <w:b w:val="0"/>
                <w:bCs w:val="0"/>
                <w:sz w:val="18"/>
                <w:szCs w:val="18"/>
              </w:rPr>
            </w:pPr>
          </w:p>
          <w:p w14:paraId="06D13B1E" w14:textId="77777777" w:rsidR="007C4222" w:rsidRPr="00FD2BF9" w:rsidRDefault="008006B3" w:rsidP="00600FB0">
            <w:pPr>
              <w:jc w:val="center"/>
              <w:rPr>
                <w:rFonts w:ascii="Arial" w:hAnsi="Arial" w:cs="Arial"/>
                <w:b w:val="0"/>
                <w:bCs w:val="0"/>
                <w:i/>
                <w:iCs/>
                <w:sz w:val="18"/>
                <w:szCs w:val="18"/>
              </w:rPr>
            </w:pPr>
            <w:r w:rsidRPr="00FD2BF9">
              <w:rPr>
                <w:rFonts w:ascii="Arial" w:hAnsi="Arial" w:cs="Arial"/>
                <w:b w:val="0"/>
                <w:bCs w:val="0"/>
                <w:i/>
                <w:iCs/>
                <w:sz w:val="18"/>
                <w:szCs w:val="18"/>
              </w:rPr>
              <w:t>Klebsiella pneumoniae</w:t>
            </w:r>
          </w:p>
        </w:tc>
        <w:tc>
          <w:tcPr>
            <w:tcW w:w="2254" w:type="dxa"/>
          </w:tcPr>
          <w:p w14:paraId="23D5A17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250</w:t>
            </w:r>
          </w:p>
        </w:tc>
        <w:tc>
          <w:tcPr>
            <w:tcW w:w="2254" w:type="dxa"/>
          </w:tcPr>
          <w:p w14:paraId="559F916B"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26 + 0.20</w:t>
            </w:r>
          </w:p>
        </w:tc>
        <w:tc>
          <w:tcPr>
            <w:tcW w:w="2254" w:type="dxa"/>
          </w:tcPr>
          <w:p w14:paraId="659A8B2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16 + 2.82</w:t>
            </w:r>
          </w:p>
        </w:tc>
      </w:tr>
      <w:tr w:rsidR="007C4222" w14:paraId="0A4B279A"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384B8571" w14:textId="77777777" w:rsidR="007C4222" w:rsidRPr="00600FB0" w:rsidRDefault="007C4222" w:rsidP="00600FB0">
            <w:pPr>
              <w:jc w:val="center"/>
              <w:rPr>
                <w:rFonts w:ascii="Arial" w:hAnsi="Arial" w:cs="Arial"/>
                <w:b w:val="0"/>
                <w:bCs w:val="0"/>
                <w:sz w:val="18"/>
                <w:szCs w:val="18"/>
              </w:rPr>
            </w:pPr>
          </w:p>
        </w:tc>
        <w:tc>
          <w:tcPr>
            <w:tcW w:w="2254" w:type="dxa"/>
          </w:tcPr>
          <w:p w14:paraId="444B1DC9"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100</w:t>
            </w:r>
          </w:p>
        </w:tc>
        <w:tc>
          <w:tcPr>
            <w:tcW w:w="2254" w:type="dxa"/>
          </w:tcPr>
          <w:p w14:paraId="10C28AC7"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22 + 2.20</w:t>
            </w:r>
          </w:p>
        </w:tc>
        <w:tc>
          <w:tcPr>
            <w:tcW w:w="2254" w:type="dxa"/>
          </w:tcPr>
          <w:p w14:paraId="1252B735"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12 + 0.70</w:t>
            </w:r>
          </w:p>
        </w:tc>
      </w:tr>
      <w:tr w:rsidR="007C4222" w14:paraId="506BE16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003AED08" w14:textId="77777777" w:rsidR="007C4222" w:rsidRPr="00600FB0" w:rsidRDefault="007C4222" w:rsidP="00600FB0">
            <w:pPr>
              <w:jc w:val="center"/>
              <w:rPr>
                <w:rFonts w:ascii="Arial" w:hAnsi="Arial" w:cs="Arial"/>
                <w:b w:val="0"/>
                <w:bCs w:val="0"/>
                <w:sz w:val="18"/>
                <w:szCs w:val="18"/>
              </w:rPr>
            </w:pPr>
          </w:p>
        </w:tc>
        <w:tc>
          <w:tcPr>
            <w:tcW w:w="2254" w:type="dxa"/>
          </w:tcPr>
          <w:p w14:paraId="6FA3F437"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50</w:t>
            </w:r>
          </w:p>
        </w:tc>
        <w:tc>
          <w:tcPr>
            <w:tcW w:w="2254" w:type="dxa"/>
          </w:tcPr>
          <w:p w14:paraId="7FDCD78A"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17 + 0.8</w:t>
            </w:r>
          </w:p>
        </w:tc>
        <w:tc>
          <w:tcPr>
            <w:tcW w:w="2254" w:type="dxa"/>
          </w:tcPr>
          <w:p w14:paraId="5645D792"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 + 0.00</w:t>
            </w:r>
          </w:p>
        </w:tc>
      </w:tr>
      <w:bookmarkEnd w:id="27"/>
    </w:tbl>
    <w:p w14:paraId="55B3967E" w14:textId="77777777" w:rsidR="007C4222" w:rsidRDefault="007C4222" w:rsidP="00D344A2">
      <w:pPr>
        <w:jc w:val="both"/>
      </w:pPr>
    </w:p>
    <w:p w14:paraId="4421CFC6" w14:textId="77777777" w:rsidR="007C4222" w:rsidRDefault="007C4222" w:rsidP="00D344A2">
      <w:pPr>
        <w:jc w:val="both"/>
        <w:rPr>
          <w:rFonts w:ascii="Arial" w:hAnsi="Arial" w:cs="Arial"/>
          <w:sz w:val="20"/>
          <w:szCs w:val="20"/>
        </w:rPr>
      </w:pPr>
    </w:p>
    <w:p w14:paraId="602CB911" w14:textId="77777777" w:rsidR="007C4222" w:rsidRDefault="008006B3" w:rsidP="00D344A2">
      <w:pPr>
        <w:pStyle w:val="Heading2"/>
        <w:contextualSpacing/>
        <w:jc w:val="both"/>
        <w:rPr>
          <w:rFonts w:cs="Arial"/>
          <w:sz w:val="20"/>
          <w:szCs w:val="20"/>
        </w:rPr>
      </w:pPr>
      <w:r>
        <w:rPr>
          <w:rFonts w:cs="Arial"/>
          <w:sz w:val="20"/>
          <w:szCs w:val="20"/>
        </w:rPr>
        <w:t>Acute oral toxicity evaluation</w:t>
      </w:r>
    </w:p>
    <w:p w14:paraId="4F515ED6" w14:textId="77777777" w:rsidR="007C4222" w:rsidRDefault="007C4222" w:rsidP="00D344A2">
      <w:pPr>
        <w:kinsoku w:val="0"/>
        <w:overflowPunct w:val="0"/>
        <w:autoSpaceDE w:val="0"/>
        <w:autoSpaceDN w:val="0"/>
        <w:adjustRightInd w:val="0"/>
        <w:spacing w:line="261" w:lineRule="auto"/>
        <w:ind w:right="106"/>
        <w:jc w:val="both"/>
      </w:pPr>
    </w:p>
    <w:p w14:paraId="6C661A4D" w14:textId="59AA36DC" w:rsidR="00311A05" w:rsidRPr="00311A05" w:rsidRDefault="00311A05" w:rsidP="00D344A2">
      <w:pPr>
        <w:kinsoku w:val="0"/>
        <w:overflowPunct w:val="0"/>
        <w:autoSpaceDE w:val="0"/>
        <w:autoSpaceDN w:val="0"/>
        <w:adjustRightInd w:val="0"/>
        <w:spacing w:line="261" w:lineRule="auto"/>
        <w:ind w:right="106"/>
        <w:jc w:val="both"/>
        <w:rPr>
          <w:rFonts w:ascii="Arial" w:hAnsi="Arial" w:cs="Arial"/>
          <w:i/>
          <w:iCs/>
          <w:color w:val="5B9BD5" w:themeColor="accent1"/>
          <w:sz w:val="20"/>
          <w:szCs w:val="20"/>
        </w:rPr>
      </w:pPr>
      <w:r w:rsidRPr="00FC28F3">
        <w:rPr>
          <w:rFonts w:ascii="Arial" w:hAnsi="Arial" w:cs="Arial"/>
          <w:i/>
          <w:iCs/>
          <w:color w:val="5B9BD5" w:themeColor="accent1"/>
          <w:sz w:val="20"/>
          <w:szCs w:val="20"/>
          <w:highlight w:val="yellow"/>
        </w:rPr>
        <w:t xml:space="preserve">Table </w:t>
      </w:r>
      <w:r w:rsidR="00FC28F3" w:rsidRPr="00FC28F3">
        <w:rPr>
          <w:rFonts w:ascii="Arial" w:hAnsi="Arial" w:cs="Arial"/>
          <w:i/>
          <w:iCs/>
          <w:color w:val="5B9BD5" w:themeColor="accent1"/>
          <w:sz w:val="20"/>
          <w:szCs w:val="20"/>
          <w:highlight w:val="yellow"/>
        </w:rPr>
        <w:t>5</w:t>
      </w:r>
      <w:r w:rsidRPr="00FC28F3">
        <w:rPr>
          <w:rFonts w:ascii="Arial" w:hAnsi="Arial" w:cs="Arial"/>
          <w:i/>
          <w:iCs/>
          <w:color w:val="5B9BD5" w:themeColor="accent1"/>
          <w:sz w:val="20"/>
          <w:szCs w:val="20"/>
          <w:highlight w:val="yellow"/>
        </w:rPr>
        <w:t>: Acute toxicity results</w:t>
      </w:r>
      <w:r w:rsidR="00600FB0" w:rsidRPr="00FC28F3">
        <w:rPr>
          <w:rFonts w:ascii="Arial" w:hAnsi="Arial" w:cs="Arial"/>
          <w:i/>
          <w:iCs/>
          <w:color w:val="5B9BD5" w:themeColor="accent1"/>
          <w:sz w:val="20"/>
          <w:szCs w:val="20"/>
          <w:highlight w:val="yellow"/>
        </w:rPr>
        <w:t xml:space="preserve"> from</w:t>
      </w:r>
      <w:r w:rsidR="00600FB0">
        <w:rPr>
          <w:rFonts w:ascii="Arial" w:hAnsi="Arial" w:cs="Arial"/>
          <w:i/>
          <w:iCs/>
          <w:color w:val="5B9BD5" w:themeColor="accent1"/>
          <w:sz w:val="20"/>
          <w:szCs w:val="20"/>
        </w:rPr>
        <w:t xml:space="preserve"> the amended limit test</w:t>
      </w:r>
    </w:p>
    <w:tbl>
      <w:tblPr>
        <w:tblStyle w:val="ListTable21"/>
        <w:tblW w:w="8217" w:type="dxa"/>
        <w:tblLook w:val="04A0" w:firstRow="1" w:lastRow="0" w:firstColumn="1" w:lastColumn="0" w:noHBand="0" w:noVBand="1"/>
      </w:tblPr>
      <w:tblGrid>
        <w:gridCol w:w="1555"/>
        <w:gridCol w:w="992"/>
        <w:gridCol w:w="1134"/>
        <w:gridCol w:w="1134"/>
        <w:gridCol w:w="1134"/>
        <w:gridCol w:w="1134"/>
        <w:gridCol w:w="1134"/>
      </w:tblGrid>
      <w:tr w:rsidR="00C62C59" w14:paraId="0A33FB68" w14:textId="77777777" w:rsidTr="008B07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CE03ED3" w14:textId="77777777" w:rsidR="00C62C59" w:rsidRDefault="00C62C59" w:rsidP="00D344A2">
            <w:pPr>
              <w:jc w:val="both"/>
              <w:rPr>
                <w:rFonts w:ascii="Arial" w:hAnsi="Arial" w:cs="Arial"/>
                <w:b w:val="0"/>
                <w:bCs w:val="0"/>
                <w:color w:val="000000"/>
                <w:sz w:val="18"/>
                <w:szCs w:val="18"/>
              </w:rPr>
            </w:pPr>
            <w:r>
              <w:rPr>
                <w:rFonts w:ascii="Arial" w:hAnsi="Arial" w:cs="Arial"/>
                <w:color w:val="000000"/>
                <w:sz w:val="18"/>
                <w:szCs w:val="18"/>
              </w:rPr>
              <w:t>Observed parameter</w:t>
            </w:r>
          </w:p>
        </w:tc>
        <w:tc>
          <w:tcPr>
            <w:tcW w:w="6662" w:type="dxa"/>
            <w:gridSpan w:val="6"/>
          </w:tcPr>
          <w:p w14:paraId="61D6D847" w14:textId="236A5B20" w:rsidR="00C62C59" w:rsidRDefault="00C62C59" w:rsidP="00D344A2">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                              </w:t>
            </w:r>
            <w:r w:rsidR="00266CD7">
              <w:rPr>
                <w:rFonts w:ascii="Arial" w:hAnsi="Arial" w:cs="Arial"/>
                <w:color w:val="000000"/>
                <w:sz w:val="18"/>
                <w:szCs w:val="18"/>
              </w:rPr>
              <w:t xml:space="preserve">Day of </w:t>
            </w:r>
            <w:r w:rsidR="00A21894">
              <w:rPr>
                <w:rFonts w:ascii="Arial" w:hAnsi="Arial" w:cs="Arial"/>
                <w:color w:val="000000"/>
                <w:sz w:val="18"/>
                <w:szCs w:val="18"/>
              </w:rPr>
              <w:t>observation</w:t>
            </w:r>
          </w:p>
        </w:tc>
      </w:tr>
      <w:tr w:rsidR="00C62C59" w14:paraId="073C0DBE"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07406F92" w14:textId="77777777" w:rsidR="00C62C59" w:rsidRDefault="00C62C59" w:rsidP="00D344A2">
            <w:pPr>
              <w:jc w:val="both"/>
              <w:rPr>
                <w:rFonts w:ascii="Arial" w:hAnsi="Arial" w:cs="Arial"/>
                <w:sz w:val="18"/>
                <w:szCs w:val="18"/>
              </w:rPr>
            </w:pPr>
          </w:p>
        </w:tc>
        <w:tc>
          <w:tcPr>
            <w:tcW w:w="992" w:type="dxa"/>
            <w:noWrap/>
          </w:tcPr>
          <w:p w14:paraId="4E04DCA6" w14:textId="12689682"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w:t>
            </w:r>
          </w:p>
        </w:tc>
        <w:tc>
          <w:tcPr>
            <w:tcW w:w="1134" w:type="dxa"/>
            <w:noWrap/>
          </w:tcPr>
          <w:p w14:paraId="2B91B761" w14:textId="7FF7B2B7"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4</w:t>
            </w:r>
          </w:p>
        </w:tc>
        <w:tc>
          <w:tcPr>
            <w:tcW w:w="1134" w:type="dxa"/>
            <w:noWrap/>
          </w:tcPr>
          <w:p w14:paraId="1034CD5F" w14:textId="1C0D7E24"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w:t>
            </w:r>
          </w:p>
        </w:tc>
        <w:tc>
          <w:tcPr>
            <w:tcW w:w="1134" w:type="dxa"/>
            <w:noWrap/>
          </w:tcPr>
          <w:p w14:paraId="54B773C7" w14:textId="623DD670"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10</w:t>
            </w:r>
          </w:p>
        </w:tc>
        <w:tc>
          <w:tcPr>
            <w:tcW w:w="1134" w:type="dxa"/>
          </w:tcPr>
          <w:p w14:paraId="1CE170F6" w14:textId="100FD504"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14</w:t>
            </w:r>
          </w:p>
        </w:tc>
        <w:tc>
          <w:tcPr>
            <w:tcW w:w="1134" w:type="dxa"/>
            <w:noWrap/>
          </w:tcPr>
          <w:p w14:paraId="0FB754C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Control</w:t>
            </w:r>
          </w:p>
        </w:tc>
      </w:tr>
      <w:tr w:rsidR="00C62C59" w14:paraId="6EC3B49A"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5E7F563"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Food intake</w:t>
            </w:r>
          </w:p>
        </w:tc>
        <w:tc>
          <w:tcPr>
            <w:tcW w:w="992" w:type="dxa"/>
            <w:noWrap/>
          </w:tcPr>
          <w:p w14:paraId="4EBD95C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5A26EF3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22B3221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D2F866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3344D4AC"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729F927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5D308035"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4F46710"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Water intake</w:t>
            </w:r>
          </w:p>
        </w:tc>
        <w:tc>
          <w:tcPr>
            <w:tcW w:w="992" w:type="dxa"/>
            <w:noWrap/>
          </w:tcPr>
          <w:p w14:paraId="0F22B90B"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221818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1A72400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2C0E2FCB"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374C58E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06FAC3A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72EA4654"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8B36758"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Death</w:t>
            </w:r>
          </w:p>
        </w:tc>
        <w:tc>
          <w:tcPr>
            <w:tcW w:w="992" w:type="dxa"/>
            <w:noWrap/>
          </w:tcPr>
          <w:p w14:paraId="059058A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0DA52B80"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14828F84"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6FC86F6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tcPr>
          <w:p w14:paraId="7766A1F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375FD7E5"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r>
      <w:tr w:rsidR="00C62C59" w14:paraId="06DCA71C"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098F210"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Breathing</w:t>
            </w:r>
          </w:p>
        </w:tc>
        <w:tc>
          <w:tcPr>
            <w:tcW w:w="992" w:type="dxa"/>
            <w:noWrap/>
          </w:tcPr>
          <w:p w14:paraId="268B18D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145DA4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2FD4E47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154E567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79570E6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1BCF9D9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545481C4"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5A039212" w14:textId="0DB22277" w:rsidR="00C62C59" w:rsidRDefault="00E04FC5" w:rsidP="00D344A2">
            <w:pPr>
              <w:jc w:val="both"/>
              <w:rPr>
                <w:rFonts w:ascii="Arial" w:hAnsi="Arial" w:cs="Arial"/>
                <w:color w:val="000000"/>
                <w:sz w:val="18"/>
                <w:szCs w:val="18"/>
              </w:rPr>
            </w:pPr>
            <w:r>
              <w:rPr>
                <w:rFonts w:ascii="Arial" w:hAnsi="Arial" w:cs="Arial"/>
                <w:color w:val="000000"/>
                <w:sz w:val="18"/>
                <w:szCs w:val="18"/>
              </w:rPr>
              <w:t>Diarrhoea</w:t>
            </w:r>
          </w:p>
        </w:tc>
        <w:tc>
          <w:tcPr>
            <w:tcW w:w="992" w:type="dxa"/>
            <w:noWrap/>
          </w:tcPr>
          <w:p w14:paraId="56079F85"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7D7F892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20BCB2B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02202C50"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tcPr>
          <w:p w14:paraId="27509DC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5AC1B54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C62C59" w14:paraId="3555232A"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9032AA6"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Urination</w:t>
            </w:r>
          </w:p>
        </w:tc>
        <w:tc>
          <w:tcPr>
            <w:tcW w:w="992" w:type="dxa"/>
            <w:noWrap/>
          </w:tcPr>
          <w:p w14:paraId="1987F21B"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0F5FBA7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6680699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675F152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45BB507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3E0A89CC"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48A16A73"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E32C3BF"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Skin colour</w:t>
            </w:r>
          </w:p>
        </w:tc>
        <w:tc>
          <w:tcPr>
            <w:tcW w:w="992" w:type="dxa"/>
            <w:noWrap/>
          </w:tcPr>
          <w:p w14:paraId="1C8C46CA"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C846309"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0DD83E3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3BD6A32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343F238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7543E47C"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0546852E"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37D8BED"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Drowsiness</w:t>
            </w:r>
          </w:p>
        </w:tc>
        <w:tc>
          <w:tcPr>
            <w:tcW w:w="992" w:type="dxa"/>
            <w:noWrap/>
          </w:tcPr>
          <w:p w14:paraId="326DEE3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E59B72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12D381C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57273EE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tcPr>
          <w:p w14:paraId="17A5354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7F9CD5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C62C59" w14:paraId="7CFF26F4"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D6FE6A3"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Erection of Fur</w:t>
            </w:r>
          </w:p>
        </w:tc>
        <w:tc>
          <w:tcPr>
            <w:tcW w:w="992" w:type="dxa"/>
            <w:noWrap/>
          </w:tcPr>
          <w:p w14:paraId="48EFEC8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751034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9F7A2A5"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6C27645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tcPr>
          <w:p w14:paraId="3E4133A0"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666648AE"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bl>
    <w:p w14:paraId="7FB011A7" w14:textId="77777777" w:rsidR="007C4222" w:rsidRDefault="007C4222" w:rsidP="00D344A2">
      <w:pPr>
        <w:kinsoku w:val="0"/>
        <w:overflowPunct w:val="0"/>
        <w:autoSpaceDE w:val="0"/>
        <w:autoSpaceDN w:val="0"/>
        <w:adjustRightInd w:val="0"/>
        <w:spacing w:line="261" w:lineRule="auto"/>
        <w:ind w:right="106"/>
        <w:jc w:val="both"/>
      </w:pPr>
    </w:p>
    <w:p w14:paraId="20A232AC" w14:textId="0F57D4E4" w:rsidR="007C4222" w:rsidRDefault="008006B3" w:rsidP="00D344A2">
      <w:pPr>
        <w:kinsoku w:val="0"/>
        <w:overflowPunct w:val="0"/>
        <w:autoSpaceDE w:val="0"/>
        <w:autoSpaceDN w:val="0"/>
        <w:adjustRightInd w:val="0"/>
        <w:spacing w:line="261" w:lineRule="auto"/>
        <w:ind w:right="106"/>
        <w:jc w:val="both"/>
        <w:rPr>
          <w:rFonts w:ascii="Arial" w:hAnsi="Arial" w:cs="Arial"/>
          <w:sz w:val="20"/>
          <w:szCs w:val="20"/>
          <w:lang w:bidi="en-IN"/>
        </w:rPr>
      </w:pPr>
      <w:r>
        <w:rPr>
          <w:rFonts w:ascii="Arial" w:hAnsi="Arial" w:cs="Arial"/>
          <w:sz w:val="20"/>
          <w:szCs w:val="20"/>
        </w:rPr>
        <w:t>R</w:t>
      </w:r>
      <w:r>
        <w:rPr>
          <w:rFonts w:ascii="Arial" w:hAnsi="Arial" w:cs="Arial"/>
          <w:sz w:val="20"/>
          <w:szCs w:val="20"/>
          <w:lang w:bidi="en-IN"/>
        </w:rPr>
        <w:t xml:space="preserve">esults and interpretation were done by a qualified veterinary expert. Our findings indicated that the extract at doses up to </w:t>
      </w:r>
      <w:r w:rsidR="00600FB0">
        <w:rPr>
          <w:rFonts w:ascii="Arial" w:hAnsi="Arial" w:cs="Arial"/>
          <w:sz w:val="20"/>
          <w:szCs w:val="20"/>
          <w:lang w:bidi="en-IN"/>
        </w:rPr>
        <w:t>4</w:t>
      </w:r>
      <w:r>
        <w:rPr>
          <w:rFonts w:ascii="Arial" w:hAnsi="Arial" w:cs="Arial"/>
          <w:sz w:val="20"/>
          <w:szCs w:val="20"/>
          <w:lang w:bidi="en-IN"/>
        </w:rPr>
        <w:t xml:space="preserve">000 mg/kg body weight imparted neither visible signs of toxicity nor mortality in rats, suggesting </w:t>
      </w:r>
      <w:r w:rsidR="00294ACB">
        <w:rPr>
          <w:rFonts w:ascii="Arial" w:hAnsi="Arial" w:cs="Arial"/>
          <w:sz w:val="20"/>
          <w:szCs w:val="20"/>
          <w:lang w:bidi="en-IN"/>
        </w:rPr>
        <w:t xml:space="preserve">that </w:t>
      </w:r>
      <w:r w:rsidR="00294ACB" w:rsidRPr="007C7631">
        <w:rPr>
          <w:rFonts w:ascii="Arial" w:hAnsi="Arial" w:cs="Arial"/>
          <w:i/>
          <w:sz w:val="20"/>
          <w:szCs w:val="20"/>
          <w:lang w:bidi="en-IN"/>
        </w:rPr>
        <w:t>P. curatellifolia</w:t>
      </w:r>
      <w:r w:rsidR="00294ACB">
        <w:rPr>
          <w:rFonts w:ascii="Arial" w:hAnsi="Arial" w:cs="Arial"/>
          <w:sz w:val="20"/>
          <w:szCs w:val="20"/>
          <w:lang w:bidi="en-IN"/>
        </w:rPr>
        <w:t xml:space="preserve"> is of low </w:t>
      </w:r>
      <w:r w:rsidR="00294ACB" w:rsidRPr="00FC28F3">
        <w:rPr>
          <w:rFonts w:ascii="Arial" w:hAnsi="Arial" w:cs="Arial"/>
          <w:sz w:val="20"/>
          <w:szCs w:val="20"/>
          <w:highlight w:val="yellow"/>
          <w:lang w:bidi="en-IN"/>
        </w:rPr>
        <w:t>oral toxicity</w:t>
      </w:r>
      <w:r w:rsidR="00FC28F3" w:rsidRPr="00FC28F3">
        <w:rPr>
          <w:rFonts w:ascii="Arial" w:hAnsi="Arial" w:cs="Arial"/>
          <w:sz w:val="20"/>
          <w:szCs w:val="20"/>
          <w:highlight w:val="yellow"/>
          <w:lang w:bidi="en-IN"/>
        </w:rPr>
        <w:t xml:space="preserve"> (Table 5)</w:t>
      </w:r>
      <w:r w:rsidRPr="00FC28F3">
        <w:rPr>
          <w:rFonts w:ascii="Arial" w:hAnsi="Arial" w:cs="Arial"/>
          <w:sz w:val="20"/>
          <w:szCs w:val="20"/>
          <w:highlight w:val="yellow"/>
          <w:lang w:bidi="en-IN"/>
        </w:rPr>
        <w:t>. No</w:t>
      </w:r>
      <w:r>
        <w:rPr>
          <w:rFonts w:ascii="Arial" w:hAnsi="Arial" w:cs="Arial"/>
          <w:sz w:val="20"/>
          <w:szCs w:val="20"/>
          <w:lang w:bidi="en-IN"/>
        </w:rPr>
        <w:t xml:space="preserve"> animals were withdrawn from the study for any reason during the observation period.</w:t>
      </w:r>
      <w:r w:rsidR="00600FB0">
        <w:rPr>
          <w:rFonts w:ascii="Arial" w:hAnsi="Arial" w:cs="Arial"/>
          <w:sz w:val="20"/>
          <w:szCs w:val="20"/>
          <w:lang w:bidi="en-IN"/>
        </w:rPr>
        <w:t xml:space="preserve"> According to the Hodge and Steiner toxicity classification, this classifies the extract as biologically safe for oral use.</w:t>
      </w:r>
      <w:r>
        <w:rPr>
          <w:rFonts w:ascii="Arial" w:hAnsi="Arial" w:cs="Arial"/>
          <w:sz w:val="20"/>
          <w:szCs w:val="20"/>
          <w:lang w:bidi="en-IN"/>
        </w:rPr>
        <w:t xml:space="preserve"> This therefore implies that the use of high extract concentrations to achieve the desired bioactivity effects will not pose any toxicity in </w:t>
      </w:r>
      <w:r w:rsidR="0012714F">
        <w:rPr>
          <w:rFonts w:ascii="Arial" w:hAnsi="Arial" w:cs="Arial"/>
          <w:i/>
          <w:sz w:val="20"/>
          <w:szCs w:val="20"/>
          <w:lang w:bidi="en-IN"/>
        </w:rPr>
        <w:t>P. curatellifolia</w:t>
      </w:r>
      <w:r>
        <w:rPr>
          <w:rFonts w:ascii="Arial" w:hAnsi="Arial" w:cs="Arial"/>
          <w:sz w:val="20"/>
          <w:szCs w:val="20"/>
          <w:lang w:bidi="en-IN"/>
        </w:rPr>
        <w:t xml:space="preserve"> based treatments. </w:t>
      </w:r>
    </w:p>
    <w:p w14:paraId="097EC5D5" w14:textId="27B89F70" w:rsidR="007C4222" w:rsidRPr="00CF01E4" w:rsidRDefault="007C4222" w:rsidP="00D344A2">
      <w:pPr>
        <w:kinsoku w:val="0"/>
        <w:overflowPunct w:val="0"/>
        <w:autoSpaceDE w:val="0"/>
        <w:autoSpaceDN w:val="0"/>
        <w:adjustRightInd w:val="0"/>
        <w:spacing w:line="261" w:lineRule="auto"/>
        <w:ind w:right="106"/>
        <w:jc w:val="both"/>
        <w:rPr>
          <w:rFonts w:ascii="Arial" w:hAnsi="Arial" w:cs="Arial"/>
          <w:sz w:val="20"/>
          <w:szCs w:val="20"/>
        </w:rPr>
      </w:pPr>
    </w:p>
    <w:p w14:paraId="7168DB66" w14:textId="3070A498" w:rsidR="00CF01E4" w:rsidRPr="00CF01E4" w:rsidRDefault="00FD2BF9" w:rsidP="00CF01E4">
      <w:pPr>
        <w:pStyle w:val="Heading2"/>
        <w:rPr>
          <w:sz w:val="20"/>
          <w:szCs w:val="20"/>
        </w:rPr>
      </w:pPr>
      <w:r w:rsidRPr="00CF01E4">
        <w:rPr>
          <w:sz w:val="20"/>
          <w:szCs w:val="20"/>
        </w:rPr>
        <w:t>Rats’</w:t>
      </w:r>
      <w:r w:rsidR="00CF01E4" w:rsidRPr="00CF01E4">
        <w:rPr>
          <w:sz w:val="20"/>
          <w:szCs w:val="20"/>
        </w:rPr>
        <w:t xml:space="preserve"> weights observations</w:t>
      </w:r>
    </w:p>
    <w:p w14:paraId="38D0C0D9" w14:textId="4C464AD2" w:rsidR="00CF01E4" w:rsidRDefault="00CF01E4" w:rsidP="00D344A2">
      <w:pPr>
        <w:kinsoku w:val="0"/>
        <w:overflowPunct w:val="0"/>
        <w:autoSpaceDE w:val="0"/>
        <w:autoSpaceDN w:val="0"/>
        <w:adjustRightInd w:val="0"/>
        <w:spacing w:line="261" w:lineRule="auto"/>
        <w:ind w:right="106"/>
        <w:jc w:val="both"/>
        <w:rPr>
          <w:rFonts w:ascii="Arial" w:hAnsi="Arial" w:cs="Arial"/>
          <w:sz w:val="20"/>
          <w:szCs w:val="20"/>
        </w:rPr>
      </w:pPr>
      <w:r w:rsidRPr="00CF01E4">
        <w:rPr>
          <w:rFonts w:ascii="Arial" w:hAnsi="Arial" w:cs="Arial"/>
          <w:sz w:val="20"/>
          <w:szCs w:val="20"/>
        </w:rPr>
        <w:t xml:space="preserve">In </w:t>
      </w:r>
      <w:r>
        <w:rPr>
          <w:rFonts w:ascii="Arial" w:hAnsi="Arial" w:cs="Arial"/>
          <w:sz w:val="20"/>
          <w:szCs w:val="20"/>
        </w:rPr>
        <w:t xml:space="preserve">oral </w:t>
      </w:r>
      <w:r w:rsidRPr="00CF01E4">
        <w:rPr>
          <w:rFonts w:ascii="Arial" w:hAnsi="Arial" w:cs="Arial"/>
          <w:sz w:val="20"/>
          <w:szCs w:val="20"/>
        </w:rPr>
        <w:t xml:space="preserve">toxicity </w:t>
      </w:r>
      <w:r>
        <w:rPr>
          <w:rFonts w:ascii="Arial" w:hAnsi="Arial" w:cs="Arial"/>
          <w:sz w:val="20"/>
          <w:szCs w:val="20"/>
        </w:rPr>
        <w:t>assays</w:t>
      </w:r>
      <w:r w:rsidRPr="00CF01E4">
        <w:rPr>
          <w:rFonts w:ascii="Arial" w:hAnsi="Arial" w:cs="Arial"/>
          <w:sz w:val="20"/>
          <w:szCs w:val="20"/>
        </w:rPr>
        <w:t xml:space="preserve">, </w:t>
      </w:r>
      <w:r>
        <w:rPr>
          <w:rFonts w:ascii="Arial" w:hAnsi="Arial" w:cs="Arial"/>
          <w:sz w:val="20"/>
          <w:szCs w:val="20"/>
        </w:rPr>
        <w:t xml:space="preserve">observation of </w:t>
      </w:r>
      <w:r w:rsidRPr="00CF01E4">
        <w:rPr>
          <w:rFonts w:ascii="Arial" w:hAnsi="Arial" w:cs="Arial"/>
          <w:sz w:val="20"/>
          <w:szCs w:val="20"/>
        </w:rPr>
        <w:t xml:space="preserve">body weight </w:t>
      </w:r>
      <w:r w:rsidR="00FD2BF9" w:rsidRPr="00CF01E4">
        <w:rPr>
          <w:rFonts w:ascii="Arial" w:hAnsi="Arial" w:cs="Arial"/>
          <w:sz w:val="20"/>
          <w:szCs w:val="20"/>
        </w:rPr>
        <w:t>is</w:t>
      </w:r>
      <w:r w:rsidRPr="00CF01E4">
        <w:rPr>
          <w:rFonts w:ascii="Arial" w:hAnsi="Arial" w:cs="Arial"/>
          <w:sz w:val="20"/>
          <w:szCs w:val="20"/>
        </w:rPr>
        <w:t xml:space="preserve"> a simple and sensitive reflection of toxicity after exposure of study animals to materials. Weight loss or gain of animals is </w:t>
      </w:r>
      <w:r>
        <w:rPr>
          <w:rFonts w:ascii="Arial" w:hAnsi="Arial" w:cs="Arial"/>
          <w:sz w:val="20"/>
          <w:szCs w:val="20"/>
        </w:rPr>
        <w:t xml:space="preserve">normally an </w:t>
      </w:r>
      <w:r w:rsidRPr="00CF01E4">
        <w:rPr>
          <w:rFonts w:ascii="Arial" w:hAnsi="Arial" w:cs="Arial"/>
          <w:sz w:val="20"/>
          <w:szCs w:val="20"/>
        </w:rPr>
        <w:t xml:space="preserve">indicative </w:t>
      </w:r>
      <w:r>
        <w:rPr>
          <w:rFonts w:ascii="Arial" w:hAnsi="Arial" w:cs="Arial"/>
          <w:sz w:val="20"/>
          <w:szCs w:val="20"/>
        </w:rPr>
        <w:t xml:space="preserve">marker </w:t>
      </w:r>
      <w:r w:rsidRPr="00CF01E4">
        <w:rPr>
          <w:rFonts w:ascii="Arial" w:hAnsi="Arial" w:cs="Arial"/>
          <w:sz w:val="20"/>
          <w:szCs w:val="20"/>
        </w:rPr>
        <w:t xml:space="preserve">of stress, failure to feed or a response to observed or underlying adverse health conditions. </w:t>
      </w:r>
      <w:r>
        <w:rPr>
          <w:rFonts w:ascii="Arial" w:hAnsi="Arial" w:cs="Arial"/>
          <w:sz w:val="20"/>
          <w:szCs w:val="20"/>
        </w:rPr>
        <w:t>In t</w:t>
      </w:r>
      <w:r w:rsidRPr="00CF01E4">
        <w:rPr>
          <w:rFonts w:ascii="Arial" w:hAnsi="Arial" w:cs="Arial"/>
          <w:sz w:val="20"/>
          <w:szCs w:val="20"/>
        </w:rPr>
        <w:t>he present study, the lyophilised extracts did not signiﬁcantly affect normal body weight growth during the study period suggesting that the extract did not alter rat growth at the concentration investigated</w:t>
      </w:r>
      <w:r>
        <w:rPr>
          <w:rFonts w:ascii="Arial" w:hAnsi="Arial" w:cs="Arial"/>
          <w:sz w:val="20"/>
          <w:szCs w:val="20"/>
        </w:rPr>
        <w:t>.</w:t>
      </w:r>
    </w:p>
    <w:p w14:paraId="28B68EEB" w14:textId="2AF512DA" w:rsidR="00CF01E4" w:rsidRDefault="00CF01E4" w:rsidP="00D344A2">
      <w:pPr>
        <w:kinsoku w:val="0"/>
        <w:overflowPunct w:val="0"/>
        <w:autoSpaceDE w:val="0"/>
        <w:autoSpaceDN w:val="0"/>
        <w:adjustRightInd w:val="0"/>
        <w:spacing w:line="261" w:lineRule="auto"/>
        <w:ind w:right="106"/>
        <w:jc w:val="both"/>
        <w:rPr>
          <w:noProof/>
          <w:lang w:val="en-US" w:eastAsia="en-US"/>
        </w:rPr>
      </w:pPr>
    </w:p>
    <w:p w14:paraId="7BF9AFF8" w14:textId="1B80EA40" w:rsidR="00CF01E4" w:rsidRDefault="00CF01E4" w:rsidP="00D344A2">
      <w:pPr>
        <w:kinsoku w:val="0"/>
        <w:overflowPunct w:val="0"/>
        <w:autoSpaceDE w:val="0"/>
        <w:autoSpaceDN w:val="0"/>
        <w:adjustRightInd w:val="0"/>
        <w:spacing w:line="261" w:lineRule="auto"/>
        <w:ind w:right="106"/>
        <w:jc w:val="both"/>
        <w:rPr>
          <w:rFonts w:ascii="Arial" w:hAnsi="Arial" w:cs="Arial"/>
          <w:sz w:val="20"/>
          <w:szCs w:val="20"/>
        </w:rPr>
      </w:pPr>
      <w:r>
        <w:rPr>
          <w:rFonts w:ascii="Arial" w:hAnsi="Arial" w:cs="Arial"/>
          <w:noProof/>
          <w:sz w:val="20"/>
          <w:szCs w:val="20"/>
          <w:lang w:val="en-ZA" w:eastAsia="en-ZA"/>
        </w:rPr>
        <w:lastRenderedPageBreak/>
        <w:drawing>
          <wp:inline distT="0" distB="0" distL="0" distR="0" wp14:anchorId="3BA7641B" wp14:editId="6ED790A7">
            <wp:extent cx="5486400" cy="3200400"/>
            <wp:effectExtent l="0" t="0" r="0" b="0"/>
            <wp:docPr id="126755676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03C4E9" w14:textId="4DFB673B" w:rsidR="00A21894" w:rsidRPr="00600FB0" w:rsidRDefault="00600FB0" w:rsidP="00D344A2">
      <w:pPr>
        <w:kinsoku w:val="0"/>
        <w:overflowPunct w:val="0"/>
        <w:autoSpaceDE w:val="0"/>
        <w:autoSpaceDN w:val="0"/>
        <w:adjustRightInd w:val="0"/>
        <w:spacing w:line="261" w:lineRule="auto"/>
        <w:ind w:right="106"/>
        <w:jc w:val="both"/>
        <w:rPr>
          <w:rFonts w:ascii="Arial" w:hAnsi="Arial" w:cs="Arial"/>
          <w:i/>
          <w:iCs/>
          <w:color w:val="5B9BD5" w:themeColor="accent1"/>
          <w:sz w:val="20"/>
          <w:szCs w:val="20"/>
        </w:rPr>
      </w:pPr>
      <w:r w:rsidRPr="00600FB0">
        <w:rPr>
          <w:rFonts w:ascii="Arial" w:hAnsi="Arial" w:cs="Arial"/>
          <w:i/>
          <w:iCs/>
          <w:color w:val="5B9BD5" w:themeColor="accent1"/>
          <w:sz w:val="20"/>
          <w:szCs w:val="20"/>
        </w:rPr>
        <w:t xml:space="preserve">Figure 3: observed </w:t>
      </w:r>
      <w:r w:rsidR="00FD2BF9" w:rsidRPr="00600FB0">
        <w:rPr>
          <w:rFonts w:ascii="Arial" w:hAnsi="Arial" w:cs="Arial"/>
          <w:i/>
          <w:iCs/>
          <w:color w:val="5B9BD5" w:themeColor="accent1"/>
          <w:sz w:val="20"/>
          <w:szCs w:val="20"/>
        </w:rPr>
        <w:t>rats’</w:t>
      </w:r>
      <w:r w:rsidRPr="00600FB0">
        <w:rPr>
          <w:rFonts w:ascii="Arial" w:hAnsi="Arial" w:cs="Arial"/>
          <w:i/>
          <w:iCs/>
          <w:color w:val="5B9BD5" w:themeColor="accent1"/>
          <w:sz w:val="20"/>
          <w:szCs w:val="20"/>
        </w:rPr>
        <w:t xml:space="preserve"> weights over the toxicity evaluation </w:t>
      </w:r>
      <w:r w:rsidR="00FD2BF9" w:rsidRPr="00600FB0">
        <w:rPr>
          <w:rFonts w:ascii="Arial" w:hAnsi="Arial" w:cs="Arial"/>
          <w:i/>
          <w:iCs/>
          <w:color w:val="5B9BD5" w:themeColor="accent1"/>
          <w:sz w:val="20"/>
          <w:szCs w:val="20"/>
        </w:rPr>
        <w:t>period.</w:t>
      </w:r>
      <w:r w:rsidRPr="00600FB0">
        <w:rPr>
          <w:rFonts w:ascii="Arial" w:hAnsi="Arial" w:cs="Arial"/>
          <w:i/>
          <w:iCs/>
          <w:color w:val="5B9BD5" w:themeColor="accent1"/>
          <w:sz w:val="20"/>
          <w:szCs w:val="20"/>
        </w:rPr>
        <w:t xml:space="preserve"> </w:t>
      </w:r>
    </w:p>
    <w:p w14:paraId="5F782B95" w14:textId="77777777" w:rsidR="007C4222" w:rsidRDefault="008006B3" w:rsidP="00D344A2">
      <w:pPr>
        <w:pStyle w:val="Heading1"/>
        <w:contextualSpacing/>
        <w:jc w:val="both"/>
        <w:rPr>
          <w:rFonts w:cs="Arial"/>
          <w:szCs w:val="24"/>
        </w:rPr>
      </w:pPr>
      <w:r>
        <w:rPr>
          <w:rFonts w:cs="Arial"/>
          <w:szCs w:val="24"/>
        </w:rPr>
        <w:t>Conclusions</w:t>
      </w:r>
    </w:p>
    <w:p w14:paraId="743E3B0D" w14:textId="57FB431E" w:rsidR="007C4222" w:rsidRPr="00311A05" w:rsidRDefault="008006B3" w:rsidP="00D344A2">
      <w:pPr>
        <w:jc w:val="both"/>
        <w:rPr>
          <w:rFonts w:ascii="Arial" w:hAnsi="Arial" w:cs="Arial"/>
          <w:sz w:val="20"/>
          <w:szCs w:val="20"/>
        </w:rPr>
      </w:pPr>
      <w:r w:rsidRPr="00311A05">
        <w:rPr>
          <w:rFonts w:ascii="Arial" w:hAnsi="Arial" w:cs="Arial"/>
          <w:sz w:val="20"/>
          <w:szCs w:val="20"/>
        </w:rPr>
        <w:t xml:space="preserve">The lyophilised hydro-ethanolic extracts of </w:t>
      </w:r>
      <w:r w:rsidRPr="00A21894">
        <w:rPr>
          <w:rFonts w:ascii="Arial" w:hAnsi="Arial" w:cs="Arial"/>
          <w:i/>
          <w:iCs/>
          <w:sz w:val="20"/>
          <w:szCs w:val="20"/>
        </w:rPr>
        <w:t>P. Curatellifolia</w:t>
      </w:r>
      <w:r w:rsidR="00A21894">
        <w:rPr>
          <w:rFonts w:ascii="Arial" w:hAnsi="Arial" w:cs="Arial"/>
          <w:sz w:val="20"/>
          <w:szCs w:val="20"/>
        </w:rPr>
        <w:t xml:space="preserve"> bark </w:t>
      </w:r>
      <w:r w:rsidRPr="00311A05">
        <w:rPr>
          <w:rFonts w:ascii="Arial" w:hAnsi="Arial" w:cs="Arial"/>
          <w:sz w:val="20"/>
          <w:szCs w:val="20"/>
        </w:rPr>
        <w:t xml:space="preserve">were shown to possess considerable antibacterial and anti-inflammatory activities. The observed activities were attributable to the presence of secondary metabolites including tannins, phenolic compounds, and phytosterols. These contribute to the underlying mechanisms behind the plant’s proven effects and therapeutic activities in bacterial infections. </w:t>
      </w:r>
      <w:r w:rsidRPr="00600FB0">
        <w:rPr>
          <w:rFonts w:ascii="Arial" w:hAnsi="Arial" w:cs="Arial"/>
          <w:i/>
          <w:iCs/>
          <w:sz w:val="20"/>
          <w:szCs w:val="20"/>
        </w:rPr>
        <w:t>P. curatellifolia</w:t>
      </w:r>
      <w:r w:rsidRPr="00311A05">
        <w:rPr>
          <w:rFonts w:ascii="Arial" w:hAnsi="Arial" w:cs="Arial"/>
          <w:sz w:val="20"/>
          <w:szCs w:val="20"/>
        </w:rPr>
        <w:t xml:space="preserve"> was nontoxic at </w:t>
      </w:r>
      <w:r w:rsidR="00600FB0">
        <w:rPr>
          <w:rFonts w:ascii="Arial" w:hAnsi="Arial" w:cs="Arial"/>
          <w:sz w:val="20"/>
          <w:szCs w:val="20"/>
        </w:rPr>
        <w:t>4</w:t>
      </w:r>
      <w:r w:rsidRPr="00311A05">
        <w:rPr>
          <w:rFonts w:ascii="Arial" w:hAnsi="Arial" w:cs="Arial"/>
          <w:sz w:val="20"/>
          <w:szCs w:val="20"/>
        </w:rPr>
        <w:t>000mg/kg</w:t>
      </w:r>
      <w:r w:rsidR="00FD2BF9" w:rsidRPr="00311A05">
        <w:rPr>
          <w:rFonts w:ascii="Arial" w:hAnsi="Arial" w:cs="Arial"/>
          <w:sz w:val="20"/>
          <w:szCs w:val="20"/>
        </w:rPr>
        <w:t xml:space="preserve">. </w:t>
      </w:r>
      <w:r w:rsidRPr="00311A05">
        <w:rPr>
          <w:rFonts w:ascii="Arial" w:hAnsi="Arial" w:cs="Arial"/>
          <w:sz w:val="20"/>
          <w:szCs w:val="20"/>
        </w:rPr>
        <w:t xml:space="preserve">Our biosafety and bioactivity studies therefore authenticate the use of </w:t>
      </w:r>
      <w:r w:rsidRPr="00294ACB">
        <w:rPr>
          <w:rFonts w:ascii="Arial" w:hAnsi="Arial" w:cs="Arial"/>
          <w:i/>
          <w:iCs/>
          <w:sz w:val="20"/>
          <w:szCs w:val="20"/>
        </w:rPr>
        <w:t>P. curatellifolia</w:t>
      </w:r>
      <w:r w:rsidRPr="00311A05">
        <w:rPr>
          <w:rFonts w:ascii="Arial" w:hAnsi="Arial" w:cs="Arial"/>
          <w:sz w:val="20"/>
          <w:szCs w:val="20"/>
        </w:rPr>
        <w:t xml:space="preserve"> as a potential antibacterial and anti</w:t>
      </w:r>
      <w:r w:rsidR="00311A05">
        <w:rPr>
          <w:rFonts w:ascii="Arial" w:hAnsi="Arial" w:cs="Arial"/>
          <w:sz w:val="20"/>
          <w:szCs w:val="20"/>
        </w:rPr>
        <w:t>-</w:t>
      </w:r>
      <w:r w:rsidRPr="00311A05">
        <w:rPr>
          <w:rFonts w:ascii="Arial" w:hAnsi="Arial" w:cs="Arial"/>
          <w:sz w:val="20"/>
          <w:szCs w:val="20"/>
        </w:rPr>
        <w:t>inflammatory remedy in traditional medicine</w:t>
      </w:r>
      <w:r w:rsidR="00600FB0">
        <w:rPr>
          <w:rFonts w:ascii="Arial" w:hAnsi="Arial" w:cs="Arial"/>
          <w:sz w:val="20"/>
          <w:szCs w:val="20"/>
        </w:rPr>
        <w:t xml:space="preserve"> in the management of common end points of pneumonia.</w:t>
      </w:r>
    </w:p>
    <w:p w14:paraId="126C6753" w14:textId="77777777" w:rsidR="007C4222" w:rsidRDefault="008006B3" w:rsidP="00D344A2">
      <w:pPr>
        <w:jc w:val="both"/>
      </w:pPr>
      <w:r>
        <w:t xml:space="preserve"> </w:t>
      </w:r>
    </w:p>
    <w:p w14:paraId="4C48010B" w14:textId="77777777" w:rsidR="00346304" w:rsidRPr="00451232" w:rsidRDefault="00346304" w:rsidP="00346304">
      <w:pPr>
        <w:pStyle w:val="Heading1"/>
        <w:spacing w:after="240" w:line="276" w:lineRule="auto"/>
        <w:contextualSpacing/>
        <w:jc w:val="both"/>
        <w:rPr>
          <w:rFonts w:cs="Arial"/>
          <w:sz w:val="20"/>
          <w:szCs w:val="20"/>
        </w:rPr>
      </w:pPr>
      <w:bookmarkStart w:id="28" w:name="_Hlk180402183"/>
      <w:r w:rsidRPr="00451232">
        <w:rPr>
          <w:rFonts w:cs="Arial"/>
          <w:sz w:val="20"/>
          <w:szCs w:val="20"/>
        </w:rPr>
        <w:t>Disclaimer (Artificial intelligence)</w:t>
      </w:r>
    </w:p>
    <w:p w14:paraId="015CD738" w14:textId="77777777" w:rsidR="00346304" w:rsidRPr="00451232" w:rsidRDefault="00346304" w:rsidP="00346304">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bookmarkEnd w:id="28"/>
    <w:p w14:paraId="6668236C" w14:textId="77777777" w:rsidR="00346304" w:rsidRDefault="00346304" w:rsidP="00346304"/>
    <w:p w14:paraId="6D938012" w14:textId="77777777" w:rsidR="00261EA3" w:rsidRPr="003A29C6" w:rsidRDefault="00261EA3" w:rsidP="00261EA3">
      <w:pPr>
        <w:jc w:val="both"/>
        <w:outlineLvl w:val="0"/>
        <w:rPr>
          <w:rFonts w:ascii="Arial" w:hAnsi="Arial" w:cs="Arial"/>
        </w:rPr>
      </w:pPr>
      <w:r w:rsidRPr="003A29C6">
        <w:rPr>
          <w:rFonts w:ascii="Arial" w:hAnsi="Arial" w:cs="Arial"/>
          <w:b/>
          <w:bCs/>
        </w:rPr>
        <w:t>COMPETING INTERESTS DISCLAIMER:</w:t>
      </w:r>
    </w:p>
    <w:p w14:paraId="4EA51538" w14:textId="77777777" w:rsidR="00261EA3" w:rsidRPr="00391339" w:rsidRDefault="00261EA3" w:rsidP="00261EA3">
      <w:pPr>
        <w:rPr>
          <w:rFonts w:ascii="Arial" w:hAnsi="Arial" w:cs="Arial"/>
          <w:sz w:val="20"/>
          <w:szCs w:val="20"/>
        </w:rPr>
      </w:pPr>
      <w:r w:rsidRPr="00391339">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5AC5D334" w14:textId="77777777" w:rsidR="00261EA3" w:rsidRPr="00346304" w:rsidRDefault="00261EA3" w:rsidP="00346304"/>
    <w:p w14:paraId="5209BB77" w14:textId="77777777" w:rsidR="007C4222" w:rsidRDefault="007C4222" w:rsidP="00D344A2">
      <w:pPr>
        <w:contextualSpacing/>
        <w:jc w:val="both"/>
        <w:rPr>
          <w:rFonts w:ascii="Arial" w:hAnsi="Arial" w:cs="Arial"/>
          <w:sz w:val="20"/>
          <w:szCs w:val="20"/>
        </w:rPr>
      </w:pPr>
    </w:p>
    <w:p w14:paraId="5A69A0D7" w14:textId="77777777" w:rsidR="007C4222" w:rsidRDefault="007C4222" w:rsidP="00D344A2">
      <w:pPr>
        <w:contextualSpacing/>
        <w:jc w:val="both"/>
        <w:rPr>
          <w:rFonts w:ascii="Arial" w:hAnsi="Arial" w:cs="Arial"/>
          <w:sz w:val="20"/>
          <w:szCs w:val="20"/>
        </w:rPr>
      </w:pPr>
    </w:p>
    <w:p w14:paraId="214C456E" w14:textId="77777777" w:rsidR="007C4222" w:rsidRDefault="008006B3" w:rsidP="00D344A2">
      <w:pPr>
        <w:pStyle w:val="Heading1"/>
        <w:jc w:val="both"/>
        <w:rPr>
          <w:rFonts w:cs="Arial"/>
          <w:sz w:val="20"/>
          <w:szCs w:val="20"/>
        </w:rPr>
      </w:pPr>
      <w:r>
        <w:rPr>
          <w:rFonts w:cs="Arial"/>
          <w:sz w:val="20"/>
          <w:szCs w:val="20"/>
        </w:rPr>
        <w:t xml:space="preserve">References </w:t>
      </w:r>
    </w:p>
    <w:p w14:paraId="1A014257" w14:textId="77777777" w:rsidR="00391339" w:rsidRPr="00065209" w:rsidRDefault="00391339" w:rsidP="00391339">
      <w:pPr>
        <w:rPr>
          <w:rFonts w:ascii="Arial" w:hAnsi="Arial" w:cs="Arial"/>
          <w:sz w:val="20"/>
          <w:szCs w:val="20"/>
          <w:highlight w:val="yellow"/>
        </w:rPr>
      </w:pPr>
      <w:r w:rsidRPr="00391339">
        <w:rPr>
          <w:rFonts w:ascii="Arial" w:hAnsi="Arial" w:cs="Arial"/>
          <w:sz w:val="20"/>
          <w:szCs w:val="20"/>
        </w:rPr>
        <w:t>1</w:t>
      </w:r>
      <w:r w:rsidRPr="00065209">
        <w:rPr>
          <w:rFonts w:ascii="Arial" w:hAnsi="Arial" w:cs="Arial"/>
          <w:sz w:val="20"/>
          <w:szCs w:val="20"/>
          <w:highlight w:val="yellow"/>
        </w:rPr>
        <w:t>. Hyde MA, Wursten BT, Ballings P, Palgrave MC. Parinari curatellifolia. Flora of Zimbabwe [Internet]. [n.d.] [cited 2025 Jun 17]. Available from: https://www.zimbabweflora.co.zw</w:t>
      </w:r>
    </w:p>
    <w:p w14:paraId="3D5AB895"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 Neto FC, Pilon AC, da Silva Bolzani V, Castro-Gamboa I. Chrysobalanaceae: secondary metabolites, ethnopharmacology and pharmacological potential. Phytochem Rev. 2013;12(1):121-46.</w:t>
      </w:r>
    </w:p>
    <w:p w14:paraId="5C67EFB6"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3. Orwa C. Agroforestree Database: a tree reference and selection guide, version 4.0 [Internet]. Nairobi:  World Agroforestry Centre; 2009 [cited 2025 Jun 25]. Available from: http://www.worldagroforestry.org/sites/treedbs/treedatabases.asp</w:t>
      </w:r>
    </w:p>
    <w:p w14:paraId="1A64132E"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4. Coates Palgrave K. Trees of Southern Africa. 3rd ed. Cape Town: Struik; 2002.</w:t>
      </w:r>
    </w:p>
    <w:p w14:paraId="0C407B12"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lastRenderedPageBreak/>
        <w:t>5. Arnold TH, Prentice CA, Hawker LC, Snyman EE, Tomalin M, Crouch NR, et al. Medicinal and magical plants of southern Africa: an annotated checklist. Strelitzia 13. Pretoria: National Botanical Institute; 2002.</w:t>
      </w:r>
    </w:p>
    <w:p w14:paraId="20BE0D39"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6. Shoko T, Saka JDK, Apostolides Z. Headspace volatiles of edible fruit pulp of Parinari curatellifolia growing in Malawi using solid phase microextraction. S Afr J Bot. 2014;90:128-30.</w:t>
      </w:r>
    </w:p>
    <w:p w14:paraId="360E1993" w14:textId="0B8B64F9"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 xml:space="preserve">7. Mawire P, Mozirandi W, Heydenreich M, Chi GF, Mukanganyama S. </w:t>
      </w:r>
      <w:r w:rsidR="00FD2BF9" w:rsidRPr="00065209">
        <w:rPr>
          <w:rFonts w:ascii="Arial" w:hAnsi="Arial" w:cs="Arial"/>
          <w:sz w:val="20"/>
          <w:szCs w:val="20"/>
          <w:highlight w:val="yellow"/>
        </w:rPr>
        <w:t>Isolation,</w:t>
      </w:r>
      <w:r w:rsidRPr="00065209">
        <w:rPr>
          <w:rFonts w:ascii="Arial" w:hAnsi="Arial" w:cs="Arial"/>
          <w:sz w:val="20"/>
          <w:szCs w:val="20"/>
          <w:highlight w:val="yellow"/>
        </w:rPr>
        <w:t xml:space="preserve"> and antimicrobial activities of phytochemicals from Parinari curatellifolia (Chrysobalanaceae). Adv Pharmacol Pharm Sci. 2021;2021:8842629.</w:t>
      </w:r>
    </w:p>
    <w:p w14:paraId="55F7FC62"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8. Gororo M, Chimponda T, Chirisa E, Mukanganyama S. Multiple cellular effects of leaf extracts from Parinari curatellifolia. BMC Complement Altern Med. 2016;16:1 – 4.</w:t>
      </w:r>
    </w:p>
    <w:p w14:paraId="259A2F98"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9. Kundishora AW, Sithole SJ, Mukanganyama S. Determination of the cytotoxic effect of different leaf extracts from Parinari curatellifolia (Chrysobalanaceae). J Pharmacogn Phytochem. 2015;4(2):32–38.</w:t>
      </w:r>
    </w:p>
    <w:p w14:paraId="27209497"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10. Department of Agriculture, Forestry and Fisheries. Mobola plum: Production guideline [Internet]. Republic of South Africa: Department of Agriculture, Forestry and Fisheries; 2015 [cited 2025 Jun 25]. Available from: https://old.dalrrd.gov.za/Portals/0/Brochures%20and%20Production%20guidelines/Mobola%20plum%20.pdf</w:t>
      </w:r>
    </w:p>
    <w:p w14:paraId="27F12B71"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 xml:space="preserve">11. Centers for Disease Control and Prevention. Antimicrobial Resistance Threats in the United States, 2021–2022 [Internet]. Atlanta: CDC; 2024 [cited 2025 Jun 25]. Available from: https://www.cdc.gov/antimicrobial-resistance/data-research/threats/index.html </w:t>
      </w:r>
    </w:p>
    <w:p w14:paraId="6A1C4592"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12. Alvarez MA, Alvarez MA. Plant secondary metabolism. Plant Biotechnology for Health; From Secondary Metabolites to Molecular Farming. 2014:15-31</w:t>
      </w:r>
    </w:p>
    <w:p w14:paraId="59A5E2BB"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13. da Silva WP, Lopes GV, Ramires T, Kleinubing NR. May phenolics mitigate antimicrobial resistance in foodborne pathogens? Curr Opin Food Sci. 2024;55:101107.</w:t>
      </w:r>
    </w:p>
    <w:p w14:paraId="4BF800F7"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14. Aldulaimi OA. General overview of phenolics from plant to laboratory, good antibacterials or not. Pharmacogn Rev. 2017;11(22):123.</w:t>
      </w:r>
    </w:p>
    <w:p w14:paraId="0449E631"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15. Lobiuc A, Paval NE, Mangalagiu II, Gheorghita R, Teliban GC, Amariucai-Mantu D, et al. Future antimicrobials: Natural and functionalized phenolics. Molecules. 2023;28(3):1114.</w:t>
      </w:r>
    </w:p>
    <w:p w14:paraId="22108CD7"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 xml:space="preserve">16. Maswal M, Pandita M, Bashir S. Terpenes, Terpenoids and Steroids: Properties, Biosynthesis and Functions. InSteroids and their Medicinal Potential. Bentham Science Publishers; 2023. p. 1-38. </w:t>
      </w:r>
    </w:p>
    <w:p w14:paraId="6FF7DFEE"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17. Fannassi Y, Belabbes R, El Amrani MA, et al. Multitarget action of terpenes against drug-resistant microbes. Phytochem Rev. 2023;22(4):1089–105.</w:t>
      </w:r>
    </w:p>
    <w:p w14:paraId="1356A6C6"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18. Gallucci MN, Olivia M, Casero C, Dambolena J, Luna A, Zygadlo J, et al. Antimicrobial combined action of terpenes against food-borne microorganisms Escherichia coli, Staphylococcus aureus and Bacillus cereus. Flavour Fragr J. 2009;24(6):348-54.</w:t>
      </w:r>
    </w:p>
    <w:p w14:paraId="7E48B066"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19. Christen P. Alkaloids: biochemistry, ecology, and medicinal applications. In: Roberts MF, Wink M, editors. Alkaloids: biochemistry, ecology, and medicinal applications. New York: Plenum Press; 2000.</w:t>
      </w:r>
    </w:p>
    <w:p w14:paraId="45A43B48"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20. Cushnie TPT, Cushnie B, Lamb AJ. Alkaloids: an overview of their antibacterial, antibiotic-enhancing and antivirulence activities. Int J Antimicrob Agents. 2014;44(5):377–86.</w:t>
      </w:r>
    </w:p>
    <w:p w14:paraId="4883074E"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21. Yan Y, Li X, Zhang C, Lv L, Gao B, Li M. Research progress on the antibacterial activities and mechanisms of natural alkaloids: A review. Antibiotics. 2021;10(3):318.</w:t>
      </w:r>
    </w:p>
    <w:p w14:paraId="65BC267B"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22. Saleh HA, Yousef MH, Abdelnaser A. The Anti-Inflammatory Properties of Phytochemicals and Their Effects on Epigenetic Mechanisms Involved in TLR4/NF-κB-Mediated Inflammation. Front Immunol [Internet]. 2021 [cited 2025 Jun 25];12:606069. Available from: https://www.frontiersin.org/journals/immunology/articles/10.3389/fimmu.2021.606069.</w:t>
      </w:r>
    </w:p>
    <w:p w14:paraId="7E1D3324"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23. Mizgerd JP. Inflammation and pneumonia: why are some more susceptible than others? Clin Chest Med. 2018;39(4):669.</w:t>
      </w:r>
    </w:p>
    <w:p w14:paraId="413FF2F3"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24. Nathan C, Ding A. Nonresolving inflammation. Cell. 2010;140(6):871–82.</w:t>
      </w:r>
    </w:p>
    <w:p w14:paraId="4D582C51"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25. McPherson ML, Cimino MN. Topical NSAID formulations. Pain Med. 2013;14(Suppl 1):S35-S39.</w:t>
      </w:r>
    </w:p>
    <w:p w14:paraId="4AA909AC"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26. Shin SA, Joo BJ, Lee JS, Ryu G, Han M, Kim WY, et al. Phytochemicals as anti-inflammatory agents in animal models of prevalent inflammatory diseases. Molecules. 2020;25(24):5932.</w:t>
      </w:r>
    </w:p>
    <w:p w14:paraId="51E4FB0D" w14:textId="68A437FD"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 xml:space="preserve">27. Gwaze L, Chipato W, Zengeni S, Chifamba J. </w:t>
      </w:r>
      <w:r w:rsidR="00FD2BF9" w:rsidRPr="00065209">
        <w:rPr>
          <w:rFonts w:ascii="Arial" w:hAnsi="Arial" w:cs="Arial"/>
          <w:sz w:val="20"/>
          <w:szCs w:val="20"/>
          <w:highlight w:val="yellow"/>
        </w:rPr>
        <w:t>Bioactivity,</w:t>
      </w:r>
      <w:r w:rsidRPr="00065209">
        <w:rPr>
          <w:rFonts w:ascii="Arial" w:hAnsi="Arial" w:cs="Arial"/>
          <w:sz w:val="20"/>
          <w:szCs w:val="20"/>
          <w:highlight w:val="yellow"/>
        </w:rPr>
        <w:t xml:space="preserve"> and safety of lyophilised Carissa edulis. J Mater Sci Res Rev. 2025;8(1):94–109.</w:t>
      </w:r>
    </w:p>
    <w:p w14:paraId="58800D52"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28. Madhuranga HDT, Samarakoon DNAW. In vitro Anti-Inflammatory Egg Albumin Denaturation Assay: An Enhanced Approach. J Nat Ayurvedic Med [Internet]. 2023 [cited 2025 Jun 25];7(3):10.23880/jonam-1600. Available from: https://medwinpublishers.com/JONAM/in-vitro-anti-inflammatory-egg-albumin-denaturation-assay-an-enhanced-approach.pdf</w:t>
      </w:r>
    </w:p>
    <w:p w14:paraId="438BD656" w14:textId="77777777" w:rsidR="00391339" w:rsidRPr="00065209" w:rsidRDefault="00391339" w:rsidP="00391339">
      <w:pPr>
        <w:rPr>
          <w:rFonts w:ascii="Arial" w:hAnsi="Arial" w:cs="Arial"/>
          <w:sz w:val="20"/>
          <w:szCs w:val="20"/>
          <w:highlight w:val="yellow"/>
        </w:rPr>
      </w:pPr>
      <w:r w:rsidRPr="00065209">
        <w:rPr>
          <w:rFonts w:ascii="Arial" w:hAnsi="Arial" w:cs="Arial"/>
          <w:sz w:val="20"/>
          <w:szCs w:val="20"/>
          <w:highlight w:val="yellow"/>
        </w:rPr>
        <w:t>29. Hugo WB, Russell AD. Pharmaceutical microbiology. 7th ed. Oxford: Blackwell Science; 1983.</w:t>
      </w:r>
    </w:p>
    <w:p w14:paraId="66AA6905" w14:textId="77777777" w:rsidR="00391339" w:rsidRPr="00391339" w:rsidRDefault="00391339" w:rsidP="00391339">
      <w:pPr>
        <w:rPr>
          <w:rFonts w:ascii="Arial" w:hAnsi="Arial" w:cs="Arial"/>
          <w:sz w:val="20"/>
          <w:szCs w:val="20"/>
        </w:rPr>
      </w:pPr>
      <w:r w:rsidRPr="00065209">
        <w:rPr>
          <w:rFonts w:ascii="Arial" w:hAnsi="Arial" w:cs="Arial"/>
          <w:sz w:val="20"/>
          <w:szCs w:val="20"/>
          <w:highlight w:val="yellow"/>
        </w:rPr>
        <w:lastRenderedPageBreak/>
        <w:t>30. Sylvanus U, Olakunle F, Amos J, Olutayo O. Antibacterial activity and phytochemical evaluation of the leaf root and stem bark extracts of parinari curatellifolia (planch. ex benth). Int J Adv Chem. 2014;2:178-81.</w:t>
      </w:r>
    </w:p>
    <w:p w14:paraId="6A561173" w14:textId="77777777" w:rsidR="00391339" w:rsidRPr="00391339" w:rsidRDefault="00391339" w:rsidP="00391339">
      <w:pPr>
        <w:rPr>
          <w:rFonts w:ascii="Arial" w:hAnsi="Arial" w:cs="Arial"/>
          <w:sz w:val="20"/>
          <w:szCs w:val="20"/>
        </w:rPr>
      </w:pPr>
    </w:p>
    <w:p w14:paraId="5957630F" w14:textId="77777777" w:rsidR="007C4222" w:rsidRPr="00391339" w:rsidRDefault="007C4222" w:rsidP="007C7631">
      <w:pPr>
        <w:jc w:val="both"/>
        <w:rPr>
          <w:rFonts w:ascii="Arial" w:hAnsi="Arial" w:cs="Arial"/>
          <w:sz w:val="20"/>
          <w:szCs w:val="20"/>
          <w:lang w:val="en-US"/>
        </w:rPr>
      </w:pPr>
    </w:p>
    <w:p w14:paraId="152B5A08" w14:textId="77777777" w:rsidR="007C7631" w:rsidRPr="00391339" w:rsidRDefault="007C7631" w:rsidP="007C7631">
      <w:pPr>
        <w:rPr>
          <w:rFonts w:ascii="Arial" w:hAnsi="Arial" w:cs="Arial"/>
          <w:sz w:val="20"/>
          <w:szCs w:val="20"/>
          <w:lang w:val="en-US"/>
        </w:rPr>
      </w:pPr>
    </w:p>
    <w:sectPr w:rsidR="007C7631" w:rsidRPr="0039133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C3AD8" w14:textId="77777777" w:rsidR="009028E6" w:rsidRDefault="009028E6">
      <w:r>
        <w:separator/>
      </w:r>
    </w:p>
  </w:endnote>
  <w:endnote w:type="continuationSeparator" w:id="0">
    <w:p w14:paraId="4F6BEBBD" w14:textId="77777777" w:rsidR="009028E6" w:rsidRDefault="0090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837E" w14:textId="77777777" w:rsidR="003E693B" w:rsidRDefault="003E6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468421"/>
    </w:sdtPr>
    <w:sdtContent>
      <w:p w14:paraId="2E02276D" w14:textId="77777777" w:rsidR="008B0780" w:rsidRDefault="008B0780">
        <w:pPr>
          <w:pStyle w:val="Footer"/>
          <w:jc w:val="center"/>
        </w:pPr>
        <w:r>
          <w:fldChar w:fldCharType="begin"/>
        </w:r>
        <w:r>
          <w:instrText xml:space="preserve"> PAGE   \* MERGEFORMAT </w:instrText>
        </w:r>
        <w:r>
          <w:fldChar w:fldCharType="separate"/>
        </w:r>
        <w:r w:rsidR="00391339">
          <w:rPr>
            <w:noProof/>
          </w:rPr>
          <w:t>11</w:t>
        </w:r>
        <w:r>
          <w:fldChar w:fldCharType="end"/>
        </w:r>
      </w:p>
    </w:sdtContent>
  </w:sdt>
  <w:p w14:paraId="23AF42E9" w14:textId="77777777" w:rsidR="008B0780" w:rsidRDefault="008B0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D680" w14:textId="77777777" w:rsidR="003E693B" w:rsidRDefault="003E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EF01" w14:textId="77777777" w:rsidR="009028E6" w:rsidRDefault="009028E6">
      <w:r>
        <w:separator/>
      </w:r>
    </w:p>
  </w:footnote>
  <w:footnote w:type="continuationSeparator" w:id="0">
    <w:p w14:paraId="59E3EFA5" w14:textId="77777777" w:rsidR="009028E6" w:rsidRDefault="0090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D97C" w14:textId="5EBA157A" w:rsidR="003E693B" w:rsidRDefault="00000000">
    <w:pPr>
      <w:pStyle w:val="Header"/>
    </w:pPr>
    <w:r>
      <w:rPr>
        <w:noProof/>
      </w:rPr>
      <w:pict w14:anchorId="0D4D0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34422" o:spid="_x0000_s1027" type="#_x0000_t136" style="position:absolute;margin-left:0;margin-top:0;width:423.75pt;height:47.0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72A3" w14:textId="18EF0F19" w:rsidR="003E693B" w:rsidRDefault="00000000">
    <w:pPr>
      <w:pStyle w:val="Header"/>
    </w:pPr>
    <w:r>
      <w:rPr>
        <w:noProof/>
      </w:rPr>
      <w:pict w14:anchorId="595E7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34423" o:spid="_x0000_s1026" type="#_x0000_t136" style="position:absolute;margin-left:0;margin-top:0;width:423.75pt;height:47.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E0ED" w14:textId="154E9819" w:rsidR="003E693B" w:rsidRDefault="00000000">
    <w:pPr>
      <w:pStyle w:val="Header"/>
    </w:pPr>
    <w:r>
      <w:rPr>
        <w:noProof/>
      </w:rPr>
      <w:pict w14:anchorId="62133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34421" o:spid="_x0000_s1025" type="#_x0000_t136" style="position:absolute;margin-left:0;margin-top:0;width:423.75pt;height:47.0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A5DDA"/>
    <w:multiLevelType w:val="multilevel"/>
    <w:tmpl w:val="159A5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4D58FB"/>
    <w:multiLevelType w:val="hybridMultilevel"/>
    <w:tmpl w:val="49DABD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7B83D73"/>
    <w:multiLevelType w:val="hybridMultilevel"/>
    <w:tmpl w:val="1200E9AC"/>
    <w:lvl w:ilvl="0" w:tplc="799CE740">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4C922F5B"/>
    <w:multiLevelType w:val="hybridMultilevel"/>
    <w:tmpl w:val="F67204C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52170111"/>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8C25E2"/>
    <w:multiLevelType w:val="hybridMultilevel"/>
    <w:tmpl w:val="FDAC57D6"/>
    <w:lvl w:ilvl="0" w:tplc="799CE740">
      <w:start w:val="1"/>
      <w:numFmt w:val="decimal"/>
      <w:lvlText w:val="%1."/>
      <w:lvlJc w:val="left"/>
      <w:pPr>
        <w:ind w:left="1003" w:hanging="720"/>
      </w:pPr>
      <w:rPr>
        <w:rFonts w:hint="default"/>
      </w:rPr>
    </w:lvl>
    <w:lvl w:ilvl="1" w:tplc="1C090019" w:tentative="1">
      <w:start w:val="1"/>
      <w:numFmt w:val="lowerLetter"/>
      <w:lvlText w:val="%2."/>
      <w:lvlJc w:val="left"/>
      <w:pPr>
        <w:ind w:left="1003" w:hanging="360"/>
      </w:pPr>
    </w:lvl>
    <w:lvl w:ilvl="2" w:tplc="1C09001B" w:tentative="1">
      <w:start w:val="1"/>
      <w:numFmt w:val="lowerRoman"/>
      <w:lvlText w:val="%3."/>
      <w:lvlJc w:val="right"/>
      <w:pPr>
        <w:ind w:left="1723" w:hanging="180"/>
      </w:pPr>
    </w:lvl>
    <w:lvl w:ilvl="3" w:tplc="1C09000F" w:tentative="1">
      <w:start w:val="1"/>
      <w:numFmt w:val="decimal"/>
      <w:lvlText w:val="%4."/>
      <w:lvlJc w:val="left"/>
      <w:pPr>
        <w:ind w:left="2443" w:hanging="360"/>
      </w:pPr>
    </w:lvl>
    <w:lvl w:ilvl="4" w:tplc="1C090019" w:tentative="1">
      <w:start w:val="1"/>
      <w:numFmt w:val="lowerLetter"/>
      <w:lvlText w:val="%5."/>
      <w:lvlJc w:val="left"/>
      <w:pPr>
        <w:ind w:left="3163" w:hanging="360"/>
      </w:pPr>
    </w:lvl>
    <w:lvl w:ilvl="5" w:tplc="1C09001B" w:tentative="1">
      <w:start w:val="1"/>
      <w:numFmt w:val="lowerRoman"/>
      <w:lvlText w:val="%6."/>
      <w:lvlJc w:val="right"/>
      <w:pPr>
        <w:ind w:left="3883" w:hanging="180"/>
      </w:pPr>
    </w:lvl>
    <w:lvl w:ilvl="6" w:tplc="1C09000F" w:tentative="1">
      <w:start w:val="1"/>
      <w:numFmt w:val="decimal"/>
      <w:lvlText w:val="%7."/>
      <w:lvlJc w:val="left"/>
      <w:pPr>
        <w:ind w:left="4603" w:hanging="360"/>
      </w:pPr>
    </w:lvl>
    <w:lvl w:ilvl="7" w:tplc="1C090019" w:tentative="1">
      <w:start w:val="1"/>
      <w:numFmt w:val="lowerLetter"/>
      <w:lvlText w:val="%8."/>
      <w:lvlJc w:val="left"/>
      <w:pPr>
        <w:ind w:left="5323" w:hanging="360"/>
      </w:pPr>
    </w:lvl>
    <w:lvl w:ilvl="8" w:tplc="1C09001B" w:tentative="1">
      <w:start w:val="1"/>
      <w:numFmt w:val="lowerRoman"/>
      <w:lvlText w:val="%9."/>
      <w:lvlJc w:val="right"/>
      <w:pPr>
        <w:ind w:left="6043" w:hanging="180"/>
      </w:pPr>
    </w:lvl>
  </w:abstractNum>
  <w:num w:numId="1" w16cid:durableId="422267847">
    <w:abstractNumId w:val="4"/>
  </w:num>
  <w:num w:numId="2" w16cid:durableId="1929343536">
    <w:abstractNumId w:val="4"/>
    <w:lvlOverride w:ilvl="0">
      <w:startOverride w:val="2"/>
    </w:lvlOverride>
    <w:lvlOverride w:ilvl="1">
      <w:startOverride w:val="4"/>
    </w:lvlOverride>
    <w:lvlOverride w:ilvl="2">
      <w:startOverride w:val="2"/>
    </w:lvlOverride>
  </w:num>
  <w:num w:numId="3" w16cid:durableId="865362347">
    <w:abstractNumId w:val="4"/>
    <w:lvlOverride w:ilvl="0">
      <w:startOverride w:val="2"/>
    </w:lvlOverride>
    <w:lvlOverride w:ilvl="1">
      <w:startOverride w:val="4"/>
    </w:lvlOverride>
    <w:lvlOverride w:ilvl="2">
      <w:startOverride w:val="3"/>
    </w:lvlOverride>
  </w:num>
  <w:num w:numId="4" w16cid:durableId="344597891">
    <w:abstractNumId w:val="4"/>
    <w:lvlOverride w:ilvl="0">
      <w:startOverride w:val="2"/>
    </w:lvlOverride>
    <w:lvlOverride w:ilvl="1">
      <w:startOverride w:val="4"/>
    </w:lvlOverride>
    <w:lvlOverride w:ilvl="2">
      <w:startOverride w:val="3"/>
    </w:lvlOverride>
  </w:num>
  <w:num w:numId="5" w16cid:durableId="1219976527">
    <w:abstractNumId w:val="4"/>
    <w:lvlOverride w:ilvl="0">
      <w:startOverride w:val="2"/>
    </w:lvlOverride>
    <w:lvlOverride w:ilvl="1">
      <w:startOverride w:val="3"/>
    </w:lvlOverride>
  </w:num>
  <w:num w:numId="6" w16cid:durableId="280690799">
    <w:abstractNumId w:val="0"/>
  </w:num>
  <w:num w:numId="7" w16cid:durableId="241067220">
    <w:abstractNumId w:val="4"/>
  </w:num>
  <w:num w:numId="8" w16cid:durableId="1507331984">
    <w:abstractNumId w:val="3"/>
  </w:num>
  <w:num w:numId="9" w16cid:durableId="504127557">
    <w:abstractNumId w:val="2"/>
  </w:num>
  <w:num w:numId="10" w16cid:durableId="407927944">
    <w:abstractNumId w:val="5"/>
  </w:num>
  <w:num w:numId="11" w16cid:durableId="1141730832">
    <w:abstractNumId w:val="4"/>
    <w:lvlOverride w:ilvl="0">
      <w:startOverride w:val="2"/>
    </w:lvlOverride>
    <w:lvlOverride w:ilvl="1">
      <w:startOverride w:val="6"/>
    </w:lvlOverride>
  </w:num>
  <w:num w:numId="12" w16cid:durableId="182138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7E"/>
    <w:rsid w:val="00000F61"/>
    <w:rsid w:val="00005DF5"/>
    <w:rsid w:val="00007403"/>
    <w:rsid w:val="000074EA"/>
    <w:rsid w:val="0000760D"/>
    <w:rsid w:val="00010421"/>
    <w:rsid w:val="0001087D"/>
    <w:rsid w:val="000108D7"/>
    <w:rsid w:val="00010E21"/>
    <w:rsid w:val="00010EB3"/>
    <w:rsid w:val="000122E8"/>
    <w:rsid w:val="000133A0"/>
    <w:rsid w:val="00014E18"/>
    <w:rsid w:val="00016F54"/>
    <w:rsid w:val="00020898"/>
    <w:rsid w:val="000237C9"/>
    <w:rsid w:val="00023B17"/>
    <w:rsid w:val="00025CD9"/>
    <w:rsid w:val="00033D8A"/>
    <w:rsid w:val="0004467C"/>
    <w:rsid w:val="00045879"/>
    <w:rsid w:val="00045DB9"/>
    <w:rsid w:val="00046DAC"/>
    <w:rsid w:val="00047317"/>
    <w:rsid w:val="00051D4B"/>
    <w:rsid w:val="000533B9"/>
    <w:rsid w:val="00054553"/>
    <w:rsid w:val="00054B1E"/>
    <w:rsid w:val="0006245C"/>
    <w:rsid w:val="00063A66"/>
    <w:rsid w:val="000650D7"/>
    <w:rsid w:val="00065209"/>
    <w:rsid w:val="00065463"/>
    <w:rsid w:val="0006780E"/>
    <w:rsid w:val="0007187E"/>
    <w:rsid w:val="00072EE0"/>
    <w:rsid w:val="00073F3C"/>
    <w:rsid w:val="0007425A"/>
    <w:rsid w:val="00080BC4"/>
    <w:rsid w:val="00083346"/>
    <w:rsid w:val="0008356E"/>
    <w:rsid w:val="00087454"/>
    <w:rsid w:val="00090AA2"/>
    <w:rsid w:val="000916A6"/>
    <w:rsid w:val="00092D62"/>
    <w:rsid w:val="00094850"/>
    <w:rsid w:val="00094E7C"/>
    <w:rsid w:val="0009575A"/>
    <w:rsid w:val="00095F68"/>
    <w:rsid w:val="000966A7"/>
    <w:rsid w:val="000A028B"/>
    <w:rsid w:val="000A1196"/>
    <w:rsid w:val="000A1206"/>
    <w:rsid w:val="000A1403"/>
    <w:rsid w:val="000A242E"/>
    <w:rsid w:val="000A36A0"/>
    <w:rsid w:val="000A4D89"/>
    <w:rsid w:val="000A5727"/>
    <w:rsid w:val="000B2714"/>
    <w:rsid w:val="000B273F"/>
    <w:rsid w:val="000B2CE9"/>
    <w:rsid w:val="000B669E"/>
    <w:rsid w:val="000C160A"/>
    <w:rsid w:val="000C56E5"/>
    <w:rsid w:val="000C7A26"/>
    <w:rsid w:val="000C7E56"/>
    <w:rsid w:val="000D2FA2"/>
    <w:rsid w:val="000D6960"/>
    <w:rsid w:val="000D7B5D"/>
    <w:rsid w:val="000E0CD5"/>
    <w:rsid w:val="000E0F12"/>
    <w:rsid w:val="000E2391"/>
    <w:rsid w:val="000E276C"/>
    <w:rsid w:val="000E4EA1"/>
    <w:rsid w:val="000E6080"/>
    <w:rsid w:val="000E7878"/>
    <w:rsid w:val="000F0422"/>
    <w:rsid w:val="000F08BB"/>
    <w:rsid w:val="000F1C8C"/>
    <w:rsid w:val="000F306B"/>
    <w:rsid w:val="000F3672"/>
    <w:rsid w:val="000F3C78"/>
    <w:rsid w:val="000F565C"/>
    <w:rsid w:val="000F664D"/>
    <w:rsid w:val="000F67B8"/>
    <w:rsid w:val="000F69E9"/>
    <w:rsid w:val="000F7F24"/>
    <w:rsid w:val="000F7FC2"/>
    <w:rsid w:val="00106D18"/>
    <w:rsid w:val="00114143"/>
    <w:rsid w:val="00114FD0"/>
    <w:rsid w:val="001174CC"/>
    <w:rsid w:val="00120362"/>
    <w:rsid w:val="00122313"/>
    <w:rsid w:val="00122B55"/>
    <w:rsid w:val="00122C0F"/>
    <w:rsid w:val="00123C1A"/>
    <w:rsid w:val="001270C8"/>
    <w:rsid w:val="0012714F"/>
    <w:rsid w:val="00130056"/>
    <w:rsid w:val="00140702"/>
    <w:rsid w:val="00141134"/>
    <w:rsid w:val="00142105"/>
    <w:rsid w:val="0014353F"/>
    <w:rsid w:val="00143D50"/>
    <w:rsid w:val="00143EA3"/>
    <w:rsid w:val="0014465F"/>
    <w:rsid w:val="00144C55"/>
    <w:rsid w:val="00145ED9"/>
    <w:rsid w:val="00145F4E"/>
    <w:rsid w:val="00145FA7"/>
    <w:rsid w:val="0014682C"/>
    <w:rsid w:val="00147374"/>
    <w:rsid w:val="001504A3"/>
    <w:rsid w:val="0015254D"/>
    <w:rsid w:val="00152900"/>
    <w:rsid w:val="00153366"/>
    <w:rsid w:val="00160092"/>
    <w:rsid w:val="00161649"/>
    <w:rsid w:val="001617E9"/>
    <w:rsid w:val="001626D8"/>
    <w:rsid w:val="00163D87"/>
    <w:rsid w:val="00165BC0"/>
    <w:rsid w:val="00166A04"/>
    <w:rsid w:val="00166E90"/>
    <w:rsid w:val="00171535"/>
    <w:rsid w:val="00176063"/>
    <w:rsid w:val="00177651"/>
    <w:rsid w:val="00184352"/>
    <w:rsid w:val="00184553"/>
    <w:rsid w:val="00187A42"/>
    <w:rsid w:val="00190754"/>
    <w:rsid w:val="001907C0"/>
    <w:rsid w:val="00193281"/>
    <w:rsid w:val="00193DF9"/>
    <w:rsid w:val="0019507E"/>
    <w:rsid w:val="00196A33"/>
    <w:rsid w:val="00197DA7"/>
    <w:rsid w:val="001A0130"/>
    <w:rsid w:val="001A2902"/>
    <w:rsid w:val="001A5381"/>
    <w:rsid w:val="001A6FA5"/>
    <w:rsid w:val="001B0011"/>
    <w:rsid w:val="001B09DD"/>
    <w:rsid w:val="001B0F0A"/>
    <w:rsid w:val="001B1C6C"/>
    <w:rsid w:val="001B33BF"/>
    <w:rsid w:val="001B49AB"/>
    <w:rsid w:val="001B5B9B"/>
    <w:rsid w:val="001C393D"/>
    <w:rsid w:val="001C5E42"/>
    <w:rsid w:val="001C62F0"/>
    <w:rsid w:val="001C6986"/>
    <w:rsid w:val="001C6AAB"/>
    <w:rsid w:val="001C72D5"/>
    <w:rsid w:val="001D384C"/>
    <w:rsid w:val="001D485F"/>
    <w:rsid w:val="001D4CAD"/>
    <w:rsid w:val="001D530E"/>
    <w:rsid w:val="001D61A6"/>
    <w:rsid w:val="001D7ACF"/>
    <w:rsid w:val="001D7D55"/>
    <w:rsid w:val="001E02A4"/>
    <w:rsid w:val="001E144F"/>
    <w:rsid w:val="001E37AC"/>
    <w:rsid w:val="001E3E0C"/>
    <w:rsid w:val="001F0125"/>
    <w:rsid w:val="001F344C"/>
    <w:rsid w:val="001F4A2A"/>
    <w:rsid w:val="001F52BD"/>
    <w:rsid w:val="001F596A"/>
    <w:rsid w:val="001F64E9"/>
    <w:rsid w:val="00200E81"/>
    <w:rsid w:val="00201029"/>
    <w:rsid w:val="002029E7"/>
    <w:rsid w:val="002038D1"/>
    <w:rsid w:val="00203CCB"/>
    <w:rsid w:val="00204B54"/>
    <w:rsid w:val="00207EE2"/>
    <w:rsid w:val="0021010D"/>
    <w:rsid w:val="0021096D"/>
    <w:rsid w:val="00211ABC"/>
    <w:rsid w:val="00212050"/>
    <w:rsid w:val="00212AA1"/>
    <w:rsid w:val="00214C72"/>
    <w:rsid w:val="002154DE"/>
    <w:rsid w:val="00216D0C"/>
    <w:rsid w:val="00220D93"/>
    <w:rsid w:val="00223F5B"/>
    <w:rsid w:val="0022685C"/>
    <w:rsid w:val="00227198"/>
    <w:rsid w:val="00231059"/>
    <w:rsid w:val="002348E6"/>
    <w:rsid w:val="00235AD5"/>
    <w:rsid w:val="00237E52"/>
    <w:rsid w:val="002419D6"/>
    <w:rsid w:val="00241FEC"/>
    <w:rsid w:val="00242D8D"/>
    <w:rsid w:val="00242EB8"/>
    <w:rsid w:val="002431BA"/>
    <w:rsid w:val="00244761"/>
    <w:rsid w:val="00245721"/>
    <w:rsid w:val="0024590F"/>
    <w:rsid w:val="00250CF8"/>
    <w:rsid w:val="002512BB"/>
    <w:rsid w:val="002513D3"/>
    <w:rsid w:val="00261EA3"/>
    <w:rsid w:val="00262AFF"/>
    <w:rsid w:val="002632D2"/>
    <w:rsid w:val="002639E2"/>
    <w:rsid w:val="00264045"/>
    <w:rsid w:val="00266396"/>
    <w:rsid w:val="00266CD7"/>
    <w:rsid w:val="00270BFC"/>
    <w:rsid w:val="00271508"/>
    <w:rsid w:val="002715A6"/>
    <w:rsid w:val="00273EB6"/>
    <w:rsid w:val="00280810"/>
    <w:rsid w:val="00280969"/>
    <w:rsid w:val="002826BB"/>
    <w:rsid w:val="00284DC9"/>
    <w:rsid w:val="00284E73"/>
    <w:rsid w:val="00286BDA"/>
    <w:rsid w:val="00291F15"/>
    <w:rsid w:val="002928E6"/>
    <w:rsid w:val="0029412D"/>
    <w:rsid w:val="00294ACB"/>
    <w:rsid w:val="00295651"/>
    <w:rsid w:val="002964EC"/>
    <w:rsid w:val="002A08C7"/>
    <w:rsid w:val="002A1BC4"/>
    <w:rsid w:val="002A437A"/>
    <w:rsid w:val="002A47A2"/>
    <w:rsid w:val="002A5FEA"/>
    <w:rsid w:val="002B0680"/>
    <w:rsid w:val="002B3ED9"/>
    <w:rsid w:val="002B4087"/>
    <w:rsid w:val="002B71B7"/>
    <w:rsid w:val="002C00F0"/>
    <w:rsid w:val="002C10C4"/>
    <w:rsid w:val="002C3B99"/>
    <w:rsid w:val="002C41F2"/>
    <w:rsid w:val="002C464E"/>
    <w:rsid w:val="002D0C2C"/>
    <w:rsid w:val="002D612D"/>
    <w:rsid w:val="002D6901"/>
    <w:rsid w:val="002E13EF"/>
    <w:rsid w:val="002E1767"/>
    <w:rsid w:val="002E3E6F"/>
    <w:rsid w:val="002E3FD5"/>
    <w:rsid w:val="002F0304"/>
    <w:rsid w:val="002F0429"/>
    <w:rsid w:val="002F1FCE"/>
    <w:rsid w:val="002F62AA"/>
    <w:rsid w:val="002F72DD"/>
    <w:rsid w:val="003037A7"/>
    <w:rsid w:val="00307BD7"/>
    <w:rsid w:val="00310641"/>
    <w:rsid w:val="00311A05"/>
    <w:rsid w:val="00315F3B"/>
    <w:rsid w:val="00316867"/>
    <w:rsid w:val="0031702A"/>
    <w:rsid w:val="0032256F"/>
    <w:rsid w:val="003227BC"/>
    <w:rsid w:val="00323149"/>
    <w:rsid w:val="00323F5C"/>
    <w:rsid w:val="00325D7C"/>
    <w:rsid w:val="0032610C"/>
    <w:rsid w:val="00326A06"/>
    <w:rsid w:val="00327097"/>
    <w:rsid w:val="0032785F"/>
    <w:rsid w:val="00327D87"/>
    <w:rsid w:val="00334C24"/>
    <w:rsid w:val="00335746"/>
    <w:rsid w:val="00340779"/>
    <w:rsid w:val="00340ECB"/>
    <w:rsid w:val="003417D2"/>
    <w:rsid w:val="00344EF0"/>
    <w:rsid w:val="0034541B"/>
    <w:rsid w:val="00346304"/>
    <w:rsid w:val="003463AF"/>
    <w:rsid w:val="00351207"/>
    <w:rsid w:val="003514EF"/>
    <w:rsid w:val="00360861"/>
    <w:rsid w:val="0036139A"/>
    <w:rsid w:val="00362111"/>
    <w:rsid w:val="00365EE5"/>
    <w:rsid w:val="00367C23"/>
    <w:rsid w:val="00367D2E"/>
    <w:rsid w:val="0037265E"/>
    <w:rsid w:val="00376281"/>
    <w:rsid w:val="00381619"/>
    <w:rsid w:val="00382203"/>
    <w:rsid w:val="00385542"/>
    <w:rsid w:val="00385A99"/>
    <w:rsid w:val="003878F4"/>
    <w:rsid w:val="00390B72"/>
    <w:rsid w:val="00391339"/>
    <w:rsid w:val="003916A6"/>
    <w:rsid w:val="00392AB2"/>
    <w:rsid w:val="00394644"/>
    <w:rsid w:val="00394CDC"/>
    <w:rsid w:val="003A3993"/>
    <w:rsid w:val="003A4373"/>
    <w:rsid w:val="003A5DF2"/>
    <w:rsid w:val="003A64CD"/>
    <w:rsid w:val="003A763A"/>
    <w:rsid w:val="003B57EC"/>
    <w:rsid w:val="003B6223"/>
    <w:rsid w:val="003B6EEE"/>
    <w:rsid w:val="003B7C02"/>
    <w:rsid w:val="003C2203"/>
    <w:rsid w:val="003C2699"/>
    <w:rsid w:val="003C6194"/>
    <w:rsid w:val="003C74F9"/>
    <w:rsid w:val="003C77DD"/>
    <w:rsid w:val="003C79D8"/>
    <w:rsid w:val="003D0C65"/>
    <w:rsid w:val="003D205D"/>
    <w:rsid w:val="003D6FF9"/>
    <w:rsid w:val="003E0801"/>
    <w:rsid w:val="003E1330"/>
    <w:rsid w:val="003E1DFF"/>
    <w:rsid w:val="003E2DA1"/>
    <w:rsid w:val="003E537E"/>
    <w:rsid w:val="003E693B"/>
    <w:rsid w:val="003F0605"/>
    <w:rsid w:val="003F0D91"/>
    <w:rsid w:val="003F1BCC"/>
    <w:rsid w:val="003F3AF1"/>
    <w:rsid w:val="003F61D2"/>
    <w:rsid w:val="004020F0"/>
    <w:rsid w:val="00403514"/>
    <w:rsid w:val="00403B80"/>
    <w:rsid w:val="004041D1"/>
    <w:rsid w:val="004056BF"/>
    <w:rsid w:val="0041005E"/>
    <w:rsid w:val="00412C41"/>
    <w:rsid w:val="004133C9"/>
    <w:rsid w:val="004140F6"/>
    <w:rsid w:val="0041480E"/>
    <w:rsid w:val="00416350"/>
    <w:rsid w:val="00423848"/>
    <w:rsid w:val="004259EF"/>
    <w:rsid w:val="004320ED"/>
    <w:rsid w:val="00433037"/>
    <w:rsid w:val="00437C44"/>
    <w:rsid w:val="00440267"/>
    <w:rsid w:val="00444C21"/>
    <w:rsid w:val="004468C8"/>
    <w:rsid w:val="00450B56"/>
    <w:rsid w:val="00451491"/>
    <w:rsid w:val="00451B29"/>
    <w:rsid w:val="00451B93"/>
    <w:rsid w:val="00452561"/>
    <w:rsid w:val="004525FA"/>
    <w:rsid w:val="00452A4B"/>
    <w:rsid w:val="00455280"/>
    <w:rsid w:val="00455934"/>
    <w:rsid w:val="004568EB"/>
    <w:rsid w:val="00460AAC"/>
    <w:rsid w:val="004638BF"/>
    <w:rsid w:val="00470F37"/>
    <w:rsid w:val="004757C4"/>
    <w:rsid w:val="004763AC"/>
    <w:rsid w:val="00476A81"/>
    <w:rsid w:val="00477610"/>
    <w:rsid w:val="00485A20"/>
    <w:rsid w:val="00491E95"/>
    <w:rsid w:val="00492F6E"/>
    <w:rsid w:val="004942BD"/>
    <w:rsid w:val="00495696"/>
    <w:rsid w:val="004A111F"/>
    <w:rsid w:val="004A3CAF"/>
    <w:rsid w:val="004A5736"/>
    <w:rsid w:val="004A5D96"/>
    <w:rsid w:val="004A7B9D"/>
    <w:rsid w:val="004B074F"/>
    <w:rsid w:val="004B1FD4"/>
    <w:rsid w:val="004B395C"/>
    <w:rsid w:val="004B7B3D"/>
    <w:rsid w:val="004C405C"/>
    <w:rsid w:val="004C485F"/>
    <w:rsid w:val="004C741F"/>
    <w:rsid w:val="004C7C34"/>
    <w:rsid w:val="004D016B"/>
    <w:rsid w:val="004D05AC"/>
    <w:rsid w:val="004D2FE6"/>
    <w:rsid w:val="004D3C42"/>
    <w:rsid w:val="004D45BF"/>
    <w:rsid w:val="004D4BA1"/>
    <w:rsid w:val="004D62C5"/>
    <w:rsid w:val="004D7050"/>
    <w:rsid w:val="004D7522"/>
    <w:rsid w:val="004D7A1C"/>
    <w:rsid w:val="004E6585"/>
    <w:rsid w:val="004E69CA"/>
    <w:rsid w:val="004E7D1D"/>
    <w:rsid w:val="004F06B8"/>
    <w:rsid w:val="004F0CE0"/>
    <w:rsid w:val="004F155A"/>
    <w:rsid w:val="004F3CFE"/>
    <w:rsid w:val="004F3D54"/>
    <w:rsid w:val="004F5DAC"/>
    <w:rsid w:val="005017DC"/>
    <w:rsid w:val="00502657"/>
    <w:rsid w:val="00505FE4"/>
    <w:rsid w:val="005078F8"/>
    <w:rsid w:val="0051117B"/>
    <w:rsid w:val="005118F2"/>
    <w:rsid w:val="0051335D"/>
    <w:rsid w:val="005135E4"/>
    <w:rsid w:val="005160BA"/>
    <w:rsid w:val="00524A5A"/>
    <w:rsid w:val="005301E2"/>
    <w:rsid w:val="00530F80"/>
    <w:rsid w:val="005311EE"/>
    <w:rsid w:val="005323FC"/>
    <w:rsid w:val="005357AD"/>
    <w:rsid w:val="005364DB"/>
    <w:rsid w:val="00537914"/>
    <w:rsid w:val="00544C9B"/>
    <w:rsid w:val="00545A3E"/>
    <w:rsid w:val="00546380"/>
    <w:rsid w:val="0055014E"/>
    <w:rsid w:val="00550A22"/>
    <w:rsid w:val="00553112"/>
    <w:rsid w:val="0055375B"/>
    <w:rsid w:val="0055703A"/>
    <w:rsid w:val="00557E09"/>
    <w:rsid w:val="00557FD5"/>
    <w:rsid w:val="005609E9"/>
    <w:rsid w:val="00562C49"/>
    <w:rsid w:val="00567E70"/>
    <w:rsid w:val="00570BD4"/>
    <w:rsid w:val="00571B57"/>
    <w:rsid w:val="005727E9"/>
    <w:rsid w:val="0057677C"/>
    <w:rsid w:val="00577339"/>
    <w:rsid w:val="005773F2"/>
    <w:rsid w:val="00580B31"/>
    <w:rsid w:val="00582A8E"/>
    <w:rsid w:val="00582BD8"/>
    <w:rsid w:val="00582D40"/>
    <w:rsid w:val="00583A2E"/>
    <w:rsid w:val="00586808"/>
    <w:rsid w:val="0059043C"/>
    <w:rsid w:val="005A1825"/>
    <w:rsid w:val="005B1534"/>
    <w:rsid w:val="005B1AA0"/>
    <w:rsid w:val="005B1BD3"/>
    <w:rsid w:val="005B776E"/>
    <w:rsid w:val="005C2604"/>
    <w:rsid w:val="005C49AC"/>
    <w:rsid w:val="005D190F"/>
    <w:rsid w:val="005D3758"/>
    <w:rsid w:val="005D4C8D"/>
    <w:rsid w:val="005D596F"/>
    <w:rsid w:val="005E0B18"/>
    <w:rsid w:val="005E0BB7"/>
    <w:rsid w:val="005E18C5"/>
    <w:rsid w:val="005E1C35"/>
    <w:rsid w:val="005E2B4E"/>
    <w:rsid w:val="005F0FC0"/>
    <w:rsid w:val="005F35D4"/>
    <w:rsid w:val="005F429A"/>
    <w:rsid w:val="005F462C"/>
    <w:rsid w:val="005F6D17"/>
    <w:rsid w:val="00600FB0"/>
    <w:rsid w:val="00601476"/>
    <w:rsid w:val="006039D4"/>
    <w:rsid w:val="0060460E"/>
    <w:rsid w:val="006048D2"/>
    <w:rsid w:val="006068B4"/>
    <w:rsid w:val="00607A4E"/>
    <w:rsid w:val="00613BC9"/>
    <w:rsid w:val="00614EBB"/>
    <w:rsid w:val="006151E0"/>
    <w:rsid w:val="00615E06"/>
    <w:rsid w:val="006161E7"/>
    <w:rsid w:val="00617601"/>
    <w:rsid w:val="00617A77"/>
    <w:rsid w:val="0062389E"/>
    <w:rsid w:val="00624301"/>
    <w:rsid w:val="00630355"/>
    <w:rsid w:val="00632F4E"/>
    <w:rsid w:val="00633FFB"/>
    <w:rsid w:val="00640CE2"/>
    <w:rsid w:val="00642DFD"/>
    <w:rsid w:val="0064412B"/>
    <w:rsid w:val="00645A21"/>
    <w:rsid w:val="0064657A"/>
    <w:rsid w:val="0064685B"/>
    <w:rsid w:val="00646C37"/>
    <w:rsid w:val="00647F17"/>
    <w:rsid w:val="00650EDD"/>
    <w:rsid w:val="00652D2B"/>
    <w:rsid w:val="00652DB8"/>
    <w:rsid w:val="00655B60"/>
    <w:rsid w:val="00655E65"/>
    <w:rsid w:val="00656550"/>
    <w:rsid w:val="0065728A"/>
    <w:rsid w:val="006612FD"/>
    <w:rsid w:val="00661BB0"/>
    <w:rsid w:val="00663CCA"/>
    <w:rsid w:val="006640BB"/>
    <w:rsid w:val="006767C7"/>
    <w:rsid w:val="006803DF"/>
    <w:rsid w:val="00681520"/>
    <w:rsid w:val="0068259F"/>
    <w:rsid w:val="00685458"/>
    <w:rsid w:val="00685617"/>
    <w:rsid w:val="00686895"/>
    <w:rsid w:val="00690D35"/>
    <w:rsid w:val="006A01EE"/>
    <w:rsid w:val="006A0F81"/>
    <w:rsid w:val="006A4A02"/>
    <w:rsid w:val="006A68B6"/>
    <w:rsid w:val="006B241F"/>
    <w:rsid w:val="006B4C80"/>
    <w:rsid w:val="006B6F51"/>
    <w:rsid w:val="006B7F43"/>
    <w:rsid w:val="006C0EA3"/>
    <w:rsid w:val="006C134A"/>
    <w:rsid w:val="006C1786"/>
    <w:rsid w:val="006C1C2F"/>
    <w:rsid w:val="006C2853"/>
    <w:rsid w:val="006C5947"/>
    <w:rsid w:val="006C6E24"/>
    <w:rsid w:val="006C7859"/>
    <w:rsid w:val="006D0DE1"/>
    <w:rsid w:val="006D18BF"/>
    <w:rsid w:val="006D77E7"/>
    <w:rsid w:val="006E2213"/>
    <w:rsid w:val="006E3BEE"/>
    <w:rsid w:val="006E4A6D"/>
    <w:rsid w:val="006E57B7"/>
    <w:rsid w:val="006E6A38"/>
    <w:rsid w:val="006E6F3B"/>
    <w:rsid w:val="006E7A73"/>
    <w:rsid w:val="006E7B23"/>
    <w:rsid w:val="006F2B11"/>
    <w:rsid w:val="006F3E5D"/>
    <w:rsid w:val="006F3E94"/>
    <w:rsid w:val="006F4674"/>
    <w:rsid w:val="006F4B9A"/>
    <w:rsid w:val="006F5F14"/>
    <w:rsid w:val="006F6D74"/>
    <w:rsid w:val="007022A8"/>
    <w:rsid w:val="0070406C"/>
    <w:rsid w:val="007060F4"/>
    <w:rsid w:val="00707C52"/>
    <w:rsid w:val="0071121E"/>
    <w:rsid w:val="007119C8"/>
    <w:rsid w:val="007129A5"/>
    <w:rsid w:val="0071384E"/>
    <w:rsid w:val="00717AF8"/>
    <w:rsid w:val="007201C8"/>
    <w:rsid w:val="007220ED"/>
    <w:rsid w:val="00727A07"/>
    <w:rsid w:val="0073509C"/>
    <w:rsid w:val="00736C32"/>
    <w:rsid w:val="0074015B"/>
    <w:rsid w:val="00740A63"/>
    <w:rsid w:val="007446FC"/>
    <w:rsid w:val="007463D5"/>
    <w:rsid w:val="0074748F"/>
    <w:rsid w:val="00747DBE"/>
    <w:rsid w:val="0075112E"/>
    <w:rsid w:val="0075318F"/>
    <w:rsid w:val="007548CE"/>
    <w:rsid w:val="007564EA"/>
    <w:rsid w:val="007602D1"/>
    <w:rsid w:val="00760517"/>
    <w:rsid w:val="007639F4"/>
    <w:rsid w:val="00763EAD"/>
    <w:rsid w:val="0076471F"/>
    <w:rsid w:val="00764CA8"/>
    <w:rsid w:val="00764EE8"/>
    <w:rsid w:val="00771FF6"/>
    <w:rsid w:val="0077415C"/>
    <w:rsid w:val="00775796"/>
    <w:rsid w:val="00777766"/>
    <w:rsid w:val="00777A3B"/>
    <w:rsid w:val="007823D7"/>
    <w:rsid w:val="0078771B"/>
    <w:rsid w:val="0079181C"/>
    <w:rsid w:val="00792AA7"/>
    <w:rsid w:val="007960BA"/>
    <w:rsid w:val="00796102"/>
    <w:rsid w:val="007A0464"/>
    <w:rsid w:val="007A3D9F"/>
    <w:rsid w:val="007A5FEF"/>
    <w:rsid w:val="007A6627"/>
    <w:rsid w:val="007B07B8"/>
    <w:rsid w:val="007B1F14"/>
    <w:rsid w:val="007B2068"/>
    <w:rsid w:val="007C0651"/>
    <w:rsid w:val="007C277C"/>
    <w:rsid w:val="007C4222"/>
    <w:rsid w:val="007C5582"/>
    <w:rsid w:val="007C6066"/>
    <w:rsid w:val="007C7241"/>
    <w:rsid w:val="007C760D"/>
    <w:rsid w:val="007C7631"/>
    <w:rsid w:val="007D11E0"/>
    <w:rsid w:val="007D3804"/>
    <w:rsid w:val="007E11FB"/>
    <w:rsid w:val="007E1C09"/>
    <w:rsid w:val="007E3112"/>
    <w:rsid w:val="007E3412"/>
    <w:rsid w:val="007E43A5"/>
    <w:rsid w:val="007E4C73"/>
    <w:rsid w:val="007E5799"/>
    <w:rsid w:val="007E6B23"/>
    <w:rsid w:val="007E6DA3"/>
    <w:rsid w:val="007E6FA3"/>
    <w:rsid w:val="007F1157"/>
    <w:rsid w:val="007F1617"/>
    <w:rsid w:val="007F5EAF"/>
    <w:rsid w:val="007F7D82"/>
    <w:rsid w:val="008006B3"/>
    <w:rsid w:val="00801FE4"/>
    <w:rsid w:val="0080201E"/>
    <w:rsid w:val="008048CC"/>
    <w:rsid w:val="00806C82"/>
    <w:rsid w:val="0081070B"/>
    <w:rsid w:val="00814C0F"/>
    <w:rsid w:val="008224BD"/>
    <w:rsid w:val="00822861"/>
    <w:rsid w:val="0082624B"/>
    <w:rsid w:val="00826B93"/>
    <w:rsid w:val="00827658"/>
    <w:rsid w:val="0083075F"/>
    <w:rsid w:val="008309F3"/>
    <w:rsid w:val="00831A16"/>
    <w:rsid w:val="008338E7"/>
    <w:rsid w:val="00836DCB"/>
    <w:rsid w:val="008376AF"/>
    <w:rsid w:val="008425E8"/>
    <w:rsid w:val="00843E2B"/>
    <w:rsid w:val="00844199"/>
    <w:rsid w:val="00846C70"/>
    <w:rsid w:val="008473D5"/>
    <w:rsid w:val="0084760A"/>
    <w:rsid w:val="008617D4"/>
    <w:rsid w:val="0086200E"/>
    <w:rsid w:val="0086285F"/>
    <w:rsid w:val="008636A9"/>
    <w:rsid w:val="00865B2B"/>
    <w:rsid w:val="00866277"/>
    <w:rsid w:val="008666C0"/>
    <w:rsid w:val="00867362"/>
    <w:rsid w:val="00871F45"/>
    <w:rsid w:val="008730A2"/>
    <w:rsid w:val="00873624"/>
    <w:rsid w:val="00874634"/>
    <w:rsid w:val="00877FE5"/>
    <w:rsid w:val="00883BAD"/>
    <w:rsid w:val="008857DA"/>
    <w:rsid w:val="00891C08"/>
    <w:rsid w:val="00892718"/>
    <w:rsid w:val="00893618"/>
    <w:rsid w:val="00896481"/>
    <w:rsid w:val="008972D8"/>
    <w:rsid w:val="008A0F59"/>
    <w:rsid w:val="008A63D7"/>
    <w:rsid w:val="008A655D"/>
    <w:rsid w:val="008A6849"/>
    <w:rsid w:val="008B0780"/>
    <w:rsid w:val="008B1ED7"/>
    <w:rsid w:val="008B53AB"/>
    <w:rsid w:val="008B74A9"/>
    <w:rsid w:val="008C05E5"/>
    <w:rsid w:val="008C4533"/>
    <w:rsid w:val="008C5050"/>
    <w:rsid w:val="008C52A5"/>
    <w:rsid w:val="008C6206"/>
    <w:rsid w:val="008C7B07"/>
    <w:rsid w:val="008D4257"/>
    <w:rsid w:val="008D5FE5"/>
    <w:rsid w:val="008D6ABC"/>
    <w:rsid w:val="008D6DE4"/>
    <w:rsid w:val="008D7CB8"/>
    <w:rsid w:val="008E10DF"/>
    <w:rsid w:val="008E2238"/>
    <w:rsid w:val="008E2240"/>
    <w:rsid w:val="008E3926"/>
    <w:rsid w:val="008E425F"/>
    <w:rsid w:val="008F10D8"/>
    <w:rsid w:val="008F1497"/>
    <w:rsid w:val="008F1CFD"/>
    <w:rsid w:val="008F50F3"/>
    <w:rsid w:val="00901FB2"/>
    <w:rsid w:val="009028E6"/>
    <w:rsid w:val="00902945"/>
    <w:rsid w:val="0090398C"/>
    <w:rsid w:val="00906541"/>
    <w:rsid w:val="009102F0"/>
    <w:rsid w:val="00913B8F"/>
    <w:rsid w:val="00913F60"/>
    <w:rsid w:val="00917C46"/>
    <w:rsid w:val="00920A9D"/>
    <w:rsid w:val="00920ECF"/>
    <w:rsid w:val="0092124B"/>
    <w:rsid w:val="00924CE6"/>
    <w:rsid w:val="00924F6B"/>
    <w:rsid w:val="00927D06"/>
    <w:rsid w:val="00930736"/>
    <w:rsid w:val="00931FA4"/>
    <w:rsid w:val="0093280A"/>
    <w:rsid w:val="00933DCD"/>
    <w:rsid w:val="00934EB2"/>
    <w:rsid w:val="00940D0C"/>
    <w:rsid w:val="0094370C"/>
    <w:rsid w:val="00944198"/>
    <w:rsid w:val="00944DD0"/>
    <w:rsid w:val="00945249"/>
    <w:rsid w:val="00946454"/>
    <w:rsid w:val="0094646A"/>
    <w:rsid w:val="00946D10"/>
    <w:rsid w:val="00952442"/>
    <w:rsid w:val="009524E1"/>
    <w:rsid w:val="00953AB1"/>
    <w:rsid w:val="009556B5"/>
    <w:rsid w:val="00955FD5"/>
    <w:rsid w:val="00957235"/>
    <w:rsid w:val="009604A4"/>
    <w:rsid w:val="00963054"/>
    <w:rsid w:val="009631BE"/>
    <w:rsid w:val="00970CEF"/>
    <w:rsid w:val="0097355A"/>
    <w:rsid w:val="00973A0E"/>
    <w:rsid w:val="00975789"/>
    <w:rsid w:val="009767D8"/>
    <w:rsid w:val="00976A7B"/>
    <w:rsid w:val="0098350D"/>
    <w:rsid w:val="00990B6D"/>
    <w:rsid w:val="00991ACB"/>
    <w:rsid w:val="00991B12"/>
    <w:rsid w:val="00993B3C"/>
    <w:rsid w:val="00993C6D"/>
    <w:rsid w:val="00994769"/>
    <w:rsid w:val="00996B78"/>
    <w:rsid w:val="0099747A"/>
    <w:rsid w:val="009A0BC9"/>
    <w:rsid w:val="009A40C5"/>
    <w:rsid w:val="009A6DBC"/>
    <w:rsid w:val="009A7534"/>
    <w:rsid w:val="009A7669"/>
    <w:rsid w:val="009A77F9"/>
    <w:rsid w:val="009B003F"/>
    <w:rsid w:val="009B05A8"/>
    <w:rsid w:val="009B0D7A"/>
    <w:rsid w:val="009B2EA7"/>
    <w:rsid w:val="009B5D6A"/>
    <w:rsid w:val="009B63A2"/>
    <w:rsid w:val="009B726A"/>
    <w:rsid w:val="009C3130"/>
    <w:rsid w:val="009C3565"/>
    <w:rsid w:val="009C4616"/>
    <w:rsid w:val="009C62BB"/>
    <w:rsid w:val="009C6EFF"/>
    <w:rsid w:val="009D25D8"/>
    <w:rsid w:val="009D4BC7"/>
    <w:rsid w:val="009D519F"/>
    <w:rsid w:val="009D59F1"/>
    <w:rsid w:val="009E0580"/>
    <w:rsid w:val="009E0EC2"/>
    <w:rsid w:val="009E2209"/>
    <w:rsid w:val="009E2E3B"/>
    <w:rsid w:val="009E3664"/>
    <w:rsid w:val="009E4CCB"/>
    <w:rsid w:val="009E58AE"/>
    <w:rsid w:val="009E5E9F"/>
    <w:rsid w:val="009E648E"/>
    <w:rsid w:val="009E651A"/>
    <w:rsid w:val="009E7238"/>
    <w:rsid w:val="009F219F"/>
    <w:rsid w:val="009F382C"/>
    <w:rsid w:val="009F418B"/>
    <w:rsid w:val="009F6097"/>
    <w:rsid w:val="009F63F0"/>
    <w:rsid w:val="009F6AD4"/>
    <w:rsid w:val="009F6BC6"/>
    <w:rsid w:val="00A01948"/>
    <w:rsid w:val="00A036E2"/>
    <w:rsid w:val="00A043B9"/>
    <w:rsid w:val="00A04CE5"/>
    <w:rsid w:val="00A0560C"/>
    <w:rsid w:val="00A05E80"/>
    <w:rsid w:val="00A1187A"/>
    <w:rsid w:val="00A13031"/>
    <w:rsid w:val="00A16A80"/>
    <w:rsid w:val="00A16C1C"/>
    <w:rsid w:val="00A21894"/>
    <w:rsid w:val="00A22B04"/>
    <w:rsid w:val="00A22B86"/>
    <w:rsid w:val="00A23911"/>
    <w:rsid w:val="00A2750E"/>
    <w:rsid w:val="00A2753F"/>
    <w:rsid w:val="00A30DE3"/>
    <w:rsid w:val="00A3458E"/>
    <w:rsid w:val="00A370DB"/>
    <w:rsid w:val="00A408E9"/>
    <w:rsid w:val="00A436DC"/>
    <w:rsid w:val="00A45719"/>
    <w:rsid w:val="00A50DDF"/>
    <w:rsid w:val="00A51FEC"/>
    <w:rsid w:val="00A53CEE"/>
    <w:rsid w:val="00A5549E"/>
    <w:rsid w:val="00A71F5C"/>
    <w:rsid w:val="00A73ECE"/>
    <w:rsid w:val="00A74714"/>
    <w:rsid w:val="00A7678C"/>
    <w:rsid w:val="00A84DB3"/>
    <w:rsid w:val="00A856F9"/>
    <w:rsid w:val="00A85AEF"/>
    <w:rsid w:val="00A86596"/>
    <w:rsid w:val="00A87CF9"/>
    <w:rsid w:val="00A87E09"/>
    <w:rsid w:val="00A912C5"/>
    <w:rsid w:val="00A935A6"/>
    <w:rsid w:val="00A94945"/>
    <w:rsid w:val="00AA2585"/>
    <w:rsid w:val="00AA47D6"/>
    <w:rsid w:val="00AA5AB9"/>
    <w:rsid w:val="00AB19F2"/>
    <w:rsid w:val="00AB20A9"/>
    <w:rsid w:val="00AC4B2D"/>
    <w:rsid w:val="00AC54AB"/>
    <w:rsid w:val="00AD0B39"/>
    <w:rsid w:val="00AD0CB8"/>
    <w:rsid w:val="00AD3940"/>
    <w:rsid w:val="00AD49AE"/>
    <w:rsid w:val="00AD5590"/>
    <w:rsid w:val="00AD78C0"/>
    <w:rsid w:val="00AE2F68"/>
    <w:rsid w:val="00AE4CB9"/>
    <w:rsid w:val="00AE6D1A"/>
    <w:rsid w:val="00AE7BD3"/>
    <w:rsid w:val="00AF1BFB"/>
    <w:rsid w:val="00AF5494"/>
    <w:rsid w:val="00AF742E"/>
    <w:rsid w:val="00B013B8"/>
    <w:rsid w:val="00B0141C"/>
    <w:rsid w:val="00B04FE0"/>
    <w:rsid w:val="00B06228"/>
    <w:rsid w:val="00B07D23"/>
    <w:rsid w:val="00B07F24"/>
    <w:rsid w:val="00B15945"/>
    <w:rsid w:val="00B2103C"/>
    <w:rsid w:val="00B23D8E"/>
    <w:rsid w:val="00B27BD2"/>
    <w:rsid w:val="00B27EE4"/>
    <w:rsid w:val="00B3308A"/>
    <w:rsid w:val="00B33271"/>
    <w:rsid w:val="00B35D60"/>
    <w:rsid w:val="00B367E4"/>
    <w:rsid w:val="00B36A59"/>
    <w:rsid w:val="00B4175C"/>
    <w:rsid w:val="00B41BF9"/>
    <w:rsid w:val="00B42F76"/>
    <w:rsid w:val="00B46074"/>
    <w:rsid w:val="00B471C9"/>
    <w:rsid w:val="00B4721B"/>
    <w:rsid w:val="00B5221F"/>
    <w:rsid w:val="00B524CC"/>
    <w:rsid w:val="00B5289A"/>
    <w:rsid w:val="00B63CC4"/>
    <w:rsid w:val="00B645C4"/>
    <w:rsid w:val="00B651D7"/>
    <w:rsid w:val="00B66B76"/>
    <w:rsid w:val="00B7088E"/>
    <w:rsid w:val="00B71679"/>
    <w:rsid w:val="00B73282"/>
    <w:rsid w:val="00B76BDB"/>
    <w:rsid w:val="00B80917"/>
    <w:rsid w:val="00B82A26"/>
    <w:rsid w:val="00B83325"/>
    <w:rsid w:val="00B8590E"/>
    <w:rsid w:val="00B861ED"/>
    <w:rsid w:val="00B877C6"/>
    <w:rsid w:val="00B87960"/>
    <w:rsid w:val="00B95991"/>
    <w:rsid w:val="00BA221D"/>
    <w:rsid w:val="00BA378F"/>
    <w:rsid w:val="00BB2CCA"/>
    <w:rsid w:val="00BB479B"/>
    <w:rsid w:val="00BB7A22"/>
    <w:rsid w:val="00BB7CD5"/>
    <w:rsid w:val="00BC0D19"/>
    <w:rsid w:val="00BC12A0"/>
    <w:rsid w:val="00BC182B"/>
    <w:rsid w:val="00BC3489"/>
    <w:rsid w:val="00BC3598"/>
    <w:rsid w:val="00BC405A"/>
    <w:rsid w:val="00BC5562"/>
    <w:rsid w:val="00BC6045"/>
    <w:rsid w:val="00BC6E3D"/>
    <w:rsid w:val="00BD3241"/>
    <w:rsid w:val="00BD40A0"/>
    <w:rsid w:val="00BD56B0"/>
    <w:rsid w:val="00BD5A8E"/>
    <w:rsid w:val="00BD67BC"/>
    <w:rsid w:val="00BD7150"/>
    <w:rsid w:val="00BE1596"/>
    <w:rsid w:val="00BE6191"/>
    <w:rsid w:val="00BE665C"/>
    <w:rsid w:val="00BE67F6"/>
    <w:rsid w:val="00BE769D"/>
    <w:rsid w:val="00BE79CD"/>
    <w:rsid w:val="00BE7FB4"/>
    <w:rsid w:val="00BF024A"/>
    <w:rsid w:val="00BF10D1"/>
    <w:rsid w:val="00BF744A"/>
    <w:rsid w:val="00C004EE"/>
    <w:rsid w:val="00C035DE"/>
    <w:rsid w:val="00C052D9"/>
    <w:rsid w:val="00C117C0"/>
    <w:rsid w:val="00C120B4"/>
    <w:rsid w:val="00C12783"/>
    <w:rsid w:val="00C15454"/>
    <w:rsid w:val="00C16A3A"/>
    <w:rsid w:val="00C20263"/>
    <w:rsid w:val="00C2124E"/>
    <w:rsid w:val="00C2215F"/>
    <w:rsid w:val="00C2216E"/>
    <w:rsid w:val="00C221FE"/>
    <w:rsid w:val="00C23E1A"/>
    <w:rsid w:val="00C257C8"/>
    <w:rsid w:val="00C3036A"/>
    <w:rsid w:val="00C3156E"/>
    <w:rsid w:val="00C359C5"/>
    <w:rsid w:val="00C36535"/>
    <w:rsid w:val="00C377B2"/>
    <w:rsid w:val="00C4118D"/>
    <w:rsid w:val="00C44523"/>
    <w:rsid w:val="00C47C54"/>
    <w:rsid w:val="00C507B2"/>
    <w:rsid w:val="00C515A5"/>
    <w:rsid w:val="00C53928"/>
    <w:rsid w:val="00C555A5"/>
    <w:rsid w:val="00C56585"/>
    <w:rsid w:val="00C56E12"/>
    <w:rsid w:val="00C60FAB"/>
    <w:rsid w:val="00C61415"/>
    <w:rsid w:val="00C61B05"/>
    <w:rsid w:val="00C6278C"/>
    <w:rsid w:val="00C62C59"/>
    <w:rsid w:val="00C63C89"/>
    <w:rsid w:val="00C65B21"/>
    <w:rsid w:val="00C66997"/>
    <w:rsid w:val="00C71583"/>
    <w:rsid w:val="00C71854"/>
    <w:rsid w:val="00C71D50"/>
    <w:rsid w:val="00C7328D"/>
    <w:rsid w:val="00C82590"/>
    <w:rsid w:val="00C83E76"/>
    <w:rsid w:val="00C91857"/>
    <w:rsid w:val="00C9374A"/>
    <w:rsid w:val="00CA2676"/>
    <w:rsid w:val="00CA46D7"/>
    <w:rsid w:val="00CA6993"/>
    <w:rsid w:val="00CA7DBE"/>
    <w:rsid w:val="00CB2D69"/>
    <w:rsid w:val="00CB6811"/>
    <w:rsid w:val="00CB6E4B"/>
    <w:rsid w:val="00CC0234"/>
    <w:rsid w:val="00CC350F"/>
    <w:rsid w:val="00CC36BA"/>
    <w:rsid w:val="00CC3A94"/>
    <w:rsid w:val="00CC5935"/>
    <w:rsid w:val="00CC7309"/>
    <w:rsid w:val="00CD0198"/>
    <w:rsid w:val="00CD0E6C"/>
    <w:rsid w:val="00CD0E94"/>
    <w:rsid w:val="00CD2DBB"/>
    <w:rsid w:val="00CD4E62"/>
    <w:rsid w:val="00CD73F2"/>
    <w:rsid w:val="00CD789E"/>
    <w:rsid w:val="00CE1642"/>
    <w:rsid w:val="00CE3C1D"/>
    <w:rsid w:val="00CE5860"/>
    <w:rsid w:val="00CE6704"/>
    <w:rsid w:val="00CE702D"/>
    <w:rsid w:val="00CF01E4"/>
    <w:rsid w:val="00CF10BA"/>
    <w:rsid w:val="00CF4568"/>
    <w:rsid w:val="00CF6B01"/>
    <w:rsid w:val="00CF7470"/>
    <w:rsid w:val="00D058DA"/>
    <w:rsid w:val="00D0764E"/>
    <w:rsid w:val="00D0790A"/>
    <w:rsid w:val="00D116DF"/>
    <w:rsid w:val="00D11C6F"/>
    <w:rsid w:val="00D12278"/>
    <w:rsid w:val="00D1263A"/>
    <w:rsid w:val="00D25B80"/>
    <w:rsid w:val="00D26417"/>
    <w:rsid w:val="00D26CEF"/>
    <w:rsid w:val="00D31C08"/>
    <w:rsid w:val="00D335D8"/>
    <w:rsid w:val="00D344A2"/>
    <w:rsid w:val="00D362B8"/>
    <w:rsid w:val="00D420DD"/>
    <w:rsid w:val="00D45749"/>
    <w:rsid w:val="00D458C3"/>
    <w:rsid w:val="00D506E4"/>
    <w:rsid w:val="00D50AEF"/>
    <w:rsid w:val="00D51480"/>
    <w:rsid w:val="00D53825"/>
    <w:rsid w:val="00D54A2F"/>
    <w:rsid w:val="00D568A0"/>
    <w:rsid w:val="00D572E8"/>
    <w:rsid w:val="00D63EE8"/>
    <w:rsid w:val="00D67F74"/>
    <w:rsid w:val="00D7179F"/>
    <w:rsid w:val="00D71D8E"/>
    <w:rsid w:val="00D72E15"/>
    <w:rsid w:val="00D768C6"/>
    <w:rsid w:val="00D81ED5"/>
    <w:rsid w:val="00D83E34"/>
    <w:rsid w:val="00D841A2"/>
    <w:rsid w:val="00D93A6F"/>
    <w:rsid w:val="00D94598"/>
    <w:rsid w:val="00D95E0B"/>
    <w:rsid w:val="00D95F7D"/>
    <w:rsid w:val="00D96BFF"/>
    <w:rsid w:val="00D97711"/>
    <w:rsid w:val="00DA2040"/>
    <w:rsid w:val="00DA319A"/>
    <w:rsid w:val="00DA6C33"/>
    <w:rsid w:val="00DB0ECC"/>
    <w:rsid w:val="00DB2B01"/>
    <w:rsid w:val="00DB443C"/>
    <w:rsid w:val="00DB465F"/>
    <w:rsid w:val="00DB5607"/>
    <w:rsid w:val="00DC0330"/>
    <w:rsid w:val="00DC05D3"/>
    <w:rsid w:val="00DC097E"/>
    <w:rsid w:val="00DC6C91"/>
    <w:rsid w:val="00DD13D5"/>
    <w:rsid w:val="00DE0A55"/>
    <w:rsid w:val="00DE3513"/>
    <w:rsid w:val="00DE5002"/>
    <w:rsid w:val="00DE5DE2"/>
    <w:rsid w:val="00DE72EB"/>
    <w:rsid w:val="00DF160E"/>
    <w:rsid w:val="00DF45D1"/>
    <w:rsid w:val="00DF67DD"/>
    <w:rsid w:val="00DF6F11"/>
    <w:rsid w:val="00DF7371"/>
    <w:rsid w:val="00E008EA"/>
    <w:rsid w:val="00E00FDD"/>
    <w:rsid w:val="00E0215A"/>
    <w:rsid w:val="00E02C65"/>
    <w:rsid w:val="00E03FFF"/>
    <w:rsid w:val="00E04FC5"/>
    <w:rsid w:val="00E05BFE"/>
    <w:rsid w:val="00E05F9F"/>
    <w:rsid w:val="00E07898"/>
    <w:rsid w:val="00E11BF5"/>
    <w:rsid w:val="00E1207B"/>
    <w:rsid w:val="00E143CA"/>
    <w:rsid w:val="00E165F5"/>
    <w:rsid w:val="00E17D33"/>
    <w:rsid w:val="00E21DFA"/>
    <w:rsid w:val="00E22050"/>
    <w:rsid w:val="00E24176"/>
    <w:rsid w:val="00E246FB"/>
    <w:rsid w:val="00E257D2"/>
    <w:rsid w:val="00E2791D"/>
    <w:rsid w:val="00E30091"/>
    <w:rsid w:val="00E33895"/>
    <w:rsid w:val="00E362F8"/>
    <w:rsid w:val="00E37B77"/>
    <w:rsid w:val="00E409CC"/>
    <w:rsid w:val="00E4171C"/>
    <w:rsid w:val="00E469E5"/>
    <w:rsid w:val="00E502D7"/>
    <w:rsid w:val="00E509B3"/>
    <w:rsid w:val="00E5229C"/>
    <w:rsid w:val="00E54402"/>
    <w:rsid w:val="00E571AE"/>
    <w:rsid w:val="00E6323D"/>
    <w:rsid w:val="00E63A5F"/>
    <w:rsid w:val="00E6416D"/>
    <w:rsid w:val="00E663FC"/>
    <w:rsid w:val="00E66F9E"/>
    <w:rsid w:val="00E70A96"/>
    <w:rsid w:val="00E716B8"/>
    <w:rsid w:val="00E763B9"/>
    <w:rsid w:val="00E77507"/>
    <w:rsid w:val="00E81266"/>
    <w:rsid w:val="00E81ACD"/>
    <w:rsid w:val="00E824FB"/>
    <w:rsid w:val="00E8789B"/>
    <w:rsid w:val="00E91B54"/>
    <w:rsid w:val="00E91C47"/>
    <w:rsid w:val="00E950C8"/>
    <w:rsid w:val="00E960FF"/>
    <w:rsid w:val="00E96197"/>
    <w:rsid w:val="00EA04EB"/>
    <w:rsid w:val="00EA1890"/>
    <w:rsid w:val="00EA23FC"/>
    <w:rsid w:val="00EA29C2"/>
    <w:rsid w:val="00EA42EE"/>
    <w:rsid w:val="00EA4320"/>
    <w:rsid w:val="00EA4B3A"/>
    <w:rsid w:val="00EA65F2"/>
    <w:rsid w:val="00EA78B8"/>
    <w:rsid w:val="00EB1ACE"/>
    <w:rsid w:val="00EB3937"/>
    <w:rsid w:val="00EB5449"/>
    <w:rsid w:val="00EB56BB"/>
    <w:rsid w:val="00EB664C"/>
    <w:rsid w:val="00EB71A3"/>
    <w:rsid w:val="00EC6E2F"/>
    <w:rsid w:val="00ED191F"/>
    <w:rsid w:val="00ED2FA5"/>
    <w:rsid w:val="00ED3C7A"/>
    <w:rsid w:val="00ED4F95"/>
    <w:rsid w:val="00ED6B07"/>
    <w:rsid w:val="00EE1F6B"/>
    <w:rsid w:val="00EE277C"/>
    <w:rsid w:val="00EF02F0"/>
    <w:rsid w:val="00EF1A34"/>
    <w:rsid w:val="00EF22A3"/>
    <w:rsid w:val="00EF4929"/>
    <w:rsid w:val="00EF57C5"/>
    <w:rsid w:val="00EF6FCB"/>
    <w:rsid w:val="00F00193"/>
    <w:rsid w:val="00F0345D"/>
    <w:rsid w:val="00F039D5"/>
    <w:rsid w:val="00F04556"/>
    <w:rsid w:val="00F0798F"/>
    <w:rsid w:val="00F07F46"/>
    <w:rsid w:val="00F14B36"/>
    <w:rsid w:val="00F154F3"/>
    <w:rsid w:val="00F15C0E"/>
    <w:rsid w:val="00F174BB"/>
    <w:rsid w:val="00F20065"/>
    <w:rsid w:val="00F24071"/>
    <w:rsid w:val="00F248A3"/>
    <w:rsid w:val="00F2569F"/>
    <w:rsid w:val="00F27BFE"/>
    <w:rsid w:val="00F30050"/>
    <w:rsid w:val="00F32152"/>
    <w:rsid w:val="00F32A54"/>
    <w:rsid w:val="00F426EB"/>
    <w:rsid w:val="00F469F7"/>
    <w:rsid w:val="00F50351"/>
    <w:rsid w:val="00F51E5B"/>
    <w:rsid w:val="00F55555"/>
    <w:rsid w:val="00F55BC4"/>
    <w:rsid w:val="00F56E3D"/>
    <w:rsid w:val="00F57137"/>
    <w:rsid w:val="00F5720F"/>
    <w:rsid w:val="00F60616"/>
    <w:rsid w:val="00F60D1D"/>
    <w:rsid w:val="00F63658"/>
    <w:rsid w:val="00F6543D"/>
    <w:rsid w:val="00F71B59"/>
    <w:rsid w:val="00F74CC6"/>
    <w:rsid w:val="00F76EEB"/>
    <w:rsid w:val="00F77FDE"/>
    <w:rsid w:val="00F81027"/>
    <w:rsid w:val="00F816D5"/>
    <w:rsid w:val="00F8178A"/>
    <w:rsid w:val="00F81A56"/>
    <w:rsid w:val="00F869FB"/>
    <w:rsid w:val="00F86AE9"/>
    <w:rsid w:val="00F90E12"/>
    <w:rsid w:val="00F91C5D"/>
    <w:rsid w:val="00FA1460"/>
    <w:rsid w:val="00FA1FF5"/>
    <w:rsid w:val="00FA238F"/>
    <w:rsid w:val="00FA2701"/>
    <w:rsid w:val="00FA3B2C"/>
    <w:rsid w:val="00FA3FD9"/>
    <w:rsid w:val="00FA64F8"/>
    <w:rsid w:val="00FB0CEB"/>
    <w:rsid w:val="00FB1378"/>
    <w:rsid w:val="00FB2336"/>
    <w:rsid w:val="00FB27FC"/>
    <w:rsid w:val="00FB403A"/>
    <w:rsid w:val="00FB54D8"/>
    <w:rsid w:val="00FB6CA6"/>
    <w:rsid w:val="00FC06B8"/>
    <w:rsid w:val="00FC0DFD"/>
    <w:rsid w:val="00FC28F3"/>
    <w:rsid w:val="00FC37E2"/>
    <w:rsid w:val="00FC4880"/>
    <w:rsid w:val="00FC5DFB"/>
    <w:rsid w:val="00FD1D22"/>
    <w:rsid w:val="00FD2BF9"/>
    <w:rsid w:val="00FD3C2B"/>
    <w:rsid w:val="00FE05EC"/>
    <w:rsid w:val="00FE1D60"/>
    <w:rsid w:val="00FE1FDA"/>
    <w:rsid w:val="00FE253C"/>
    <w:rsid w:val="00FE4BBC"/>
    <w:rsid w:val="00FF21BE"/>
    <w:rsid w:val="00FF28D7"/>
    <w:rsid w:val="00FF5904"/>
    <w:rsid w:val="00FF68FE"/>
    <w:rsid w:val="00FF6BCE"/>
    <w:rsid w:val="00FF755F"/>
    <w:rsid w:val="05750264"/>
    <w:rsid w:val="07B53717"/>
    <w:rsid w:val="087C00D7"/>
    <w:rsid w:val="16235C85"/>
    <w:rsid w:val="165233E7"/>
    <w:rsid w:val="186D7A11"/>
    <w:rsid w:val="25A401D2"/>
    <w:rsid w:val="25A57DB9"/>
    <w:rsid w:val="2F295B26"/>
    <w:rsid w:val="6B587741"/>
    <w:rsid w:val="6BF91A4B"/>
    <w:rsid w:val="731D7354"/>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980A46"/>
  <w15:docId w15:val="{68E58506-8C81-4257-8282-78D268E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spacing w:before="40"/>
      <w:outlineLvl w:val="2"/>
    </w:pPr>
    <w:rPr>
      <w:rFonts w:ascii="Arial" w:eastAsiaTheme="majorEastAsia" w:hAnsi="Arial" w:cstheme="majorBidi"/>
      <w:i/>
      <w:sz w:val="20"/>
    </w:rPr>
  </w:style>
  <w:style w:type="paragraph" w:styleId="Heading4">
    <w:name w:val="heading 4"/>
    <w:basedOn w:val="Normal"/>
    <w:next w:val="Normal"/>
    <w:link w:val="Heading4Char"/>
    <w:uiPriority w:val="9"/>
    <w:unhideWhenUsed/>
    <w:qFormat/>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Theme="majorEastAsia" w:hAnsi="Arial" w:cstheme="majorBidi"/>
      <w:b/>
      <w:szCs w:val="32"/>
    </w:rPr>
  </w:style>
  <w:style w:type="character" w:customStyle="1" w:styleId="Heading2Char">
    <w:name w:val="Heading 2 Char"/>
    <w:basedOn w:val="DefaultParagraphFont"/>
    <w:link w:val="Heading2"/>
    <w:uiPriority w:val="9"/>
    <w:qFormat/>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qFormat/>
    <w:rPr>
      <w:rFonts w:ascii="Arial" w:eastAsiaTheme="majorEastAsia" w:hAnsi="Arial" w:cstheme="majorBidi"/>
      <w:i/>
      <w:szCs w:val="24"/>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theme="minorBidi"/>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theme="minorBidi"/>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2">
    <w:name w:val="Plain Table 22"/>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unhideWhenUsed/>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61">
    <w:name w:val="Grid Table 5 Dark - Accent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UnresolvedMention3">
    <w:name w:val="Unresolved Mention3"/>
    <w:basedOn w:val="DefaultParagraphFont"/>
    <w:uiPriority w:val="99"/>
    <w:semiHidden/>
    <w:unhideWhenUsed/>
    <w:rsid w:val="00C35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77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A"/>
              <a:t>Anti-inflammatory assay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scatterChart>
        <c:scatterStyle val="lineMarker"/>
        <c:varyColors val="0"/>
        <c:ser>
          <c:idx val="1"/>
          <c:order val="1"/>
          <c:tx>
            <c:v>PC</c:v>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xVal>
            <c:numRef>
              <c:f>'[Chart in Microsoft Word]Sheet1'!$A$2:$A$8</c:f>
              <c:numCache>
                <c:formatCode>General</c:formatCode>
                <c:ptCount val="7"/>
                <c:pt idx="0">
                  <c:v>250</c:v>
                </c:pt>
                <c:pt idx="1">
                  <c:v>500</c:v>
                </c:pt>
                <c:pt idx="2">
                  <c:v>1000</c:v>
                </c:pt>
                <c:pt idx="3">
                  <c:v>2000</c:v>
                </c:pt>
                <c:pt idx="4">
                  <c:v>4000</c:v>
                </c:pt>
                <c:pt idx="5">
                  <c:v>6000</c:v>
                </c:pt>
                <c:pt idx="6">
                  <c:v>8000</c:v>
                </c:pt>
              </c:numCache>
            </c:numRef>
          </c:xVal>
          <c:yVal>
            <c:numRef>
              <c:f>'[Chart in Microsoft Word]Sheet1'!$B$2:$B$8</c:f>
              <c:numCache>
                <c:formatCode>General</c:formatCode>
                <c:ptCount val="7"/>
                <c:pt idx="0">
                  <c:v>16</c:v>
                </c:pt>
                <c:pt idx="1">
                  <c:v>27</c:v>
                </c:pt>
                <c:pt idx="2">
                  <c:v>76</c:v>
                </c:pt>
                <c:pt idx="3">
                  <c:v>265</c:v>
                </c:pt>
                <c:pt idx="4">
                  <c:v>386</c:v>
                </c:pt>
                <c:pt idx="5">
                  <c:v>488</c:v>
                </c:pt>
                <c:pt idx="6">
                  <c:v>716</c:v>
                </c:pt>
              </c:numCache>
            </c:numRef>
          </c:yVal>
          <c:smooth val="0"/>
          <c:extLst>
            <c:ext xmlns:c16="http://schemas.microsoft.com/office/drawing/2014/chart" uri="{C3380CC4-5D6E-409C-BE32-E72D297353CC}">
              <c16:uniqueId val="{00000000-49E6-4E48-91BA-9FCF4F9E43D4}"/>
            </c:ext>
          </c:extLst>
        </c:ser>
        <c:ser>
          <c:idx val="2"/>
          <c:order val="2"/>
          <c:tx>
            <c:v>Diclofenac</c:v>
          </c:tx>
          <c:spPr>
            <a:ln w="95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a:solidFill>
                  <a:schemeClr val="accent3"/>
                </a:solidFill>
                <a:round/>
              </a:ln>
              <a:effectLst>
                <a:outerShdw blurRad="57150" dist="19050" dir="5400000" algn="ctr" rotWithShape="0">
                  <a:srgbClr val="000000">
                    <a:alpha val="63000"/>
                  </a:srgbClr>
                </a:outerShdw>
              </a:effectLst>
            </c:spPr>
          </c:marker>
          <c:xVal>
            <c:numRef>
              <c:f>'[Chart in Microsoft Word]Sheet1'!$A$2:$A$5</c:f>
              <c:numCache>
                <c:formatCode>General</c:formatCode>
                <c:ptCount val="4"/>
                <c:pt idx="0">
                  <c:v>250</c:v>
                </c:pt>
                <c:pt idx="1">
                  <c:v>500</c:v>
                </c:pt>
                <c:pt idx="2">
                  <c:v>1000</c:v>
                </c:pt>
                <c:pt idx="3">
                  <c:v>2000</c:v>
                </c:pt>
              </c:numCache>
            </c:numRef>
          </c:xVal>
          <c:yVal>
            <c:numRef>
              <c:f>'[Chart in Microsoft Word]Sheet1'!$C$2:$C$5</c:f>
              <c:numCache>
                <c:formatCode>General</c:formatCode>
                <c:ptCount val="4"/>
                <c:pt idx="0">
                  <c:v>39</c:v>
                </c:pt>
                <c:pt idx="1">
                  <c:v>65</c:v>
                </c:pt>
                <c:pt idx="2">
                  <c:v>302</c:v>
                </c:pt>
                <c:pt idx="3">
                  <c:v>769</c:v>
                </c:pt>
              </c:numCache>
            </c:numRef>
          </c:yVal>
          <c:smooth val="0"/>
          <c:extLst>
            <c:ext xmlns:c16="http://schemas.microsoft.com/office/drawing/2014/chart" uri="{C3380CC4-5D6E-409C-BE32-E72D297353CC}">
              <c16:uniqueId val="{00000001-49E6-4E48-91BA-9FCF4F9E43D4}"/>
            </c:ext>
          </c:extLst>
        </c:ser>
        <c:dLbls>
          <c:showLegendKey val="0"/>
          <c:showVal val="0"/>
          <c:showCatName val="0"/>
          <c:showSerName val="0"/>
          <c:showPercent val="0"/>
          <c:showBubbleSize val="0"/>
        </c:dLbls>
        <c:axId val="346164784"/>
        <c:axId val="346163608"/>
        <c:extLst>
          <c:ext xmlns:c15="http://schemas.microsoft.com/office/drawing/2012/chart" uri="{02D57815-91ED-43cb-92C2-25804820EDAC}">
            <c15:filteredScatterSeries>
              <c15: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yVal>
                  <c:numRef>
                    <c:extLst>
                      <c:ext uri="{02D57815-91ED-43cb-92C2-25804820EDAC}">
                        <c15:formulaRef>
                          <c15:sqref>'[Chart in Microsoft Word]Sheet1'!$A$2:$A$8</c15:sqref>
                        </c15:formulaRef>
                      </c:ext>
                    </c:extLst>
                    <c:numCache>
                      <c:formatCode>General</c:formatCode>
                      <c:ptCount val="7"/>
                      <c:pt idx="0">
                        <c:v>250</c:v>
                      </c:pt>
                      <c:pt idx="1">
                        <c:v>500</c:v>
                      </c:pt>
                      <c:pt idx="2">
                        <c:v>1000</c:v>
                      </c:pt>
                      <c:pt idx="3">
                        <c:v>2000</c:v>
                      </c:pt>
                      <c:pt idx="4">
                        <c:v>4000</c:v>
                      </c:pt>
                      <c:pt idx="5">
                        <c:v>6000</c:v>
                      </c:pt>
                      <c:pt idx="6">
                        <c:v>8000</c:v>
                      </c:pt>
                    </c:numCache>
                  </c:numRef>
                </c:yVal>
                <c:smooth val="0"/>
                <c:extLst>
                  <c:ext xmlns:c16="http://schemas.microsoft.com/office/drawing/2014/chart" uri="{C3380CC4-5D6E-409C-BE32-E72D297353CC}">
                    <c16:uniqueId val="{00000002-49E6-4E48-91BA-9FCF4F9E43D4}"/>
                  </c:ext>
                </c:extLst>
              </c15:ser>
            </c15:filteredScatterSeries>
          </c:ext>
        </c:extLst>
      </c:scatterChart>
      <c:valAx>
        <c:axId val="346164784"/>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ZA"/>
                  <a:t>concentration</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6163608"/>
        <c:crosses val="autoZero"/>
        <c:crossBetween val="midCat"/>
      </c:valAx>
      <c:valAx>
        <c:axId val="34616360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ZA"/>
                  <a:t>% Inhibition</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6164784"/>
        <c:crosses val="autoZero"/>
        <c:crossBetween val="midCat"/>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Rats weights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Rat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Day 1</c:v>
                </c:pt>
                <c:pt idx="1">
                  <c:v>Day 7</c:v>
                </c:pt>
                <c:pt idx="2">
                  <c:v>Day 14</c:v>
                </c:pt>
              </c:strCache>
            </c:strRef>
          </c:cat>
          <c:val>
            <c:numRef>
              <c:f>Sheet1!$B$2:$B$5</c:f>
              <c:numCache>
                <c:formatCode>General</c:formatCode>
                <c:ptCount val="4"/>
                <c:pt idx="0">
                  <c:v>180</c:v>
                </c:pt>
                <c:pt idx="1">
                  <c:v>220</c:v>
                </c:pt>
                <c:pt idx="2">
                  <c:v>260</c:v>
                </c:pt>
              </c:numCache>
            </c:numRef>
          </c:val>
          <c:extLst>
            <c:ext xmlns:c16="http://schemas.microsoft.com/office/drawing/2014/chart" uri="{C3380CC4-5D6E-409C-BE32-E72D297353CC}">
              <c16:uniqueId val="{00000000-6D41-48D7-B80C-77132329830B}"/>
            </c:ext>
          </c:extLst>
        </c:ser>
        <c:ser>
          <c:idx val="1"/>
          <c:order val="1"/>
          <c:tx>
            <c:strRef>
              <c:f>Sheet1!$C$1</c:f>
              <c:strCache>
                <c:ptCount val="1"/>
                <c:pt idx="0">
                  <c:v>Rat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Day 1</c:v>
                </c:pt>
                <c:pt idx="1">
                  <c:v>Day 7</c:v>
                </c:pt>
                <c:pt idx="2">
                  <c:v>Day 14</c:v>
                </c:pt>
              </c:strCache>
            </c:strRef>
          </c:cat>
          <c:val>
            <c:numRef>
              <c:f>Sheet1!$C$2:$C$5</c:f>
              <c:numCache>
                <c:formatCode>General</c:formatCode>
                <c:ptCount val="4"/>
                <c:pt idx="0">
                  <c:v>200</c:v>
                </c:pt>
                <c:pt idx="1">
                  <c:v>240</c:v>
                </c:pt>
                <c:pt idx="2">
                  <c:v>280</c:v>
                </c:pt>
              </c:numCache>
            </c:numRef>
          </c:val>
          <c:extLst>
            <c:ext xmlns:c16="http://schemas.microsoft.com/office/drawing/2014/chart" uri="{C3380CC4-5D6E-409C-BE32-E72D297353CC}">
              <c16:uniqueId val="{00000001-6D41-48D7-B80C-77132329830B}"/>
            </c:ext>
          </c:extLst>
        </c:ser>
        <c:ser>
          <c:idx val="2"/>
          <c:order val="2"/>
          <c:tx>
            <c:strRef>
              <c:f>Sheet1!$D$1</c:f>
              <c:strCache>
                <c:ptCount val="1"/>
                <c:pt idx="0">
                  <c:v>Rat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Day 1</c:v>
                </c:pt>
                <c:pt idx="1">
                  <c:v>Day 7</c:v>
                </c:pt>
                <c:pt idx="2">
                  <c:v>Day 14</c:v>
                </c:pt>
              </c:strCache>
            </c:strRef>
          </c:cat>
          <c:val>
            <c:numRef>
              <c:f>Sheet1!$D$2:$D$5</c:f>
              <c:numCache>
                <c:formatCode>General</c:formatCode>
                <c:ptCount val="4"/>
                <c:pt idx="0">
                  <c:v>190</c:v>
                </c:pt>
                <c:pt idx="1">
                  <c:v>230</c:v>
                </c:pt>
                <c:pt idx="2">
                  <c:v>270</c:v>
                </c:pt>
              </c:numCache>
            </c:numRef>
          </c:val>
          <c:extLst>
            <c:ext xmlns:c16="http://schemas.microsoft.com/office/drawing/2014/chart" uri="{C3380CC4-5D6E-409C-BE32-E72D297353CC}">
              <c16:uniqueId val="{00000002-6D41-48D7-B80C-77132329830B}"/>
            </c:ext>
          </c:extLst>
        </c:ser>
        <c:dLbls>
          <c:showLegendKey val="0"/>
          <c:showVal val="0"/>
          <c:showCatName val="0"/>
          <c:showSerName val="0"/>
          <c:showPercent val="0"/>
          <c:showBubbleSize val="0"/>
        </c:dLbls>
        <c:gapWidth val="100"/>
        <c:overlap val="-24"/>
        <c:axId val="346164000"/>
        <c:axId val="432440184"/>
      </c:barChart>
      <c:catAx>
        <c:axId val="34616400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ZW"/>
                  <a:t>Time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2440184"/>
        <c:crosses val="autoZero"/>
        <c:auto val="1"/>
        <c:lblAlgn val="ctr"/>
        <c:lblOffset val="100"/>
        <c:noMultiLvlLbl val="0"/>
      </c:catAx>
      <c:valAx>
        <c:axId val="43244018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ZW"/>
                  <a:t>weight (g)</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616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9CDCFC8-0C7B-48D9-A823-097E9E067C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5086</Words>
  <Characters>28993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Joey chifamba</cp:lastModifiedBy>
  <cp:revision>4</cp:revision>
  <dcterms:created xsi:type="dcterms:W3CDTF">2025-06-25T13:36:00Z</dcterms:created>
  <dcterms:modified xsi:type="dcterms:W3CDTF">2025-06-25T15:59:00Z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8C7DBCD8BAC7484B9EDF3467A6C4BA38_13</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ies>
</file>