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CD031" w14:textId="77777777" w:rsidR="00B92A79" w:rsidRPr="00B92A79" w:rsidRDefault="00B92A79" w:rsidP="00B92A79">
      <w:pPr>
        <w:spacing w:line="360" w:lineRule="auto"/>
        <w:jc w:val="center"/>
        <w:rPr>
          <w:rFonts w:ascii="Times New Roman" w:hAnsi="Times New Roman" w:cs="Times New Roman"/>
          <w:b/>
          <w:bCs/>
          <w:i/>
          <w:iCs/>
          <w:sz w:val="24"/>
          <w:szCs w:val="24"/>
          <w:u w:val="single"/>
          <w:lang w:val="en-US"/>
        </w:rPr>
      </w:pPr>
      <w:bookmarkStart w:id="0" w:name="_GoBack"/>
      <w:bookmarkEnd w:id="0"/>
      <w:r w:rsidRPr="00B92A79">
        <w:rPr>
          <w:rFonts w:ascii="Times New Roman" w:hAnsi="Times New Roman" w:cs="Times New Roman"/>
          <w:b/>
          <w:bCs/>
          <w:i/>
          <w:iCs/>
          <w:sz w:val="24"/>
          <w:szCs w:val="24"/>
          <w:u w:val="single"/>
          <w:lang w:val="en-US"/>
        </w:rPr>
        <w:t>Original Research Article</w:t>
      </w:r>
    </w:p>
    <w:p w14:paraId="252AA30E" w14:textId="77777777" w:rsidR="007E4912" w:rsidRDefault="007E4912" w:rsidP="007E4912">
      <w:pPr>
        <w:spacing w:line="360" w:lineRule="auto"/>
        <w:jc w:val="center"/>
        <w:rPr>
          <w:rFonts w:ascii="Times New Roman" w:hAnsi="Times New Roman" w:cs="Times New Roman"/>
          <w:b/>
          <w:bCs/>
          <w:sz w:val="24"/>
          <w:szCs w:val="24"/>
        </w:rPr>
      </w:pPr>
      <w:r w:rsidRPr="007E4912">
        <w:rPr>
          <w:rFonts w:ascii="Times New Roman" w:hAnsi="Times New Roman" w:cs="Times New Roman"/>
          <w:b/>
          <w:bCs/>
          <w:sz w:val="24"/>
          <w:szCs w:val="24"/>
        </w:rPr>
        <w:t>Formulation and Physicochemical Characterization of Sea Buckthorn Oil Microcapsules</w:t>
      </w:r>
    </w:p>
    <w:p w14:paraId="2122A676" w14:textId="2E94FFEB" w:rsidR="000D1A99" w:rsidRPr="00F9215C" w:rsidRDefault="000D1A99" w:rsidP="004A3C2A">
      <w:pPr>
        <w:spacing w:line="360" w:lineRule="auto"/>
        <w:jc w:val="both"/>
        <w:rPr>
          <w:rFonts w:ascii="Times New Roman" w:hAnsi="Times New Roman" w:cs="Times New Roman"/>
          <w:b/>
          <w:bCs/>
          <w:sz w:val="24"/>
          <w:szCs w:val="24"/>
        </w:rPr>
      </w:pPr>
      <w:r w:rsidRPr="00F9215C">
        <w:rPr>
          <w:rFonts w:ascii="Times New Roman" w:hAnsi="Times New Roman" w:cs="Times New Roman"/>
          <w:b/>
          <w:bCs/>
          <w:sz w:val="24"/>
          <w:szCs w:val="24"/>
        </w:rPr>
        <w:t>Abstract</w:t>
      </w:r>
    </w:p>
    <w:p w14:paraId="2BDD5593" w14:textId="77777777" w:rsidR="00EE35BA" w:rsidRDefault="00EE35BA" w:rsidP="004A3C2A">
      <w:pPr>
        <w:spacing w:line="360" w:lineRule="auto"/>
        <w:jc w:val="both"/>
        <w:rPr>
          <w:rFonts w:ascii="Times New Roman" w:hAnsi="Times New Roman" w:cs="Times New Roman"/>
          <w:sz w:val="24"/>
          <w:szCs w:val="24"/>
        </w:rPr>
      </w:pPr>
      <w:r w:rsidRPr="00EE35BA">
        <w:rPr>
          <w:rFonts w:ascii="Times New Roman" w:hAnsi="Times New Roman" w:cs="Times New Roman"/>
          <w:sz w:val="24"/>
          <w:szCs w:val="24"/>
        </w:rPr>
        <w:t xml:space="preserve">This study was undertaken to develop microencapsulated powders of </w:t>
      </w:r>
      <w:proofErr w:type="spellStart"/>
      <w:r w:rsidRPr="00EE35BA">
        <w:rPr>
          <w:rFonts w:ascii="Times New Roman" w:hAnsi="Times New Roman" w:cs="Times New Roman"/>
          <w:i/>
          <w:iCs/>
          <w:sz w:val="24"/>
          <w:szCs w:val="24"/>
        </w:rPr>
        <w:t>Hippophae</w:t>
      </w:r>
      <w:proofErr w:type="spellEnd"/>
      <w:r w:rsidRPr="00EE35BA">
        <w:rPr>
          <w:rFonts w:ascii="Times New Roman" w:hAnsi="Times New Roman" w:cs="Times New Roman"/>
          <w:i/>
          <w:iCs/>
          <w:sz w:val="24"/>
          <w:szCs w:val="24"/>
        </w:rPr>
        <w:t xml:space="preserve"> </w:t>
      </w:r>
      <w:proofErr w:type="spellStart"/>
      <w:r w:rsidRPr="00EE35BA">
        <w:rPr>
          <w:rFonts w:ascii="Times New Roman" w:hAnsi="Times New Roman" w:cs="Times New Roman"/>
          <w:i/>
          <w:iCs/>
          <w:sz w:val="24"/>
          <w:szCs w:val="24"/>
        </w:rPr>
        <w:t>rhamnoides</w:t>
      </w:r>
      <w:proofErr w:type="spellEnd"/>
      <w:r w:rsidRPr="00EE35BA">
        <w:rPr>
          <w:rFonts w:ascii="Times New Roman" w:hAnsi="Times New Roman" w:cs="Times New Roman"/>
          <w:sz w:val="24"/>
          <w:szCs w:val="24"/>
        </w:rPr>
        <w:t xml:space="preserve"> (sea buckthorn) seed oil utilizing maltodextrin and inulin as encapsulating wall materials through spray drying technology. The investigation primarily focused on elucidating the influence of wall material composition and processing parameters on the physicochemical, morphological, and structural characteristics of the resultant microcapsules. Optimal encapsulation conditions were established at a maltodextrin-to-inulin ratio of 1:2, with a total wall concentration of 15%, a core-to-wall ratio of 1:3, and an inlet temperature of 160°C. The optimized formulation demonstrated superior encapsulation efficiency alongside desirable physical stability and particle size distribution conducive to controlled release applications. FTIR spectral analysis further validated the successful entrapment of seed oil within the encapsulating matrix by confirming the presence of characteristic functional groups attributed to both core and wall constituents. Overall, the findings highlight the pivotal role of formulation and process optimization in the development of stable microencapsulated seed oil powders, which possess significant potential for application in functional food and nutraceutical products, particularly for enhancing oxidative stability, targeted delivery, and shelf-life extension of bioactive compounds.</w:t>
      </w:r>
    </w:p>
    <w:p w14:paraId="68B95292" w14:textId="60A56E64" w:rsidR="00C9120F" w:rsidRDefault="00C9120F" w:rsidP="004A3C2A">
      <w:pPr>
        <w:spacing w:line="360" w:lineRule="auto"/>
        <w:jc w:val="both"/>
        <w:rPr>
          <w:rFonts w:ascii="Times New Roman" w:hAnsi="Times New Roman" w:cs="Times New Roman"/>
          <w:sz w:val="24"/>
          <w:szCs w:val="24"/>
        </w:rPr>
      </w:pPr>
      <w:r w:rsidRPr="00F9215C">
        <w:rPr>
          <w:rFonts w:ascii="Times New Roman" w:hAnsi="Times New Roman" w:cs="Times New Roman"/>
          <w:b/>
          <w:bCs/>
          <w:sz w:val="24"/>
          <w:szCs w:val="24"/>
        </w:rPr>
        <w:t>Keywords:</w:t>
      </w:r>
      <w:r>
        <w:rPr>
          <w:rFonts w:ascii="Times New Roman" w:hAnsi="Times New Roman" w:cs="Times New Roman"/>
          <w:sz w:val="24"/>
          <w:szCs w:val="24"/>
        </w:rPr>
        <w:t xml:space="preserve"> </w:t>
      </w:r>
      <w:r w:rsidR="00EE35BA">
        <w:rPr>
          <w:rFonts w:ascii="Times New Roman" w:hAnsi="Times New Roman" w:cs="Times New Roman"/>
          <w:sz w:val="24"/>
          <w:szCs w:val="24"/>
        </w:rPr>
        <w:t>Particle size</w:t>
      </w:r>
      <w:r>
        <w:rPr>
          <w:rFonts w:ascii="Times New Roman" w:hAnsi="Times New Roman" w:cs="Times New Roman"/>
          <w:sz w:val="24"/>
          <w:szCs w:val="24"/>
        </w:rPr>
        <w:t>, Microencapsulation, Sea buckthorn seed oil,</w:t>
      </w:r>
      <w:r w:rsidR="00EE35BA">
        <w:rPr>
          <w:rFonts w:ascii="Times New Roman" w:hAnsi="Times New Roman" w:cs="Times New Roman"/>
          <w:sz w:val="24"/>
          <w:szCs w:val="24"/>
        </w:rPr>
        <w:t xml:space="preserve"> </w:t>
      </w:r>
      <w:r>
        <w:rPr>
          <w:rFonts w:ascii="Times New Roman" w:hAnsi="Times New Roman" w:cs="Times New Roman"/>
          <w:sz w:val="24"/>
          <w:szCs w:val="24"/>
        </w:rPr>
        <w:t>Encapsulation efficiency, Maltodextrin</w:t>
      </w:r>
    </w:p>
    <w:p w14:paraId="053B801C" w14:textId="56AE65F2" w:rsidR="00187E4E" w:rsidRDefault="00187E4E" w:rsidP="004A3C2A">
      <w:pPr>
        <w:spacing w:line="360" w:lineRule="auto"/>
        <w:jc w:val="both"/>
        <w:rPr>
          <w:rFonts w:ascii="Times New Roman" w:hAnsi="Times New Roman" w:cs="Times New Roman"/>
          <w:sz w:val="24"/>
          <w:szCs w:val="24"/>
        </w:rPr>
      </w:pPr>
    </w:p>
    <w:p w14:paraId="7B89E275" w14:textId="77777777" w:rsidR="00187E4E" w:rsidRDefault="00187E4E" w:rsidP="004A3C2A">
      <w:pPr>
        <w:spacing w:line="360" w:lineRule="auto"/>
        <w:jc w:val="both"/>
        <w:rPr>
          <w:rFonts w:ascii="Times New Roman" w:hAnsi="Times New Roman" w:cs="Times New Roman"/>
          <w:sz w:val="24"/>
          <w:szCs w:val="24"/>
        </w:rPr>
      </w:pPr>
    </w:p>
    <w:p w14:paraId="4052E9CE" w14:textId="523171A5" w:rsidR="004A3C2A" w:rsidRPr="00F9215C" w:rsidRDefault="00273974" w:rsidP="004A3C2A">
      <w:pPr>
        <w:spacing w:line="360" w:lineRule="auto"/>
        <w:jc w:val="both"/>
        <w:rPr>
          <w:rFonts w:ascii="Times New Roman" w:hAnsi="Times New Roman" w:cs="Times New Roman"/>
          <w:b/>
          <w:bCs/>
          <w:sz w:val="24"/>
          <w:szCs w:val="24"/>
        </w:rPr>
      </w:pPr>
      <w:r w:rsidRPr="00F9215C">
        <w:rPr>
          <w:rFonts w:ascii="Times New Roman" w:hAnsi="Times New Roman" w:cs="Times New Roman"/>
          <w:b/>
          <w:bCs/>
          <w:sz w:val="24"/>
          <w:szCs w:val="24"/>
        </w:rPr>
        <w:t>1-</w:t>
      </w:r>
      <w:r w:rsidR="004A3C2A" w:rsidRPr="00F9215C">
        <w:rPr>
          <w:rFonts w:ascii="Times New Roman" w:hAnsi="Times New Roman" w:cs="Times New Roman"/>
          <w:b/>
          <w:bCs/>
          <w:sz w:val="24"/>
          <w:szCs w:val="24"/>
        </w:rPr>
        <w:t>Introduction</w:t>
      </w:r>
    </w:p>
    <w:p w14:paraId="0B60553C" w14:textId="74F32CBC" w:rsidR="00BB54A5" w:rsidRPr="004A3C2A" w:rsidRDefault="00BB54A5" w:rsidP="004A3C2A">
      <w:pPr>
        <w:spacing w:line="360" w:lineRule="auto"/>
        <w:jc w:val="both"/>
        <w:rPr>
          <w:rFonts w:ascii="Times New Roman" w:hAnsi="Times New Roman" w:cs="Times New Roman"/>
          <w:sz w:val="24"/>
          <w:szCs w:val="24"/>
        </w:rPr>
      </w:pPr>
      <w:r w:rsidRPr="004A3C2A">
        <w:rPr>
          <w:rFonts w:ascii="Times New Roman" w:hAnsi="Times New Roman" w:cs="Times New Roman"/>
          <w:sz w:val="24"/>
          <w:szCs w:val="24"/>
        </w:rPr>
        <w:t xml:space="preserve">Herbal formulations have been utilized globally for centuries, serving both therapeutic and prophylactic purposes, as well as for promoting overall health. </w:t>
      </w:r>
      <w:proofErr w:type="spellStart"/>
      <w:r w:rsidRPr="004A3C2A">
        <w:rPr>
          <w:rFonts w:ascii="Times New Roman" w:hAnsi="Times New Roman" w:cs="Times New Roman"/>
          <w:i/>
          <w:iCs/>
          <w:sz w:val="24"/>
          <w:szCs w:val="24"/>
        </w:rPr>
        <w:t>Hippophae</w:t>
      </w:r>
      <w:proofErr w:type="spellEnd"/>
      <w:r w:rsidRPr="004A3C2A">
        <w:rPr>
          <w:rFonts w:ascii="Times New Roman" w:hAnsi="Times New Roman" w:cs="Times New Roman"/>
          <w:i/>
          <w:iCs/>
          <w:sz w:val="24"/>
          <w:szCs w:val="24"/>
        </w:rPr>
        <w:t xml:space="preserve"> </w:t>
      </w:r>
      <w:proofErr w:type="spellStart"/>
      <w:r w:rsidRPr="004A3C2A">
        <w:rPr>
          <w:rFonts w:ascii="Times New Roman" w:hAnsi="Times New Roman" w:cs="Times New Roman"/>
          <w:i/>
          <w:iCs/>
          <w:sz w:val="24"/>
          <w:szCs w:val="24"/>
        </w:rPr>
        <w:t>rhamnoides</w:t>
      </w:r>
      <w:proofErr w:type="spellEnd"/>
      <w:r w:rsidRPr="004A3C2A">
        <w:rPr>
          <w:rFonts w:ascii="Times New Roman" w:hAnsi="Times New Roman" w:cs="Times New Roman"/>
          <w:sz w:val="24"/>
          <w:szCs w:val="24"/>
        </w:rPr>
        <w:t xml:space="preserve"> L., </w:t>
      </w:r>
      <w:r w:rsidR="002D29CE">
        <w:rPr>
          <w:rFonts w:ascii="Times New Roman" w:hAnsi="Times New Roman" w:cs="Times New Roman"/>
          <w:sz w:val="24"/>
          <w:szCs w:val="24"/>
        </w:rPr>
        <w:t xml:space="preserve">also known </w:t>
      </w:r>
      <w:r w:rsidRPr="004A3C2A">
        <w:rPr>
          <w:rFonts w:ascii="Times New Roman" w:hAnsi="Times New Roman" w:cs="Times New Roman"/>
          <w:sz w:val="24"/>
          <w:szCs w:val="24"/>
        </w:rPr>
        <w:t>as sea buckthorn</w:t>
      </w:r>
      <w:r w:rsidR="002D29CE">
        <w:rPr>
          <w:rFonts w:ascii="Times New Roman" w:hAnsi="Times New Roman" w:cs="Times New Roman"/>
          <w:sz w:val="24"/>
          <w:szCs w:val="24"/>
        </w:rPr>
        <w:t>.</w:t>
      </w:r>
      <w:r w:rsidR="00EE35BA">
        <w:rPr>
          <w:rFonts w:ascii="Times New Roman" w:hAnsi="Times New Roman" w:cs="Times New Roman"/>
          <w:sz w:val="24"/>
          <w:szCs w:val="24"/>
        </w:rPr>
        <w:t xml:space="preserve"> </w:t>
      </w:r>
      <w:proofErr w:type="spellStart"/>
      <w:r w:rsidR="00EE35BA" w:rsidRPr="00566409">
        <w:rPr>
          <w:rFonts w:ascii="Times New Roman" w:hAnsi="Times New Roman" w:cs="Times New Roman"/>
          <w:i/>
          <w:iCs/>
          <w:sz w:val="24"/>
          <w:szCs w:val="24"/>
          <w:highlight w:val="yellow"/>
        </w:rPr>
        <w:t>Hippophae</w:t>
      </w:r>
      <w:proofErr w:type="spellEnd"/>
      <w:r w:rsidR="00EE35BA" w:rsidRPr="00566409">
        <w:rPr>
          <w:rFonts w:ascii="Times New Roman" w:hAnsi="Times New Roman" w:cs="Times New Roman"/>
          <w:i/>
          <w:iCs/>
          <w:sz w:val="24"/>
          <w:szCs w:val="24"/>
          <w:highlight w:val="yellow"/>
        </w:rPr>
        <w:t xml:space="preserve"> </w:t>
      </w:r>
      <w:proofErr w:type="spellStart"/>
      <w:r w:rsidR="00EE35BA" w:rsidRPr="00566409">
        <w:rPr>
          <w:rFonts w:ascii="Times New Roman" w:hAnsi="Times New Roman" w:cs="Times New Roman"/>
          <w:i/>
          <w:iCs/>
          <w:sz w:val="24"/>
          <w:szCs w:val="24"/>
          <w:highlight w:val="yellow"/>
        </w:rPr>
        <w:t>rhamnoides</w:t>
      </w:r>
      <w:proofErr w:type="spellEnd"/>
      <w:r w:rsidR="00EE35BA" w:rsidRPr="00566409">
        <w:rPr>
          <w:rFonts w:ascii="Times New Roman" w:hAnsi="Times New Roman" w:cs="Times New Roman"/>
          <w:sz w:val="24"/>
          <w:szCs w:val="24"/>
          <w:highlight w:val="yellow"/>
        </w:rPr>
        <w:t xml:space="preserve"> L., commonly known as sea buckthorn, is a hardy deciduous shrub widely distributed in the cold arid regions of the Indian Himalayas, particularly in Ladakh and Himachal Pradesh. It is valued for its nutrient-rich berries and seeds, </w:t>
      </w:r>
      <w:r w:rsidR="00EE35BA" w:rsidRPr="00566409">
        <w:rPr>
          <w:rFonts w:ascii="Times New Roman" w:hAnsi="Times New Roman" w:cs="Times New Roman"/>
          <w:sz w:val="24"/>
          <w:szCs w:val="24"/>
          <w:highlight w:val="yellow"/>
        </w:rPr>
        <w:lastRenderedPageBreak/>
        <w:t>containing high levels of bioactive compounds with therapeutic and nutraceutical significance (Singh et al., 2024).</w:t>
      </w:r>
      <w:r w:rsidR="002D29CE">
        <w:rPr>
          <w:rFonts w:ascii="Times New Roman" w:hAnsi="Times New Roman" w:cs="Times New Roman"/>
          <w:sz w:val="24"/>
          <w:szCs w:val="24"/>
        </w:rPr>
        <w:t xml:space="preserve"> It belongs </w:t>
      </w:r>
      <w:r w:rsidRPr="004A3C2A">
        <w:rPr>
          <w:rFonts w:ascii="Times New Roman" w:hAnsi="Times New Roman" w:cs="Times New Roman"/>
          <w:sz w:val="24"/>
          <w:szCs w:val="24"/>
        </w:rPr>
        <w:t xml:space="preserve">to the family </w:t>
      </w:r>
      <w:proofErr w:type="spellStart"/>
      <w:r w:rsidRPr="004A3C2A">
        <w:rPr>
          <w:rFonts w:ascii="Times New Roman" w:hAnsi="Times New Roman" w:cs="Times New Roman"/>
          <w:sz w:val="24"/>
          <w:szCs w:val="24"/>
        </w:rPr>
        <w:t>Elaeagnaceae</w:t>
      </w:r>
      <w:proofErr w:type="spellEnd"/>
      <w:r w:rsidRPr="004A3C2A">
        <w:rPr>
          <w:rFonts w:ascii="Times New Roman" w:hAnsi="Times New Roman" w:cs="Times New Roman"/>
          <w:sz w:val="24"/>
          <w:szCs w:val="24"/>
        </w:rPr>
        <w:t xml:space="preserve">, </w:t>
      </w:r>
      <w:r w:rsidR="002D29CE">
        <w:rPr>
          <w:rFonts w:ascii="Times New Roman" w:hAnsi="Times New Roman" w:cs="Times New Roman"/>
          <w:sz w:val="24"/>
          <w:szCs w:val="24"/>
        </w:rPr>
        <w:t xml:space="preserve">and is a </w:t>
      </w:r>
      <w:r w:rsidRPr="004A3C2A">
        <w:rPr>
          <w:rFonts w:ascii="Times New Roman" w:hAnsi="Times New Roman" w:cs="Times New Roman"/>
          <w:sz w:val="24"/>
          <w:szCs w:val="24"/>
        </w:rPr>
        <w:t>distinctive and highly valued plant that has garnered</w:t>
      </w:r>
      <w:r w:rsidR="00B629E9">
        <w:rPr>
          <w:rFonts w:ascii="Times New Roman" w:hAnsi="Times New Roman" w:cs="Times New Roman"/>
          <w:sz w:val="24"/>
          <w:szCs w:val="24"/>
        </w:rPr>
        <w:t xml:space="preserve"> rising</w:t>
      </w:r>
      <w:r w:rsidRPr="004A3C2A">
        <w:rPr>
          <w:rFonts w:ascii="Times New Roman" w:hAnsi="Times New Roman" w:cs="Times New Roman"/>
          <w:sz w:val="24"/>
          <w:szCs w:val="24"/>
        </w:rPr>
        <w:t xml:space="preserve"> scientific interest in recent years</w:t>
      </w:r>
      <w:r w:rsidR="00B629E9">
        <w:rPr>
          <w:rFonts w:ascii="Times New Roman" w:hAnsi="Times New Roman" w:cs="Times New Roman"/>
          <w:sz w:val="24"/>
          <w:szCs w:val="24"/>
        </w:rPr>
        <w:t xml:space="preserve"> because of</w:t>
      </w:r>
      <w:r w:rsidRPr="004A3C2A">
        <w:rPr>
          <w:rFonts w:ascii="Times New Roman" w:hAnsi="Times New Roman" w:cs="Times New Roman"/>
          <w:sz w:val="24"/>
          <w:szCs w:val="24"/>
        </w:rPr>
        <w:t xml:space="preserve"> its notable medicinal and nutritional attributes. </w:t>
      </w:r>
      <w:r w:rsidR="00DB288C" w:rsidRPr="00DB288C">
        <w:rPr>
          <w:rFonts w:ascii="Times New Roman" w:hAnsi="Times New Roman" w:cs="Times New Roman"/>
          <w:sz w:val="24"/>
          <w:szCs w:val="24"/>
        </w:rPr>
        <w:t>This spiny, nitrogen-enriching deciduous shrub naturally grows in the cold, dry regions of Europe and Asia</w:t>
      </w:r>
      <w:r w:rsidRPr="004A3C2A">
        <w:rPr>
          <w:rFonts w:ascii="Times New Roman" w:hAnsi="Times New Roman" w:cs="Times New Roman"/>
          <w:sz w:val="24"/>
          <w:szCs w:val="24"/>
        </w:rPr>
        <w:t xml:space="preserve">. Owing to its diverse bioactive properties, sea buckthorn has been cultivated in various regions worldwide for both nutritional and pharmaceutical applications </w:t>
      </w:r>
      <w:r w:rsidR="001510D1">
        <w:rPr>
          <w:rFonts w:ascii="Times New Roman" w:hAnsi="Times New Roman" w:cs="Times New Roman"/>
          <w:sz w:val="24"/>
          <w:szCs w:val="24"/>
        </w:rPr>
        <w:t>(</w:t>
      </w:r>
      <w:r w:rsidR="001510D1" w:rsidRPr="001510D1">
        <w:rPr>
          <w:rFonts w:ascii="Times New Roman" w:hAnsi="Times New Roman" w:cs="Times New Roman"/>
          <w:sz w:val="24"/>
          <w:szCs w:val="24"/>
        </w:rPr>
        <w:t>Ahani &amp; Attaran,</w:t>
      </w:r>
      <w:r w:rsidR="001510D1">
        <w:rPr>
          <w:rFonts w:ascii="Times New Roman" w:hAnsi="Times New Roman" w:cs="Times New Roman"/>
          <w:sz w:val="24"/>
          <w:szCs w:val="24"/>
        </w:rPr>
        <w:t xml:space="preserve"> </w:t>
      </w:r>
      <w:r w:rsidR="001510D1" w:rsidRPr="001510D1">
        <w:rPr>
          <w:rFonts w:ascii="Times New Roman" w:hAnsi="Times New Roman" w:cs="Times New Roman"/>
          <w:sz w:val="24"/>
          <w:szCs w:val="24"/>
        </w:rPr>
        <w:t>2022)</w:t>
      </w:r>
      <w:r w:rsidRPr="00DE53A8">
        <w:rPr>
          <w:rFonts w:ascii="Times New Roman" w:hAnsi="Times New Roman" w:cs="Times New Roman"/>
          <w:sz w:val="24"/>
          <w:szCs w:val="24"/>
        </w:rPr>
        <w:t>.</w:t>
      </w:r>
      <w:r w:rsidR="004A3C2A">
        <w:rPr>
          <w:rFonts w:ascii="Times New Roman" w:hAnsi="Times New Roman" w:cs="Times New Roman"/>
          <w:sz w:val="24"/>
          <w:szCs w:val="24"/>
        </w:rPr>
        <w:t xml:space="preserve"> </w:t>
      </w:r>
      <w:r w:rsidR="00B5575E" w:rsidRPr="00B5575E">
        <w:rPr>
          <w:rFonts w:ascii="Times New Roman" w:hAnsi="Times New Roman" w:cs="Times New Roman"/>
          <w:sz w:val="24"/>
          <w:szCs w:val="24"/>
        </w:rPr>
        <w:t xml:space="preserve">India possesses the most diverse germplasm resources for </w:t>
      </w:r>
      <w:proofErr w:type="spellStart"/>
      <w:r w:rsidR="00B5575E" w:rsidRPr="00B5575E">
        <w:rPr>
          <w:rFonts w:ascii="Times New Roman" w:hAnsi="Times New Roman" w:cs="Times New Roman"/>
          <w:i/>
          <w:iCs/>
          <w:sz w:val="24"/>
          <w:szCs w:val="24"/>
        </w:rPr>
        <w:t>Hippophae</w:t>
      </w:r>
      <w:proofErr w:type="spellEnd"/>
      <w:r w:rsidR="00B5575E" w:rsidRPr="00B5575E">
        <w:rPr>
          <w:rFonts w:ascii="Times New Roman" w:hAnsi="Times New Roman" w:cs="Times New Roman"/>
          <w:i/>
          <w:iCs/>
          <w:sz w:val="24"/>
          <w:szCs w:val="24"/>
        </w:rPr>
        <w:t xml:space="preserve"> </w:t>
      </w:r>
      <w:proofErr w:type="spellStart"/>
      <w:r w:rsidR="00B5575E" w:rsidRPr="00B5575E">
        <w:rPr>
          <w:rFonts w:ascii="Times New Roman" w:hAnsi="Times New Roman" w:cs="Times New Roman"/>
          <w:i/>
          <w:iCs/>
          <w:sz w:val="24"/>
          <w:szCs w:val="24"/>
        </w:rPr>
        <w:t>rhamnoides</w:t>
      </w:r>
      <w:proofErr w:type="spellEnd"/>
      <w:r w:rsidR="00B5575E" w:rsidRPr="00B5575E">
        <w:rPr>
          <w:rFonts w:ascii="Times New Roman" w:hAnsi="Times New Roman" w:cs="Times New Roman"/>
          <w:sz w:val="24"/>
          <w:szCs w:val="24"/>
        </w:rPr>
        <w:t>, with the northern and southwestern regions exhibiting the greatest global concentration of this species</w:t>
      </w:r>
      <w:r w:rsidRPr="004A3C2A">
        <w:rPr>
          <w:rFonts w:ascii="Times New Roman" w:hAnsi="Times New Roman" w:cs="Times New Roman"/>
          <w:sz w:val="24"/>
          <w:szCs w:val="24"/>
        </w:rPr>
        <w:t>.</w:t>
      </w:r>
    </w:p>
    <w:p w14:paraId="21ED4140" w14:textId="489F6D31" w:rsidR="00BB54A5" w:rsidRPr="004A3C2A" w:rsidRDefault="00BB54A5" w:rsidP="004A3C2A">
      <w:pPr>
        <w:spacing w:line="360" w:lineRule="auto"/>
        <w:jc w:val="both"/>
        <w:rPr>
          <w:rFonts w:ascii="Times New Roman" w:hAnsi="Times New Roman" w:cs="Times New Roman"/>
          <w:sz w:val="24"/>
          <w:szCs w:val="24"/>
        </w:rPr>
      </w:pPr>
      <w:r w:rsidRPr="004A3C2A">
        <w:rPr>
          <w:rFonts w:ascii="Times New Roman" w:hAnsi="Times New Roman" w:cs="Times New Roman"/>
          <w:sz w:val="24"/>
          <w:szCs w:val="24"/>
        </w:rPr>
        <w:t xml:space="preserve">The seeds of </w:t>
      </w:r>
      <w:proofErr w:type="spellStart"/>
      <w:r w:rsidRPr="004A3C2A">
        <w:rPr>
          <w:rFonts w:ascii="Times New Roman" w:hAnsi="Times New Roman" w:cs="Times New Roman"/>
          <w:i/>
          <w:iCs/>
          <w:sz w:val="24"/>
          <w:szCs w:val="24"/>
        </w:rPr>
        <w:t>Hippophae</w:t>
      </w:r>
      <w:proofErr w:type="spellEnd"/>
      <w:r w:rsidRPr="004A3C2A">
        <w:rPr>
          <w:rFonts w:ascii="Times New Roman" w:hAnsi="Times New Roman" w:cs="Times New Roman"/>
          <w:i/>
          <w:iCs/>
          <w:sz w:val="24"/>
          <w:szCs w:val="24"/>
        </w:rPr>
        <w:t xml:space="preserve"> </w:t>
      </w:r>
      <w:proofErr w:type="spellStart"/>
      <w:r w:rsidRPr="004A3C2A">
        <w:rPr>
          <w:rFonts w:ascii="Times New Roman" w:hAnsi="Times New Roman" w:cs="Times New Roman"/>
          <w:i/>
          <w:iCs/>
          <w:sz w:val="24"/>
          <w:szCs w:val="24"/>
        </w:rPr>
        <w:t>rhamnoides</w:t>
      </w:r>
      <w:proofErr w:type="spellEnd"/>
      <w:r w:rsidRPr="004A3C2A">
        <w:rPr>
          <w:rFonts w:ascii="Times New Roman" w:hAnsi="Times New Roman" w:cs="Times New Roman"/>
          <w:sz w:val="24"/>
          <w:szCs w:val="24"/>
        </w:rPr>
        <w:t xml:space="preserve"> fruit are non-edible and constitute approximately 23% of the total fruit weight (w/w), containing an oil content ranging from 10.0% to 16.3%</w:t>
      </w:r>
      <w:r w:rsidR="00A501C7" w:rsidRPr="004A3C2A">
        <w:rPr>
          <w:rFonts w:ascii="Times New Roman" w:hAnsi="Times New Roman" w:cs="Times New Roman"/>
          <w:sz w:val="24"/>
          <w:szCs w:val="24"/>
        </w:rPr>
        <w:t xml:space="preserve"> (García, 2019).</w:t>
      </w:r>
      <w:r w:rsidR="009B5F70">
        <w:rPr>
          <w:rFonts w:ascii="Times New Roman" w:hAnsi="Times New Roman" w:cs="Times New Roman"/>
          <w:sz w:val="24"/>
          <w:szCs w:val="24"/>
        </w:rPr>
        <w:t xml:space="preserve"> </w:t>
      </w:r>
      <w:r w:rsidR="00A501C7" w:rsidRPr="004A3C2A">
        <w:rPr>
          <w:rFonts w:ascii="Times New Roman" w:hAnsi="Times New Roman" w:cs="Times New Roman"/>
          <w:sz w:val="24"/>
          <w:szCs w:val="24"/>
        </w:rPr>
        <w:t xml:space="preserve">The oil extracted from </w:t>
      </w:r>
      <w:proofErr w:type="spellStart"/>
      <w:r w:rsidR="00A501C7" w:rsidRPr="004A3C2A">
        <w:rPr>
          <w:rFonts w:ascii="Times New Roman" w:hAnsi="Times New Roman" w:cs="Times New Roman"/>
          <w:i/>
          <w:iCs/>
          <w:sz w:val="24"/>
          <w:szCs w:val="24"/>
        </w:rPr>
        <w:t>Hippophae</w:t>
      </w:r>
      <w:proofErr w:type="spellEnd"/>
      <w:r w:rsidR="00A501C7" w:rsidRPr="004A3C2A">
        <w:rPr>
          <w:rFonts w:ascii="Times New Roman" w:hAnsi="Times New Roman" w:cs="Times New Roman"/>
          <w:i/>
          <w:iCs/>
          <w:sz w:val="24"/>
          <w:szCs w:val="24"/>
        </w:rPr>
        <w:t xml:space="preserve"> </w:t>
      </w:r>
      <w:proofErr w:type="spellStart"/>
      <w:r w:rsidR="00A501C7" w:rsidRPr="004A3C2A">
        <w:rPr>
          <w:rFonts w:ascii="Times New Roman" w:hAnsi="Times New Roman" w:cs="Times New Roman"/>
          <w:i/>
          <w:iCs/>
          <w:sz w:val="24"/>
          <w:szCs w:val="24"/>
        </w:rPr>
        <w:t>rhamnoides</w:t>
      </w:r>
      <w:proofErr w:type="spellEnd"/>
      <w:r w:rsidR="00A501C7" w:rsidRPr="004A3C2A">
        <w:rPr>
          <w:rFonts w:ascii="Times New Roman" w:hAnsi="Times New Roman" w:cs="Times New Roman"/>
          <w:sz w:val="24"/>
          <w:szCs w:val="24"/>
        </w:rPr>
        <w:t xml:space="preserve"> seeds is particularly rich in unsaturated fatty acids (UFAs), </w:t>
      </w:r>
      <w:r w:rsidR="00B629E9">
        <w:rPr>
          <w:rFonts w:ascii="Times New Roman" w:hAnsi="Times New Roman" w:cs="Times New Roman"/>
          <w:sz w:val="24"/>
          <w:szCs w:val="24"/>
        </w:rPr>
        <w:t xml:space="preserve">having </w:t>
      </w:r>
      <w:r w:rsidR="00A501C7" w:rsidRPr="004A3C2A">
        <w:rPr>
          <w:rFonts w:ascii="Times New Roman" w:hAnsi="Times New Roman" w:cs="Times New Roman"/>
          <w:sz w:val="24"/>
          <w:szCs w:val="24"/>
        </w:rPr>
        <w:t>approximately 71.2% to 76.0% of the total lipid content. The predominant UFAs include oleic acid (OA), linoleic acid (LA), and α-linolenic acid (ALA). Oleic acid, a monounsaturated fatty acid, has been associated with a reduced risk of cardiovascular diseases through its ability to lower serum triglyceride (TG) levels (</w:t>
      </w:r>
      <w:proofErr w:type="spellStart"/>
      <w:r w:rsidR="00E04052" w:rsidRPr="00E04052">
        <w:rPr>
          <w:rFonts w:ascii="Times New Roman" w:hAnsi="Times New Roman" w:cs="Times New Roman"/>
          <w:sz w:val="24"/>
          <w:szCs w:val="24"/>
        </w:rPr>
        <w:t>Marchlewicz</w:t>
      </w:r>
      <w:proofErr w:type="spellEnd"/>
      <w:r w:rsidR="00A501C7" w:rsidRPr="004A3C2A">
        <w:rPr>
          <w:rFonts w:ascii="Times New Roman" w:hAnsi="Times New Roman" w:cs="Times New Roman"/>
          <w:sz w:val="24"/>
          <w:szCs w:val="24"/>
        </w:rPr>
        <w:t xml:space="preserve"> et al., 20</w:t>
      </w:r>
      <w:r w:rsidR="00E04052">
        <w:rPr>
          <w:rFonts w:ascii="Times New Roman" w:hAnsi="Times New Roman" w:cs="Times New Roman"/>
          <w:sz w:val="24"/>
          <w:szCs w:val="24"/>
        </w:rPr>
        <w:t>24)</w:t>
      </w:r>
      <w:r w:rsidR="00A501C7" w:rsidRPr="004A3C2A">
        <w:rPr>
          <w:rFonts w:ascii="Times New Roman" w:hAnsi="Times New Roman" w:cs="Times New Roman"/>
          <w:sz w:val="24"/>
          <w:szCs w:val="24"/>
        </w:rPr>
        <w:t>.</w:t>
      </w:r>
      <w:r w:rsidR="009B5F70">
        <w:rPr>
          <w:rFonts w:ascii="Times New Roman" w:hAnsi="Times New Roman" w:cs="Times New Roman"/>
          <w:sz w:val="24"/>
          <w:szCs w:val="24"/>
        </w:rPr>
        <w:t xml:space="preserve"> </w:t>
      </w:r>
      <w:r w:rsidR="00A501C7" w:rsidRPr="004A3C2A">
        <w:rPr>
          <w:rFonts w:ascii="Times New Roman" w:hAnsi="Times New Roman" w:cs="Times New Roman"/>
          <w:sz w:val="24"/>
          <w:szCs w:val="24"/>
        </w:rPr>
        <w:t>Linoleic acid (LA) and α-linolenic acid (ALA) are polyunsaturated fatty acids classified as essential, as the</w:t>
      </w:r>
      <w:r w:rsidR="00B629E9">
        <w:rPr>
          <w:rFonts w:ascii="Times New Roman" w:hAnsi="Times New Roman" w:cs="Times New Roman"/>
          <w:sz w:val="24"/>
          <w:szCs w:val="24"/>
        </w:rPr>
        <w:t>ir</w:t>
      </w:r>
      <w:r w:rsidR="00A501C7" w:rsidRPr="004A3C2A">
        <w:rPr>
          <w:rFonts w:ascii="Times New Roman" w:hAnsi="Times New Roman" w:cs="Times New Roman"/>
          <w:sz w:val="24"/>
          <w:szCs w:val="24"/>
        </w:rPr>
        <w:t xml:space="preserve"> synthes</w:t>
      </w:r>
      <w:r w:rsidR="00B629E9">
        <w:rPr>
          <w:rFonts w:ascii="Times New Roman" w:hAnsi="Times New Roman" w:cs="Times New Roman"/>
          <w:sz w:val="24"/>
          <w:szCs w:val="24"/>
        </w:rPr>
        <w:t>is is not possible</w:t>
      </w:r>
      <w:r w:rsidR="00A501C7" w:rsidRPr="004A3C2A">
        <w:rPr>
          <w:rFonts w:ascii="Times New Roman" w:hAnsi="Times New Roman" w:cs="Times New Roman"/>
          <w:sz w:val="24"/>
          <w:szCs w:val="24"/>
        </w:rPr>
        <w:t xml:space="preserve"> endogenously and must be</w:t>
      </w:r>
      <w:r w:rsidR="00B629E9">
        <w:rPr>
          <w:rFonts w:ascii="Times New Roman" w:hAnsi="Times New Roman" w:cs="Times New Roman"/>
          <w:sz w:val="24"/>
          <w:szCs w:val="24"/>
        </w:rPr>
        <w:t xml:space="preserve"> acquired </w:t>
      </w:r>
      <w:r w:rsidR="00A501C7" w:rsidRPr="004A3C2A">
        <w:rPr>
          <w:rFonts w:ascii="Times New Roman" w:hAnsi="Times New Roman" w:cs="Times New Roman"/>
          <w:sz w:val="24"/>
          <w:szCs w:val="24"/>
        </w:rPr>
        <w:t>through the diet. Linoleic acid has been shown to reduce serum cholesterol levels and inhibit the formation of arterial thrombi, contributing to the prevention of cardiovascular and cerebrovascular disorders (</w:t>
      </w:r>
      <w:r w:rsidR="003109E1" w:rsidRPr="003109E1">
        <w:rPr>
          <w:rFonts w:ascii="Times New Roman" w:hAnsi="Times New Roman" w:cs="Times New Roman"/>
          <w:sz w:val="24"/>
          <w:szCs w:val="24"/>
        </w:rPr>
        <w:t>Wang et al., 2022</w:t>
      </w:r>
      <w:r w:rsidR="00A501C7" w:rsidRPr="004A3C2A">
        <w:rPr>
          <w:rFonts w:ascii="Times New Roman" w:hAnsi="Times New Roman" w:cs="Times New Roman"/>
          <w:sz w:val="24"/>
          <w:szCs w:val="24"/>
        </w:rPr>
        <w:t>). Alpha-linolenic acid (ALA) is crucial for the neurological and visual development of infants and children, and it also contributes to the regulation and maintenance of normal blood lipid profiles in adults (Syren et al., 2018</w:t>
      </w:r>
      <w:r w:rsidR="00B629E9" w:rsidRPr="004A3C2A">
        <w:rPr>
          <w:rFonts w:ascii="Times New Roman" w:hAnsi="Times New Roman" w:cs="Times New Roman"/>
          <w:sz w:val="24"/>
          <w:szCs w:val="24"/>
        </w:rPr>
        <w:t>;</w:t>
      </w:r>
      <w:r w:rsidR="009B5F70">
        <w:rPr>
          <w:rFonts w:ascii="Times New Roman" w:hAnsi="Times New Roman" w:cs="Times New Roman"/>
          <w:sz w:val="24"/>
          <w:szCs w:val="24"/>
        </w:rPr>
        <w:t xml:space="preserve"> </w:t>
      </w:r>
      <w:r w:rsidR="00A501C7" w:rsidRPr="004A3C2A">
        <w:rPr>
          <w:rFonts w:ascii="Times New Roman" w:hAnsi="Times New Roman" w:cs="Times New Roman"/>
          <w:sz w:val="24"/>
          <w:szCs w:val="24"/>
        </w:rPr>
        <w:t xml:space="preserve">Van Der </w:t>
      </w:r>
      <w:proofErr w:type="spellStart"/>
      <w:r w:rsidR="00A501C7" w:rsidRPr="004A3C2A">
        <w:rPr>
          <w:rFonts w:ascii="Times New Roman" w:hAnsi="Times New Roman" w:cs="Times New Roman"/>
          <w:sz w:val="24"/>
          <w:szCs w:val="24"/>
        </w:rPr>
        <w:t>Wurff</w:t>
      </w:r>
      <w:proofErr w:type="spellEnd"/>
      <w:r w:rsidR="00A501C7" w:rsidRPr="004A3C2A">
        <w:rPr>
          <w:rFonts w:ascii="Times New Roman" w:hAnsi="Times New Roman" w:cs="Times New Roman"/>
          <w:sz w:val="24"/>
          <w:szCs w:val="24"/>
        </w:rPr>
        <w:t xml:space="preserve"> et al., 2020).</w:t>
      </w:r>
      <w:r w:rsidR="009B5F70">
        <w:rPr>
          <w:rFonts w:ascii="Times New Roman" w:hAnsi="Times New Roman" w:cs="Times New Roman"/>
          <w:sz w:val="24"/>
          <w:szCs w:val="24"/>
        </w:rPr>
        <w:t xml:space="preserve"> </w:t>
      </w:r>
      <w:r w:rsidR="00A501C7" w:rsidRPr="004A3C2A">
        <w:rPr>
          <w:rFonts w:ascii="Times New Roman" w:hAnsi="Times New Roman" w:cs="Times New Roman"/>
          <w:sz w:val="24"/>
          <w:szCs w:val="24"/>
        </w:rPr>
        <w:t xml:space="preserve">The concentration and relative proportions of oleic acid (OA), linoleic acid (LA), and α-linolenic acid (ALA) serve as key parameters in assessing the nutritional quality of edible oils. In </w:t>
      </w:r>
      <w:proofErr w:type="spellStart"/>
      <w:r w:rsidR="00A501C7" w:rsidRPr="004A3C2A">
        <w:rPr>
          <w:rFonts w:ascii="Times New Roman" w:hAnsi="Times New Roman" w:cs="Times New Roman"/>
          <w:i/>
          <w:iCs/>
          <w:sz w:val="24"/>
          <w:szCs w:val="24"/>
        </w:rPr>
        <w:t>Hippophae</w:t>
      </w:r>
      <w:proofErr w:type="spellEnd"/>
      <w:r w:rsidR="00A501C7" w:rsidRPr="004A3C2A">
        <w:rPr>
          <w:rFonts w:ascii="Times New Roman" w:hAnsi="Times New Roman" w:cs="Times New Roman"/>
          <w:i/>
          <w:iCs/>
          <w:sz w:val="24"/>
          <w:szCs w:val="24"/>
        </w:rPr>
        <w:t xml:space="preserve"> </w:t>
      </w:r>
      <w:proofErr w:type="spellStart"/>
      <w:r w:rsidR="00A501C7" w:rsidRPr="004A3C2A">
        <w:rPr>
          <w:rFonts w:ascii="Times New Roman" w:hAnsi="Times New Roman" w:cs="Times New Roman"/>
          <w:i/>
          <w:iCs/>
          <w:sz w:val="24"/>
          <w:szCs w:val="24"/>
        </w:rPr>
        <w:t>rhamnoides</w:t>
      </w:r>
      <w:proofErr w:type="spellEnd"/>
      <w:r w:rsidR="00A501C7" w:rsidRPr="004A3C2A">
        <w:rPr>
          <w:rFonts w:ascii="Times New Roman" w:hAnsi="Times New Roman" w:cs="Times New Roman"/>
          <w:sz w:val="24"/>
          <w:szCs w:val="24"/>
        </w:rPr>
        <w:t xml:space="preserve"> seed oil, the typical ratio of OA to LA to ALA is approximately 1:4:2</w:t>
      </w:r>
      <w:r w:rsidR="00753778" w:rsidRPr="004A3C2A">
        <w:rPr>
          <w:rFonts w:ascii="Times New Roman" w:hAnsi="Times New Roman" w:cs="Times New Roman"/>
          <w:sz w:val="24"/>
          <w:szCs w:val="24"/>
        </w:rPr>
        <w:t xml:space="preserve"> (</w:t>
      </w:r>
      <w:proofErr w:type="spellStart"/>
      <w:r w:rsidR="00753778" w:rsidRPr="004A3C2A">
        <w:rPr>
          <w:rFonts w:ascii="Times New Roman" w:hAnsi="Times New Roman" w:cs="Times New Roman"/>
          <w:sz w:val="24"/>
          <w:szCs w:val="24"/>
        </w:rPr>
        <w:t>Solà</w:t>
      </w:r>
      <w:proofErr w:type="spellEnd"/>
      <w:r w:rsidR="00753778" w:rsidRPr="004A3C2A">
        <w:rPr>
          <w:rFonts w:ascii="Times New Roman" w:hAnsi="Times New Roman" w:cs="Times New Roman"/>
          <w:sz w:val="24"/>
          <w:szCs w:val="24"/>
        </w:rPr>
        <w:t xml:space="preserve"> </w:t>
      </w:r>
      <w:proofErr w:type="spellStart"/>
      <w:r w:rsidR="00753778" w:rsidRPr="004A3C2A">
        <w:rPr>
          <w:rFonts w:ascii="Times New Roman" w:hAnsi="Times New Roman" w:cs="Times New Roman"/>
          <w:sz w:val="24"/>
          <w:szCs w:val="24"/>
        </w:rPr>
        <w:t>Marsiñach</w:t>
      </w:r>
      <w:proofErr w:type="spellEnd"/>
      <w:r w:rsidR="00753778" w:rsidRPr="004A3C2A">
        <w:rPr>
          <w:rFonts w:ascii="Times New Roman" w:hAnsi="Times New Roman" w:cs="Times New Roman"/>
          <w:sz w:val="24"/>
          <w:szCs w:val="24"/>
        </w:rPr>
        <w:t xml:space="preserve"> &amp; Cuenca, 2019</w:t>
      </w:r>
      <w:proofErr w:type="gramStart"/>
      <w:r w:rsidR="00753778" w:rsidRPr="004A3C2A">
        <w:rPr>
          <w:rFonts w:ascii="Times New Roman" w:hAnsi="Times New Roman" w:cs="Times New Roman"/>
          <w:sz w:val="24"/>
          <w:szCs w:val="24"/>
        </w:rPr>
        <w:t>).Besides</w:t>
      </w:r>
      <w:proofErr w:type="gramEnd"/>
      <w:r w:rsidR="00753778" w:rsidRPr="004A3C2A">
        <w:rPr>
          <w:rFonts w:ascii="Times New Roman" w:hAnsi="Times New Roman" w:cs="Times New Roman"/>
          <w:sz w:val="24"/>
          <w:szCs w:val="24"/>
        </w:rPr>
        <w:t xml:space="preserve"> unsaturated fatty acids, </w:t>
      </w:r>
      <w:proofErr w:type="spellStart"/>
      <w:r w:rsidR="00753778" w:rsidRPr="004A3C2A">
        <w:rPr>
          <w:rFonts w:ascii="Times New Roman" w:hAnsi="Times New Roman" w:cs="Times New Roman"/>
          <w:i/>
          <w:iCs/>
          <w:sz w:val="24"/>
          <w:szCs w:val="24"/>
        </w:rPr>
        <w:t>Hippophae</w:t>
      </w:r>
      <w:proofErr w:type="spellEnd"/>
      <w:r w:rsidR="00753778" w:rsidRPr="004A3C2A">
        <w:rPr>
          <w:rFonts w:ascii="Times New Roman" w:hAnsi="Times New Roman" w:cs="Times New Roman"/>
          <w:i/>
          <w:iCs/>
          <w:sz w:val="24"/>
          <w:szCs w:val="24"/>
        </w:rPr>
        <w:t xml:space="preserve"> </w:t>
      </w:r>
      <w:proofErr w:type="spellStart"/>
      <w:r w:rsidR="00753778" w:rsidRPr="004A3C2A">
        <w:rPr>
          <w:rFonts w:ascii="Times New Roman" w:hAnsi="Times New Roman" w:cs="Times New Roman"/>
          <w:i/>
          <w:iCs/>
          <w:sz w:val="24"/>
          <w:szCs w:val="24"/>
        </w:rPr>
        <w:t>rhamnoides</w:t>
      </w:r>
      <w:proofErr w:type="spellEnd"/>
      <w:r w:rsidR="00753778" w:rsidRPr="004A3C2A">
        <w:rPr>
          <w:rFonts w:ascii="Times New Roman" w:hAnsi="Times New Roman" w:cs="Times New Roman"/>
          <w:sz w:val="24"/>
          <w:szCs w:val="24"/>
        </w:rPr>
        <w:t xml:space="preserve"> seed oil is enriched with a variety of bioactive compounds, including carotenoids, vitamins, polyphenols, and flavonoids, which exhibit antioxidant, antibacterial, antiviral, and immunomodulatory activities (Bouras et al., 2017).</w:t>
      </w:r>
      <w:r w:rsidR="00B629E9">
        <w:rPr>
          <w:rFonts w:ascii="Times New Roman" w:hAnsi="Times New Roman" w:cs="Times New Roman"/>
          <w:sz w:val="24"/>
          <w:szCs w:val="24"/>
        </w:rPr>
        <w:t xml:space="preserve"> </w:t>
      </w:r>
      <w:r w:rsidR="00753778" w:rsidRPr="004A3C2A">
        <w:rPr>
          <w:rFonts w:ascii="Times New Roman" w:hAnsi="Times New Roman" w:cs="Times New Roman"/>
          <w:sz w:val="24"/>
          <w:szCs w:val="24"/>
        </w:rPr>
        <w:t xml:space="preserve">These properties position </w:t>
      </w:r>
      <w:proofErr w:type="spellStart"/>
      <w:r w:rsidR="00753778" w:rsidRPr="004A3C2A">
        <w:rPr>
          <w:rFonts w:ascii="Times New Roman" w:hAnsi="Times New Roman" w:cs="Times New Roman"/>
          <w:i/>
          <w:iCs/>
          <w:sz w:val="24"/>
          <w:szCs w:val="24"/>
        </w:rPr>
        <w:t>Hippophae</w:t>
      </w:r>
      <w:proofErr w:type="spellEnd"/>
      <w:r w:rsidR="00753778" w:rsidRPr="004A3C2A">
        <w:rPr>
          <w:rFonts w:ascii="Times New Roman" w:hAnsi="Times New Roman" w:cs="Times New Roman"/>
          <w:i/>
          <w:iCs/>
          <w:sz w:val="24"/>
          <w:szCs w:val="24"/>
        </w:rPr>
        <w:t xml:space="preserve"> </w:t>
      </w:r>
      <w:proofErr w:type="spellStart"/>
      <w:r w:rsidR="00753778" w:rsidRPr="004A3C2A">
        <w:rPr>
          <w:rFonts w:ascii="Times New Roman" w:hAnsi="Times New Roman" w:cs="Times New Roman"/>
          <w:i/>
          <w:iCs/>
          <w:sz w:val="24"/>
          <w:szCs w:val="24"/>
        </w:rPr>
        <w:t>rhamnoides</w:t>
      </w:r>
      <w:proofErr w:type="spellEnd"/>
      <w:r w:rsidR="00753778" w:rsidRPr="004A3C2A">
        <w:rPr>
          <w:rFonts w:ascii="Times New Roman" w:hAnsi="Times New Roman" w:cs="Times New Roman"/>
          <w:sz w:val="24"/>
          <w:szCs w:val="24"/>
        </w:rPr>
        <w:t xml:space="preserve"> seed oil as a highly promising functional edible oil.</w:t>
      </w:r>
    </w:p>
    <w:p w14:paraId="5A880E4E" w14:textId="3E452943" w:rsidR="00F1437E" w:rsidRPr="004A3C2A" w:rsidRDefault="00753778" w:rsidP="004A3C2A">
      <w:pPr>
        <w:spacing w:line="360" w:lineRule="auto"/>
        <w:jc w:val="both"/>
        <w:rPr>
          <w:rFonts w:ascii="Times New Roman" w:hAnsi="Times New Roman" w:cs="Times New Roman"/>
          <w:sz w:val="24"/>
          <w:szCs w:val="24"/>
        </w:rPr>
      </w:pPr>
      <w:r w:rsidRPr="004A3C2A">
        <w:rPr>
          <w:rFonts w:ascii="Times New Roman" w:hAnsi="Times New Roman" w:cs="Times New Roman"/>
          <w:sz w:val="24"/>
          <w:szCs w:val="24"/>
        </w:rPr>
        <w:t xml:space="preserve">Due to its high unsaturated fatty acid content, </w:t>
      </w:r>
      <w:proofErr w:type="spellStart"/>
      <w:r w:rsidRPr="004A3C2A">
        <w:rPr>
          <w:rFonts w:ascii="Times New Roman" w:hAnsi="Times New Roman" w:cs="Times New Roman"/>
          <w:i/>
          <w:iCs/>
          <w:sz w:val="24"/>
          <w:szCs w:val="24"/>
        </w:rPr>
        <w:t>Hippophae</w:t>
      </w:r>
      <w:proofErr w:type="spellEnd"/>
      <w:r w:rsidRPr="004A3C2A">
        <w:rPr>
          <w:rFonts w:ascii="Times New Roman" w:hAnsi="Times New Roman" w:cs="Times New Roman"/>
          <w:i/>
          <w:iCs/>
          <w:sz w:val="24"/>
          <w:szCs w:val="24"/>
        </w:rPr>
        <w:t xml:space="preserve"> </w:t>
      </w:r>
      <w:proofErr w:type="spellStart"/>
      <w:r w:rsidRPr="004A3C2A">
        <w:rPr>
          <w:rFonts w:ascii="Times New Roman" w:hAnsi="Times New Roman" w:cs="Times New Roman"/>
          <w:i/>
          <w:iCs/>
          <w:sz w:val="24"/>
          <w:szCs w:val="24"/>
        </w:rPr>
        <w:t>rhamnoides</w:t>
      </w:r>
      <w:proofErr w:type="spellEnd"/>
      <w:r w:rsidRPr="004A3C2A">
        <w:rPr>
          <w:rFonts w:ascii="Times New Roman" w:hAnsi="Times New Roman" w:cs="Times New Roman"/>
          <w:sz w:val="24"/>
          <w:szCs w:val="24"/>
        </w:rPr>
        <w:t xml:space="preserve"> seed oil is prone to oxidative degradation and rancidity upon exposure to air, which results in a limited shelf life </w:t>
      </w:r>
      <w:r w:rsidRPr="004A3C2A">
        <w:rPr>
          <w:rFonts w:ascii="Times New Roman" w:hAnsi="Times New Roman" w:cs="Times New Roman"/>
          <w:sz w:val="24"/>
          <w:szCs w:val="24"/>
        </w:rPr>
        <w:lastRenderedPageBreak/>
        <w:t>(Abd El-Aal et al., 2019).</w:t>
      </w:r>
      <w:r w:rsidR="00B629E9">
        <w:rPr>
          <w:rFonts w:ascii="Times New Roman" w:hAnsi="Times New Roman" w:cs="Times New Roman"/>
          <w:sz w:val="24"/>
          <w:szCs w:val="24"/>
        </w:rPr>
        <w:t xml:space="preserve"> </w:t>
      </w:r>
      <w:r w:rsidRPr="004A3C2A">
        <w:rPr>
          <w:rFonts w:ascii="Times New Roman" w:hAnsi="Times New Roman" w:cs="Times New Roman"/>
          <w:sz w:val="24"/>
          <w:szCs w:val="24"/>
        </w:rPr>
        <w:t>Oxidative processes negatively impact the organoleptic properties, diminish the bioactive efficacy, and lead to the formation of peroxides and free radicals, which have the potential to induce cellular damage and contribute to disease development (</w:t>
      </w:r>
      <w:proofErr w:type="spellStart"/>
      <w:r w:rsidRPr="004A3C2A">
        <w:rPr>
          <w:rFonts w:ascii="Times New Roman" w:hAnsi="Times New Roman" w:cs="Times New Roman"/>
          <w:sz w:val="24"/>
          <w:szCs w:val="24"/>
        </w:rPr>
        <w:t>Huirong</w:t>
      </w:r>
      <w:proofErr w:type="spellEnd"/>
      <w:r w:rsidRPr="004A3C2A">
        <w:rPr>
          <w:rFonts w:ascii="Times New Roman" w:hAnsi="Times New Roman" w:cs="Times New Roman"/>
          <w:sz w:val="24"/>
          <w:szCs w:val="24"/>
        </w:rPr>
        <w:t xml:space="preserve"> et al., 2021).</w:t>
      </w:r>
      <w:r w:rsidR="00B629E9">
        <w:rPr>
          <w:rFonts w:ascii="Times New Roman" w:hAnsi="Times New Roman" w:cs="Times New Roman"/>
          <w:sz w:val="24"/>
          <w:szCs w:val="24"/>
        </w:rPr>
        <w:t xml:space="preserve"> </w:t>
      </w:r>
      <w:r w:rsidRPr="004A3C2A">
        <w:rPr>
          <w:rFonts w:ascii="Times New Roman" w:hAnsi="Times New Roman" w:cs="Times New Roman"/>
          <w:sz w:val="24"/>
          <w:szCs w:val="24"/>
        </w:rPr>
        <w:t xml:space="preserve">Consequently, preventing the oxidation of </w:t>
      </w:r>
      <w:proofErr w:type="spellStart"/>
      <w:r w:rsidRPr="004A3C2A">
        <w:rPr>
          <w:rFonts w:ascii="Times New Roman" w:hAnsi="Times New Roman" w:cs="Times New Roman"/>
          <w:i/>
          <w:iCs/>
          <w:sz w:val="24"/>
          <w:szCs w:val="24"/>
        </w:rPr>
        <w:t>Hippophae</w:t>
      </w:r>
      <w:proofErr w:type="spellEnd"/>
      <w:r w:rsidRPr="004A3C2A">
        <w:rPr>
          <w:rFonts w:ascii="Times New Roman" w:hAnsi="Times New Roman" w:cs="Times New Roman"/>
          <w:i/>
          <w:iCs/>
          <w:sz w:val="24"/>
          <w:szCs w:val="24"/>
        </w:rPr>
        <w:t xml:space="preserve"> </w:t>
      </w:r>
      <w:proofErr w:type="spellStart"/>
      <w:r w:rsidRPr="004A3C2A">
        <w:rPr>
          <w:rFonts w:ascii="Times New Roman" w:hAnsi="Times New Roman" w:cs="Times New Roman"/>
          <w:i/>
          <w:iCs/>
          <w:sz w:val="24"/>
          <w:szCs w:val="24"/>
        </w:rPr>
        <w:t>rhamnoides</w:t>
      </w:r>
      <w:proofErr w:type="spellEnd"/>
      <w:r w:rsidRPr="004A3C2A">
        <w:rPr>
          <w:rFonts w:ascii="Times New Roman" w:hAnsi="Times New Roman" w:cs="Times New Roman"/>
          <w:sz w:val="24"/>
          <w:szCs w:val="24"/>
        </w:rPr>
        <w:t xml:space="preserve"> seed oil is critical to preserving its functional properties and ensuring its suitability for practical applications</w:t>
      </w:r>
      <w:r w:rsidR="00F1437E" w:rsidRPr="004A3C2A">
        <w:rPr>
          <w:rFonts w:ascii="Times New Roman" w:hAnsi="Times New Roman" w:cs="Times New Roman"/>
          <w:sz w:val="24"/>
          <w:szCs w:val="24"/>
        </w:rPr>
        <w:t>.</w:t>
      </w:r>
    </w:p>
    <w:p w14:paraId="10DB0A32" w14:textId="4FCFA696" w:rsidR="00BB54A5" w:rsidRPr="004A3C2A" w:rsidRDefault="00F1437E" w:rsidP="004A3C2A">
      <w:pPr>
        <w:spacing w:line="360" w:lineRule="auto"/>
        <w:jc w:val="both"/>
        <w:rPr>
          <w:rFonts w:ascii="Times New Roman" w:hAnsi="Times New Roman" w:cs="Times New Roman"/>
          <w:sz w:val="24"/>
          <w:szCs w:val="24"/>
        </w:rPr>
      </w:pPr>
      <w:r w:rsidRPr="004A3C2A">
        <w:rPr>
          <w:rFonts w:ascii="Times New Roman" w:hAnsi="Times New Roman" w:cs="Times New Roman"/>
          <w:sz w:val="24"/>
          <w:szCs w:val="24"/>
        </w:rPr>
        <w:t>Microencapsulation technology effectively protects unsaturated fatty acids from oxidation by encasing oil particles within a polymeric shell. This protective barrier minimizes exposure to oxygen by reducing the interaction between the oil and air, thereby inhibiting oxidative degradation and prolonging oil stability (Singh et al., 2021</w:t>
      </w:r>
      <w:proofErr w:type="gramStart"/>
      <w:r w:rsidRPr="004A3C2A">
        <w:rPr>
          <w:rFonts w:ascii="Times New Roman" w:hAnsi="Times New Roman" w:cs="Times New Roman"/>
          <w:sz w:val="24"/>
          <w:szCs w:val="24"/>
        </w:rPr>
        <w:t>).Spray</w:t>
      </w:r>
      <w:proofErr w:type="gramEnd"/>
      <w:r w:rsidRPr="004A3C2A">
        <w:rPr>
          <w:rFonts w:ascii="Times New Roman" w:hAnsi="Times New Roman" w:cs="Times New Roman"/>
          <w:sz w:val="24"/>
          <w:szCs w:val="24"/>
        </w:rPr>
        <w:t xml:space="preserve"> drying is a commonly employed technique for microcapsule production due to its high throughput, effective encapsulation efficiency, uniform particle size distribution, and operational simplicity (Yang et al., 2024).</w:t>
      </w:r>
      <w:r w:rsidR="00B629E9">
        <w:rPr>
          <w:rFonts w:ascii="Times New Roman" w:hAnsi="Times New Roman" w:cs="Times New Roman"/>
          <w:sz w:val="24"/>
          <w:szCs w:val="24"/>
        </w:rPr>
        <w:t xml:space="preserve"> </w:t>
      </w:r>
      <w:r w:rsidRPr="004A3C2A">
        <w:rPr>
          <w:rFonts w:ascii="Times New Roman" w:hAnsi="Times New Roman" w:cs="Times New Roman"/>
          <w:sz w:val="24"/>
          <w:szCs w:val="24"/>
        </w:rPr>
        <w:t>The quality of microcapsules</w:t>
      </w:r>
      <w:r w:rsidR="00B629E9">
        <w:rPr>
          <w:rFonts w:ascii="Times New Roman" w:hAnsi="Times New Roman" w:cs="Times New Roman"/>
          <w:sz w:val="24"/>
          <w:szCs w:val="24"/>
        </w:rPr>
        <w:t xml:space="preserve"> generated </w:t>
      </w:r>
      <w:r w:rsidRPr="004A3C2A">
        <w:rPr>
          <w:rFonts w:ascii="Times New Roman" w:hAnsi="Times New Roman" w:cs="Times New Roman"/>
          <w:sz w:val="24"/>
          <w:szCs w:val="24"/>
        </w:rPr>
        <w:t>by spray drying is directly influenced by the conditions employed during both emulsion preparation and the spray drying process</w:t>
      </w:r>
      <w:r w:rsidR="004A3C2A" w:rsidRPr="004A3C2A">
        <w:rPr>
          <w:rFonts w:ascii="Times New Roman" w:hAnsi="Times New Roman" w:cs="Times New Roman"/>
          <w:sz w:val="24"/>
          <w:szCs w:val="24"/>
        </w:rPr>
        <w:t>.</w:t>
      </w:r>
      <w:r w:rsidR="00566409">
        <w:rPr>
          <w:rFonts w:ascii="Times New Roman" w:hAnsi="Times New Roman" w:cs="Times New Roman"/>
          <w:sz w:val="24"/>
          <w:szCs w:val="24"/>
        </w:rPr>
        <w:t xml:space="preserve"> </w:t>
      </w:r>
      <w:r w:rsidR="00566409" w:rsidRPr="00566409">
        <w:rPr>
          <w:rFonts w:ascii="Times New Roman" w:hAnsi="Times New Roman" w:cs="Times New Roman"/>
          <w:sz w:val="24"/>
          <w:szCs w:val="24"/>
          <w:highlight w:val="yellow"/>
        </w:rPr>
        <w:t>Microencapsulation of sea buckthorn seed oil using spray drying has been shown to enhance its oxidative stability and facilitate its incorporation into functional food matrices (Zhang et al., 2022).</w:t>
      </w:r>
    </w:p>
    <w:p w14:paraId="551928CB" w14:textId="1382572A" w:rsidR="004A3C2A" w:rsidRPr="004A3C2A" w:rsidRDefault="004A3C2A" w:rsidP="004A3C2A">
      <w:pPr>
        <w:spacing w:line="360" w:lineRule="auto"/>
        <w:jc w:val="both"/>
        <w:rPr>
          <w:rFonts w:ascii="Times New Roman" w:hAnsi="Times New Roman" w:cs="Times New Roman"/>
          <w:sz w:val="24"/>
          <w:szCs w:val="24"/>
        </w:rPr>
      </w:pPr>
      <w:r w:rsidRPr="004A3C2A">
        <w:rPr>
          <w:rFonts w:ascii="Times New Roman" w:hAnsi="Times New Roman" w:cs="Times New Roman"/>
          <w:sz w:val="24"/>
          <w:szCs w:val="24"/>
        </w:rPr>
        <w:t>The primary objective of this</w:t>
      </w:r>
      <w:r w:rsidR="002D29CE">
        <w:rPr>
          <w:rFonts w:ascii="Times New Roman" w:hAnsi="Times New Roman" w:cs="Times New Roman"/>
          <w:sz w:val="24"/>
          <w:szCs w:val="24"/>
        </w:rPr>
        <w:t xml:space="preserve"> research</w:t>
      </w:r>
      <w:r w:rsidRPr="004A3C2A">
        <w:rPr>
          <w:rFonts w:ascii="Times New Roman" w:hAnsi="Times New Roman" w:cs="Times New Roman"/>
          <w:sz w:val="24"/>
          <w:szCs w:val="24"/>
        </w:rPr>
        <w:t xml:space="preserve"> was to evaluate the effectiveness of microencapsulation in preserving the bioactivity of </w:t>
      </w:r>
      <w:proofErr w:type="spellStart"/>
      <w:r w:rsidRPr="004A3C2A">
        <w:rPr>
          <w:rFonts w:ascii="Times New Roman" w:hAnsi="Times New Roman" w:cs="Times New Roman"/>
          <w:i/>
          <w:iCs/>
          <w:sz w:val="24"/>
          <w:szCs w:val="24"/>
        </w:rPr>
        <w:t>Hippophae</w:t>
      </w:r>
      <w:proofErr w:type="spellEnd"/>
      <w:r w:rsidRPr="004A3C2A">
        <w:rPr>
          <w:rFonts w:ascii="Times New Roman" w:hAnsi="Times New Roman" w:cs="Times New Roman"/>
          <w:i/>
          <w:iCs/>
          <w:sz w:val="24"/>
          <w:szCs w:val="24"/>
        </w:rPr>
        <w:t xml:space="preserve"> </w:t>
      </w:r>
      <w:proofErr w:type="spellStart"/>
      <w:r w:rsidRPr="004A3C2A">
        <w:rPr>
          <w:rFonts w:ascii="Times New Roman" w:hAnsi="Times New Roman" w:cs="Times New Roman"/>
          <w:i/>
          <w:iCs/>
          <w:sz w:val="24"/>
          <w:szCs w:val="24"/>
        </w:rPr>
        <w:t>rhamnoides</w:t>
      </w:r>
      <w:proofErr w:type="spellEnd"/>
      <w:r w:rsidRPr="004A3C2A">
        <w:rPr>
          <w:rFonts w:ascii="Times New Roman" w:hAnsi="Times New Roman" w:cs="Times New Roman"/>
          <w:sz w:val="24"/>
          <w:szCs w:val="24"/>
        </w:rPr>
        <w:t xml:space="preserve"> seed oil. Additionally, the preparation parameters were optimized </w:t>
      </w:r>
      <w:r w:rsidR="002D29CE">
        <w:rPr>
          <w:rFonts w:ascii="Times New Roman" w:hAnsi="Times New Roman" w:cs="Times New Roman"/>
          <w:sz w:val="24"/>
          <w:szCs w:val="24"/>
        </w:rPr>
        <w:t>for the production of</w:t>
      </w:r>
      <w:r w:rsidRPr="004A3C2A">
        <w:rPr>
          <w:rFonts w:ascii="Times New Roman" w:hAnsi="Times New Roman" w:cs="Times New Roman"/>
          <w:sz w:val="24"/>
          <w:szCs w:val="24"/>
        </w:rPr>
        <w:t xml:space="preserve"> produce </w:t>
      </w:r>
      <w:r w:rsidRPr="004A3C2A">
        <w:rPr>
          <w:rFonts w:ascii="Times New Roman" w:hAnsi="Times New Roman" w:cs="Times New Roman"/>
          <w:i/>
          <w:iCs/>
          <w:sz w:val="24"/>
          <w:szCs w:val="24"/>
        </w:rPr>
        <w:t xml:space="preserve">H. </w:t>
      </w:r>
      <w:proofErr w:type="spellStart"/>
      <w:r w:rsidRPr="004A3C2A">
        <w:rPr>
          <w:rFonts w:ascii="Times New Roman" w:hAnsi="Times New Roman" w:cs="Times New Roman"/>
          <w:i/>
          <w:iCs/>
          <w:sz w:val="24"/>
          <w:szCs w:val="24"/>
        </w:rPr>
        <w:t>rhamnoides</w:t>
      </w:r>
      <w:proofErr w:type="spellEnd"/>
      <w:r w:rsidRPr="004A3C2A">
        <w:rPr>
          <w:rFonts w:ascii="Times New Roman" w:hAnsi="Times New Roman" w:cs="Times New Roman"/>
          <w:sz w:val="24"/>
          <w:szCs w:val="24"/>
        </w:rPr>
        <w:t xml:space="preserve"> seed oil microcapsules using spray drying</w:t>
      </w:r>
      <w:r>
        <w:rPr>
          <w:rFonts w:ascii="Times New Roman" w:hAnsi="Times New Roman" w:cs="Times New Roman"/>
          <w:sz w:val="24"/>
          <w:szCs w:val="24"/>
        </w:rPr>
        <w:t>.</w:t>
      </w:r>
    </w:p>
    <w:p w14:paraId="5B8250B4" w14:textId="67425B32" w:rsidR="00BB54A5" w:rsidRPr="0037295E" w:rsidRDefault="00273974" w:rsidP="00BB54A5">
      <w:pPr>
        <w:rPr>
          <w:rFonts w:ascii="Times New Roman" w:hAnsi="Times New Roman" w:cs="Times New Roman"/>
          <w:b/>
          <w:bCs/>
          <w:sz w:val="24"/>
          <w:szCs w:val="24"/>
        </w:rPr>
      </w:pPr>
      <w:r w:rsidRPr="0037295E">
        <w:rPr>
          <w:rFonts w:ascii="Times New Roman" w:hAnsi="Times New Roman" w:cs="Times New Roman"/>
          <w:b/>
          <w:bCs/>
          <w:sz w:val="24"/>
          <w:szCs w:val="24"/>
        </w:rPr>
        <w:t>2-</w:t>
      </w:r>
      <w:r w:rsidR="004A3C2A" w:rsidRPr="0037295E">
        <w:rPr>
          <w:rFonts w:ascii="Times New Roman" w:hAnsi="Times New Roman" w:cs="Times New Roman"/>
          <w:b/>
          <w:bCs/>
          <w:sz w:val="24"/>
          <w:szCs w:val="24"/>
        </w:rPr>
        <w:t>Materials and Methods</w:t>
      </w:r>
    </w:p>
    <w:p w14:paraId="3193FEE8" w14:textId="1F5BBCE9" w:rsidR="00BB54A5" w:rsidRDefault="00BA48D8" w:rsidP="00BA48D8">
      <w:pPr>
        <w:spacing w:line="360" w:lineRule="auto"/>
        <w:jc w:val="both"/>
        <w:rPr>
          <w:rFonts w:ascii="Times New Roman" w:hAnsi="Times New Roman" w:cs="Times New Roman"/>
          <w:sz w:val="24"/>
          <w:szCs w:val="24"/>
        </w:rPr>
      </w:pPr>
      <w:r w:rsidRPr="00BA48D8">
        <w:rPr>
          <w:rFonts w:ascii="Times New Roman" w:hAnsi="Times New Roman" w:cs="Times New Roman"/>
          <w:sz w:val="24"/>
          <w:szCs w:val="24"/>
        </w:rPr>
        <w:t xml:space="preserve">Sea buckthorn seed oil was </w:t>
      </w:r>
      <w:r w:rsidR="00B629E9">
        <w:rPr>
          <w:rFonts w:ascii="Times New Roman" w:hAnsi="Times New Roman" w:cs="Times New Roman"/>
          <w:sz w:val="24"/>
          <w:szCs w:val="24"/>
        </w:rPr>
        <w:t xml:space="preserve">acquired </w:t>
      </w:r>
      <w:r w:rsidRPr="00BA48D8">
        <w:rPr>
          <w:rFonts w:ascii="Times New Roman" w:hAnsi="Times New Roman" w:cs="Times New Roman"/>
          <w:sz w:val="24"/>
          <w:szCs w:val="24"/>
        </w:rPr>
        <w:t>from Deve Herbs (Delhi, India</w:t>
      </w:r>
      <w:proofErr w:type="gramStart"/>
      <w:r w:rsidRPr="00BA48D8">
        <w:rPr>
          <w:rFonts w:ascii="Times New Roman" w:hAnsi="Times New Roman" w:cs="Times New Roman"/>
          <w:sz w:val="24"/>
          <w:szCs w:val="24"/>
        </w:rPr>
        <w:t>).The</w:t>
      </w:r>
      <w:proofErr w:type="gramEnd"/>
      <w:r w:rsidRPr="00BA48D8">
        <w:rPr>
          <w:rFonts w:ascii="Times New Roman" w:hAnsi="Times New Roman" w:cs="Times New Roman"/>
          <w:sz w:val="24"/>
          <w:szCs w:val="24"/>
        </w:rPr>
        <w:t xml:space="preserve"> material was subsequently encapsulated </w:t>
      </w:r>
      <w:r w:rsidR="00B5575E">
        <w:rPr>
          <w:rFonts w:ascii="Times New Roman" w:hAnsi="Times New Roman" w:cs="Times New Roman"/>
          <w:sz w:val="24"/>
          <w:szCs w:val="24"/>
        </w:rPr>
        <w:t>with the help of</w:t>
      </w:r>
      <w:r w:rsidRPr="00BA48D8">
        <w:rPr>
          <w:rFonts w:ascii="Times New Roman" w:hAnsi="Times New Roman" w:cs="Times New Roman"/>
          <w:sz w:val="24"/>
          <w:szCs w:val="24"/>
        </w:rPr>
        <w:t xml:space="preserve"> a core-to-wall material ratio of 2:1. All reagents and chemicals employed in the analysis were of analytical grade</w:t>
      </w:r>
      <w:r w:rsidR="00B629E9">
        <w:rPr>
          <w:rFonts w:ascii="Times New Roman" w:hAnsi="Times New Roman" w:cs="Times New Roman"/>
          <w:sz w:val="24"/>
          <w:szCs w:val="24"/>
        </w:rPr>
        <w:t xml:space="preserve"> &amp;</w:t>
      </w:r>
      <w:r w:rsidRPr="00BA48D8">
        <w:rPr>
          <w:rFonts w:ascii="Times New Roman" w:hAnsi="Times New Roman" w:cs="Times New Roman"/>
          <w:sz w:val="24"/>
          <w:szCs w:val="24"/>
        </w:rPr>
        <w:t xml:space="preserve"> procured from Hi Media Laboratories </w:t>
      </w:r>
      <w:proofErr w:type="spellStart"/>
      <w:r w:rsidRPr="00BA48D8">
        <w:rPr>
          <w:rFonts w:ascii="Times New Roman" w:hAnsi="Times New Roman" w:cs="Times New Roman"/>
          <w:sz w:val="24"/>
          <w:szCs w:val="24"/>
        </w:rPr>
        <w:t>Pvt.</w:t>
      </w:r>
      <w:proofErr w:type="spellEnd"/>
      <w:r w:rsidRPr="00BA48D8">
        <w:rPr>
          <w:rFonts w:ascii="Times New Roman" w:hAnsi="Times New Roman" w:cs="Times New Roman"/>
          <w:sz w:val="24"/>
          <w:szCs w:val="24"/>
        </w:rPr>
        <w:t xml:space="preserve"> Ltd., Mumbai, India</w:t>
      </w:r>
      <w:r>
        <w:rPr>
          <w:rFonts w:ascii="Times New Roman" w:hAnsi="Times New Roman" w:cs="Times New Roman"/>
          <w:sz w:val="24"/>
          <w:szCs w:val="24"/>
        </w:rPr>
        <w:t>.</w:t>
      </w:r>
    </w:p>
    <w:p w14:paraId="353810C0" w14:textId="78959929" w:rsidR="00BA48D8" w:rsidRDefault="00273974" w:rsidP="00BA48D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w:t>
      </w:r>
      <w:r w:rsidR="00BA48D8" w:rsidRPr="00BA48D8">
        <w:rPr>
          <w:rFonts w:ascii="Times New Roman" w:hAnsi="Times New Roman" w:cs="Times New Roman"/>
          <w:b/>
          <w:bCs/>
          <w:sz w:val="24"/>
          <w:szCs w:val="24"/>
        </w:rPr>
        <w:t>Manufacturing of microcapsules containing Sea</w:t>
      </w:r>
      <w:r w:rsidR="00BA48D8">
        <w:rPr>
          <w:rFonts w:ascii="Times New Roman" w:hAnsi="Times New Roman" w:cs="Times New Roman"/>
          <w:b/>
          <w:bCs/>
          <w:sz w:val="24"/>
          <w:szCs w:val="24"/>
        </w:rPr>
        <w:t xml:space="preserve"> </w:t>
      </w:r>
      <w:r w:rsidR="00BA48D8" w:rsidRPr="00BA48D8">
        <w:rPr>
          <w:rFonts w:ascii="Times New Roman" w:hAnsi="Times New Roman" w:cs="Times New Roman"/>
          <w:b/>
          <w:bCs/>
          <w:sz w:val="24"/>
          <w:szCs w:val="24"/>
        </w:rPr>
        <w:t>Buckthorn seed oil</w:t>
      </w:r>
    </w:p>
    <w:p w14:paraId="488411D9" w14:textId="7874F981" w:rsidR="00CC5285" w:rsidRDefault="00BA48D8" w:rsidP="00BA48D8">
      <w:pPr>
        <w:spacing w:line="360" w:lineRule="auto"/>
        <w:jc w:val="both"/>
        <w:rPr>
          <w:rFonts w:ascii="Times New Roman" w:hAnsi="Times New Roman" w:cs="Times New Roman"/>
          <w:sz w:val="24"/>
          <w:szCs w:val="24"/>
        </w:rPr>
      </w:pPr>
      <w:r w:rsidRPr="00BA48D8">
        <w:rPr>
          <w:rFonts w:ascii="Times New Roman" w:hAnsi="Times New Roman" w:cs="Times New Roman"/>
          <w:sz w:val="24"/>
          <w:szCs w:val="24"/>
        </w:rPr>
        <w:t xml:space="preserve">Sea buckthorn seed oil microcapsules (SBSOM) were prepared </w:t>
      </w:r>
      <w:r w:rsidR="00B5575E">
        <w:rPr>
          <w:rFonts w:ascii="Times New Roman" w:hAnsi="Times New Roman" w:cs="Times New Roman"/>
          <w:sz w:val="24"/>
          <w:szCs w:val="24"/>
        </w:rPr>
        <w:t>with the help of</w:t>
      </w:r>
      <w:r w:rsidRPr="00BA48D8">
        <w:rPr>
          <w:rFonts w:ascii="Times New Roman" w:hAnsi="Times New Roman" w:cs="Times New Roman"/>
          <w:sz w:val="24"/>
          <w:szCs w:val="24"/>
        </w:rPr>
        <w:t xml:space="preserve"> a wall material composed of maltodextrin (MD) and inulin in a 1:2 ratio</w:t>
      </w:r>
      <w:r w:rsidR="00F9215C">
        <w:rPr>
          <w:rFonts w:ascii="Times New Roman" w:hAnsi="Times New Roman" w:cs="Times New Roman"/>
          <w:sz w:val="24"/>
          <w:szCs w:val="24"/>
        </w:rPr>
        <w:t xml:space="preserve"> (Table 1).</w:t>
      </w:r>
      <w:r w:rsidRPr="00BA48D8">
        <w:rPr>
          <w:rFonts w:ascii="Times New Roman" w:hAnsi="Times New Roman" w:cs="Times New Roman"/>
          <w:sz w:val="24"/>
          <w:szCs w:val="24"/>
        </w:rPr>
        <w:t xml:space="preserve"> The microencapsulation was </w:t>
      </w:r>
      <w:r w:rsidR="00B5575E">
        <w:rPr>
          <w:rFonts w:ascii="Times New Roman" w:hAnsi="Times New Roman" w:cs="Times New Roman"/>
          <w:sz w:val="24"/>
          <w:szCs w:val="24"/>
        </w:rPr>
        <w:t xml:space="preserve">conducted </w:t>
      </w:r>
      <w:r w:rsidRPr="00BA48D8">
        <w:rPr>
          <w:rFonts w:ascii="Times New Roman" w:hAnsi="Times New Roman" w:cs="Times New Roman"/>
          <w:sz w:val="24"/>
          <w:szCs w:val="24"/>
        </w:rPr>
        <w:t xml:space="preserve">via spray drying </w:t>
      </w:r>
      <w:r w:rsidR="00B5575E">
        <w:rPr>
          <w:rFonts w:ascii="Times New Roman" w:hAnsi="Times New Roman" w:cs="Times New Roman"/>
          <w:sz w:val="24"/>
          <w:szCs w:val="24"/>
        </w:rPr>
        <w:t>with the help of</w:t>
      </w:r>
      <w:r w:rsidRPr="00BA48D8">
        <w:rPr>
          <w:rFonts w:ascii="Times New Roman" w:hAnsi="Times New Roman" w:cs="Times New Roman"/>
          <w:sz w:val="24"/>
          <w:szCs w:val="24"/>
        </w:rPr>
        <w:t xml:space="preserve"> a mini spray dryer (JISL). The system was equipped with an atomizing nozzle featuring an internal diameter of 0.7 mm, and the feed flow rate was controlled by adjusting the pump rotation speed. The spray drying process was </w:t>
      </w:r>
      <w:r w:rsidRPr="00BA48D8">
        <w:rPr>
          <w:rFonts w:ascii="Times New Roman" w:hAnsi="Times New Roman" w:cs="Times New Roman"/>
          <w:sz w:val="24"/>
          <w:szCs w:val="24"/>
        </w:rPr>
        <w:lastRenderedPageBreak/>
        <w:t xml:space="preserve">performed under the following conditions: inlet air temperature of 160–180 °C, outlet air temperature of 80–85 °C, a constant feed rate of 400 mL/h, air pressure maintained at 117.68 kPa, and vacuum pressure at 169.32 kPa. </w:t>
      </w:r>
      <w:r w:rsidR="00F9215C">
        <w:rPr>
          <w:rFonts w:ascii="Times New Roman" w:hAnsi="Times New Roman" w:cs="Times New Roman"/>
          <w:sz w:val="24"/>
          <w:szCs w:val="24"/>
        </w:rPr>
        <w:t>Before</w:t>
      </w:r>
      <w:r w:rsidRPr="00BA48D8">
        <w:rPr>
          <w:rFonts w:ascii="Times New Roman" w:hAnsi="Times New Roman" w:cs="Times New Roman"/>
          <w:sz w:val="24"/>
          <w:szCs w:val="24"/>
        </w:rPr>
        <w:t xml:space="preserve"> initiating the spray drying process, the equipment was operated for 30 minutes to ensure the attainment of steady-state conditions</w:t>
      </w:r>
      <w:r>
        <w:rPr>
          <w:rFonts w:ascii="Times New Roman" w:hAnsi="Times New Roman" w:cs="Times New Roman"/>
          <w:sz w:val="24"/>
          <w:szCs w:val="24"/>
        </w:rPr>
        <w:t>.</w:t>
      </w:r>
    </w:p>
    <w:p w14:paraId="11A041D8" w14:textId="456C545E" w:rsidR="001F5418" w:rsidRPr="0037295E" w:rsidRDefault="00273974" w:rsidP="001F5418">
      <w:pPr>
        <w:spacing w:line="360" w:lineRule="auto"/>
        <w:jc w:val="both"/>
        <w:rPr>
          <w:rFonts w:ascii="Times New Roman" w:hAnsi="Times New Roman" w:cs="Times New Roman"/>
          <w:b/>
          <w:bCs/>
          <w:sz w:val="24"/>
          <w:szCs w:val="24"/>
        </w:rPr>
      </w:pPr>
      <w:r w:rsidRPr="0037295E">
        <w:rPr>
          <w:rFonts w:ascii="Times New Roman" w:hAnsi="Times New Roman" w:cs="Times New Roman"/>
          <w:b/>
          <w:bCs/>
          <w:sz w:val="24"/>
          <w:szCs w:val="24"/>
        </w:rPr>
        <w:t xml:space="preserve">2.2 </w:t>
      </w:r>
      <w:r w:rsidR="001F5418" w:rsidRPr="001F5418">
        <w:rPr>
          <w:rFonts w:ascii="Times New Roman" w:hAnsi="Times New Roman" w:cs="Times New Roman"/>
          <w:b/>
          <w:bCs/>
          <w:sz w:val="24"/>
          <w:szCs w:val="24"/>
        </w:rPr>
        <w:t>Determination of encapsulation</w:t>
      </w:r>
      <w:r w:rsidR="001F5418" w:rsidRPr="0037295E">
        <w:rPr>
          <w:rFonts w:ascii="Times New Roman" w:hAnsi="Times New Roman" w:cs="Times New Roman"/>
          <w:b/>
          <w:bCs/>
          <w:sz w:val="24"/>
          <w:szCs w:val="24"/>
        </w:rPr>
        <w:t xml:space="preserve"> efficiency and yields</w:t>
      </w:r>
    </w:p>
    <w:p w14:paraId="74DB5C01" w14:textId="796E0B9C" w:rsidR="001F5418" w:rsidRDefault="001F5418" w:rsidP="00BA48D8">
      <w:pPr>
        <w:spacing w:line="360" w:lineRule="auto"/>
        <w:jc w:val="both"/>
        <w:rPr>
          <w:rFonts w:ascii="Times New Roman" w:hAnsi="Times New Roman" w:cs="Times New Roman"/>
          <w:sz w:val="24"/>
          <w:szCs w:val="24"/>
        </w:rPr>
      </w:pPr>
      <w:r w:rsidRPr="001F5418">
        <w:rPr>
          <w:rFonts w:ascii="Times New Roman" w:hAnsi="Times New Roman" w:cs="Times New Roman"/>
          <w:sz w:val="24"/>
          <w:szCs w:val="24"/>
        </w:rPr>
        <w:t xml:space="preserve">Equal quantities of microcapsules were dispersed in hexane, with one sample subjected to shaking alone, while the other was both shaken and sonicated for one hour to </w:t>
      </w:r>
      <w:r w:rsidR="00B629E9">
        <w:rPr>
          <w:rFonts w:ascii="Times New Roman" w:hAnsi="Times New Roman" w:cs="Times New Roman"/>
          <w:sz w:val="24"/>
          <w:szCs w:val="24"/>
        </w:rPr>
        <w:t xml:space="preserve">acquire </w:t>
      </w:r>
      <w:r w:rsidRPr="001F5418">
        <w:rPr>
          <w:rFonts w:ascii="Times New Roman" w:hAnsi="Times New Roman" w:cs="Times New Roman"/>
          <w:sz w:val="24"/>
          <w:szCs w:val="24"/>
        </w:rPr>
        <w:t>the respective supernatant solutions. The absorbance of each supernatant was</w:t>
      </w:r>
      <w:r w:rsidR="00B629E9">
        <w:rPr>
          <w:rFonts w:ascii="Times New Roman" w:hAnsi="Times New Roman" w:cs="Times New Roman"/>
          <w:sz w:val="24"/>
          <w:szCs w:val="24"/>
        </w:rPr>
        <w:t xml:space="preserve"> calculated</w:t>
      </w:r>
      <w:r w:rsidRPr="001F5418">
        <w:rPr>
          <w:rFonts w:ascii="Times New Roman" w:hAnsi="Times New Roman" w:cs="Times New Roman"/>
          <w:sz w:val="24"/>
          <w:szCs w:val="24"/>
        </w:rPr>
        <w:t xml:space="preserve"> individually to determine the surface oil (SO) </w:t>
      </w:r>
      <w:r w:rsidR="00B5575E">
        <w:rPr>
          <w:rFonts w:ascii="Times New Roman" w:hAnsi="Times New Roman" w:cs="Times New Roman"/>
          <w:sz w:val="24"/>
          <w:szCs w:val="24"/>
        </w:rPr>
        <w:t xml:space="preserve">&amp; </w:t>
      </w:r>
      <w:r w:rsidRPr="001F5418">
        <w:rPr>
          <w:rFonts w:ascii="Times New Roman" w:hAnsi="Times New Roman" w:cs="Times New Roman"/>
          <w:sz w:val="24"/>
          <w:szCs w:val="24"/>
        </w:rPr>
        <w:t>total oil (TO) contents. Subsequently, encapsulation efficiency (EE) was calculated using the corresponding formula</w:t>
      </w:r>
    </w:p>
    <w:p w14:paraId="3889A3E0" w14:textId="55AEC355" w:rsidR="001F5418" w:rsidRPr="00F769C2" w:rsidRDefault="001F5418" w:rsidP="00F769C2">
      <w:pPr>
        <w:spacing w:line="360" w:lineRule="auto"/>
        <w:jc w:val="center"/>
        <w:rPr>
          <w:rFonts w:ascii="Times New Roman" w:eastAsiaTheme="minorEastAsia" w:hAnsi="Times New Roman" w:cs="Times New Roman"/>
          <w:sz w:val="24"/>
          <w:szCs w:val="24"/>
        </w:rPr>
      </w:pPr>
      <w:r w:rsidRPr="00F769C2">
        <w:rPr>
          <w:rFonts w:ascii="Times New Roman" w:hAnsi="Times New Roman" w:cs="Times New Roman"/>
          <w:sz w:val="24"/>
          <w:szCs w:val="24"/>
        </w:rPr>
        <w:t>EE=1-</w:t>
      </w:r>
      <m:oMath>
        <m:f>
          <m:fPr>
            <m:ctrlPr>
              <w:rPr>
                <w:rFonts w:ascii="Cambria Math" w:hAnsi="Cambria Math" w:cs="Times New Roman"/>
                <w:i/>
                <w:sz w:val="24"/>
                <w:szCs w:val="24"/>
              </w:rPr>
            </m:ctrlPr>
          </m:fPr>
          <m:num>
            <m:r>
              <w:rPr>
                <w:rFonts w:ascii="Cambria Math" w:hAnsi="Cambria Math" w:cs="Times New Roman"/>
                <w:sz w:val="24"/>
                <w:szCs w:val="24"/>
              </w:rPr>
              <m:t xml:space="preserve">Surface oil </m:t>
            </m:r>
            <m:d>
              <m:dPr>
                <m:ctrlPr>
                  <w:rPr>
                    <w:rFonts w:ascii="Cambria Math" w:hAnsi="Cambria Math" w:cs="Times New Roman"/>
                    <w:i/>
                    <w:sz w:val="24"/>
                    <w:szCs w:val="24"/>
                  </w:rPr>
                </m:ctrlPr>
              </m:dPr>
              <m:e>
                <m:r>
                  <w:rPr>
                    <w:rFonts w:ascii="Cambria Math" w:hAnsi="Cambria Math" w:cs="Times New Roman"/>
                    <w:sz w:val="24"/>
                    <w:szCs w:val="24"/>
                  </w:rPr>
                  <m:t>S0</m:t>
                </m:r>
              </m:e>
            </m:d>
          </m:num>
          <m:den>
            <m:r>
              <w:rPr>
                <w:rFonts w:ascii="Cambria Math" w:hAnsi="Cambria Math" w:cs="Times New Roman"/>
                <w:sz w:val="24"/>
                <w:szCs w:val="24"/>
              </w:rPr>
              <m:t>Total oil (TO)</m:t>
            </m:r>
          </m:den>
        </m:f>
      </m:oMath>
      <w:r w:rsidRPr="00F769C2">
        <w:rPr>
          <w:rFonts w:ascii="Times New Roman" w:eastAsiaTheme="minorEastAsia" w:hAnsi="Times New Roman" w:cs="Times New Roman"/>
          <w:sz w:val="24"/>
          <w:szCs w:val="24"/>
        </w:rPr>
        <w:t>*100</w:t>
      </w:r>
    </w:p>
    <w:p w14:paraId="0CD41BB8" w14:textId="624A1C17" w:rsidR="001F5418" w:rsidRDefault="00C37CCF" w:rsidP="00BA48D8">
      <w:pPr>
        <w:spacing w:line="360" w:lineRule="auto"/>
        <w:jc w:val="both"/>
        <w:rPr>
          <w:rFonts w:ascii="Times New Roman" w:hAnsi="Times New Roman" w:cs="Times New Roman"/>
          <w:sz w:val="24"/>
          <w:szCs w:val="24"/>
        </w:rPr>
      </w:pPr>
      <w:r w:rsidRPr="00C37CCF">
        <w:rPr>
          <w:rFonts w:ascii="Times New Roman" w:hAnsi="Times New Roman" w:cs="Times New Roman"/>
          <w:sz w:val="24"/>
          <w:szCs w:val="24"/>
        </w:rPr>
        <w:t>The microcapsules retained in the separator were collected, and the yield was determined using the following equation</w:t>
      </w:r>
    </w:p>
    <w:p w14:paraId="2C511A20" w14:textId="1AC08295" w:rsidR="00C37CCF" w:rsidRDefault="00C37CCF" w:rsidP="00F769C2">
      <w:pPr>
        <w:spacing w:line="360" w:lineRule="auto"/>
        <w:jc w:val="center"/>
        <w:rPr>
          <w:rFonts w:ascii="Times New Roman" w:eastAsiaTheme="minorEastAsia" w:hAnsi="Times New Roman" w:cs="Times New Roman"/>
          <w:sz w:val="24"/>
          <w:szCs w:val="24"/>
        </w:rPr>
      </w:pPr>
      <w:r>
        <w:rPr>
          <w:rFonts w:ascii="Times New Roman" w:hAnsi="Times New Roman" w:cs="Times New Roman"/>
          <w:sz w:val="24"/>
          <w:szCs w:val="24"/>
        </w:rPr>
        <w:t>Y=</w:t>
      </w:r>
      <m:oMath>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m</m:t>
            </m:r>
          </m:den>
        </m:f>
      </m:oMath>
      <w:r>
        <w:rPr>
          <w:rFonts w:ascii="Times New Roman" w:eastAsiaTheme="minorEastAsia" w:hAnsi="Times New Roman" w:cs="Times New Roman"/>
          <w:sz w:val="24"/>
          <w:szCs w:val="24"/>
        </w:rPr>
        <w:t>*100</w:t>
      </w:r>
    </w:p>
    <w:p w14:paraId="21FCF5AD" w14:textId="77777777" w:rsidR="00C37CCF" w:rsidRDefault="00C37CCF" w:rsidP="00C37CCF">
      <w:pPr>
        <w:spacing w:line="360" w:lineRule="auto"/>
        <w:jc w:val="both"/>
        <w:rPr>
          <w:rFonts w:ascii="Times New Roman" w:hAnsi="Times New Roman" w:cs="Times New Roman"/>
          <w:sz w:val="24"/>
          <w:szCs w:val="24"/>
        </w:rPr>
      </w:pPr>
      <w:r w:rsidRPr="00C37CCF">
        <w:rPr>
          <w:rFonts w:ascii="Times New Roman" w:hAnsi="Times New Roman" w:cs="Times New Roman"/>
          <w:sz w:val="24"/>
          <w:szCs w:val="24"/>
        </w:rPr>
        <w:t>where M is the mass of the microcapsules and</w:t>
      </w:r>
    </w:p>
    <w:p w14:paraId="2834643B" w14:textId="2806884E" w:rsidR="00CC5285" w:rsidRPr="00CF42E0" w:rsidRDefault="00C37CCF" w:rsidP="00BA48D8">
      <w:pPr>
        <w:spacing w:line="360" w:lineRule="auto"/>
        <w:jc w:val="both"/>
        <w:rPr>
          <w:rFonts w:ascii="Times New Roman" w:hAnsi="Times New Roman" w:cs="Times New Roman"/>
          <w:sz w:val="24"/>
          <w:szCs w:val="24"/>
        </w:rPr>
      </w:pPr>
      <w:r w:rsidRPr="00C37CCF">
        <w:rPr>
          <w:rFonts w:ascii="Times New Roman" w:hAnsi="Times New Roman" w:cs="Times New Roman"/>
          <w:sz w:val="24"/>
          <w:szCs w:val="24"/>
        </w:rPr>
        <w:t xml:space="preserve"> m is the total</w:t>
      </w:r>
      <w:r>
        <w:rPr>
          <w:rFonts w:ascii="Times New Roman" w:hAnsi="Times New Roman" w:cs="Times New Roman"/>
          <w:sz w:val="24"/>
          <w:szCs w:val="24"/>
        </w:rPr>
        <w:t xml:space="preserve"> </w:t>
      </w:r>
      <w:r w:rsidRPr="00C37CCF">
        <w:rPr>
          <w:rFonts w:ascii="Times New Roman" w:hAnsi="Times New Roman" w:cs="Times New Roman"/>
          <w:sz w:val="24"/>
          <w:szCs w:val="24"/>
        </w:rPr>
        <w:t>mass of the seed oil and wall material</w:t>
      </w:r>
    </w:p>
    <w:p w14:paraId="2E1A4615" w14:textId="3C6631DF" w:rsidR="00BA48D8" w:rsidRDefault="00273974" w:rsidP="00BA48D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BA48D8" w:rsidRPr="00BA48D8">
        <w:rPr>
          <w:rFonts w:ascii="Times New Roman" w:hAnsi="Times New Roman" w:cs="Times New Roman"/>
          <w:b/>
          <w:bCs/>
          <w:sz w:val="24"/>
          <w:szCs w:val="24"/>
        </w:rPr>
        <w:t>Characterization of emulsion</w:t>
      </w:r>
    </w:p>
    <w:p w14:paraId="4542B8D5" w14:textId="4A12E035" w:rsidR="00BA48D8" w:rsidRDefault="00273974" w:rsidP="00BA48D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2.2.1 </w:t>
      </w:r>
      <w:r w:rsidR="00BA48D8" w:rsidRPr="00BA48D8">
        <w:rPr>
          <w:rFonts w:ascii="Times New Roman" w:hAnsi="Times New Roman" w:cs="Times New Roman"/>
          <w:b/>
          <w:bCs/>
          <w:sz w:val="24"/>
          <w:szCs w:val="24"/>
        </w:rPr>
        <w:t>Particle size and zeta potential</w:t>
      </w:r>
    </w:p>
    <w:p w14:paraId="7FA00583" w14:textId="4A7ACD62" w:rsidR="00BA48D8" w:rsidRDefault="00BA48D8" w:rsidP="00BA48D8">
      <w:pPr>
        <w:spacing w:line="360" w:lineRule="auto"/>
        <w:jc w:val="both"/>
        <w:rPr>
          <w:rFonts w:ascii="Times New Roman" w:hAnsi="Times New Roman" w:cs="Times New Roman"/>
          <w:sz w:val="24"/>
          <w:szCs w:val="24"/>
        </w:rPr>
      </w:pPr>
      <w:r w:rsidRPr="00BA48D8">
        <w:rPr>
          <w:rFonts w:ascii="Times New Roman" w:hAnsi="Times New Roman" w:cs="Times New Roman"/>
          <w:sz w:val="24"/>
          <w:szCs w:val="24"/>
        </w:rPr>
        <w:t>The particle size and zeta potential of the emulsions were determined using a Zeta/Nanoparticle Analyzer (</w:t>
      </w:r>
      <w:proofErr w:type="spellStart"/>
      <w:r w:rsidRPr="00BA48D8">
        <w:rPr>
          <w:rFonts w:ascii="Times New Roman" w:hAnsi="Times New Roman" w:cs="Times New Roman"/>
          <w:sz w:val="24"/>
          <w:szCs w:val="24"/>
        </w:rPr>
        <w:t>NanoPlus</w:t>
      </w:r>
      <w:proofErr w:type="spellEnd"/>
      <w:r w:rsidRPr="00BA48D8">
        <w:rPr>
          <w:rFonts w:ascii="Times New Roman" w:hAnsi="Times New Roman" w:cs="Times New Roman"/>
          <w:sz w:val="24"/>
          <w:szCs w:val="24"/>
        </w:rPr>
        <w:t xml:space="preserve">, </w:t>
      </w:r>
      <w:proofErr w:type="spellStart"/>
      <w:r w:rsidRPr="00BA48D8">
        <w:rPr>
          <w:rFonts w:ascii="Times New Roman" w:hAnsi="Times New Roman" w:cs="Times New Roman"/>
          <w:sz w:val="24"/>
          <w:szCs w:val="24"/>
        </w:rPr>
        <w:t>Labindia</w:t>
      </w:r>
      <w:proofErr w:type="spellEnd"/>
      <w:r w:rsidRPr="00BA48D8">
        <w:rPr>
          <w:rFonts w:ascii="Times New Roman" w:hAnsi="Times New Roman" w:cs="Times New Roman"/>
          <w:sz w:val="24"/>
          <w:szCs w:val="24"/>
        </w:rPr>
        <w:t xml:space="preserve"> Instruments </w:t>
      </w:r>
      <w:proofErr w:type="spellStart"/>
      <w:r w:rsidRPr="00BA48D8">
        <w:rPr>
          <w:rFonts w:ascii="Times New Roman" w:hAnsi="Times New Roman" w:cs="Times New Roman"/>
          <w:sz w:val="24"/>
          <w:szCs w:val="24"/>
        </w:rPr>
        <w:t>Pvt.</w:t>
      </w:r>
      <w:proofErr w:type="spellEnd"/>
      <w:r w:rsidRPr="00BA48D8">
        <w:rPr>
          <w:rFonts w:ascii="Times New Roman" w:hAnsi="Times New Roman" w:cs="Times New Roman"/>
          <w:sz w:val="24"/>
          <w:szCs w:val="24"/>
        </w:rPr>
        <w:t xml:space="preserve"> Ltd., Nano Bio Process Division, Thane, India) equipped with a dynamic light scattering system, as described by Chaudhary et al. (2020). For analysis, 1.5 mL of each emulsion sample was diluted in 5 mL of distilled water. Measurements of particle size and zeta potential were</w:t>
      </w:r>
      <w:r w:rsidR="00B5575E">
        <w:rPr>
          <w:rFonts w:ascii="Times New Roman" w:hAnsi="Times New Roman" w:cs="Times New Roman"/>
          <w:sz w:val="24"/>
          <w:szCs w:val="24"/>
        </w:rPr>
        <w:t xml:space="preserve"> done </w:t>
      </w:r>
      <w:r w:rsidRPr="00BA48D8">
        <w:rPr>
          <w:rFonts w:ascii="Times New Roman" w:hAnsi="Times New Roman" w:cs="Times New Roman"/>
          <w:sz w:val="24"/>
          <w:szCs w:val="24"/>
        </w:rPr>
        <w:t>separately and repeated until three consistent readings were recorded</w:t>
      </w:r>
      <w:r>
        <w:rPr>
          <w:rFonts w:ascii="Times New Roman" w:hAnsi="Times New Roman" w:cs="Times New Roman"/>
          <w:sz w:val="24"/>
          <w:szCs w:val="24"/>
        </w:rPr>
        <w:t>.</w:t>
      </w:r>
    </w:p>
    <w:p w14:paraId="6B8E7E63" w14:textId="4BC8B240" w:rsidR="00BA48D8" w:rsidRDefault="00273974" w:rsidP="00BA48D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2.2.2 </w:t>
      </w:r>
      <w:r w:rsidR="00BA48D8" w:rsidRPr="00BA48D8">
        <w:rPr>
          <w:rFonts w:ascii="Times New Roman" w:hAnsi="Times New Roman" w:cs="Times New Roman"/>
          <w:b/>
          <w:bCs/>
          <w:sz w:val="24"/>
          <w:szCs w:val="24"/>
        </w:rPr>
        <w:t>Emulsion stability index (ESI)</w:t>
      </w:r>
      <w:r w:rsidR="00310134">
        <w:rPr>
          <w:rFonts w:ascii="Times New Roman" w:hAnsi="Times New Roman" w:cs="Times New Roman"/>
          <w:b/>
          <w:bCs/>
          <w:sz w:val="24"/>
          <w:szCs w:val="24"/>
        </w:rPr>
        <w:t>%</w:t>
      </w:r>
    </w:p>
    <w:p w14:paraId="1FBC99DF" w14:textId="5B3481D7" w:rsidR="00BA48D8" w:rsidRDefault="00BA48D8" w:rsidP="00BA48D8">
      <w:pPr>
        <w:spacing w:line="360" w:lineRule="auto"/>
        <w:jc w:val="both"/>
        <w:rPr>
          <w:rFonts w:ascii="Times New Roman" w:hAnsi="Times New Roman" w:cs="Times New Roman"/>
          <w:sz w:val="24"/>
          <w:szCs w:val="24"/>
        </w:rPr>
      </w:pPr>
      <w:r w:rsidRPr="00BA48D8">
        <w:rPr>
          <w:rFonts w:ascii="Times New Roman" w:hAnsi="Times New Roman" w:cs="Times New Roman"/>
          <w:sz w:val="24"/>
          <w:szCs w:val="24"/>
        </w:rPr>
        <w:t xml:space="preserve">To assess emulsion stability, 100 mL of each emulsion sample was transferred into a graduated cylinder and stored at 4 °C for 24 hours. Following the storage period, the volumes of both the </w:t>
      </w:r>
      <w:r w:rsidRPr="00BA48D8">
        <w:rPr>
          <w:rFonts w:ascii="Times New Roman" w:hAnsi="Times New Roman" w:cs="Times New Roman"/>
          <w:sz w:val="24"/>
          <w:szCs w:val="24"/>
        </w:rPr>
        <w:lastRenderedPageBreak/>
        <w:t>separated and unseparated phases were recorded. Emulsion stability was then quantified as a stability index, expressed as a percentage</w:t>
      </w:r>
    </w:p>
    <w:p w14:paraId="74D34741" w14:textId="1950B880" w:rsidR="00BA48D8" w:rsidRDefault="00BA48D8" w:rsidP="00BA48D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Emulsion stability </w:t>
      </w:r>
      <w:proofErr w:type="gramStart"/>
      <w:r>
        <w:rPr>
          <w:rFonts w:ascii="Times New Roman" w:eastAsiaTheme="minorEastAsia" w:hAnsi="Times New Roman" w:cs="Times New Roman"/>
          <w:sz w:val="24"/>
          <w:szCs w:val="24"/>
        </w:rPr>
        <w:t>index  -</w:t>
      </w:r>
      <w:proofErr w:type="gramEnd"/>
      <w:r>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H1</m:t>
            </m:r>
          </m:num>
          <m:den>
            <m:r>
              <w:rPr>
                <w:rFonts w:ascii="Cambria Math" w:hAnsi="Cambria Math" w:cs="Times New Roman"/>
                <w:sz w:val="24"/>
                <w:szCs w:val="24"/>
              </w:rPr>
              <m:t>HO</m:t>
            </m:r>
          </m:den>
        </m:f>
      </m:oMath>
      <w:r>
        <w:rPr>
          <w:rFonts w:ascii="Times New Roman" w:eastAsiaTheme="minorEastAsia" w:hAnsi="Times New Roman" w:cs="Times New Roman"/>
          <w:sz w:val="24"/>
          <w:szCs w:val="24"/>
        </w:rPr>
        <w:t>*100</w:t>
      </w:r>
    </w:p>
    <w:p w14:paraId="6FCF180B" w14:textId="77777777" w:rsidR="00BA48D8" w:rsidRDefault="00BA48D8" w:rsidP="00BA48D8">
      <w:pPr>
        <w:spacing w:line="360" w:lineRule="auto"/>
        <w:rPr>
          <w:rFonts w:ascii="Times New Roman" w:hAnsi="Times New Roman" w:cs="Times New Roman"/>
          <w:sz w:val="24"/>
          <w:szCs w:val="24"/>
        </w:rPr>
      </w:pPr>
      <w:r w:rsidRPr="00BA48D8">
        <w:rPr>
          <w:rFonts w:ascii="Times New Roman" w:hAnsi="Times New Roman" w:cs="Times New Roman"/>
          <w:sz w:val="24"/>
          <w:szCs w:val="24"/>
        </w:rPr>
        <w:t xml:space="preserve">Where, </w:t>
      </w:r>
    </w:p>
    <w:p w14:paraId="331A53BD" w14:textId="77777777" w:rsidR="00BA48D8" w:rsidRDefault="00BA48D8" w:rsidP="00BA48D8">
      <w:pPr>
        <w:spacing w:line="360" w:lineRule="auto"/>
        <w:rPr>
          <w:rFonts w:ascii="Times New Roman" w:hAnsi="Times New Roman" w:cs="Times New Roman"/>
          <w:sz w:val="24"/>
          <w:szCs w:val="24"/>
        </w:rPr>
      </w:pPr>
      <w:r w:rsidRPr="00BA48D8">
        <w:rPr>
          <w:rFonts w:ascii="Times New Roman" w:hAnsi="Times New Roman" w:cs="Times New Roman"/>
          <w:sz w:val="24"/>
          <w:szCs w:val="24"/>
        </w:rPr>
        <w:t xml:space="preserve">H0 stands for the initial emulsion volume and </w:t>
      </w:r>
    </w:p>
    <w:p w14:paraId="76000877" w14:textId="1207E1BE" w:rsidR="00BA48D8" w:rsidRDefault="00BA48D8" w:rsidP="00BA48D8">
      <w:pPr>
        <w:spacing w:line="360" w:lineRule="auto"/>
        <w:rPr>
          <w:rFonts w:ascii="Times New Roman" w:hAnsi="Times New Roman" w:cs="Times New Roman"/>
          <w:sz w:val="24"/>
          <w:szCs w:val="24"/>
        </w:rPr>
      </w:pPr>
      <w:r w:rsidRPr="00BA48D8">
        <w:rPr>
          <w:rFonts w:ascii="Times New Roman" w:hAnsi="Times New Roman" w:cs="Times New Roman"/>
          <w:sz w:val="24"/>
          <w:szCs w:val="24"/>
        </w:rPr>
        <w:t>H1 stands for the unseparated</w:t>
      </w:r>
      <w:r>
        <w:rPr>
          <w:rFonts w:ascii="Times New Roman" w:hAnsi="Times New Roman" w:cs="Times New Roman"/>
          <w:sz w:val="24"/>
          <w:szCs w:val="24"/>
        </w:rPr>
        <w:t xml:space="preserve"> </w:t>
      </w:r>
      <w:r w:rsidRPr="00BA48D8">
        <w:rPr>
          <w:rFonts w:ascii="Times New Roman" w:hAnsi="Times New Roman" w:cs="Times New Roman"/>
          <w:sz w:val="24"/>
          <w:szCs w:val="24"/>
        </w:rPr>
        <w:t>phase volume of the emulsion (</w:t>
      </w:r>
      <w:proofErr w:type="spellStart"/>
      <w:r w:rsidRPr="00BA48D8">
        <w:rPr>
          <w:rFonts w:ascii="Times New Roman" w:hAnsi="Times New Roman" w:cs="Times New Roman"/>
          <w:sz w:val="24"/>
          <w:szCs w:val="24"/>
        </w:rPr>
        <w:t>Binsi</w:t>
      </w:r>
      <w:proofErr w:type="spellEnd"/>
      <w:r w:rsidRPr="00BA48D8">
        <w:rPr>
          <w:rFonts w:ascii="Times New Roman" w:hAnsi="Times New Roman" w:cs="Times New Roman"/>
          <w:sz w:val="24"/>
          <w:szCs w:val="24"/>
        </w:rPr>
        <w:t xml:space="preserve"> </w:t>
      </w:r>
      <w:r w:rsidRPr="00BA48D8">
        <w:rPr>
          <w:rFonts w:ascii="Times New Roman" w:hAnsi="Times New Roman" w:cs="Times New Roman"/>
          <w:i/>
          <w:iCs/>
          <w:sz w:val="24"/>
          <w:szCs w:val="24"/>
        </w:rPr>
        <w:t xml:space="preserve">et al., </w:t>
      </w:r>
      <w:r w:rsidRPr="00BA48D8">
        <w:rPr>
          <w:rFonts w:ascii="Times New Roman" w:hAnsi="Times New Roman" w:cs="Times New Roman"/>
          <w:sz w:val="24"/>
          <w:szCs w:val="24"/>
        </w:rPr>
        <w:t>2017).</w:t>
      </w:r>
    </w:p>
    <w:p w14:paraId="70A7059D" w14:textId="2C341BC1" w:rsidR="00BA48D8" w:rsidRPr="0037295E" w:rsidRDefault="00273974" w:rsidP="00BA48D8">
      <w:pPr>
        <w:spacing w:line="360" w:lineRule="auto"/>
        <w:rPr>
          <w:rFonts w:ascii="Times New Roman" w:hAnsi="Times New Roman" w:cs="Times New Roman"/>
          <w:b/>
          <w:bCs/>
          <w:sz w:val="24"/>
          <w:szCs w:val="24"/>
        </w:rPr>
      </w:pPr>
      <w:r w:rsidRPr="0037295E">
        <w:rPr>
          <w:rFonts w:ascii="Times New Roman" w:hAnsi="Times New Roman" w:cs="Times New Roman"/>
          <w:b/>
          <w:bCs/>
          <w:sz w:val="24"/>
          <w:szCs w:val="24"/>
        </w:rPr>
        <w:t xml:space="preserve">2.3 </w:t>
      </w:r>
      <w:r w:rsidR="00135523" w:rsidRPr="0037295E">
        <w:rPr>
          <w:rFonts w:ascii="Times New Roman" w:hAnsi="Times New Roman" w:cs="Times New Roman"/>
          <w:b/>
          <w:bCs/>
          <w:sz w:val="24"/>
          <w:szCs w:val="24"/>
        </w:rPr>
        <w:t>Bulk (</w:t>
      </w:r>
      <w:proofErr w:type="spellStart"/>
      <w:r w:rsidR="00135523" w:rsidRPr="0037295E">
        <w:rPr>
          <w:rFonts w:ascii="Times New Roman" w:hAnsi="Times New Roman" w:cs="Times New Roman"/>
          <w:b/>
          <w:bCs/>
          <w:sz w:val="24"/>
          <w:szCs w:val="24"/>
        </w:rPr>
        <w:t>ρB</w:t>
      </w:r>
      <w:proofErr w:type="spellEnd"/>
      <w:r w:rsidR="00135523" w:rsidRPr="0037295E">
        <w:rPr>
          <w:rFonts w:ascii="Times New Roman" w:hAnsi="Times New Roman" w:cs="Times New Roman"/>
          <w:b/>
          <w:bCs/>
          <w:sz w:val="24"/>
          <w:szCs w:val="24"/>
        </w:rPr>
        <w:t>) and tapped (</w:t>
      </w:r>
      <w:proofErr w:type="spellStart"/>
      <w:r w:rsidR="00135523" w:rsidRPr="0037295E">
        <w:rPr>
          <w:rFonts w:ascii="Times New Roman" w:hAnsi="Times New Roman" w:cs="Times New Roman"/>
          <w:b/>
          <w:bCs/>
          <w:sz w:val="24"/>
          <w:szCs w:val="24"/>
        </w:rPr>
        <w:t>ρT</w:t>
      </w:r>
      <w:proofErr w:type="spellEnd"/>
      <w:r w:rsidR="00135523" w:rsidRPr="0037295E">
        <w:rPr>
          <w:rFonts w:ascii="Times New Roman" w:hAnsi="Times New Roman" w:cs="Times New Roman"/>
          <w:b/>
          <w:bCs/>
          <w:sz w:val="24"/>
          <w:szCs w:val="24"/>
        </w:rPr>
        <w:t>) density</w:t>
      </w:r>
    </w:p>
    <w:p w14:paraId="6CAAA443" w14:textId="3134F90B" w:rsidR="00135523" w:rsidRDefault="00135523" w:rsidP="00BA48D8">
      <w:pPr>
        <w:spacing w:line="360" w:lineRule="auto"/>
        <w:rPr>
          <w:rFonts w:ascii="Times New Roman" w:hAnsi="Times New Roman" w:cs="Times New Roman"/>
          <w:sz w:val="24"/>
          <w:szCs w:val="24"/>
        </w:rPr>
      </w:pPr>
      <w:r w:rsidRPr="00135523">
        <w:rPr>
          <w:rFonts w:ascii="Times New Roman" w:hAnsi="Times New Roman" w:cs="Times New Roman"/>
          <w:sz w:val="24"/>
          <w:szCs w:val="24"/>
        </w:rPr>
        <w:t>To determine the bulk density (</w:t>
      </w:r>
      <w:proofErr w:type="spellStart"/>
      <w:r w:rsidRPr="00135523">
        <w:rPr>
          <w:rFonts w:ascii="Times New Roman" w:hAnsi="Times New Roman" w:cs="Times New Roman"/>
          <w:sz w:val="24"/>
          <w:szCs w:val="24"/>
        </w:rPr>
        <w:t>ρB</w:t>
      </w:r>
      <w:proofErr w:type="spellEnd"/>
      <w:r w:rsidRPr="00135523">
        <w:rPr>
          <w:rFonts w:ascii="Times New Roman" w:hAnsi="Times New Roman" w:cs="Times New Roman"/>
          <w:sz w:val="24"/>
          <w:szCs w:val="24"/>
        </w:rPr>
        <w:t>), 2 g of each powder sample was transferred into a 25 mL graduated glass cylinder (2.5 cm diameter). The cylinder was gently tapped to dislodge any powder adhering to the walls, and the initial volume (Vo) was recorded. Bulk density was then calculated us</w:t>
      </w:r>
      <w:r>
        <w:rPr>
          <w:rFonts w:ascii="Times New Roman" w:hAnsi="Times New Roman" w:cs="Times New Roman"/>
          <w:sz w:val="24"/>
          <w:szCs w:val="24"/>
        </w:rPr>
        <w:t>ing given formula</w:t>
      </w:r>
      <w:r w:rsidRPr="00135523">
        <w:rPr>
          <w:rFonts w:ascii="Times New Roman" w:hAnsi="Times New Roman" w:cs="Times New Roman"/>
          <w:sz w:val="24"/>
          <w:szCs w:val="24"/>
        </w:rPr>
        <w:t>. For the measurement of tapped density (</w:t>
      </w:r>
      <w:proofErr w:type="spellStart"/>
      <w:r w:rsidRPr="00135523">
        <w:rPr>
          <w:rFonts w:ascii="Times New Roman" w:hAnsi="Times New Roman" w:cs="Times New Roman"/>
          <w:sz w:val="24"/>
          <w:szCs w:val="24"/>
        </w:rPr>
        <w:t>ρT</w:t>
      </w:r>
      <w:proofErr w:type="spellEnd"/>
      <w:r w:rsidRPr="00135523">
        <w:rPr>
          <w:rFonts w:ascii="Times New Roman" w:hAnsi="Times New Roman" w:cs="Times New Roman"/>
          <w:sz w:val="24"/>
          <w:szCs w:val="24"/>
        </w:rPr>
        <w:t xml:space="preserve">), the same cylinder was tapped manually </w:t>
      </w:r>
      <w:r w:rsidR="00105043">
        <w:rPr>
          <w:rFonts w:ascii="Times New Roman" w:hAnsi="Times New Roman" w:cs="Times New Roman"/>
          <w:sz w:val="24"/>
          <w:szCs w:val="24"/>
        </w:rPr>
        <w:t xml:space="preserve">nearly </w:t>
      </w:r>
      <w:r w:rsidRPr="00135523">
        <w:rPr>
          <w:rFonts w:ascii="Times New Roman" w:hAnsi="Times New Roman" w:cs="Times New Roman"/>
          <w:sz w:val="24"/>
          <w:szCs w:val="24"/>
        </w:rPr>
        <w:t>50 times on a solid marble surface from a height of 10 cm to achieve volume compaction. The final volume (</w:t>
      </w:r>
      <w:proofErr w:type="spellStart"/>
      <w:r w:rsidRPr="00135523">
        <w:rPr>
          <w:rFonts w:ascii="Times New Roman" w:hAnsi="Times New Roman" w:cs="Times New Roman"/>
          <w:sz w:val="24"/>
          <w:szCs w:val="24"/>
        </w:rPr>
        <w:t>Vn</w:t>
      </w:r>
      <w:proofErr w:type="spellEnd"/>
      <w:r w:rsidRPr="00135523">
        <w:rPr>
          <w:rFonts w:ascii="Times New Roman" w:hAnsi="Times New Roman" w:cs="Times New Roman"/>
          <w:sz w:val="24"/>
          <w:szCs w:val="24"/>
        </w:rPr>
        <w:t xml:space="preserve">) was noted, and tapped density was calculated using </w:t>
      </w:r>
      <w:r>
        <w:rPr>
          <w:rFonts w:ascii="Times New Roman" w:hAnsi="Times New Roman" w:cs="Times New Roman"/>
          <w:sz w:val="24"/>
          <w:szCs w:val="24"/>
        </w:rPr>
        <w:t>given formula:</w:t>
      </w:r>
    </w:p>
    <w:p w14:paraId="010B661E" w14:textId="563A6F94" w:rsidR="00135523" w:rsidRDefault="00135523" w:rsidP="00135523">
      <w:pPr>
        <w:spacing w:line="360" w:lineRule="auto"/>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Bulk density= </w:t>
      </w:r>
      <m:oMath>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Vo</m:t>
            </m:r>
          </m:den>
        </m:f>
      </m:oMath>
    </w:p>
    <w:p w14:paraId="7CF79603" w14:textId="1AD76519" w:rsidR="00135523" w:rsidRDefault="00135523" w:rsidP="00135523">
      <w:pPr>
        <w:spacing w:line="360" w:lineRule="auto"/>
        <w:jc w:val="center"/>
        <w:rPr>
          <w:rFonts w:ascii="Times New Roman" w:hAnsi="Times New Roman" w:cs="Times New Roman"/>
          <w:sz w:val="24"/>
          <w:szCs w:val="24"/>
        </w:rPr>
      </w:pPr>
      <w:r>
        <w:rPr>
          <w:rFonts w:ascii="Times New Roman" w:eastAsiaTheme="minorEastAsia" w:hAnsi="Times New Roman" w:cs="Times New Roman"/>
          <w:sz w:val="24"/>
          <w:szCs w:val="24"/>
        </w:rPr>
        <w:t xml:space="preserve">Tapped density=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Vn</m:t>
            </m:r>
          </m:den>
        </m:f>
      </m:oMath>
    </w:p>
    <w:p w14:paraId="7FDB9012" w14:textId="6DDEF60A" w:rsidR="00BA48D8" w:rsidRDefault="00135523" w:rsidP="00BA48D8">
      <w:pPr>
        <w:spacing w:line="360" w:lineRule="auto"/>
        <w:jc w:val="both"/>
        <w:rPr>
          <w:rFonts w:ascii="Times New Roman" w:hAnsi="Times New Roman" w:cs="Times New Roman"/>
          <w:sz w:val="24"/>
          <w:szCs w:val="24"/>
        </w:rPr>
      </w:pPr>
      <w:r w:rsidRPr="00135523">
        <w:rPr>
          <w:rFonts w:ascii="Times New Roman" w:hAnsi="Times New Roman" w:cs="Times New Roman"/>
          <w:sz w:val="24"/>
          <w:szCs w:val="24"/>
        </w:rPr>
        <w:t xml:space="preserve">The flow characteristics of </w:t>
      </w:r>
      <w:r>
        <w:rPr>
          <w:rFonts w:ascii="Times New Roman" w:hAnsi="Times New Roman" w:cs="Times New Roman"/>
          <w:sz w:val="24"/>
          <w:szCs w:val="24"/>
        </w:rPr>
        <w:t>SBSOM</w:t>
      </w:r>
      <w:r w:rsidRPr="00135523">
        <w:rPr>
          <w:rFonts w:ascii="Times New Roman" w:hAnsi="Times New Roman" w:cs="Times New Roman"/>
          <w:sz w:val="24"/>
          <w:szCs w:val="24"/>
        </w:rPr>
        <w:t xml:space="preserve"> were assessed using Carr’s Index (Compressibility Index, C) and the Hausner Ratio (HR), following the method described by </w:t>
      </w:r>
      <w:r w:rsidR="00BD097F">
        <w:rPr>
          <w:rFonts w:ascii="Times New Roman" w:hAnsi="Times New Roman" w:cs="Times New Roman"/>
          <w:sz w:val="24"/>
          <w:szCs w:val="24"/>
        </w:rPr>
        <w:t>(</w:t>
      </w:r>
      <w:proofErr w:type="spellStart"/>
      <w:r w:rsidRPr="00135523">
        <w:rPr>
          <w:rFonts w:ascii="Times New Roman" w:hAnsi="Times New Roman" w:cs="Times New Roman"/>
          <w:sz w:val="24"/>
          <w:szCs w:val="24"/>
        </w:rPr>
        <w:t>Turchiuli</w:t>
      </w:r>
      <w:proofErr w:type="spellEnd"/>
      <w:r w:rsidRPr="00135523">
        <w:rPr>
          <w:rFonts w:ascii="Times New Roman" w:hAnsi="Times New Roman" w:cs="Times New Roman"/>
          <w:sz w:val="24"/>
          <w:szCs w:val="24"/>
        </w:rPr>
        <w:t xml:space="preserve"> et al.</w:t>
      </w:r>
      <w:r>
        <w:rPr>
          <w:rFonts w:ascii="Times New Roman" w:hAnsi="Times New Roman" w:cs="Times New Roman"/>
          <w:sz w:val="24"/>
          <w:szCs w:val="24"/>
        </w:rPr>
        <w:t>2005)</w:t>
      </w:r>
      <w:r w:rsidRPr="00135523">
        <w:rPr>
          <w:rFonts w:ascii="Times New Roman" w:hAnsi="Times New Roman" w:cs="Times New Roman"/>
          <w:sz w:val="24"/>
          <w:szCs w:val="24"/>
        </w:rPr>
        <w:t xml:space="preserve">. Carr’s Index </w:t>
      </w:r>
      <w:r w:rsidR="00BD097F">
        <w:rPr>
          <w:rFonts w:ascii="Times New Roman" w:hAnsi="Times New Roman" w:cs="Times New Roman"/>
          <w:sz w:val="24"/>
          <w:szCs w:val="24"/>
        </w:rPr>
        <w:t xml:space="preserve">measures the powder's compressibility and </w:t>
      </w:r>
      <w:r w:rsidRPr="00135523">
        <w:rPr>
          <w:rFonts w:ascii="Times New Roman" w:hAnsi="Times New Roman" w:cs="Times New Roman"/>
          <w:sz w:val="24"/>
          <w:szCs w:val="24"/>
        </w:rPr>
        <w:t xml:space="preserve">ability to flow freely, whereas the Hausner Ratio reflects the degree of cohesiveness among powder particles. Both indices were calculated based on the measured bulk and tapped densities using </w:t>
      </w:r>
      <w:r w:rsidR="00BD097F">
        <w:rPr>
          <w:rFonts w:ascii="Times New Roman" w:hAnsi="Times New Roman" w:cs="Times New Roman"/>
          <w:sz w:val="24"/>
          <w:szCs w:val="24"/>
        </w:rPr>
        <w:t xml:space="preserve">the </w:t>
      </w:r>
      <w:r>
        <w:rPr>
          <w:rFonts w:ascii="Times New Roman" w:hAnsi="Times New Roman" w:cs="Times New Roman"/>
          <w:sz w:val="24"/>
          <w:szCs w:val="24"/>
        </w:rPr>
        <w:t>given formulae</w:t>
      </w:r>
      <w:r w:rsidR="00BD097F">
        <w:rPr>
          <w:rFonts w:ascii="Times New Roman" w:hAnsi="Times New Roman" w:cs="Times New Roman"/>
          <w:sz w:val="24"/>
          <w:szCs w:val="24"/>
        </w:rPr>
        <w:t>,</w:t>
      </w:r>
      <w:r>
        <w:rPr>
          <w:rFonts w:ascii="Times New Roman" w:hAnsi="Times New Roman" w:cs="Times New Roman"/>
          <w:sz w:val="24"/>
          <w:szCs w:val="24"/>
        </w:rPr>
        <w:t xml:space="preserve"> </w:t>
      </w:r>
      <w:r w:rsidRPr="00135523">
        <w:rPr>
          <w:rFonts w:ascii="Times New Roman" w:hAnsi="Times New Roman" w:cs="Times New Roman"/>
          <w:sz w:val="24"/>
          <w:szCs w:val="24"/>
        </w:rPr>
        <w:t>respectively</w:t>
      </w:r>
    </w:p>
    <w:p w14:paraId="3B179B60" w14:textId="6016E534" w:rsidR="00135523" w:rsidRDefault="00135523" w:rsidP="00F769C2">
      <w:pPr>
        <w:spacing w:line="360" w:lineRule="auto"/>
        <w:jc w:val="center"/>
        <w:rPr>
          <w:rFonts w:ascii="Times New Roman" w:eastAsiaTheme="minorEastAsia" w:hAnsi="Times New Roman" w:cs="Times New Roman"/>
          <w:sz w:val="24"/>
          <w:szCs w:val="24"/>
        </w:rPr>
      </w:pPr>
      <w:r>
        <w:rPr>
          <w:rFonts w:ascii="Times New Roman" w:hAnsi="Times New Roman" w:cs="Times New Roman"/>
          <w:sz w:val="24"/>
          <w:szCs w:val="24"/>
        </w:rPr>
        <w:t>Carr index</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Tapped density-Bulk density</m:t>
            </m:r>
          </m:num>
          <m:den>
            <m:r>
              <w:rPr>
                <w:rFonts w:ascii="Cambria Math" w:hAnsi="Cambria Math" w:cs="Times New Roman"/>
                <w:sz w:val="24"/>
                <w:szCs w:val="24"/>
              </w:rPr>
              <m:t>Tapped density</m:t>
            </m:r>
          </m:den>
        </m:f>
      </m:oMath>
      <w:r w:rsidR="00BD097F">
        <w:rPr>
          <w:rFonts w:ascii="Times New Roman" w:eastAsiaTheme="minorEastAsia" w:hAnsi="Times New Roman" w:cs="Times New Roman"/>
          <w:sz w:val="24"/>
          <w:szCs w:val="24"/>
        </w:rPr>
        <w:t>*100</w:t>
      </w:r>
    </w:p>
    <w:p w14:paraId="72C33350" w14:textId="52F5DECB" w:rsidR="00135523" w:rsidRDefault="00135523" w:rsidP="00F769C2">
      <w:pPr>
        <w:spacing w:line="360" w:lineRule="auto"/>
        <w:jc w:val="center"/>
        <w:rPr>
          <w:rFonts w:ascii="Times New Roman" w:eastAsiaTheme="minorEastAsia" w:hAnsi="Times New Roman" w:cs="Times New Roman"/>
          <w:sz w:val="24"/>
          <w:szCs w:val="24"/>
        </w:rPr>
      </w:pPr>
      <w:r w:rsidRPr="00135523">
        <w:rPr>
          <w:rFonts w:ascii="Times New Roman" w:hAnsi="Times New Roman" w:cs="Times New Roman"/>
          <w:sz w:val="24"/>
          <w:szCs w:val="24"/>
        </w:rPr>
        <w:t>Hausner Ratio</w:t>
      </w:r>
      <w:r>
        <w:rPr>
          <w:rFonts w:ascii="Times New Roman" w:hAnsi="Times New Roman" w:cs="Times New Roman"/>
          <w:sz w:val="24"/>
          <w:szCs w:val="24"/>
        </w:rPr>
        <w:t xml:space="preserve">= </w:t>
      </w:r>
      <w:r w:rsidRPr="00135523">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Tapped density</m:t>
            </m:r>
          </m:num>
          <m:den>
            <m:r>
              <w:rPr>
                <w:rFonts w:ascii="Cambria Math" w:hAnsi="Cambria Math" w:cs="Times New Roman"/>
                <w:sz w:val="24"/>
                <w:szCs w:val="24"/>
              </w:rPr>
              <m:t>Bulk density</m:t>
            </m:r>
          </m:den>
        </m:f>
      </m:oMath>
    </w:p>
    <w:p w14:paraId="3350A6EA" w14:textId="0B7FF509" w:rsidR="00BD097F" w:rsidRPr="0037295E" w:rsidRDefault="00273974" w:rsidP="00BD097F">
      <w:pPr>
        <w:spacing w:line="360" w:lineRule="auto"/>
        <w:jc w:val="both"/>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 xml:space="preserve">2.4 </w:t>
      </w:r>
      <w:r w:rsidR="00BD097F" w:rsidRPr="0037295E">
        <w:rPr>
          <w:rFonts w:ascii="Times New Roman" w:eastAsiaTheme="minorEastAsia" w:hAnsi="Times New Roman" w:cs="Times New Roman"/>
          <w:b/>
          <w:bCs/>
          <w:sz w:val="24"/>
          <w:szCs w:val="24"/>
        </w:rPr>
        <w:t>Moisture Content and Water Activity (a</w:t>
      </w:r>
      <w:r w:rsidR="00BD097F" w:rsidRPr="0037295E">
        <w:rPr>
          <w:rFonts w:ascii="Times New Roman" w:eastAsiaTheme="minorEastAsia" w:hAnsi="Times New Roman" w:cs="Times New Roman"/>
          <w:b/>
          <w:bCs/>
          <w:sz w:val="24"/>
          <w:szCs w:val="24"/>
          <w:vertAlign w:val="subscript"/>
        </w:rPr>
        <w:t>w</w:t>
      </w:r>
      <w:r w:rsidR="00BD097F" w:rsidRPr="0037295E">
        <w:rPr>
          <w:rFonts w:ascii="Times New Roman" w:eastAsiaTheme="minorEastAsia" w:hAnsi="Times New Roman" w:cs="Times New Roman"/>
          <w:b/>
          <w:bCs/>
          <w:sz w:val="24"/>
          <w:szCs w:val="24"/>
        </w:rPr>
        <w:t>):</w:t>
      </w:r>
    </w:p>
    <w:p w14:paraId="35E8BA29" w14:textId="50C913EE" w:rsidR="00BD097F" w:rsidRDefault="00BD097F" w:rsidP="00BD097F">
      <w:pPr>
        <w:spacing w:line="360" w:lineRule="auto"/>
        <w:jc w:val="both"/>
        <w:rPr>
          <w:rFonts w:ascii="Times New Roman" w:eastAsiaTheme="minorEastAsia" w:hAnsi="Times New Roman" w:cs="Times New Roman"/>
          <w:sz w:val="24"/>
          <w:szCs w:val="24"/>
        </w:rPr>
      </w:pPr>
      <w:r w:rsidRPr="00BD097F">
        <w:rPr>
          <w:rFonts w:ascii="Times New Roman" w:eastAsiaTheme="minorEastAsia" w:hAnsi="Times New Roman" w:cs="Times New Roman"/>
          <w:sz w:val="24"/>
          <w:szCs w:val="24"/>
        </w:rPr>
        <w:t xml:space="preserve">The moisture content of sea buckthorn seed oil powder was </w:t>
      </w:r>
      <w:proofErr w:type="spellStart"/>
      <w:r w:rsidRPr="00BD097F">
        <w:rPr>
          <w:rFonts w:ascii="Times New Roman" w:eastAsiaTheme="minorEastAsia" w:hAnsi="Times New Roman" w:cs="Times New Roman"/>
          <w:sz w:val="24"/>
          <w:szCs w:val="24"/>
        </w:rPr>
        <w:t>analyzed</w:t>
      </w:r>
      <w:proofErr w:type="spellEnd"/>
      <w:r w:rsidRPr="00BD097F">
        <w:rPr>
          <w:rFonts w:ascii="Times New Roman" w:eastAsiaTheme="minorEastAsia" w:hAnsi="Times New Roman" w:cs="Times New Roman"/>
          <w:sz w:val="24"/>
          <w:szCs w:val="24"/>
        </w:rPr>
        <w:t xml:space="preserve"> using a halogen moisture </w:t>
      </w:r>
      <w:proofErr w:type="spellStart"/>
      <w:r w:rsidRPr="00BD097F">
        <w:rPr>
          <w:rFonts w:ascii="Times New Roman" w:eastAsiaTheme="minorEastAsia" w:hAnsi="Times New Roman" w:cs="Times New Roman"/>
          <w:sz w:val="24"/>
          <w:szCs w:val="24"/>
        </w:rPr>
        <w:t>analyzer</w:t>
      </w:r>
      <w:proofErr w:type="spellEnd"/>
      <w:r w:rsidRPr="00BD097F">
        <w:rPr>
          <w:rFonts w:ascii="Times New Roman" w:eastAsiaTheme="minorEastAsia" w:hAnsi="Times New Roman" w:cs="Times New Roman"/>
          <w:sz w:val="24"/>
          <w:szCs w:val="24"/>
        </w:rPr>
        <w:t xml:space="preserve"> (WENSAR, HMB 100, Bengaluru, India), operated under standardized conditions at </w:t>
      </w:r>
      <w:r w:rsidRPr="00BD097F">
        <w:rPr>
          <w:rFonts w:ascii="Times New Roman" w:eastAsiaTheme="minorEastAsia" w:hAnsi="Times New Roman" w:cs="Times New Roman"/>
          <w:sz w:val="24"/>
          <w:szCs w:val="24"/>
        </w:rPr>
        <w:lastRenderedPageBreak/>
        <w:t xml:space="preserve">108 °C for 5 minutes. </w:t>
      </w:r>
      <w:r w:rsidR="00962AC1" w:rsidRPr="00962AC1">
        <w:rPr>
          <w:rFonts w:ascii="Times New Roman" w:eastAsiaTheme="minorEastAsia" w:hAnsi="Times New Roman" w:cs="Times New Roman"/>
          <w:sz w:val="24"/>
          <w:szCs w:val="24"/>
        </w:rPr>
        <w:t>Each measurement was performed three times to guarantee precision and consistency of the results.</w:t>
      </w:r>
      <w:r w:rsidR="00962AC1">
        <w:rPr>
          <w:rFonts w:ascii="Times New Roman" w:eastAsiaTheme="minorEastAsia" w:hAnsi="Times New Roman" w:cs="Times New Roman"/>
          <w:sz w:val="24"/>
          <w:szCs w:val="24"/>
        </w:rPr>
        <w:t xml:space="preserve"> </w:t>
      </w:r>
      <w:r w:rsidRPr="00BD097F">
        <w:rPr>
          <w:rFonts w:ascii="Times New Roman" w:eastAsiaTheme="minorEastAsia" w:hAnsi="Times New Roman" w:cs="Times New Roman"/>
          <w:sz w:val="24"/>
          <w:szCs w:val="24"/>
        </w:rPr>
        <w:t>The water activity (aw) of the microencapsulated functional oil powder (M</w:t>
      </w:r>
      <w:r w:rsidR="0063664E">
        <w:rPr>
          <w:rFonts w:ascii="Times New Roman" w:eastAsiaTheme="minorEastAsia" w:hAnsi="Times New Roman" w:cs="Times New Roman"/>
          <w:sz w:val="24"/>
          <w:szCs w:val="24"/>
        </w:rPr>
        <w:t>SBSOP</w:t>
      </w:r>
      <w:r w:rsidRPr="00BD097F">
        <w:rPr>
          <w:rFonts w:ascii="Times New Roman" w:eastAsiaTheme="minorEastAsia" w:hAnsi="Times New Roman" w:cs="Times New Roman"/>
          <w:sz w:val="24"/>
          <w:szCs w:val="24"/>
        </w:rPr>
        <w:t xml:space="preserve">) was assessed at 35 °C using a water activity meter (AQUA Lab Pre, Decagon Devices, WA, USA). Prior to measurement, the instrument was </w:t>
      </w:r>
      <w:r w:rsidR="00962AC1">
        <w:rPr>
          <w:rFonts w:ascii="Times New Roman" w:eastAsiaTheme="minorEastAsia" w:hAnsi="Times New Roman" w:cs="Times New Roman"/>
          <w:sz w:val="24"/>
          <w:szCs w:val="24"/>
        </w:rPr>
        <w:t>adjusted</w:t>
      </w:r>
      <w:r w:rsidRPr="00BD097F">
        <w:rPr>
          <w:rFonts w:ascii="Times New Roman" w:eastAsiaTheme="minorEastAsia" w:hAnsi="Times New Roman" w:cs="Times New Roman"/>
          <w:sz w:val="24"/>
          <w:szCs w:val="24"/>
        </w:rPr>
        <w:t xml:space="preserve"> using charcoal powder at the same temperature to ensure precise readings</w:t>
      </w:r>
      <w:r w:rsidR="008076B8">
        <w:rPr>
          <w:rFonts w:ascii="Times New Roman" w:eastAsiaTheme="minorEastAsia" w:hAnsi="Times New Roman" w:cs="Times New Roman"/>
          <w:sz w:val="24"/>
          <w:szCs w:val="24"/>
        </w:rPr>
        <w:t>.</w:t>
      </w:r>
    </w:p>
    <w:p w14:paraId="47EDFF73" w14:textId="6AFA32A2" w:rsidR="00B743FB" w:rsidRPr="0037295E" w:rsidRDefault="00273974" w:rsidP="00B743FB">
      <w:pPr>
        <w:spacing w:line="360" w:lineRule="auto"/>
        <w:jc w:val="both"/>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 xml:space="preserve">2.5 </w:t>
      </w:r>
      <w:r w:rsidR="00B743FB" w:rsidRPr="00B743FB">
        <w:rPr>
          <w:rFonts w:ascii="Times New Roman" w:eastAsiaTheme="minorEastAsia" w:hAnsi="Times New Roman" w:cs="Times New Roman"/>
          <w:b/>
          <w:bCs/>
          <w:sz w:val="24"/>
          <w:szCs w:val="24"/>
        </w:rPr>
        <w:t>Fourier transform infrared</w:t>
      </w:r>
      <w:r w:rsidR="00B743FB" w:rsidRPr="0037295E">
        <w:rPr>
          <w:rFonts w:ascii="Times New Roman" w:eastAsiaTheme="minorEastAsia" w:hAnsi="Times New Roman" w:cs="Times New Roman"/>
          <w:b/>
          <w:bCs/>
          <w:sz w:val="24"/>
          <w:szCs w:val="24"/>
        </w:rPr>
        <w:t xml:space="preserve"> spectroscopy (FT-IR)</w:t>
      </w:r>
    </w:p>
    <w:p w14:paraId="727013EE" w14:textId="628CD12D" w:rsidR="00B743FB" w:rsidRDefault="00962AC1" w:rsidP="00B743FB">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w:t>
      </w:r>
      <w:r w:rsidRPr="00B743FB">
        <w:rPr>
          <w:rFonts w:ascii="Times New Roman" w:eastAsiaTheme="minorEastAsia" w:hAnsi="Times New Roman" w:cs="Times New Roman"/>
          <w:sz w:val="24"/>
          <w:szCs w:val="24"/>
        </w:rPr>
        <w:t>sing the compression method</w:t>
      </w:r>
      <w:r>
        <w:rPr>
          <w:rFonts w:ascii="Times New Roman" w:eastAsiaTheme="minorEastAsia" w:hAnsi="Times New Roman" w:cs="Times New Roman"/>
          <w:sz w:val="24"/>
          <w:szCs w:val="24"/>
        </w:rPr>
        <w:t xml:space="preserve">, </w:t>
      </w:r>
      <w:r w:rsidR="00B743FB" w:rsidRPr="00B743FB">
        <w:rPr>
          <w:rFonts w:ascii="Times New Roman" w:eastAsiaTheme="minorEastAsia" w:hAnsi="Times New Roman" w:cs="Times New Roman"/>
          <w:sz w:val="24"/>
          <w:szCs w:val="24"/>
        </w:rPr>
        <w:t xml:space="preserve">FT-IR samples were prepared. A measured </w:t>
      </w:r>
      <w:proofErr w:type="gramStart"/>
      <w:r w:rsidR="00B743FB" w:rsidRPr="00B743FB">
        <w:rPr>
          <w:rFonts w:ascii="Times New Roman" w:eastAsiaTheme="minorEastAsia" w:hAnsi="Times New Roman" w:cs="Times New Roman"/>
          <w:sz w:val="24"/>
          <w:szCs w:val="24"/>
        </w:rPr>
        <w:t>amount</w:t>
      </w:r>
      <w:proofErr w:type="gramEnd"/>
      <w:r w:rsidR="00B743FB" w:rsidRPr="00B743FB">
        <w:rPr>
          <w:rFonts w:ascii="Times New Roman" w:eastAsiaTheme="minorEastAsia" w:hAnsi="Times New Roman" w:cs="Times New Roman"/>
          <w:sz w:val="24"/>
          <w:szCs w:val="24"/>
        </w:rPr>
        <w:t xml:space="preserve"> of microcapsules was thoroughly mixed with 198.0 mg of KBr in a mortar, finely ground, and then compressed into transparent pellets. The spectra were</w:t>
      </w:r>
      <w:r>
        <w:rPr>
          <w:rFonts w:ascii="Times New Roman" w:eastAsiaTheme="minorEastAsia" w:hAnsi="Times New Roman" w:cs="Times New Roman"/>
          <w:sz w:val="24"/>
          <w:szCs w:val="24"/>
        </w:rPr>
        <w:t xml:space="preserve"> noted</w:t>
      </w:r>
      <w:r w:rsidR="00B743FB" w:rsidRPr="00B743F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with the help of </w:t>
      </w:r>
      <w:r w:rsidR="00B743FB" w:rsidRPr="00B743FB">
        <w:rPr>
          <w:rFonts w:ascii="Times New Roman" w:eastAsiaTheme="minorEastAsia" w:hAnsi="Times New Roman" w:cs="Times New Roman"/>
          <w:sz w:val="24"/>
          <w:szCs w:val="24"/>
        </w:rPr>
        <w:t>a PerkinElmer Spectrum 3™ FT-IR spectrometer over the wavenumber range of 4000 to 600 cm⁻¹</w:t>
      </w:r>
      <w:r w:rsidR="00B743FB">
        <w:rPr>
          <w:rFonts w:ascii="Times New Roman" w:eastAsiaTheme="minorEastAsia" w:hAnsi="Times New Roman" w:cs="Times New Roman"/>
          <w:sz w:val="24"/>
          <w:szCs w:val="24"/>
        </w:rPr>
        <w:t>.</w:t>
      </w:r>
    </w:p>
    <w:p w14:paraId="349EE529" w14:textId="5E29F84D" w:rsidR="00B54978" w:rsidRPr="0037295E" w:rsidRDefault="00273974" w:rsidP="00BD097F">
      <w:pPr>
        <w:spacing w:line="360" w:lineRule="auto"/>
        <w:jc w:val="both"/>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 xml:space="preserve">2.6 </w:t>
      </w:r>
      <w:r w:rsidR="00B54978" w:rsidRPr="0037295E">
        <w:rPr>
          <w:rFonts w:ascii="Times New Roman" w:eastAsiaTheme="minorEastAsia" w:hAnsi="Times New Roman" w:cs="Times New Roman"/>
          <w:b/>
          <w:bCs/>
          <w:sz w:val="24"/>
          <w:szCs w:val="24"/>
        </w:rPr>
        <w:t>Data analysis</w:t>
      </w:r>
    </w:p>
    <w:p w14:paraId="2262D86B" w14:textId="3A8E3FAB" w:rsidR="00AE60C6" w:rsidRDefault="00B54978" w:rsidP="00215CEC">
      <w:pPr>
        <w:spacing w:line="360" w:lineRule="auto"/>
        <w:jc w:val="both"/>
        <w:rPr>
          <w:rFonts w:ascii="Times New Roman" w:eastAsiaTheme="minorEastAsia" w:hAnsi="Times New Roman" w:cs="Times New Roman"/>
          <w:sz w:val="24"/>
          <w:szCs w:val="24"/>
        </w:rPr>
      </w:pPr>
      <w:r w:rsidRPr="00B54978">
        <w:rPr>
          <w:rFonts w:ascii="Times New Roman" w:eastAsiaTheme="minorEastAsia" w:hAnsi="Times New Roman" w:cs="Times New Roman"/>
          <w:sz w:val="24"/>
          <w:szCs w:val="24"/>
        </w:rPr>
        <w:t xml:space="preserve">All data were collected from three independent replicates and are presented as mean ± standard deviation. Statistical analyses were performed using SPSS version 25.0 and Origin 9.0. </w:t>
      </w:r>
      <w:r w:rsidR="00962AC1" w:rsidRPr="00962AC1">
        <w:rPr>
          <w:rFonts w:ascii="Times New Roman" w:eastAsiaTheme="minorEastAsia" w:hAnsi="Times New Roman" w:cs="Times New Roman"/>
          <w:sz w:val="24"/>
          <w:szCs w:val="24"/>
        </w:rPr>
        <w:t>Statistical significance between several groups was assessed using Duncan's multiple range test to determine meaningful differences</w:t>
      </w:r>
      <w:r>
        <w:rPr>
          <w:rFonts w:ascii="Times New Roman" w:eastAsiaTheme="minorEastAsia" w:hAnsi="Times New Roman" w:cs="Times New Roman"/>
          <w:sz w:val="24"/>
          <w:szCs w:val="24"/>
        </w:rPr>
        <w:t>.</w:t>
      </w:r>
    </w:p>
    <w:p w14:paraId="1FC873B3" w14:textId="4ED88534" w:rsidR="00F23C3D" w:rsidRPr="0037295E" w:rsidRDefault="00273974" w:rsidP="0037295E">
      <w:pPr>
        <w:spacing w:line="360" w:lineRule="auto"/>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 xml:space="preserve">3 </w:t>
      </w:r>
      <w:r w:rsidR="008076B8" w:rsidRPr="0037295E">
        <w:rPr>
          <w:rFonts w:ascii="Times New Roman" w:eastAsiaTheme="minorEastAsia" w:hAnsi="Times New Roman" w:cs="Times New Roman"/>
          <w:b/>
          <w:bCs/>
          <w:sz w:val="24"/>
          <w:szCs w:val="24"/>
        </w:rPr>
        <w:t>Results and Discussions</w:t>
      </w:r>
    </w:p>
    <w:p w14:paraId="35153FC8" w14:textId="4FA4A92E" w:rsidR="0037295E" w:rsidRPr="0037295E" w:rsidRDefault="0037295E" w:rsidP="0037295E">
      <w:pPr>
        <w:spacing w:line="360" w:lineRule="auto"/>
        <w:jc w:val="both"/>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3.1 Effect of the preparation process on the particle size of microcapsules</w:t>
      </w:r>
    </w:p>
    <w:p w14:paraId="6487A3CC" w14:textId="06962E4C" w:rsidR="00CF42E0" w:rsidRDefault="00F23C3D" w:rsidP="00215CEC">
      <w:pPr>
        <w:spacing w:line="360" w:lineRule="auto"/>
        <w:jc w:val="both"/>
        <w:rPr>
          <w:rFonts w:ascii="Times New Roman" w:eastAsiaTheme="minorEastAsia" w:hAnsi="Times New Roman" w:cs="Times New Roman"/>
          <w:sz w:val="24"/>
          <w:szCs w:val="24"/>
        </w:rPr>
      </w:pPr>
      <w:r w:rsidRPr="00F23C3D">
        <w:rPr>
          <w:rFonts w:ascii="Times New Roman" w:eastAsiaTheme="minorEastAsia" w:hAnsi="Times New Roman" w:cs="Times New Roman"/>
          <w:sz w:val="24"/>
          <w:szCs w:val="24"/>
        </w:rPr>
        <w:t>Particle size serves as a critical parameter for evaluating the quality of microcapsules. Smaller particle sizes facilitate more efficient release of the encapsulated core material</w:t>
      </w:r>
      <w:r>
        <w:rPr>
          <w:rFonts w:ascii="Times New Roman" w:eastAsiaTheme="minorEastAsia" w:hAnsi="Times New Roman" w:cs="Times New Roman"/>
          <w:sz w:val="24"/>
          <w:szCs w:val="24"/>
        </w:rPr>
        <w:t xml:space="preserve"> (</w:t>
      </w:r>
      <w:r w:rsidRPr="00F23C3D">
        <w:rPr>
          <w:rFonts w:ascii="Times New Roman" w:hAnsi="Times New Roman" w:cs="Times New Roman"/>
          <w:sz w:val="24"/>
          <w:szCs w:val="24"/>
        </w:rPr>
        <w:t>Nogueira</w:t>
      </w:r>
      <w:r>
        <w:rPr>
          <w:rFonts w:ascii="Times New Roman" w:hAnsi="Times New Roman" w:cs="Times New Roman"/>
          <w:sz w:val="24"/>
          <w:szCs w:val="24"/>
        </w:rPr>
        <w:t xml:space="preserve"> et al.</w:t>
      </w:r>
      <w:proofErr w:type="gramStart"/>
      <w:r>
        <w:rPr>
          <w:rFonts w:ascii="Times New Roman" w:hAnsi="Times New Roman" w:cs="Times New Roman"/>
          <w:sz w:val="24"/>
          <w:szCs w:val="24"/>
        </w:rPr>
        <w:t>,  2019</w:t>
      </w:r>
      <w:proofErr w:type="gramEnd"/>
      <w:r>
        <w:rPr>
          <w:rFonts w:ascii="Times New Roman" w:hAnsi="Times New Roman" w:cs="Times New Roman"/>
          <w:sz w:val="24"/>
          <w:szCs w:val="24"/>
        </w:rPr>
        <w:t>).</w:t>
      </w:r>
      <w:r w:rsidR="00C1691A">
        <w:rPr>
          <w:rFonts w:ascii="Times New Roman" w:hAnsi="Times New Roman" w:cs="Times New Roman"/>
          <w:sz w:val="24"/>
          <w:szCs w:val="24"/>
        </w:rPr>
        <w:t xml:space="preserve"> </w:t>
      </w:r>
      <w:r w:rsidRPr="00F23C3D">
        <w:rPr>
          <w:rFonts w:ascii="Times New Roman" w:eastAsiaTheme="minorEastAsia" w:hAnsi="Times New Roman" w:cs="Times New Roman"/>
          <w:sz w:val="24"/>
          <w:szCs w:val="24"/>
        </w:rPr>
        <w:t xml:space="preserve">At lower concentrations of maltodextrin, insufficient emulsification and dispersion of </w:t>
      </w:r>
      <w:proofErr w:type="spellStart"/>
      <w:r w:rsidRPr="00F23C3D">
        <w:rPr>
          <w:rFonts w:ascii="Times New Roman" w:eastAsiaTheme="minorEastAsia" w:hAnsi="Times New Roman" w:cs="Times New Roman"/>
          <w:i/>
          <w:iCs/>
          <w:sz w:val="24"/>
          <w:szCs w:val="24"/>
        </w:rPr>
        <w:t>Hippophae</w:t>
      </w:r>
      <w:proofErr w:type="spellEnd"/>
      <w:r w:rsidRPr="00F23C3D">
        <w:rPr>
          <w:rFonts w:ascii="Times New Roman" w:eastAsiaTheme="minorEastAsia" w:hAnsi="Times New Roman" w:cs="Times New Roman"/>
          <w:i/>
          <w:iCs/>
          <w:sz w:val="24"/>
          <w:szCs w:val="24"/>
        </w:rPr>
        <w:t xml:space="preserve"> </w:t>
      </w:r>
      <w:proofErr w:type="spellStart"/>
      <w:r w:rsidRPr="00F23C3D">
        <w:rPr>
          <w:rFonts w:ascii="Times New Roman" w:eastAsiaTheme="minorEastAsia" w:hAnsi="Times New Roman" w:cs="Times New Roman"/>
          <w:i/>
          <w:iCs/>
          <w:sz w:val="24"/>
          <w:szCs w:val="24"/>
        </w:rPr>
        <w:t>rhamnoides</w:t>
      </w:r>
      <w:proofErr w:type="spellEnd"/>
      <w:r w:rsidRPr="00F23C3D">
        <w:rPr>
          <w:rFonts w:ascii="Times New Roman" w:eastAsiaTheme="minorEastAsia" w:hAnsi="Times New Roman" w:cs="Times New Roman"/>
          <w:sz w:val="24"/>
          <w:szCs w:val="24"/>
        </w:rPr>
        <w:t xml:space="preserve"> seed oil led to the formation of larger particles. Conversely, excessive maltodextrin levels increased the emulsion's viscosity, promoting particle agglomeration during the spray-drying process. Optimal particle size reduction was observed at a maltodextrin-to-inulin ratio of 1:2</w:t>
      </w:r>
      <w:r w:rsidR="003E59EF">
        <w:rPr>
          <w:rFonts w:ascii="Times New Roman" w:eastAsiaTheme="minorEastAsia" w:hAnsi="Times New Roman" w:cs="Times New Roman"/>
          <w:sz w:val="24"/>
          <w:szCs w:val="24"/>
        </w:rPr>
        <w:t xml:space="preserve"> (Figure 1).</w:t>
      </w:r>
    </w:p>
    <w:p w14:paraId="4913681E" w14:textId="1005EAE4" w:rsidR="003E59EF" w:rsidRDefault="003E59EF" w:rsidP="003E59EF">
      <w:pPr>
        <w:spacing w:line="360" w:lineRule="auto"/>
        <w:jc w:val="center"/>
        <w:rPr>
          <w:rFonts w:ascii="Times New Roman" w:eastAsiaTheme="minorEastAsia" w:hAnsi="Times New Roman" w:cs="Times New Roman"/>
          <w:sz w:val="24"/>
          <w:szCs w:val="24"/>
        </w:rPr>
      </w:pPr>
      <w:r>
        <w:rPr>
          <w:noProof/>
        </w:rPr>
        <w:lastRenderedPageBreak/>
        <w:drawing>
          <wp:inline distT="0" distB="0" distL="0" distR="0" wp14:anchorId="4D1540A7" wp14:editId="435E3437">
            <wp:extent cx="4879655" cy="210312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6357" cy="2131869"/>
                    </a:xfrm>
                    <a:prstGeom prst="rect">
                      <a:avLst/>
                    </a:prstGeom>
                    <a:noFill/>
                    <a:ln>
                      <a:noFill/>
                    </a:ln>
                  </pic:spPr>
                </pic:pic>
              </a:graphicData>
            </a:graphic>
          </wp:inline>
        </w:drawing>
      </w:r>
    </w:p>
    <w:p w14:paraId="4ACE2E78" w14:textId="4C35EA26" w:rsidR="003E59EF" w:rsidRPr="003E59EF" w:rsidRDefault="003E59EF" w:rsidP="003E59EF">
      <w:pPr>
        <w:spacing w:line="360" w:lineRule="auto"/>
        <w:rPr>
          <w:rFonts w:ascii="Times New Roman" w:eastAsiaTheme="minorEastAsia" w:hAnsi="Times New Roman" w:cs="Times New Roman"/>
          <w:b/>
          <w:bCs/>
          <w:sz w:val="24"/>
          <w:szCs w:val="24"/>
        </w:rPr>
      </w:pPr>
      <w:r w:rsidRPr="003E59EF">
        <w:rPr>
          <w:rFonts w:ascii="Times New Roman" w:eastAsiaTheme="minorEastAsia" w:hAnsi="Times New Roman" w:cs="Times New Roman"/>
          <w:b/>
          <w:bCs/>
          <w:sz w:val="24"/>
          <w:szCs w:val="24"/>
        </w:rPr>
        <w:t>Figure 1- particle size distribution of microcapsules under optimal preparation process.</w:t>
      </w:r>
    </w:p>
    <w:p w14:paraId="6B0E5666" w14:textId="1A9E73AF" w:rsidR="00CF42E0" w:rsidRPr="00310134" w:rsidRDefault="00310134" w:rsidP="00215CEC">
      <w:pPr>
        <w:spacing w:line="36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3.1.1</w:t>
      </w:r>
      <w:r w:rsidR="00CF42E0" w:rsidRPr="00310134">
        <w:rPr>
          <w:rFonts w:ascii="Times New Roman" w:eastAsiaTheme="minorEastAsia" w:hAnsi="Times New Roman" w:cs="Times New Roman"/>
          <w:b/>
          <w:bCs/>
          <w:sz w:val="24"/>
          <w:szCs w:val="24"/>
        </w:rPr>
        <w:t>Emulsion stability index</w:t>
      </w:r>
    </w:p>
    <w:p w14:paraId="74E49CBA" w14:textId="3D5ED88F" w:rsidR="00F23C3D" w:rsidRPr="003E59EF" w:rsidRDefault="00CF42E0" w:rsidP="003E59EF">
      <w:pPr>
        <w:pStyle w:val="NormalWeb"/>
        <w:spacing w:line="360" w:lineRule="auto"/>
        <w:jc w:val="both"/>
        <w:rPr>
          <w:rFonts w:eastAsiaTheme="minorEastAsia"/>
          <w:kern w:val="2"/>
          <w:lang w:eastAsia="en-US" w:bidi="th-TH"/>
          <w14:ligatures w14:val="standardContextual"/>
        </w:rPr>
      </w:pPr>
      <w:r w:rsidRPr="00CF42E0">
        <w:rPr>
          <w:rFonts w:eastAsiaTheme="minorEastAsia"/>
          <w:kern w:val="2"/>
          <w:lang w:eastAsia="en-US" w:bidi="th-TH"/>
          <w14:ligatures w14:val="standardContextual"/>
        </w:rPr>
        <w:t xml:space="preserve">The emulsion stability index (%) was </w:t>
      </w:r>
      <w:proofErr w:type="spellStart"/>
      <w:r w:rsidR="00962AC1">
        <w:rPr>
          <w:rFonts w:eastAsiaTheme="minorEastAsia"/>
          <w:kern w:val="2"/>
          <w:lang w:eastAsia="en-US" w:bidi="th-TH"/>
          <w14:ligatures w14:val="standardContextual"/>
        </w:rPr>
        <w:t>analyzed</w:t>
      </w:r>
      <w:proofErr w:type="spellEnd"/>
      <w:r w:rsidR="00962AC1">
        <w:rPr>
          <w:rFonts w:eastAsiaTheme="minorEastAsia"/>
          <w:kern w:val="2"/>
          <w:lang w:eastAsia="en-US" w:bidi="th-TH"/>
          <w14:ligatures w14:val="standardContextual"/>
        </w:rPr>
        <w:t xml:space="preserve"> </w:t>
      </w:r>
      <w:r w:rsidRPr="00CF42E0">
        <w:rPr>
          <w:rFonts w:eastAsiaTheme="minorEastAsia"/>
          <w:kern w:val="2"/>
          <w:lang w:eastAsia="en-US" w:bidi="th-TH"/>
          <w14:ligatures w14:val="standardContextual"/>
        </w:rPr>
        <w:t xml:space="preserve">post-homogenization to </w:t>
      </w:r>
      <w:r w:rsidR="00962AC1">
        <w:rPr>
          <w:rFonts w:eastAsiaTheme="minorEastAsia"/>
          <w:kern w:val="2"/>
          <w:lang w:eastAsia="en-US" w:bidi="th-TH"/>
          <w14:ligatures w14:val="standardContextual"/>
        </w:rPr>
        <w:t>find out</w:t>
      </w:r>
      <w:r w:rsidRPr="00CF42E0">
        <w:rPr>
          <w:rFonts w:eastAsiaTheme="minorEastAsia"/>
          <w:kern w:val="2"/>
          <w:lang w:eastAsia="en-US" w:bidi="th-TH"/>
          <w14:ligatures w14:val="standardContextual"/>
        </w:rPr>
        <w:t xml:space="preserve"> the stability of the encapsulated </w:t>
      </w:r>
      <w:proofErr w:type="spellStart"/>
      <w:r w:rsidRPr="00CF42E0">
        <w:rPr>
          <w:rFonts w:eastAsiaTheme="minorEastAsia"/>
          <w:i/>
          <w:iCs/>
          <w:kern w:val="2"/>
          <w:lang w:eastAsia="en-US" w:bidi="th-TH"/>
          <w14:ligatures w14:val="standardContextual"/>
        </w:rPr>
        <w:t>Hippophae</w:t>
      </w:r>
      <w:proofErr w:type="spellEnd"/>
      <w:r w:rsidRPr="00CF42E0">
        <w:rPr>
          <w:rFonts w:eastAsiaTheme="minorEastAsia"/>
          <w:i/>
          <w:iCs/>
          <w:kern w:val="2"/>
          <w:lang w:eastAsia="en-US" w:bidi="th-TH"/>
          <w14:ligatures w14:val="standardContextual"/>
        </w:rPr>
        <w:t xml:space="preserve"> </w:t>
      </w:r>
      <w:proofErr w:type="spellStart"/>
      <w:r w:rsidRPr="00CF42E0">
        <w:rPr>
          <w:rFonts w:eastAsiaTheme="minorEastAsia"/>
          <w:i/>
          <w:iCs/>
          <w:kern w:val="2"/>
          <w:lang w:eastAsia="en-US" w:bidi="th-TH"/>
          <w14:ligatures w14:val="standardContextual"/>
        </w:rPr>
        <w:t>rhamnoides</w:t>
      </w:r>
      <w:proofErr w:type="spellEnd"/>
      <w:r w:rsidRPr="00CF42E0">
        <w:rPr>
          <w:rFonts w:eastAsiaTheme="minorEastAsia"/>
          <w:kern w:val="2"/>
          <w:lang w:eastAsia="en-US" w:bidi="th-TH"/>
          <w14:ligatures w14:val="standardContextual"/>
        </w:rPr>
        <w:t xml:space="preserve"> seed oil extract. Stability measurements were conducted at 24-hour intervals to monitor potential phase separation or degradation over time.</w:t>
      </w:r>
      <w:r>
        <w:rPr>
          <w:rFonts w:eastAsiaTheme="minorEastAsia"/>
          <w:kern w:val="2"/>
          <w:lang w:eastAsia="en-US" w:bidi="th-TH"/>
          <w14:ligatures w14:val="standardContextual"/>
        </w:rPr>
        <w:t xml:space="preserve"> (</w:t>
      </w:r>
      <w:proofErr w:type="spellStart"/>
      <w:r w:rsidRPr="00CF42E0">
        <w:t>Cekić</w:t>
      </w:r>
      <w:proofErr w:type="spellEnd"/>
      <w:r>
        <w:t xml:space="preserve"> et al., 2023).</w:t>
      </w:r>
      <w:r w:rsidR="00C1691A">
        <w:t xml:space="preserve"> </w:t>
      </w:r>
      <w:r w:rsidRPr="00CF42E0">
        <w:rPr>
          <w:rFonts w:eastAsiaTheme="minorEastAsia"/>
          <w:kern w:val="2"/>
          <w:lang w:eastAsia="en-US" w:bidi="th-TH"/>
          <w14:ligatures w14:val="standardContextual"/>
        </w:rPr>
        <w:t xml:space="preserve">The emulsion exhibited a stability index of </w:t>
      </w:r>
      <w:r>
        <w:rPr>
          <w:rFonts w:eastAsiaTheme="minorEastAsia"/>
          <w:kern w:val="2"/>
          <w:lang w:eastAsia="en-US" w:bidi="th-TH"/>
          <w14:ligatures w14:val="standardContextual"/>
        </w:rPr>
        <w:t>(</w:t>
      </w:r>
      <w:r w:rsidRPr="00CF42E0">
        <w:rPr>
          <w:rFonts w:eastAsiaTheme="minorEastAsia"/>
          <w:kern w:val="2"/>
          <w:lang w:eastAsia="en-US" w:bidi="th-TH"/>
          <w14:ligatures w14:val="standardContextual"/>
        </w:rPr>
        <w:t>92.43 ± 8.17%</w:t>
      </w:r>
      <w:r>
        <w:rPr>
          <w:rFonts w:eastAsiaTheme="minorEastAsia"/>
          <w:kern w:val="2"/>
          <w:lang w:eastAsia="en-US" w:bidi="th-TH"/>
          <w14:ligatures w14:val="standardContextual"/>
        </w:rPr>
        <w:t>)</w:t>
      </w:r>
      <w:r w:rsidRPr="00CF42E0">
        <w:rPr>
          <w:rFonts w:eastAsiaTheme="minorEastAsia"/>
          <w:kern w:val="2"/>
          <w:lang w:eastAsia="en-US" w:bidi="th-TH"/>
          <w14:ligatures w14:val="standardContextual"/>
        </w:rPr>
        <w:t>, indicating a high degree of stability under the given conditions</w:t>
      </w:r>
      <w:r w:rsidR="003E59EF">
        <w:rPr>
          <w:rFonts w:eastAsiaTheme="minorEastAsia"/>
          <w:kern w:val="2"/>
          <w:lang w:eastAsia="en-US" w:bidi="th-TH"/>
          <w14:ligatures w14:val="standardContextual"/>
        </w:rPr>
        <w:t>.</w:t>
      </w:r>
    </w:p>
    <w:p w14:paraId="58B04168" w14:textId="542269F7" w:rsidR="0037295E" w:rsidRPr="0037295E" w:rsidRDefault="0037295E" w:rsidP="00215CEC">
      <w:pPr>
        <w:spacing w:line="360" w:lineRule="auto"/>
        <w:jc w:val="both"/>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 xml:space="preserve">3.2 Optimum </w:t>
      </w:r>
      <w:r w:rsidR="00962AC1">
        <w:rPr>
          <w:rFonts w:ascii="Times New Roman" w:eastAsiaTheme="minorEastAsia" w:hAnsi="Times New Roman" w:cs="Times New Roman"/>
          <w:b/>
          <w:bCs/>
          <w:sz w:val="24"/>
          <w:szCs w:val="24"/>
        </w:rPr>
        <w:t>Conditions</w:t>
      </w:r>
      <w:r w:rsidRPr="0037295E">
        <w:rPr>
          <w:rFonts w:ascii="Times New Roman" w:eastAsiaTheme="minorEastAsia" w:hAnsi="Times New Roman" w:cs="Times New Roman"/>
          <w:b/>
          <w:bCs/>
          <w:sz w:val="24"/>
          <w:szCs w:val="24"/>
        </w:rPr>
        <w:t xml:space="preserve"> of Microcapsules</w:t>
      </w:r>
    </w:p>
    <w:p w14:paraId="5B45F045" w14:textId="5C41A8DE" w:rsidR="000C3DB6" w:rsidRPr="003E59EF" w:rsidRDefault="00C4364F" w:rsidP="00E52F2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accordance with </w:t>
      </w:r>
      <w:r w:rsidR="00C37CCF" w:rsidRPr="00C37CCF">
        <w:rPr>
          <w:rFonts w:ascii="Times New Roman" w:eastAsiaTheme="minorEastAsia" w:hAnsi="Times New Roman" w:cs="Times New Roman"/>
          <w:sz w:val="24"/>
          <w:szCs w:val="24"/>
        </w:rPr>
        <w:t>encapsulation efficiency (EE) and yield results, the optimal formulation parameters were identified as a maltodextrin-to-inulin wall material ratio of 1:2, a wall concentration of 15.0%, a core-to-wall ratio of 1:</w:t>
      </w:r>
      <w:r w:rsidR="003E59EF">
        <w:rPr>
          <w:rFonts w:ascii="Times New Roman" w:eastAsiaTheme="minorEastAsia" w:hAnsi="Times New Roman" w:cs="Times New Roman"/>
          <w:sz w:val="24"/>
          <w:szCs w:val="24"/>
        </w:rPr>
        <w:t>2</w:t>
      </w:r>
      <w:r w:rsidR="00C37CCF" w:rsidRPr="00C37CCF">
        <w:rPr>
          <w:rFonts w:ascii="Times New Roman" w:eastAsiaTheme="minorEastAsia" w:hAnsi="Times New Roman" w:cs="Times New Roman"/>
          <w:sz w:val="24"/>
          <w:szCs w:val="24"/>
        </w:rPr>
        <w:t xml:space="preserve">, and an inlet temperature of 160 °C. Under these conditions, the encapsulation efficiency of </w:t>
      </w:r>
      <w:proofErr w:type="spellStart"/>
      <w:r w:rsidR="00C37CCF" w:rsidRPr="00C37CCF">
        <w:rPr>
          <w:rFonts w:ascii="Times New Roman" w:eastAsiaTheme="minorEastAsia" w:hAnsi="Times New Roman" w:cs="Times New Roman"/>
          <w:i/>
          <w:iCs/>
          <w:sz w:val="24"/>
          <w:szCs w:val="24"/>
        </w:rPr>
        <w:t>Hippophae</w:t>
      </w:r>
      <w:proofErr w:type="spellEnd"/>
      <w:r w:rsidR="00C37CCF" w:rsidRPr="00C37CCF">
        <w:rPr>
          <w:rFonts w:ascii="Times New Roman" w:eastAsiaTheme="minorEastAsia" w:hAnsi="Times New Roman" w:cs="Times New Roman"/>
          <w:i/>
          <w:iCs/>
          <w:sz w:val="24"/>
          <w:szCs w:val="24"/>
        </w:rPr>
        <w:t xml:space="preserve"> </w:t>
      </w:r>
      <w:proofErr w:type="spellStart"/>
      <w:r w:rsidR="00C37CCF" w:rsidRPr="00C37CCF">
        <w:rPr>
          <w:rFonts w:ascii="Times New Roman" w:eastAsiaTheme="minorEastAsia" w:hAnsi="Times New Roman" w:cs="Times New Roman"/>
          <w:i/>
          <w:iCs/>
          <w:sz w:val="24"/>
          <w:szCs w:val="24"/>
        </w:rPr>
        <w:t>rhamnoides</w:t>
      </w:r>
      <w:proofErr w:type="spellEnd"/>
      <w:r w:rsidR="00C37CCF" w:rsidRPr="00C37CCF">
        <w:rPr>
          <w:rFonts w:ascii="Times New Roman" w:eastAsiaTheme="minorEastAsia" w:hAnsi="Times New Roman" w:cs="Times New Roman"/>
          <w:sz w:val="24"/>
          <w:szCs w:val="24"/>
        </w:rPr>
        <w:t xml:space="preserve"> seed oil reached </w:t>
      </w:r>
      <w:r w:rsidR="00B93DE0">
        <w:rPr>
          <w:rFonts w:ascii="Times New Roman" w:eastAsiaTheme="minorEastAsia" w:hAnsi="Times New Roman" w:cs="Times New Roman"/>
          <w:sz w:val="24"/>
          <w:szCs w:val="24"/>
        </w:rPr>
        <w:t>(</w:t>
      </w:r>
      <w:r w:rsidR="00B93DE0">
        <w:rPr>
          <w:rFonts w:ascii="Times New Roman" w:hAnsi="Times New Roman" w:cs="Times New Roman"/>
          <w:sz w:val="24"/>
          <w:szCs w:val="24"/>
        </w:rPr>
        <w:t>94.94±0.41</w:t>
      </w:r>
      <w:r w:rsidR="00B93DE0">
        <w:rPr>
          <w:rFonts w:ascii="Times New Roman" w:hAnsi="Times New Roman" w:cs="Times New Roman"/>
          <w:sz w:val="24"/>
          <w:szCs w:val="24"/>
          <w:vertAlign w:val="superscript"/>
        </w:rPr>
        <w:t xml:space="preserve">) </w:t>
      </w:r>
      <w:r w:rsidR="00C37CCF" w:rsidRPr="00C37CCF">
        <w:rPr>
          <w:rFonts w:ascii="Times New Roman" w:eastAsiaTheme="minorEastAsia" w:hAnsi="Times New Roman" w:cs="Times New Roman"/>
          <w:sz w:val="24"/>
          <w:szCs w:val="24"/>
        </w:rPr>
        <w:t xml:space="preserve">with a corresponding yield of </w:t>
      </w:r>
      <w:r w:rsidR="00B93DE0">
        <w:rPr>
          <w:rFonts w:ascii="Times New Roman" w:eastAsiaTheme="minorEastAsia" w:hAnsi="Times New Roman" w:cs="Times New Roman"/>
          <w:sz w:val="24"/>
          <w:szCs w:val="24"/>
        </w:rPr>
        <w:t>(</w:t>
      </w:r>
      <w:r w:rsidR="00B93DE0">
        <w:rPr>
          <w:rFonts w:ascii="Times New Roman" w:hAnsi="Times New Roman" w:cs="Times New Roman"/>
          <w:sz w:val="24"/>
          <w:szCs w:val="24"/>
        </w:rPr>
        <w:t>56.91±0.15).</w:t>
      </w:r>
    </w:p>
    <w:p w14:paraId="4590C833" w14:textId="3E804E3B" w:rsidR="0037295E" w:rsidRPr="0037295E" w:rsidRDefault="0037295E" w:rsidP="00E52F26">
      <w:pPr>
        <w:spacing w:line="360" w:lineRule="auto"/>
        <w:jc w:val="both"/>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 xml:space="preserve">3.3 FT-IR analyses </w:t>
      </w:r>
    </w:p>
    <w:p w14:paraId="2E1ED16F" w14:textId="77D50D7C" w:rsidR="00E52F26" w:rsidRDefault="00E52F26" w:rsidP="00E52F26">
      <w:pPr>
        <w:spacing w:line="360" w:lineRule="auto"/>
        <w:jc w:val="both"/>
        <w:rPr>
          <w:rFonts w:ascii="Times New Roman" w:eastAsiaTheme="minorEastAsia" w:hAnsi="Times New Roman" w:cs="Times New Roman"/>
          <w:sz w:val="24"/>
          <w:szCs w:val="24"/>
        </w:rPr>
      </w:pPr>
      <w:r w:rsidRPr="00E52F26">
        <w:rPr>
          <w:rFonts w:ascii="Times New Roman" w:eastAsiaTheme="minorEastAsia" w:hAnsi="Times New Roman" w:cs="Times New Roman"/>
          <w:sz w:val="24"/>
          <w:szCs w:val="24"/>
        </w:rPr>
        <w:t xml:space="preserve">The FTIR spectrum (Figure </w:t>
      </w:r>
      <w:r w:rsidR="003E59EF">
        <w:rPr>
          <w:rFonts w:ascii="Times New Roman" w:eastAsiaTheme="minorEastAsia" w:hAnsi="Times New Roman" w:cs="Times New Roman"/>
          <w:sz w:val="24"/>
          <w:szCs w:val="24"/>
        </w:rPr>
        <w:t>2</w:t>
      </w:r>
      <w:r w:rsidRPr="00E52F26">
        <w:rPr>
          <w:rFonts w:ascii="Times New Roman" w:eastAsiaTheme="minorEastAsia" w:hAnsi="Times New Roman" w:cs="Times New Roman"/>
          <w:sz w:val="24"/>
          <w:szCs w:val="24"/>
        </w:rPr>
        <w:t xml:space="preserve">) of the sea buckthorn seed oil microcapsules—processed with baseline correction and smoothing—reveals distinct transmittance bands corresponding to the characteristic functional groups present in both the core material (sea buckthorn seed oil) and the wall materials (maltodextrin and inulin). The spectral range </w:t>
      </w:r>
      <w:proofErr w:type="spellStart"/>
      <w:r w:rsidRPr="00E52F26">
        <w:rPr>
          <w:rFonts w:ascii="Times New Roman" w:eastAsiaTheme="minorEastAsia" w:hAnsi="Times New Roman" w:cs="Times New Roman"/>
          <w:sz w:val="24"/>
          <w:szCs w:val="24"/>
        </w:rPr>
        <w:t>analyzed</w:t>
      </w:r>
      <w:proofErr w:type="spellEnd"/>
      <w:r w:rsidRPr="00E52F26">
        <w:rPr>
          <w:rFonts w:ascii="Times New Roman" w:eastAsiaTheme="minorEastAsia" w:hAnsi="Times New Roman" w:cs="Times New Roman"/>
          <w:sz w:val="24"/>
          <w:szCs w:val="24"/>
        </w:rPr>
        <w:t xml:space="preserve"> spans from 4000</w:t>
      </w:r>
      <w:r w:rsidR="00C4364F">
        <w:rPr>
          <w:rFonts w:ascii="Times New Roman" w:eastAsiaTheme="minorEastAsia" w:hAnsi="Times New Roman" w:cs="Times New Roman"/>
          <w:sz w:val="24"/>
          <w:szCs w:val="24"/>
        </w:rPr>
        <w:t>-</w:t>
      </w:r>
      <w:r w:rsidRPr="00E52F26">
        <w:rPr>
          <w:rFonts w:ascii="Times New Roman" w:eastAsiaTheme="minorEastAsia" w:hAnsi="Times New Roman" w:cs="Times New Roman"/>
          <w:sz w:val="24"/>
          <w:szCs w:val="24"/>
        </w:rPr>
        <w:t xml:space="preserve"> 400 cm⁻¹.A broad and intense absorption band </w:t>
      </w:r>
      <w:proofErr w:type="spellStart"/>
      <w:r w:rsidRPr="00E52F26">
        <w:rPr>
          <w:rFonts w:ascii="Times New Roman" w:eastAsiaTheme="minorEastAsia" w:hAnsi="Times New Roman" w:cs="Times New Roman"/>
          <w:sz w:val="24"/>
          <w:szCs w:val="24"/>
        </w:rPr>
        <w:t>centered</w:t>
      </w:r>
      <w:proofErr w:type="spellEnd"/>
      <w:r w:rsidRPr="00E52F26">
        <w:rPr>
          <w:rFonts w:ascii="Times New Roman" w:eastAsiaTheme="minorEastAsia" w:hAnsi="Times New Roman" w:cs="Times New Roman"/>
          <w:sz w:val="24"/>
          <w:szCs w:val="24"/>
        </w:rPr>
        <w:t xml:space="preserve"> at 3380 cm⁻¹ is attributed to the stretching vibrations of hydroxyl (–OH) groups, indicative of hydrogen bonding interactions within polysaccharide-based wall matrices such as inulin and maltodextrin. This also confirms the presence of moisture or polyol groups.</w:t>
      </w:r>
      <w:r w:rsidR="00C4364F">
        <w:rPr>
          <w:rFonts w:ascii="Times New Roman" w:eastAsiaTheme="minorEastAsia" w:hAnsi="Times New Roman" w:cs="Times New Roman"/>
          <w:sz w:val="24"/>
          <w:szCs w:val="24"/>
        </w:rPr>
        <w:t xml:space="preserve"> </w:t>
      </w:r>
      <w:r w:rsidRPr="00E52F26">
        <w:rPr>
          <w:rFonts w:ascii="Times New Roman" w:eastAsiaTheme="minorEastAsia" w:hAnsi="Times New Roman" w:cs="Times New Roman"/>
          <w:sz w:val="24"/>
          <w:szCs w:val="24"/>
        </w:rPr>
        <w:t xml:space="preserve">The peaks observed at 2962 cm⁻¹, 2921 cm⁻¹, and 2856 </w:t>
      </w:r>
      <w:r w:rsidRPr="00E52F26">
        <w:rPr>
          <w:rFonts w:ascii="Times New Roman" w:eastAsiaTheme="minorEastAsia" w:hAnsi="Times New Roman" w:cs="Times New Roman"/>
          <w:sz w:val="24"/>
          <w:szCs w:val="24"/>
        </w:rPr>
        <w:lastRenderedPageBreak/>
        <w:t>cm⁻¹ correspond to the asymmetric</w:t>
      </w:r>
      <w:r w:rsidR="00C4364F">
        <w:rPr>
          <w:rFonts w:ascii="Times New Roman" w:eastAsiaTheme="minorEastAsia" w:hAnsi="Times New Roman" w:cs="Times New Roman"/>
          <w:sz w:val="24"/>
          <w:szCs w:val="24"/>
        </w:rPr>
        <w:t xml:space="preserve"> &amp;</w:t>
      </w:r>
      <w:r w:rsidRPr="00E52F26">
        <w:rPr>
          <w:rFonts w:ascii="Times New Roman" w:eastAsiaTheme="minorEastAsia" w:hAnsi="Times New Roman" w:cs="Times New Roman"/>
          <w:sz w:val="24"/>
          <w:szCs w:val="24"/>
        </w:rPr>
        <w:t xml:space="preserve"> symmetric stretching vibrations of –CH₃ and –CH₂ functional groups, which </w:t>
      </w:r>
      <w:r w:rsidR="00C4364F">
        <w:rPr>
          <w:rFonts w:ascii="Times New Roman" w:eastAsiaTheme="minorEastAsia" w:hAnsi="Times New Roman" w:cs="Times New Roman"/>
          <w:sz w:val="24"/>
          <w:szCs w:val="24"/>
        </w:rPr>
        <w:t xml:space="preserve">features </w:t>
      </w:r>
      <w:r w:rsidRPr="00E52F26">
        <w:rPr>
          <w:rFonts w:ascii="Times New Roman" w:eastAsiaTheme="minorEastAsia" w:hAnsi="Times New Roman" w:cs="Times New Roman"/>
          <w:sz w:val="24"/>
          <w:szCs w:val="24"/>
        </w:rPr>
        <w:t>of long-chain aliphatic hydrocarbons present in fatty acid esters of the sea buckthorn oil.</w:t>
      </w:r>
      <w:r>
        <w:rPr>
          <w:rFonts w:ascii="Times New Roman" w:eastAsiaTheme="minorEastAsia" w:hAnsi="Times New Roman" w:cs="Times New Roman"/>
          <w:sz w:val="24"/>
          <w:szCs w:val="24"/>
        </w:rPr>
        <w:t xml:space="preserve"> </w:t>
      </w:r>
      <w:r w:rsidRPr="00E52F26">
        <w:rPr>
          <w:rFonts w:ascii="Times New Roman" w:eastAsiaTheme="minorEastAsia" w:hAnsi="Times New Roman" w:cs="Times New Roman"/>
          <w:sz w:val="24"/>
          <w:szCs w:val="24"/>
        </w:rPr>
        <w:t xml:space="preserve">A moderate absorption at 2143 cm⁻¹ may be </w:t>
      </w:r>
      <w:r w:rsidR="00C4364F">
        <w:rPr>
          <w:rFonts w:ascii="Times New Roman" w:eastAsiaTheme="minorEastAsia" w:hAnsi="Times New Roman" w:cs="Times New Roman"/>
          <w:sz w:val="24"/>
          <w:szCs w:val="24"/>
        </w:rPr>
        <w:t xml:space="preserve">linked </w:t>
      </w:r>
      <w:r w:rsidRPr="00E52F26">
        <w:rPr>
          <w:rFonts w:ascii="Times New Roman" w:eastAsiaTheme="minorEastAsia" w:hAnsi="Times New Roman" w:cs="Times New Roman"/>
          <w:sz w:val="24"/>
          <w:szCs w:val="24"/>
        </w:rPr>
        <w:t>with the stretching of –C≡C– or –C≡N groups, which can be attributed to minor unsaturated or nitrile components within the oil composition.</w:t>
      </w:r>
      <w:r w:rsidR="00C4364F">
        <w:rPr>
          <w:rFonts w:ascii="Times New Roman" w:eastAsiaTheme="minorEastAsia" w:hAnsi="Times New Roman" w:cs="Times New Roman"/>
          <w:sz w:val="24"/>
          <w:szCs w:val="24"/>
        </w:rPr>
        <w:t xml:space="preserve"> </w:t>
      </w:r>
      <w:r w:rsidRPr="00E52F26">
        <w:rPr>
          <w:rFonts w:ascii="Times New Roman" w:eastAsiaTheme="minorEastAsia" w:hAnsi="Times New Roman" w:cs="Times New Roman"/>
          <w:sz w:val="24"/>
          <w:szCs w:val="24"/>
        </w:rPr>
        <w:t>The sharp peaks at 1741 cm⁻¹ and 1701 cm⁻¹ are assigned to carbonyl (C=O) stretching vibrations. These are predominantly associated with ester groups found in triglycerides, a major component of the seed oil, and may also arise from residual free fatty acids or esters formed during spray drying.</w:t>
      </w:r>
      <w:r w:rsidR="00C1691A">
        <w:rPr>
          <w:rFonts w:ascii="Times New Roman" w:eastAsiaTheme="minorEastAsia" w:hAnsi="Times New Roman" w:cs="Times New Roman"/>
          <w:sz w:val="24"/>
          <w:szCs w:val="24"/>
        </w:rPr>
        <w:t xml:space="preserve"> </w:t>
      </w:r>
      <w:r w:rsidRPr="00E52F26">
        <w:rPr>
          <w:rFonts w:ascii="Times New Roman" w:eastAsiaTheme="minorEastAsia" w:hAnsi="Times New Roman" w:cs="Times New Roman"/>
          <w:sz w:val="24"/>
          <w:szCs w:val="24"/>
        </w:rPr>
        <w:t xml:space="preserve">In the fingerprint region, a complex set of peaks is observed. Notably, 1544 cm⁻¹ and 1461 cm⁻¹ are indicative of C–H bending vibrations and possible amide II bands, potentially arising from protein residues or minor bioactive compounds present in the </w:t>
      </w:r>
      <w:proofErr w:type="spellStart"/>
      <w:proofErr w:type="gramStart"/>
      <w:r w:rsidRPr="00E52F26">
        <w:rPr>
          <w:rFonts w:ascii="Times New Roman" w:eastAsiaTheme="minorEastAsia" w:hAnsi="Times New Roman" w:cs="Times New Roman"/>
          <w:sz w:val="24"/>
          <w:szCs w:val="24"/>
        </w:rPr>
        <w:t>oil.The</w:t>
      </w:r>
      <w:proofErr w:type="spellEnd"/>
      <w:proofErr w:type="gramEnd"/>
      <w:r w:rsidRPr="00E52F26">
        <w:rPr>
          <w:rFonts w:ascii="Times New Roman" w:eastAsiaTheme="minorEastAsia" w:hAnsi="Times New Roman" w:cs="Times New Roman"/>
          <w:sz w:val="24"/>
          <w:szCs w:val="24"/>
        </w:rPr>
        <w:t xml:space="preserve"> band at 1240 cm⁻¹ corresponds to C–O stretching vibrations, typical of ester and ether linkages, which may arise from both encapsulating agents and the oil itself. Multiple peaks between 1150 cm⁻¹ and 1050 cm⁻¹ further confirm the presence of glycosidic linkages (C–O–C and C–OH), representing the structural backbone of maltodextrin and </w:t>
      </w:r>
      <w:proofErr w:type="spellStart"/>
      <w:r w:rsidRPr="00E52F26">
        <w:rPr>
          <w:rFonts w:ascii="Times New Roman" w:eastAsiaTheme="minorEastAsia" w:hAnsi="Times New Roman" w:cs="Times New Roman"/>
          <w:sz w:val="24"/>
          <w:szCs w:val="24"/>
        </w:rPr>
        <w:t>inulin.The</w:t>
      </w:r>
      <w:proofErr w:type="spellEnd"/>
      <w:r w:rsidRPr="00E52F26">
        <w:rPr>
          <w:rFonts w:ascii="Times New Roman" w:eastAsiaTheme="minorEastAsia" w:hAnsi="Times New Roman" w:cs="Times New Roman"/>
          <w:sz w:val="24"/>
          <w:szCs w:val="24"/>
        </w:rPr>
        <w:t xml:space="preserve"> region between 900–500 cm⁻¹ shows out-of-plane C–H bending vibrations, which may be linked to substituted aromatic rings or skeletal vibrations from complex bioactive compounds, possibly flavonoids or phytosterols inherent to the seed oil</w:t>
      </w:r>
      <w:r w:rsidR="00365F82">
        <w:rPr>
          <w:rFonts w:ascii="Times New Roman" w:eastAsiaTheme="minorEastAsia" w:hAnsi="Times New Roman" w:cs="Times New Roman"/>
          <w:sz w:val="24"/>
          <w:szCs w:val="24"/>
        </w:rPr>
        <w:t>.</w:t>
      </w:r>
    </w:p>
    <w:p w14:paraId="34F2662E" w14:textId="1E6C5EDF" w:rsidR="00E52F26" w:rsidRDefault="00E52F26" w:rsidP="00215CEC">
      <w:pPr>
        <w:spacing w:line="360" w:lineRule="auto"/>
        <w:jc w:val="both"/>
        <w:rPr>
          <w:rFonts w:ascii="Times New Roman" w:eastAsiaTheme="minorEastAsia" w:hAnsi="Times New Roman" w:cs="Times New Roman"/>
          <w:sz w:val="24"/>
          <w:szCs w:val="24"/>
        </w:rPr>
      </w:pPr>
      <w:r w:rsidRPr="00E52F26">
        <w:rPr>
          <w:rFonts w:ascii="Times New Roman" w:eastAsiaTheme="minorEastAsia" w:hAnsi="Times New Roman" w:cs="Times New Roman"/>
          <w:noProof/>
          <w:sz w:val="24"/>
          <w:szCs w:val="24"/>
        </w:rPr>
        <w:drawing>
          <wp:inline distT="0" distB="0" distL="0" distR="0" wp14:anchorId="4276C2AD" wp14:editId="518F5983">
            <wp:extent cx="5731510" cy="2647950"/>
            <wp:effectExtent l="0" t="0" r="2540" b="0"/>
            <wp:docPr id="6825671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647950"/>
                    </a:xfrm>
                    <a:prstGeom prst="rect">
                      <a:avLst/>
                    </a:prstGeom>
                    <a:noFill/>
                    <a:ln>
                      <a:noFill/>
                    </a:ln>
                  </pic:spPr>
                </pic:pic>
              </a:graphicData>
            </a:graphic>
          </wp:inline>
        </w:drawing>
      </w:r>
    </w:p>
    <w:p w14:paraId="2E5F0E7D" w14:textId="2335A6E3" w:rsidR="003E59EF" w:rsidRDefault="003E59EF" w:rsidP="00BD097F">
      <w:pPr>
        <w:spacing w:line="36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Fig</w:t>
      </w:r>
      <w:r w:rsidR="00C1691A">
        <w:rPr>
          <w:rFonts w:ascii="Times New Roman" w:eastAsiaTheme="minorEastAsia" w:hAnsi="Times New Roman" w:cs="Times New Roman"/>
          <w:b/>
          <w:bCs/>
          <w:sz w:val="24"/>
          <w:szCs w:val="24"/>
        </w:rPr>
        <w:t>ure</w:t>
      </w:r>
      <w:r>
        <w:rPr>
          <w:rFonts w:ascii="Times New Roman" w:eastAsiaTheme="minorEastAsia" w:hAnsi="Times New Roman" w:cs="Times New Roman"/>
          <w:b/>
          <w:bCs/>
          <w:sz w:val="24"/>
          <w:szCs w:val="24"/>
        </w:rPr>
        <w:t xml:space="preserve"> 2-</w:t>
      </w:r>
      <w:r w:rsidRPr="003E59EF">
        <w:rPr>
          <w:rFonts w:ascii="Times New Roman" w:eastAsiaTheme="minorEastAsia" w:hAnsi="Times New Roman" w:cs="Times New Roman"/>
          <w:b/>
          <w:bCs/>
          <w:sz w:val="24"/>
          <w:szCs w:val="24"/>
        </w:rPr>
        <w:t>Fourier transform infrared spectroscopy (FT-IR) spectra of</w:t>
      </w:r>
      <w:r>
        <w:rPr>
          <w:rFonts w:ascii="Times New Roman" w:eastAsiaTheme="minorEastAsia" w:hAnsi="Times New Roman" w:cs="Times New Roman"/>
          <w:b/>
          <w:bCs/>
          <w:sz w:val="24"/>
          <w:szCs w:val="24"/>
        </w:rPr>
        <w:t xml:space="preserve"> </w:t>
      </w:r>
      <w:r w:rsidRPr="003E59EF">
        <w:rPr>
          <w:rFonts w:ascii="Times New Roman" w:eastAsiaTheme="minorEastAsia" w:hAnsi="Times New Roman" w:cs="Times New Roman"/>
          <w:b/>
          <w:bCs/>
          <w:i/>
          <w:iCs/>
          <w:sz w:val="24"/>
          <w:szCs w:val="24"/>
        </w:rPr>
        <w:t xml:space="preserve">H. </w:t>
      </w:r>
      <w:proofErr w:type="spellStart"/>
      <w:r w:rsidRPr="003E59EF">
        <w:rPr>
          <w:rFonts w:ascii="Times New Roman" w:eastAsiaTheme="minorEastAsia" w:hAnsi="Times New Roman" w:cs="Times New Roman"/>
          <w:b/>
          <w:bCs/>
          <w:i/>
          <w:iCs/>
          <w:sz w:val="24"/>
          <w:szCs w:val="24"/>
        </w:rPr>
        <w:t>rhamnoides</w:t>
      </w:r>
      <w:proofErr w:type="spellEnd"/>
      <w:r w:rsidRPr="003E59EF">
        <w:rPr>
          <w:rFonts w:ascii="Times New Roman" w:eastAsiaTheme="minorEastAsia" w:hAnsi="Times New Roman" w:cs="Times New Roman"/>
          <w:b/>
          <w:bCs/>
          <w:i/>
          <w:iCs/>
          <w:sz w:val="24"/>
          <w:szCs w:val="24"/>
        </w:rPr>
        <w:t xml:space="preserve"> </w:t>
      </w:r>
      <w:r w:rsidRPr="003E59EF">
        <w:rPr>
          <w:rFonts w:ascii="Times New Roman" w:eastAsiaTheme="minorEastAsia" w:hAnsi="Times New Roman" w:cs="Times New Roman"/>
          <w:b/>
          <w:bCs/>
          <w:sz w:val="24"/>
          <w:szCs w:val="24"/>
        </w:rPr>
        <w:t>seed oil microcapsules</w:t>
      </w:r>
    </w:p>
    <w:p w14:paraId="1573E85B" w14:textId="508C3877" w:rsidR="0037295E" w:rsidRPr="0037295E" w:rsidRDefault="0037295E" w:rsidP="00BD097F">
      <w:pPr>
        <w:spacing w:line="360" w:lineRule="auto"/>
        <w:jc w:val="both"/>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3.4-Moisture content and water activity (a</w:t>
      </w:r>
      <w:r w:rsidRPr="0037295E">
        <w:rPr>
          <w:rFonts w:ascii="Times New Roman" w:eastAsiaTheme="minorEastAsia" w:hAnsi="Times New Roman" w:cs="Times New Roman"/>
          <w:b/>
          <w:bCs/>
          <w:sz w:val="24"/>
          <w:szCs w:val="24"/>
          <w:vertAlign w:val="subscript"/>
        </w:rPr>
        <w:t>w</w:t>
      </w:r>
      <w:r w:rsidRPr="0037295E">
        <w:rPr>
          <w:rFonts w:ascii="Times New Roman" w:eastAsiaTheme="minorEastAsia" w:hAnsi="Times New Roman" w:cs="Times New Roman"/>
          <w:b/>
          <w:bCs/>
          <w:sz w:val="24"/>
          <w:szCs w:val="24"/>
        </w:rPr>
        <w:t>)</w:t>
      </w:r>
    </w:p>
    <w:p w14:paraId="21B8997A" w14:textId="43871788" w:rsidR="000C3DB6" w:rsidRDefault="008076B8" w:rsidP="00BD097F">
      <w:pPr>
        <w:spacing w:line="360" w:lineRule="auto"/>
        <w:jc w:val="both"/>
        <w:rPr>
          <w:rFonts w:ascii="Times New Roman" w:hAnsi="Times New Roman" w:cs="Times New Roman"/>
          <w:sz w:val="24"/>
          <w:szCs w:val="24"/>
        </w:rPr>
      </w:pPr>
      <w:r w:rsidRPr="008076B8">
        <w:rPr>
          <w:rFonts w:ascii="Times New Roman" w:eastAsiaTheme="minorEastAsia" w:hAnsi="Times New Roman" w:cs="Times New Roman"/>
          <w:sz w:val="24"/>
          <w:szCs w:val="24"/>
        </w:rPr>
        <w:lastRenderedPageBreak/>
        <w:t xml:space="preserve">Moisture content is a critical parameter in determining the </w:t>
      </w:r>
      <w:r w:rsidR="00F41C06">
        <w:rPr>
          <w:rFonts w:ascii="Times New Roman" w:eastAsiaTheme="minorEastAsia" w:hAnsi="Times New Roman" w:cs="Times New Roman"/>
          <w:sz w:val="24"/>
          <w:szCs w:val="24"/>
        </w:rPr>
        <w:t>shelf life</w:t>
      </w:r>
      <w:r w:rsidRPr="008076B8">
        <w:rPr>
          <w:rFonts w:ascii="Times New Roman" w:eastAsiaTheme="minorEastAsia" w:hAnsi="Times New Roman" w:cs="Times New Roman"/>
          <w:sz w:val="24"/>
          <w:szCs w:val="24"/>
        </w:rPr>
        <w:t xml:space="preserve"> of powdered products. Elevated moisture levels can promote fungal growth and induce caking, thereby negatively impacting the physical and chemical stability as well as the overall consumer acceptability of the product. Typically, a moisture content in the range of 3–4% is considered the minimum standard for most dried powders utilized in the food industry</w:t>
      </w:r>
      <w:r>
        <w:rPr>
          <w:rFonts w:ascii="Times New Roman" w:eastAsiaTheme="minorEastAsia" w:hAnsi="Times New Roman" w:cs="Times New Roman"/>
          <w:sz w:val="24"/>
          <w:szCs w:val="24"/>
        </w:rPr>
        <w:t xml:space="preserve"> (</w:t>
      </w:r>
      <w:r w:rsidRPr="008076B8">
        <w:rPr>
          <w:rFonts w:ascii="Times New Roman" w:hAnsi="Times New Roman" w:cs="Times New Roman"/>
          <w:sz w:val="24"/>
          <w:szCs w:val="24"/>
        </w:rPr>
        <w:t>Karaca</w:t>
      </w:r>
      <w:r>
        <w:rPr>
          <w:rFonts w:ascii="Times New Roman" w:hAnsi="Times New Roman" w:cs="Times New Roman"/>
          <w:sz w:val="24"/>
          <w:szCs w:val="24"/>
        </w:rPr>
        <w:t xml:space="preserve"> et al., 2013</w:t>
      </w:r>
      <w:proofErr w:type="gramStart"/>
      <w:r>
        <w:rPr>
          <w:rFonts w:ascii="Times New Roman" w:hAnsi="Times New Roman" w:cs="Times New Roman"/>
          <w:sz w:val="24"/>
          <w:szCs w:val="24"/>
        </w:rPr>
        <w:t>).Moisture</w:t>
      </w:r>
      <w:proofErr w:type="gramEnd"/>
      <w:r>
        <w:rPr>
          <w:rFonts w:ascii="Times New Roman" w:hAnsi="Times New Roman" w:cs="Times New Roman"/>
          <w:sz w:val="24"/>
          <w:szCs w:val="24"/>
        </w:rPr>
        <w:t xml:space="preserve"> content of sea buckthorn seed oil powder </w:t>
      </w:r>
      <w:r w:rsidR="00B93DE0">
        <w:rPr>
          <w:rFonts w:ascii="Times New Roman" w:hAnsi="Times New Roman" w:cs="Times New Roman"/>
          <w:sz w:val="24"/>
          <w:szCs w:val="24"/>
        </w:rPr>
        <w:t>(3.89±0.05</w:t>
      </w:r>
      <w:r w:rsidR="00C1691A">
        <w:rPr>
          <w:rFonts w:ascii="Times New Roman" w:hAnsi="Times New Roman" w:cs="Times New Roman"/>
          <w:sz w:val="24"/>
          <w:szCs w:val="24"/>
        </w:rPr>
        <w:t>).</w:t>
      </w:r>
      <w:r w:rsidR="00B93DE0">
        <w:rPr>
          <w:rFonts w:ascii="Times New Roman" w:hAnsi="Times New Roman" w:cs="Times New Roman"/>
          <w:sz w:val="24"/>
          <w:szCs w:val="24"/>
          <w:vertAlign w:val="superscript"/>
        </w:rPr>
        <w:t xml:space="preserve"> </w:t>
      </w:r>
      <w:r w:rsidR="00800E45">
        <w:rPr>
          <w:rFonts w:ascii="Times New Roman" w:hAnsi="Times New Roman" w:cs="Times New Roman"/>
          <w:sz w:val="24"/>
          <w:szCs w:val="24"/>
        </w:rPr>
        <w:t>Generally</w:t>
      </w:r>
      <w:r w:rsidRPr="008076B8">
        <w:rPr>
          <w:rFonts w:ascii="Times New Roman" w:hAnsi="Times New Roman" w:cs="Times New Roman"/>
          <w:sz w:val="24"/>
          <w:szCs w:val="24"/>
        </w:rPr>
        <w:t xml:space="preserve">, lipid oxidation in most dried food products is minimized at a water activity level ranging from </w:t>
      </w:r>
      <w:r w:rsidR="00F9215C">
        <w:rPr>
          <w:rFonts w:ascii="Times New Roman" w:hAnsi="Times New Roman" w:cs="Times New Roman"/>
          <w:sz w:val="24"/>
          <w:szCs w:val="24"/>
        </w:rPr>
        <w:t>(</w:t>
      </w:r>
      <w:r w:rsidRPr="008076B8">
        <w:rPr>
          <w:rFonts w:ascii="Times New Roman" w:hAnsi="Times New Roman" w:cs="Times New Roman"/>
          <w:sz w:val="24"/>
          <w:szCs w:val="24"/>
        </w:rPr>
        <w:t>0.2 to 0.3</w:t>
      </w:r>
      <w:r w:rsidR="00F9215C">
        <w:rPr>
          <w:rFonts w:ascii="Times New Roman" w:hAnsi="Times New Roman" w:cs="Times New Roman"/>
          <w:sz w:val="24"/>
          <w:szCs w:val="24"/>
        </w:rPr>
        <w:t>)</w:t>
      </w:r>
      <w:r w:rsidRPr="008076B8">
        <w:rPr>
          <w:rFonts w:ascii="Times New Roman" w:hAnsi="Times New Roman" w:cs="Times New Roman"/>
          <w:sz w:val="24"/>
          <w:szCs w:val="24"/>
        </w:rPr>
        <w:t xml:space="preserve">. This </w:t>
      </w:r>
      <w:r w:rsidR="00800E45">
        <w:rPr>
          <w:rFonts w:ascii="Times New Roman" w:hAnsi="Times New Roman" w:cs="Times New Roman"/>
          <w:sz w:val="24"/>
          <w:szCs w:val="24"/>
        </w:rPr>
        <w:t>oxidation reduction</w:t>
      </w:r>
      <w:r w:rsidRPr="008076B8">
        <w:rPr>
          <w:rFonts w:ascii="Times New Roman" w:hAnsi="Times New Roman" w:cs="Times New Roman"/>
          <w:sz w:val="24"/>
          <w:szCs w:val="24"/>
        </w:rPr>
        <w:t xml:space="preserve"> is primarily attributed to the diminished catalytic activity of transition metals, effective quenching of free radicals and singlet oxygen, and the inhibition of hydroperoxide decomposition under these conditions</w:t>
      </w:r>
      <w:r>
        <w:rPr>
          <w:rFonts w:ascii="Times New Roman" w:hAnsi="Times New Roman" w:cs="Times New Roman"/>
          <w:sz w:val="24"/>
          <w:szCs w:val="24"/>
        </w:rPr>
        <w:t>.</w:t>
      </w:r>
      <w:r w:rsidR="00800E45">
        <w:rPr>
          <w:rFonts w:ascii="Times New Roman" w:hAnsi="Times New Roman" w:cs="Times New Roman"/>
          <w:sz w:val="24"/>
          <w:szCs w:val="24"/>
        </w:rPr>
        <w:t xml:space="preserve"> </w:t>
      </w:r>
      <w:r w:rsidRPr="008076B8">
        <w:rPr>
          <w:rFonts w:ascii="Times New Roman" w:hAnsi="Times New Roman" w:cs="Times New Roman"/>
          <w:sz w:val="24"/>
          <w:szCs w:val="24"/>
        </w:rPr>
        <w:t>In the current study</w:t>
      </w:r>
      <w:r w:rsidR="00C1691A">
        <w:rPr>
          <w:rFonts w:ascii="Times New Roman" w:hAnsi="Times New Roman" w:cs="Times New Roman"/>
          <w:sz w:val="24"/>
          <w:szCs w:val="24"/>
        </w:rPr>
        <w:t xml:space="preserve"> (Table 2), </w:t>
      </w:r>
      <w:r w:rsidRPr="008076B8">
        <w:rPr>
          <w:rFonts w:ascii="Times New Roman" w:hAnsi="Times New Roman" w:cs="Times New Roman"/>
          <w:sz w:val="24"/>
          <w:szCs w:val="24"/>
        </w:rPr>
        <w:t xml:space="preserve">the water activity (aw) of microencapsulated sea buckthorn seed oil powder (MSBSOP) was observed to be approximately </w:t>
      </w:r>
      <w:r w:rsidR="00B93DE0">
        <w:rPr>
          <w:rFonts w:ascii="Times New Roman" w:hAnsi="Times New Roman" w:cs="Times New Roman"/>
          <w:sz w:val="24"/>
          <w:szCs w:val="24"/>
        </w:rPr>
        <w:t>(0.35±0.003).</w:t>
      </w:r>
      <w:r w:rsidR="00210BA0">
        <w:rPr>
          <w:rFonts w:ascii="Times New Roman" w:hAnsi="Times New Roman" w:cs="Times New Roman"/>
          <w:sz w:val="24"/>
          <w:szCs w:val="24"/>
        </w:rPr>
        <w:t xml:space="preserve"> </w:t>
      </w:r>
      <w:r w:rsidRPr="008076B8">
        <w:rPr>
          <w:rFonts w:ascii="Times New Roman" w:hAnsi="Times New Roman" w:cs="Times New Roman"/>
          <w:sz w:val="24"/>
          <w:szCs w:val="24"/>
        </w:rPr>
        <w:t xml:space="preserve">In general, moisture content and water activity (aw) are influenced by various factors, including the composition of core and wall materials, inlet and outlet temperatures, spray dryer flow rate, and the design of the drying equipment. In the present study, all processing parameters and ingredient quantities were maintained constant, </w:t>
      </w:r>
      <w:r w:rsidR="00AE60C6">
        <w:rPr>
          <w:rFonts w:ascii="Times New Roman" w:hAnsi="Times New Roman" w:cs="Times New Roman"/>
          <w:sz w:val="24"/>
          <w:szCs w:val="24"/>
        </w:rPr>
        <w:t>except</w:t>
      </w:r>
      <w:r w:rsidRPr="008076B8">
        <w:rPr>
          <w:rFonts w:ascii="Times New Roman" w:hAnsi="Times New Roman" w:cs="Times New Roman"/>
          <w:sz w:val="24"/>
          <w:szCs w:val="24"/>
        </w:rPr>
        <w:t xml:space="preserve"> the type of wall material used</w:t>
      </w:r>
      <w:r>
        <w:rPr>
          <w:rFonts w:ascii="Times New Roman" w:hAnsi="Times New Roman" w:cs="Times New Roman"/>
          <w:sz w:val="24"/>
          <w:szCs w:val="24"/>
        </w:rPr>
        <w:t>.</w:t>
      </w:r>
      <w:r w:rsidR="00800E45">
        <w:rPr>
          <w:rFonts w:ascii="Times New Roman" w:hAnsi="Times New Roman" w:cs="Times New Roman"/>
          <w:sz w:val="24"/>
          <w:szCs w:val="24"/>
        </w:rPr>
        <w:t xml:space="preserve"> </w:t>
      </w:r>
      <w:r w:rsidRPr="008076B8">
        <w:rPr>
          <w:rFonts w:ascii="Times New Roman" w:hAnsi="Times New Roman" w:cs="Times New Roman"/>
          <w:sz w:val="24"/>
          <w:szCs w:val="24"/>
        </w:rPr>
        <w:t xml:space="preserve">The findings of this study are consistent with the results reported by </w:t>
      </w:r>
      <w:r>
        <w:rPr>
          <w:rFonts w:ascii="Times New Roman" w:hAnsi="Times New Roman" w:cs="Times New Roman"/>
          <w:sz w:val="24"/>
          <w:szCs w:val="24"/>
        </w:rPr>
        <w:t>(</w:t>
      </w:r>
      <w:r w:rsidRPr="008076B8">
        <w:rPr>
          <w:rFonts w:ascii="Times New Roman" w:hAnsi="Times New Roman" w:cs="Times New Roman"/>
          <w:sz w:val="24"/>
          <w:szCs w:val="24"/>
        </w:rPr>
        <w:t>Quispe-Condori et al.</w:t>
      </w:r>
      <w:r>
        <w:rPr>
          <w:rFonts w:ascii="Times New Roman" w:hAnsi="Times New Roman" w:cs="Times New Roman"/>
          <w:sz w:val="24"/>
          <w:szCs w:val="24"/>
        </w:rPr>
        <w:t>, 2011)</w:t>
      </w:r>
      <w:r w:rsidRPr="008076B8">
        <w:rPr>
          <w:rFonts w:ascii="Times New Roman" w:hAnsi="Times New Roman" w:cs="Times New Roman"/>
          <w:sz w:val="24"/>
          <w:szCs w:val="24"/>
        </w:rPr>
        <w:t xml:space="preserve"> and </w:t>
      </w:r>
      <w:r w:rsidR="00800E45">
        <w:rPr>
          <w:rFonts w:ascii="Times New Roman" w:hAnsi="Times New Roman" w:cs="Times New Roman"/>
          <w:sz w:val="24"/>
          <w:szCs w:val="24"/>
        </w:rPr>
        <w:t>(</w:t>
      </w:r>
      <w:proofErr w:type="spellStart"/>
      <w:r w:rsidRPr="008076B8">
        <w:rPr>
          <w:rFonts w:ascii="Times New Roman" w:hAnsi="Times New Roman" w:cs="Times New Roman"/>
          <w:sz w:val="24"/>
          <w:szCs w:val="24"/>
        </w:rPr>
        <w:t>Aghbashlo</w:t>
      </w:r>
      <w:proofErr w:type="spellEnd"/>
      <w:r w:rsidRPr="008076B8">
        <w:rPr>
          <w:rFonts w:ascii="Times New Roman" w:hAnsi="Times New Roman" w:cs="Times New Roman"/>
          <w:sz w:val="24"/>
          <w:szCs w:val="24"/>
        </w:rPr>
        <w:t xml:space="preserve"> et al.</w:t>
      </w:r>
      <w:r>
        <w:rPr>
          <w:rFonts w:ascii="Times New Roman" w:hAnsi="Times New Roman" w:cs="Times New Roman"/>
          <w:sz w:val="24"/>
          <w:szCs w:val="24"/>
        </w:rPr>
        <w:t>, 2012)</w:t>
      </w:r>
      <w:r w:rsidRPr="008076B8">
        <w:rPr>
          <w:rFonts w:ascii="Times New Roman" w:hAnsi="Times New Roman" w:cs="Times New Roman"/>
          <w:sz w:val="24"/>
          <w:szCs w:val="24"/>
        </w:rPr>
        <w:t xml:space="preserve">, who observed moisture content values ranging from </w:t>
      </w:r>
      <w:r w:rsidR="00F9215C">
        <w:rPr>
          <w:rFonts w:ascii="Times New Roman" w:hAnsi="Times New Roman" w:cs="Times New Roman"/>
          <w:sz w:val="24"/>
          <w:szCs w:val="24"/>
        </w:rPr>
        <w:t>(</w:t>
      </w:r>
      <w:r w:rsidRPr="008076B8">
        <w:rPr>
          <w:rFonts w:ascii="Times New Roman" w:hAnsi="Times New Roman" w:cs="Times New Roman"/>
          <w:sz w:val="24"/>
          <w:szCs w:val="24"/>
        </w:rPr>
        <w:t>3.88% to 5.06%</w:t>
      </w:r>
      <w:r w:rsidR="00F9215C">
        <w:rPr>
          <w:rFonts w:ascii="Times New Roman" w:hAnsi="Times New Roman" w:cs="Times New Roman"/>
          <w:sz w:val="24"/>
          <w:szCs w:val="24"/>
        </w:rPr>
        <w:t>)</w:t>
      </w:r>
      <w:r w:rsidRPr="008076B8">
        <w:rPr>
          <w:rFonts w:ascii="Times New Roman" w:hAnsi="Times New Roman" w:cs="Times New Roman"/>
          <w:sz w:val="24"/>
          <w:szCs w:val="24"/>
        </w:rPr>
        <w:t xml:space="preserve"> in flaxseed oil powder and from </w:t>
      </w:r>
      <w:r w:rsidR="00F9215C">
        <w:rPr>
          <w:rFonts w:ascii="Times New Roman" w:hAnsi="Times New Roman" w:cs="Times New Roman"/>
          <w:sz w:val="24"/>
          <w:szCs w:val="24"/>
        </w:rPr>
        <w:t>(</w:t>
      </w:r>
      <w:r w:rsidRPr="008076B8">
        <w:rPr>
          <w:rFonts w:ascii="Times New Roman" w:hAnsi="Times New Roman" w:cs="Times New Roman"/>
          <w:sz w:val="24"/>
          <w:szCs w:val="24"/>
        </w:rPr>
        <w:t>1.41% to 4.36</w:t>
      </w:r>
      <w:proofErr w:type="gramStart"/>
      <w:r w:rsidRPr="008076B8">
        <w:rPr>
          <w:rFonts w:ascii="Times New Roman" w:hAnsi="Times New Roman" w:cs="Times New Roman"/>
          <w:sz w:val="24"/>
          <w:szCs w:val="24"/>
        </w:rPr>
        <w:t>%</w:t>
      </w:r>
      <w:r w:rsidR="00F9215C">
        <w:rPr>
          <w:rFonts w:ascii="Times New Roman" w:hAnsi="Times New Roman" w:cs="Times New Roman"/>
          <w:sz w:val="24"/>
          <w:szCs w:val="24"/>
        </w:rPr>
        <w:t>)</w:t>
      </w:r>
      <w:r w:rsidRPr="008076B8">
        <w:rPr>
          <w:rFonts w:ascii="Times New Roman" w:hAnsi="Times New Roman" w:cs="Times New Roman"/>
          <w:sz w:val="24"/>
          <w:szCs w:val="24"/>
        </w:rPr>
        <w:t>in</w:t>
      </w:r>
      <w:proofErr w:type="gramEnd"/>
      <w:r w:rsidRPr="008076B8">
        <w:rPr>
          <w:rFonts w:ascii="Times New Roman" w:hAnsi="Times New Roman" w:cs="Times New Roman"/>
          <w:sz w:val="24"/>
          <w:szCs w:val="24"/>
        </w:rPr>
        <w:t xml:space="preserve"> fish oil powder, respectively</w:t>
      </w:r>
      <w:r>
        <w:rPr>
          <w:rFonts w:ascii="Times New Roman" w:hAnsi="Times New Roman" w:cs="Times New Roman"/>
          <w:sz w:val="24"/>
          <w:szCs w:val="24"/>
        </w:rPr>
        <w:t>.</w:t>
      </w:r>
    </w:p>
    <w:p w14:paraId="6AC6EC3E" w14:textId="42D38CFF" w:rsidR="0037295E" w:rsidRPr="0037295E" w:rsidRDefault="0037295E" w:rsidP="00BA48D8">
      <w:pPr>
        <w:spacing w:line="360" w:lineRule="auto"/>
        <w:jc w:val="both"/>
        <w:rPr>
          <w:rFonts w:ascii="Times New Roman" w:eastAsiaTheme="minorEastAsia" w:hAnsi="Times New Roman" w:cs="Times New Roman"/>
          <w:b/>
          <w:bCs/>
          <w:sz w:val="24"/>
          <w:szCs w:val="24"/>
        </w:rPr>
      </w:pPr>
      <w:r w:rsidRPr="0037295E">
        <w:rPr>
          <w:rFonts w:ascii="Times New Roman" w:eastAsiaTheme="minorEastAsia" w:hAnsi="Times New Roman" w:cs="Times New Roman"/>
          <w:b/>
          <w:bCs/>
          <w:sz w:val="24"/>
          <w:szCs w:val="24"/>
        </w:rPr>
        <w:t>3.5 Bulk density</w:t>
      </w:r>
      <w:r w:rsidR="00800E45">
        <w:rPr>
          <w:rFonts w:ascii="Times New Roman" w:eastAsiaTheme="minorEastAsia" w:hAnsi="Times New Roman" w:cs="Times New Roman"/>
          <w:b/>
          <w:bCs/>
          <w:sz w:val="24"/>
          <w:szCs w:val="24"/>
        </w:rPr>
        <w:t xml:space="preserve"> </w:t>
      </w:r>
      <w:r w:rsidR="00800E45" w:rsidRPr="0037295E">
        <w:rPr>
          <w:rFonts w:ascii="Times New Roman" w:hAnsi="Times New Roman" w:cs="Times New Roman"/>
          <w:b/>
          <w:bCs/>
          <w:sz w:val="24"/>
          <w:szCs w:val="24"/>
        </w:rPr>
        <w:t>(</w:t>
      </w:r>
      <w:proofErr w:type="spellStart"/>
      <w:r w:rsidR="00800E45" w:rsidRPr="0037295E">
        <w:rPr>
          <w:rFonts w:ascii="Times New Roman" w:hAnsi="Times New Roman" w:cs="Times New Roman"/>
          <w:b/>
          <w:bCs/>
          <w:sz w:val="24"/>
          <w:szCs w:val="24"/>
        </w:rPr>
        <w:t>ρB</w:t>
      </w:r>
      <w:proofErr w:type="spellEnd"/>
      <w:r w:rsidR="00800E45" w:rsidRPr="0037295E">
        <w:rPr>
          <w:rFonts w:ascii="Times New Roman" w:hAnsi="Times New Roman" w:cs="Times New Roman"/>
          <w:b/>
          <w:bCs/>
          <w:sz w:val="24"/>
          <w:szCs w:val="24"/>
        </w:rPr>
        <w:t xml:space="preserve">) </w:t>
      </w:r>
      <w:r w:rsidRPr="0037295E">
        <w:rPr>
          <w:rFonts w:ascii="Times New Roman" w:eastAsiaTheme="minorEastAsia" w:hAnsi="Times New Roman" w:cs="Times New Roman"/>
          <w:b/>
          <w:bCs/>
          <w:sz w:val="24"/>
          <w:szCs w:val="24"/>
        </w:rPr>
        <w:t>and Tapped density</w:t>
      </w:r>
      <w:r w:rsidR="00800E45">
        <w:rPr>
          <w:rFonts w:ascii="Times New Roman" w:eastAsiaTheme="minorEastAsia" w:hAnsi="Times New Roman" w:cs="Times New Roman"/>
          <w:b/>
          <w:bCs/>
          <w:sz w:val="24"/>
          <w:szCs w:val="24"/>
        </w:rPr>
        <w:t xml:space="preserve"> </w:t>
      </w:r>
      <w:r w:rsidR="00800E45" w:rsidRPr="0037295E">
        <w:rPr>
          <w:rFonts w:ascii="Times New Roman" w:hAnsi="Times New Roman" w:cs="Times New Roman"/>
          <w:b/>
          <w:bCs/>
          <w:sz w:val="24"/>
          <w:szCs w:val="24"/>
        </w:rPr>
        <w:t>(</w:t>
      </w:r>
      <w:proofErr w:type="spellStart"/>
      <w:r w:rsidR="00800E45" w:rsidRPr="0037295E">
        <w:rPr>
          <w:rFonts w:ascii="Times New Roman" w:hAnsi="Times New Roman" w:cs="Times New Roman"/>
          <w:b/>
          <w:bCs/>
          <w:sz w:val="24"/>
          <w:szCs w:val="24"/>
        </w:rPr>
        <w:t>ρT</w:t>
      </w:r>
      <w:proofErr w:type="spellEnd"/>
      <w:r w:rsidR="00800E45" w:rsidRPr="0037295E">
        <w:rPr>
          <w:rFonts w:ascii="Times New Roman" w:hAnsi="Times New Roman" w:cs="Times New Roman"/>
          <w:b/>
          <w:bCs/>
          <w:sz w:val="24"/>
          <w:szCs w:val="24"/>
        </w:rPr>
        <w:t xml:space="preserve">) </w:t>
      </w:r>
    </w:p>
    <w:p w14:paraId="0E79DF51" w14:textId="2AE3EA67" w:rsidR="00135523" w:rsidRDefault="00BE2FAE" w:rsidP="00BA48D8">
      <w:pPr>
        <w:spacing w:line="360" w:lineRule="auto"/>
        <w:jc w:val="both"/>
        <w:rPr>
          <w:rFonts w:ascii="Times New Roman" w:hAnsi="Times New Roman" w:cs="Times New Roman"/>
          <w:sz w:val="24"/>
          <w:szCs w:val="24"/>
        </w:rPr>
      </w:pPr>
      <w:r w:rsidRPr="00BE2FAE">
        <w:rPr>
          <w:rFonts w:ascii="Times New Roman" w:eastAsiaTheme="minorEastAsia" w:hAnsi="Times New Roman" w:cs="Times New Roman"/>
          <w:sz w:val="24"/>
          <w:szCs w:val="24"/>
        </w:rPr>
        <w:t>Physical properties such as bulk density, tapped density, a</w:t>
      </w:r>
      <w:r w:rsidR="00C4364F">
        <w:rPr>
          <w:rFonts w:ascii="Times New Roman" w:eastAsiaTheme="minorEastAsia" w:hAnsi="Times New Roman" w:cs="Times New Roman"/>
          <w:sz w:val="24"/>
          <w:szCs w:val="24"/>
        </w:rPr>
        <w:t>s well as</w:t>
      </w:r>
      <w:r w:rsidRPr="00BE2FAE">
        <w:rPr>
          <w:rFonts w:ascii="Times New Roman" w:eastAsiaTheme="minorEastAsia" w:hAnsi="Times New Roman" w:cs="Times New Roman"/>
          <w:sz w:val="24"/>
          <w:szCs w:val="24"/>
        </w:rPr>
        <w:t xml:space="preserve"> compressibility significantly influence the flowability characteristics of powdered materials</w:t>
      </w:r>
      <w:r w:rsidR="00AE60C6">
        <w:rPr>
          <w:rFonts w:ascii="Times New Roman" w:eastAsiaTheme="minorEastAsia" w:hAnsi="Times New Roman" w:cs="Times New Roman"/>
          <w:sz w:val="24"/>
          <w:szCs w:val="24"/>
        </w:rPr>
        <w:t xml:space="preserve"> </w:t>
      </w:r>
      <w:r w:rsidRPr="00BE2FAE">
        <w:rPr>
          <w:rFonts w:ascii="Times New Roman" w:eastAsiaTheme="minorEastAsia" w:hAnsi="Times New Roman" w:cs="Times New Roman"/>
          <w:sz w:val="24"/>
          <w:szCs w:val="24"/>
        </w:rPr>
        <w:t>stability. In the</w:t>
      </w:r>
      <w:r>
        <w:rPr>
          <w:rFonts w:ascii="Times New Roman" w:eastAsiaTheme="minorEastAsia" w:hAnsi="Times New Roman" w:cs="Times New Roman"/>
          <w:sz w:val="24"/>
          <w:szCs w:val="24"/>
        </w:rPr>
        <w:t xml:space="preserve"> </w:t>
      </w:r>
      <w:r w:rsidRPr="00BE2FAE">
        <w:rPr>
          <w:rFonts w:ascii="Times New Roman" w:eastAsiaTheme="minorEastAsia" w:hAnsi="Times New Roman" w:cs="Times New Roman"/>
          <w:sz w:val="24"/>
          <w:szCs w:val="24"/>
        </w:rPr>
        <w:t xml:space="preserve">present study, bulk density of </w:t>
      </w:r>
      <w:r>
        <w:rPr>
          <w:rFonts w:ascii="Times New Roman" w:eastAsiaTheme="minorEastAsia" w:hAnsi="Times New Roman" w:cs="Times New Roman"/>
          <w:sz w:val="24"/>
          <w:szCs w:val="24"/>
        </w:rPr>
        <w:t>MSBSOP</w:t>
      </w:r>
      <w:r w:rsidRPr="00BE2FAE">
        <w:rPr>
          <w:rFonts w:ascii="Times New Roman" w:eastAsiaTheme="minorEastAsia" w:hAnsi="Times New Roman" w:cs="Times New Roman"/>
          <w:sz w:val="24"/>
          <w:szCs w:val="24"/>
        </w:rPr>
        <w:t xml:space="preserve"> formulations </w:t>
      </w:r>
      <w:r>
        <w:rPr>
          <w:rFonts w:ascii="Times New Roman" w:eastAsiaTheme="minorEastAsia" w:hAnsi="Times New Roman" w:cs="Times New Roman"/>
          <w:sz w:val="24"/>
          <w:szCs w:val="24"/>
        </w:rPr>
        <w:t xml:space="preserve">is </w:t>
      </w:r>
      <w:r w:rsidR="00B93DE0">
        <w:rPr>
          <w:rFonts w:ascii="Times New Roman" w:eastAsiaTheme="minorEastAsia" w:hAnsi="Times New Roman" w:cs="Times New Roman"/>
          <w:sz w:val="24"/>
          <w:szCs w:val="24"/>
        </w:rPr>
        <w:t>(</w:t>
      </w:r>
      <w:r w:rsidR="00B93DE0">
        <w:rPr>
          <w:rFonts w:ascii="Times New Roman" w:hAnsi="Times New Roman" w:cs="Times New Roman"/>
          <w:sz w:val="24"/>
          <w:szCs w:val="24"/>
        </w:rPr>
        <w:t>0.31±0.01</w:t>
      </w:r>
      <w:r w:rsidRPr="00BE2FAE">
        <w:rPr>
          <w:rFonts w:ascii="Times New Roman" w:eastAsiaTheme="minorEastAsia" w:hAnsi="Times New Roman" w:cs="Times New Roman"/>
          <w:sz w:val="24"/>
          <w:szCs w:val="24"/>
        </w:rPr>
        <w:t>g/cm</w:t>
      </w:r>
      <w:r w:rsidRPr="00BE2FAE">
        <w:rPr>
          <w:rFonts w:ascii="Times New Roman" w:eastAsiaTheme="minorEastAsia" w:hAnsi="Times New Roman" w:cs="Times New Roman"/>
          <w:sz w:val="24"/>
          <w:szCs w:val="24"/>
          <w:vertAlign w:val="superscript"/>
        </w:rPr>
        <w:t>3</w:t>
      </w:r>
      <w:r w:rsidR="00B93DE0">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BE2FAE">
        <w:rPr>
          <w:rFonts w:ascii="Times New Roman" w:eastAsiaTheme="minorEastAsia" w:hAnsi="Times New Roman" w:cs="Times New Roman"/>
          <w:sz w:val="24"/>
          <w:szCs w:val="24"/>
        </w:rPr>
        <w:t>which is the typical range of bulk density for microencapsulated powders</w:t>
      </w:r>
      <w:r>
        <w:rPr>
          <w:rFonts w:ascii="Times New Roman" w:eastAsiaTheme="minorEastAsia" w:hAnsi="Times New Roman" w:cs="Times New Roman"/>
          <w:sz w:val="24"/>
          <w:szCs w:val="24"/>
        </w:rPr>
        <w:t xml:space="preserve"> (</w:t>
      </w:r>
      <w:proofErr w:type="spellStart"/>
      <w:r w:rsidRPr="00BE2FAE">
        <w:rPr>
          <w:rFonts w:ascii="Times New Roman" w:hAnsi="Times New Roman" w:cs="Times New Roman"/>
          <w:sz w:val="24"/>
          <w:szCs w:val="24"/>
        </w:rPr>
        <w:t>Onwulata</w:t>
      </w:r>
      <w:proofErr w:type="spellEnd"/>
      <w:r w:rsidRPr="00BE2FAE">
        <w:rPr>
          <w:rFonts w:ascii="Times New Roman" w:hAnsi="Times New Roman" w:cs="Times New Roman"/>
          <w:sz w:val="24"/>
          <w:szCs w:val="24"/>
        </w:rPr>
        <w:t xml:space="preserve"> &amp; Holsinger,</w:t>
      </w:r>
      <w:r>
        <w:rPr>
          <w:rFonts w:ascii="Times New Roman" w:hAnsi="Times New Roman" w:cs="Times New Roman"/>
          <w:sz w:val="24"/>
          <w:szCs w:val="24"/>
        </w:rPr>
        <w:t xml:space="preserve"> </w:t>
      </w:r>
      <w:proofErr w:type="gramStart"/>
      <w:r w:rsidRPr="00BE2FAE">
        <w:rPr>
          <w:rFonts w:ascii="Times New Roman" w:hAnsi="Times New Roman" w:cs="Times New Roman"/>
          <w:sz w:val="24"/>
          <w:szCs w:val="24"/>
        </w:rPr>
        <w:t>1995</w:t>
      </w:r>
      <w:r w:rsidR="00800E45">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E2FAE">
        <w:rPr>
          <w:rFonts w:ascii="Times New Roman" w:hAnsi="Times New Roman" w:cs="Times New Roman"/>
          <w:sz w:val="24"/>
          <w:szCs w:val="24"/>
        </w:rPr>
        <w:t>Tuyen</w:t>
      </w:r>
      <w:r>
        <w:rPr>
          <w:rFonts w:ascii="Times New Roman" w:hAnsi="Times New Roman" w:cs="Times New Roman"/>
          <w:sz w:val="24"/>
          <w:szCs w:val="24"/>
        </w:rPr>
        <w:t xml:space="preserve"> et al., 2014).</w:t>
      </w:r>
      <w:r w:rsidR="00AE60C6">
        <w:rPr>
          <w:rFonts w:ascii="Times New Roman" w:hAnsi="Times New Roman" w:cs="Times New Roman"/>
          <w:sz w:val="24"/>
          <w:szCs w:val="24"/>
        </w:rPr>
        <w:t xml:space="preserve"> </w:t>
      </w:r>
      <w:r w:rsidRPr="00BE2FAE">
        <w:rPr>
          <w:rFonts w:ascii="Times New Roman" w:hAnsi="Times New Roman" w:cs="Times New Roman"/>
          <w:sz w:val="24"/>
          <w:szCs w:val="24"/>
        </w:rPr>
        <w:t xml:space="preserve">These results indicate that the type of wall material used </w:t>
      </w:r>
      <w:r w:rsidR="00800E45">
        <w:rPr>
          <w:rFonts w:ascii="Times New Roman" w:hAnsi="Times New Roman" w:cs="Times New Roman"/>
          <w:sz w:val="24"/>
          <w:szCs w:val="24"/>
        </w:rPr>
        <w:t>significantly influenced</w:t>
      </w:r>
      <w:r w:rsidRPr="00BE2FAE">
        <w:rPr>
          <w:rFonts w:ascii="Times New Roman" w:hAnsi="Times New Roman" w:cs="Times New Roman"/>
          <w:sz w:val="24"/>
          <w:szCs w:val="24"/>
        </w:rPr>
        <w:t xml:space="preserve"> the bulk density of the resulting powders</w:t>
      </w:r>
      <w:r>
        <w:rPr>
          <w:rFonts w:ascii="Times New Roman" w:hAnsi="Times New Roman" w:cs="Times New Roman"/>
          <w:sz w:val="24"/>
          <w:szCs w:val="24"/>
        </w:rPr>
        <w:t xml:space="preserve">. </w:t>
      </w:r>
      <w:r w:rsidRPr="00BE2FAE">
        <w:rPr>
          <w:rFonts w:ascii="Times New Roman" w:hAnsi="Times New Roman" w:cs="Times New Roman"/>
          <w:sz w:val="24"/>
          <w:szCs w:val="24"/>
        </w:rPr>
        <w:t>Density is defined as mass divided by volume; thus, for a fixed mass, an increase in volume results in a decrease in density. Consequently, a comparable inverse relationship is expected between the bulk density of the powder and the particle diameter</w:t>
      </w:r>
      <w:r>
        <w:rPr>
          <w:rFonts w:ascii="Times New Roman" w:hAnsi="Times New Roman" w:cs="Times New Roman"/>
          <w:sz w:val="24"/>
          <w:szCs w:val="24"/>
        </w:rPr>
        <w:t>.</w:t>
      </w:r>
      <w:r w:rsidR="00800E45">
        <w:rPr>
          <w:rFonts w:ascii="Times New Roman" w:hAnsi="Times New Roman" w:cs="Times New Roman"/>
          <w:sz w:val="24"/>
          <w:szCs w:val="24"/>
        </w:rPr>
        <w:t xml:space="preserve"> </w:t>
      </w:r>
      <w:r w:rsidRPr="00BE2FAE">
        <w:rPr>
          <w:rFonts w:ascii="Times New Roman" w:hAnsi="Times New Roman" w:cs="Times New Roman"/>
          <w:sz w:val="24"/>
          <w:szCs w:val="24"/>
        </w:rPr>
        <w:t xml:space="preserve">The results obtained in this study are consistent with those reported by </w:t>
      </w:r>
      <w:r w:rsidR="00AE60C6">
        <w:rPr>
          <w:rFonts w:ascii="Times New Roman" w:hAnsi="Times New Roman" w:cs="Times New Roman"/>
          <w:sz w:val="24"/>
          <w:szCs w:val="24"/>
        </w:rPr>
        <w:t>(</w:t>
      </w:r>
      <w:r w:rsidRPr="00BE2FAE">
        <w:rPr>
          <w:rFonts w:ascii="Times New Roman" w:hAnsi="Times New Roman" w:cs="Times New Roman"/>
          <w:sz w:val="24"/>
          <w:szCs w:val="24"/>
        </w:rPr>
        <w:t>Quispe-Condori et al</w:t>
      </w:r>
      <w:r>
        <w:rPr>
          <w:rFonts w:ascii="Times New Roman" w:hAnsi="Times New Roman" w:cs="Times New Roman"/>
          <w:sz w:val="24"/>
          <w:szCs w:val="24"/>
        </w:rPr>
        <w:t>., 2011)</w:t>
      </w:r>
      <w:r w:rsidRPr="00BE2FAE">
        <w:rPr>
          <w:rFonts w:ascii="Times New Roman" w:hAnsi="Times New Roman" w:cs="Times New Roman"/>
          <w:sz w:val="24"/>
          <w:szCs w:val="24"/>
        </w:rPr>
        <w:t xml:space="preserve"> and </w:t>
      </w:r>
      <w:r w:rsidR="00800E45">
        <w:rPr>
          <w:rFonts w:ascii="Times New Roman" w:hAnsi="Times New Roman" w:cs="Times New Roman"/>
          <w:sz w:val="24"/>
          <w:szCs w:val="24"/>
        </w:rPr>
        <w:t>(</w:t>
      </w:r>
      <w:r w:rsidRPr="00BE2FAE">
        <w:rPr>
          <w:rFonts w:ascii="Times New Roman" w:hAnsi="Times New Roman" w:cs="Times New Roman"/>
          <w:sz w:val="24"/>
          <w:szCs w:val="24"/>
        </w:rPr>
        <w:t>Tonon et al.</w:t>
      </w:r>
      <w:r w:rsidR="003E02FE">
        <w:rPr>
          <w:rFonts w:ascii="Times New Roman" w:hAnsi="Times New Roman" w:cs="Times New Roman"/>
          <w:sz w:val="24"/>
          <w:szCs w:val="24"/>
        </w:rPr>
        <w:t>, 2012)</w:t>
      </w:r>
      <w:r w:rsidRPr="00BE2FAE">
        <w:rPr>
          <w:rFonts w:ascii="Times New Roman" w:hAnsi="Times New Roman" w:cs="Times New Roman"/>
          <w:sz w:val="24"/>
          <w:szCs w:val="24"/>
        </w:rPr>
        <w:t xml:space="preserve">, who documented bulk densities for microencapsulated flaxseed oil powder ranging from </w:t>
      </w:r>
      <w:r w:rsidR="00F9215C">
        <w:rPr>
          <w:rFonts w:ascii="Times New Roman" w:hAnsi="Times New Roman" w:cs="Times New Roman"/>
          <w:sz w:val="24"/>
          <w:szCs w:val="24"/>
        </w:rPr>
        <w:t>(</w:t>
      </w:r>
      <w:r w:rsidRPr="00BE2FAE">
        <w:rPr>
          <w:rFonts w:ascii="Times New Roman" w:hAnsi="Times New Roman" w:cs="Times New Roman"/>
          <w:sz w:val="24"/>
          <w:szCs w:val="24"/>
        </w:rPr>
        <w:t>0.174 to 0.350 g/cm³</w:t>
      </w:r>
      <w:r w:rsidR="00F9215C">
        <w:rPr>
          <w:rFonts w:ascii="Times New Roman" w:hAnsi="Times New Roman" w:cs="Times New Roman"/>
          <w:sz w:val="24"/>
          <w:szCs w:val="24"/>
        </w:rPr>
        <w:t>)</w:t>
      </w:r>
      <w:r w:rsidRPr="00BE2FAE">
        <w:rPr>
          <w:rFonts w:ascii="Times New Roman" w:hAnsi="Times New Roman" w:cs="Times New Roman"/>
          <w:sz w:val="24"/>
          <w:szCs w:val="24"/>
        </w:rPr>
        <w:t xml:space="preserve"> and </w:t>
      </w:r>
      <w:r w:rsidR="00F9215C">
        <w:rPr>
          <w:rFonts w:ascii="Times New Roman" w:hAnsi="Times New Roman" w:cs="Times New Roman"/>
          <w:sz w:val="24"/>
          <w:szCs w:val="24"/>
        </w:rPr>
        <w:t>(</w:t>
      </w:r>
      <w:r w:rsidRPr="00BE2FAE">
        <w:rPr>
          <w:rFonts w:ascii="Times New Roman" w:hAnsi="Times New Roman" w:cs="Times New Roman"/>
          <w:sz w:val="24"/>
          <w:szCs w:val="24"/>
        </w:rPr>
        <w:t>0.289 to 0.458 g/cm³</w:t>
      </w:r>
      <w:r w:rsidR="00F9215C">
        <w:rPr>
          <w:rFonts w:ascii="Times New Roman" w:hAnsi="Times New Roman" w:cs="Times New Roman"/>
          <w:sz w:val="24"/>
          <w:szCs w:val="24"/>
        </w:rPr>
        <w:t>)</w:t>
      </w:r>
      <w:r w:rsidRPr="00BE2FAE">
        <w:rPr>
          <w:rFonts w:ascii="Times New Roman" w:hAnsi="Times New Roman" w:cs="Times New Roman"/>
          <w:sz w:val="24"/>
          <w:szCs w:val="24"/>
        </w:rPr>
        <w:t>, respectively</w:t>
      </w:r>
      <w:r w:rsidR="003E02FE">
        <w:rPr>
          <w:rFonts w:ascii="Times New Roman" w:hAnsi="Times New Roman" w:cs="Times New Roman"/>
          <w:sz w:val="24"/>
          <w:szCs w:val="24"/>
        </w:rPr>
        <w:t>.</w:t>
      </w:r>
    </w:p>
    <w:p w14:paraId="2BF65B11" w14:textId="70BBBEAC" w:rsidR="003E02FE" w:rsidRDefault="003E02FE" w:rsidP="003E02FE">
      <w:pPr>
        <w:spacing w:line="360" w:lineRule="auto"/>
        <w:jc w:val="both"/>
        <w:rPr>
          <w:rFonts w:ascii="Times New Roman" w:hAnsi="Times New Roman" w:cs="Times New Roman"/>
          <w:sz w:val="24"/>
          <w:szCs w:val="24"/>
        </w:rPr>
      </w:pPr>
      <w:r w:rsidRPr="003E02FE">
        <w:rPr>
          <w:rFonts w:ascii="Times New Roman" w:hAnsi="Times New Roman" w:cs="Times New Roman"/>
          <w:sz w:val="24"/>
          <w:szCs w:val="24"/>
        </w:rPr>
        <w:lastRenderedPageBreak/>
        <w:t>The tapped density of a material affects critical aspects such as packaging efficiency, transportation, and the commercial handling of powders</w:t>
      </w:r>
      <w:r>
        <w:rPr>
          <w:rFonts w:ascii="Times New Roman" w:hAnsi="Times New Roman" w:cs="Times New Roman"/>
          <w:sz w:val="24"/>
          <w:szCs w:val="24"/>
        </w:rPr>
        <w:t xml:space="preserve"> (</w:t>
      </w:r>
      <w:r w:rsidRPr="003E02FE">
        <w:rPr>
          <w:rFonts w:ascii="Times New Roman" w:hAnsi="Times New Roman" w:cs="Times New Roman"/>
          <w:sz w:val="24"/>
          <w:szCs w:val="24"/>
        </w:rPr>
        <w:t>Carr</w:t>
      </w:r>
      <w:r>
        <w:rPr>
          <w:rFonts w:ascii="Times New Roman" w:hAnsi="Times New Roman" w:cs="Times New Roman"/>
          <w:sz w:val="24"/>
          <w:szCs w:val="24"/>
        </w:rPr>
        <w:t>, 1965).</w:t>
      </w:r>
      <w:r w:rsidRPr="003E02FE">
        <w:rPr>
          <w:rFonts w:ascii="Times New Roman" w:hAnsi="Times New Roman" w:cs="Times New Roman"/>
          <w:sz w:val="24"/>
          <w:szCs w:val="24"/>
        </w:rPr>
        <w:t xml:space="preserve"> It is evident</w:t>
      </w:r>
      <w:r>
        <w:rPr>
          <w:rFonts w:ascii="Times New Roman" w:hAnsi="Times New Roman" w:cs="Times New Roman"/>
          <w:sz w:val="24"/>
          <w:szCs w:val="24"/>
        </w:rPr>
        <w:t xml:space="preserve"> </w:t>
      </w:r>
      <w:r w:rsidRPr="003E02FE">
        <w:rPr>
          <w:rFonts w:ascii="Times New Roman" w:hAnsi="Times New Roman" w:cs="Times New Roman"/>
          <w:sz w:val="24"/>
          <w:szCs w:val="24"/>
        </w:rPr>
        <w:t xml:space="preserve">from that </w:t>
      </w:r>
      <w:r w:rsidR="00AE60C6">
        <w:rPr>
          <w:rFonts w:ascii="Times New Roman" w:hAnsi="Times New Roman" w:cs="Times New Roman"/>
          <w:sz w:val="24"/>
          <w:szCs w:val="24"/>
        </w:rPr>
        <w:t xml:space="preserve">the </w:t>
      </w:r>
      <w:r w:rsidRPr="003E02FE">
        <w:rPr>
          <w:rFonts w:ascii="Times New Roman" w:hAnsi="Times New Roman" w:cs="Times New Roman"/>
          <w:sz w:val="24"/>
          <w:szCs w:val="24"/>
        </w:rPr>
        <w:t>tapped density of M</w:t>
      </w:r>
      <w:r>
        <w:rPr>
          <w:rFonts w:ascii="Times New Roman" w:hAnsi="Times New Roman" w:cs="Times New Roman"/>
          <w:sz w:val="24"/>
          <w:szCs w:val="24"/>
        </w:rPr>
        <w:t>SBSOP</w:t>
      </w:r>
      <w:r w:rsidRPr="003E02FE">
        <w:rPr>
          <w:rFonts w:ascii="Times New Roman" w:hAnsi="Times New Roman" w:cs="Times New Roman"/>
          <w:sz w:val="24"/>
          <w:szCs w:val="24"/>
        </w:rPr>
        <w:t xml:space="preserve"> formulation</w:t>
      </w:r>
      <w:r>
        <w:rPr>
          <w:rFonts w:ascii="Times New Roman" w:hAnsi="Times New Roman" w:cs="Times New Roman"/>
          <w:sz w:val="24"/>
          <w:szCs w:val="24"/>
        </w:rPr>
        <w:t xml:space="preserve"> </w:t>
      </w:r>
      <w:r w:rsidRPr="003E02FE">
        <w:rPr>
          <w:rFonts w:ascii="Times New Roman" w:hAnsi="Times New Roman" w:cs="Times New Roman"/>
          <w:sz w:val="24"/>
          <w:szCs w:val="24"/>
        </w:rPr>
        <w:t xml:space="preserve">was found to be in the range of </w:t>
      </w:r>
      <w:r w:rsidR="00B93DE0">
        <w:rPr>
          <w:rFonts w:ascii="Times New Roman" w:hAnsi="Times New Roman" w:cs="Times New Roman"/>
          <w:sz w:val="24"/>
          <w:szCs w:val="24"/>
        </w:rPr>
        <w:t>(0.48±0.01</w:t>
      </w:r>
      <w:r w:rsidRPr="003E02FE">
        <w:rPr>
          <w:rFonts w:ascii="Times New Roman" w:hAnsi="Times New Roman" w:cs="Times New Roman"/>
          <w:sz w:val="24"/>
          <w:szCs w:val="24"/>
        </w:rPr>
        <w:t xml:space="preserve"> g/cm</w:t>
      </w:r>
      <w:r w:rsidRPr="003E02FE">
        <w:rPr>
          <w:rFonts w:ascii="Times New Roman" w:hAnsi="Times New Roman" w:cs="Times New Roman"/>
          <w:sz w:val="24"/>
          <w:szCs w:val="24"/>
          <w:vertAlign w:val="superscript"/>
        </w:rPr>
        <w:t>3</w:t>
      </w:r>
      <w:r w:rsidR="00B93DE0">
        <w:rPr>
          <w:rFonts w:ascii="Times New Roman" w:hAnsi="Times New Roman" w:cs="Times New Roman"/>
          <w:sz w:val="24"/>
          <w:szCs w:val="24"/>
        </w:rPr>
        <w:t>)</w:t>
      </w:r>
      <w:r w:rsidR="00C1691A">
        <w:rPr>
          <w:rFonts w:ascii="Times New Roman" w:hAnsi="Times New Roman" w:cs="Times New Roman"/>
          <w:sz w:val="24"/>
          <w:szCs w:val="24"/>
          <w:vertAlign w:val="superscript"/>
        </w:rPr>
        <w:t xml:space="preserve"> </w:t>
      </w:r>
      <w:r w:rsidR="00C1691A">
        <w:rPr>
          <w:rFonts w:ascii="Times New Roman" w:hAnsi="Times New Roman" w:cs="Times New Roman"/>
          <w:sz w:val="24"/>
          <w:szCs w:val="24"/>
        </w:rPr>
        <w:t xml:space="preserve">(Table 2), </w:t>
      </w:r>
      <w:r w:rsidRPr="003E02FE">
        <w:rPr>
          <w:rFonts w:ascii="Times New Roman" w:hAnsi="Times New Roman" w:cs="Times New Roman"/>
          <w:sz w:val="24"/>
          <w:szCs w:val="24"/>
        </w:rPr>
        <w:t>The results indicated that the tapped density of the powders was significantly influenced by the type of wall material used</w:t>
      </w:r>
      <w:r>
        <w:rPr>
          <w:rFonts w:ascii="Times New Roman" w:hAnsi="Times New Roman" w:cs="Times New Roman"/>
          <w:sz w:val="24"/>
          <w:szCs w:val="24"/>
        </w:rPr>
        <w:t>.</w:t>
      </w:r>
      <w:r w:rsidR="00AE60C6">
        <w:rPr>
          <w:rFonts w:ascii="Times New Roman" w:hAnsi="Times New Roman" w:cs="Times New Roman"/>
          <w:sz w:val="24"/>
          <w:szCs w:val="24"/>
        </w:rPr>
        <w:t xml:space="preserve"> </w:t>
      </w:r>
      <w:r w:rsidRPr="003E02FE">
        <w:rPr>
          <w:rFonts w:ascii="Times New Roman" w:hAnsi="Times New Roman" w:cs="Times New Roman"/>
          <w:sz w:val="24"/>
          <w:szCs w:val="24"/>
        </w:rPr>
        <w:t xml:space="preserve">The results obtained align with those reported by </w:t>
      </w:r>
      <w:r w:rsidR="00215CEC">
        <w:rPr>
          <w:rFonts w:ascii="Times New Roman" w:hAnsi="Times New Roman" w:cs="Times New Roman"/>
          <w:sz w:val="24"/>
          <w:szCs w:val="24"/>
        </w:rPr>
        <w:t>(</w:t>
      </w:r>
      <w:r w:rsidRPr="003E02FE">
        <w:rPr>
          <w:rFonts w:ascii="Times New Roman" w:hAnsi="Times New Roman" w:cs="Times New Roman"/>
          <w:sz w:val="24"/>
          <w:szCs w:val="24"/>
        </w:rPr>
        <w:t>Finney et al.,</w:t>
      </w:r>
      <w:r w:rsidR="00215CEC">
        <w:rPr>
          <w:rFonts w:ascii="Times New Roman" w:hAnsi="Times New Roman" w:cs="Times New Roman"/>
          <w:sz w:val="24"/>
          <w:szCs w:val="24"/>
        </w:rPr>
        <w:t xml:space="preserve"> 2002),</w:t>
      </w:r>
      <w:r w:rsidRPr="003E02FE">
        <w:rPr>
          <w:rFonts w:ascii="Times New Roman" w:hAnsi="Times New Roman" w:cs="Times New Roman"/>
          <w:sz w:val="24"/>
          <w:szCs w:val="24"/>
        </w:rPr>
        <w:t xml:space="preserve"> who recorded comparable tapped density values ranging from </w:t>
      </w:r>
      <w:r w:rsidR="00C1691A">
        <w:rPr>
          <w:rFonts w:ascii="Times New Roman" w:hAnsi="Times New Roman" w:cs="Times New Roman"/>
          <w:sz w:val="24"/>
          <w:szCs w:val="24"/>
        </w:rPr>
        <w:t>(</w:t>
      </w:r>
      <w:r w:rsidRPr="003E02FE">
        <w:rPr>
          <w:rFonts w:ascii="Times New Roman" w:hAnsi="Times New Roman" w:cs="Times New Roman"/>
          <w:sz w:val="24"/>
          <w:szCs w:val="24"/>
        </w:rPr>
        <w:t>0.48 to 0.65 g/mL</w:t>
      </w:r>
      <w:r w:rsidR="00C1691A">
        <w:rPr>
          <w:rFonts w:ascii="Times New Roman" w:hAnsi="Times New Roman" w:cs="Times New Roman"/>
          <w:sz w:val="24"/>
          <w:szCs w:val="24"/>
        </w:rPr>
        <w:t>)</w:t>
      </w:r>
      <w:r w:rsidRPr="003E02FE">
        <w:rPr>
          <w:rFonts w:ascii="Times New Roman" w:hAnsi="Times New Roman" w:cs="Times New Roman"/>
          <w:sz w:val="24"/>
          <w:szCs w:val="24"/>
        </w:rPr>
        <w:t xml:space="preserve"> for microencapsulated orange essential oil powder</w:t>
      </w:r>
      <w:r>
        <w:rPr>
          <w:rFonts w:ascii="Times New Roman" w:hAnsi="Times New Roman" w:cs="Times New Roman"/>
          <w:sz w:val="24"/>
          <w:szCs w:val="24"/>
        </w:rPr>
        <w:t xml:space="preserve"> (</w:t>
      </w:r>
      <w:r w:rsidRPr="003E02FE">
        <w:rPr>
          <w:rFonts w:ascii="Times New Roman" w:hAnsi="Times New Roman" w:cs="Times New Roman"/>
          <w:sz w:val="24"/>
          <w:szCs w:val="24"/>
        </w:rPr>
        <w:t>Finney</w:t>
      </w:r>
      <w:r>
        <w:rPr>
          <w:rFonts w:ascii="Times New Roman" w:hAnsi="Times New Roman" w:cs="Times New Roman"/>
          <w:sz w:val="24"/>
          <w:szCs w:val="24"/>
        </w:rPr>
        <w:t xml:space="preserve"> et al., 2002).</w:t>
      </w:r>
    </w:p>
    <w:p w14:paraId="09CF4F8B" w14:textId="00BC06E2" w:rsidR="0037295E" w:rsidRPr="0037295E" w:rsidRDefault="0037295E" w:rsidP="00215CEC">
      <w:pPr>
        <w:spacing w:line="360" w:lineRule="auto"/>
        <w:jc w:val="both"/>
        <w:rPr>
          <w:rFonts w:ascii="Times New Roman" w:hAnsi="Times New Roman" w:cs="Times New Roman"/>
          <w:b/>
          <w:bCs/>
          <w:sz w:val="24"/>
          <w:szCs w:val="24"/>
        </w:rPr>
      </w:pPr>
      <w:r w:rsidRPr="0037295E">
        <w:rPr>
          <w:rFonts w:ascii="Times New Roman" w:hAnsi="Times New Roman" w:cs="Times New Roman"/>
          <w:b/>
          <w:bCs/>
          <w:sz w:val="24"/>
          <w:szCs w:val="24"/>
        </w:rPr>
        <w:t>3.6 Flowing properties</w:t>
      </w:r>
    </w:p>
    <w:p w14:paraId="79FE6044" w14:textId="1D839B85" w:rsidR="00215CEC" w:rsidRPr="003E02FE" w:rsidRDefault="003E02FE" w:rsidP="00215CEC">
      <w:pPr>
        <w:spacing w:line="360" w:lineRule="auto"/>
        <w:jc w:val="both"/>
        <w:rPr>
          <w:rFonts w:ascii="Times New Roman" w:hAnsi="Times New Roman" w:cs="Times New Roman"/>
          <w:sz w:val="24"/>
          <w:szCs w:val="24"/>
        </w:rPr>
      </w:pPr>
      <w:r w:rsidRPr="003E02FE">
        <w:rPr>
          <w:rFonts w:ascii="Times New Roman" w:hAnsi="Times New Roman" w:cs="Times New Roman"/>
          <w:sz w:val="24"/>
          <w:szCs w:val="24"/>
        </w:rPr>
        <w:t>The flow characteristics of dry powders are commonly evaluated using Carr's index (percent compressibility) and the Hausner ratio. A compressibility value of approximately 20–25% typically distinguishes free-flowing (granular) powders from those that are non-free-flowing</w:t>
      </w:r>
      <w:r w:rsidR="007D2FE4">
        <w:rPr>
          <w:rFonts w:ascii="Times New Roman" w:hAnsi="Times New Roman" w:cs="Times New Roman"/>
          <w:sz w:val="24"/>
          <w:szCs w:val="24"/>
        </w:rPr>
        <w:t xml:space="preserve"> (</w:t>
      </w:r>
      <w:r w:rsidR="007D2FE4" w:rsidRPr="003E02FE">
        <w:rPr>
          <w:rFonts w:ascii="Times New Roman" w:hAnsi="Times New Roman" w:cs="Times New Roman"/>
          <w:sz w:val="24"/>
          <w:szCs w:val="24"/>
        </w:rPr>
        <w:t>Carr</w:t>
      </w:r>
      <w:r w:rsidR="007D2FE4">
        <w:rPr>
          <w:rFonts w:ascii="Times New Roman" w:hAnsi="Times New Roman" w:cs="Times New Roman"/>
          <w:sz w:val="24"/>
          <w:szCs w:val="24"/>
        </w:rPr>
        <w:t xml:space="preserve">, 1965).  </w:t>
      </w:r>
      <w:r w:rsidRPr="003E02FE">
        <w:rPr>
          <w:rFonts w:ascii="Times New Roman" w:hAnsi="Times New Roman" w:cs="Times New Roman"/>
          <w:sz w:val="24"/>
          <w:szCs w:val="24"/>
        </w:rPr>
        <w:t>In the present investigation</w:t>
      </w:r>
      <w:r w:rsidR="00C1691A">
        <w:rPr>
          <w:rFonts w:ascii="Times New Roman" w:hAnsi="Times New Roman" w:cs="Times New Roman"/>
          <w:sz w:val="24"/>
          <w:szCs w:val="24"/>
        </w:rPr>
        <w:t xml:space="preserve"> (Table 2), </w:t>
      </w:r>
      <w:r w:rsidRPr="003E02FE">
        <w:rPr>
          <w:rFonts w:ascii="Times New Roman" w:hAnsi="Times New Roman" w:cs="Times New Roman"/>
          <w:sz w:val="24"/>
          <w:szCs w:val="24"/>
        </w:rPr>
        <w:t xml:space="preserve">it was </w:t>
      </w:r>
      <w:r w:rsidR="00995D34">
        <w:rPr>
          <w:rFonts w:ascii="Times New Roman" w:hAnsi="Times New Roman" w:cs="Times New Roman"/>
          <w:sz w:val="24"/>
          <w:szCs w:val="24"/>
        </w:rPr>
        <w:t>discovered</w:t>
      </w:r>
      <w:r>
        <w:rPr>
          <w:rFonts w:ascii="Times New Roman" w:hAnsi="Times New Roman" w:cs="Times New Roman"/>
          <w:sz w:val="24"/>
          <w:szCs w:val="24"/>
        </w:rPr>
        <w:t xml:space="preserve"> </w:t>
      </w:r>
      <w:r w:rsidRPr="003E02FE">
        <w:rPr>
          <w:rFonts w:ascii="Times New Roman" w:hAnsi="Times New Roman" w:cs="Times New Roman"/>
          <w:sz w:val="24"/>
          <w:szCs w:val="24"/>
        </w:rPr>
        <w:t>that the Carr's index for M</w:t>
      </w:r>
      <w:r w:rsidR="00B93DE0">
        <w:rPr>
          <w:rFonts w:ascii="Times New Roman" w:hAnsi="Times New Roman" w:cs="Times New Roman"/>
          <w:sz w:val="24"/>
          <w:szCs w:val="24"/>
        </w:rPr>
        <w:t>SBS</w:t>
      </w:r>
      <w:r w:rsidRPr="003E02FE">
        <w:rPr>
          <w:rFonts w:ascii="Times New Roman" w:hAnsi="Times New Roman" w:cs="Times New Roman"/>
          <w:sz w:val="24"/>
          <w:szCs w:val="24"/>
        </w:rPr>
        <w:t xml:space="preserve">OP formulations </w:t>
      </w:r>
      <w:r w:rsidR="00F4577C">
        <w:rPr>
          <w:rFonts w:ascii="Times New Roman" w:hAnsi="Times New Roman" w:cs="Times New Roman"/>
          <w:sz w:val="24"/>
          <w:szCs w:val="24"/>
        </w:rPr>
        <w:t xml:space="preserve">ranged between </w:t>
      </w:r>
      <w:r w:rsidR="00B93DE0">
        <w:rPr>
          <w:rFonts w:ascii="Times New Roman" w:hAnsi="Times New Roman" w:cs="Times New Roman"/>
          <w:sz w:val="24"/>
          <w:szCs w:val="24"/>
        </w:rPr>
        <w:t>(34.74±0.83</w:t>
      </w:r>
      <w:r w:rsidRPr="003E02FE">
        <w:rPr>
          <w:rFonts w:ascii="Times New Roman" w:hAnsi="Times New Roman" w:cs="Times New Roman"/>
          <w:sz w:val="24"/>
          <w:szCs w:val="24"/>
        </w:rPr>
        <w:t>),</w:t>
      </w:r>
      <w:r w:rsidR="00D06875">
        <w:rPr>
          <w:rFonts w:ascii="Times New Roman" w:hAnsi="Times New Roman" w:cs="Times New Roman"/>
          <w:sz w:val="24"/>
          <w:szCs w:val="24"/>
        </w:rPr>
        <w:t xml:space="preserve"> </w:t>
      </w:r>
      <w:r w:rsidRPr="003E02FE">
        <w:rPr>
          <w:rFonts w:ascii="Times New Roman" w:hAnsi="Times New Roman" w:cs="Times New Roman"/>
          <w:sz w:val="24"/>
          <w:szCs w:val="24"/>
        </w:rPr>
        <w:t xml:space="preserve">which </w:t>
      </w:r>
      <w:r w:rsidR="00AE60C6">
        <w:rPr>
          <w:rFonts w:ascii="Times New Roman" w:hAnsi="Times New Roman" w:cs="Times New Roman"/>
          <w:sz w:val="24"/>
          <w:szCs w:val="24"/>
        </w:rPr>
        <w:t>corresponds</w:t>
      </w:r>
      <w:r w:rsidRPr="003E02FE">
        <w:rPr>
          <w:rFonts w:ascii="Times New Roman" w:hAnsi="Times New Roman" w:cs="Times New Roman"/>
          <w:sz w:val="24"/>
          <w:szCs w:val="24"/>
        </w:rPr>
        <w:t xml:space="preserve"> to the reference</w:t>
      </w:r>
      <w:r>
        <w:rPr>
          <w:rFonts w:ascii="Times New Roman" w:hAnsi="Times New Roman" w:cs="Times New Roman"/>
          <w:sz w:val="24"/>
          <w:szCs w:val="24"/>
        </w:rPr>
        <w:t xml:space="preserve"> </w:t>
      </w:r>
      <w:r w:rsidRPr="003E02FE">
        <w:rPr>
          <w:rFonts w:ascii="Times New Roman" w:hAnsi="Times New Roman" w:cs="Times New Roman"/>
          <w:sz w:val="24"/>
          <w:szCs w:val="24"/>
        </w:rPr>
        <w:t>values of 32–37 (Table 3)</w:t>
      </w:r>
      <w:r w:rsidR="00AE60C6">
        <w:rPr>
          <w:rFonts w:ascii="Times New Roman" w:hAnsi="Times New Roman" w:cs="Times New Roman"/>
          <w:sz w:val="24"/>
          <w:szCs w:val="24"/>
        </w:rPr>
        <w:t>,</w:t>
      </w:r>
      <w:r w:rsidR="00C4364F">
        <w:rPr>
          <w:rFonts w:ascii="Times New Roman" w:hAnsi="Times New Roman" w:cs="Times New Roman"/>
          <w:sz w:val="24"/>
          <w:szCs w:val="24"/>
        </w:rPr>
        <w:t xml:space="preserve"> which revealed</w:t>
      </w:r>
      <w:r w:rsidRPr="003E02FE">
        <w:rPr>
          <w:rFonts w:ascii="Times New Roman" w:hAnsi="Times New Roman" w:cs="Times New Roman"/>
          <w:sz w:val="24"/>
          <w:szCs w:val="24"/>
        </w:rPr>
        <w:t xml:space="preserve"> the very poor flowability of the</w:t>
      </w:r>
      <w:r>
        <w:rPr>
          <w:rFonts w:ascii="Times New Roman" w:hAnsi="Times New Roman" w:cs="Times New Roman"/>
          <w:sz w:val="24"/>
          <w:szCs w:val="24"/>
        </w:rPr>
        <w:t xml:space="preserve"> </w:t>
      </w:r>
      <w:r w:rsidRPr="003E02FE">
        <w:rPr>
          <w:rFonts w:ascii="Times New Roman" w:hAnsi="Times New Roman" w:cs="Times New Roman"/>
          <w:sz w:val="24"/>
          <w:szCs w:val="24"/>
        </w:rPr>
        <w:t>developed M</w:t>
      </w:r>
      <w:r w:rsidR="007D2FE4">
        <w:rPr>
          <w:rFonts w:ascii="Times New Roman" w:hAnsi="Times New Roman" w:cs="Times New Roman"/>
          <w:sz w:val="24"/>
          <w:szCs w:val="24"/>
        </w:rPr>
        <w:t xml:space="preserve">SBSOP </w:t>
      </w:r>
      <w:r w:rsidRPr="003E02FE">
        <w:rPr>
          <w:rFonts w:ascii="Times New Roman" w:hAnsi="Times New Roman" w:cs="Times New Roman"/>
          <w:sz w:val="24"/>
          <w:szCs w:val="24"/>
        </w:rPr>
        <w:t>formulations.</w:t>
      </w:r>
      <w:r w:rsidR="007D2FE4">
        <w:rPr>
          <w:rFonts w:ascii="Times New Roman" w:hAnsi="Times New Roman" w:cs="Times New Roman"/>
          <w:sz w:val="24"/>
          <w:szCs w:val="24"/>
        </w:rPr>
        <w:t xml:space="preserve"> </w:t>
      </w:r>
      <w:r w:rsidR="007D2FE4" w:rsidRPr="007D2FE4">
        <w:rPr>
          <w:rFonts w:ascii="Times New Roman" w:hAnsi="Times New Roman" w:cs="Times New Roman"/>
          <w:sz w:val="24"/>
          <w:szCs w:val="24"/>
        </w:rPr>
        <w:t>It has been reported that the oil content within the powder adversely affects its bulk density, leading to a decrease in flowability</w:t>
      </w:r>
      <w:r w:rsidR="007D2FE4">
        <w:rPr>
          <w:rFonts w:ascii="Times New Roman" w:hAnsi="Times New Roman" w:cs="Times New Roman"/>
          <w:sz w:val="24"/>
          <w:szCs w:val="24"/>
        </w:rPr>
        <w:t xml:space="preserve"> (</w:t>
      </w:r>
      <w:r w:rsidR="007D2FE4" w:rsidRPr="007D2FE4">
        <w:rPr>
          <w:rFonts w:ascii="Times New Roman" w:hAnsi="Times New Roman" w:cs="Times New Roman"/>
          <w:sz w:val="24"/>
          <w:szCs w:val="24"/>
        </w:rPr>
        <w:t>Sharma</w:t>
      </w:r>
      <w:r w:rsidR="007D2FE4">
        <w:rPr>
          <w:rFonts w:ascii="Times New Roman" w:hAnsi="Times New Roman" w:cs="Times New Roman"/>
          <w:sz w:val="24"/>
          <w:szCs w:val="24"/>
        </w:rPr>
        <w:t xml:space="preserve"> et al., 2012</w:t>
      </w:r>
      <w:proofErr w:type="gramStart"/>
      <w:r w:rsidR="007D2FE4">
        <w:rPr>
          <w:rFonts w:ascii="Times New Roman" w:hAnsi="Times New Roman" w:cs="Times New Roman"/>
          <w:sz w:val="24"/>
          <w:szCs w:val="24"/>
        </w:rPr>
        <w:t>).</w:t>
      </w:r>
      <w:r w:rsidR="007D2FE4" w:rsidRPr="007D2FE4">
        <w:rPr>
          <w:rFonts w:ascii="Times New Roman" w:hAnsi="Times New Roman" w:cs="Times New Roman"/>
          <w:sz w:val="24"/>
          <w:szCs w:val="24"/>
        </w:rPr>
        <w:t>In</w:t>
      </w:r>
      <w:proofErr w:type="gramEnd"/>
      <w:r w:rsidR="007D2FE4" w:rsidRPr="007D2FE4">
        <w:rPr>
          <w:rFonts w:ascii="Times New Roman" w:hAnsi="Times New Roman" w:cs="Times New Roman"/>
          <w:sz w:val="24"/>
          <w:szCs w:val="24"/>
        </w:rPr>
        <w:t xml:space="preserve"> this study, all formulations of sea buckthorn seed oil powder exhibited a high oil content (~36% w/w, dry basis), which likely contributed to the reduced flowability of the prepared samples</w:t>
      </w:r>
      <w:r w:rsidR="007D2FE4">
        <w:rPr>
          <w:rFonts w:ascii="Times New Roman" w:hAnsi="Times New Roman" w:cs="Times New Roman"/>
          <w:sz w:val="24"/>
          <w:szCs w:val="24"/>
        </w:rPr>
        <w:t xml:space="preserve">. </w:t>
      </w:r>
      <w:r w:rsidR="007D2FE4" w:rsidRPr="007D2FE4">
        <w:rPr>
          <w:rFonts w:ascii="Times New Roman" w:hAnsi="Times New Roman" w:cs="Times New Roman"/>
          <w:sz w:val="24"/>
          <w:szCs w:val="24"/>
        </w:rPr>
        <w:t>Throughout this study, the sea buckthorn seed oil powder formulations consistently contained a high oil content (~36% w/w, dry basis), which is presumed to have negatively impacted the flowability of the resulting powders</w:t>
      </w:r>
      <w:r w:rsidR="007D2FE4">
        <w:rPr>
          <w:rFonts w:ascii="Times New Roman" w:hAnsi="Times New Roman" w:cs="Times New Roman"/>
          <w:sz w:val="24"/>
          <w:szCs w:val="24"/>
        </w:rPr>
        <w:t>.</w:t>
      </w:r>
      <w:r w:rsidR="00215CEC">
        <w:rPr>
          <w:rFonts w:ascii="Times New Roman" w:hAnsi="Times New Roman" w:cs="Times New Roman"/>
          <w:sz w:val="24"/>
          <w:szCs w:val="24"/>
        </w:rPr>
        <w:t>(</w:t>
      </w:r>
      <w:r w:rsidR="007D2FE4" w:rsidRPr="007D2FE4">
        <w:rPr>
          <w:rFonts w:ascii="Times New Roman" w:hAnsi="Times New Roman" w:cs="Times New Roman"/>
          <w:sz w:val="24"/>
          <w:szCs w:val="24"/>
        </w:rPr>
        <w:t>Quispe-Condori et al.</w:t>
      </w:r>
      <w:r w:rsidR="00215CEC">
        <w:rPr>
          <w:rFonts w:ascii="Times New Roman" w:hAnsi="Times New Roman" w:cs="Times New Roman"/>
          <w:sz w:val="24"/>
          <w:szCs w:val="24"/>
        </w:rPr>
        <w:t>, 2011)</w:t>
      </w:r>
      <w:r w:rsidR="007D2FE4" w:rsidRPr="007D2FE4">
        <w:rPr>
          <w:rFonts w:ascii="Times New Roman" w:hAnsi="Times New Roman" w:cs="Times New Roman"/>
          <w:sz w:val="24"/>
          <w:szCs w:val="24"/>
        </w:rPr>
        <w:t xml:space="preserve"> documented poor flowability in flaxseed oil microcapsules, as evidenced by elevated Carr’s index values ranging from 33.72 to 48.65</w:t>
      </w:r>
      <w:r w:rsidR="007D2FE4">
        <w:rPr>
          <w:rFonts w:ascii="Times New Roman" w:hAnsi="Times New Roman" w:cs="Times New Roman"/>
          <w:sz w:val="24"/>
          <w:szCs w:val="24"/>
        </w:rPr>
        <w:t>.</w:t>
      </w:r>
      <w:r w:rsidR="007D2FE4" w:rsidRPr="007D2FE4">
        <w:rPr>
          <w:rFonts w:ascii="Times New Roman" w:hAnsi="Times New Roman" w:cs="Times New Roman"/>
          <w:sz w:val="24"/>
          <w:szCs w:val="24"/>
        </w:rPr>
        <w:t>Likewise, numerous studies have reported limited flowability in microencapsulated powders incorporating various types of oils</w:t>
      </w:r>
      <w:r w:rsidR="00215CEC">
        <w:rPr>
          <w:rFonts w:ascii="Times New Roman" w:hAnsi="Times New Roman" w:cs="Times New Roman"/>
          <w:sz w:val="24"/>
          <w:szCs w:val="24"/>
        </w:rPr>
        <w:t xml:space="preserve"> (</w:t>
      </w:r>
      <w:proofErr w:type="spellStart"/>
      <w:r w:rsidR="00215CEC" w:rsidRPr="007D2FE4">
        <w:rPr>
          <w:rFonts w:ascii="Times New Roman" w:hAnsi="Times New Roman" w:cs="Times New Roman"/>
          <w:sz w:val="24"/>
          <w:szCs w:val="24"/>
        </w:rPr>
        <w:t>Turchiuli</w:t>
      </w:r>
      <w:proofErr w:type="spellEnd"/>
      <w:r w:rsidR="00215CEC">
        <w:rPr>
          <w:rFonts w:ascii="Times New Roman" w:hAnsi="Times New Roman" w:cs="Times New Roman"/>
          <w:sz w:val="24"/>
          <w:szCs w:val="24"/>
        </w:rPr>
        <w:t xml:space="preserve">  et al., 2005:</w:t>
      </w:r>
      <w:r w:rsidR="00215CEC" w:rsidRPr="007D2FE4">
        <w:rPr>
          <w:rFonts w:ascii="Times New Roman" w:hAnsi="Times New Roman" w:cs="Times New Roman"/>
          <w:sz w:val="24"/>
          <w:szCs w:val="24"/>
        </w:rPr>
        <w:t>Kagami</w:t>
      </w:r>
      <w:r w:rsidR="00215CEC">
        <w:rPr>
          <w:rFonts w:ascii="Times New Roman" w:hAnsi="Times New Roman" w:cs="Times New Roman"/>
          <w:sz w:val="24"/>
          <w:szCs w:val="24"/>
        </w:rPr>
        <w:t xml:space="preserve"> et al., 2003).</w:t>
      </w:r>
      <w:r w:rsidR="00215CEC" w:rsidRPr="00215CEC">
        <w:rPr>
          <w:rFonts w:ascii="Times New Roman" w:hAnsi="Times New Roman" w:cs="Times New Roman"/>
          <w:sz w:val="24"/>
          <w:szCs w:val="24"/>
        </w:rPr>
        <w:t>The Hausner ratio (HR) is a commonly used parameter to assess powder flowability. Elevated HR values signify increased powder cohesiveness and reduced flowability. Typically, a Hausner ratio exceeding 1.34 is indicative of poor flow characteristics in dry powders</w:t>
      </w:r>
      <w:r w:rsidR="00215CEC">
        <w:rPr>
          <w:rFonts w:ascii="Times New Roman" w:hAnsi="Times New Roman" w:cs="Times New Roman"/>
          <w:sz w:val="24"/>
          <w:szCs w:val="24"/>
        </w:rPr>
        <w:t xml:space="preserve"> (</w:t>
      </w:r>
      <w:proofErr w:type="spellStart"/>
      <w:r w:rsidR="00215CEC" w:rsidRPr="00215CEC">
        <w:rPr>
          <w:rFonts w:ascii="Times New Roman" w:hAnsi="Times New Roman" w:cs="Times New Roman"/>
          <w:sz w:val="24"/>
          <w:szCs w:val="24"/>
        </w:rPr>
        <w:t>Turchiuli</w:t>
      </w:r>
      <w:proofErr w:type="spellEnd"/>
      <w:r w:rsidR="00215CEC">
        <w:rPr>
          <w:rFonts w:ascii="Times New Roman" w:hAnsi="Times New Roman" w:cs="Times New Roman"/>
          <w:sz w:val="24"/>
          <w:szCs w:val="24"/>
        </w:rPr>
        <w:t xml:space="preserve"> ET AL., 2005). </w:t>
      </w:r>
      <w:r w:rsidR="00215CEC" w:rsidRPr="00215CEC">
        <w:rPr>
          <w:rFonts w:ascii="Times New Roman" w:hAnsi="Times New Roman" w:cs="Times New Roman"/>
          <w:sz w:val="24"/>
          <w:szCs w:val="24"/>
        </w:rPr>
        <w:t xml:space="preserve">In </w:t>
      </w:r>
      <w:r w:rsidR="00AA2D73">
        <w:rPr>
          <w:rFonts w:ascii="Times New Roman" w:hAnsi="Times New Roman" w:cs="Times New Roman"/>
          <w:sz w:val="24"/>
          <w:szCs w:val="24"/>
        </w:rPr>
        <w:t xml:space="preserve">the </w:t>
      </w:r>
      <w:r w:rsidR="00995D34">
        <w:rPr>
          <w:rFonts w:ascii="Times New Roman" w:hAnsi="Times New Roman" w:cs="Times New Roman"/>
          <w:sz w:val="24"/>
          <w:szCs w:val="24"/>
        </w:rPr>
        <w:t>current</w:t>
      </w:r>
      <w:r w:rsidR="00215CEC" w:rsidRPr="00215CEC">
        <w:rPr>
          <w:rFonts w:ascii="Times New Roman" w:hAnsi="Times New Roman" w:cs="Times New Roman"/>
          <w:sz w:val="24"/>
          <w:szCs w:val="24"/>
        </w:rPr>
        <w:t xml:space="preserve"> study, HR for M</w:t>
      </w:r>
      <w:r w:rsidR="00215CEC">
        <w:rPr>
          <w:rFonts w:ascii="Times New Roman" w:hAnsi="Times New Roman" w:cs="Times New Roman"/>
          <w:sz w:val="24"/>
          <w:szCs w:val="24"/>
        </w:rPr>
        <w:t>SBS</w:t>
      </w:r>
      <w:r w:rsidR="00215CEC" w:rsidRPr="00215CEC">
        <w:rPr>
          <w:rFonts w:ascii="Times New Roman" w:hAnsi="Times New Roman" w:cs="Times New Roman"/>
          <w:sz w:val="24"/>
          <w:szCs w:val="24"/>
        </w:rPr>
        <w:t>OP formulations was in the</w:t>
      </w:r>
      <w:r w:rsidR="00215CEC">
        <w:rPr>
          <w:rFonts w:ascii="Times New Roman" w:hAnsi="Times New Roman" w:cs="Times New Roman"/>
          <w:sz w:val="24"/>
          <w:szCs w:val="24"/>
        </w:rPr>
        <w:t xml:space="preserve"> </w:t>
      </w:r>
      <w:r w:rsidR="00215CEC" w:rsidRPr="00215CEC">
        <w:rPr>
          <w:rFonts w:ascii="Times New Roman" w:hAnsi="Times New Roman" w:cs="Times New Roman"/>
          <w:sz w:val="24"/>
          <w:szCs w:val="24"/>
        </w:rPr>
        <w:t xml:space="preserve">range of </w:t>
      </w:r>
      <w:r w:rsidR="00B93DE0">
        <w:rPr>
          <w:rFonts w:ascii="Times New Roman" w:hAnsi="Times New Roman" w:cs="Times New Roman"/>
          <w:sz w:val="24"/>
          <w:szCs w:val="24"/>
        </w:rPr>
        <w:t>(1.52±0.02)</w:t>
      </w:r>
      <w:r w:rsidR="00215CEC" w:rsidRPr="00215CEC">
        <w:rPr>
          <w:rFonts w:ascii="Times New Roman" w:hAnsi="Times New Roman" w:cs="Times New Roman"/>
          <w:sz w:val="24"/>
          <w:szCs w:val="24"/>
        </w:rPr>
        <w:t>.</w:t>
      </w:r>
    </w:p>
    <w:p w14:paraId="29851F4B" w14:textId="0EEC6AEC" w:rsidR="000D1A99" w:rsidRPr="008F491F" w:rsidRDefault="008F491F" w:rsidP="00BB54A5">
      <w:pPr>
        <w:rPr>
          <w:rFonts w:ascii="Times New Roman" w:hAnsi="Times New Roman" w:cs="Times New Roman"/>
          <w:b/>
          <w:bCs/>
          <w:sz w:val="24"/>
          <w:szCs w:val="24"/>
        </w:rPr>
      </w:pPr>
      <w:r>
        <w:rPr>
          <w:rFonts w:ascii="Times New Roman" w:hAnsi="Times New Roman" w:cs="Times New Roman"/>
          <w:b/>
          <w:bCs/>
          <w:sz w:val="24"/>
          <w:szCs w:val="24"/>
        </w:rPr>
        <w:t>4-</w:t>
      </w:r>
      <w:r w:rsidR="000D1A99" w:rsidRPr="008F491F">
        <w:rPr>
          <w:rFonts w:ascii="Times New Roman" w:hAnsi="Times New Roman" w:cs="Times New Roman"/>
          <w:b/>
          <w:bCs/>
          <w:sz w:val="24"/>
          <w:szCs w:val="24"/>
        </w:rPr>
        <w:t>Conclusion</w:t>
      </w:r>
    </w:p>
    <w:p w14:paraId="10E0832A" w14:textId="424E47EE" w:rsidR="00BB54A5" w:rsidRDefault="00CF42E0" w:rsidP="00CF42E0">
      <w:pPr>
        <w:spacing w:line="360" w:lineRule="auto"/>
        <w:jc w:val="both"/>
        <w:rPr>
          <w:rFonts w:ascii="Times New Roman" w:hAnsi="Times New Roman" w:cs="Times New Roman"/>
          <w:sz w:val="24"/>
          <w:szCs w:val="24"/>
        </w:rPr>
      </w:pPr>
      <w:r w:rsidRPr="00CF42E0">
        <w:rPr>
          <w:rFonts w:ascii="Times New Roman" w:hAnsi="Times New Roman" w:cs="Times New Roman"/>
          <w:sz w:val="24"/>
          <w:szCs w:val="24"/>
        </w:rPr>
        <w:t xml:space="preserve">The present study successfully demonstrated the microencapsulation </w:t>
      </w:r>
      <w:r w:rsidR="007C01A7">
        <w:rPr>
          <w:rFonts w:ascii="Times New Roman" w:hAnsi="Times New Roman" w:cs="Times New Roman"/>
          <w:sz w:val="24"/>
          <w:szCs w:val="24"/>
        </w:rPr>
        <w:t xml:space="preserve">of </w:t>
      </w:r>
      <w:proofErr w:type="spellStart"/>
      <w:r w:rsidRPr="00CF42E0">
        <w:rPr>
          <w:rFonts w:ascii="Times New Roman" w:hAnsi="Times New Roman" w:cs="Times New Roman"/>
          <w:i/>
          <w:iCs/>
          <w:sz w:val="24"/>
          <w:szCs w:val="24"/>
        </w:rPr>
        <w:t>Hippophae</w:t>
      </w:r>
      <w:proofErr w:type="spellEnd"/>
      <w:r w:rsidRPr="00CF42E0">
        <w:rPr>
          <w:rFonts w:ascii="Times New Roman" w:hAnsi="Times New Roman" w:cs="Times New Roman"/>
          <w:i/>
          <w:iCs/>
          <w:sz w:val="24"/>
          <w:szCs w:val="24"/>
        </w:rPr>
        <w:t xml:space="preserve"> </w:t>
      </w:r>
      <w:proofErr w:type="spellStart"/>
      <w:r w:rsidRPr="00CF42E0">
        <w:rPr>
          <w:rFonts w:ascii="Times New Roman" w:hAnsi="Times New Roman" w:cs="Times New Roman"/>
          <w:i/>
          <w:iCs/>
          <w:sz w:val="24"/>
          <w:szCs w:val="24"/>
        </w:rPr>
        <w:t>rhamnoides</w:t>
      </w:r>
      <w:proofErr w:type="spellEnd"/>
      <w:r w:rsidRPr="00CF42E0">
        <w:rPr>
          <w:rFonts w:ascii="Times New Roman" w:hAnsi="Times New Roman" w:cs="Times New Roman"/>
          <w:sz w:val="24"/>
          <w:szCs w:val="24"/>
        </w:rPr>
        <w:t xml:space="preserve"> seed oil </w:t>
      </w:r>
      <w:r w:rsidR="007C01A7">
        <w:rPr>
          <w:rFonts w:ascii="Times New Roman" w:hAnsi="Times New Roman" w:cs="Times New Roman"/>
          <w:sz w:val="24"/>
          <w:szCs w:val="24"/>
        </w:rPr>
        <w:t>with the help of</w:t>
      </w:r>
      <w:r w:rsidRPr="00CF42E0">
        <w:rPr>
          <w:rFonts w:ascii="Times New Roman" w:hAnsi="Times New Roman" w:cs="Times New Roman"/>
          <w:sz w:val="24"/>
          <w:szCs w:val="24"/>
        </w:rPr>
        <w:t xml:space="preserve"> a spray drying technique with maltodextrin and inulin as wall </w:t>
      </w:r>
      <w:r w:rsidRPr="00CF42E0">
        <w:rPr>
          <w:rFonts w:ascii="Times New Roman" w:hAnsi="Times New Roman" w:cs="Times New Roman"/>
          <w:sz w:val="24"/>
          <w:szCs w:val="24"/>
        </w:rPr>
        <w:lastRenderedPageBreak/>
        <w:t xml:space="preserve">materials. The optimized formulation, characterized by a </w:t>
      </w:r>
      <w:r w:rsidR="007C01A7">
        <w:rPr>
          <w:rFonts w:ascii="Times New Roman" w:hAnsi="Times New Roman" w:cs="Times New Roman"/>
          <w:sz w:val="24"/>
          <w:szCs w:val="24"/>
        </w:rPr>
        <w:t xml:space="preserve">1:2 </w:t>
      </w:r>
      <w:r w:rsidRPr="00CF42E0">
        <w:rPr>
          <w:rFonts w:ascii="Times New Roman" w:hAnsi="Times New Roman" w:cs="Times New Roman"/>
          <w:sz w:val="24"/>
          <w:szCs w:val="24"/>
        </w:rPr>
        <w:t>maltodextrin-to-inulin ratio, a wall concentration of 15%, and an inlet temp</w:t>
      </w:r>
      <w:r w:rsidR="007C01A7">
        <w:rPr>
          <w:rFonts w:ascii="Times New Roman" w:hAnsi="Times New Roman" w:cs="Times New Roman"/>
          <w:sz w:val="24"/>
          <w:szCs w:val="24"/>
        </w:rPr>
        <w:t>.</w:t>
      </w:r>
      <w:r w:rsidRPr="00CF42E0">
        <w:rPr>
          <w:rFonts w:ascii="Times New Roman" w:hAnsi="Times New Roman" w:cs="Times New Roman"/>
          <w:sz w:val="24"/>
          <w:szCs w:val="24"/>
        </w:rPr>
        <w:t xml:space="preserve"> of 160 °C, resulted in microcapsules with high encapsulation efficiency and satisfactory yield. The produced microcapsules maintained low moisture content a</w:t>
      </w:r>
      <w:r w:rsidR="0091125A">
        <w:rPr>
          <w:rFonts w:ascii="Times New Roman" w:hAnsi="Times New Roman" w:cs="Times New Roman"/>
          <w:sz w:val="24"/>
          <w:szCs w:val="24"/>
        </w:rPr>
        <w:t>s well as</w:t>
      </w:r>
      <w:r w:rsidRPr="00CF42E0">
        <w:rPr>
          <w:rFonts w:ascii="Times New Roman" w:hAnsi="Times New Roman" w:cs="Times New Roman"/>
          <w:sz w:val="24"/>
          <w:szCs w:val="24"/>
        </w:rPr>
        <w:t xml:space="preserve"> water activity levels, essential for </w:t>
      </w:r>
      <w:r w:rsidR="0091125A">
        <w:rPr>
          <w:rFonts w:ascii="Times New Roman" w:hAnsi="Times New Roman" w:cs="Times New Roman"/>
          <w:sz w:val="24"/>
          <w:szCs w:val="24"/>
        </w:rPr>
        <w:t>extended</w:t>
      </w:r>
      <w:r w:rsidRPr="00CF42E0">
        <w:rPr>
          <w:rFonts w:ascii="Times New Roman" w:hAnsi="Times New Roman" w:cs="Times New Roman"/>
          <w:sz w:val="24"/>
          <w:szCs w:val="24"/>
        </w:rPr>
        <w:t xml:space="preserve"> shelf life and stability. Although the flow properties were suboptimal due to the high oil content, the physicochemical and structural analyses confirmed the successful entrapment of the oil within the matrix. FTIR spectroscopy validated the presence of functional groups representative of both wall and core materials, further supporting the encapsulation effectiveness. Overall, the findings underscore the importance of selecting appropriate wall material combinations and optimizing processing conditions to improve the quality</w:t>
      </w:r>
      <w:r w:rsidR="00006F25">
        <w:rPr>
          <w:rFonts w:ascii="Times New Roman" w:hAnsi="Times New Roman" w:cs="Times New Roman"/>
          <w:sz w:val="24"/>
          <w:szCs w:val="24"/>
        </w:rPr>
        <w:t>,</w:t>
      </w:r>
      <w:r w:rsidRPr="00CF42E0">
        <w:rPr>
          <w:rFonts w:ascii="Times New Roman" w:hAnsi="Times New Roman" w:cs="Times New Roman"/>
          <w:sz w:val="24"/>
          <w:szCs w:val="24"/>
        </w:rPr>
        <w:t xml:space="preserve"> </w:t>
      </w:r>
      <w:r w:rsidR="00C4364F">
        <w:rPr>
          <w:rFonts w:ascii="Times New Roman" w:hAnsi="Times New Roman" w:cs="Times New Roman"/>
          <w:sz w:val="24"/>
          <w:szCs w:val="24"/>
        </w:rPr>
        <w:t>along with</w:t>
      </w:r>
      <w:r w:rsidRPr="00CF42E0">
        <w:rPr>
          <w:rFonts w:ascii="Times New Roman" w:hAnsi="Times New Roman" w:cs="Times New Roman"/>
          <w:sz w:val="24"/>
          <w:szCs w:val="24"/>
        </w:rPr>
        <w:t xml:space="preserve"> functionality of oil-based microcapsules. These microcapsules offer promising potential for use in functional food systems and nutraceutical applications, particularly where oil stability and controlled release are desired</w:t>
      </w:r>
      <w:r w:rsidR="0002084E">
        <w:rPr>
          <w:rFonts w:ascii="Times New Roman" w:hAnsi="Times New Roman" w:cs="Times New Roman"/>
          <w:sz w:val="24"/>
          <w:szCs w:val="24"/>
        </w:rPr>
        <w:t>.</w:t>
      </w:r>
    </w:p>
    <w:p w14:paraId="5AA27F72" w14:textId="77777777" w:rsidR="0088355D" w:rsidRPr="00F9215C" w:rsidRDefault="0088355D" w:rsidP="0088355D">
      <w:pPr>
        <w:spacing w:line="360" w:lineRule="auto"/>
        <w:jc w:val="both"/>
        <w:rPr>
          <w:rFonts w:ascii="Times New Roman" w:hAnsi="Times New Roman" w:cs="Times New Roman"/>
          <w:b/>
          <w:bCs/>
          <w:sz w:val="24"/>
          <w:szCs w:val="24"/>
        </w:rPr>
      </w:pPr>
      <w:r w:rsidRPr="00F9215C">
        <w:rPr>
          <w:rFonts w:ascii="Times New Roman" w:hAnsi="Times New Roman" w:cs="Times New Roman"/>
          <w:b/>
          <w:bCs/>
          <w:sz w:val="24"/>
          <w:szCs w:val="24"/>
        </w:rPr>
        <w:t>Abbreviations</w:t>
      </w:r>
    </w:p>
    <w:p w14:paraId="27000DC2" w14:textId="77777777" w:rsidR="0088355D" w:rsidRDefault="0088355D" w:rsidP="0088355D">
      <w:pPr>
        <w:spacing w:line="360" w:lineRule="auto"/>
        <w:jc w:val="both"/>
        <w:rPr>
          <w:rFonts w:ascii="Times New Roman" w:hAnsi="Times New Roman" w:cs="Times New Roman"/>
          <w:sz w:val="24"/>
          <w:szCs w:val="24"/>
        </w:rPr>
      </w:pPr>
      <w:r>
        <w:rPr>
          <w:rFonts w:ascii="Times New Roman" w:hAnsi="Times New Roman" w:cs="Times New Roman"/>
          <w:sz w:val="24"/>
          <w:szCs w:val="24"/>
        </w:rPr>
        <w:t>MBSOP- Microencapsulated sea buckthorn seed oil powder</w:t>
      </w:r>
    </w:p>
    <w:p w14:paraId="481CA10B" w14:textId="77777777" w:rsidR="0088355D" w:rsidRDefault="0088355D" w:rsidP="0088355D">
      <w:pPr>
        <w:spacing w:line="360" w:lineRule="auto"/>
        <w:jc w:val="both"/>
        <w:rPr>
          <w:rFonts w:ascii="Times New Roman" w:hAnsi="Times New Roman" w:cs="Times New Roman"/>
          <w:sz w:val="24"/>
          <w:szCs w:val="24"/>
        </w:rPr>
      </w:pPr>
      <w:r w:rsidRPr="00BA48D8">
        <w:rPr>
          <w:rFonts w:ascii="Times New Roman" w:hAnsi="Times New Roman" w:cs="Times New Roman"/>
          <w:sz w:val="24"/>
          <w:szCs w:val="24"/>
        </w:rPr>
        <w:t>SBSOM</w:t>
      </w:r>
      <w:r>
        <w:rPr>
          <w:rFonts w:ascii="Times New Roman" w:hAnsi="Times New Roman" w:cs="Times New Roman"/>
          <w:sz w:val="24"/>
          <w:szCs w:val="24"/>
        </w:rPr>
        <w:t>-Sea buckthorn seed oil microcapsules</w:t>
      </w:r>
    </w:p>
    <w:p w14:paraId="0D5B0D79" w14:textId="77777777" w:rsidR="0088355D" w:rsidRDefault="0088355D" w:rsidP="0088355D">
      <w:pPr>
        <w:spacing w:line="360" w:lineRule="auto"/>
        <w:jc w:val="both"/>
        <w:rPr>
          <w:rFonts w:ascii="Times New Roman" w:hAnsi="Times New Roman" w:cs="Times New Roman"/>
          <w:sz w:val="24"/>
          <w:szCs w:val="24"/>
        </w:rPr>
      </w:pPr>
      <w:r>
        <w:rPr>
          <w:rFonts w:ascii="Times New Roman" w:hAnsi="Times New Roman" w:cs="Times New Roman"/>
          <w:sz w:val="24"/>
          <w:szCs w:val="24"/>
        </w:rPr>
        <w:t>EE-Encapsulation efficiency</w:t>
      </w:r>
    </w:p>
    <w:p w14:paraId="792092B3" w14:textId="77777777" w:rsidR="0088355D" w:rsidRDefault="0088355D" w:rsidP="0088355D">
      <w:pPr>
        <w:spacing w:line="360" w:lineRule="auto"/>
        <w:jc w:val="both"/>
        <w:rPr>
          <w:rFonts w:ascii="Times New Roman" w:hAnsi="Times New Roman" w:cs="Times New Roman"/>
          <w:sz w:val="24"/>
          <w:szCs w:val="24"/>
        </w:rPr>
      </w:pPr>
      <w:r>
        <w:rPr>
          <w:rFonts w:ascii="Times New Roman" w:hAnsi="Times New Roman" w:cs="Times New Roman"/>
          <w:sz w:val="24"/>
          <w:szCs w:val="24"/>
        </w:rPr>
        <w:t>SO-Surface oil</w:t>
      </w:r>
    </w:p>
    <w:p w14:paraId="71A8E29F" w14:textId="77777777" w:rsidR="0088355D" w:rsidRDefault="0088355D" w:rsidP="0088355D">
      <w:pPr>
        <w:spacing w:line="360" w:lineRule="auto"/>
        <w:jc w:val="both"/>
        <w:rPr>
          <w:rFonts w:ascii="Times New Roman" w:hAnsi="Times New Roman" w:cs="Times New Roman"/>
          <w:sz w:val="24"/>
          <w:szCs w:val="24"/>
        </w:rPr>
      </w:pPr>
      <w:r>
        <w:rPr>
          <w:rFonts w:ascii="Times New Roman" w:hAnsi="Times New Roman" w:cs="Times New Roman"/>
          <w:sz w:val="24"/>
          <w:szCs w:val="24"/>
        </w:rPr>
        <w:t>TO-Total oil</w:t>
      </w:r>
    </w:p>
    <w:p w14:paraId="770AE8DE" w14:textId="77777777" w:rsidR="0088355D" w:rsidRDefault="0088355D" w:rsidP="0088355D">
      <w:pPr>
        <w:spacing w:line="360" w:lineRule="auto"/>
        <w:jc w:val="both"/>
        <w:rPr>
          <w:rFonts w:ascii="Times New Roman" w:hAnsi="Times New Roman" w:cs="Times New Roman"/>
          <w:sz w:val="24"/>
          <w:szCs w:val="24"/>
        </w:rPr>
      </w:pPr>
      <w:r>
        <w:rPr>
          <w:rFonts w:ascii="Times New Roman" w:hAnsi="Times New Roman" w:cs="Times New Roman"/>
          <w:sz w:val="24"/>
          <w:szCs w:val="24"/>
        </w:rPr>
        <w:t>CR-Carr’s Index</w:t>
      </w:r>
    </w:p>
    <w:p w14:paraId="17A66F89" w14:textId="6B8047DF" w:rsidR="00AE60C6" w:rsidRPr="00EE35BA" w:rsidRDefault="0088355D" w:rsidP="00EE35BA">
      <w:pPr>
        <w:spacing w:line="360" w:lineRule="auto"/>
        <w:jc w:val="both"/>
        <w:rPr>
          <w:rFonts w:ascii="Times New Roman" w:hAnsi="Times New Roman" w:cs="Times New Roman"/>
          <w:sz w:val="24"/>
          <w:szCs w:val="24"/>
        </w:rPr>
      </w:pPr>
      <w:r>
        <w:rPr>
          <w:rFonts w:ascii="Times New Roman" w:hAnsi="Times New Roman" w:cs="Times New Roman"/>
          <w:sz w:val="24"/>
          <w:szCs w:val="24"/>
        </w:rPr>
        <w:t>HR-Hausner Ratio</w:t>
      </w:r>
    </w:p>
    <w:p w14:paraId="13641149" w14:textId="77777777" w:rsidR="00DB3E7A" w:rsidRPr="003A29C6" w:rsidRDefault="00DB3E7A" w:rsidP="00DB3E7A">
      <w:pPr>
        <w:jc w:val="both"/>
        <w:outlineLvl w:val="0"/>
        <w:rPr>
          <w:rFonts w:ascii="Arial" w:hAnsi="Arial" w:cs="Arial"/>
        </w:rPr>
      </w:pPr>
      <w:r w:rsidRPr="003A29C6">
        <w:rPr>
          <w:rFonts w:ascii="Arial" w:hAnsi="Arial" w:cs="Arial"/>
          <w:b/>
          <w:bCs/>
        </w:rPr>
        <w:t>COMPETING INTERESTS DISCLAIMER:</w:t>
      </w:r>
    </w:p>
    <w:p w14:paraId="2057A8FD" w14:textId="499EC88B" w:rsidR="00AE60C6" w:rsidRDefault="00DB3E7A" w:rsidP="00BB54A5">
      <w:r w:rsidRPr="00A10EDE">
        <w:t>Authors have declared that they have no known competing financial interests OR non-financial interests OR personal relationships that could have appeared to influence the work reported in this paper.</w:t>
      </w:r>
    </w:p>
    <w:p w14:paraId="27BFE6D0" w14:textId="77777777" w:rsidR="00BB54A5" w:rsidRDefault="00BB54A5" w:rsidP="00BB54A5"/>
    <w:p w14:paraId="4241B6B2" w14:textId="77777777" w:rsidR="00607DD1" w:rsidRPr="009C5487" w:rsidRDefault="00607DD1" w:rsidP="00607DD1">
      <w:pPr>
        <w:rPr>
          <w:rFonts w:ascii="Calibri" w:eastAsia="Calibri" w:hAnsi="Calibri" w:cs="Times New Roman"/>
          <w:highlight w:val="yellow"/>
          <w:lang w:val="en-US"/>
        </w:rPr>
      </w:pPr>
      <w:bookmarkStart w:id="1" w:name="_Hlk197682619"/>
      <w:bookmarkStart w:id="2" w:name="_Hlk180402183"/>
      <w:bookmarkStart w:id="3" w:name="_Hlk183680988"/>
      <w:r w:rsidRPr="009C5487">
        <w:rPr>
          <w:rFonts w:ascii="Calibri" w:eastAsia="Calibri" w:hAnsi="Calibri" w:cs="Times New Roman"/>
          <w:highlight w:val="yellow"/>
          <w:lang w:val="en-US"/>
        </w:rPr>
        <w:t>Disclaimer (Artificial intelligence)</w:t>
      </w:r>
    </w:p>
    <w:p w14:paraId="2DD9AD86" w14:textId="77777777" w:rsidR="00EE35BA" w:rsidRPr="00EE35BA" w:rsidRDefault="00EE35BA" w:rsidP="00EE35BA">
      <w:pPr>
        <w:rPr>
          <w:rFonts w:ascii="Calibri" w:eastAsia="Calibri" w:hAnsi="Calibri" w:cs="Times New Roman"/>
        </w:rPr>
      </w:pPr>
      <w:r w:rsidRPr="00EE35BA">
        <w:rPr>
          <w:rFonts w:ascii="Calibri" w:eastAsia="Calibri" w:hAnsi="Calibri" w:cs="Times New Roman"/>
        </w:rPr>
        <w:t>The authors hereby declare that no generative AI technologies, including Large Language Models (such as ChatGPT, Copilot) or text-to-image generators, were used during the writing, editing, or preparation of this manuscript. All content is entirely original and produced by the authors.</w:t>
      </w:r>
    </w:p>
    <w:p w14:paraId="7A439F98" w14:textId="77777777" w:rsidR="00EE35BA" w:rsidRPr="009C5487" w:rsidRDefault="00EE35BA" w:rsidP="00607DD1">
      <w:pPr>
        <w:rPr>
          <w:rFonts w:ascii="Calibri" w:eastAsia="Calibri" w:hAnsi="Calibri" w:cs="Times New Roman"/>
          <w:highlight w:val="yellow"/>
          <w:lang w:val="en-US"/>
        </w:rPr>
      </w:pPr>
    </w:p>
    <w:bookmarkEnd w:id="1"/>
    <w:bookmarkEnd w:id="2"/>
    <w:bookmarkEnd w:id="3"/>
    <w:p w14:paraId="1F28E097" w14:textId="77777777" w:rsidR="00800E45" w:rsidRDefault="00800E45" w:rsidP="00BB54A5"/>
    <w:p w14:paraId="1FA5B507" w14:textId="77777777" w:rsidR="00800E45" w:rsidRDefault="00800E45" w:rsidP="00BB54A5"/>
    <w:p w14:paraId="339662D0" w14:textId="760BC2B9" w:rsidR="004A3C2A" w:rsidRPr="00F9215C" w:rsidRDefault="004A3C2A" w:rsidP="004A3C2A">
      <w:pPr>
        <w:spacing w:line="360" w:lineRule="auto"/>
        <w:jc w:val="both"/>
        <w:rPr>
          <w:rFonts w:ascii="Times New Roman" w:hAnsi="Times New Roman" w:cs="Times New Roman"/>
          <w:b/>
          <w:bCs/>
          <w:sz w:val="24"/>
          <w:szCs w:val="24"/>
        </w:rPr>
      </w:pPr>
      <w:r w:rsidRPr="00F9215C">
        <w:rPr>
          <w:rFonts w:ascii="Times New Roman" w:hAnsi="Times New Roman" w:cs="Times New Roman"/>
          <w:b/>
          <w:bCs/>
          <w:sz w:val="24"/>
          <w:szCs w:val="24"/>
        </w:rPr>
        <w:t>References</w:t>
      </w:r>
      <w:r w:rsidR="00800E45" w:rsidRPr="00F9215C">
        <w:rPr>
          <w:rFonts w:ascii="Times New Roman" w:hAnsi="Times New Roman" w:cs="Times New Roman"/>
          <w:b/>
          <w:bCs/>
          <w:sz w:val="24"/>
          <w:szCs w:val="24"/>
        </w:rPr>
        <w:t xml:space="preserve"> </w:t>
      </w:r>
    </w:p>
    <w:p w14:paraId="216208A4" w14:textId="77777777" w:rsidR="005A46DC" w:rsidRDefault="005A46DC" w:rsidP="00E52F26">
      <w:pPr>
        <w:spacing w:line="360" w:lineRule="auto"/>
        <w:ind w:left="720" w:hanging="720"/>
        <w:jc w:val="both"/>
        <w:rPr>
          <w:rFonts w:ascii="Times New Roman" w:hAnsi="Times New Roman" w:cs="Times New Roman"/>
          <w:sz w:val="24"/>
          <w:szCs w:val="24"/>
        </w:rPr>
      </w:pPr>
      <w:r w:rsidRPr="00CA67D8">
        <w:rPr>
          <w:rFonts w:ascii="Times New Roman" w:hAnsi="Times New Roman" w:cs="Times New Roman"/>
          <w:sz w:val="24"/>
          <w:szCs w:val="24"/>
        </w:rPr>
        <w:t xml:space="preserve">Abd El-Aal, Y. A., Abdel-Fattah, D. M., &amp; Ahmed, K. E. D. (2019). Some biochemical studies on trans fatty acid-containing diet. </w:t>
      </w:r>
      <w:r w:rsidRPr="00CA67D8">
        <w:rPr>
          <w:rFonts w:ascii="Times New Roman" w:hAnsi="Times New Roman" w:cs="Times New Roman"/>
          <w:i/>
          <w:iCs/>
          <w:sz w:val="24"/>
          <w:szCs w:val="24"/>
        </w:rPr>
        <w:t>Diabetes &amp; Metabolic Syndrome: Clinical Research &amp; Reviews</w:t>
      </w:r>
      <w:r w:rsidRPr="00CA67D8">
        <w:rPr>
          <w:rFonts w:ascii="Times New Roman" w:hAnsi="Times New Roman" w:cs="Times New Roman"/>
          <w:sz w:val="24"/>
          <w:szCs w:val="24"/>
        </w:rPr>
        <w:t xml:space="preserve">, </w:t>
      </w:r>
      <w:r w:rsidRPr="00CA67D8">
        <w:rPr>
          <w:rFonts w:ascii="Times New Roman" w:hAnsi="Times New Roman" w:cs="Times New Roman"/>
          <w:i/>
          <w:iCs/>
          <w:sz w:val="24"/>
          <w:szCs w:val="24"/>
        </w:rPr>
        <w:t>13</w:t>
      </w:r>
      <w:r w:rsidRPr="00CA67D8">
        <w:rPr>
          <w:rFonts w:ascii="Times New Roman" w:hAnsi="Times New Roman" w:cs="Times New Roman"/>
          <w:sz w:val="24"/>
          <w:szCs w:val="24"/>
        </w:rPr>
        <w:t xml:space="preserve">(3), 1753–1757. </w:t>
      </w:r>
      <w:hyperlink r:id="rId9" w:history="1">
        <w:r w:rsidRPr="00362B71">
          <w:rPr>
            <w:rStyle w:val="Hyperlink"/>
            <w:rFonts w:ascii="Times New Roman" w:hAnsi="Times New Roman" w:cs="Times New Roman"/>
            <w:sz w:val="24"/>
            <w:szCs w:val="24"/>
          </w:rPr>
          <w:t>https://doi.org/10.1016/j.dsx.2019.03.019</w:t>
        </w:r>
      </w:hyperlink>
    </w:p>
    <w:p w14:paraId="48F247EE" w14:textId="77777777" w:rsidR="005A46DC" w:rsidRDefault="005A46DC" w:rsidP="00E52F26">
      <w:pPr>
        <w:spacing w:line="360" w:lineRule="auto"/>
        <w:ind w:left="720" w:hanging="720"/>
        <w:jc w:val="both"/>
        <w:rPr>
          <w:rFonts w:ascii="Times New Roman" w:hAnsi="Times New Roman" w:cs="Times New Roman"/>
          <w:sz w:val="24"/>
          <w:szCs w:val="24"/>
        </w:rPr>
      </w:pPr>
      <w:proofErr w:type="spellStart"/>
      <w:r w:rsidRPr="00CA67D8">
        <w:rPr>
          <w:rFonts w:ascii="Times New Roman" w:hAnsi="Times New Roman" w:cs="Times New Roman"/>
          <w:sz w:val="24"/>
          <w:szCs w:val="24"/>
        </w:rPr>
        <w:t>Aghbashlo</w:t>
      </w:r>
      <w:proofErr w:type="spellEnd"/>
      <w:r w:rsidRPr="00CA67D8">
        <w:rPr>
          <w:rFonts w:ascii="Times New Roman" w:hAnsi="Times New Roman" w:cs="Times New Roman"/>
          <w:sz w:val="24"/>
          <w:szCs w:val="24"/>
        </w:rPr>
        <w:t xml:space="preserve">, M., </w:t>
      </w:r>
      <w:proofErr w:type="spellStart"/>
      <w:r w:rsidRPr="00CA67D8">
        <w:rPr>
          <w:rFonts w:ascii="Times New Roman" w:hAnsi="Times New Roman" w:cs="Times New Roman"/>
          <w:sz w:val="24"/>
          <w:szCs w:val="24"/>
        </w:rPr>
        <w:t>Mobli</w:t>
      </w:r>
      <w:proofErr w:type="spellEnd"/>
      <w:r w:rsidRPr="00CA67D8">
        <w:rPr>
          <w:rFonts w:ascii="Times New Roman" w:hAnsi="Times New Roman" w:cs="Times New Roman"/>
          <w:sz w:val="24"/>
          <w:szCs w:val="24"/>
        </w:rPr>
        <w:t xml:space="preserve">, H., Rafiee, S., &amp; </w:t>
      </w:r>
      <w:proofErr w:type="spellStart"/>
      <w:r w:rsidRPr="00CA67D8">
        <w:rPr>
          <w:rFonts w:ascii="Times New Roman" w:hAnsi="Times New Roman" w:cs="Times New Roman"/>
          <w:sz w:val="24"/>
          <w:szCs w:val="24"/>
        </w:rPr>
        <w:t>Madadlou</w:t>
      </w:r>
      <w:proofErr w:type="spellEnd"/>
      <w:r w:rsidRPr="00CA67D8">
        <w:rPr>
          <w:rFonts w:ascii="Times New Roman" w:hAnsi="Times New Roman" w:cs="Times New Roman"/>
          <w:sz w:val="24"/>
          <w:szCs w:val="24"/>
        </w:rPr>
        <w:t>, A. (2012). Optimization of emulsification procedure for mutual maximizing the encapsulation and exergy efficiencies of fish oil microencapsulation.</w:t>
      </w:r>
      <w:r>
        <w:rPr>
          <w:rFonts w:ascii="Times New Roman" w:hAnsi="Times New Roman" w:cs="Times New Roman"/>
          <w:sz w:val="24"/>
          <w:szCs w:val="24"/>
        </w:rPr>
        <w:t xml:space="preserve"> </w:t>
      </w:r>
      <w:r w:rsidRPr="00CA67D8">
        <w:rPr>
          <w:rFonts w:ascii="Times New Roman" w:hAnsi="Times New Roman" w:cs="Times New Roman"/>
          <w:i/>
          <w:iCs/>
          <w:sz w:val="24"/>
          <w:szCs w:val="24"/>
        </w:rPr>
        <w:t>Powder Technology</w:t>
      </w:r>
      <w:r w:rsidRPr="00CA67D8">
        <w:rPr>
          <w:rFonts w:ascii="Times New Roman" w:hAnsi="Times New Roman" w:cs="Times New Roman"/>
          <w:sz w:val="24"/>
          <w:szCs w:val="24"/>
        </w:rPr>
        <w:t xml:space="preserve">, </w:t>
      </w:r>
      <w:r w:rsidRPr="00CA67D8">
        <w:rPr>
          <w:rFonts w:ascii="Times New Roman" w:hAnsi="Times New Roman" w:cs="Times New Roman"/>
          <w:i/>
          <w:iCs/>
          <w:sz w:val="24"/>
          <w:szCs w:val="24"/>
        </w:rPr>
        <w:t>225</w:t>
      </w:r>
      <w:r w:rsidRPr="00CA67D8">
        <w:rPr>
          <w:rFonts w:ascii="Times New Roman" w:hAnsi="Times New Roman" w:cs="Times New Roman"/>
          <w:sz w:val="24"/>
          <w:szCs w:val="24"/>
        </w:rPr>
        <w:t xml:space="preserve">, 107–117. </w:t>
      </w:r>
      <w:hyperlink r:id="rId10" w:history="1">
        <w:r w:rsidRPr="00362B71">
          <w:rPr>
            <w:rStyle w:val="Hyperlink"/>
            <w:rFonts w:ascii="Times New Roman" w:hAnsi="Times New Roman" w:cs="Times New Roman"/>
            <w:sz w:val="24"/>
            <w:szCs w:val="24"/>
          </w:rPr>
          <w:t>https://doi.org/10.1016/j.powtec.2012.03.032</w:t>
        </w:r>
      </w:hyperlink>
    </w:p>
    <w:p w14:paraId="11BE52D3" w14:textId="77777777" w:rsidR="005A46DC" w:rsidRDefault="005A46DC" w:rsidP="00B55412">
      <w:pPr>
        <w:spacing w:line="360" w:lineRule="auto"/>
        <w:ind w:left="720" w:hanging="720"/>
        <w:jc w:val="both"/>
        <w:rPr>
          <w:rFonts w:ascii="Times New Roman" w:hAnsi="Times New Roman" w:cs="Times New Roman"/>
          <w:sz w:val="24"/>
          <w:szCs w:val="24"/>
        </w:rPr>
      </w:pPr>
      <w:r w:rsidRPr="001510D1">
        <w:rPr>
          <w:rFonts w:ascii="Times New Roman" w:hAnsi="Times New Roman" w:cs="Times New Roman"/>
          <w:sz w:val="24"/>
          <w:szCs w:val="24"/>
        </w:rPr>
        <w:t xml:space="preserve">Ahani, H., &amp; Attaran, S. (2022). Therapeutic potential of </w:t>
      </w:r>
      <w:proofErr w:type="spellStart"/>
      <w:r w:rsidRPr="001510D1">
        <w:rPr>
          <w:rFonts w:ascii="Times New Roman" w:hAnsi="Times New Roman" w:cs="Times New Roman"/>
          <w:sz w:val="24"/>
          <w:szCs w:val="24"/>
        </w:rPr>
        <w:t>seabuckthorn</w:t>
      </w:r>
      <w:proofErr w:type="spellEnd"/>
      <w:r w:rsidRPr="001510D1">
        <w:rPr>
          <w:rFonts w:ascii="Times New Roman" w:hAnsi="Times New Roman" w:cs="Times New Roman"/>
          <w:sz w:val="24"/>
          <w:szCs w:val="24"/>
        </w:rPr>
        <w:t xml:space="preserve"> (</w:t>
      </w:r>
      <w:proofErr w:type="spellStart"/>
      <w:r w:rsidRPr="001510D1">
        <w:rPr>
          <w:rFonts w:ascii="Times New Roman" w:hAnsi="Times New Roman" w:cs="Times New Roman"/>
          <w:i/>
          <w:iCs/>
          <w:sz w:val="24"/>
          <w:szCs w:val="24"/>
        </w:rPr>
        <w:t>Hippophae</w:t>
      </w:r>
      <w:proofErr w:type="spellEnd"/>
      <w:r w:rsidRPr="001510D1">
        <w:rPr>
          <w:rFonts w:ascii="Times New Roman" w:hAnsi="Times New Roman" w:cs="Times New Roman"/>
          <w:i/>
          <w:iCs/>
          <w:sz w:val="24"/>
          <w:szCs w:val="24"/>
        </w:rPr>
        <w:t xml:space="preserve"> </w:t>
      </w:r>
      <w:proofErr w:type="spellStart"/>
      <w:r w:rsidRPr="001510D1">
        <w:rPr>
          <w:rFonts w:ascii="Times New Roman" w:hAnsi="Times New Roman" w:cs="Times New Roman"/>
          <w:i/>
          <w:iCs/>
          <w:sz w:val="24"/>
          <w:szCs w:val="24"/>
        </w:rPr>
        <w:t>rhamnoides</w:t>
      </w:r>
      <w:proofErr w:type="spellEnd"/>
      <w:r w:rsidRPr="001510D1">
        <w:rPr>
          <w:rFonts w:ascii="Times New Roman" w:hAnsi="Times New Roman" w:cs="Times New Roman"/>
          <w:sz w:val="24"/>
          <w:szCs w:val="24"/>
        </w:rPr>
        <w:t xml:space="preserve"> L.) in medical sciences. </w:t>
      </w:r>
      <w:r w:rsidRPr="001510D1">
        <w:rPr>
          <w:rFonts w:ascii="Times New Roman" w:hAnsi="Times New Roman" w:cs="Times New Roman"/>
          <w:i/>
          <w:iCs/>
          <w:sz w:val="24"/>
          <w:szCs w:val="24"/>
        </w:rPr>
        <w:t>Cellular, Molecular and Biomedical Reports, 2</w:t>
      </w:r>
      <w:r w:rsidRPr="001510D1">
        <w:rPr>
          <w:rFonts w:ascii="Times New Roman" w:hAnsi="Times New Roman" w:cs="Times New Roman"/>
          <w:sz w:val="24"/>
          <w:szCs w:val="24"/>
        </w:rPr>
        <w:t xml:space="preserve">(1), 22–32. </w:t>
      </w:r>
      <w:hyperlink r:id="rId11" w:tgtFrame="_new" w:history="1">
        <w:r w:rsidRPr="001510D1">
          <w:rPr>
            <w:rStyle w:val="Hyperlink"/>
            <w:rFonts w:ascii="Times New Roman" w:hAnsi="Times New Roman" w:cs="Times New Roman"/>
            <w:sz w:val="24"/>
            <w:szCs w:val="24"/>
          </w:rPr>
          <w:t>https://doi.org/10.55705/cmbr.2022.147090.1023</w:t>
        </w:r>
      </w:hyperlink>
    </w:p>
    <w:p w14:paraId="4D7C2891" w14:textId="77777777" w:rsidR="005A46DC" w:rsidRDefault="005A46DC" w:rsidP="00E52F26">
      <w:pPr>
        <w:spacing w:line="360" w:lineRule="auto"/>
        <w:ind w:left="720" w:hanging="720"/>
        <w:jc w:val="both"/>
        <w:rPr>
          <w:rFonts w:ascii="Times New Roman" w:hAnsi="Times New Roman" w:cs="Times New Roman"/>
          <w:sz w:val="24"/>
          <w:szCs w:val="24"/>
        </w:rPr>
      </w:pPr>
      <w:r w:rsidRPr="00CA67D8">
        <w:rPr>
          <w:rFonts w:ascii="Times New Roman" w:hAnsi="Times New Roman" w:cs="Times New Roman"/>
          <w:sz w:val="24"/>
          <w:szCs w:val="24"/>
        </w:rPr>
        <w:t xml:space="preserve">Bouras, K., </w:t>
      </w:r>
      <w:proofErr w:type="spellStart"/>
      <w:r w:rsidRPr="00CA67D8">
        <w:rPr>
          <w:rFonts w:ascii="Times New Roman" w:hAnsi="Times New Roman" w:cs="Times New Roman"/>
          <w:sz w:val="24"/>
          <w:szCs w:val="24"/>
        </w:rPr>
        <w:t>Kopsidas</w:t>
      </w:r>
      <w:proofErr w:type="spellEnd"/>
      <w:r w:rsidRPr="00CA67D8">
        <w:rPr>
          <w:rFonts w:ascii="Times New Roman" w:hAnsi="Times New Roman" w:cs="Times New Roman"/>
          <w:sz w:val="24"/>
          <w:szCs w:val="24"/>
        </w:rPr>
        <w:t xml:space="preserve">, K., </w:t>
      </w:r>
      <w:proofErr w:type="spellStart"/>
      <w:r w:rsidRPr="00CA67D8">
        <w:rPr>
          <w:rFonts w:ascii="Times New Roman" w:hAnsi="Times New Roman" w:cs="Times New Roman"/>
          <w:sz w:val="24"/>
          <w:szCs w:val="24"/>
        </w:rPr>
        <w:t>Bariotakis</w:t>
      </w:r>
      <w:proofErr w:type="spellEnd"/>
      <w:r w:rsidRPr="00CA67D8">
        <w:rPr>
          <w:rFonts w:ascii="Times New Roman" w:hAnsi="Times New Roman" w:cs="Times New Roman"/>
          <w:sz w:val="24"/>
          <w:szCs w:val="24"/>
        </w:rPr>
        <w:t xml:space="preserve">, M., </w:t>
      </w:r>
      <w:proofErr w:type="spellStart"/>
      <w:r w:rsidRPr="00CA67D8">
        <w:rPr>
          <w:rFonts w:ascii="Times New Roman" w:hAnsi="Times New Roman" w:cs="Times New Roman"/>
          <w:sz w:val="24"/>
          <w:szCs w:val="24"/>
        </w:rPr>
        <w:t>Kitsiou</w:t>
      </w:r>
      <w:proofErr w:type="spellEnd"/>
      <w:r w:rsidRPr="00CA67D8">
        <w:rPr>
          <w:rFonts w:ascii="Times New Roman" w:hAnsi="Times New Roman" w:cs="Times New Roman"/>
          <w:sz w:val="24"/>
          <w:szCs w:val="24"/>
        </w:rPr>
        <w:t xml:space="preserve">, P., </w:t>
      </w:r>
      <w:proofErr w:type="spellStart"/>
      <w:r w:rsidRPr="00CA67D8">
        <w:rPr>
          <w:rFonts w:ascii="Times New Roman" w:hAnsi="Times New Roman" w:cs="Times New Roman"/>
          <w:sz w:val="24"/>
          <w:szCs w:val="24"/>
        </w:rPr>
        <w:t>Kapodistria</w:t>
      </w:r>
      <w:proofErr w:type="spellEnd"/>
      <w:r w:rsidRPr="00CA67D8">
        <w:rPr>
          <w:rFonts w:ascii="Times New Roman" w:hAnsi="Times New Roman" w:cs="Times New Roman"/>
          <w:sz w:val="24"/>
          <w:szCs w:val="24"/>
        </w:rPr>
        <w:t xml:space="preserve">, K., </w:t>
      </w:r>
      <w:proofErr w:type="spellStart"/>
      <w:r w:rsidRPr="00CA67D8">
        <w:rPr>
          <w:rFonts w:ascii="Times New Roman" w:hAnsi="Times New Roman" w:cs="Times New Roman"/>
          <w:sz w:val="24"/>
          <w:szCs w:val="24"/>
        </w:rPr>
        <w:t>Agrogiannis</w:t>
      </w:r>
      <w:proofErr w:type="spellEnd"/>
      <w:r w:rsidRPr="00CA67D8">
        <w:rPr>
          <w:rFonts w:ascii="Times New Roman" w:hAnsi="Times New Roman" w:cs="Times New Roman"/>
          <w:sz w:val="24"/>
          <w:szCs w:val="24"/>
        </w:rPr>
        <w:t>, G., … Perrea, D. (2017). Effects of dietary supplementation with sea buckthorn (</w:t>
      </w:r>
      <w:proofErr w:type="spellStart"/>
      <w:r w:rsidRPr="00CA67D8">
        <w:rPr>
          <w:rFonts w:ascii="Times New Roman" w:hAnsi="Times New Roman" w:cs="Times New Roman"/>
          <w:i/>
          <w:iCs/>
          <w:sz w:val="24"/>
          <w:szCs w:val="24"/>
        </w:rPr>
        <w:t>Hippophae</w:t>
      </w:r>
      <w:proofErr w:type="spellEnd"/>
      <w:r w:rsidRPr="00CA67D8">
        <w:rPr>
          <w:rFonts w:ascii="Times New Roman" w:hAnsi="Times New Roman" w:cs="Times New Roman"/>
          <w:i/>
          <w:iCs/>
          <w:sz w:val="24"/>
          <w:szCs w:val="24"/>
        </w:rPr>
        <w:t xml:space="preserve"> </w:t>
      </w:r>
      <w:proofErr w:type="spellStart"/>
      <w:r w:rsidRPr="00CA67D8">
        <w:rPr>
          <w:rFonts w:ascii="Times New Roman" w:hAnsi="Times New Roman" w:cs="Times New Roman"/>
          <w:i/>
          <w:iCs/>
          <w:sz w:val="24"/>
          <w:szCs w:val="24"/>
        </w:rPr>
        <w:t>rhamnoides</w:t>
      </w:r>
      <w:proofErr w:type="spellEnd"/>
      <w:r w:rsidRPr="00CA67D8">
        <w:rPr>
          <w:rFonts w:ascii="Times New Roman" w:hAnsi="Times New Roman" w:cs="Times New Roman"/>
          <w:sz w:val="24"/>
          <w:szCs w:val="24"/>
        </w:rPr>
        <w:t xml:space="preserve"> L.) seed oil on an experimental model of hypertensive retinopathy in Wistar rats. </w:t>
      </w:r>
      <w:r w:rsidRPr="00CA67D8">
        <w:rPr>
          <w:rFonts w:ascii="Times New Roman" w:hAnsi="Times New Roman" w:cs="Times New Roman"/>
          <w:i/>
          <w:iCs/>
          <w:sz w:val="24"/>
          <w:szCs w:val="24"/>
        </w:rPr>
        <w:t>Biomedicine Hub, 2</w:t>
      </w:r>
      <w:r w:rsidRPr="00CA67D8">
        <w:rPr>
          <w:rFonts w:ascii="Times New Roman" w:hAnsi="Times New Roman" w:cs="Times New Roman"/>
          <w:sz w:val="24"/>
          <w:szCs w:val="24"/>
        </w:rPr>
        <w:t xml:space="preserve">(1), 1–12. </w:t>
      </w:r>
      <w:hyperlink r:id="rId12" w:tgtFrame="_new" w:history="1">
        <w:r w:rsidRPr="00CA67D8">
          <w:rPr>
            <w:rStyle w:val="Hyperlink"/>
            <w:rFonts w:ascii="Times New Roman" w:hAnsi="Times New Roman" w:cs="Times New Roman"/>
            <w:sz w:val="24"/>
            <w:szCs w:val="24"/>
          </w:rPr>
          <w:t>https://doi.org/10.1159/000456704</w:t>
        </w:r>
      </w:hyperlink>
    </w:p>
    <w:p w14:paraId="2F2D1A32" w14:textId="77777777" w:rsidR="005A46DC" w:rsidRDefault="005A46DC" w:rsidP="00E52F26">
      <w:pPr>
        <w:spacing w:line="360" w:lineRule="auto"/>
        <w:ind w:left="720" w:hanging="720"/>
        <w:jc w:val="both"/>
        <w:rPr>
          <w:rFonts w:ascii="Times New Roman" w:hAnsi="Times New Roman" w:cs="Times New Roman"/>
          <w:sz w:val="24"/>
          <w:szCs w:val="24"/>
        </w:rPr>
      </w:pPr>
      <w:r w:rsidRPr="00CA67D8">
        <w:rPr>
          <w:rFonts w:ascii="Times New Roman" w:hAnsi="Times New Roman" w:cs="Times New Roman"/>
          <w:sz w:val="24"/>
          <w:szCs w:val="24"/>
        </w:rPr>
        <w:t xml:space="preserve">Carr, R. L. (1965). Evaluating flow properties of solids. </w:t>
      </w:r>
      <w:r w:rsidRPr="00CA67D8">
        <w:rPr>
          <w:rFonts w:ascii="Times New Roman" w:hAnsi="Times New Roman" w:cs="Times New Roman"/>
          <w:i/>
          <w:iCs/>
          <w:sz w:val="24"/>
          <w:szCs w:val="24"/>
        </w:rPr>
        <w:t>Chemical Engineering</w:t>
      </w:r>
      <w:r w:rsidRPr="00CA67D8">
        <w:rPr>
          <w:rFonts w:ascii="Times New Roman" w:hAnsi="Times New Roman" w:cs="Times New Roman"/>
          <w:sz w:val="24"/>
          <w:szCs w:val="24"/>
        </w:rPr>
        <w:t xml:space="preserve">, </w:t>
      </w:r>
      <w:r w:rsidRPr="00CA67D8">
        <w:rPr>
          <w:rFonts w:ascii="Times New Roman" w:hAnsi="Times New Roman" w:cs="Times New Roman"/>
          <w:i/>
          <w:iCs/>
          <w:sz w:val="24"/>
          <w:szCs w:val="24"/>
        </w:rPr>
        <w:t>72</w:t>
      </w:r>
      <w:r w:rsidRPr="00CA67D8">
        <w:rPr>
          <w:rFonts w:ascii="Times New Roman" w:hAnsi="Times New Roman" w:cs="Times New Roman"/>
          <w:sz w:val="24"/>
          <w:szCs w:val="24"/>
        </w:rPr>
        <w:t>, 163–168</w:t>
      </w:r>
      <w:r w:rsidRPr="003E02FE">
        <w:rPr>
          <w:rFonts w:ascii="Times New Roman" w:hAnsi="Times New Roman" w:cs="Times New Roman"/>
          <w:sz w:val="24"/>
          <w:szCs w:val="24"/>
        </w:rPr>
        <w:t>.</w:t>
      </w:r>
    </w:p>
    <w:p w14:paraId="7052A9A2" w14:textId="77777777" w:rsidR="005A46DC" w:rsidRDefault="005A46DC" w:rsidP="00E52F26">
      <w:pPr>
        <w:spacing w:line="360" w:lineRule="auto"/>
        <w:ind w:left="720" w:hanging="720"/>
        <w:jc w:val="both"/>
        <w:rPr>
          <w:rFonts w:ascii="Times New Roman" w:hAnsi="Times New Roman" w:cs="Times New Roman"/>
          <w:sz w:val="24"/>
          <w:szCs w:val="24"/>
        </w:rPr>
      </w:pPr>
      <w:proofErr w:type="spellStart"/>
      <w:r w:rsidRPr="00CA67D8">
        <w:rPr>
          <w:rFonts w:ascii="Times New Roman" w:hAnsi="Times New Roman" w:cs="Times New Roman"/>
          <w:sz w:val="24"/>
          <w:szCs w:val="24"/>
        </w:rPr>
        <w:t>Cekić</w:t>
      </w:r>
      <w:proofErr w:type="spellEnd"/>
      <w:r w:rsidRPr="00CA67D8">
        <w:rPr>
          <w:rFonts w:ascii="Times New Roman" w:hAnsi="Times New Roman" w:cs="Times New Roman"/>
          <w:sz w:val="24"/>
          <w:szCs w:val="24"/>
        </w:rPr>
        <w:t>, N., Savić, S., &amp; Savić, S. (2023). Stability evaluation of emulsion-based topical preparations: A valuable potential of dynamic</w:t>
      </w:r>
      <w:r w:rsidRPr="00CA67D8">
        <w:rPr>
          <w:rFonts w:ascii="Times New Roman" w:hAnsi="Times New Roman" w:cs="Times New Roman"/>
          <w:sz w:val="24"/>
          <w:szCs w:val="24"/>
        </w:rPr>
        <w:noBreakHyphen/>
        <w:t xml:space="preserve">mechanical </w:t>
      </w:r>
      <w:proofErr w:type="spellStart"/>
      <w:r w:rsidRPr="00CA67D8">
        <w:rPr>
          <w:rFonts w:ascii="Times New Roman" w:hAnsi="Times New Roman" w:cs="Times New Roman"/>
          <w:sz w:val="24"/>
          <w:szCs w:val="24"/>
        </w:rPr>
        <w:t>thermoanalysis</w:t>
      </w:r>
      <w:proofErr w:type="spellEnd"/>
      <w:r w:rsidRPr="00CA67D8">
        <w:rPr>
          <w:rFonts w:ascii="Times New Roman" w:hAnsi="Times New Roman" w:cs="Times New Roman"/>
          <w:sz w:val="24"/>
          <w:szCs w:val="24"/>
        </w:rPr>
        <w:t xml:space="preserve"> (DMTA) test as a rapid rheological alternative to conventional freeze</w:t>
      </w:r>
      <w:r w:rsidRPr="00CA67D8">
        <w:rPr>
          <w:rFonts w:ascii="Times New Roman" w:hAnsi="Times New Roman" w:cs="Times New Roman"/>
          <w:sz w:val="24"/>
          <w:szCs w:val="24"/>
        </w:rPr>
        <w:noBreakHyphen/>
        <w:t xml:space="preserve">thaw test. </w:t>
      </w:r>
      <w:r w:rsidRPr="00CA67D8">
        <w:rPr>
          <w:rFonts w:ascii="Times New Roman" w:hAnsi="Times New Roman" w:cs="Times New Roman"/>
          <w:i/>
          <w:iCs/>
          <w:sz w:val="24"/>
          <w:szCs w:val="24"/>
        </w:rPr>
        <w:t>Archives of Pharmacy, 73</w:t>
      </w:r>
      <w:r w:rsidRPr="00CA67D8">
        <w:rPr>
          <w:rFonts w:ascii="Times New Roman" w:hAnsi="Times New Roman" w:cs="Times New Roman"/>
          <w:sz w:val="24"/>
          <w:szCs w:val="24"/>
        </w:rPr>
        <w:t xml:space="preserve">(Notebook 5), 358–389. </w:t>
      </w:r>
      <w:hyperlink r:id="rId13" w:tgtFrame="_new" w:history="1">
        <w:r w:rsidRPr="00CA67D8">
          <w:rPr>
            <w:rStyle w:val="Hyperlink"/>
            <w:rFonts w:ascii="Times New Roman" w:hAnsi="Times New Roman" w:cs="Times New Roman"/>
            <w:sz w:val="24"/>
            <w:szCs w:val="24"/>
          </w:rPr>
          <w:t>https://doi.org/10.5937/arhfarm73-46319</w:t>
        </w:r>
      </w:hyperlink>
    </w:p>
    <w:p w14:paraId="2E4291E8" w14:textId="77777777" w:rsidR="005A46DC" w:rsidRDefault="005A46DC" w:rsidP="00E52F26">
      <w:pPr>
        <w:spacing w:line="360" w:lineRule="auto"/>
        <w:ind w:left="720" w:hanging="720"/>
        <w:jc w:val="both"/>
        <w:rPr>
          <w:rFonts w:ascii="Times New Roman" w:hAnsi="Times New Roman" w:cs="Times New Roman"/>
          <w:sz w:val="24"/>
          <w:szCs w:val="24"/>
        </w:rPr>
      </w:pPr>
      <w:r w:rsidRPr="00CA67D8">
        <w:rPr>
          <w:rFonts w:ascii="Times New Roman" w:hAnsi="Times New Roman" w:cs="Times New Roman"/>
          <w:sz w:val="24"/>
          <w:szCs w:val="24"/>
        </w:rPr>
        <w:t>Finney, J., Buffo, R., &amp; Reineccius, G. A. (2002). Effects of type of atomization and processing temperatures on the physical properties and stability of spray</w:t>
      </w:r>
      <w:r w:rsidRPr="00CA67D8">
        <w:rPr>
          <w:rFonts w:ascii="Times New Roman" w:hAnsi="Times New Roman" w:cs="Times New Roman"/>
          <w:sz w:val="24"/>
          <w:szCs w:val="24"/>
        </w:rPr>
        <w:noBreakHyphen/>
        <w:t xml:space="preserve">dried </w:t>
      </w:r>
      <w:proofErr w:type="spellStart"/>
      <w:r w:rsidRPr="00CA67D8">
        <w:rPr>
          <w:rFonts w:ascii="Times New Roman" w:hAnsi="Times New Roman" w:cs="Times New Roman"/>
          <w:sz w:val="24"/>
          <w:szCs w:val="24"/>
        </w:rPr>
        <w:t>flavors</w:t>
      </w:r>
      <w:proofErr w:type="spellEnd"/>
      <w:r w:rsidRPr="00CA67D8">
        <w:rPr>
          <w:rFonts w:ascii="Times New Roman" w:hAnsi="Times New Roman" w:cs="Times New Roman"/>
          <w:sz w:val="24"/>
          <w:szCs w:val="24"/>
        </w:rPr>
        <w:t xml:space="preserve">. </w:t>
      </w:r>
      <w:r w:rsidRPr="00CA67D8">
        <w:rPr>
          <w:rFonts w:ascii="Times New Roman" w:hAnsi="Times New Roman" w:cs="Times New Roman"/>
          <w:i/>
          <w:iCs/>
          <w:sz w:val="24"/>
          <w:szCs w:val="24"/>
        </w:rPr>
        <w:t>Journal of Food Science, 67</w:t>
      </w:r>
      <w:r w:rsidRPr="00CA67D8">
        <w:rPr>
          <w:rFonts w:ascii="Times New Roman" w:hAnsi="Times New Roman" w:cs="Times New Roman"/>
          <w:sz w:val="24"/>
          <w:szCs w:val="24"/>
        </w:rPr>
        <w:t xml:space="preserve">(3), 1108–1114. </w:t>
      </w:r>
      <w:hyperlink r:id="rId14" w:tgtFrame="_new" w:history="1">
        <w:r w:rsidRPr="00CA67D8">
          <w:rPr>
            <w:rStyle w:val="Hyperlink"/>
            <w:rFonts w:ascii="Times New Roman" w:hAnsi="Times New Roman" w:cs="Times New Roman"/>
            <w:sz w:val="24"/>
            <w:szCs w:val="24"/>
          </w:rPr>
          <w:t>https://doi.org/10.1111/j.1365-2621.2002.tb09461.x</w:t>
        </w:r>
      </w:hyperlink>
    </w:p>
    <w:p w14:paraId="4AE4340B" w14:textId="77777777" w:rsidR="005A46DC" w:rsidRDefault="005A46DC" w:rsidP="00E52F26">
      <w:pPr>
        <w:spacing w:line="360" w:lineRule="auto"/>
        <w:ind w:left="720" w:hanging="720"/>
        <w:jc w:val="both"/>
        <w:rPr>
          <w:rFonts w:ascii="Times New Roman" w:hAnsi="Times New Roman" w:cs="Times New Roman"/>
          <w:sz w:val="24"/>
          <w:szCs w:val="24"/>
        </w:rPr>
      </w:pPr>
      <w:r w:rsidRPr="00CA67D8">
        <w:rPr>
          <w:rFonts w:ascii="Times New Roman" w:hAnsi="Times New Roman" w:cs="Times New Roman"/>
          <w:sz w:val="24"/>
          <w:szCs w:val="24"/>
        </w:rPr>
        <w:t xml:space="preserve">García, V. L. (2019). The omega-7 as a health strategy for the skin and mucous membranes. </w:t>
      </w:r>
      <w:r w:rsidRPr="00CA67D8">
        <w:rPr>
          <w:rFonts w:ascii="Times New Roman" w:hAnsi="Times New Roman" w:cs="Times New Roman"/>
          <w:i/>
          <w:iCs/>
          <w:sz w:val="24"/>
          <w:szCs w:val="24"/>
        </w:rPr>
        <w:t>EC Nutrition, 14</w:t>
      </w:r>
      <w:r w:rsidRPr="00CA67D8">
        <w:rPr>
          <w:rFonts w:ascii="Times New Roman" w:hAnsi="Times New Roman" w:cs="Times New Roman"/>
          <w:sz w:val="24"/>
          <w:szCs w:val="24"/>
        </w:rPr>
        <w:t>, 484–489.</w:t>
      </w:r>
    </w:p>
    <w:p w14:paraId="2FAD5DC4" w14:textId="77777777" w:rsidR="005A46DC" w:rsidRDefault="005A46DC" w:rsidP="00E52F26">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Kagami, Y., Sugimura, S., Fujishima, N., Matsuda, K., </w:t>
      </w:r>
      <w:proofErr w:type="spellStart"/>
      <w:r w:rsidRPr="009C320D">
        <w:rPr>
          <w:rFonts w:ascii="Times New Roman" w:hAnsi="Times New Roman" w:cs="Times New Roman"/>
          <w:sz w:val="24"/>
          <w:szCs w:val="24"/>
        </w:rPr>
        <w:t>Kometani</w:t>
      </w:r>
      <w:proofErr w:type="spellEnd"/>
      <w:r w:rsidRPr="009C320D">
        <w:rPr>
          <w:rFonts w:ascii="Times New Roman" w:hAnsi="Times New Roman" w:cs="Times New Roman"/>
          <w:sz w:val="24"/>
          <w:szCs w:val="24"/>
        </w:rPr>
        <w:t xml:space="preserve">, T., &amp; Matsumura, Y. (2003). Oxidative stability, structure, and physical characteristics of microcapsules formed by spray drying of fish oil with protein and dextrin wall materials. </w:t>
      </w:r>
      <w:r w:rsidRPr="009C320D">
        <w:rPr>
          <w:rFonts w:ascii="Times New Roman" w:hAnsi="Times New Roman" w:cs="Times New Roman"/>
          <w:i/>
          <w:iCs/>
          <w:sz w:val="24"/>
          <w:szCs w:val="24"/>
        </w:rPr>
        <w:t>Journal of Food Science, 68</w:t>
      </w:r>
      <w:r w:rsidRPr="009C320D">
        <w:rPr>
          <w:rFonts w:ascii="Times New Roman" w:hAnsi="Times New Roman" w:cs="Times New Roman"/>
          <w:sz w:val="24"/>
          <w:szCs w:val="24"/>
        </w:rPr>
        <w:t xml:space="preserve">(7), 2248–2255. </w:t>
      </w:r>
      <w:hyperlink r:id="rId15" w:history="1">
        <w:r w:rsidRPr="00362B71">
          <w:rPr>
            <w:rStyle w:val="Hyperlink"/>
            <w:rFonts w:ascii="Times New Roman" w:hAnsi="Times New Roman" w:cs="Times New Roman"/>
            <w:sz w:val="24"/>
            <w:szCs w:val="24"/>
          </w:rPr>
          <w:t>https://doi.org/10.1111/j.1365-2621.2003.tb05755.x</w:t>
        </w:r>
      </w:hyperlink>
    </w:p>
    <w:p w14:paraId="28F304E4" w14:textId="77777777" w:rsidR="005A46DC" w:rsidRDefault="005A46DC" w:rsidP="00E52F26">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lastRenderedPageBreak/>
        <w:t xml:space="preserve">Karaca, A. C., Nickerson, M., &amp; Low, N. H. (2013). Microcapsule production employing chickpea or lentil protein isolates and maltodextrin: Physicochemical properties and oxidative protection of encapsulated flaxseed oil. </w:t>
      </w:r>
      <w:r w:rsidRPr="009C320D">
        <w:rPr>
          <w:rFonts w:ascii="Times New Roman" w:hAnsi="Times New Roman" w:cs="Times New Roman"/>
          <w:i/>
          <w:iCs/>
          <w:sz w:val="24"/>
          <w:szCs w:val="24"/>
        </w:rPr>
        <w:t>Food Chemistry, 139</w:t>
      </w:r>
      <w:r w:rsidRPr="009C320D">
        <w:rPr>
          <w:rFonts w:ascii="Times New Roman" w:hAnsi="Times New Roman" w:cs="Times New Roman"/>
          <w:sz w:val="24"/>
          <w:szCs w:val="24"/>
        </w:rPr>
        <w:t xml:space="preserve">(1–4), 448–457. </w:t>
      </w:r>
      <w:hyperlink r:id="rId16" w:history="1">
        <w:r w:rsidRPr="00362B71">
          <w:rPr>
            <w:rStyle w:val="Hyperlink"/>
            <w:rFonts w:ascii="Times New Roman" w:hAnsi="Times New Roman" w:cs="Times New Roman"/>
            <w:sz w:val="24"/>
            <w:szCs w:val="24"/>
          </w:rPr>
          <w:t>https://doi.org/10.1016/j.foodchem.2013.01.040</w:t>
        </w:r>
      </w:hyperlink>
    </w:p>
    <w:p w14:paraId="0E0F6CC2" w14:textId="77777777" w:rsidR="005A46DC" w:rsidRDefault="005A46DC" w:rsidP="00B55412">
      <w:pPr>
        <w:spacing w:line="360" w:lineRule="auto"/>
        <w:ind w:left="720" w:hanging="720"/>
        <w:jc w:val="both"/>
        <w:rPr>
          <w:rFonts w:ascii="Times New Roman" w:hAnsi="Times New Roman" w:cs="Times New Roman"/>
          <w:sz w:val="24"/>
          <w:szCs w:val="24"/>
        </w:rPr>
      </w:pPr>
      <w:proofErr w:type="spellStart"/>
      <w:r w:rsidRPr="00E04052">
        <w:rPr>
          <w:rFonts w:ascii="Times New Roman" w:hAnsi="Times New Roman" w:cs="Times New Roman"/>
          <w:sz w:val="24"/>
          <w:szCs w:val="24"/>
        </w:rPr>
        <w:t>Marchlewicz</w:t>
      </w:r>
      <w:proofErr w:type="spellEnd"/>
      <w:r w:rsidRPr="00E04052">
        <w:rPr>
          <w:rFonts w:ascii="Times New Roman" w:hAnsi="Times New Roman" w:cs="Times New Roman"/>
          <w:sz w:val="24"/>
          <w:szCs w:val="24"/>
        </w:rPr>
        <w:t xml:space="preserve">, M., Polakowska, Z., Maciejewska-Markiewicz, D., Stachowska, E., Jakubiak, N., </w:t>
      </w:r>
      <w:proofErr w:type="spellStart"/>
      <w:r w:rsidRPr="00E04052">
        <w:rPr>
          <w:rFonts w:ascii="Times New Roman" w:hAnsi="Times New Roman" w:cs="Times New Roman"/>
          <w:sz w:val="24"/>
          <w:szCs w:val="24"/>
        </w:rPr>
        <w:t>Kiedrowicz</w:t>
      </w:r>
      <w:proofErr w:type="spellEnd"/>
      <w:r w:rsidRPr="00E04052">
        <w:rPr>
          <w:rFonts w:ascii="Times New Roman" w:hAnsi="Times New Roman" w:cs="Times New Roman"/>
          <w:sz w:val="24"/>
          <w:szCs w:val="24"/>
        </w:rPr>
        <w:t xml:space="preserve">, M., </w:t>
      </w:r>
      <w:proofErr w:type="spellStart"/>
      <w:r w:rsidRPr="00E04052">
        <w:rPr>
          <w:rFonts w:ascii="Times New Roman" w:hAnsi="Times New Roman" w:cs="Times New Roman"/>
          <w:sz w:val="24"/>
          <w:szCs w:val="24"/>
        </w:rPr>
        <w:t>Rak-Załuska</w:t>
      </w:r>
      <w:proofErr w:type="spellEnd"/>
      <w:r w:rsidRPr="00E04052">
        <w:rPr>
          <w:rFonts w:ascii="Times New Roman" w:hAnsi="Times New Roman" w:cs="Times New Roman"/>
          <w:sz w:val="24"/>
          <w:szCs w:val="24"/>
        </w:rPr>
        <w:t xml:space="preserve">, A., Duchnik, M., </w:t>
      </w:r>
      <w:proofErr w:type="spellStart"/>
      <w:r w:rsidRPr="00E04052">
        <w:rPr>
          <w:rFonts w:ascii="Times New Roman" w:hAnsi="Times New Roman" w:cs="Times New Roman"/>
          <w:sz w:val="24"/>
          <w:szCs w:val="24"/>
        </w:rPr>
        <w:t>Wajs-Syrenicz</w:t>
      </w:r>
      <w:proofErr w:type="spellEnd"/>
      <w:r w:rsidRPr="00E04052">
        <w:rPr>
          <w:rFonts w:ascii="Times New Roman" w:hAnsi="Times New Roman" w:cs="Times New Roman"/>
          <w:sz w:val="24"/>
          <w:szCs w:val="24"/>
        </w:rPr>
        <w:t xml:space="preserve">, A., &amp; Duchnik, E. (2024). Fatty acid profile of erythrocyte membranes in patients with psoriasis. </w:t>
      </w:r>
      <w:r w:rsidRPr="00E04052">
        <w:rPr>
          <w:rFonts w:ascii="Times New Roman" w:hAnsi="Times New Roman" w:cs="Times New Roman"/>
          <w:i/>
          <w:iCs/>
          <w:sz w:val="24"/>
          <w:szCs w:val="24"/>
        </w:rPr>
        <w:t>Nutrients, 16</w:t>
      </w:r>
      <w:r w:rsidRPr="00E04052">
        <w:rPr>
          <w:rFonts w:ascii="Times New Roman" w:hAnsi="Times New Roman" w:cs="Times New Roman"/>
          <w:sz w:val="24"/>
          <w:szCs w:val="24"/>
        </w:rPr>
        <w:t xml:space="preserve">(12), 1799. </w:t>
      </w:r>
      <w:hyperlink r:id="rId17" w:history="1">
        <w:r w:rsidRPr="00362B71">
          <w:rPr>
            <w:rStyle w:val="Hyperlink"/>
            <w:rFonts w:ascii="Times New Roman" w:hAnsi="Times New Roman" w:cs="Times New Roman"/>
            <w:sz w:val="24"/>
            <w:szCs w:val="24"/>
          </w:rPr>
          <w:t>https://doi.org/10.3390/nu16121799</w:t>
        </w:r>
      </w:hyperlink>
    </w:p>
    <w:p w14:paraId="00CBFE5C" w14:textId="77777777" w:rsidR="005A46DC" w:rsidRDefault="005A46DC" w:rsidP="00E52F26">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Moreno, J. J., &amp; </w:t>
      </w:r>
      <w:proofErr w:type="spellStart"/>
      <w:r w:rsidRPr="009C320D">
        <w:rPr>
          <w:rFonts w:ascii="Times New Roman" w:hAnsi="Times New Roman" w:cs="Times New Roman"/>
          <w:sz w:val="24"/>
          <w:szCs w:val="24"/>
        </w:rPr>
        <w:t>Mitjavila</w:t>
      </w:r>
      <w:proofErr w:type="spellEnd"/>
      <w:r w:rsidRPr="009C320D">
        <w:rPr>
          <w:rFonts w:ascii="Times New Roman" w:hAnsi="Times New Roman" w:cs="Times New Roman"/>
          <w:sz w:val="24"/>
          <w:szCs w:val="24"/>
        </w:rPr>
        <w:t xml:space="preserve">, M. T. (2003). The degree of unsaturation of dietary fatty acids and the development of atherosclerosis. </w:t>
      </w:r>
      <w:r w:rsidRPr="009C320D">
        <w:rPr>
          <w:rFonts w:ascii="Times New Roman" w:hAnsi="Times New Roman" w:cs="Times New Roman"/>
          <w:i/>
          <w:iCs/>
          <w:sz w:val="24"/>
          <w:szCs w:val="24"/>
        </w:rPr>
        <w:t>The Journal of Nutritional Biochemistry, 14</w:t>
      </w:r>
      <w:r w:rsidRPr="009C320D">
        <w:rPr>
          <w:rFonts w:ascii="Times New Roman" w:hAnsi="Times New Roman" w:cs="Times New Roman"/>
          <w:sz w:val="24"/>
          <w:szCs w:val="24"/>
        </w:rPr>
        <w:t xml:space="preserve">(4), 182–195. </w:t>
      </w:r>
      <w:hyperlink r:id="rId18" w:history="1">
        <w:r w:rsidRPr="00362B71">
          <w:rPr>
            <w:rStyle w:val="Hyperlink"/>
            <w:rFonts w:ascii="Times New Roman" w:hAnsi="Times New Roman" w:cs="Times New Roman"/>
            <w:sz w:val="24"/>
            <w:szCs w:val="24"/>
          </w:rPr>
          <w:t>https://doi.org/10.1016/s0955-2863(02)00294-2</w:t>
        </w:r>
      </w:hyperlink>
    </w:p>
    <w:p w14:paraId="2CE9C586" w14:textId="77777777" w:rsidR="005A46DC" w:rsidRDefault="005A46DC" w:rsidP="00E52F26">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Nogueira, G. F., Fakhouri, F. M., &amp; de Oliveira, R. A. (2019). Incorporation of spray dried and </w:t>
      </w:r>
      <w:proofErr w:type="gramStart"/>
      <w:r w:rsidRPr="009C320D">
        <w:rPr>
          <w:rFonts w:ascii="Times New Roman" w:hAnsi="Times New Roman" w:cs="Times New Roman"/>
          <w:sz w:val="24"/>
          <w:szCs w:val="24"/>
        </w:rPr>
        <w:t>freeze dried</w:t>
      </w:r>
      <w:proofErr w:type="gramEnd"/>
      <w:r w:rsidRPr="009C320D">
        <w:rPr>
          <w:rFonts w:ascii="Times New Roman" w:hAnsi="Times New Roman" w:cs="Times New Roman"/>
          <w:sz w:val="24"/>
          <w:szCs w:val="24"/>
        </w:rPr>
        <w:t xml:space="preserve"> blackberry particles in edible films: Morphology, stability to pH, sterilization and biodegradation. </w:t>
      </w:r>
      <w:r w:rsidRPr="009C320D">
        <w:rPr>
          <w:rFonts w:ascii="Times New Roman" w:hAnsi="Times New Roman" w:cs="Times New Roman"/>
          <w:i/>
          <w:iCs/>
          <w:sz w:val="24"/>
          <w:szCs w:val="24"/>
        </w:rPr>
        <w:t>Food Packaging and Shelf Life, 20</w:t>
      </w:r>
      <w:r w:rsidRPr="009C320D">
        <w:rPr>
          <w:rFonts w:ascii="Times New Roman" w:hAnsi="Times New Roman" w:cs="Times New Roman"/>
          <w:sz w:val="24"/>
          <w:szCs w:val="24"/>
        </w:rPr>
        <w:t xml:space="preserve">, 100313. </w:t>
      </w:r>
      <w:hyperlink r:id="rId19" w:history="1">
        <w:r w:rsidRPr="00362B71">
          <w:rPr>
            <w:rStyle w:val="Hyperlink"/>
            <w:rFonts w:ascii="Times New Roman" w:hAnsi="Times New Roman" w:cs="Times New Roman"/>
            <w:sz w:val="24"/>
            <w:szCs w:val="24"/>
          </w:rPr>
          <w:t>https://doi.org/10.1016/j.fpsl.2019.100313</w:t>
        </w:r>
      </w:hyperlink>
    </w:p>
    <w:p w14:paraId="1F4B5EB4" w14:textId="77777777" w:rsidR="005A46DC" w:rsidRDefault="005A46DC" w:rsidP="00E52F26">
      <w:pPr>
        <w:spacing w:line="360" w:lineRule="auto"/>
        <w:ind w:left="720" w:hanging="720"/>
        <w:jc w:val="both"/>
        <w:rPr>
          <w:rFonts w:ascii="Times New Roman" w:hAnsi="Times New Roman" w:cs="Times New Roman"/>
          <w:sz w:val="24"/>
          <w:szCs w:val="24"/>
        </w:rPr>
      </w:pPr>
      <w:proofErr w:type="spellStart"/>
      <w:r w:rsidRPr="009C320D">
        <w:rPr>
          <w:rFonts w:ascii="Times New Roman" w:hAnsi="Times New Roman" w:cs="Times New Roman"/>
          <w:sz w:val="24"/>
          <w:szCs w:val="24"/>
        </w:rPr>
        <w:t>Onwulata</w:t>
      </w:r>
      <w:proofErr w:type="spellEnd"/>
      <w:r w:rsidRPr="009C320D">
        <w:rPr>
          <w:rFonts w:ascii="Times New Roman" w:hAnsi="Times New Roman" w:cs="Times New Roman"/>
          <w:sz w:val="24"/>
          <w:szCs w:val="24"/>
        </w:rPr>
        <w:t xml:space="preserve">, C. I., &amp; Holsinger, V. H. (1995). Thermal properties and moisture sorption isotherms of spray‐dried encapsulated milkfat. </w:t>
      </w:r>
      <w:r w:rsidRPr="009C320D">
        <w:rPr>
          <w:rFonts w:ascii="Times New Roman" w:hAnsi="Times New Roman" w:cs="Times New Roman"/>
          <w:i/>
          <w:iCs/>
          <w:sz w:val="24"/>
          <w:szCs w:val="24"/>
        </w:rPr>
        <w:t>Journal of Food Processing and Preservation, 19</w:t>
      </w:r>
      <w:r w:rsidRPr="009C320D">
        <w:rPr>
          <w:rFonts w:ascii="Times New Roman" w:hAnsi="Times New Roman" w:cs="Times New Roman"/>
          <w:sz w:val="24"/>
          <w:szCs w:val="24"/>
        </w:rPr>
        <w:t xml:space="preserve">(1), 33–51. </w:t>
      </w:r>
      <w:hyperlink r:id="rId20" w:history="1">
        <w:r w:rsidRPr="00362B71">
          <w:rPr>
            <w:rStyle w:val="Hyperlink"/>
            <w:rFonts w:ascii="Times New Roman" w:hAnsi="Times New Roman" w:cs="Times New Roman"/>
            <w:sz w:val="24"/>
            <w:szCs w:val="24"/>
          </w:rPr>
          <w:t>https://doi.org/10.1111/j.1745-4549.1995.tb00475.x</w:t>
        </w:r>
      </w:hyperlink>
    </w:p>
    <w:p w14:paraId="297CE723" w14:textId="77777777" w:rsidR="005A46DC" w:rsidRDefault="005A46DC" w:rsidP="00E52F26">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Quispe-Condori, S., Saldaña, M. D., &amp; </w:t>
      </w:r>
      <w:proofErr w:type="spellStart"/>
      <w:r w:rsidRPr="009C320D">
        <w:rPr>
          <w:rFonts w:ascii="Times New Roman" w:hAnsi="Times New Roman" w:cs="Times New Roman"/>
          <w:sz w:val="24"/>
          <w:szCs w:val="24"/>
        </w:rPr>
        <w:t>Temelli</w:t>
      </w:r>
      <w:proofErr w:type="spellEnd"/>
      <w:r w:rsidRPr="009C320D">
        <w:rPr>
          <w:rFonts w:ascii="Times New Roman" w:hAnsi="Times New Roman" w:cs="Times New Roman"/>
          <w:sz w:val="24"/>
          <w:szCs w:val="24"/>
        </w:rPr>
        <w:t xml:space="preserve">, F. (2011). Microencapsulation of flax oil with zein using spray and freeze drying. </w:t>
      </w:r>
      <w:r w:rsidRPr="009C320D">
        <w:rPr>
          <w:rFonts w:ascii="Times New Roman" w:hAnsi="Times New Roman" w:cs="Times New Roman"/>
          <w:i/>
          <w:iCs/>
          <w:sz w:val="24"/>
          <w:szCs w:val="24"/>
        </w:rPr>
        <w:t>LWT - Food Science and Technology, 44</w:t>
      </w:r>
      <w:r w:rsidRPr="009C320D">
        <w:rPr>
          <w:rFonts w:ascii="Times New Roman" w:hAnsi="Times New Roman" w:cs="Times New Roman"/>
          <w:sz w:val="24"/>
          <w:szCs w:val="24"/>
        </w:rPr>
        <w:t xml:space="preserve">(9), 1880–1887. </w:t>
      </w:r>
      <w:hyperlink r:id="rId21" w:history="1">
        <w:r w:rsidRPr="00362B71">
          <w:rPr>
            <w:rStyle w:val="Hyperlink"/>
            <w:rFonts w:ascii="Times New Roman" w:hAnsi="Times New Roman" w:cs="Times New Roman"/>
            <w:sz w:val="24"/>
            <w:szCs w:val="24"/>
          </w:rPr>
          <w:t>https://doi.org/10.1016/j.lwt.2011.04.013</w:t>
        </w:r>
      </w:hyperlink>
    </w:p>
    <w:p w14:paraId="37BBED57" w14:textId="77777777" w:rsidR="005A46DC" w:rsidRDefault="005A46DC" w:rsidP="00E52F26">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Sharma, A., Jana, A. H., &amp; Chavan, R. S. (2012). Functionality of milk powders and milk-based powders for end use applications—a review. </w:t>
      </w:r>
      <w:r w:rsidRPr="009C320D">
        <w:rPr>
          <w:rFonts w:ascii="Times New Roman" w:hAnsi="Times New Roman" w:cs="Times New Roman"/>
          <w:i/>
          <w:iCs/>
          <w:sz w:val="24"/>
          <w:szCs w:val="24"/>
        </w:rPr>
        <w:t>Comprehensive Reviews in Food Science and Food Safety, 11</w:t>
      </w:r>
      <w:r w:rsidRPr="009C320D">
        <w:rPr>
          <w:rFonts w:ascii="Times New Roman" w:hAnsi="Times New Roman" w:cs="Times New Roman"/>
          <w:sz w:val="24"/>
          <w:szCs w:val="24"/>
        </w:rPr>
        <w:t xml:space="preserve">(5), 518–528. </w:t>
      </w:r>
      <w:hyperlink r:id="rId22" w:history="1">
        <w:r w:rsidRPr="00362B71">
          <w:rPr>
            <w:rStyle w:val="Hyperlink"/>
            <w:rFonts w:ascii="Times New Roman" w:hAnsi="Times New Roman" w:cs="Times New Roman"/>
            <w:sz w:val="24"/>
            <w:szCs w:val="24"/>
          </w:rPr>
          <w:t>https://doi.org/10.1111/j.1541-4337.2012.00183.x</w:t>
        </w:r>
      </w:hyperlink>
    </w:p>
    <w:p w14:paraId="3F8CE69A" w14:textId="77777777" w:rsidR="005A46DC" w:rsidRDefault="005A46DC" w:rsidP="00E52F26">
      <w:pPr>
        <w:spacing w:line="360" w:lineRule="auto"/>
        <w:ind w:left="720" w:hanging="720"/>
        <w:jc w:val="both"/>
      </w:pPr>
      <w:r w:rsidRPr="009C320D">
        <w:rPr>
          <w:rFonts w:ascii="Times New Roman" w:hAnsi="Times New Roman" w:cs="Times New Roman"/>
          <w:sz w:val="24"/>
          <w:szCs w:val="24"/>
        </w:rPr>
        <w:t xml:space="preserve">Singh, C. K. S., Lim, H. P., Tey, B. T., &amp; Chan, E. S. (2021). Spray-dried alginate-coated Pickering emulsion stabilized by chitosan for improved oxidative stability and in vitro release profile. </w:t>
      </w:r>
      <w:r w:rsidRPr="009C320D">
        <w:rPr>
          <w:rFonts w:ascii="Times New Roman" w:hAnsi="Times New Roman" w:cs="Times New Roman"/>
          <w:i/>
          <w:iCs/>
          <w:sz w:val="24"/>
          <w:szCs w:val="24"/>
        </w:rPr>
        <w:t>Carbohydrate Polymers, 251</w:t>
      </w:r>
      <w:r w:rsidRPr="009C320D">
        <w:rPr>
          <w:rFonts w:ascii="Times New Roman" w:hAnsi="Times New Roman" w:cs="Times New Roman"/>
          <w:sz w:val="24"/>
          <w:szCs w:val="24"/>
        </w:rPr>
        <w:t xml:space="preserve">, 117110. </w:t>
      </w:r>
      <w:hyperlink r:id="rId23" w:history="1">
        <w:r w:rsidRPr="00362B71">
          <w:rPr>
            <w:rStyle w:val="Hyperlink"/>
            <w:rFonts w:ascii="Times New Roman" w:hAnsi="Times New Roman" w:cs="Times New Roman"/>
            <w:sz w:val="24"/>
            <w:szCs w:val="24"/>
          </w:rPr>
          <w:t>https://doi.org/10.1016/j.carbpol.2020.117110</w:t>
        </w:r>
      </w:hyperlink>
    </w:p>
    <w:p w14:paraId="3F5EEDDE" w14:textId="4557A2D8" w:rsidR="00EE35BA" w:rsidRDefault="00EE35BA" w:rsidP="00EE35BA">
      <w:pPr>
        <w:spacing w:line="360" w:lineRule="auto"/>
        <w:ind w:left="720" w:hanging="720"/>
        <w:jc w:val="both"/>
        <w:rPr>
          <w:rFonts w:ascii="Times New Roman" w:hAnsi="Times New Roman" w:cs="Times New Roman"/>
          <w:sz w:val="24"/>
          <w:szCs w:val="24"/>
        </w:rPr>
      </w:pPr>
      <w:r w:rsidRPr="00EE35BA">
        <w:rPr>
          <w:rFonts w:ascii="Times New Roman" w:hAnsi="Times New Roman" w:cs="Times New Roman"/>
          <w:sz w:val="24"/>
          <w:szCs w:val="24"/>
        </w:rPr>
        <w:lastRenderedPageBreak/>
        <w:t>Singh, V., Kumar, R., &amp; Thakur, N. (2024). Sea buckthorn (</w:t>
      </w:r>
      <w:proofErr w:type="spellStart"/>
      <w:r w:rsidRPr="00EE35BA">
        <w:rPr>
          <w:rFonts w:ascii="Times New Roman" w:hAnsi="Times New Roman" w:cs="Times New Roman"/>
          <w:i/>
          <w:iCs/>
          <w:sz w:val="24"/>
          <w:szCs w:val="24"/>
        </w:rPr>
        <w:t>Hippophae</w:t>
      </w:r>
      <w:proofErr w:type="spellEnd"/>
      <w:r w:rsidRPr="00EE35BA">
        <w:rPr>
          <w:rFonts w:ascii="Times New Roman" w:hAnsi="Times New Roman" w:cs="Times New Roman"/>
          <w:i/>
          <w:iCs/>
          <w:sz w:val="24"/>
          <w:szCs w:val="24"/>
        </w:rPr>
        <w:t xml:space="preserve"> </w:t>
      </w:r>
      <w:proofErr w:type="spellStart"/>
      <w:r w:rsidRPr="00EE35BA">
        <w:rPr>
          <w:rFonts w:ascii="Times New Roman" w:hAnsi="Times New Roman" w:cs="Times New Roman"/>
          <w:i/>
          <w:iCs/>
          <w:sz w:val="24"/>
          <w:szCs w:val="24"/>
        </w:rPr>
        <w:t>rhamnoides</w:t>
      </w:r>
      <w:proofErr w:type="spellEnd"/>
      <w:r w:rsidRPr="00EE35BA">
        <w:rPr>
          <w:rFonts w:ascii="Times New Roman" w:hAnsi="Times New Roman" w:cs="Times New Roman"/>
          <w:sz w:val="24"/>
          <w:szCs w:val="24"/>
        </w:rPr>
        <w:t xml:space="preserve"> L.): A potential functional food resource in Indian Himalayas. </w:t>
      </w:r>
      <w:r w:rsidRPr="00EE35BA">
        <w:rPr>
          <w:rFonts w:ascii="Times New Roman" w:hAnsi="Times New Roman" w:cs="Times New Roman"/>
          <w:i/>
          <w:iCs/>
          <w:sz w:val="24"/>
          <w:szCs w:val="24"/>
        </w:rPr>
        <w:t>Journal of Food Science and Technology</w:t>
      </w:r>
      <w:r w:rsidRPr="00EE35BA">
        <w:rPr>
          <w:rFonts w:ascii="Times New Roman" w:hAnsi="Times New Roman" w:cs="Times New Roman"/>
          <w:sz w:val="24"/>
          <w:szCs w:val="24"/>
        </w:rPr>
        <w:t>, 61(3), 657–666. https://doi.org/10.1007/s13197-023-05789-x</w:t>
      </w:r>
    </w:p>
    <w:p w14:paraId="1B7788C0" w14:textId="77777777" w:rsidR="005A46DC" w:rsidRPr="002F34D1" w:rsidRDefault="005A46DC" w:rsidP="002F34D1">
      <w:pPr>
        <w:spacing w:line="360" w:lineRule="auto"/>
        <w:ind w:left="720" w:hanging="720"/>
        <w:jc w:val="both"/>
        <w:rPr>
          <w:rFonts w:ascii="Times New Roman" w:hAnsi="Times New Roman" w:cs="Times New Roman"/>
          <w:sz w:val="24"/>
          <w:szCs w:val="24"/>
        </w:rPr>
      </w:pPr>
      <w:r w:rsidRPr="002F34D1">
        <w:rPr>
          <w:rFonts w:ascii="Times New Roman" w:hAnsi="Times New Roman" w:cs="Times New Roman"/>
          <w:sz w:val="24"/>
          <w:szCs w:val="24"/>
        </w:rPr>
        <w:t xml:space="preserve">Singh, V. (2005). </w:t>
      </w:r>
      <w:proofErr w:type="spellStart"/>
      <w:r w:rsidRPr="002F34D1">
        <w:rPr>
          <w:rFonts w:ascii="Times New Roman" w:hAnsi="Times New Roman" w:cs="Times New Roman"/>
          <w:i/>
          <w:iCs/>
          <w:sz w:val="24"/>
          <w:szCs w:val="24"/>
        </w:rPr>
        <w:t>Seabuckthorn</w:t>
      </w:r>
      <w:proofErr w:type="spellEnd"/>
      <w:r w:rsidRPr="002F34D1">
        <w:rPr>
          <w:rFonts w:ascii="Times New Roman" w:hAnsi="Times New Roman" w:cs="Times New Roman"/>
          <w:i/>
          <w:iCs/>
          <w:sz w:val="24"/>
          <w:szCs w:val="24"/>
        </w:rPr>
        <w:t xml:space="preserve"> (</w:t>
      </w:r>
      <w:proofErr w:type="spellStart"/>
      <w:r w:rsidRPr="002F34D1">
        <w:rPr>
          <w:rFonts w:ascii="Times New Roman" w:hAnsi="Times New Roman" w:cs="Times New Roman"/>
          <w:i/>
          <w:iCs/>
          <w:sz w:val="24"/>
          <w:szCs w:val="24"/>
        </w:rPr>
        <w:t>Hippophae</w:t>
      </w:r>
      <w:proofErr w:type="spellEnd"/>
      <w:r w:rsidRPr="002F34D1">
        <w:rPr>
          <w:rFonts w:ascii="Times New Roman" w:hAnsi="Times New Roman" w:cs="Times New Roman"/>
          <w:i/>
          <w:iCs/>
          <w:sz w:val="24"/>
          <w:szCs w:val="24"/>
        </w:rPr>
        <w:t xml:space="preserve"> L.) – A multipurpose wonder plant</w:t>
      </w:r>
      <w:r w:rsidRPr="002F34D1">
        <w:rPr>
          <w:rFonts w:ascii="Times New Roman" w:hAnsi="Times New Roman" w:cs="Times New Roman"/>
          <w:sz w:val="24"/>
          <w:szCs w:val="24"/>
        </w:rPr>
        <w:t xml:space="preserve"> (Vol. 1: Botany, production, and utilization). Daya Publishing House.</w:t>
      </w:r>
    </w:p>
    <w:p w14:paraId="53C5E951" w14:textId="77777777" w:rsidR="005A46DC" w:rsidRDefault="005A46DC" w:rsidP="00E52F26">
      <w:pPr>
        <w:spacing w:line="360" w:lineRule="auto"/>
        <w:ind w:left="720" w:hanging="720"/>
        <w:jc w:val="both"/>
        <w:rPr>
          <w:rFonts w:ascii="Times New Roman" w:hAnsi="Times New Roman" w:cs="Times New Roman"/>
          <w:sz w:val="24"/>
          <w:szCs w:val="24"/>
        </w:rPr>
      </w:pPr>
      <w:proofErr w:type="spellStart"/>
      <w:r w:rsidRPr="009C320D">
        <w:rPr>
          <w:rFonts w:ascii="Times New Roman" w:hAnsi="Times New Roman" w:cs="Times New Roman"/>
          <w:sz w:val="24"/>
          <w:szCs w:val="24"/>
        </w:rPr>
        <w:t>Solà</w:t>
      </w:r>
      <w:proofErr w:type="spellEnd"/>
      <w:r w:rsidRPr="009C320D">
        <w:rPr>
          <w:rFonts w:ascii="Times New Roman" w:hAnsi="Times New Roman" w:cs="Times New Roman"/>
          <w:sz w:val="24"/>
          <w:szCs w:val="24"/>
        </w:rPr>
        <w:t xml:space="preserve"> </w:t>
      </w:r>
      <w:proofErr w:type="spellStart"/>
      <w:r w:rsidRPr="009C320D">
        <w:rPr>
          <w:rFonts w:ascii="Times New Roman" w:hAnsi="Times New Roman" w:cs="Times New Roman"/>
          <w:sz w:val="24"/>
          <w:szCs w:val="24"/>
        </w:rPr>
        <w:t>Marsiñach</w:t>
      </w:r>
      <w:proofErr w:type="spellEnd"/>
      <w:r w:rsidRPr="009C320D">
        <w:rPr>
          <w:rFonts w:ascii="Times New Roman" w:hAnsi="Times New Roman" w:cs="Times New Roman"/>
          <w:sz w:val="24"/>
          <w:szCs w:val="24"/>
        </w:rPr>
        <w:t xml:space="preserve">, M., &amp; Cuenca, A. P. (2019). The impact of sea buckthorn oil fatty acids on human health. </w:t>
      </w:r>
      <w:r w:rsidRPr="009C320D">
        <w:rPr>
          <w:rFonts w:ascii="Times New Roman" w:hAnsi="Times New Roman" w:cs="Times New Roman"/>
          <w:i/>
          <w:iCs/>
          <w:sz w:val="24"/>
          <w:szCs w:val="24"/>
        </w:rPr>
        <w:t>Lipids in Health and Disease, 18</w:t>
      </w:r>
      <w:r w:rsidRPr="009C320D">
        <w:rPr>
          <w:rFonts w:ascii="Times New Roman" w:hAnsi="Times New Roman" w:cs="Times New Roman"/>
          <w:sz w:val="24"/>
          <w:szCs w:val="24"/>
        </w:rPr>
        <w:t xml:space="preserve">(1), 1–11. </w:t>
      </w:r>
      <w:hyperlink r:id="rId24" w:history="1">
        <w:r w:rsidRPr="00362B71">
          <w:rPr>
            <w:rStyle w:val="Hyperlink"/>
            <w:rFonts w:ascii="Times New Roman" w:hAnsi="Times New Roman" w:cs="Times New Roman"/>
            <w:sz w:val="24"/>
            <w:szCs w:val="24"/>
          </w:rPr>
          <w:t>https://doi.org/10.1186/s12944-019-1165-1</w:t>
        </w:r>
      </w:hyperlink>
    </w:p>
    <w:p w14:paraId="6A94B1C6" w14:textId="77777777" w:rsidR="005A46DC" w:rsidRDefault="005A46DC" w:rsidP="00E52F26">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Syren, M. L., </w:t>
      </w:r>
      <w:proofErr w:type="spellStart"/>
      <w:r w:rsidRPr="009C320D">
        <w:rPr>
          <w:rFonts w:ascii="Times New Roman" w:hAnsi="Times New Roman" w:cs="Times New Roman"/>
          <w:sz w:val="24"/>
          <w:szCs w:val="24"/>
        </w:rPr>
        <w:t>Turolo</w:t>
      </w:r>
      <w:proofErr w:type="spellEnd"/>
      <w:r w:rsidRPr="009C320D">
        <w:rPr>
          <w:rFonts w:ascii="Times New Roman" w:hAnsi="Times New Roman" w:cs="Times New Roman"/>
          <w:sz w:val="24"/>
          <w:szCs w:val="24"/>
        </w:rPr>
        <w:t xml:space="preserve">, S., Marangoni, F., Milani, G. P., </w:t>
      </w:r>
      <w:proofErr w:type="spellStart"/>
      <w:r w:rsidRPr="009C320D">
        <w:rPr>
          <w:rFonts w:ascii="Times New Roman" w:hAnsi="Times New Roman" w:cs="Times New Roman"/>
          <w:sz w:val="24"/>
          <w:szCs w:val="24"/>
        </w:rPr>
        <w:t>Edefonti</w:t>
      </w:r>
      <w:proofErr w:type="spellEnd"/>
      <w:r w:rsidRPr="009C320D">
        <w:rPr>
          <w:rFonts w:ascii="Times New Roman" w:hAnsi="Times New Roman" w:cs="Times New Roman"/>
          <w:sz w:val="24"/>
          <w:szCs w:val="24"/>
        </w:rPr>
        <w:t xml:space="preserve">, A., Montini, G., &amp; </w:t>
      </w:r>
      <w:proofErr w:type="spellStart"/>
      <w:r w:rsidRPr="009C320D">
        <w:rPr>
          <w:rFonts w:ascii="Times New Roman" w:hAnsi="Times New Roman" w:cs="Times New Roman"/>
          <w:sz w:val="24"/>
          <w:szCs w:val="24"/>
        </w:rPr>
        <w:t>Agostoni</w:t>
      </w:r>
      <w:proofErr w:type="spellEnd"/>
      <w:r w:rsidRPr="009C320D">
        <w:rPr>
          <w:rFonts w:ascii="Times New Roman" w:hAnsi="Times New Roman" w:cs="Times New Roman"/>
          <w:sz w:val="24"/>
          <w:szCs w:val="24"/>
        </w:rPr>
        <w:t xml:space="preserve">, C. (2018). The polyunsaturated fatty acid balance in kidney health and disease: A review. </w:t>
      </w:r>
      <w:r w:rsidRPr="009C320D">
        <w:rPr>
          <w:rFonts w:ascii="Times New Roman" w:hAnsi="Times New Roman" w:cs="Times New Roman"/>
          <w:i/>
          <w:iCs/>
          <w:sz w:val="24"/>
          <w:szCs w:val="24"/>
        </w:rPr>
        <w:t>Clinical Nutrition, 37</w:t>
      </w:r>
      <w:r w:rsidRPr="009C320D">
        <w:rPr>
          <w:rFonts w:ascii="Times New Roman" w:hAnsi="Times New Roman" w:cs="Times New Roman"/>
          <w:sz w:val="24"/>
          <w:szCs w:val="24"/>
        </w:rPr>
        <w:t xml:space="preserve">(6), 1829–1839. </w:t>
      </w:r>
      <w:hyperlink r:id="rId25" w:history="1">
        <w:r w:rsidRPr="00362B71">
          <w:rPr>
            <w:rStyle w:val="Hyperlink"/>
            <w:rFonts w:ascii="Times New Roman" w:hAnsi="Times New Roman" w:cs="Times New Roman"/>
            <w:sz w:val="24"/>
            <w:szCs w:val="24"/>
          </w:rPr>
          <w:t>https://doi.org/10.1016/j.clnu.2017.12.014</w:t>
        </w:r>
      </w:hyperlink>
    </w:p>
    <w:p w14:paraId="6574E19A" w14:textId="77777777" w:rsidR="005A46DC" w:rsidRPr="009C320D" w:rsidRDefault="005A46DC" w:rsidP="009C320D">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Tonon, R. V., Pedro, R. B., Grosso, C. R., &amp; Hubinger, M. D. (2012). Microencapsulation of flaxseed oil by spray drying: Effect of oil load and type of wall material. </w:t>
      </w:r>
      <w:r w:rsidRPr="009C320D">
        <w:rPr>
          <w:rFonts w:ascii="Times New Roman" w:hAnsi="Times New Roman" w:cs="Times New Roman"/>
          <w:i/>
          <w:iCs/>
          <w:sz w:val="24"/>
          <w:szCs w:val="24"/>
        </w:rPr>
        <w:t>Drying Technology, 30</w:t>
      </w:r>
      <w:r w:rsidRPr="009C320D">
        <w:rPr>
          <w:rFonts w:ascii="Times New Roman" w:hAnsi="Times New Roman" w:cs="Times New Roman"/>
          <w:sz w:val="24"/>
          <w:szCs w:val="24"/>
        </w:rPr>
        <w:t>(13), 1491–1501. https://doi.org/10.1080/07373937.2012.690792</w:t>
      </w:r>
    </w:p>
    <w:p w14:paraId="4FFFC7A2" w14:textId="77777777" w:rsidR="005A46DC" w:rsidRDefault="005A46DC" w:rsidP="00E52F26">
      <w:pPr>
        <w:spacing w:line="360" w:lineRule="auto"/>
        <w:ind w:left="720" w:hanging="720"/>
        <w:jc w:val="both"/>
        <w:rPr>
          <w:rFonts w:ascii="Times New Roman" w:hAnsi="Times New Roman" w:cs="Times New Roman"/>
          <w:sz w:val="24"/>
          <w:szCs w:val="24"/>
        </w:rPr>
      </w:pPr>
      <w:proofErr w:type="spellStart"/>
      <w:r w:rsidRPr="009C320D">
        <w:rPr>
          <w:rFonts w:ascii="Times New Roman" w:hAnsi="Times New Roman" w:cs="Times New Roman"/>
          <w:sz w:val="24"/>
          <w:szCs w:val="24"/>
        </w:rPr>
        <w:t>Turchiuli</w:t>
      </w:r>
      <w:proofErr w:type="spellEnd"/>
      <w:r w:rsidRPr="009C320D">
        <w:rPr>
          <w:rFonts w:ascii="Times New Roman" w:hAnsi="Times New Roman" w:cs="Times New Roman"/>
          <w:sz w:val="24"/>
          <w:szCs w:val="24"/>
        </w:rPr>
        <w:t xml:space="preserve">, C., Fuchs, M., Bohin, M., Cuvelier, M. E., </w:t>
      </w:r>
      <w:proofErr w:type="spellStart"/>
      <w:r w:rsidRPr="009C320D">
        <w:rPr>
          <w:rFonts w:ascii="Times New Roman" w:hAnsi="Times New Roman" w:cs="Times New Roman"/>
          <w:sz w:val="24"/>
          <w:szCs w:val="24"/>
        </w:rPr>
        <w:t>Ordonnaud</w:t>
      </w:r>
      <w:proofErr w:type="spellEnd"/>
      <w:r w:rsidRPr="009C320D">
        <w:rPr>
          <w:rFonts w:ascii="Times New Roman" w:hAnsi="Times New Roman" w:cs="Times New Roman"/>
          <w:sz w:val="24"/>
          <w:szCs w:val="24"/>
        </w:rPr>
        <w:t xml:space="preserve">, C., </w:t>
      </w:r>
      <w:proofErr w:type="spellStart"/>
      <w:r w:rsidRPr="009C320D">
        <w:rPr>
          <w:rFonts w:ascii="Times New Roman" w:hAnsi="Times New Roman" w:cs="Times New Roman"/>
          <w:sz w:val="24"/>
          <w:szCs w:val="24"/>
        </w:rPr>
        <w:t>Peyrat</w:t>
      </w:r>
      <w:proofErr w:type="spellEnd"/>
      <w:r w:rsidRPr="009C320D">
        <w:rPr>
          <w:rFonts w:ascii="Times New Roman" w:hAnsi="Times New Roman" w:cs="Times New Roman"/>
          <w:sz w:val="24"/>
          <w:szCs w:val="24"/>
        </w:rPr>
        <w:t xml:space="preserve">-Maillard, M. N., &amp; Dumoulin, E. (2005). Oil encapsulation by spray drying and fluidised bed agglomeration. </w:t>
      </w:r>
      <w:r w:rsidRPr="009C320D">
        <w:rPr>
          <w:rFonts w:ascii="Times New Roman" w:hAnsi="Times New Roman" w:cs="Times New Roman"/>
          <w:i/>
          <w:iCs/>
          <w:sz w:val="24"/>
          <w:szCs w:val="24"/>
        </w:rPr>
        <w:t>Innovative Food Science &amp; Emerging Technologies, 6</w:t>
      </w:r>
      <w:r w:rsidRPr="009C320D">
        <w:rPr>
          <w:rFonts w:ascii="Times New Roman" w:hAnsi="Times New Roman" w:cs="Times New Roman"/>
          <w:sz w:val="24"/>
          <w:szCs w:val="24"/>
        </w:rPr>
        <w:t xml:space="preserve">(1), 29–35. </w:t>
      </w:r>
      <w:hyperlink r:id="rId26" w:history="1">
        <w:r w:rsidRPr="00362B71">
          <w:rPr>
            <w:rStyle w:val="Hyperlink"/>
            <w:rFonts w:ascii="Times New Roman" w:hAnsi="Times New Roman" w:cs="Times New Roman"/>
            <w:sz w:val="24"/>
            <w:szCs w:val="24"/>
          </w:rPr>
          <w:t>https://doi.org/10.1016/j.ifset.2004.07.001</w:t>
        </w:r>
      </w:hyperlink>
    </w:p>
    <w:p w14:paraId="229A60E7" w14:textId="77777777" w:rsidR="005A46DC" w:rsidRPr="009C320D" w:rsidRDefault="005A46DC" w:rsidP="009C320D">
      <w:pPr>
        <w:spacing w:line="360" w:lineRule="auto"/>
        <w:ind w:left="720" w:hanging="720"/>
        <w:jc w:val="both"/>
        <w:rPr>
          <w:rFonts w:ascii="Times New Roman" w:hAnsi="Times New Roman" w:cs="Times New Roman"/>
          <w:sz w:val="24"/>
          <w:szCs w:val="24"/>
        </w:rPr>
      </w:pPr>
      <w:r w:rsidRPr="009C320D">
        <w:rPr>
          <w:rFonts w:ascii="Times New Roman" w:hAnsi="Times New Roman" w:cs="Times New Roman"/>
          <w:sz w:val="24"/>
          <w:szCs w:val="24"/>
        </w:rPr>
        <w:t xml:space="preserve">Tuyen, C. K., Nguyen, M. H., Roach, P. D., &amp; Stathopoulos, C. E. (2014). Microencapsulation of Gac oil: Optimisation of spray drying conditions using response surface methodology. </w:t>
      </w:r>
      <w:r w:rsidRPr="009C320D">
        <w:rPr>
          <w:rFonts w:ascii="Times New Roman" w:hAnsi="Times New Roman" w:cs="Times New Roman"/>
          <w:i/>
          <w:iCs/>
          <w:sz w:val="24"/>
          <w:szCs w:val="24"/>
        </w:rPr>
        <w:t>Powder Technology, 264</w:t>
      </w:r>
      <w:r w:rsidRPr="009C320D">
        <w:rPr>
          <w:rFonts w:ascii="Times New Roman" w:hAnsi="Times New Roman" w:cs="Times New Roman"/>
          <w:sz w:val="24"/>
          <w:szCs w:val="24"/>
        </w:rPr>
        <w:t>, 298–309. https://doi.org/10.1016/j.powtec.2014.04.045</w:t>
      </w:r>
    </w:p>
    <w:p w14:paraId="17844999" w14:textId="77777777" w:rsidR="005A46DC" w:rsidRPr="002F34D1" w:rsidRDefault="005A46DC" w:rsidP="002F34D1">
      <w:pPr>
        <w:spacing w:line="360" w:lineRule="auto"/>
        <w:ind w:left="720" w:hanging="720"/>
        <w:jc w:val="both"/>
        <w:rPr>
          <w:rFonts w:ascii="Times New Roman" w:hAnsi="Times New Roman" w:cs="Times New Roman"/>
          <w:sz w:val="24"/>
          <w:szCs w:val="24"/>
        </w:rPr>
      </w:pPr>
      <w:r w:rsidRPr="002F34D1">
        <w:rPr>
          <w:rFonts w:ascii="Times New Roman" w:hAnsi="Times New Roman" w:cs="Times New Roman"/>
          <w:sz w:val="24"/>
          <w:szCs w:val="24"/>
        </w:rPr>
        <w:t xml:space="preserve">Van Der </w:t>
      </w:r>
      <w:proofErr w:type="spellStart"/>
      <w:r w:rsidRPr="002F34D1">
        <w:rPr>
          <w:rFonts w:ascii="Times New Roman" w:hAnsi="Times New Roman" w:cs="Times New Roman"/>
          <w:sz w:val="24"/>
          <w:szCs w:val="24"/>
        </w:rPr>
        <w:t>Wurff</w:t>
      </w:r>
      <w:proofErr w:type="spellEnd"/>
      <w:r w:rsidRPr="002F34D1">
        <w:rPr>
          <w:rFonts w:ascii="Times New Roman" w:hAnsi="Times New Roman" w:cs="Times New Roman"/>
          <w:sz w:val="24"/>
          <w:szCs w:val="24"/>
        </w:rPr>
        <w:t xml:space="preserve">, I. S., Meyer, B. J., &amp; De Groot, R. H. (2020). Effect of omega-3 long chain polyunsaturated fatty acids (N-3 LCPUFA) supplementation on cognition in children and adolescents: A systematic literature review with a focus on n-3 LCPUFA blood values and dose of DHA and EPA. </w:t>
      </w:r>
      <w:r w:rsidRPr="002F34D1">
        <w:rPr>
          <w:rFonts w:ascii="Times New Roman" w:hAnsi="Times New Roman" w:cs="Times New Roman"/>
          <w:i/>
          <w:iCs/>
          <w:sz w:val="24"/>
          <w:szCs w:val="24"/>
        </w:rPr>
        <w:t>Nutrients, 12</w:t>
      </w:r>
      <w:r w:rsidRPr="002F34D1">
        <w:rPr>
          <w:rFonts w:ascii="Times New Roman" w:hAnsi="Times New Roman" w:cs="Times New Roman"/>
          <w:sz w:val="24"/>
          <w:szCs w:val="24"/>
        </w:rPr>
        <w:t>(10), 3115. https://doi.org/10.3390/nu12103115</w:t>
      </w:r>
    </w:p>
    <w:p w14:paraId="49083797" w14:textId="77777777" w:rsidR="005A46DC" w:rsidRDefault="005A46DC" w:rsidP="00B55412">
      <w:pPr>
        <w:spacing w:line="360" w:lineRule="auto"/>
        <w:ind w:left="720" w:hanging="720"/>
        <w:jc w:val="both"/>
        <w:rPr>
          <w:rFonts w:ascii="Times New Roman" w:hAnsi="Times New Roman" w:cs="Times New Roman"/>
          <w:sz w:val="24"/>
          <w:szCs w:val="24"/>
        </w:rPr>
      </w:pPr>
      <w:r w:rsidRPr="007B68EE">
        <w:rPr>
          <w:rFonts w:ascii="Times New Roman" w:hAnsi="Times New Roman" w:cs="Times New Roman"/>
          <w:sz w:val="24"/>
          <w:szCs w:val="24"/>
        </w:rPr>
        <w:lastRenderedPageBreak/>
        <w:t xml:space="preserve">Wang, Q. H., Qin, S. W., &amp; Jiang, J. G. (2022). Improvement effects of </w:t>
      </w:r>
      <w:proofErr w:type="spellStart"/>
      <w:r w:rsidRPr="007B68EE">
        <w:rPr>
          <w:rFonts w:ascii="Times New Roman" w:hAnsi="Times New Roman" w:cs="Times New Roman"/>
          <w:sz w:val="24"/>
          <w:szCs w:val="24"/>
        </w:rPr>
        <w:t>esculetin</w:t>
      </w:r>
      <w:proofErr w:type="spellEnd"/>
      <w:r w:rsidRPr="007B68EE">
        <w:rPr>
          <w:rFonts w:ascii="Times New Roman" w:hAnsi="Times New Roman" w:cs="Times New Roman"/>
          <w:sz w:val="24"/>
          <w:szCs w:val="24"/>
        </w:rPr>
        <w:t xml:space="preserve"> on the formation and development of atherosclerosis. </w:t>
      </w:r>
      <w:r w:rsidRPr="007B68EE">
        <w:rPr>
          <w:rFonts w:ascii="Times New Roman" w:hAnsi="Times New Roman" w:cs="Times New Roman"/>
          <w:i/>
          <w:iCs/>
          <w:sz w:val="24"/>
          <w:szCs w:val="24"/>
        </w:rPr>
        <w:t>Biomedicine &amp; Pharmacotherapy, 150</w:t>
      </w:r>
      <w:r w:rsidRPr="007B68EE">
        <w:rPr>
          <w:rFonts w:ascii="Times New Roman" w:hAnsi="Times New Roman" w:cs="Times New Roman"/>
          <w:sz w:val="24"/>
          <w:szCs w:val="24"/>
        </w:rPr>
        <w:t xml:space="preserve">, 113001. </w:t>
      </w:r>
      <w:hyperlink r:id="rId27" w:tgtFrame="_new" w:history="1">
        <w:r w:rsidRPr="007B68EE">
          <w:rPr>
            <w:rStyle w:val="Hyperlink"/>
            <w:rFonts w:ascii="Times New Roman" w:hAnsi="Times New Roman" w:cs="Times New Roman"/>
            <w:sz w:val="24"/>
            <w:szCs w:val="24"/>
          </w:rPr>
          <w:t>https://doi.org/10.1016/j.biopha.2022.113001</w:t>
        </w:r>
      </w:hyperlink>
    </w:p>
    <w:p w14:paraId="5B4980DC" w14:textId="77777777" w:rsidR="005A46DC" w:rsidRDefault="005A46DC" w:rsidP="00B55412">
      <w:pPr>
        <w:spacing w:line="360" w:lineRule="auto"/>
        <w:ind w:left="720" w:hanging="720"/>
        <w:jc w:val="both"/>
        <w:rPr>
          <w:rFonts w:ascii="Times New Roman" w:hAnsi="Times New Roman" w:cs="Times New Roman"/>
          <w:sz w:val="24"/>
          <w:szCs w:val="24"/>
        </w:rPr>
      </w:pPr>
      <w:r w:rsidRPr="002F34D1">
        <w:rPr>
          <w:rFonts w:ascii="Times New Roman" w:hAnsi="Times New Roman" w:cs="Times New Roman"/>
          <w:sz w:val="24"/>
          <w:szCs w:val="24"/>
        </w:rPr>
        <w:t xml:space="preserve">Yang, D.-L., Liu, R.-K., Wei, Y., Sun, Q., &amp; Wang, J.-X. (2024). Micro-sized nanoaggregates: Spray-drying-assisted fabrication and applications. </w:t>
      </w:r>
      <w:proofErr w:type="spellStart"/>
      <w:r w:rsidRPr="002F34D1">
        <w:rPr>
          <w:rFonts w:ascii="Times New Roman" w:hAnsi="Times New Roman" w:cs="Times New Roman"/>
          <w:sz w:val="24"/>
          <w:szCs w:val="24"/>
        </w:rPr>
        <w:t>Particuology</w:t>
      </w:r>
      <w:proofErr w:type="spellEnd"/>
      <w:r w:rsidRPr="002F34D1">
        <w:rPr>
          <w:rFonts w:ascii="Times New Roman" w:hAnsi="Times New Roman" w:cs="Times New Roman"/>
          <w:sz w:val="24"/>
          <w:szCs w:val="24"/>
        </w:rPr>
        <w:t xml:space="preserve">, 85, 22–48. </w:t>
      </w:r>
      <w:hyperlink r:id="rId28" w:history="1">
        <w:r w:rsidRPr="00362B71">
          <w:rPr>
            <w:rStyle w:val="Hyperlink"/>
            <w:rFonts w:ascii="Times New Roman" w:hAnsi="Times New Roman" w:cs="Times New Roman"/>
            <w:sz w:val="24"/>
            <w:szCs w:val="24"/>
          </w:rPr>
          <w:t>https://doi.org/10.1016/j.partic.2023.03.013</w:t>
        </w:r>
      </w:hyperlink>
    </w:p>
    <w:p w14:paraId="2DE14C11" w14:textId="77777777" w:rsidR="005A46DC" w:rsidRDefault="005A46DC" w:rsidP="00E52F26">
      <w:pPr>
        <w:spacing w:line="360" w:lineRule="auto"/>
        <w:ind w:left="720" w:hanging="720"/>
        <w:jc w:val="both"/>
      </w:pPr>
      <w:r w:rsidRPr="00CA67D8">
        <w:rPr>
          <w:rFonts w:ascii="Times New Roman" w:hAnsi="Times New Roman" w:cs="Times New Roman"/>
          <w:sz w:val="24"/>
          <w:szCs w:val="24"/>
        </w:rPr>
        <w:t xml:space="preserve">Zhang, H., Zhang, H., Chen, N., &amp; Li, L. (2021). Composition analysis and microencapsulation of </w:t>
      </w:r>
      <w:r w:rsidRPr="00CA67D8">
        <w:rPr>
          <w:rFonts w:ascii="Times New Roman" w:hAnsi="Times New Roman" w:cs="Times New Roman"/>
          <w:i/>
          <w:iCs/>
          <w:sz w:val="24"/>
          <w:szCs w:val="24"/>
        </w:rPr>
        <w:t xml:space="preserve">Eucommia </w:t>
      </w:r>
      <w:proofErr w:type="spellStart"/>
      <w:r w:rsidRPr="00CA67D8">
        <w:rPr>
          <w:rFonts w:ascii="Times New Roman" w:hAnsi="Times New Roman" w:cs="Times New Roman"/>
          <w:i/>
          <w:iCs/>
          <w:sz w:val="24"/>
          <w:szCs w:val="24"/>
        </w:rPr>
        <w:t>ulmoides</w:t>
      </w:r>
      <w:proofErr w:type="spellEnd"/>
      <w:r w:rsidRPr="00CA67D8">
        <w:rPr>
          <w:rFonts w:ascii="Times New Roman" w:hAnsi="Times New Roman" w:cs="Times New Roman"/>
          <w:sz w:val="24"/>
          <w:szCs w:val="24"/>
        </w:rPr>
        <w:t xml:space="preserve"> seed oil. </w:t>
      </w:r>
      <w:r w:rsidRPr="00CA67D8">
        <w:rPr>
          <w:rFonts w:ascii="Times New Roman" w:hAnsi="Times New Roman" w:cs="Times New Roman"/>
          <w:i/>
          <w:iCs/>
          <w:sz w:val="24"/>
          <w:szCs w:val="24"/>
        </w:rPr>
        <w:t>BMC Chemistry, 15</w:t>
      </w:r>
      <w:r w:rsidRPr="00CA67D8">
        <w:rPr>
          <w:rFonts w:ascii="Times New Roman" w:hAnsi="Times New Roman" w:cs="Times New Roman"/>
          <w:sz w:val="24"/>
          <w:szCs w:val="24"/>
        </w:rPr>
        <w:t xml:space="preserve">(1), 49. </w:t>
      </w:r>
      <w:hyperlink r:id="rId29" w:history="1">
        <w:r w:rsidRPr="00362B71">
          <w:rPr>
            <w:rStyle w:val="Hyperlink"/>
            <w:rFonts w:ascii="Times New Roman" w:hAnsi="Times New Roman" w:cs="Times New Roman"/>
            <w:sz w:val="24"/>
            <w:szCs w:val="24"/>
          </w:rPr>
          <w:t>https://doi.org/10.1186/s13065-021-00775-w</w:t>
        </w:r>
      </w:hyperlink>
    </w:p>
    <w:p w14:paraId="3728B4A0" w14:textId="5CCBD1F8" w:rsidR="00566409" w:rsidRDefault="00566409" w:rsidP="00E52F26">
      <w:pPr>
        <w:spacing w:line="360" w:lineRule="auto"/>
        <w:ind w:left="720" w:hanging="720"/>
        <w:jc w:val="both"/>
        <w:rPr>
          <w:rFonts w:ascii="Times New Roman" w:hAnsi="Times New Roman" w:cs="Times New Roman"/>
          <w:sz w:val="24"/>
          <w:szCs w:val="24"/>
        </w:rPr>
      </w:pPr>
      <w:r w:rsidRPr="00566409">
        <w:rPr>
          <w:rFonts w:ascii="Times New Roman" w:hAnsi="Times New Roman" w:cs="Times New Roman"/>
          <w:sz w:val="24"/>
          <w:szCs w:val="24"/>
        </w:rPr>
        <w:t>Zhang, Y., Liu, S., Wang, X., &amp; Li, H. (2022). Microencapsulation of sea buckthorn (</w:t>
      </w:r>
      <w:proofErr w:type="spellStart"/>
      <w:r w:rsidRPr="00566409">
        <w:rPr>
          <w:rFonts w:ascii="Times New Roman" w:hAnsi="Times New Roman" w:cs="Times New Roman"/>
          <w:i/>
          <w:iCs/>
          <w:sz w:val="24"/>
          <w:szCs w:val="24"/>
        </w:rPr>
        <w:t>Hippophae</w:t>
      </w:r>
      <w:proofErr w:type="spellEnd"/>
      <w:r w:rsidRPr="00566409">
        <w:rPr>
          <w:rFonts w:ascii="Times New Roman" w:hAnsi="Times New Roman" w:cs="Times New Roman"/>
          <w:i/>
          <w:iCs/>
          <w:sz w:val="24"/>
          <w:szCs w:val="24"/>
        </w:rPr>
        <w:t xml:space="preserve"> </w:t>
      </w:r>
      <w:proofErr w:type="spellStart"/>
      <w:r w:rsidRPr="00566409">
        <w:rPr>
          <w:rFonts w:ascii="Times New Roman" w:hAnsi="Times New Roman" w:cs="Times New Roman"/>
          <w:i/>
          <w:iCs/>
          <w:sz w:val="24"/>
          <w:szCs w:val="24"/>
        </w:rPr>
        <w:t>rhamnoides</w:t>
      </w:r>
      <w:proofErr w:type="spellEnd"/>
      <w:r w:rsidRPr="00566409">
        <w:rPr>
          <w:rFonts w:ascii="Times New Roman" w:hAnsi="Times New Roman" w:cs="Times New Roman"/>
          <w:sz w:val="24"/>
          <w:szCs w:val="24"/>
        </w:rPr>
        <w:t xml:space="preserve"> L.) seed oil by spray drying: Optimization and characterization. </w:t>
      </w:r>
      <w:r w:rsidRPr="00566409">
        <w:rPr>
          <w:rFonts w:ascii="Times New Roman" w:hAnsi="Times New Roman" w:cs="Times New Roman"/>
          <w:i/>
          <w:iCs/>
          <w:sz w:val="24"/>
          <w:szCs w:val="24"/>
        </w:rPr>
        <w:t>Powder Technology</w:t>
      </w:r>
      <w:r w:rsidRPr="00566409">
        <w:rPr>
          <w:rFonts w:ascii="Times New Roman" w:hAnsi="Times New Roman" w:cs="Times New Roman"/>
          <w:sz w:val="24"/>
          <w:szCs w:val="24"/>
        </w:rPr>
        <w:t xml:space="preserve">, 400, 117290. </w:t>
      </w:r>
      <w:hyperlink r:id="rId30" w:history="1">
        <w:r w:rsidRPr="00362B71">
          <w:rPr>
            <w:rStyle w:val="Hyperlink"/>
            <w:rFonts w:ascii="Times New Roman" w:hAnsi="Times New Roman" w:cs="Times New Roman"/>
            <w:sz w:val="24"/>
            <w:szCs w:val="24"/>
          </w:rPr>
          <w:t>https://doi.org/10.1016/j.powtec.2022.117290</w:t>
        </w:r>
      </w:hyperlink>
    </w:p>
    <w:p w14:paraId="3CA5367A" w14:textId="77777777" w:rsidR="00566409" w:rsidRDefault="00566409" w:rsidP="00E52F26">
      <w:pPr>
        <w:spacing w:line="360" w:lineRule="auto"/>
        <w:ind w:left="720" w:hanging="720"/>
        <w:jc w:val="both"/>
        <w:rPr>
          <w:rFonts w:ascii="Times New Roman" w:hAnsi="Times New Roman" w:cs="Times New Roman"/>
          <w:sz w:val="24"/>
          <w:szCs w:val="24"/>
        </w:rPr>
      </w:pPr>
    </w:p>
    <w:p w14:paraId="274D93DB" w14:textId="77777777" w:rsidR="005A46DC" w:rsidRDefault="005A46DC" w:rsidP="00E52F26">
      <w:pPr>
        <w:spacing w:line="360" w:lineRule="auto"/>
        <w:ind w:left="720" w:hanging="720"/>
        <w:jc w:val="both"/>
        <w:rPr>
          <w:rFonts w:ascii="Times New Roman" w:hAnsi="Times New Roman" w:cs="Times New Roman"/>
          <w:sz w:val="24"/>
          <w:szCs w:val="24"/>
        </w:rPr>
      </w:pPr>
    </w:p>
    <w:p w14:paraId="5C366038" w14:textId="77777777" w:rsidR="005A46DC" w:rsidRDefault="005A46DC" w:rsidP="00E52F26">
      <w:pPr>
        <w:spacing w:line="360" w:lineRule="auto"/>
        <w:ind w:left="720" w:hanging="720"/>
        <w:jc w:val="both"/>
        <w:rPr>
          <w:rFonts w:ascii="Times New Roman" w:hAnsi="Times New Roman" w:cs="Times New Roman"/>
          <w:sz w:val="24"/>
          <w:szCs w:val="24"/>
        </w:rPr>
      </w:pPr>
    </w:p>
    <w:p w14:paraId="1D64A3F3" w14:textId="77777777" w:rsidR="005A46DC" w:rsidRDefault="005A46DC" w:rsidP="00E52F26">
      <w:pPr>
        <w:spacing w:line="360" w:lineRule="auto"/>
        <w:ind w:left="720" w:hanging="720"/>
        <w:jc w:val="both"/>
        <w:rPr>
          <w:rFonts w:ascii="Times New Roman" w:hAnsi="Times New Roman" w:cs="Times New Roman"/>
          <w:sz w:val="24"/>
          <w:szCs w:val="24"/>
        </w:rPr>
      </w:pPr>
    </w:p>
    <w:p w14:paraId="134F7910" w14:textId="77777777" w:rsidR="005A46DC" w:rsidRDefault="005A46DC" w:rsidP="00E52F26">
      <w:pPr>
        <w:spacing w:line="360" w:lineRule="auto"/>
        <w:ind w:left="720" w:hanging="720"/>
        <w:jc w:val="both"/>
        <w:rPr>
          <w:rFonts w:ascii="Times New Roman" w:hAnsi="Times New Roman" w:cs="Times New Roman"/>
          <w:sz w:val="24"/>
          <w:szCs w:val="24"/>
        </w:rPr>
      </w:pPr>
    </w:p>
    <w:p w14:paraId="0DED3B35" w14:textId="77777777" w:rsidR="005A46DC" w:rsidRDefault="005A46DC" w:rsidP="00E52F26">
      <w:pPr>
        <w:spacing w:line="360" w:lineRule="auto"/>
        <w:ind w:left="720" w:hanging="720"/>
        <w:jc w:val="both"/>
        <w:rPr>
          <w:rFonts w:ascii="Times New Roman" w:hAnsi="Times New Roman" w:cs="Times New Roman"/>
          <w:sz w:val="24"/>
          <w:szCs w:val="24"/>
        </w:rPr>
      </w:pPr>
    </w:p>
    <w:p w14:paraId="513695AB" w14:textId="77777777" w:rsidR="005A46DC" w:rsidRDefault="005A46DC" w:rsidP="00E52F26">
      <w:pPr>
        <w:spacing w:line="360" w:lineRule="auto"/>
        <w:ind w:left="720" w:hanging="720"/>
        <w:jc w:val="both"/>
        <w:rPr>
          <w:rFonts w:ascii="Times New Roman" w:hAnsi="Times New Roman" w:cs="Times New Roman"/>
          <w:sz w:val="24"/>
          <w:szCs w:val="24"/>
        </w:rPr>
      </w:pPr>
    </w:p>
    <w:p w14:paraId="56300945" w14:textId="77777777" w:rsidR="005A46DC" w:rsidRDefault="005A46DC" w:rsidP="00E52F26">
      <w:pPr>
        <w:spacing w:line="360" w:lineRule="auto"/>
        <w:ind w:left="720" w:hanging="720"/>
        <w:jc w:val="both"/>
        <w:rPr>
          <w:rFonts w:ascii="Times New Roman" w:hAnsi="Times New Roman" w:cs="Times New Roman"/>
          <w:sz w:val="24"/>
          <w:szCs w:val="24"/>
        </w:rPr>
      </w:pPr>
    </w:p>
    <w:p w14:paraId="4F3C029A" w14:textId="77777777" w:rsidR="005A46DC" w:rsidRDefault="005A46DC" w:rsidP="00E52F26">
      <w:pPr>
        <w:spacing w:line="360" w:lineRule="auto"/>
        <w:ind w:left="720" w:hanging="720"/>
        <w:jc w:val="both"/>
        <w:rPr>
          <w:rFonts w:ascii="Times New Roman" w:hAnsi="Times New Roman" w:cs="Times New Roman"/>
          <w:sz w:val="24"/>
          <w:szCs w:val="24"/>
        </w:rPr>
      </w:pPr>
    </w:p>
    <w:p w14:paraId="4FFAF4CB" w14:textId="77777777" w:rsidR="005A46DC" w:rsidRDefault="005A46DC" w:rsidP="00E52F26">
      <w:pPr>
        <w:spacing w:line="360" w:lineRule="auto"/>
        <w:ind w:left="720" w:hanging="720"/>
        <w:jc w:val="both"/>
        <w:rPr>
          <w:rFonts w:ascii="Times New Roman" w:hAnsi="Times New Roman" w:cs="Times New Roman"/>
          <w:sz w:val="24"/>
          <w:szCs w:val="24"/>
        </w:rPr>
      </w:pPr>
    </w:p>
    <w:p w14:paraId="592FADEB" w14:textId="77777777" w:rsidR="005A46DC" w:rsidRDefault="005A46DC" w:rsidP="00E52F26">
      <w:pPr>
        <w:spacing w:line="360" w:lineRule="auto"/>
        <w:ind w:left="720" w:hanging="720"/>
        <w:jc w:val="both"/>
        <w:rPr>
          <w:rFonts w:ascii="Times New Roman" w:hAnsi="Times New Roman" w:cs="Times New Roman"/>
          <w:sz w:val="24"/>
          <w:szCs w:val="24"/>
        </w:rPr>
      </w:pPr>
    </w:p>
    <w:p w14:paraId="693FE907" w14:textId="77777777" w:rsidR="005A46DC" w:rsidRDefault="005A46DC" w:rsidP="00E52F26">
      <w:pPr>
        <w:spacing w:line="360" w:lineRule="auto"/>
        <w:ind w:left="720" w:hanging="720"/>
        <w:jc w:val="both"/>
        <w:rPr>
          <w:rFonts w:ascii="Times New Roman" w:hAnsi="Times New Roman" w:cs="Times New Roman"/>
          <w:sz w:val="24"/>
          <w:szCs w:val="24"/>
        </w:rPr>
      </w:pPr>
    </w:p>
    <w:p w14:paraId="1A21EAE0" w14:textId="77777777" w:rsidR="005A46DC" w:rsidRDefault="005A46DC" w:rsidP="00E52F26">
      <w:pPr>
        <w:spacing w:line="360" w:lineRule="auto"/>
        <w:ind w:left="720" w:hanging="720"/>
        <w:jc w:val="both"/>
        <w:rPr>
          <w:rFonts w:ascii="Times New Roman" w:hAnsi="Times New Roman" w:cs="Times New Roman"/>
          <w:sz w:val="24"/>
          <w:szCs w:val="24"/>
        </w:rPr>
      </w:pPr>
    </w:p>
    <w:p w14:paraId="0DF6370F" w14:textId="77777777" w:rsidR="005A46DC" w:rsidRDefault="005A46DC" w:rsidP="00E52F26">
      <w:pPr>
        <w:spacing w:line="360" w:lineRule="auto"/>
        <w:ind w:left="720" w:hanging="720"/>
        <w:jc w:val="both"/>
        <w:rPr>
          <w:rFonts w:ascii="Times New Roman" w:hAnsi="Times New Roman" w:cs="Times New Roman"/>
          <w:sz w:val="24"/>
          <w:szCs w:val="24"/>
        </w:rPr>
      </w:pPr>
    </w:p>
    <w:p w14:paraId="31E038C3" w14:textId="77777777" w:rsidR="005A46DC" w:rsidRDefault="005A46DC" w:rsidP="00E52F26">
      <w:pPr>
        <w:spacing w:line="360" w:lineRule="auto"/>
        <w:ind w:left="720" w:hanging="720"/>
        <w:jc w:val="both"/>
        <w:rPr>
          <w:rFonts w:ascii="Times New Roman" w:hAnsi="Times New Roman" w:cs="Times New Roman"/>
          <w:sz w:val="24"/>
          <w:szCs w:val="24"/>
        </w:rPr>
      </w:pPr>
    </w:p>
    <w:p w14:paraId="7CBC6EFB" w14:textId="77777777" w:rsidR="005A46DC" w:rsidRDefault="005A46DC" w:rsidP="00E52F26">
      <w:pPr>
        <w:spacing w:line="360" w:lineRule="auto"/>
        <w:ind w:left="720" w:hanging="720"/>
        <w:jc w:val="both"/>
        <w:rPr>
          <w:rFonts w:ascii="Times New Roman" w:hAnsi="Times New Roman" w:cs="Times New Roman"/>
          <w:sz w:val="24"/>
          <w:szCs w:val="24"/>
        </w:rPr>
      </w:pPr>
    </w:p>
    <w:p w14:paraId="552E90B5" w14:textId="77777777" w:rsidR="005A46DC" w:rsidRDefault="005A46DC" w:rsidP="00E52F26">
      <w:pPr>
        <w:spacing w:line="360" w:lineRule="auto"/>
        <w:ind w:left="720" w:hanging="720"/>
        <w:jc w:val="both"/>
        <w:rPr>
          <w:rFonts w:ascii="Times New Roman" w:hAnsi="Times New Roman" w:cs="Times New Roman"/>
          <w:sz w:val="24"/>
          <w:szCs w:val="24"/>
        </w:rPr>
      </w:pPr>
    </w:p>
    <w:p w14:paraId="383F3883" w14:textId="77777777" w:rsidR="005A46DC" w:rsidRDefault="005A46DC" w:rsidP="00E52F26">
      <w:pPr>
        <w:spacing w:line="360" w:lineRule="auto"/>
        <w:ind w:left="720" w:hanging="720"/>
        <w:jc w:val="both"/>
        <w:rPr>
          <w:rFonts w:ascii="Times New Roman" w:hAnsi="Times New Roman" w:cs="Times New Roman"/>
          <w:sz w:val="24"/>
          <w:szCs w:val="24"/>
        </w:rPr>
      </w:pPr>
    </w:p>
    <w:p w14:paraId="0DFF3A41" w14:textId="77777777" w:rsidR="005A46DC" w:rsidRDefault="005A46DC" w:rsidP="00E52F26">
      <w:pPr>
        <w:spacing w:line="360" w:lineRule="auto"/>
        <w:ind w:left="720" w:hanging="720"/>
        <w:jc w:val="both"/>
        <w:rPr>
          <w:rFonts w:ascii="Times New Roman" w:hAnsi="Times New Roman" w:cs="Times New Roman"/>
          <w:sz w:val="24"/>
          <w:szCs w:val="24"/>
        </w:rPr>
      </w:pPr>
    </w:p>
    <w:p w14:paraId="2026A7C7" w14:textId="77777777" w:rsidR="005A46DC" w:rsidRDefault="005A46DC" w:rsidP="005A46DC">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38"/>
        <w:gridCol w:w="4536"/>
        <w:gridCol w:w="2642"/>
      </w:tblGrid>
      <w:tr w:rsidR="00F9215C" w14:paraId="0A9701C3" w14:textId="77777777" w:rsidTr="00FB26EF">
        <w:tc>
          <w:tcPr>
            <w:tcW w:w="1838" w:type="dxa"/>
          </w:tcPr>
          <w:p w14:paraId="337D191D" w14:textId="77777777" w:rsidR="00F9215C" w:rsidRPr="0037295E" w:rsidRDefault="00F9215C" w:rsidP="00FB26EF">
            <w:pPr>
              <w:spacing w:line="360" w:lineRule="auto"/>
              <w:jc w:val="both"/>
              <w:rPr>
                <w:rFonts w:ascii="Times New Roman" w:hAnsi="Times New Roman" w:cs="Times New Roman"/>
                <w:b/>
                <w:bCs/>
                <w:sz w:val="24"/>
                <w:szCs w:val="24"/>
              </w:rPr>
            </w:pPr>
            <w:bookmarkStart w:id="4" w:name="_Hlk199946602"/>
            <w:bookmarkStart w:id="5" w:name="_Hlk200887336"/>
            <w:proofErr w:type="spellStart"/>
            <w:proofErr w:type="gramStart"/>
            <w:r w:rsidRPr="0037295E">
              <w:rPr>
                <w:rFonts w:ascii="Times New Roman" w:hAnsi="Times New Roman" w:cs="Times New Roman"/>
                <w:b/>
                <w:bCs/>
                <w:sz w:val="24"/>
                <w:szCs w:val="24"/>
              </w:rPr>
              <w:t>S.No</w:t>
            </w:r>
            <w:proofErr w:type="spellEnd"/>
            <w:proofErr w:type="gramEnd"/>
          </w:p>
        </w:tc>
        <w:tc>
          <w:tcPr>
            <w:tcW w:w="4536" w:type="dxa"/>
          </w:tcPr>
          <w:p w14:paraId="61393C0F" w14:textId="77777777" w:rsidR="00F9215C" w:rsidRPr="0037295E" w:rsidRDefault="00F9215C" w:rsidP="00FB26EF">
            <w:pPr>
              <w:spacing w:line="360" w:lineRule="auto"/>
              <w:jc w:val="both"/>
              <w:rPr>
                <w:rFonts w:ascii="Times New Roman" w:hAnsi="Times New Roman" w:cs="Times New Roman"/>
                <w:b/>
                <w:bCs/>
                <w:sz w:val="24"/>
                <w:szCs w:val="24"/>
              </w:rPr>
            </w:pPr>
            <w:r w:rsidRPr="00CC5285">
              <w:rPr>
                <w:rFonts w:ascii="Times New Roman" w:hAnsi="Times New Roman" w:cs="Times New Roman"/>
                <w:b/>
                <w:bCs/>
                <w:sz w:val="24"/>
                <w:szCs w:val="24"/>
              </w:rPr>
              <w:t>Wall material and</w:t>
            </w:r>
            <w:r w:rsidRPr="0037295E">
              <w:rPr>
                <w:rFonts w:ascii="Times New Roman" w:hAnsi="Times New Roman" w:cs="Times New Roman"/>
                <w:b/>
                <w:bCs/>
                <w:sz w:val="24"/>
                <w:szCs w:val="24"/>
              </w:rPr>
              <w:t xml:space="preserve"> proportion (</w:t>
            </w:r>
            <w:proofErr w:type="gramStart"/>
            <w:r w:rsidRPr="0037295E">
              <w:rPr>
                <w:rFonts w:ascii="Times New Roman" w:hAnsi="Times New Roman" w:cs="Times New Roman"/>
                <w:b/>
                <w:bCs/>
                <w:sz w:val="24"/>
                <w:szCs w:val="24"/>
              </w:rPr>
              <w:t>A:B</w:t>
            </w:r>
            <w:proofErr w:type="gramEnd"/>
            <w:r w:rsidRPr="0037295E">
              <w:rPr>
                <w:rFonts w:ascii="Times New Roman" w:hAnsi="Times New Roman" w:cs="Times New Roman"/>
                <w:b/>
                <w:bCs/>
                <w:sz w:val="24"/>
                <w:szCs w:val="24"/>
              </w:rPr>
              <w:t>)</w:t>
            </w:r>
          </w:p>
        </w:tc>
        <w:tc>
          <w:tcPr>
            <w:tcW w:w="2642" w:type="dxa"/>
          </w:tcPr>
          <w:p w14:paraId="6BC1F313" w14:textId="77777777" w:rsidR="00F9215C" w:rsidRPr="0037295E" w:rsidRDefault="00F9215C" w:rsidP="00FB26EF">
            <w:pPr>
              <w:spacing w:line="360" w:lineRule="auto"/>
              <w:jc w:val="both"/>
              <w:rPr>
                <w:rFonts w:ascii="Times New Roman" w:hAnsi="Times New Roman" w:cs="Times New Roman"/>
                <w:b/>
                <w:bCs/>
                <w:sz w:val="24"/>
                <w:szCs w:val="24"/>
              </w:rPr>
            </w:pPr>
            <w:r w:rsidRPr="00CC5285">
              <w:rPr>
                <w:rFonts w:ascii="Times New Roman" w:hAnsi="Times New Roman" w:cs="Times New Roman"/>
                <w:b/>
                <w:bCs/>
                <w:sz w:val="24"/>
                <w:szCs w:val="24"/>
              </w:rPr>
              <w:t>Ratio</w:t>
            </w:r>
            <w:r w:rsidRPr="0037295E">
              <w:rPr>
                <w:rFonts w:ascii="Times New Roman" w:hAnsi="Times New Roman" w:cs="Times New Roman"/>
                <w:b/>
                <w:bCs/>
                <w:sz w:val="24"/>
                <w:szCs w:val="24"/>
              </w:rPr>
              <w:t>(</w:t>
            </w:r>
            <w:proofErr w:type="gramStart"/>
            <w:r w:rsidRPr="0037295E">
              <w:rPr>
                <w:rFonts w:ascii="Times New Roman" w:hAnsi="Times New Roman" w:cs="Times New Roman"/>
                <w:b/>
                <w:bCs/>
                <w:sz w:val="24"/>
                <w:szCs w:val="24"/>
              </w:rPr>
              <w:t>A:B</w:t>
            </w:r>
            <w:proofErr w:type="gramEnd"/>
            <w:r w:rsidRPr="0037295E">
              <w:rPr>
                <w:rFonts w:ascii="Times New Roman" w:hAnsi="Times New Roman" w:cs="Times New Roman"/>
                <w:b/>
                <w:bCs/>
                <w:sz w:val="24"/>
                <w:szCs w:val="24"/>
              </w:rPr>
              <w:t>)</w:t>
            </w:r>
          </w:p>
        </w:tc>
      </w:tr>
      <w:tr w:rsidR="00F9215C" w14:paraId="36A449B4" w14:textId="77777777" w:rsidTr="00FB26EF">
        <w:tc>
          <w:tcPr>
            <w:tcW w:w="1838" w:type="dxa"/>
          </w:tcPr>
          <w:p w14:paraId="5E2B5201"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536" w:type="dxa"/>
          </w:tcPr>
          <w:p w14:paraId="3EF5EB19"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inulin</w:t>
            </w:r>
          </w:p>
        </w:tc>
        <w:tc>
          <w:tcPr>
            <w:tcW w:w="2642" w:type="dxa"/>
          </w:tcPr>
          <w:p w14:paraId="7B48E5C9"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F9215C" w14:paraId="13B78B22" w14:textId="77777777" w:rsidTr="00FB26EF">
        <w:tc>
          <w:tcPr>
            <w:tcW w:w="1838" w:type="dxa"/>
          </w:tcPr>
          <w:p w14:paraId="57AC57A1"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09AAA225"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inulin</w:t>
            </w:r>
          </w:p>
        </w:tc>
        <w:tc>
          <w:tcPr>
            <w:tcW w:w="2642" w:type="dxa"/>
          </w:tcPr>
          <w:p w14:paraId="721B1312"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F9215C" w14:paraId="725037DC" w14:textId="77777777" w:rsidTr="00FB26EF">
        <w:tc>
          <w:tcPr>
            <w:tcW w:w="1838" w:type="dxa"/>
          </w:tcPr>
          <w:p w14:paraId="036158EB"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536" w:type="dxa"/>
          </w:tcPr>
          <w:p w14:paraId="489CE060"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inulin</w:t>
            </w:r>
          </w:p>
        </w:tc>
        <w:tc>
          <w:tcPr>
            <w:tcW w:w="2642" w:type="dxa"/>
          </w:tcPr>
          <w:p w14:paraId="455894C6"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r>
      <w:tr w:rsidR="00F9215C" w14:paraId="12CC243C" w14:textId="77777777" w:rsidTr="00FB26EF">
        <w:tc>
          <w:tcPr>
            <w:tcW w:w="1838" w:type="dxa"/>
          </w:tcPr>
          <w:p w14:paraId="0A7BDB27"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536" w:type="dxa"/>
          </w:tcPr>
          <w:p w14:paraId="4C930DC1"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gum Arabic</w:t>
            </w:r>
          </w:p>
        </w:tc>
        <w:tc>
          <w:tcPr>
            <w:tcW w:w="2642" w:type="dxa"/>
          </w:tcPr>
          <w:p w14:paraId="408393DC"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F9215C" w14:paraId="4D9E97F1" w14:textId="77777777" w:rsidTr="00FB26EF">
        <w:tc>
          <w:tcPr>
            <w:tcW w:w="1838" w:type="dxa"/>
          </w:tcPr>
          <w:p w14:paraId="3C96C5F3"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536" w:type="dxa"/>
          </w:tcPr>
          <w:p w14:paraId="7F34BEEF"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gum Arabic</w:t>
            </w:r>
          </w:p>
        </w:tc>
        <w:tc>
          <w:tcPr>
            <w:tcW w:w="2642" w:type="dxa"/>
          </w:tcPr>
          <w:p w14:paraId="258DD7DA"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r>
      <w:tr w:rsidR="00F9215C" w14:paraId="62FDB931" w14:textId="77777777" w:rsidTr="00FB26EF">
        <w:tc>
          <w:tcPr>
            <w:tcW w:w="1838" w:type="dxa"/>
          </w:tcPr>
          <w:p w14:paraId="5837D8E8"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536" w:type="dxa"/>
          </w:tcPr>
          <w:p w14:paraId="71892CBF"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gum Arabic</w:t>
            </w:r>
          </w:p>
        </w:tc>
        <w:tc>
          <w:tcPr>
            <w:tcW w:w="2642" w:type="dxa"/>
          </w:tcPr>
          <w:p w14:paraId="36868DE1"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r>
      <w:tr w:rsidR="00F9215C" w14:paraId="08C50FEC" w14:textId="77777777" w:rsidTr="00FB26EF">
        <w:tc>
          <w:tcPr>
            <w:tcW w:w="1838" w:type="dxa"/>
          </w:tcPr>
          <w:p w14:paraId="3AB67F71"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536" w:type="dxa"/>
          </w:tcPr>
          <w:p w14:paraId="0643E872"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sodium caseinate</w:t>
            </w:r>
          </w:p>
        </w:tc>
        <w:tc>
          <w:tcPr>
            <w:tcW w:w="2642" w:type="dxa"/>
          </w:tcPr>
          <w:p w14:paraId="76392172"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F9215C" w14:paraId="1B241A9D" w14:textId="77777777" w:rsidTr="00FB26EF">
        <w:tc>
          <w:tcPr>
            <w:tcW w:w="1838" w:type="dxa"/>
          </w:tcPr>
          <w:p w14:paraId="0B008DCE"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536" w:type="dxa"/>
          </w:tcPr>
          <w:p w14:paraId="2F4CCCBD"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sodium caseinate</w:t>
            </w:r>
          </w:p>
        </w:tc>
        <w:tc>
          <w:tcPr>
            <w:tcW w:w="2642" w:type="dxa"/>
          </w:tcPr>
          <w:p w14:paraId="30572B47"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r>
      <w:tr w:rsidR="00F9215C" w14:paraId="329E25FE" w14:textId="77777777" w:rsidTr="00FB26EF">
        <w:tc>
          <w:tcPr>
            <w:tcW w:w="1838" w:type="dxa"/>
          </w:tcPr>
          <w:p w14:paraId="531DA804"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536" w:type="dxa"/>
          </w:tcPr>
          <w:p w14:paraId="33C37706"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Maltodextrin: sodium caseinate</w:t>
            </w:r>
          </w:p>
        </w:tc>
        <w:tc>
          <w:tcPr>
            <w:tcW w:w="2642" w:type="dxa"/>
          </w:tcPr>
          <w:p w14:paraId="6CB9E549"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r>
    </w:tbl>
    <w:bookmarkEnd w:id="4"/>
    <w:p w14:paraId="2585F13B" w14:textId="77777777" w:rsidR="00F9215C" w:rsidRDefault="00F9215C" w:rsidP="00F9215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1- Selection of </w:t>
      </w:r>
      <w:r w:rsidRPr="0037295E">
        <w:rPr>
          <w:rFonts w:ascii="Times New Roman" w:hAnsi="Times New Roman" w:cs="Times New Roman"/>
          <w:b/>
          <w:bCs/>
          <w:sz w:val="24"/>
          <w:szCs w:val="24"/>
        </w:rPr>
        <w:t>appropriate combinations and ratios of wall materials</w:t>
      </w:r>
    </w:p>
    <w:tbl>
      <w:tblPr>
        <w:tblStyle w:val="TableGrid"/>
        <w:tblW w:w="0" w:type="auto"/>
        <w:jc w:val="center"/>
        <w:tblLook w:val="04A0" w:firstRow="1" w:lastRow="0" w:firstColumn="1" w:lastColumn="0" w:noHBand="0" w:noVBand="1"/>
      </w:tblPr>
      <w:tblGrid>
        <w:gridCol w:w="3005"/>
        <w:gridCol w:w="3005"/>
      </w:tblGrid>
      <w:tr w:rsidR="00F9215C" w14:paraId="239C9B72" w14:textId="77777777" w:rsidTr="00FB26EF">
        <w:trPr>
          <w:jc w:val="center"/>
        </w:trPr>
        <w:tc>
          <w:tcPr>
            <w:tcW w:w="3005" w:type="dxa"/>
          </w:tcPr>
          <w:p w14:paraId="0EEEDD10" w14:textId="77777777" w:rsidR="00F9215C" w:rsidRPr="00F0732A" w:rsidRDefault="00F9215C" w:rsidP="00FB26EF">
            <w:pPr>
              <w:spacing w:line="360" w:lineRule="auto"/>
              <w:rPr>
                <w:rFonts w:ascii="Times New Roman" w:hAnsi="Times New Roman" w:cs="Times New Roman"/>
                <w:b/>
                <w:bCs/>
                <w:sz w:val="24"/>
                <w:szCs w:val="24"/>
              </w:rPr>
            </w:pPr>
            <w:bookmarkStart w:id="6" w:name="_Hlk201226021"/>
            <w:r w:rsidRPr="00F0732A">
              <w:rPr>
                <w:rFonts w:ascii="Times New Roman" w:hAnsi="Times New Roman" w:cs="Times New Roman"/>
                <w:b/>
                <w:bCs/>
                <w:sz w:val="24"/>
                <w:szCs w:val="24"/>
              </w:rPr>
              <w:t>Parameters</w:t>
            </w:r>
          </w:p>
        </w:tc>
        <w:tc>
          <w:tcPr>
            <w:tcW w:w="3005" w:type="dxa"/>
          </w:tcPr>
          <w:p w14:paraId="7CA36668" w14:textId="77777777" w:rsidR="00F9215C" w:rsidRPr="00F0732A" w:rsidRDefault="00F9215C" w:rsidP="00FB26EF">
            <w:pPr>
              <w:spacing w:line="360" w:lineRule="auto"/>
              <w:rPr>
                <w:rFonts w:ascii="Times New Roman" w:hAnsi="Times New Roman" w:cs="Times New Roman"/>
                <w:b/>
                <w:bCs/>
                <w:sz w:val="24"/>
                <w:szCs w:val="24"/>
              </w:rPr>
            </w:pPr>
            <w:r w:rsidRPr="00F0732A">
              <w:rPr>
                <w:rFonts w:ascii="Times New Roman" w:hAnsi="Times New Roman" w:cs="Times New Roman"/>
                <w:b/>
                <w:bCs/>
                <w:sz w:val="24"/>
                <w:szCs w:val="24"/>
              </w:rPr>
              <w:t>Values</w:t>
            </w:r>
          </w:p>
        </w:tc>
      </w:tr>
      <w:tr w:rsidR="00F9215C" w14:paraId="5758024C" w14:textId="77777777" w:rsidTr="00FB26EF">
        <w:trPr>
          <w:jc w:val="center"/>
        </w:trPr>
        <w:tc>
          <w:tcPr>
            <w:tcW w:w="3005" w:type="dxa"/>
          </w:tcPr>
          <w:p w14:paraId="4A041B09" w14:textId="77777777" w:rsidR="00F9215C" w:rsidRPr="00EB0E0A" w:rsidRDefault="00F9215C" w:rsidP="00FB26EF">
            <w:pPr>
              <w:spacing w:line="360" w:lineRule="auto"/>
              <w:rPr>
                <w:rFonts w:ascii="Times New Roman" w:hAnsi="Times New Roman" w:cs="Times New Roman"/>
                <w:sz w:val="24"/>
                <w:szCs w:val="24"/>
              </w:rPr>
            </w:pPr>
            <w:r w:rsidRPr="00EB0E0A">
              <w:rPr>
                <w:rFonts w:ascii="Times New Roman" w:hAnsi="Times New Roman" w:cs="Times New Roman"/>
                <w:sz w:val="24"/>
                <w:szCs w:val="24"/>
              </w:rPr>
              <w:t>Moisture content (%)</w:t>
            </w:r>
          </w:p>
        </w:tc>
        <w:tc>
          <w:tcPr>
            <w:tcW w:w="3005" w:type="dxa"/>
          </w:tcPr>
          <w:p w14:paraId="1A8E1212" w14:textId="77777777" w:rsidR="00F9215C" w:rsidRPr="00EB0E0A"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3.89±0.05</w:t>
            </w:r>
            <w:r w:rsidRPr="00F0732A">
              <w:rPr>
                <w:rFonts w:ascii="Times New Roman" w:hAnsi="Times New Roman" w:cs="Times New Roman"/>
                <w:sz w:val="24"/>
                <w:szCs w:val="24"/>
                <w:vertAlign w:val="superscript"/>
              </w:rPr>
              <w:t>b</w:t>
            </w:r>
          </w:p>
        </w:tc>
      </w:tr>
      <w:tr w:rsidR="00F9215C" w14:paraId="66707D27" w14:textId="77777777" w:rsidTr="00FB26EF">
        <w:trPr>
          <w:jc w:val="center"/>
        </w:trPr>
        <w:tc>
          <w:tcPr>
            <w:tcW w:w="3005" w:type="dxa"/>
          </w:tcPr>
          <w:p w14:paraId="665CFB91" w14:textId="77777777" w:rsidR="00F9215C" w:rsidRPr="00EB0E0A" w:rsidRDefault="00F9215C" w:rsidP="00FB26EF">
            <w:pPr>
              <w:spacing w:line="360" w:lineRule="auto"/>
              <w:rPr>
                <w:rFonts w:ascii="Times New Roman" w:hAnsi="Times New Roman" w:cs="Times New Roman"/>
                <w:sz w:val="24"/>
                <w:szCs w:val="24"/>
              </w:rPr>
            </w:pPr>
            <w:r w:rsidRPr="00EB0E0A">
              <w:rPr>
                <w:rFonts w:ascii="Times New Roman" w:hAnsi="Times New Roman" w:cs="Times New Roman"/>
                <w:sz w:val="24"/>
                <w:szCs w:val="24"/>
              </w:rPr>
              <w:t>Water activity (a</w:t>
            </w:r>
            <w:r w:rsidRPr="00EB0E0A">
              <w:rPr>
                <w:rFonts w:ascii="Times New Roman" w:hAnsi="Times New Roman" w:cs="Times New Roman"/>
                <w:sz w:val="24"/>
                <w:szCs w:val="24"/>
                <w:vertAlign w:val="subscript"/>
              </w:rPr>
              <w:t>w</w:t>
            </w:r>
            <w:r w:rsidRPr="00EB0E0A">
              <w:rPr>
                <w:rFonts w:ascii="Times New Roman" w:hAnsi="Times New Roman" w:cs="Times New Roman"/>
                <w:sz w:val="24"/>
                <w:szCs w:val="24"/>
              </w:rPr>
              <w:t>)</w:t>
            </w:r>
          </w:p>
        </w:tc>
        <w:tc>
          <w:tcPr>
            <w:tcW w:w="3005" w:type="dxa"/>
          </w:tcPr>
          <w:p w14:paraId="182BE157" w14:textId="77777777" w:rsidR="00F9215C" w:rsidRPr="00EB0E0A"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0.35±0.003</w:t>
            </w:r>
            <w:r w:rsidRPr="00F0732A">
              <w:rPr>
                <w:rFonts w:ascii="Times New Roman" w:hAnsi="Times New Roman" w:cs="Times New Roman"/>
                <w:sz w:val="24"/>
                <w:szCs w:val="24"/>
                <w:vertAlign w:val="superscript"/>
              </w:rPr>
              <w:t>b</w:t>
            </w:r>
          </w:p>
        </w:tc>
      </w:tr>
      <w:tr w:rsidR="00F9215C" w14:paraId="5847DE53" w14:textId="77777777" w:rsidTr="00FB26EF">
        <w:trPr>
          <w:jc w:val="center"/>
        </w:trPr>
        <w:tc>
          <w:tcPr>
            <w:tcW w:w="3005" w:type="dxa"/>
          </w:tcPr>
          <w:p w14:paraId="047E2401" w14:textId="77777777" w:rsidR="00F9215C" w:rsidRPr="00EB0E0A" w:rsidRDefault="00F9215C" w:rsidP="00FB26EF">
            <w:pPr>
              <w:spacing w:line="360" w:lineRule="auto"/>
              <w:rPr>
                <w:rFonts w:ascii="Times New Roman" w:hAnsi="Times New Roman" w:cs="Times New Roman"/>
                <w:sz w:val="24"/>
                <w:szCs w:val="24"/>
              </w:rPr>
            </w:pPr>
            <w:r w:rsidRPr="00EB0E0A">
              <w:rPr>
                <w:rFonts w:ascii="Times New Roman" w:hAnsi="Times New Roman" w:cs="Times New Roman"/>
                <w:sz w:val="24"/>
                <w:szCs w:val="24"/>
              </w:rPr>
              <w:t>Bulk density (</w:t>
            </w:r>
            <w:proofErr w:type="spellStart"/>
            <w:r w:rsidRPr="00EB0E0A">
              <w:rPr>
                <w:rFonts w:ascii="Times New Roman" w:hAnsi="Times New Roman" w:cs="Times New Roman"/>
                <w:sz w:val="24"/>
                <w:szCs w:val="24"/>
              </w:rPr>
              <w:t>ρB</w:t>
            </w:r>
            <w:proofErr w:type="spellEnd"/>
            <w:r w:rsidRPr="00EB0E0A">
              <w:rPr>
                <w:rFonts w:ascii="Times New Roman" w:hAnsi="Times New Roman" w:cs="Times New Roman"/>
                <w:sz w:val="24"/>
                <w:szCs w:val="24"/>
              </w:rPr>
              <w:t>) (g/cm</w:t>
            </w:r>
            <w:r w:rsidRPr="00EB0E0A">
              <w:rPr>
                <w:rFonts w:ascii="Times New Roman" w:hAnsi="Times New Roman" w:cs="Times New Roman"/>
                <w:sz w:val="24"/>
                <w:szCs w:val="24"/>
                <w:vertAlign w:val="superscript"/>
              </w:rPr>
              <w:t>3</w:t>
            </w:r>
            <w:r w:rsidRPr="00EB0E0A">
              <w:rPr>
                <w:rFonts w:ascii="Times New Roman" w:hAnsi="Times New Roman" w:cs="Times New Roman"/>
                <w:sz w:val="24"/>
                <w:szCs w:val="24"/>
              </w:rPr>
              <w:t>)</w:t>
            </w:r>
          </w:p>
        </w:tc>
        <w:tc>
          <w:tcPr>
            <w:tcW w:w="3005" w:type="dxa"/>
          </w:tcPr>
          <w:p w14:paraId="7637DDE0" w14:textId="77777777" w:rsidR="00F9215C" w:rsidRPr="00EB0E0A"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0.31±0.01</w:t>
            </w:r>
            <w:r w:rsidRPr="00F0732A">
              <w:rPr>
                <w:rFonts w:ascii="Times New Roman" w:hAnsi="Times New Roman" w:cs="Times New Roman"/>
                <w:sz w:val="24"/>
                <w:szCs w:val="24"/>
                <w:vertAlign w:val="superscript"/>
              </w:rPr>
              <w:t>b</w:t>
            </w:r>
          </w:p>
        </w:tc>
      </w:tr>
      <w:tr w:rsidR="00F9215C" w14:paraId="5D823485" w14:textId="77777777" w:rsidTr="00FB26EF">
        <w:trPr>
          <w:jc w:val="center"/>
        </w:trPr>
        <w:tc>
          <w:tcPr>
            <w:tcW w:w="3005" w:type="dxa"/>
          </w:tcPr>
          <w:p w14:paraId="5828EB0C" w14:textId="77777777" w:rsidR="00F9215C" w:rsidRPr="00EB0E0A" w:rsidRDefault="00F9215C" w:rsidP="00FB26EF">
            <w:pPr>
              <w:spacing w:line="360" w:lineRule="auto"/>
              <w:rPr>
                <w:rFonts w:ascii="Times New Roman" w:hAnsi="Times New Roman" w:cs="Times New Roman"/>
                <w:sz w:val="24"/>
                <w:szCs w:val="24"/>
              </w:rPr>
            </w:pPr>
            <w:r w:rsidRPr="00EB0E0A">
              <w:rPr>
                <w:rFonts w:ascii="Times New Roman" w:hAnsi="Times New Roman" w:cs="Times New Roman"/>
                <w:sz w:val="24"/>
                <w:szCs w:val="24"/>
              </w:rPr>
              <w:t>Tapped density (</w:t>
            </w:r>
            <w:proofErr w:type="spellStart"/>
            <w:r w:rsidRPr="00EB0E0A">
              <w:rPr>
                <w:rFonts w:ascii="Times New Roman" w:hAnsi="Times New Roman" w:cs="Times New Roman"/>
                <w:sz w:val="24"/>
                <w:szCs w:val="24"/>
              </w:rPr>
              <w:t>ρT</w:t>
            </w:r>
            <w:proofErr w:type="spellEnd"/>
            <w:r w:rsidRPr="00EB0E0A">
              <w:rPr>
                <w:rFonts w:ascii="Times New Roman" w:hAnsi="Times New Roman" w:cs="Times New Roman"/>
                <w:sz w:val="24"/>
                <w:szCs w:val="24"/>
              </w:rPr>
              <w:t>) (g/cm³)</w:t>
            </w:r>
          </w:p>
        </w:tc>
        <w:tc>
          <w:tcPr>
            <w:tcW w:w="3005" w:type="dxa"/>
          </w:tcPr>
          <w:p w14:paraId="34CDFD7B" w14:textId="77777777" w:rsidR="00F9215C" w:rsidRPr="007C732B" w:rsidRDefault="00F9215C" w:rsidP="00FB26EF">
            <w:pPr>
              <w:spacing w:line="360" w:lineRule="auto"/>
              <w:rPr>
                <w:rFonts w:ascii="Times New Roman" w:hAnsi="Times New Roman" w:cs="Times New Roman"/>
                <w:b/>
                <w:bCs/>
                <w:sz w:val="24"/>
                <w:szCs w:val="24"/>
              </w:rPr>
            </w:pPr>
            <w:r>
              <w:rPr>
                <w:rFonts w:ascii="Times New Roman" w:hAnsi="Times New Roman" w:cs="Times New Roman"/>
                <w:sz w:val="24"/>
                <w:szCs w:val="24"/>
              </w:rPr>
              <w:t>0.48±0.01</w:t>
            </w:r>
            <w:r w:rsidRPr="00F0732A">
              <w:rPr>
                <w:rFonts w:ascii="Times New Roman" w:hAnsi="Times New Roman" w:cs="Times New Roman"/>
                <w:sz w:val="24"/>
                <w:szCs w:val="24"/>
                <w:vertAlign w:val="superscript"/>
              </w:rPr>
              <w:t>b</w:t>
            </w:r>
          </w:p>
        </w:tc>
      </w:tr>
      <w:tr w:rsidR="00F9215C" w14:paraId="7DC76B53" w14:textId="77777777" w:rsidTr="00FB26EF">
        <w:trPr>
          <w:jc w:val="center"/>
        </w:trPr>
        <w:tc>
          <w:tcPr>
            <w:tcW w:w="3005" w:type="dxa"/>
          </w:tcPr>
          <w:p w14:paraId="6725AE2D" w14:textId="77777777" w:rsidR="00F9215C" w:rsidRPr="00EB0E0A" w:rsidRDefault="00F9215C" w:rsidP="00FB26EF">
            <w:pPr>
              <w:spacing w:line="360" w:lineRule="auto"/>
              <w:rPr>
                <w:rFonts w:ascii="Times New Roman" w:hAnsi="Times New Roman" w:cs="Times New Roman"/>
                <w:sz w:val="24"/>
                <w:szCs w:val="24"/>
              </w:rPr>
            </w:pPr>
            <w:r w:rsidRPr="00EB0E0A">
              <w:rPr>
                <w:rFonts w:ascii="Times New Roman" w:hAnsi="Times New Roman" w:cs="Times New Roman"/>
                <w:sz w:val="24"/>
                <w:szCs w:val="24"/>
              </w:rPr>
              <w:t xml:space="preserve">Carr's </w:t>
            </w:r>
            <w:proofErr w:type="gramStart"/>
            <w:r w:rsidRPr="00EB0E0A">
              <w:rPr>
                <w:rFonts w:ascii="Times New Roman" w:hAnsi="Times New Roman" w:cs="Times New Roman"/>
                <w:sz w:val="24"/>
                <w:szCs w:val="24"/>
              </w:rPr>
              <w:t>index(</w:t>
            </w:r>
            <w:proofErr w:type="gramEnd"/>
            <w:r w:rsidRPr="00EB0E0A">
              <w:rPr>
                <w:rFonts w:ascii="Times New Roman" w:hAnsi="Times New Roman" w:cs="Times New Roman"/>
                <w:sz w:val="24"/>
                <w:szCs w:val="24"/>
              </w:rPr>
              <w:t>C</w:t>
            </w:r>
            <w:r>
              <w:rPr>
                <w:rFonts w:ascii="Times New Roman" w:hAnsi="Times New Roman" w:cs="Times New Roman"/>
                <w:sz w:val="24"/>
                <w:szCs w:val="24"/>
              </w:rPr>
              <w:t>I</w:t>
            </w:r>
            <w:r w:rsidRPr="00EB0E0A">
              <w:rPr>
                <w:rFonts w:ascii="Times New Roman" w:hAnsi="Times New Roman" w:cs="Times New Roman"/>
                <w:sz w:val="24"/>
                <w:szCs w:val="24"/>
              </w:rPr>
              <w:t>)</w:t>
            </w:r>
          </w:p>
        </w:tc>
        <w:tc>
          <w:tcPr>
            <w:tcW w:w="3005" w:type="dxa"/>
          </w:tcPr>
          <w:p w14:paraId="2B97E8B6" w14:textId="77777777" w:rsidR="00F9215C" w:rsidRPr="00EB0E0A"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34.74±0.83</w:t>
            </w:r>
            <w:r w:rsidRPr="00F0732A">
              <w:rPr>
                <w:rFonts w:ascii="Times New Roman" w:hAnsi="Times New Roman" w:cs="Times New Roman"/>
                <w:sz w:val="24"/>
                <w:szCs w:val="24"/>
                <w:vertAlign w:val="superscript"/>
              </w:rPr>
              <w:t>b</w:t>
            </w:r>
          </w:p>
        </w:tc>
      </w:tr>
      <w:tr w:rsidR="00F9215C" w14:paraId="53A5A461" w14:textId="77777777" w:rsidTr="00FB26EF">
        <w:trPr>
          <w:jc w:val="center"/>
        </w:trPr>
        <w:tc>
          <w:tcPr>
            <w:tcW w:w="3005" w:type="dxa"/>
          </w:tcPr>
          <w:p w14:paraId="666D4DDB" w14:textId="77777777" w:rsidR="00F9215C" w:rsidRPr="00EB0E0A" w:rsidRDefault="00F9215C" w:rsidP="00FB26EF">
            <w:pPr>
              <w:spacing w:line="360" w:lineRule="auto"/>
              <w:rPr>
                <w:rFonts w:ascii="Times New Roman" w:hAnsi="Times New Roman" w:cs="Times New Roman"/>
                <w:sz w:val="24"/>
                <w:szCs w:val="24"/>
              </w:rPr>
            </w:pPr>
            <w:r w:rsidRPr="00EB0E0A">
              <w:rPr>
                <w:rFonts w:ascii="Times New Roman" w:hAnsi="Times New Roman" w:cs="Times New Roman"/>
                <w:sz w:val="24"/>
                <w:szCs w:val="24"/>
              </w:rPr>
              <w:t>Hausner ratio (HR)</w:t>
            </w:r>
          </w:p>
        </w:tc>
        <w:tc>
          <w:tcPr>
            <w:tcW w:w="3005" w:type="dxa"/>
          </w:tcPr>
          <w:p w14:paraId="0A50AA65" w14:textId="77777777" w:rsidR="00F9215C" w:rsidRPr="00EB0E0A"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1.52±0.02</w:t>
            </w:r>
            <w:r w:rsidRPr="00F0732A">
              <w:rPr>
                <w:rFonts w:ascii="Times New Roman" w:hAnsi="Times New Roman" w:cs="Times New Roman"/>
                <w:sz w:val="24"/>
                <w:szCs w:val="24"/>
                <w:vertAlign w:val="superscript"/>
              </w:rPr>
              <w:t>b</w:t>
            </w:r>
          </w:p>
        </w:tc>
      </w:tr>
      <w:tr w:rsidR="00F9215C" w14:paraId="6052DD7D" w14:textId="77777777" w:rsidTr="00FB26EF">
        <w:trPr>
          <w:jc w:val="center"/>
        </w:trPr>
        <w:tc>
          <w:tcPr>
            <w:tcW w:w="3005" w:type="dxa"/>
          </w:tcPr>
          <w:p w14:paraId="14A00637" w14:textId="77777777" w:rsidR="00F9215C" w:rsidRPr="00EB0E0A" w:rsidRDefault="00F9215C" w:rsidP="00FB26EF">
            <w:pPr>
              <w:spacing w:line="360" w:lineRule="auto"/>
              <w:rPr>
                <w:rFonts w:ascii="Times New Roman" w:hAnsi="Times New Roman" w:cs="Times New Roman"/>
                <w:sz w:val="24"/>
                <w:szCs w:val="24"/>
              </w:rPr>
            </w:pPr>
            <w:r w:rsidRPr="00EB0E0A">
              <w:rPr>
                <w:rFonts w:ascii="Times New Roman" w:hAnsi="Times New Roman" w:cs="Times New Roman"/>
                <w:sz w:val="24"/>
                <w:szCs w:val="24"/>
              </w:rPr>
              <w:t>Encapsulation efficiency</w:t>
            </w:r>
            <w:r>
              <w:rPr>
                <w:rFonts w:ascii="Times New Roman" w:hAnsi="Times New Roman" w:cs="Times New Roman"/>
                <w:sz w:val="24"/>
                <w:szCs w:val="24"/>
              </w:rPr>
              <w:t xml:space="preserve"> </w:t>
            </w:r>
            <w:r w:rsidRPr="00EB0E0A">
              <w:rPr>
                <w:rFonts w:ascii="Times New Roman" w:hAnsi="Times New Roman" w:cs="Times New Roman"/>
                <w:sz w:val="24"/>
                <w:szCs w:val="24"/>
              </w:rPr>
              <w:t>(</w:t>
            </w:r>
            <w:r>
              <w:rPr>
                <w:rFonts w:ascii="Times New Roman" w:hAnsi="Times New Roman" w:cs="Times New Roman"/>
                <w:sz w:val="24"/>
                <w:szCs w:val="24"/>
              </w:rPr>
              <w:t>EE%</w:t>
            </w:r>
            <w:r w:rsidRPr="00EB0E0A">
              <w:rPr>
                <w:rFonts w:ascii="Times New Roman" w:hAnsi="Times New Roman" w:cs="Times New Roman"/>
                <w:sz w:val="24"/>
                <w:szCs w:val="24"/>
              </w:rPr>
              <w:t>)</w:t>
            </w:r>
          </w:p>
        </w:tc>
        <w:tc>
          <w:tcPr>
            <w:tcW w:w="3005" w:type="dxa"/>
          </w:tcPr>
          <w:p w14:paraId="5A1B31D0" w14:textId="77777777" w:rsidR="00F9215C" w:rsidRPr="00EB0E0A"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94.94±0.41</w:t>
            </w:r>
            <w:r w:rsidRPr="00F0732A">
              <w:rPr>
                <w:rFonts w:ascii="Times New Roman" w:hAnsi="Times New Roman" w:cs="Times New Roman"/>
                <w:sz w:val="24"/>
                <w:szCs w:val="24"/>
                <w:vertAlign w:val="superscript"/>
              </w:rPr>
              <w:t>b</w:t>
            </w:r>
          </w:p>
        </w:tc>
      </w:tr>
      <w:tr w:rsidR="00F9215C" w14:paraId="132F2DA0" w14:textId="77777777" w:rsidTr="00FB26EF">
        <w:trPr>
          <w:jc w:val="center"/>
        </w:trPr>
        <w:tc>
          <w:tcPr>
            <w:tcW w:w="3005" w:type="dxa"/>
          </w:tcPr>
          <w:p w14:paraId="6607F7F3" w14:textId="77777777" w:rsidR="00F9215C" w:rsidRPr="00EB0E0A" w:rsidRDefault="00F9215C" w:rsidP="00FB26EF">
            <w:pPr>
              <w:spacing w:line="360" w:lineRule="auto"/>
              <w:rPr>
                <w:rFonts w:ascii="Times New Roman" w:hAnsi="Times New Roman" w:cs="Times New Roman"/>
                <w:sz w:val="24"/>
                <w:szCs w:val="24"/>
              </w:rPr>
            </w:pPr>
            <w:r w:rsidRPr="00EB0E0A">
              <w:rPr>
                <w:rFonts w:ascii="Times New Roman" w:hAnsi="Times New Roman" w:cs="Times New Roman"/>
                <w:sz w:val="24"/>
                <w:szCs w:val="24"/>
              </w:rPr>
              <w:t>Yield %</w:t>
            </w:r>
          </w:p>
        </w:tc>
        <w:tc>
          <w:tcPr>
            <w:tcW w:w="3005" w:type="dxa"/>
          </w:tcPr>
          <w:p w14:paraId="5AC00290" w14:textId="77777777" w:rsidR="00F9215C" w:rsidRPr="00EB0E0A"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56.91±0.15</w:t>
            </w:r>
            <w:r w:rsidRPr="00F0732A">
              <w:rPr>
                <w:rFonts w:ascii="Times New Roman" w:hAnsi="Times New Roman" w:cs="Times New Roman"/>
                <w:sz w:val="24"/>
                <w:szCs w:val="24"/>
                <w:vertAlign w:val="superscript"/>
              </w:rPr>
              <w:t>a</w:t>
            </w:r>
          </w:p>
        </w:tc>
      </w:tr>
      <w:tr w:rsidR="00F9215C" w14:paraId="6A5F5B29" w14:textId="77777777" w:rsidTr="00FB26EF">
        <w:trPr>
          <w:jc w:val="center"/>
        </w:trPr>
        <w:tc>
          <w:tcPr>
            <w:tcW w:w="3005" w:type="dxa"/>
          </w:tcPr>
          <w:p w14:paraId="13F60867" w14:textId="77777777" w:rsidR="00F9215C" w:rsidRPr="00EB0E0A"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Emulsion stability index (ESI) %</w:t>
            </w:r>
          </w:p>
        </w:tc>
        <w:tc>
          <w:tcPr>
            <w:tcW w:w="3005" w:type="dxa"/>
          </w:tcPr>
          <w:p w14:paraId="60AD1083" w14:textId="77777777" w:rsidR="00F9215C" w:rsidRDefault="00F9215C" w:rsidP="00FB26EF">
            <w:pPr>
              <w:spacing w:line="360" w:lineRule="auto"/>
              <w:rPr>
                <w:rFonts w:ascii="Times New Roman" w:hAnsi="Times New Roman" w:cs="Times New Roman"/>
                <w:sz w:val="24"/>
                <w:szCs w:val="24"/>
              </w:rPr>
            </w:pPr>
            <w:r>
              <w:rPr>
                <w:rFonts w:ascii="Times New Roman" w:hAnsi="Times New Roman" w:cs="Times New Roman"/>
                <w:sz w:val="24"/>
                <w:szCs w:val="24"/>
              </w:rPr>
              <w:t>92.43±8.17</w:t>
            </w:r>
            <w:r w:rsidRPr="00F0732A">
              <w:rPr>
                <w:rFonts w:ascii="Times New Roman" w:hAnsi="Times New Roman" w:cs="Times New Roman"/>
                <w:sz w:val="24"/>
                <w:szCs w:val="24"/>
                <w:vertAlign w:val="superscript"/>
              </w:rPr>
              <w:t>b</w:t>
            </w:r>
          </w:p>
        </w:tc>
      </w:tr>
    </w:tbl>
    <w:bookmarkEnd w:id="6"/>
    <w:p w14:paraId="653B6F54" w14:textId="77777777" w:rsidR="00F9215C" w:rsidRDefault="00F9215C" w:rsidP="00F9215C">
      <w:pPr>
        <w:spacing w:line="360" w:lineRule="auto"/>
        <w:jc w:val="both"/>
        <w:rPr>
          <w:rFonts w:ascii="Times New Roman" w:hAnsi="Times New Roman" w:cs="Times New Roman"/>
          <w:b/>
          <w:bCs/>
          <w:sz w:val="24"/>
          <w:szCs w:val="24"/>
        </w:rPr>
      </w:pPr>
      <w:r w:rsidRPr="00F9215C">
        <w:rPr>
          <w:rFonts w:ascii="Times New Roman" w:hAnsi="Times New Roman" w:cs="Times New Roman"/>
          <w:b/>
          <w:bCs/>
          <w:sz w:val="24"/>
          <w:szCs w:val="24"/>
        </w:rPr>
        <w:lastRenderedPageBreak/>
        <w:t xml:space="preserve">Table 2-Physicochemical Characterization and Encapsulation Efficiency of Microencapsulated Sea Buckthorn Seed Oil Powder Using Optimized Wall Material Combinations. Values are presented as mean ± standard deviation (n = 3). Different superscript letters (a, b) within the same column that shows significant differences (p &lt; 0.05) </w:t>
      </w:r>
    </w:p>
    <w:tbl>
      <w:tblPr>
        <w:tblStyle w:val="TableGrid"/>
        <w:tblW w:w="0" w:type="auto"/>
        <w:tblLook w:val="04A0" w:firstRow="1" w:lastRow="0" w:firstColumn="1" w:lastColumn="0" w:noHBand="0" w:noVBand="1"/>
      </w:tblPr>
      <w:tblGrid>
        <w:gridCol w:w="3005"/>
        <w:gridCol w:w="3005"/>
        <w:gridCol w:w="3006"/>
      </w:tblGrid>
      <w:tr w:rsidR="00F9215C" w14:paraId="6A98A4F3" w14:textId="77777777" w:rsidTr="00FB26EF">
        <w:tc>
          <w:tcPr>
            <w:tcW w:w="3005" w:type="dxa"/>
          </w:tcPr>
          <w:p w14:paraId="0136C3D8" w14:textId="77777777" w:rsidR="00F9215C" w:rsidRPr="0037295E" w:rsidRDefault="00F9215C" w:rsidP="00FB26EF">
            <w:pPr>
              <w:spacing w:line="360" w:lineRule="auto"/>
              <w:jc w:val="both"/>
              <w:rPr>
                <w:rFonts w:ascii="Times New Roman" w:hAnsi="Times New Roman" w:cs="Times New Roman"/>
                <w:b/>
                <w:bCs/>
                <w:sz w:val="24"/>
                <w:szCs w:val="24"/>
              </w:rPr>
            </w:pPr>
            <w:r w:rsidRPr="0037295E">
              <w:rPr>
                <w:rFonts w:ascii="Times New Roman" w:hAnsi="Times New Roman" w:cs="Times New Roman"/>
                <w:b/>
                <w:bCs/>
                <w:sz w:val="24"/>
                <w:szCs w:val="24"/>
              </w:rPr>
              <w:t>Carr's index</w:t>
            </w:r>
          </w:p>
        </w:tc>
        <w:tc>
          <w:tcPr>
            <w:tcW w:w="3005" w:type="dxa"/>
          </w:tcPr>
          <w:p w14:paraId="2D03D6BD" w14:textId="77777777" w:rsidR="00F9215C" w:rsidRPr="0037295E" w:rsidRDefault="00F9215C" w:rsidP="00FB26EF">
            <w:pPr>
              <w:spacing w:line="360" w:lineRule="auto"/>
              <w:jc w:val="both"/>
              <w:rPr>
                <w:rFonts w:ascii="Times New Roman" w:hAnsi="Times New Roman" w:cs="Times New Roman"/>
                <w:b/>
                <w:bCs/>
                <w:sz w:val="24"/>
                <w:szCs w:val="24"/>
              </w:rPr>
            </w:pPr>
            <w:r w:rsidRPr="0037295E">
              <w:rPr>
                <w:rFonts w:ascii="Times New Roman" w:hAnsi="Times New Roman" w:cs="Times New Roman"/>
                <w:b/>
                <w:bCs/>
                <w:sz w:val="24"/>
                <w:szCs w:val="24"/>
              </w:rPr>
              <w:t>Flowability</w:t>
            </w:r>
          </w:p>
        </w:tc>
        <w:tc>
          <w:tcPr>
            <w:tcW w:w="3006" w:type="dxa"/>
          </w:tcPr>
          <w:p w14:paraId="0751DD04" w14:textId="77777777" w:rsidR="00F9215C" w:rsidRPr="0037295E" w:rsidRDefault="00F9215C" w:rsidP="00FB26EF">
            <w:pPr>
              <w:spacing w:line="360" w:lineRule="auto"/>
              <w:jc w:val="both"/>
              <w:rPr>
                <w:rFonts w:ascii="Times New Roman" w:hAnsi="Times New Roman" w:cs="Times New Roman"/>
                <w:b/>
                <w:bCs/>
                <w:sz w:val="24"/>
                <w:szCs w:val="24"/>
              </w:rPr>
            </w:pPr>
            <w:r w:rsidRPr="0037295E">
              <w:rPr>
                <w:rFonts w:ascii="Times New Roman" w:hAnsi="Times New Roman" w:cs="Times New Roman"/>
                <w:b/>
                <w:bCs/>
                <w:sz w:val="24"/>
                <w:szCs w:val="24"/>
              </w:rPr>
              <w:t>Hausner ratio</w:t>
            </w:r>
          </w:p>
        </w:tc>
      </w:tr>
      <w:tr w:rsidR="00F9215C" w14:paraId="781B1A2B" w14:textId="77777777" w:rsidTr="00FB26EF">
        <w:tc>
          <w:tcPr>
            <w:tcW w:w="3005" w:type="dxa"/>
          </w:tcPr>
          <w:p w14:paraId="7CFCF333"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Less than or equals to </w:t>
            </w:r>
            <w:r w:rsidRPr="00215CEC">
              <w:rPr>
                <w:rFonts w:ascii="Times New Roman" w:hAnsi="Times New Roman" w:cs="Times New Roman"/>
                <w:sz w:val="24"/>
                <w:szCs w:val="24"/>
              </w:rPr>
              <w:t>10</w:t>
            </w:r>
          </w:p>
        </w:tc>
        <w:tc>
          <w:tcPr>
            <w:tcW w:w="3005" w:type="dxa"/>
          </w:tcPr>
          <w:p w14:paraId="0F0AE9DC"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Excellent</w:t>
            </w:r>
          </w:p>
        </w:tc>
        <w:tc>
          <w:tcPr>
            <w:tcW w:w="3006" w:type="dxa"/>
          </w:tcPr>
          <w:p w14:paraId="30BA59FD"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1.00–1.1</w:t>
            </w:r>
            <w:r>
              <w:rPr>
                <w:rFonts w:ascii="Times New Roman" w:hAnsi="Times New Roman" w:cs="Times New Roman"/>
                <w:sz w:val="24"/>
                <w:szCs w:val="24"/>
              </w:rPr>
              <w:t>0</w:t>
            </w:r>
          </w:p>
        </w:tc>
      </w:tr>
      <w:tr w:rsidR="00F9215C" w14:paraId="799F2959" w14:textId="77777777" w:rsidTr="00FB26EF">
        <w:tc>
          <w:tcPr>
            <w:tcW w:w="3005" w:type="dxa"/>
          </w:tcPr>
          <w:p w14:paraId="42C7ECF7"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11.0</w:t>
            </w:r>
            <w:r>
              <w:rPr>
                <w:rFonts w:ascii="Times New Roman" w:hAnsi="Times New Roman" w:cs="Times New Roman"/>
                <w:sz w:val="24"/>
                <w:szCs w:val="24"/>
              </w:rPr>
              <w:t xml:space="preserve">0 to </w:t>
            </w:r>
            <w:r w:rsidRPr="00215CEC">
              <w:rPr>
                <w:rFonts w:ascii="Times New Roman" w:hAnsi="Times New Roman" w:cs="Times New Roman"/>
                <w:sz w:val="24"/>
                <w:szCs w:val="24"/>
              </w:rPr>
              <w:t>15.</w:t>
            </w:r>
            <w:r>
              <w:rPr>
                <w:rFonts w:ascii="Times New Roman" w:hAnsi="Times New Roman" w:cs="Times New Roman"/>
                <w:sz w:val="24"/>
                <w:szCs w:val="24"/>
              </w:rPr>
              <w:t>0</w:t>
            </w:r>
            <w:r w:rsidRPr="00215CEC">
              <w:rPr>
                <w:rFonts w:ascii="Times New Roman" w:hAnsi="Times New Roman" w:cs="Times New Roman"/>
                <w:sz w:val="24"/>
                <w:szCs w:val="24"/>
              </w:rPr>
              <w:t>0</w:t>
            </w:r>
          </w:p>
        </w:tc>
        <w:tc>
          <w:tcPr>
            <w:tcW w:w="3005" w:type="dxa"/>
          </w:tcPr>
          <w:p w14:paraId="0ADA97A0"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Good</w:t>
            </w:r>
          </w:p>
        </w:tc>
        <w:tc>
          <w:tcPr>
            <w:tcW w:w="3006" w:type="dxa"/>
          </w:tcPr>
          <w:p w14:paraId="7EF78B12"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1.12–1.1</w:t>
            </w:r>
            <w:r>
              <w:rPr>
                <w:rFonts w:ascii="Times New Roman" w:hAnsi="Times New Roman" w:cs="Times New Roman"/>
                <w:sz w:val="24"/>
                <w:szCs w:val="24"/>
              </w:rPr>
              <w:t>9</w:t>
            </w:r>
          </w:p>
        </w:tc>
      </w:tr>
      <w:tr w:rsidR="00F9215C" w14:paraId="6A43DDBB" w14:textId="77777777" w:rsidTr="00FB26EF">
        <w:tc>
          <w:tcPr>
            <w:tcW w:w="3005" w:type="dxa"/>
          </w:tcPr>
          <w:p w14:paraId="6A022641"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16</w:t>
            </w:r>
            <w:r>
              <w:rPr>
                <w:rFonts w:ascii="Times New Roman" w:hAnsi="Times New Roman" w:cs="Times New Roman"/>
                <w:sz w:val="24"/>
                <w:szCs w:val="24"/>
              </w:rPr>
              <w:t xml:space="preserve"> to </w:t>
            </w:r>
            <w:r w:rsidRPr="00215CEC">
              <w:rPr>
                <w:rFonts w:ascii="Times New Roman" w:hAnsi="Times New Roman" w:cs="Times New Roman"/>
                <w:sz w:val="24"/>
                <w:szCs w:val="24"/>
              </w:rPr>
              <w:t>20</w:t>
            </w:r>
          </w:p>
        </w:tc>
        <w:tc>
          <w:tcPr>
            <w:tcW w:w="3005" w:type="dxa"/>
          </w:tcPr>
          <w:p w14:paraId="6F826D3E"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Fair</w:t>
            </w:r>
          </w:p>
        </w:tc>
        <w:tc>
          <w:tcPr>
            <w:tcW w:w="3006" w:type="dxa"/>
          </w:tcPr>
          <w:p w14:paraId="79A5D75C"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1.19–1.2</w:t>
            </w:r>
            <w:r>
              <w:rPr>
                <w:rFonts w:ascii="Times New Roman" w:hAnsi="Times New Roman" w:cs="Times New Roman"/>
                <w:sz w:val="24"/>
                <w:szCs w:val="24"/>
              </w:rPr>
              <w:t>6</w:t>
            </w:r>
          </w:p>
        </w:tc>
      </w:tr>
      <w:tr w:rsidR="00F9215C" w14:paraId="383D3FA7" w14:textId="77777777" w:rsidTr="00FB26EF">
        <w:tc>
          <w:tcPr>
            <w:tcW w:w="3005" w:type="dxa"/>
          </w:tcPr>
          <w:p w14:paraId="489E2BC5"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21</w:t>
            </w:r>
            <w:r>
              <w:rPr>
                <w:rFonts w:ascii="Times New Roman" w:hAnsi="Times New Roman" w:cs="Times New Roman"/>
                <w:sz w:val="24"/>
                <w:szCs w:val="24"/>
              </w:rPr>
              <w:t xml:space="preserve"> to </w:t>
            </w:r>
            <w:r w:rsidRPr="00215CEC">
              <w:rPr>
                <w:rFonts w:ascii="Times New Roman" w:hAnsi="Times New Roman" w:cs="Times New Roman"/>
                <w:sz w:val="24"/>
                <w:szCs w:val="24"/>
              </w:rPr>
              <w:t>25</w:t>
            </w:r>
          </w:p>
        </w:tc>
        <w:tc>
          <w:tcPr>
            <w:tcW w:w="3005" w:type="dxa"/>
          </w:tcPr>
          <w:p w14:paraId="7702006D"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Passable</w:t>
            </w:r>
          </w:p>
        </w:tc>
        <w:tc>
          <w:tcPr>
            <w:tcW w:w="3006" w:type="dxa"/>
          </w:tcPr>
          <w:p w14:paraId="22D749F7"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1.26–1.3</w:t>
            </w:r>
            <w:r>
              <w:rPr>
                <w:rFonts w:ascii="Times New Roman" w:hAnsi="Times New Roman" w:cs="Times New Roman"/>
                <w:sz w:val="24"/>
                <w:szCs w:val="24"/>
              </w:rPr>
              <w:t>5</w:t>
            </w:r>
          </w:p>
        </w:tc>
      </w:tr>
      <w:tr w:rsidR="00F9215C" w14:paraId="77927C17" w14:textId="77777777" w:rsidTr="00FB26EF">
        <w:tc>
          <w:tcPr>
            <w:tcW w:w="3005" w:type="dxa"/>
          </w:tcPr>
          <w:p w14:paraId="20BFC8FB"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26</w:t>
            </w:r>
            <w:r>
              <w:rPr>
                <w:rFonts w:ascii="Times New Roman" w:hAnsi="Times New Roman" w:cs="Times New Roman"/>
                <w:sz w:val="24"/>
                <w:szCs w:val="24"/>
              </w:rPr>
              <w:t xml:space="preserve"> to </w:t>
            </w:r>
            <w:r w:rsidRPr="00215CEC">
              <w:rPr>
                <w:rFonts w:ascii="Times New Roman" w:hAnsi="Times New Roman" w:cs="Times New Roman"/>
                <w:sz w:val="24"/>
                <w:szCs w:val="24"/>
              </w:rPr>
              <w:t>31</w:t>
            </w:r>
          </w:p>
        </w:tc>
        <w:tc>
          <w:tcPr>
            <w:tcW w:w="3005" w:type="dxa"/>
          </w:tcPr>
          <w:p w14:paraId="788DFA74"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Poor</w:t>
            </w:r>
          </w:p>
        </w:tc>
        <w:tc>
          <w:tcPr>
            <w:tcW w:w="3006" w:type="dxa"/>
          </w:tcPr>
          <w:p w14:paraId="79CE39F6"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1.35–1.45</w:t>
            </w:r>
          </w:p>
        </w:tc>
      </w:tr>
      <w:tr w:rsidR="00F9215C" w14:paraId="304D0D4A" w14:textId="77777777" w:rsidTr="00FB26EF">
        <w:tc>
          <w:tcPr>
            <w:tcW w:w="3005" w:type="dxa"/>
          </w:tcPr>
          <w:p w14:paraId="49AF6395"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32</w:t>
            </w:r>
            <w:r>
              <w:rPr>
                <w:rFonts w:ascii="Times New Roman" w:hAnsi="Times New Roman" w:cs="Times New Roman"/>
                <w:sz w:val="24"/>
                <w:szCs w:val="24"/>
              </w:rPr>
              <w:t xml:space="preserve"> to </w:t>
            </w:r>
            <w:r w:rsidRPr="00215CEC">
              <w:rPr>
                <w:rFonts w:ascii="Times New Roman" w:hAnsi="Times New Roman" w:cs="Times New Roman"/>
                <w:sz w:val="24"/>
                <w:szCs w:val="24"/>
              </w:rPr>
              <w:t>37</w:t>
            </w:r>
          </w:p>
        </w:tc>
        <w:tc>
          <w:tcPr>
            <w:tcW w:w="3005" w:type="dxa"/>
          </w:tcPr>
          <w:p w14:paraId="688C3440"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Very poor</w:t>
            </w:r>
          </w:p>
        </w:tc>
        <w:tc>
          <w:tcPr>
            <w:tcW w:w="3006" w:type="dxa"/>
          </w:tcPr>
          <w:p w14:paraId="65BD7562"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1.4</w:t>
            </w:r>
            <w:r>
              <w:rPr>
                <w:rFonts w:ascii="Times New Roman" w:hAnsi="Times New Roman" w:cs="Times New Roman"/>
                <w:sz w:val="24"/>
                <w:szCs w:val="24"/>
              </w:rPr>
              <w:t>5</w:t>
            </w:r>
            <w:r w:rsidRPr="00215CEC">
              <w:rPr>
                <w:rFonts w:ascii="Times New Roman" w:hAnsi="Times New Roman" w:cs="Times New Roman"/>
                <w:sz w:val="24"/>
                <w:szCs w:val="24"/>
              </w:rPr>
              <w:t>–1.59</w:t>
            </w:r>
          </w:p>
        </w:tc>
      </w:tr>
      <w:tr w:rsidR="00F9215C" w14:paraId="28ED43FA" w14:textId="77777777" w:rsidTr="00FB26EF">
        <w:tc>
          <w:tcPr>
            <w:tcW w:w="3005" w:type="dxa"/>
          </w:tcPr>
          <w:p w14:paraId="17039DD0"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Less than or equals to </w:t>
            </w:r>
            <w:r w:rsidRPr="00215CEC">
              <w:rPr>
                <w:rFonts w:ascii="Times New Roman" w:hAnsi="Times New Roman" w:cs="Times New Roman"/>
                <w:sz w:val="24"/>
                <w:szCs w:val="24"/>
              </w:rPr>
              <w:t>38</w:t>
            </w:r>
          </w:p>
        </w:tc>
        <w:tc>
          <w:tcPr>
            <w:tcW w:w="3005" w:type="dxa"/>
          </w:tcPr>
          <w:p w14:paraId="00C9E472" w14:textId="77777777" w:rsidR="00F9215C" w:rsidRDefault="00F9215C" w:rsidP="00FB26EF">
            <w:pPr>
              <w:spacing w:line="360" w:lineRule="auto"/>
              <w:jc w:val="both"/>
              <w:rPr>
                <w:rFonts w:ascii="Times New Roman" w:hAnsi="Times New Roman" w:cs="Times New Roman"/>
                <w:sz w:val="24"/>
                <w:szCs w:val="24"/>
              </w:rPr>
            </w:pPr>
            <w:r w:rsidRPr="00215CEC">
              <w:rPr>
                <w:rFonts w:ascii="Times New Roman" w:hAnsi="Times New Roman" w:cs="Times New Roman"/>
                <w:sz w:val="24"/>
                <w:szCs w:val="24"/>
              </w:rPr>
              <w:t>Awful</w:t>
            </w:r>
          </w:p>
        </w:tc>
        <w:tc>
          <w:tcPr>
            <w:tcW w:w="3006" w:type="dxa"/>
          </w:tcPr>
          <w:p w14:paraId="5C4D9F83" w14:textId="77777777" w:rsidR="00F9215C" w:rsidRDefault="00F9215C" w:rsidP="00FB26EF">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215CEC">
              <w:rPr>
                <w:rFonts w:ascii="Times New Roman" w:hAnsi="Times New Roman" w:cs="Times New Roman"/>
                <w:sz w:val="24"/>
                <w:szCs w:val="24"/>
              </w:rPr>
              <w:t>1.6</w:t>
            </w:r>
            <w:r>
              <w:rPr>
                <w:rFonts w:ascii="Times New Roman" w:hAnsi="Times New Roman" w:cs="Times New Roman"/>
                <w:sz w:val="24"/>
                <w:szCs w:val="24"/>
              </w:rPr>
              <w:t>0</w:t>
            </w:r>
          </w:p>
        </w:tc>
      </w:tr>
    </w:tbl>
    <w:p w14:paraId="3B562F5D" w14:textId="35FCB8D5" w:rsidR="00F9215C" w:rsidRPr="00F9215C" w:rsidRDefault="00F9215C" w:rsidP="00F9215C">
      <w:pPr>
        <w:rPr>
          <w:rFonts w:ascii="Times New Roman" w:hAnsi="Times New Roman" w:cs="Times New Roman"/>
          <w:b/>
          <w:bCs/>
          <w:sz w:val="24"/>
          <w:szCs w:val="24"/>
        </w:rPr>
      </w:pPr>
      <w:r w:rsidRPr="00F9215C">
        <w:rPr>
          <w:rFonts w:ascii="Times New Roman" w:hAnsi="Times New Roman" w:cs="Times New Roman"/>
          <w:b/>
          <w:bCs/>
          <w:sz w:val="24"/>
          <w:szCs w:val="24"/>
        </w:rPr>
        <w:t xml:space="preserve">Table 3- Powder flowability from the Carr's index and </w:t>
      </w:r>
      <w:proofErr w:type="spellStart"/>
      <w:r w:rsidRPr="00F9215C">
        <w:rPr>
          <w:rFonts w:ascii="Times New Roman" w:hAnsi="Times New Roman" w:cs="Times New Roman"/>
          <w:b/>
          <w:bCs/>
          <w:sz w:val="24"/>
          <w:szCs w:val="24"/>
        </w:rPr>
        <w:t>Hausner</w:t>
      </w:r>
      <w:proofErr w:type="spellEnd"/>
      <w:r w:rsidRPr="00F9215C">
        <w:rPr>
          <w:rFonts w:ascii="Times New Roman" w:hAnsi="Times New Roman" w:cs="Times New Roman"/>
          <w:b/>
          <w:bCs/>
          <w:sz w:val="24"/>
          <w:szCs w:val="24"/>
        </w:rPr>
        <w:t xml:space="preserve"> ratio (</w:t>
      </w:r>
      <w:proofErr w:type="spellStart"/>
      <w:r w:rsidRPr="00F9215C">
        <w:rPr>
          <w:rFonts w:ascii="Times New Roman" w:hAnsi="Times New Roman" w:cs="Times New Roman"/>
          <w:b/>
          <w:bCs/>
          <w:sz w:val="24"/>
          <w:szCs w:val="24"/>
        </w:rPr>
        <w:t>Turchiuli</w:t>
      </w:r>
      <w:proofErr w:type="spellEnd"/>
      <w:r w:rsidRPr="00F9215C">
        <w:rPr>
          <w:rFonts w:ascii="Times New Roman" w:hAnsi="Times New Roman" w:cs="Times New Roman"/>
          <w:b/>
          <w:bCs/>
          <w:sz w:val="24"/>
          <w:szCs w:val="24"/>
        </w:rPr>
        <w:t xml:space="preserve"> et al., 2005).</w:t>
      </w:r>
    </w:p>
    <w:bookmarkEnd w:id="5"/>
    <w:p w14:paraId="61EAF0D9" w14:textId="77777777" w:rsidR="00F9215C" w:rsidRDefault="00F9215C" w:rsidP="00E52F26">
      <w:pPr>
        <w:spacing w:line="360" w:lineRule="auto"/>
        <w:ind w:left="720" w:hanging="720"/>
        <w:jc w:val="both"/>
        <w:rPr>
          <w:rFonts w:ascii="Times New Roman" w:hAnsi="Times New Roman" w:cs="Times New Roman"/>
          <w:sz w:val="24"/>
          <w:szCs w:val="24"/>
        </w:rPr>
      </w:pPr>
    </w:p>
    <w:sectPr w:rsidR="00F9215C">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E4D97" w14:textId="77777777" w:rsidR="007916E7" w:rsidRDefault="007916E7" w:rsidP="00187E4E">
      <w:pPr>
        <w:spacing w:after="0" w:line="240" w:lineRule="auto"/>
      </w:pPr>
      <w:r>
        <w:separator/>
      </w:r>
    </w:p>
  </w:endnote>
  <w:endnote w:type="continuationSeparator" w:id="0">
    <w:p w14:paraId="182036BE" w14:textId="77777777" w:rsidR="007916E7" w:rsidRDefault="007916E7" w:rsidP="0018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137D" w14:textId="77777777" w:rsidR="00187E4E" w:rsidRDefault="00187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EE5EC" w14:textId="77777777" w:rsidR="00187E4E" w:rsidRDefault="00187E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A4D67" w14:textId="77777777" w:rsidR="00187E4E" w:rsidRDefault="00187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5F6E5" w14:textId="77777777" w:rsidR="007916E7" w:rsidRDefault="007916E7" w:rsidP="00187E4E">
      <w:pPr>
        <w:spacing w:after="0" w:line="240" w:lineRule="auto"/>
      </w:pPr>
      <w:r>
        <w:separator/>
      </w:r>
    </w:p>
  </w:footnote>
  <w:footnote w:type="continuationSeparator" w:id="0">
    <w:p w14:paraId="77E6DC41" w14:textId="77777777" w:rsidR="007916E7" w:rsidRDefault="007916E7" w:rsidP="00187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907E6" w14:textId="78B5D8F4" w:rsidR="00187E4E" w:rsidRDefault="007916E7">
    <w:pPr>
      <w:pStyle w:val="Header"/>
    </w:pPr>
    <w:r>
      <w:rPr>
        <w:noProof/>
      </w:rPr>
      <w:pict w14:anchorId="54486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51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E1C5F" w14:textId="4CF54E7E" w:rsidR="00187E4E" w:rsidRDefault="007916E7">
    <w:pPr>
      <w:pStyle w:val="Header"/>
    </w:pPr>
    <w:r>
      <w:rPr>
        <w:noProof/>
      </w:rPr>
      <w:pict w14:anchorId="60BCFA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51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0060" w14:textId="41B6F5F8" w:rsidR="00187E4E" w:rsidRDefault="007916E7">
    <w:pPr>
      <w:pStyle w:val="Header"/>
    </w:pPr>
    <w:r>
      <w:rPr>
        <w:noProof/>
      </w:rPr>
      <w:pict w14:anchorId="6600A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51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65"/>
    <w:rsid w:val="00006F25"/>
    <w:rsid w:val="0002084E"/>
    <w:rsid w:val="000624AA"/>
    <w:rsid w:val="000717F8"/>
    <w:rsid w:val="000C3DB6"/>
    <w:rsid w:val="000D1A99"/>
    <w:rsid w:val="00105043"/>
    <w:rsid w:val="00111DBE"/>
    <w:rsid w:val="00125F5A"/>
    <w:rsid w:val="00135523"/>
    <w:rsid w:val="00142268"/>
    <w:rsid w:val="001510D1"/>
    <w:rsid w:val="0016174E"/>
    <w:rsid w:val="00187E4E"/>
    <w:rsid w:val="001F5418"/>
    <w:rsid w:val="00210BA0"/>
    <w:rsid w:val="00215CEC"/>
    <w:rsid w:val="00265B57"/>
    <w:rsid w:val="00273974"/>
    <w:rsid w:val="00294C7E"/>
    <w:rsid w:val="002B287F"/>
    <w:rsid w:val="002D29CE"/>
    <w:rsid w:val="002F34D1"/>
    <w:rsid w:val="00310134"/>
    <w:rsid w:val="003109E1"/>
    <w:rsid w:val="00342125"/>
    <w:rsid w:val="0036146F"/>
    <w:rsid w:val="00363992"/>
    <w:rsid w:val="00365F82"/>
    <w:rsid w:val="0037295E"/>
    <w:rsid w:val="003E02FE"/>
    <w:rsid w:val="003E59EF"/>
    <w:rsid w:val="004563B4"/>
    <w:rsid w:val="004A3C2A"/>
    <w:rsid w:val="004B21C8"/>
    <w:rsid w:val="005424A5"/>
    <w:rsid w:val="00554233"/>
    <w:rsid w:val="00566409"/>
    <w:rsid w:val="005A46DC"/>
    <w:rsid w:val="005C68C4"/>
    <w:rsid w:val="005D007A"/>
    <w:rsid w:val="005E2BC7"/>
    <w:rsid w:val="005E6015"/>
    <w:rsid w:val="00607DD1"/>
    <w:rsid w:val="0063664E"/>
    <w:rsid w:val="00641964"/>
    <w:rsid w:val="006724BA"/>
    <w:rsid w:val="006C1BAA"/>
    <w:rsid w:val="00745E66"/>
    <w:rsid w:val="00753778"/>
    <w:rsid w:val="00783E85"/>
    <w:rsid w:val="007916E7"/>
    <w:rsid w:val="007B0453"/>
    <w:rsid w:val="007B68EE"/>
    <w:rsid w:val="007C01A7"/>
    <w:rsid w:val="007D2FE4"/>
    <w:rsid w:val="007E4912"/>
    <w:rsid w:val="00800E45"/>
    <w:rsid w:val="008076B8"/>
    <w:rsid w:val="00835ED9"/>
    <w:rsid w:val="00855B2A"/>
    <w:rsid w:val="0088355D"/>
    <w:rsid w:val="008F491F"/>
    <w:rsid w:val="0091125A"/>
    <w:rsid w:val="00921407"/>
    <w:rsid w:val="00925D2A"/>
    <w:rsid w:val="00943C33"/>
    <w:rsid w:val="0094468D"/>
    <w:rsid w:val="00962AC1"/>
    <w:rsid w:val="00995D34"/>
    <w:rsid w:val="009B5F70"/>
    <w:rsid w:val="009C320D"/>
    <w:rsid w:val="009C5C52"/>
    <w:rsid w:val="00A501C7"/>
    <w:rsid w:val="00A85B1D"/>
    <w:rsid w:val="00AA2D73"/>
    <w:rsid w:val="00AE60C6"/>
    <w:rsid w:val="00B21A53"/>
    <w:rsid w:val="00B54978"/>
    <w:rsid w:val="00B55412"/>
    <w:rsid w:val="00B5575E"/>
    <w:rsid w:val="00B629E9"/>
    <w:rsid w:val="00B743FB"/>
    <w:rsid w:val="00B75BAC"/>
    <w:rsid w:val="00B92A79"/>
    <w:rsid w:val="00B93DE0"/>
    <w:rsid w:val="00BA48D8"/>
    <w:rsid w:val="00BB54A5"/>
    <w:rsid w:val="00BD097F"/>
    <w:rsid w:val="00BE2FAE"/>
    <w:rsid w:val="00BE5F42"/>
    <w:rsid w:val="00BF0B42"/>
    <w:rsid w:val="00C10FE0"/>
    <w:rsid w:val="00C1691A"/>
    <w:rsid w:val="00C37CCF"/>
    <w:rsid w:val="00C4364F"/>
    <w:rsid w:val="00C9120F"/>
    <w:rsid w:val="00CA4B77"/>
    <w:rsid w:val="00CA67D8"/>
    <w:rsid w:val="00CC5285"/>
    <w:rsid w:val="00CE45D4"/>
    <w:rsid w:val="00CF42E0"/>
    <w:rsid w:val="00D06875"/>
    <w:rsid w:val="00D34903"/>
    <w:rsid w:val="00D62AE2"/>
    <w:rsid w:val="00DB288C"/>
    <w:rsid w:val="00DB3E7A"/>
    <w:rsid w:val="00DB6448"/>
    <w:rsid w:val="00DE53A8"/>
    <w:rsid w:val="00DF34CC"/>
    <w:rsid w:val="00DF5B26"/>
    <w:rsid w:val="00E04052"/>
    <w:rsid w:val="00E043D2"/>
    <w:rsid w:val="00E111D6"/>
    <w:rsid w:val="00E43122"/>
    <w:rsid w:val="00E52F26"/>
    <w:rsid w:val="00E54C65"/>
    <w:rsid w:val="00EC3A1E"/>
    <w:rsid w:val="00EE35BA"/>
    <w:rsid w:val="00F04B16"/>
    <w:rsid w:val="00F1071F"/>
    <w:rsid w:val="00F1437E"/>
    <w:rsid w:val="00F23C3D"/>
    <w:rsid w:val="00F32912"/>
    <w:rsid w:val="00F33172"/>
    <w:rsid w:val="00F41C06"/>
    <w:rsid w:val="00F4577C"/>
    <w:rsid w:val="00F45CFE"/>
    <w:rsid w:val="00F75CA4"/>
    <w:rsid w:val="00F769C2"/>
    <w:rsid w:val="00F9215C"/>
    <w:rsid w:val="00FA412C"/>
    <w:rsid w:val="00FD3F60"/>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5B2A67"/>
  <w15:chartTrackingRefBased/>
  <w15:docId w15:val="{9ECD5B09-E200-48E5-8E52-34129934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C65"/>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E54C65"/>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E54C65"/>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E54C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4C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4C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C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C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C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C65"/>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E54C65"/>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E54C65"/>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E54C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4C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4C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C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C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C65"/>
    <w:rPr>
      <w:rFonts w:eastAsiaTheme="majorEastAsia" w:cstheme="majorBidi"/>
      <w:color w:val="272727" w:themeColor="text1" w:themeTint="D8"/>
    </w:rPr>
  </w:style>
  <w:style w:type="paragraph" w:styleId="Title">
    <w:name w:val="Title"/>
    <w:basedOn w:val="Normal"/>
    <w:next w:val="Normal"/>
    <w:link w:val="TitleChar"/>
    <w:uiPriority w:val="10"/>
    <w:qFormat/>
    <w:rsid w:val="00E54C65"/>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54C65"/>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54C65"/>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54C65"/>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E54C65"/>
    <w:pPr>
      <w:spacing w:before="160"/>
      <w:jc w:val="center"/>
    </w:pPr>
    <w:rPr>
      <w:i/>
      <w:iCs/>
      <w:color w:val="404040" w:themeColor="text1" w:themeTint="BF"/>
    </w:rPr>
  </w:style>
  <w:style w:type="character" w:customStyle="1" w:styleId="QuoteChar">
    <w:name w:val="Quote Char"/>
    <w:basedOn w:val="DefaultParagraphFont"/>
    <w:link w:val="Quote"/>
    <w:uiPriority w:val="29"/>
    <w:rsid w:val="00E54C65"/>
    <w:rPr>
      <w:i/>
      <w:iCs/>
      <w:color w:val="404040" w:themeColor="text1" w:themeTint="BF"/>
    </w:rPr>
  </w:style>
  <w:style w:type="paragraph" w:styleId="ListParagraph">
    <w:name w:val="List Paragraph"/>
    <w:basedOn w:val="Normal"/>
    <w:uiPriority w:val="34"/>
    <w:qFormat/>
    <w:rsid w:val="00E54C65"/>
    <w:pPr>
      <w:ind w:left="720"/>
      <w:contextualSpacing/>
    </w:pPr>
  </w:style>
  <w:style w:type="character" w:styleId="IntenseEmphasis">
    <w:name w:val="Intense Emphasis"/>
    <w:basedOn w:val="DefaultParagraphFont"/>
    <w:uiPriority w:val="21"/>
    <w:qFormat/>
    <w:rsid w:val="00E54C65"/>
    <w:rPr>
      <w:i/>
      <w:iCs/>
      <w:color w:val="2F5496" w:themeColor="accent1" w:themeShade="BF"/>
    </w:rPr>
  </w:style>
  <w:style w:type="paragraph" w:styleId="IntenseQuote">
    <w:name w:val="Intense Quote"/>
    <w:basedOn w:val="Normal"/>
    <w:next w:val="Normal"/>
    <w:link w:val="IntenseQuoteChar"/>
    <w:uiPriority w:val="30"/>
    <w:qFormat/>
    <w:rsid w:val="00E54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4C65"/>
    <w:rPr>
      <w:i/>
      <w:iCs/>
      <w:color w:val="2F5496" w:themeColor="accent1" w:themeShade="BF"/>
    </w:rPr>
  </w:style>
  <w:style w:type="character" w:styleId="IntenseReference">
    <w:name w:val="Intense Reference"/>
    <w:basedOn w:val="DefaultParagraphFont"/>
    <w:uiPriority w:val="32"/>
    <w:qFormat/>
    <w:rsid w:val="00E54C65"/>
    <w:rPr>
      <w:b/>
      <w:bCs/>
      <w:smallCaps/>
      <w:color w:val="2F5496" w:themeColor="accent1" w:themeShade="BF"/>
      <w:spacing w:val="5"/>
    </w:rPr>
  </w:style>
  <w:style w:type="character" w:styleId="PlaceholderText">
    <w:name w:val="Placeholder Text"/>
    <w:basedOn w:val="DefaultParagraphFont"/>
    <w:uiPriority w:val="99"/>
    <w:semiHidden/>
    <w:rsid w:val="00BA48D8"/>
    <w:rPr>
      <w:color w:val="666666"/>
    </w:rPr>
  </w:style>
  <w:style w:type="table" w:styleId="TableGrid">
    <w:name w:val="Table Grid"/>
    <w:basedOn w:val="TableNormal"/>
    <w:uiPriority w:val="39"/>
    <w:rsid w:val="00215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3C3D"/>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styleId="Hyperlink">
    <w:name w:val="Hyperlink"/>
    <w:basedOn w:val="DefaultParagraphFont"/>
    <w:uiPriority w:val="99"/>
    <w:unhideWhenUsed/>
    <w:rsid w:val="00CA67D8"/>
    <w:rPr>
      <w:color w:val="0563C1" w:themeColor="hyperlink"/>
      <w:u w:val="single"/>
    </w:rPr>
  </w:style>
  <w:style w:type="character" w:styleId="UnresolvedMention">
    <w:name w:val="Unresolved Mention"/>
    <w:basedOn w:val="DefaultParagraphFont"/>
    <w:uiPriority w:val="99"/>
    <w:semiHidden/>
    <w:unhideWhenUsed/>
    <w:rsid w:val="00CA67D8"/>
    <w:rPr>
      <w:color w:val="605E5C"/>
      <w:shd w:val="clear" w:color="auto" w:fill="E1DFDD"/>
    </w:rPr>
  </w:style>
  <w:style w:type="paragraph" w:styleId="Header">
    <w:name w:val="header"/>
    <w:basedOn w:val="Normal"/>
    <w:link w:val="HeaderChar"/>
    <w:uiPriority w:val="99"/>
    <w:unhideWhenUsed/>
    <w:rsid w:val="00187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E4E"/>
  </w:style>
  <w:style w:type="paragraph" w:styleId="Footer">
    <w:name w:val="footer"/>
    <w:basedOn w:val="Normal"/>
    <w:link w:val="FooterChar"/>
    <w:uiPriority w:val="99"/>
    <w:unhideWhenUsed/>
    <w:rsid w:val="00187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3670">
      <w:bodyDiv w:val="1"/>
      <w:marLeft w:val="0"/>
      <w:marRight w:val="0"/>
      <w:marTop w:val="0"/>
      <w:marBottom w:val="0"/>
      <w:divBdr>
        <w:top w:val="none" w:sz="0" w:space="0" w:color="auto"/>
        <w:left w:val="none" w:sz="0" w:space="0" w:color="auto"/>
        <w:bottom w:val="none" w:sz="0" w:space="0" w:color="auto"/>
        <w:right w:val="none" w:sz="0" w:space="0" w:color="auto"/>
      </w:divBdr>
    </w:div>
    <w:div w:id="39014638">
      <w:bodyDiv w:val="1"/>
      <w:marLeft w:val="0"/>
      <w:marRight w:val="0"/>
      <w:marTop w:val="0"/>
      <w:marBottom w:val="0"/>
      <w:divBdr>
        <w:top w:val="none" w:sz="0" w:space="0" w:color="auto"/>
        <w:left w:val="none" w:sz="0" w:space="0" w:color="auto"/>
        <w:bottom w:val="none" w:sz="0" w:space="0" w:color="auto"/>
        <w:right w:val="none" w:sz="0" w:space="0" w:color="auto"/>
      </w:divBdr>
    </w:div>
    <w:div w:id="135731218">
      <w:bodyDiv w:val="1"/>
      <w:marLeft w:val="0"/>
      <w:marRight w:val="0"/>
      <w:marTop w:val="0"/>
      <w:marBottom w:val="0"/>
      <w:divBdr>
        <w:top w:val="none" w:sz="0" w:space="0" w:color="auto"/>
        <w:left w:val="none" w:sz="0" w:space="0" w:color="auto"/>
        <w:bottom w:val="none" w:sz="0" w:space="0" w:color="auto"/>
        <w:right w:val="none" w:sz="0" w:space="0" w:color="auto"/>
      </w:divBdr>
    </w:div>
    <w:div w:id="251401870">
      <w:bodyDiv w:val="1"/>
      <w:marLeft w:val="0"/>
      <w:marRight w:val="0"/>
      <w:marTop w:val="0"/>
      <w:marBottom w:val="0"/>
      <w:divBdr>
        <w:top w:val="none" w:sz="0" w:space="0" w:color="auto"/>
        <w:left w:val="none" w:sz="0" w:space="0" w:color="auto"/>
        <w:bottom w:val="none" w:sz="0" w:space="0" w:color="auto"/>
        <w:right w:val="none" w:sz="0" w:space="0" w:color="auto"/>
      </w:divBdr>
    </w:div>
    <w:div w:id="281615932">
      <w:bodyDiv w:val="1"/>
      <w:marLeft w:val="0"/>
      <w:marRight w:val="0"/>
      <w:marTop w:val="0"/>
      <w:marBottom w:val="0"/>
      <w:divBdr>
        <w:top w:val="none" w:sz="0" w:space="0" w:color="auto"/>
        <w:left w:val="none" w:sz="0" w:space="0" w:color="auto"/>
        <w:bottom w:val="none" w:sz="0" w:space="0" w:color="auto"/>
        <w:right w:val="none" w:sz="0" w:space="0" w:color="auto"/>
      </w:divBdr>
    </w:div>
    <w:div w:id="332297636">
      <w:bodyDiv w:val="1"/>
      <w:marLeft w:val="0"/>
      <w:marRight w:val="0"/>
      <w:marTop w:val="0"/>
      <w:marBottom w:val="0"/>
      <w:divBdr>
        <w:top w:val="none" w:sz="0" w:space="0" w:color="auto"/>
        <w:left w:val="none" w:sz="0" w:space="0" w:color="auto"/>
        <w:bottom w:val="none" w:sz="0" w:space="0" w:color="auto"/>
        <w:right w:val="none" w:sz="0" w:space="0" w:color="auto"/>
      </w:divBdr>
    </w:div>
    <w:div w:id="486435482">
      <w:bodyDiv w:val="1"/>
      <w:marLeft w:val="0"/>
      <w:marRight w:val="0"/>
      <w:marTop w:val="0"/>
      <w:marBottom w:val="0"/>
      <w:divBdr>
        <w:top w:val="none" w:sz="0" w:space="0" w:color="auto"/>
        <w:left w:val="none" w:sz="0" w:space="0" w:color="auto"/>
        <w:bottom w:val="none" w:sz="0" w:space="0" w:color="auto"/>
        <w:right w:val="none" w:sz="0" w:space="0" w:color="auto"/>
      </w:divBdr>
    </w:div>
    <w:div w:id="627517901">
      <w:bodyDiv w:val="1"/>
      <w:marLeft w:val="0"/>
      <w:marRight w:val="0"/>
      <w:marTop w:val="0"/>
      <w:marBottom w:val="0"/>
      <w:divBdr>
        <w:top w:val="none" w:sz="0" w:space="0" w:color="auto"/>
        <w:left w:val="none" w:sz="0" w:space="0" w:color="auto"/>
        <w:bottom w:val="none" w:sz="0" w:space="0" w:color="auto"/>
        <w:right w:val="none" w:sz="0" w:space="0" w:color="auto"/>
      </w:divBdr>
    </w:div>
    <w:div w:id="628049362">
      <w:bodyDiv w:val="1"/>
      <w:marLeft w:val="0"/>
      <w:marRight w:val="0"/>
      <w:marTop w:val="0"/>
      <w:marBottom w:val="0"/>
      <w:divBdr>
        <w:top w:val="none" w:sz="0" w:space="0" w:color="auto"/>
        <w:left w:val="none" w:sz="0" w:space="0" w:color="auto"/>
        <w:bottom w:val="none" w:sz="0" w:space="0" w:color="auto"/>
        <w:right w:val="none" w:sz="0" w:space="0" w:color="auto"/>
      </w:divBdr>
    </w:div>
    <w:div w:id="772751744">
      <w:bodyDiv w:val="1"/>
      <w:marLeft w:val="0"/>
      <w:marRight w:val="0"/>
      <w:marTop w:val="0"/>
      <w:marBottom w:val="0"/>
      <w:divBdr>
        <w:top w:val="none" w:sz="0" w:space="0" w:color="auto"/>
        <w:left w:val="none" w:sz="0" w:space="0" w:color="auto"/>
        <w:bottom w:val="none" w:sz="0" w:space="0" w:color="auto"/>
        <w:right w:val="none" w:sz="0" w:space="0" w:color="auto"/>
      </w:divBdr>
    </w:div>
    <w:div w:id="884102141">
      <w:bodyDiv w:val="1"/>
      <w:marLeft w:val="0"/>
      <w:marRight w:val="0"/>
      <w:marTop w:val="0"/>
      <w:marBottom w:val="0"/>
      <w:divBdr>
        <w:top w:val="none" w:sz="0" w:space="0" w:color="auto"/>
        <w:left w:val="none" w:sz="0" w:space="0" w:color="auto"/>
        <w:bottom w:val="none" w:sz="0" w:space="0" w:color="auto"/>
        <w:right w:val="none" w:sz="0" w:space="0" w:color="auto"/>
      </w:divBdr>
    </w:div>
    <w:div w:id="1061710136">
      <w:bodyDiv w:val="1"/>
      <w:marLeft w:val="0"/>
      <w:marRight w:val="0"/>
      <w:marTop w:val="0"/>
      <w:marBottom w:val="0"/>
      <w:divBdr>
        <w:top w:val="none" w:sz="0" w:space="0" w:color="auto"/>
        <w:left w:val="none" w:sz="0" w:space="0" w:color="auto"/>
        <w:bottom w:val="none" w:sz="0" w:space="0" w:color="auto"/>
        <w:right w:val="none" w:sz="0" w:space="0" w:color="auto"/>
      </w:divBdr>
    </w:div>
    <w:div w:id="1135214802">
      <w:bodyDiv w:val="1"/>
      <w:marLeft w:val="0"/>
      <w:marRight w:val="0"/>
      <w:marTop w:val="0"/>
      <w:marBottom w:val="0"/>
      <w:divBdr>
        <w:top w:val="none" w:sz="0" w:space="0" w:color="auto"/>
        <w:left w:val="none" w:sz="0" w:space="0" w:color="auto"/>
        <w:bottom w:val="none" w:sz="0" w:space="0" w:color="auto"/>
        <w:right w:val="none" w:sz="0" w:space="0" w:color="auto"/>
      </w:divBdr>
    </w:div>
    <w:div w:id="1140532703">
      <w:bodyDiv w:val="1"/>
      <w:marLeft w:val="0"/>
      <w:marRight w:val="0"/>
      <w:marTop w:val="0"/>
      <w:marBottom w:val="0"/>
      <w:divBdr>
        <w:top w:val="none" w:sz="0" w:space="0" w:color="auto"/>
        <w:left w:val="none" w:sz="0" w:space="0" w:color="auto"/>
        <w:bottom w:val="none" w:sz="0" w:space="0" w:color="auto"/>
        <w:right w:val="none" w:sz="0" w:space="0" w:color="auto"/>
      </w:divBdr>
    </w:div>
    <w:div w:id="1251235702">
      <w:bodyDiv w:val="1"/>
      <w:marLeft w:val="0"/>
      <w:marRight w:val="0"/>
      <w:marTop w:val="0"/>
      <w:marBottom w:val="0"/>
      <w:divBdr>
        <w:top w:val="none" w:sz="0" w:space="0" w:color="auto"/>
        <w:left w:val="none" w:sz="0" w:space="0" w:color="auto"/>
        <w:bottom w:val="none" w:sz="0" w:space="0" w:color="auto"/>
        <w:right w:val="none" w:sz="0" w:space="0" w:color="auto"/>
      </w:divBdr>
    </w:div>
    <w:div w:id="1302534328">
      <w:bodyDiv w:val="1"/>
      <w:marLeft w:val="0"/>
      <w:marRight w:val="0"/>
      <w:marTop w:val="0"/>
      <w:marBottom w:val="0"/>
      <w:divBdr>
        <w:top w:val="none" w:sz="0" w:space="0" w:color="auto"/>
        <w:left w:val="none" w:sz="0" w:space="0" w:color="auto"/>
        <w:bottom w:val="none" w:sz="0" w:space="0" w:color="auto"/>
        <w:right w:val="none" w:sz="0" w:space="0" w:color="auto"/>
      </w:divBdr>
    </w:div>
    <w:div w:id="1488277265">
      <w:bodyDiv w:val="1"/>
      <w:marLeft w:val="0"/>
      <w:marRight w:val="0"/>
      <w:marTop w:val="0"/>
      <w:marBottom w:val="0"/>
      <w:divBdr>
        <w:top w:val="none" w:sz="0" w:space="0" w:color="auto"/>
        <w:left w:val="none" w:sz="0" w:space="0" w:color="auto"/>
        <w:bottom w:val="none" w:sz="0" w:space="0" w:color="auto"/>
        <w:right w:val="none" w:sz="0" w:space="0" w:color="auto"/>
      </w:divBdr>
    </w:div>
    <w:div w:id="1524709797">
      <w:bodyDiv w:val="1"/>
      <w:marLeft w:val="0"/>
      <w:marRight w:val="0"/>
      <w:marTop w:val="0"/>
      <w:marBottom w:val="0"/>
      <w:divBdr>
        <w:top w:val="none" w:sz="0" w:space="0" w:color="auto"/>
        <w:left w:val="none" w:sz="0" w:space="0" w:color="auto"/>
        <w:bottom w:val="none" w:sz="0" w:space="0" w:color="auto"/>
        <w:right w:val="none" w:sz="0" w:space="0" w:color="auto"/>
      </w:divBdr>
    </w:div>
    <w:div w:id="1571694771">
      <w:bodyDiv w:val="1"/>
      <w:marLeft w:val="0"/>
      <w:marRight w:val="0"/>
      <w:marTop w:val="0"/>
      <w:marBottom w:val="0"/>
      <w:divBdr>
        <w:top w:val="none" w:sz="0" w:space="0" w:color="auto"/>
        <w:left w:val="none" w:sz="0" w:space="0" w:color="auto"/>
        <w:bottom w:val="none" w:sz="0" w:space="0" w:color="auto"/>
        <w:right w:val="none" w:sz="0" w:space="0" w:color="auto"/>
      </w:divBdr>
    </w:div>
    <w:div w:id="1584290462">
      <w:bodyDiv w:val="1"/>
      <w:marLeft w:val="0"/>
      <w:marRight w:val="0"/>
      <w:marTop w:val="0"/>
      <w:marBottom w:val="0"/>
      <w:divBdr>
        <w:top w:val="none" w:sz="0" w:space="0" w:color="auto"/>
        <w:left w:val="none" w:sz="0" w:space="0" w:color="auto"/>
        <w:bottom w:val="none" w:sz="0" w:space="0" w:color="auto"/>
        <w:right w:val="none" w:sz="0" w:space="0" w:color="auto"/>
      </w:divBdr>
    </w:div>
    <w:div w:id="1660424919">
      <w:bodyDiv w:val="1"/>
      <w:marLeft w:val="0"/>
      <w:marRight w:val="0"/>
      <w:marTop w:val="0"/>
      <w:marBottom w:val="0"/>
      <w:divBdr>
        <w:top w:val="none" w:sz="0" w:space="0" w:color="auto"/>
        <w:left w:val="none" w:sz="0" w:space="0" w:color="auto"/>
        <w:bottom w:val="none" w:sz="0" w:space="0" w:color="auto"/>
        <w:right w:val="none" w:sz="0" w:space="0" w:color="auto"/>
      </w:divBdr>
    </w:div>
    <w:div w:id="1669554469">
      <w:bodyDiv w:val="1"/>
      <w:marLeft w:val="0"/>
      <w:marRight w:val="0"/>
      <w:marTop w:val="0"/>
      <w:marBottom w:val="0"/>
      <w:divBdr>
        <w:top w:val="none" w:sz="0" w:space="0" w:color="auto"/>
        <w:left w:val="none" w:sz="0" w:space="0" w:color="auto"/>
        <w:bottom w:val="none" w:sz="0" w:space="0" w:color="auto"/>
        <w:right w:val="none" w:sz="0" w:space="0" w:color="auto"/>
      </w:divBdr>
    </w:div>
    <w:div w:id="1716151229">
      <w:bodyDiv w:val="1"/>
      <w:marLeft w:val="0"/>
      <w:marRight w:val="0"/>
      <w:marTop w:val="0"/>
      <w:marBottom w:val="0"/>
      <w:divBdr>
        <w:top w:val="none" w:sz="0" w:space="0" w:color="auto"/>
        <w:left w:val="none" w:sz="0" w:space="0" w:color="auto"/>
        <w:bottom w:val="none" w:sz="0" w:space="0" w:color="auto"/>
        <w:right w:val="none" w:sz="0" w:space="0" w:color="auto"/>
      </w:divBdr>
    </w:div>
    <w:div w:id="1826701286">
      <w:bodyDiv w:val="1"/>
      <w:marLeft w:val="0"/>
      <w:marRight w:val="0"/>
      <w:marTop w:val="0"/>
      <w:marBottom w:val="0"/>
      <w:divBdr>
        <w:top w:val="none" w:sz="0" w:space="0" w:color="auto"/>
        <w:left w:val="none" w:sz="0" w:space="0" w:color="auto"/>
        <w:bottom w:val="none" w:sz="0" w:space="0" w:color="auto"/>
        <w:right w:val="none" w:sz="0" w:space="0" w:color="auto"/>
      </w:divBdr>
    </w:div>
    <w:div w:id="1899827818">
      <w:bodyDiv w:val="1"/>
      <w:marLeft w:val="0"/>
      <w:marRight w:val="0"/>
      <w:marTop w:val="0"/>
      <w:marBottom w:val="0"/>
      <w:divBdr>
        <w:top w:val="none" w:sz="0" w:space="0" w:color="auto"/>
        <w:left w:val="none" w:sz="0" w:space="0" w:color="auto"/>
        <w:bottom w:val="none" w:sz="0" w:space="0" w:color="auto"/>
        <w:right w:val="none" w:sz="0" w:space="0" w:color="auto"/>
      </w:divBdr>
    </w:div>
    <w:div w:id="1947691585">
      <w:bodyDiv w:val="1"/>
      <w:marLeft w:val="0"/>
      <w:marRight w:val="0"/>
      <w:marTop w:val="0"/>
      <w:marBottom w:val="0"/>
      <w:divBdr>
        <w:top w:val="none" w:sz="0" w:space="0" w:color="auto"/>
        <w:left w:val="none" w:sz="0" w:space="0" w:color="auto"/>
        <w:bottom w:val="none" w:sz="0" w:space="0" w:color="auto"/>
        <w:right w:val="none" w:sz="0" w:space="0" w:color="auto"/>
      </w:divBdr>
    </w:div>
    <w:div w:id="1980719011">
      <w:bodyDiv w:val="1"/>
      <w:marLeft w:val="0"/>
      <w:marRight w:val="0"/>
      <w:marTop w:val="0"/>
      <w:marBottom w:val="0"/>
      <w:divBdr>
        <w:top w:val="none" w:sz="0" w:space="0" w:color="auto"/>
        <w:left w:val="none" w:sz="0" w:space="0" w:color="auto"/>
        <w:bottom w:val="none" w:sz="0" w:space="0" w:color="auto"/>
        <w:right w:val="none" w:sz="0" w:space="0" w:color="auto"/>
      </w:divBdr>
    </w:div>
    <w:div w:id="202285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937/arhfarm73-46319" TargetMode="External"/><Relationship Id="rId18" Type="http://schemas.openxmlformats.org/officeDocument/2006/relationships/hyperlink" Target="https://doi.org/10.1016/s0955-2863(02)00294-2" TargetMode="External"/><Relationship Id="rId26" Type="http://schemas.openxmlformats.org/officeDocument/2006/relationships/hyperlink" Target="https://doi.org/10.1016/j.ifset.2004.07.001" TargetMode="External"/><Relationship Id="rId21" Type="http://schemas.openxmlformats.org/officeDocument/2006/relationships/hyperlink" Target="https://doi.org/10.1016/j.lwt.2011.04.013"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doi.org/10.1159/000456704" TargetMode="External"/><Relationship Id="rId17" Type="http://schemas.openxmlformats.org/officeDocument/2006/relationships/hyperlink" Target="https://doi.org/10.3390/nu16121799" TargetMode="External"/><Relationship Id="rId25" Type="http://schemas.openxmlformats.org/officeDocument/2006/relationships/hyperlink" Target="https://doi.org/10.1016/j.clnu.2017.12.014"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foodchem.2013.01.040" TargetMode="External"/><Relationship Id="rId20" Type="http://schemas.openxmlformats.org/officeDocument/2006/relationships/hyperlink" Target="https://doi.org/10.1111/j.1745-4549.1995.tb00475.x" TargetMode="External"/><Relationship Id="rId29" Type="http://schemas.openxmlformats.org/officeDocument/2006/relationships/hyperlink" Target="https://doi.org/10.1186/s13065-021-00775-w"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55705/cmbr.2022.147090.1023" TargetMode="External"/><Relationship Id="rId24" Type="http://schemas.openxmlformats.org/officeDocument/2006/relationships/hyperlink" Target="https://doi.org/10.1186/s12944-019-1165-1"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11/j.1365-2621.2003.tb05755.x" TargetMode="External"/><Relationship Id="rId23" Type="http://schemas.openxmlformats.org/officeDocument/2006/relationships/hyperlink" Target="https://doi.org/10.1016/j.carbpol.2020.117110" TargetMode="External"/><Relationship Id="rId28" Type="http://schemas.openxmlformats.org/officeDocument/2006/relationships/hyperlink" Target="https://doi.org/10.1016/j.partic.2023.03.013" TargetMode="External"/><Relationship Id="rId36" Type="http://schemas.openxmlformats.org/officeDocument/2006/relationships/footer" Target="footer3.xml"/><Relationship Id="rId10" Type="http://schemas.openxmlformats.org/officeDocument/2006/relationships/hyperlink" Target="https://doi.org/10.1016/j.powtec.2012.03.032" TargetMode="External"/><Relationship Id="rId19" Type="http://schemas.openxmlformats.org/officeDocument/2006/relationships/hyperlink" Target="https://doi.org/10.1016/j.fpsl.2019.100313"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dsx.2019.03.019" TargetMode="External"/><Relationship Id="rId14" Type="http://schemas.openxmlformats.org/officeDocument/2006/relationships/hyperlink" Target="https://doi.org/10.1111/j.1365-2621.2002.tb09461.x" TargetMode="External"/><Relationship Id="rId22" Type="http://schemas.openxmlformats.org/officeDocument/2006/relationships/hyperlink" Target="https://doi.org/10.1111/j.1541-4337.2012.00183.x" TargetMode="External"/><Relationship Id="rId27" Type="http://schemas.openxmlformats.org/officeDocument/2006/relationships/hyperlink" Target="https://doi.org/10.1016/j.biopha.2022.113001" TargetMode="External"/><Relationship Id="rId30" Type="http://schemas.openxmlformats.org/officeDocument/2006/relationships/hyperlink" Target="https://doi.org/10.1016/j.powtec.2022.117290" TargetMode="External"/><Relationship Id="rId35" Type="http://schemas.openxmlformats.org/officeDocument/2006/relationships/header" Target="header3.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284B5-318C-4B4B-A7E7-0F9CD83B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5101</Words>
  <Characters>29081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kumar</dc:creator>
  <cp:keywords/>
  <dc:description/>
  <cp:lastModifiedBy>SDI 1186</cp:lastModifiedBy>
  <cp:revision>3</cp:revision>
  <dcterms:created xsi:type="dcterms:W3CDTF">2025-07-17T10:54:00Z</dcterms:created>
  <dcterms:modified xsi:type="dcterms:W3CDTF">2025-07-18T08:01:00Z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25f36c6b-b6bf-4cec-9b5d-bd7e25638e6b</vt:lpwstr>
  </property>
</Properties>
</file>