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93DF0" w14:textId="77777777" w:rsidR="002964C6" w:rsidRDefault="005C75DA" w:rsidP="00C429F3">
      <w:pPr>
        <w:pStyle w:val="Heading3"/>
        <w:rPr>
          <w:rFonts w:eastAsia="Times New Roman"/>
          <w:noProof/>
        </w:rPr>
      </w:pPr>
      <w:r>
        <w:rPr>
          <w:rFonts w:eastAsia="Times New Roman"/>
          <w:noProof/>
        </w:rPr>
        <w:drawing>
          <wp:anchor distT="0" distB="0" distL="114300" distR="114300" simplePos="0" relativeHeight="251669504" behindDoc="1" locked="0" layoutInCell="1" allowOverlap="1" wp14:anchorId="3922D18C" wp14:editId="14721EAA">
            <wp:simplePos x="0" y="0"/>
            <wp:positionH relativeFrom="column">
              <wp:posOffset>10160</wp:posOffset>
            </wp:positionH>
            <wp:positionV relativeFrom="paragraph">
              <wp:posOffset>-280035</wp:posOffset>
            </wp:positionV>
            <wp:extent cx="781050" cy="1103630"/>
            <wp:effectExtent l="0" t="0" r="0" b="0"/>
            <wp:wrapTight wrapText="bothSides">
              <wp:wrapPolygon edited="0">
                <wp:start x="0" y="0"/>
                <wp:lineTo x="0" y="21252"/>
                <wp:lineTo x="21073" y="21252"/>
                <wp:lineTo x="210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81050" cy="1103630"/>
                    </a:xfrm>
                    <a:prstGeom prst="rect">
                      <a:avLst/>
                    </a:prstGeom>
                    <a:noFill/>
                    <a:ln w="9525">
                      <a:noFill/>
                      <a:miter lim="800000"/>
                      <a:headEnd/>
                      <a:tailEnd/>
                    </a:ln>
                  </pic:spPr>
                </pic:pic>
              </a:graphicData>
            </a:graphic>
            <wp14:sizeRelV relativeFrom="margin">
              <wp14:pctHeight>0</wp14:pctHeight>
            </wp14:sizeRelV>
          </wp:anchor>
        </w:drawing>
      </w:r>
      <w:r w:rsidR="002964C6" w:rsidRPr="002964C6">
        <w:rPr>
          <w:rFonts w:eastAsia="Times New Roman"/>
          <w:noProof/>
        </w:rPr>
        <w:t>European Journal of Nutrition &amp; Food Safety</w:t>
      </w:r>
    </w:p>
    <w:p w14:paraId="6DBA0231" w14:textId="77777777" w:rsidR="00394BC1" w:rsidRPr="00394BC1" w:rsidRDefault="00394BC1" w:rsidP="00394BC1">
      <w:pPr>
        <w:spacing w:after="0" w:line="240" w:lineRule="auto"/>
        <w:ind w:left="2160"/>
        <w:rPr>
          <w:rFonts w:ascii="Arial" w:eastAsia="Times New Roman" w:hAnsi="Arial" w:cs="Arial"/>
          <w:sz w:val="24"/>
          <w:szCs w:val="20"/>
        </w:rPr>
      </w:pPr>
    </w:p>
    <w:p w14:paraId="13F3021F" w14:textId="5B888B24" w:rsidR="002964C6" w:rsidRPr="002964C6" w:rsidRDefault="005C75DA" w:rsidP="00C429F3">
      <w:pPr>
        <w:pStyle w:val="Heading4"/>
        <w:rPr>
          <w:rFonts w:eastAsia="Times New Roman"/>
        </w:rPr>
      </w:pPr>
      <w:r w:rsidRPr="005C75DA">
        <w:rPr>
          <w:rFonts w:eastAsia="Times New Roman"/>
        </w:rPr>
        <w:t>Volume XXX, Issue XX, Page XX-XX, 20</w:t>
      </w:r>
      <w:r w:rsidR="00587A1E">
        <w:rPr>
          <w:rFonts w:eastAsia="Times New Roman"/>
        </w:rPr>
        <w:t>YY</w:t>
      </w:r>
      <w:r w:rsidR="00742F63">
        <w:rPr>
          <w:rFonts w:eastAsia="Times New Roman"/>
        </w:rPr>
        <w:t>;</w:t>
      </w:r>
      <w:r w:rsidR="002964C6" w:rsidRPr="002964C6">
        <w:rPr>
          <w:rFonts w:eastAsia="Times New Roman"/>
        </w:rPr>
        <w:t xml:space="preserve"> Article no.EJNFS</w:t>
      </w:r>
      <w:r w:rsidR="005E740D">
        <w:t>.</w:t>
      </w:r>
      <w:r w:rsidR="005E740D" w:rsidRPr="005E740D">
        <w:rPr>
          <w:rFonts w:eastAsia="Times New Roman"/>
        </w:rPr>
        <w:t>138084</w:t>
      </w:r>
    </w:p>
    <w:p w14:paraId="6CA51D86" w14:textId="77777777" w:rsidR="002964C6" w:rsidRPr="00394BC1" w:rsidRDefault="002964C6" w:rsidP="00394BC1">
      <w:pPr>
        <w:spacing w:after="0" w:line="240" w:lineRule="auto"/>
        <w:ind w:left="2160"/>
        <w:rPr>
          <w:rFonts w:ascii="Arial" w:eastAsia="Times New Roman" w:hAnsi="Arial" w:cs="Arial"/>
          <w:b/>
          <w:i/>
          <w:sz w:val="18"/>
          <w:szCs w:val="16"/>
        </w:rPr>
      </w:pPr>
      <w:r w:rsidRPr="00394BC1">
        <w:rPr>
          <w:rFonts w:ascii="Arial" w:eastAsia="Times New Roman" w:hAnsi="Arial" w:cs="Arial"/>
          <w:b/>
          <w:i/>
          <w:noProof/>
          <w:sz w:val="18"/>
          <w:szCs w:val="16"/>
          <w:lang w:eastAsia="zh-TW"/>
        </w:rPr>
        <w:t>ISSN: 2347-5641</w:t>
      </w:r>
    </w:p>
    <w:p w14:paraId="156A9BB6" w14:textId="77777777" w:rsidR="002964C6" w:rsidRDefault="002964C6" w:rsidP="002964C6">
      <w:pPr>
        <w:spacing w:after="0" w:line="240" w:lineRule="auto"/>
        <w:jc w:val="center"/>
        <w:rPr>
          <w:rFonts w:ascii="Arial" w:eastAsia="Times New Roman" w:hAnsi="Arial" w:cs="Arial"/>
          <w:i/>
          <w:sz w:val="14"/>
          <w:szCs w:val="20"/>
        </w:rPr>
      </w:pPr>
    </w:p>
    <w:p w14:paraId="35E45CAD" w14:textId="77777777" w:rsidR="00394BC1" w:rsidRPr="00394BC1" w:rsidRDefault="00394BC1" w:rsidP="002964C6">
      <w:pPr>
        <w:spacing w:after="0" w:line="240" w:lineRule="auto"/>
        <w:jc w:val="center"/>
        <w:rPr>
          <w:rFonts w:ascii="Arial" w:eastAsia="Times New Roman" w:hAnsi="Arial" w:cs="Arial"/>
          <w:i/>
          <w:sz w:val="14"/>
          <w:szCs w:val="20"/>
        </w:rPr>
      </w:pPr>
    </w:p>
    <w:p w14:paraId="14C41E3C" w14:textId="77777777" w:rsidR="002964C6" w:rsidRPr="002964C6" w:rsidRDefault="00000000" w:rsidP="002964C6">
      <w:pPr>
        <w:spacing w:after="0" w:line="240" w:lineRule="auto"/>
        <w:jc w:val="right"/>
        <w:rPr>
          <w:rFonts w:ascii="Arial" w:eastAsia="Times New Roman" w:hAnsi="Arial" w:cs="Arial"/>
          <w:b/>
          <w:bCs/>
          <w:kern w:val="28"/>
          <w:sz w:val="12"/>
          <w:szCs w:val="20"/>
        </w:rPr>
      </w:pPr>
      <w:r>
        <w:rPr>
          <w:rFonts w:ascii="Arial" w:eastAsia="Times New Roman" w:hAnsi="Arial" w:cs="Arial"/>
          <w:b/>
          <w:bCs/>
          <w:noProof/>
          <w:kern w:val="28"/>
          <w:sz w:val="12"/>
          <w:szCs w:val="20"/>
        </w:rPr>
      </w:r>
      <w:r>
        <w:rPr>
          <w:rFonts w:ascii="Arial" w:eastAsia="Times New Roman" w:hAnsi="Arial" w:cs="Arial"/>
          <w:b/>
          <w:bCs/>
          <w:noProof/>
          <w:kern w:val="28"/>
          <w:sz w:val="12"/>
          <w:szCs w:val="20"/>
        </w:rPr>
        <w:pict w14:anchorId="09CC4F4D">
          <v:shapetype id="_x0000_t32" coordsize="21600,21600" o:spt="32" o:oned="t" path="m,l21600,21600e" filled="f">
            <v:path arrowok="t" fillok="f" o:connecttype="none"/>
            <o:lock v:ext="edit" shapetype="t"/>
          </v:shapetype>
          <v:shape id="AutoShape 54" o:spid="_x0000_s2079" type="#_x0000_t32" style="width:450.7pt;height:0;visibility:visible;mso-left-percent:-10001;mso-top-percent:-10001;mso-position-horizontal:absolute;mso-position-horizontal-relative:char;mso-position-vertical:absolute;mso-position-vertical-relative:line;mso-left-percent:-10001;mso-top-percent:-10001" strokeweight="1.5pt">
            <w10:anchorlock/>
          </v:shape>
        </w:pict>
      </w:r>
    </w:p>
    <w:p w14:paraId="42C89EEA" w14:textId="77777777" w:rsidR="00E531CD" w:rsidRPr="00E531CD" w:rsidRDefault="00E531CD" w:rsidP="00BD060A">
      <w:pPr>
        <w:spacing w:after="0" w:line="240" w:lineRule="auto"/>
        <w:contextualSpacing/>
        <w:jc w:val="right"/>
        <w:rPr>
          <w:rFonts w:ascii="Arial" w:eastAsia="Times New Roman" w:hAnsi="Arial" w:cs="Arial"/>
          <w:b/>
          <w:bCs/>
          <w:iCs/>
          <w:kern w:val="28"/>
          <w:sz w:val="20"/>
          <w:szCs w:val="20"/>
        </w:rPr>
      </w:pPr>
    </w:p>
    <w:p w14:paraId="25855CEA" w14:textId="6A635B9F" w:rsidR="00911EB6" w:rsidRPr="005E740D" w:rsidRDefault="005E740D" w:rsidP="00C429F3">
      <w:pPr>
        <w:pStyle w:val="Heading1"/>
        <w:rPr>
          <w:rFonts w:eastAsia="Times New Roman"/>
          <w:kern w:val="28"/>
          <w:sz w:val="48"/>
          <w:szCs w:val="48"/>
        </w:rPr>
      </w:pPr>
      <w:r w:rsidRPr="005E740D">
        <w:rPr>
          <w:rFonts w:eastAsia="Times New Roman"/>
          <w:kern w:val="28"/>
          <w:sz w:val="48"/>
          <w:szCs w:val="48"/>
          <w:lang w:val="fr-FR"/>
        </w:rPr>
        <w:t xml:space="preserve">Evaluation of the </w:t>
      </w:r>
      <w:r w:rsidR="00016C7D" w:rsidRPr="00016C7D">
        <w:rPr>
          <w:rFonts w:eastAsia="Times New Roman"/>
          <w:i/>
          <w:iCs/>
          <w:kern w:val="28"/>
          <w:sz w:val="48"/>
          <w:szCs w:val="48"/>
          <w:lang w:val="fr-FR"/>
        </w:rPr>
        <w:t>In-</w:t>
      </w:r>
      <w:r w:rsidRPr="00016C7D">
        <w:rPr>
          <w:rFonts w:eastAsia="Times New Roman"/>
          <w:i/>
          <w:iCs/>
          <w:kern w:val="28"/>
          <w:sz w:val="48"/>
          <w:szCs w:val="48"/>
          <w:lang w:val="fr-FR"/>
        </w:rPr>
        <w:t>vivo</w:t>
      </w:r>
      <w:r w:rsidRPr="005E740D">
        <w:rPr>
          <w:rFonts w:eastAsia="Times New Roman"/>
          <w:kern w:val="28"/>
          <w:sz w:val="48"/>
          <w:szCs w:val="48"/>
          <w:lang w:val="fr-FR"/>
        </w:rPr>
        <w:t xml:space="preserve"> </w:t>
      </w:r>
      <w:r w:rsidR="00016C7D" w:rsidRPr="005E740D">
        <w:rPr>
          <w:rFonts w:eastAsia="Times New Roman"/>
          <w:kern w:val="28"/>
          <w:sz w:val="48"/>
          <w:szCs w:val="48"/>
          <w:lang w:val="fr-FR"/>
        </w:rPr>
        <w:t xml:space="preserve">Antiparasitic Effects </w:t>
      </w:r>
      <w:r w:rsidRPr="005E740D">
        <w:rPr>
          <w:rFonts w:eastAsia="Times New Roman"/>
          <w:kern w:val="28"/>
          <w:sz w:val="48"/>
          <w:szCs w:val="48"/>
          <w:lang w:val="fr-FR"/>
        </w:rPr>
        <w:t xml:space="preserve">of the </w:t>
      </w:r>
      <w:r w:rsidR="00016C7D" w:rsidRPr="005E740D">
        <w:rPr>
          <w:rFonts w:eastAsia="Times New Roman"/>
          <w:kern w:val="28"/>
          <w:sz w:val="48"/>
          <w:szCs w:val="48"/>
          <w:lang w:val="fr-FR"/>
        </w:rPr>
        <w:t xml:space="preserve">Aqueous Extract </w:t>
      </w:r>
      <w:r w:rsidRPr="005E740D">
        <w:rPr>
          <w:rFonts w:eastAsia="Times New Roman"/>
          <w:kern w:val="28"/>
          <w:sz w:val="48"/>
          <w:szCs w:val="48"/>
          <w:lang w:val="fr-FR"/>
        </w:rPr>
        <w:t xml:space="preserve">of the </w:t>
      </w:r>
      <w:r w:rsidR="00016C7D" w:rsidRPr="005E740D">
        <w:rPr>
          <w:rFonts w:eastAsia="Times New Roman"/>
          <w:kern w:val="28"/>
          <w:sz w:val="48"/>
          <w:szCs w:val="48"/>
          <w:lang w:val="fr-FR"/>
        </w:rPr>
        <w:t xml:space="preserve">Leaves </w:t>
      </w:r>
      <w:r w:rsidRPr="005E740D">
        <w:rPr>
          <w:rFonts w:eastAsia="Times New Roman"/>
          <w:kern w:val="28"/>
          <w:sz w:val="48"/>
          <w:szCs w:val="48"/>
          <w:lang w:val="fr-FR"/>
        </w:rPr>
        <w:t xml:space="preserve">of </w:t>
      </w:r>
      <w:r w:rsidRPr="005E740D">
        <w:rPr>
          <w:rFonts w:eastAsia="Times New Roman"/>
          <w:i/>
          <w:iCs/>
          <w:kern w:val="28"/>
          <w:sz w:val="48"/>
          <w:szCs w:val="48"/>
          <w:lang w:val="fr-FR"/>
        </w:rPr>
        <w:t>Alchornea Cordifolia</w:t>
      </w:r>
      <w:r w:rsidRPr="005E740D">
        <w:rPr>
          <w:rFonts w:eastAsia="Times New Roman"/>
          <w:kern w:val="28"/>
          <w:sz w:val="48"/>
          <w:szCs w:val="48"/>
          <w:lang w:val="fr-FR"/>
        </w:rPr>
        <w:t xml:space="preserve"> (AEAC)(Euphorbiaceae) as an </w:t>
      </w:r>
      <w:r w:rsidR="00016C7D" w:rsidRPr="005E740D">
        <w:rPr>
          <w:rFonts w:eastAsia="Times New Roman"/>
          <w:kern w:val="28"/>
          <w:sz w:val="48"/>
          <w:szCs w:val="48"/>
          <w:lang w:val="fr-FR"/>
        </w:rPr>
        <w:t xml:space="preserve">Alternative </w:t>
      </w:r>
      <w:r w:rsidRPr="005E740D">
        <w:rPr>
          <w:rFonts w:eastAsia="Times New Roman"/>
          <w:kern w:val="28"/>
          <w:sz w:val="48"/>
          <w:szCs w:val="48"/>
          <w:lang w:val="fr-FR"/>
        </w:rPr>
        <w:t xml:space="preserve">in </w:t>
      </w:r>
      <w:r w:rsidR="00016C7D" w:rsidRPr="005E740D">
        <w:rPr>
          <w:rFonts w:eastAsia="Times New Roman"/>
          <w:kern w:val="28"/>
          <w:sz w:val="48"/>
          <w:szCs w:val="48"/>
          <w:lang w:val="fr-FR"/>
        </w:rPr>
        <w:t xml:space="preserve">Poultry Farming </w:t>
      </w:r>
      <w:r w:rsidRPr="005E740D">
        <w:rPr>
          <w:rFonts w:eastAsia="Times New Roman"/>
          <w:kern w:val="28"/>
          <w:sz w:val="48"/>
          <w:szCs w:val="48"/>
          <w:lang w:val="fr-FR"/>
        </w:rPr>
        <w:t>in Côte d'Ivoire</w:t>
      </w:r>
    </w:p>
    <w:p w14:paraId="15F53DD7" w14:textId="77777777" w:rsidR="00CF6B85" w:rsidRPr="005E740D" w:rsidRDefault="00CF6B85" w:rsidP="00CF6B85">
      <w:pPr>
        <w:spacing w:after="0" w:line="240" w:lineRule="auto"/>
        <w:jc w:val="right"/>
        <w:rPr>
          <w:rFonts w:ascii="Arial" w:eastAsia="Times New Roman" w:hAnsi="Arial" w:cs="Arial"/>
          <w:iCs/>
          <w:color w:val="000000"/>
          <w:sz w:val="20"/>
          <w:szCs w:val="20"/>
          <w:lang w:val="en-GB"/>
        </w:rPr>
      </w:pPr>
    </w:p>
    <w:p w14:paraId="7C521660" w14:textId="56EDE8A9" w:rsidR="00CF6B85" w:rsidRPr="005E740D" w:rsidRDefault="006D7F9B" w:rsidP="00CF6B85">
      <w:pPr>
        <w:spacing w:after="0" w:line="240" w:lineRule="auto"/>
        <w:jc w:val="right"/>
        <w:rPr>
          <w:rFonts w:ascii="Arial" w:eastAsia="Times New Roman" w:hAnsi="Arial" w:cs="Arial"/>
          <w:b/>
          <w:i/>
          <w:sz w:val="24"/>
          <w:szCs w:val="20"/>
        </w:rPr>
      </w:pPr>
      <w:r w:rsidRPr="005E740D">
        <w:rPr>
          <w:rFonts w:ascii="Arial" w:eastAsia="Times New Roman" w:hAnsi="Arial" w:cs="Arial"/>
          <w:b/>
          <w:i/>
          <w:sz w:val="20"/>
          <w:szCs w:val="20"/>
        </w:rPr>
        <w:t>Authors’ contributions</w:t>
      </w:r>
    </w:p>
    <w:p w14:paraId="743166B2" w14:textId="77777777" w:rsidR="00CF6B85" w:rsidRPr="005E740D" w:rsidRDefault="00CF6B85" w:rsidP="00CF6B85">
      <w:pPr>
        <w:spacing w:after="0" w:line="240" w:lineRule="auto"/>
        <w:jc w:val="right"/>
        <w:rPr>
          <w:rFonts w:ascii="Arial" w:eastAsia="Times New Roman" w:hAnsi="Arial" w:cs="Arial"/>
          <w:b/>
          <w:i/>
          <w:sz w:val="20"/>
          <w:szCs w:val="20"/>
        </w:rPr>
      </w:pPr>
    </w:p>
    <w:p w14:paraId="263DA464" w14:textId="77777777" w:rsidR="00EC2241" w:rsidRPr="005E740D" w:rsidRDefault="00EC2241" w:rsidP="00EC2241">
      <w:pPr>
        <w:spacing w:after="0" w:line="240" w:lineRule="auto"/>
        <w:jc w:val="right"/>
        <w:rPr>
          <w:rFonts w:ascii="Arial" w:eastAsia="Times New Roman" w:hAnsi="Arial" w:cs="Arial"/>
          <w:i/>
          <w:sz w:val="20"/>
          <w:szCs w:val="20"/>
        </w:rPr>
      </w:pPr>
      <w:r w:rsidRPr="005E740D">
        <w:rPr>
          <w:rFonts w:ascii="Arial" w:hAnsi="Arial" w:cs="Arial"/>
          <w:i/>
          <w:sz w:val="20"/>
        </w:rPr>
        <w:t>This work was carried out in collaboration among all authors. ‘Author A’ designed the study, performed the statistical analysis, wrote the protocol, and wrote the first draft of the manuscript. ‘Author B’ and ‘Author C’ managed the analyses of the study. ‘Author C’ managed the literature searches. All authors read and approved the final manuscript.</w:t>
      </w:r>
    </w:p>
    <w:p w14:paraId="25D84F32" w14:textId="77777777" w:rsidR="00CF6B85" w:rsidRPr="005E740D" w:rsidRDefault="00CF6B85" w:rsidP="00CF6B85">
      <w:pPr>
        <w:spacing w:after="0" w:line="240" w:lineRule="auto"/>
        <w:jc w:val="right"/>
        <w:rPr>
          <w:rFonts w:ascii="Arial" w:eastAsia="Times New Roman" w:hAnsi="Arial" w:cs="Arial"/>
          <w:i/>
          <w:sz w:val="20"/>
          <w:szCs w:val="20"/>
        </w:rPr>
      </w:pPr>
    </w:p>
    <w:p w14:paraId="7662F3D9" w14:textId="77777777" w:rsidR="00D851AD" w:rsidRPr="005E740D" w:rsidRDefault="00D851AD" w:rsidP="00D851AD">
      <w:pPr>
        <w:spacing w:after="0" w:line="240" w:lineRule="auto"/>
        <w:jc w:val="right"/>
        <w:rPr>
          <w:rFonts w:ascii="Arial" w:eastAsia="Times New Roman" w:hAnsi="Arial" w:cs="Arial"/>
          <w:b/>
          <w:i/>
          <w:sz w:val="20"/>
          <w:szCs w:val="20"/>
        </w:rPr>
      </w:pPr>
      <w:r w:rsidRPr="005E740D">
        <w:rPr>
          <w:rFonts w:ascii="Arial" w:eastAsia="Times New Roman" w:hAnsi="Arial" w:cs="Arial"/>
          <w:b/>
          <w:i/>
          <w:sz w:val="20"/>
          <w:szCs w:val="20"/>
        </w:rPr>
        <w:t>Article Information</w:t>
      </w:r>
    </w:p>
    <w:p w14:paraId="4D31BEFF" w14:textId="77777777" w:rsidR="00D851AD" w:rsidRPr="005E740D" w:rsidRDefault="00D851AD" w:rsidP="00D851AD">
      <w:pPr>
        <w:spacing w:after="0" w:line="240" w:lineRule="auto"/>
        <w:jc w:val="right"/>
        <w:rPr>
          <w:rFonts w:ascii="Arial" w:eastAsia="Times New Roman" w:hAnsi="Arial" w:cs="Arial"/>
          <w:b/>
          <w:i/>
          <w:sz w:val="16"/>
          <w:szCs w:val="20"/>
        </w:rPr>
      </w:pPr>
    </w:p>
    <w:p w14:paraId="08791D86" w14:textId="3E770919" w:rsidR="00D851AD" w:rsidRDefault="00D851AD" w:rsidP="00D851AD">
      <w:pPr>
        <w:spacing w:after="0" w:line="240" w:lineRule="auto"/>
        <w:jc w:val="right"/>
        <w:rPr>
          <w:rFonts w:ascii="Arial" w:eastAsia="Times New Roman" w:hAnsi="Arial" w:cs="Arial"/>
          <w:sz w:val="16"/>
          <w:szCs w:val="16"/>
        </w:rPr>
      </w:pPr>
      <w:r w:rsidRPr="005E740D">
        <w:rPr>
          <w:rFonts w:ascii="Arial" w:eastAsia="Times New Roman" w:hAnsi="Arial" w:cs="Arial"/>
          <w:sz w:val="16"/>
          <w:szCs w:val="16"/>
        </w:rPr>
        <w:t>DOI:</w:t>
      </w:r>
      <w:r w:rsidR="00C17CF8" w:rsidRPr="005E740D">
        <w:rPr>
          <w:rFonts w:ascii="Arial" w:eastAsia="Times New Roman" w:hAnsi="Arial" w:cs="Arial"/>
          <w:sz w:val="16"/>
          <w:szCs w:val="16"/>
        </w:rPr>
        <w:t xml:space="preserve"> </w:t>
      </w:r>
      <w:r w:rsidRPr="005E740D">
        <w:rPr>
          <w:rFonts w:ascii="Arial" w:eastAsia="Times New Roman" w:hAnsi="Arial" w:cs="Arial"/>
          <w:sz w:val="16"/>
          <w:szCs w:val="16"/>
        </w:rPr>
        <w:t>10.9734/</w:t>
      </w:r>
      <w:r w:rsidR="002964C6" w:rsidRPr="005E740D">
        <w:rPr>
          <w:rFonts w:ascii="Arial" w:eastAsia="Times New Roman" w:hAnsi="Arial" w:cs="Arial"/>
          <w:sz w:val="16"/>
          <w:szCs w:val="16"/>
        </w:rPr>
        <w:t>EJNFS</w:t>
      </w:r>
      <w:r w:rsidRPr="005E740D">
        <w:rPr>
          <w:rFonts w:ascii="Arial" w:eastAsia="Times New Roman" w:hAnsi="Arial" w:cs="Arial"/>
          <w:sz w:val="16"/>
          <w:szCs w:val="16"/>
        </w:rPr>
        <w:t>/20</w:t>
      </w:r>
      <w:r w:rsidR="00BF552D" w:rsidRPr="005E740D">
        <w:rPr>
          <w:rFonts w:ascii="Arial" w:eastAsia="Times New Roman" w:hAnsi="Arial" w:cs="Arial"/>
          <w:sz w:val="16"/>
          <w:szCs w:val="16"/>
        </w:rPr>
        <w:t>2</w:t>
      </w:r>
      <w:r w:rsidR="007245E0" w:rsidRPr="005E740D">
        <w:rPr>
          <w:rFonts w:ascii="Arial" w:eastAsia="Times New Roman" w:hAnsi="Arial" w:cs="Arial"/>
          <w:sz w:val="16"/>
          <w:szCs w:val="16"/>
        </w:rPr>
        <w:t>5</w:t>
      </w:r>
      <w:r w:rsidRPr="005E740D">
        <w:rPr>
          <w:rFonts w:ascii="Arial" w:eastAsia="Times New Roman" w:hAnsi="Arial" w:cs="Arial"/>
          <w:sz w:val="16"/>
          <w:szCs w:val="16"/>
        </w:rPr>
        <w:t>/</w:t>
      </w:r>
      <w:r w:rsidR="00EC2241" w:rsidRPr="005E740D">
        <w:rPr>
          <w:rFonts w:ascii="Arial" w:eastAsia="Times New Roman" w:hAnsi="Arial" w:cs="Arial"/>
          <w:sz w:val="16"/>
          <w:szCs w:val="16"/>
        </w:rPr>
        <w:t>XXXXX</w:t>
      </w:r>
    </w:p>
    <w:p w14:paraId="296E4BD6" w14:textId="77777777" w:rsidR="001E444B" w:rsidRPr="00D851AD" w:rsidRDefault="001E444B" w:rsidP="00D851AD">
      <w:pPr>
        <w:spacing w:after="0" w:line="240" w:lineRule="auto"/>
        <w:jc w:val="right"/>
        <w:rPr>
          <w:rFonts w:ascii="Arial" w:eastAsia="Times New Roman" w:hAnsi="Arial" w:cs="Arial"/>
          <w:sz w:val="16"/>
          <w:szCs w:val="16"/>
        </w:rPr>
      </w:pPr>
    </w:p>
    <w:p w14:paraId="07602664" w14:textId="77777777" w:rsidR="001E444B" w:rsidRPr="00003A04" w:rsidRDefault="001E444B" w:rsidP="001E444B">
      <w:pPr>
        <w:spacing w:after="0" w:line="240" w:lineRule="auto"/>
        <w:jc w:val="right"/>
        <w:rPr>
          <w:rFonts w:ascii="Arial" w:eastAsia="Times New Roman" w:hAnsi="Arial" w:cs="Arial"/>
          <w:b/>
          <w:sz w:val="16"/>
          <w:szCs w:val="16"/>
        </w:rPr>
      </w:pPr>
      <w:r w:rsidRPr="00003A04">
        <w:rPr>
          <w:rFonts w:ascii="Arial" w:eastAsia="Times New Roman" w:hAnsi="Arial" w:cs="Arial"/>
          <w:b/>
          <w:sz w:val="16"/>
          <w:szCs w:val="16"/>
        </w:rPr>
        <w:t>Open Peer Review History:</w:t>
      </w:r>
    </w:p>
    <w:p w14:paraId="0EAD6F0C" w14:textId="77777777" w:rsidR="001E444B" w:rsidRPr="00D851AD" w:rsidRDefault="001E444B" w:rsidP="001E444B">
      <w:pPr>
        <w:spacing w:after="0" w:line="240" w:lineRule="auto"/>
        <w:jc w:val="right"/>
        <w:rPr>
          <w:rFonts w:ascii="Arial" w:eastAsia="Times New Roman" w:hAnsi="Arial" w:cs="Arial"/>
          <w:sz w:val="16"/>
          <w:szCs w:val="16"/>
        </w:rPr>
      </w:pPr>
      <w:r w:rsidRPr="00003A04">
        <w:rPr>
          <w:rFonts w:ascii="Arial" w:eastAsia="Times New Roman" w:hAnsi="Arial" w:cs="Arial"/>
          <w:sz w:val="16"/>
          <w:szCs w:val="16"/>
        </w:rPr>
        <w:t>This journal follows the Advanced Open Peer Review policy.</w:t>
      </w:r>
      <w:r>
        <w:rPr>
          <w:rFonts w:ascii="Arial" w:eastAsia="Times New Roman" w:hAnsi="Arial" w:cs="Arial"/>
          <w:sz w:val="16"/>
          <w:szCs w:val="16"/>
        </w:rPr>
        <w:t xml:space="preserve"> </w:t>
      </w:r>
      <w:r w:rsidRPr="00003A04">
        <w:rPr>
          <w:rFonts w:ascii="Arial" w:eastAsia="Times New Roman" w:hAnsi="Arial" w:cs="Arial"/>
          <w:sz w:val="16"/>
          <w:szCs w:val="16"/>
        </w:rPr>
        <w:t xml:space="preserve">Identity of the Reviewers, Editor(s) and additional Reviewers, </w:t>
      </w:r>
      <w:r>
        <w:rPr>
          <w:rFonts w:ascii="Arial" w:eastAsia="Times New Roman" w:hAnsi="Arial" w:cs="Arial"/>
          <w:sz w:val="16"/>
          <w:szCs w:val="16"/>
        </w:rPr>
        <w:t xml:space="preserve"> </w:t>
      </w:r>
      <w:r w:rsidRPr="00003A04">
        <w:rPr>
          <w:rFonts w:ascii="Arial" w:eastAsia="Times New Roman" w:hAnsi="Arial" w:cs="Arial"/>
          <w:sz w:val="16"/>
          <w:szCs w:val="16"/>
        </w:rPr>
        <w:t>peer review comments, different versions of the manuscript, comments of the editors, etc are available here:</w:t>
      </w:r>
    </w:p>
    <w:p w14:paraId="2E89D2FD" w14:textId="77777777" w:rsidR="00BD060A" w:rsidRPr="001E444B" w:rsidRDefault="00BD060A" w:rsidP="00545B7F">
      <w:pPr>
        <w:keepNext/>
        <w:spacing w:after="0" w:line="240" w:lineRule="auto"/>
        <w:contextualSpacing/>
        <w:jc w:val="right"/>
        <w:rPr>
          <w:rFonts w:ascii="Arial" w:eastAsia="Times New Roman" w:hAnsi="Arial" w:cs="Arial"/>
          <w:i/>
          <w:sz w:val="20"/>
          <w:szCs w:val="20"/>
        </w:rPr>
      </w:pPr>
    </w:p>
    <w:p w14:paraId="786FED27" w14:textId="77777777" w:rsidR="00D851AD" w:rsidRPr="00BD060A" w:rsidRDefault="00D851AD" w:rsidP="00545B7F">
      <w:pPr>
        <w:keepNext/>
        <w:spacing w:after="0" w:line="240" w:lineRule="auto"/>
        <w:contextualSpacing/>
        <w:jc w:val="right"/>
        <w:rPr>
          <w:rFonts w:ascii="Arial" w:eastAsia="Times New Roman" w:hAnsi="Arial" w:cs="Arial"/>
          <w:i/>
          <w:sz w:val="20"/>
          <w:szCs w:val="20"/>
        </w:rPr>
      </w:pPr>
    </w:p>
    <w:p w14:paraId="78E9E8AD" w14:textId="77777777" w:rsidR="00BD060A" w:rsidRPr="00BD060A" w:rsidRDefault="00BD060A" w:rsidP="00545B7F">
      <w:pPr>
        <w:spacing w:after="0" w:line="240" w:lineRule="auto"/>
        <w:contextualSpacing/>
        <w:jc w:val="right"/>
        <w:rPr>
          <w:rFonts w:ascii="Arial" w:eastAsia="Times New Roman" w:hAnsi="Arial" w:cs="Arial"/>
          <w:bCs/>
          <w:iCs/>
          <w:sz w:val="20"/>
          <w:szCs w:val="20"/>
        </w:rPr>
      </w:pPr>
    </w:p>
    <w:p w14:paraId="40902A43" w14:textId="77777777" w:rsidR="00BD060A" w:rsidRPr="00BD060A" w:rsidRDefault="00BD060A" w:rsidP="00BD060A">
      <w:pPr>
        <w:autoSpaceDE w:val="0"/>
        <w:autoSpaceDN w:val="0"/>
        <w:adjustRightInd w:val="0"/>
        <w:spacing w:after="0" w:line="240" w:lineRule="auto"/>
        <w:contextualSpacing/>
        <w:jc w:val="right"/>
        <w:rPr>
          <w:rFonts w:ascii="Arial" w:eastAsia="Times New Roman" w:hAnsi="Arial" w:cs="Arial"/>
          <w:b/>
          <w:i/>
          <w:sz w:val="20"/>
          <w:szCs w:val="16"/>
        </w:rPr>
      </w:pPr>
      <w:r w:rsidRPr="00BD060A">
        <w:rPr>
          <w:rFonts w:ascii="Arial" w:eastAsia="Times New Roman" w:hAnsi="Arial" w:cs="Arial"/>
          <w:b/>
          <w:i/>
          <w:sz w:val="20"/>
          <w:szCs w:val="16"/>
        </w:rPr>
        <w:t>Received</w:t>
      </w:r>
      <w:r w:rsidR="009A23F1">
        <w:rPr>
          <w:rFonts w:ascii="Arial" w:eastAsia="Times New Roman" w:hAnsi="Arial" w:cs="Arial"/>
          <w:b/>
          <w:i/>
          <w:sz w:val="20"/>
          <w:szCs w:val="16"/>
        </w:rPr>
        <w:t>:</w:t>
      </w:r>
      <w:r w:rsidRPr="00BD060A">
        <w:rPr>
          <w:rFonts w:ascii="Arial" w:eastAsia="Times New Roman" w:hAnsi="Arial" w:cs="Arial"/>
          <w:b/>
          <w:i/>
          <w:sz w:val="20"/>
          <w:szCs w:val="16"/>
        </w:rPr>
        <w:t xml:space="preserve"> </w:t>
      </w:r>
      <w:r w:rsidR="009A23F1" w:rsidRPr="009A23F1">
        <w:rPr>
          <w:rFonts w:ascii="Arial" w:eastAsia="Times New Roman" w:hAnsi="Arial" w:cs="Arial"/>
          <w:b/>
          <w:i/>
          <w:sz w:val="20"/>
          <w:szCs w:val="16"/>
        </w:rPr>
        <w:t>DD/MM/20YY</w:t>
      </w:r>
    </w:p>
    <w:p w14:paraId="75B21817" w14:textId="77777777" w:rsidR="00BD060A" w:rsidRPr="00BD060A" w:rsidRDefault="00000000" w:rsidP="00BD060A">
      <w:pPr>
        <w:autoSpaceDE w:val="0"/>
        <w:autoSpaceDN w:val="0"/>
        <w:adjustRightInd w:val="0"/>
        <w:spacing w:after="0" w:line="240" w:lineRule="auto"/>
        <w:contextualSpacing/>
        <w:jc w:val="right"/>
        <w:rPr>
          <w:rFonts w:ascii="Arial" w:eastAsia="Times New Roman" w:hAnsi="Arial" w:cs="Arial"/>
          <w:b/>
          <w:i/>
          <w:sz w:val="20"/>
          <w:szCs w:val="16"/>
        </w:rPr>
      </w:pPr>
      <w:r>
        <w:rPr>
          <w:rFonts w:ascii="Arial" w:eastAsia="Times New Roman" w:hAnsi="Arial" w:cs="Arial"/>
          <w:b/>
          <w:noProof/>
          <w:sz w:val="24"/>
          <w:szCs w:val="20"/>
        </w:rPr>
        <w:pict w14:anchorId="7E0AF88A">
          <v:rect id="_x0000_s2077" style="position:absolute;left:0;text-align:left;margin-left:1.95pt;margin-top:3.45pt;width:137.6pt;height:18.65pt;z-index:251668480">
            <v:textbox style="mso-next-textbox:#_x0000_s2077" inset=",2.16pt,,2.16pt">
              <w:txbxContent>
                <w:p w14:paraId="17B80936" w14:textId="77777777" w:rsidR="007E16D0" w:rsidRPr="00081439" w:rsidRDefault="007E16D0" w:rsidP="007E16D0">
                  <w:pPr>
                    <w:jc w:val="center"/>
                    <w:rPr>
                      <w:rFonts w:ascii="Arial" w:hAnsi="Arial" w:cs="Arial"/>
                      <w:b/>
                      <w:i/>
                      <w:sz w:val="20"/>
                    </w:rPr>
                  </w:pPr>
                  <w:r>
                    <w:rPr>
                      <w:rFonts w:ascii="Arial" w:hAnsi="Arial" w:cs="Arial"/>
                      <w:b/>
                      <w:i/>
                      <w:sz w:val="20"/>
                    </w:rPr>
                    <w:t>…………</w:t>
                  </w:r>
                  <w:r w:rsidRPr="00081439">
                    <w:rPr>
                      <w:rFonts w:ascii="Arial" w:hAnsi="Arial" w:cs="Arial"/>
                      <w:b/>
                      <w:i/>
                      <w:sz w:val="20"/>
                    </w:rPr>
                    <w:t xml:space="preserve"> Article</w:t>
                  </w:r>
                </w:p>
              </w:txbxContent>
            </v:textbox>
          </v:rect>
        </w:pict>
      </w:r>
      <w:r w:rsidR="00BD060A" w:rsidRPr="00BD060A">
        <w:rPr>
          <w:rFonts w:ascii="Arial" w:eastAsia="Times New Roman" w:hAnsi="Arial" w:cs="Arial"/>
          <w:b/>
          <w:i/>
          <w:sz w:val="20"/>
          <w:szCs w:val="16"/>
        </w:rPr>
        <w:t>Accepted</w:t>
      </w:r>
      <w:r w:rsidR="009A23F1">
        <w:rPr>
          <w:rFonts w:ascii="Arial" w:eastAsia="Times New Roman" w:hAnsi="Arial" w:cs="Arial"/>
          <w:b/>
          <w:i/>
          <w:sz w:val="20"/>
          <w:szCs w:val="16"/>
        </w:rPr>
        <w:t>:</w:t>
      </w:r>
      <w:r w:rsidR="00BD060A" w:rsidRPr="00BD060A">
        <w:rPr>
          <w:rFonts w:ascii="Arial" w:eastAsia="Times New Roman" w:hAnsi="Arial" w:cs="Arial"/>
          <w:b/>
          <w:i/>
          <w:sz w:val="20"/>
          <w:szCs w:val="16"/>
        </w:rPr>
        <w:t xml:space="preserve"> </w:t>
      </w:r>
      <w:r w:rsidR="009A23F1" w:rsidRPr="009A23F1">
        <w:rPr>
          <w:rFonts w:ascii="Arial" w:eastAsia="Times New Roman" w:hAnsi="Arial" w:cs="Arial"/>
          <w:b/>
          <w:i/>
          <w:sz w:val="20"/>
          <w:szCs w:val="16"/>
        </w:rPr>
        <w:t>DD/MM/20YY</w:t>
      </w:r>
    </w:p>
    <w:p w14:paraId="4C531CB2" w14:textId="77777777" w:rsidR="00BD060A" w:rsidRPr="00BD060A" w:rsidRDefault="00BD060A" w:rsidP="00BD060A">
      <w:pPr>
        <w:autoSpaceDE w:val="0"/>
        <w:autoSpaceDN w:val="0"/>
        <w:adjustRightInd w:val="0"/>
        <w:spacing w:after="0" w:line="240" w:lineRule="auto"/>
        <w:contextualSpacing/>
        <w:jc w:val="right"/>
        <w:rPr>
          <w:rFonts w:ascii="Arial" w:eastAsia="Times New Roman" w:hAnsi="Arial" w:cs="Arial"/>
          <w:sz w:val="20"/>
          <w:szCs w:val="20"/>
        </w:rPr>
      </w:pPr>
      <w:r w:rsidRPr="00BD060A">
        <w:rPr>
          <w:rFonts w:ascii="Arial" w:eastAsia="Times New Roman" w:hAnsi="Arial" w:cs="Arial"/>
          <w:b/>
          <w:i/>
          <w:sz w:val="20"/>
          <w:szCs w:val="16"/>
        </w:rPr>
        <w:t>Published</w:t>
      </w:r>
      <w:r w:rsidR="009A23F1">
        <w:rPr>
          <w:rFonts w:ascii="Arial" w:eastAsia="Times New Roman" w:hAnsi="Arial" w:cs="Arial"/>
          <w:b/>
          <w:i/>
          <w:sz w:val="20"/>
          <w:szCs w:val="16"/>
        </w:rPr>
        <w:t>:</w:t>
      </w:r>
      <w:r w:rsidRPr="00BD060A">
        <w:rPr>
          <w:rFonts w:ascii="Arial" w:eastAsia="Times New Roman" w:hAnsi="Arial" w:cs="Arial"/>
          <w:b/>
          <w:i/>
          <w:sz w:val="20"/>
          <w:szCs w:val="16"/>
        </w:rPr>
        <w:t xml:space="preserve"> </w:t>
      </w:r>
      <w:r w:rsidR="009A23F1" w:rsidRPr="009A23F1">
        <w:rPr>
          <w:rFonts w:ascii="Arial" w:eastAsia="Times New Roman" w:hAnsi="Arial" w:cs="Arial"/>
          <w:b/>
          <w:i/>
          <w:sz w:val="20"/>
          <w:szCs w:val="16"/>
        </w:rPr>
        <w:t>DD/MM/20YY</w:t>
      </w:r>
    </w:p>
    <w:p w14:paraId="2B80B9B3" w14:textId="77777777" w:rsidR="00BD060A" w:rsidRPr="001004BF" w:rsidRDefault="00000000" w:rsidP="00BD060A">
      <w:pPr>
        <w:keepNext/>
        <w:spacing w:after="0" w:line="240" w:lineRule="auto"/>
        <w:contextualSpacing/>
        <w:rPr>
          <w:rFonts w:ascii="Arial" w:eastAsia="Times New Roman" w:hAnsi="Arial" w:cs="Arial"/>
          <w:b/>
          <w:caps/>
          <w:sz w:val="24"/>
          <w:szCs w:val="20"/>
        </w:rPr>
      </w:pPr>
      <w:r>
        <w:rPr>
          <w:rFonts w:ascii="Arial" w:eastAsia="Times New Roman" w:hAnsi="Arial" w:cs="Arial"/>
          <w:b/>
          <w:caps/>
          <w:sz w:val="24"/>
          <w:szCs w:val="20"/>
        </w:rPr>
      </w:r>
      <w:r>
        <w:rPr>
          <w:rFonts w:ascii="Arial" w:eastAsia="Times New Roman" w:hAnsi="Arial" w:cs="Arial"/>
          <w:b/>
          <w:caps/>
          <w:sz w:val="24"/>
          <w:szCs w:val="20"/>
        </w:rPr>
        <w:pict w14:anchorId="0A71EA83">
          <v:shape id="_x0000_s2078" type="#_x0000_t32" style="width:450.7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0460C420" w14:textId="77777777" w:rsidR="00BD060A" w:rsidRPr="00BD060A" w:rsidRDefault="00BD060A" w:rsidP="00BD060A">
      <w:pPr>
        <w:keepNext/>
        <w:tabs>
          <w:tab w:val="left" w:pos="3870"/>
        </w:tabs>
        <w:spacing w:after="0" w:line="240" w:lineRule="auto"/>
        <w:contextualSpacing/>
        <w:rPr>
          <w:rFonts w:ascii="Arial" w:eastAsia="Times New Roman" w:hAnsi="Arial" w:cs="Arial"/>
          <w:b/>
          <w:caps/>
          <w:sz w:val="20"/>
          <w:szCs w:val="20"/>
        </w:rPr>
      </w:pPr>
    </w:p>
    <w:p w14:paraId="0F50A6AA" w14:textId="77777777" w:rsidR="00BD060A" w:rsidRPr="00BD060A" w:rsidRDefault="00BD060A" w:rsidP="00C429F3">
      <w:pPr>
        <w:pStyle w:val="Heading2"/>
        <w:rPr>
          <w:rFonts w:eastAsia="Times New Roman"/>
        </w:rPr>
      </w:pPr>
      <w:r w:rsidRPr="00BD060A">
        <w:rPr>
          <w:rFonts w:eastAsia="Times New Roman"/>
        </w:rPr>
        <w:t>ABSTRACT</w:t>
      </w:r>
    </w:p>
    <w:p w14:paraId="24169396" w14:textId="77777777" w:rsidR="00BD060A" w:rsidRPr="00BD060A" w:rsidRDefault="00BD060A" w:rsidP="00BD060A">
      <w:pPr>
        <w:keepNext/>
        <w:spacing w:after="0" w:line="240" w:lineRule="auto"/>
        <w:contextualSpacing/>
        <w:rPr>
          <w:rFonts w:ascii="Arial" w:eastAsia="Times New Roman" w:hAnsi="Arial" w:cs="Arial"/>
          <w:b/>
          <w:cap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3"/>
      </w:tblGrid>
      <w:tr w:rsidR="00BD060A" w:rsidRPr="00BD060A" w14:paraId="54A5C971" w14:textId="77777777" w:rsidTr="00301B26">
        <w:trPr>
          <w:jc w:val="center"/>
        </w:trPr>
        <w:tc>
          <w:tcPr>
            <w:tcW w:w="8983" w:type="dxa"/>
            <w:shd w:val="clear" w:color="auto" w:fill="auto"/>
          </w:tcPr>
          <w:p w14:paraId="619F0972" w14:textId="69ED2455" w:rsidR="00911EB6" w:rsidRPr="005E740D" w:rsidRDefault="005E740D" w:rsidP="00911EB6">
            <w:pPr>
              <w:spacing w:after="0" w:line="240" w:lineRule="auto"/>
              <w:contextualSpacing/>
              <w:jc w:val="both"/>
              <w:rPr>
                <w:rFonts w:ascii="Arial" w:eastAsia="Calibri" w:hAnsi="Arial" w:cs="Arial"/>
                <w:sz w:val="20"/>
              </w:rPr>
            </w:pPr>
            <w:r w:rsidRPr="005E740D">
              <w:rPr>
                <w:rFonts w:ascii="Arial" w:eastAsia="Calibri" w:hAnsi="Arial" w:cs="Arial"/>
                <w:sz w:val="20"/>
                <w:lang w:val="fr-FR"/>
              </w:rPr>
              <w:t>Coccidiosis is a major parasitic disease affecting chickens and is a significant factor in the decline of their zootechnical performance. Conventional control methods rely on synthetic anticoccidial drugs, which pose risks to both animal and human health. This has prompted growing interest in natural alternatives, particularly medicinal plants. Alchornea cordifolia, a plant native to Côte d'Ivoire and widely used in traditional medicine, is known for its diverse therapeutic properties. Phytochemical screening of the aqueous leaf extract revealed the presence of sterols, polyterpenes, polyphenols, quinones, alkaloids, and catechic tannins. The LD</w:t>
            </w:r>
            <w:r w:rsidRPr="005E740D">
              <w:rPr>
                <w:rFonts w:ascii="Cambria Math" w:eastAsia="Calibri" w:hAnsi="Cambria Math" w:cs="Cambria Math"/>
                <w:sz w:val="20"/>
                <w:lang w:val="fr-FR"/>
              </w:rPr>
              <w:t>₅₀</w:t>
            </w:r>
            <w:r w:rsidRPr="005E740D">
              <w:rPr>
                <w:rFonts w:ascii="Arial" w:eastAsia="Calibri" w:hAnsi="Arial" w:cs="Arial"/>
                <w:sz w:val="20"/>
                <w:lang w:val="fr-FR"/>
              </w:rPr>
              <w:t xml:space="preserve">, determined in accordance with OECD guideline 423, indicated that the extract is non-toxic at doses of 2000 and </w:t>
            </w:r>
            <w:r w:rsidRPr="005E740D">
              <w:rPr>
                <w:rFonts w:ascii="Arial" w:eastAsia="Calibri" w:hAnsi="Arial" w:cs="Arial"/>
                <w:sz w:val="20"/>
                <w:lang w:val="fr-FR"/>
              </w:rPr>
              <w:lastRenderedPageBreak/>
              <w:t xml:space="preserve">5000 mg/kg body weight in Wistar rats. The study evaluated the effects of </w:t>
            </w:r>
            <w:r w:rsidRPr="005E740D">
              <w:rPr>
                <w:rFonts w:ascii="Arial" w:eastAsia="Calibri" w:hAnsi="Arial" w:cs="Arial"/>
                <w:i/>
                <w:iCs/>
                <w:sz w:val="20"/>
                <w:lang w:val="fr-FR"/>
              </w:rPr>
              <w:t>A. cordifolia</w:t>
            </w:r>
            <w:r w:rsidRPr="005E740D">
              <w:rPr>
                <w:rFonts w:ascii="Arial" w:eastAsia="Calibri" w:hAnsi="Arial" w:cs="Arial"/>
                <w:sz w:val="20"/>
                <w:lang w:val="fr-FR"/>
              </w:rPr>
              <w:t xml:space="preserve"> aqueous extract on weight gain, feed conversion ratio, lesion scores, and clinical appearance in broiler chickens. The results showed no adverse impact on zootechnical performance. Furthermore, the extract demonstrated anticoccidial efficacy against </w:t>
            </w:r>
            <w:r w:rsidRPr="005E740D">
              <w:rPr>
                <w:rFonts w:ascii="Arial" w:eastAsia="Calibri" w:hAnsi="Arial" w:cs="Arial"/>
                <w:i/>
                <w:iCs/>
                <w:sz w:val="20"/>
                <w:lang w:val="fr-FR"/>
              </w:rPr>
              <w:t>Eimeria</w:t>
            </w:r>
            <w:r w:rsidRPr="005E740D">
              <w:rPr>
                <w:rFonts w:ascii="Arial" w:eastAsia="Calibri" w:hAnsi="Arial" w:cs="Arial"/>
                <w:sz w:val="20"/>
                <w:lang w:val="fr-FR"/>
              </w:rPr>
              <w:t xml:space="preserve">-induced coccidiosis. After seven days of treatment, oocyst counts dropped significantly across the three experimental groups: from 102,300 to 200 OPG in the control group (treated with a conventional anticoccidial), from 86,350 to 4,200 OPG in the group treated with 5 g/L of the extract, and from 21,400 to 3,500 OPG in the group treated with 10 g/L. These results suggest that </w:t>
            </w:r>
            <w:r w:rsidRPr="005E740D">
              <w:rPr>
                <w:rFonts w:ascii="Arial" w:eastAsia="Calibri" w:hAnsi="Arial" w:cs="Arial"/>
                <w:i/>
                <w:iCs/>
                <w:sz w:val="20"/>
                <w:lang w:val="fr-FR"/>
              </w:rPr>
              <w:t>A. cordifolia</w:t>
            </w:r>
            <w:r w:rsidRPr="005E740D">
              <w:rPr>
                <w:rFonts w:ascii="Arial" w:eastAsia="Calibri" w:hAnsi="Arial" w:cs="Arial"/>
                <w:sz w:val="20"/>
                <w:lang w:val="fr-FR"/>
              </w:rPr>
              <w:t xml:space="preserve"> leaf extract exhibits promising anticoccidial activity and may be considered as a potential alternative in poultry health management.</w:t>
            </w:r>
          </w:p>
          <w:p w14:paraId="40E2B77B" w14:textId="77777777" w:rsidR="00911EB6" w:rsidRPr="005E740D" w:rsidRDefault="00911EB6" w:rsidP="00BD060A">
            <w:pPr>
              <w:spacing w:after="0" w:line="240" w:lineRule="auto"/>
              <w:contextualSpacing/>
              <w:jc w:val="both"/>
              <w:rPr>
                <w:rFonts w:ascii="Arial" w:eastAsia="Calibri" w:hAnsi="Arial" w:cs="Arial"/>
                <w:sz w:val="20"/>
              </w:rPr>
            </w:pPr>
          </w:p>
        </w:tc>
      </w:tr>
    </w:tbl>
    <w:p w14:paraId="772DD322" w14:textId="77777777" w:rsidR="00D851AD" w:rsidRDefault="00D851AD" w:rsidP="00BD060A">
      <w:pPr>
        <w:spacing w:after="0" w:line="240" w:lineRule="auto"/>
        <w:ind w:left="1080" w:hanging="1080"/>
        <w:contextualSpacing/>
        <w:jc w:val="both"/>
        <w:rPr>
          <w:rFonts w:ascii="Arial" w:eastAsia="Times New Roman" w:hAnsi="Arial" w:cs="Arial"/>
          <w:i/>
          <w:sz w:val="20"/>
          <w:szCs w:val="20"/>
        </w:rPr>
      </w:pPr>
    </w:p>
    <w:p w14:paraId="3409AC73" w14:textId="5F9EDB15" w:rsidR="00911EB6" w:rsidRDefault="00BD060A" w:rsidP="00911EB6">
      <w:pPr>
        <w:spacing w:after="0" w:line="240" w:lineRule="auto"/>
        <w:ind w:left="1080" w:hanging="1080"/>
        <w:contextualSpacing/>
        <w:jc w:val="both"/>
        <w:rPr>
          <w:rFonts w:ascii="Arial" w:eastAsia="Times New Roman" w:hAnsi="Arial" w:cs="Arial"/>
          <w:bCs/>
          <w:i/>
          <w:iCs/>
          <w:sz w:val="20"/>
          <w:szCs w:val="20"/>
        </w:rPr>
      </w:pPr>
      <w:r w:rsidRPr="00BD060A">
        <w:rPr>
          <w:rFonts w:ascii="Arial" w:eastAsia="Times New Roman" w:hAnsi="Arial" w:cs="Arial"/>
          <w:i/>
          <w:sz w:val="20"/>
          <w:szCs w:val="20"/>
        </w:rPr>
        <w:t>Keywords:</w:t>
      </w:r>
      <w:r w:rsidR="00934AFE">
        <w:rPr>
          <w:rFonts w:ascii="Arial" w:eastAsia="Times New Roman" w:hAnsi="Arial" w:cs="Arial"/>
          <w:i/>
          <w:sz w:val="20"/>
          <w:szCs w:val="20"/>
        </w:rPr>
        <w:tab/>
      </w:r>
      <w:r w:rsidR="00934AFE" w:rsidRPr="00934AFE">
        <w:rPr>
          <w:rFonts w:ascii="Arial" w:eastAsia="Times New Roman" w:hAnsi="Arial" w:cs="Arial"/>
          <w:bCs/>
          <w:i/>
          <w:iCs/>
          <w:sz w:val="20"/>
          <w:szCs w:val="20"/>
          <w:lang w:val="fr-FR"/>
        </w:rPr>
        <w:t>Alchornea cordifolia; aqueous extract; anticoccidial activity; poultry farming; oocysts per gram (OPG)</w:t>
      </w:r>
      <w:r w:rsidR="00911EB6" w:rsidRPr="00934AFE">
        <w:rPr>
          <w:rFonts w:ascii="Arial" w:eastAsia="Times New Roman" w:hAnsi="Arial" w:cs="Arial"/>
          <w:bCs/>
          <w:i/>
          <w:iCs/>
          <w:sz w:val="20"/>
          <w:szCs w:val="20"/>
        </w:rPr>
        <w:t>.</w:t>
      </w:r>
    </w:p>
    <w:p w14:paraId="72297D3C" w14:textId="77777777" w:rsidR="00BD060A" w:rsidRDefault="00BD060A" w:rsidP="00BD060A">
      <w:pPr>
        <w:spacing w:after="0" w:line="240" w:lineRule="auto"/>
        <w:ind w:left="1080" w:hanging="1080"/>
        <w:contextualSpacing/>
        <w:jc w:val="both"/>
        <w:rPr>
          <w:rFonts w:ascii="Arial" w:eastAsia="Times New Roman" w:hAnsi="Arial" w:cs="Arial"/>
          <w:bCs/>
          <w:sz w:val="20"/>
          <w:szCs w:val="20"/>
        </w:rPr>
      </w:pPr>
    </w:p>
    <w:p w14:paraId="03EC451A" w14:textId="77777777" w:rsidR="00106CE1" w:rsidRDefault="00106CE1" w:rsidP="00C96173">
      <w:pPr>
        <w:spacing w:after="0" w:line="240" w:lineRule="auto"/>
        <w:contextualSpacing/>
        <w:jc w:val="both"/>
        <w:rPr>
          <w:rFonts w:ascii="Arial" w:eastAsia="Calibri" w:hAnsi="Arial" w:cs="Arial"/>
          <w:b/>
          <w:lang w:val="fr-FR"/>
        </w:rPr>
        <w:sectPr w:rsidR="00106CE1" w:rsidSect="002B033F">
          <w:headerReference w:type="default" r:id="rId8"/>
          <w:footerReference w:type="default" r:id="rId9"/>
          <w:footerReference w:type="first" r:id="rId10"/>
          <w:pgSz w:w="11909" w:h="16834" w:code="9"/>
          <w:pgMar w:top="1440" w:right="1440" w:bottom="1440" w:left="1440" w:header="720" w:footer="864" w:gutter="0"/>
          <w:pgNumType w:start="1"/>
          <w:cols w:space="720"/>
          <w:titlePg/>
          <w:docGrid w:linePitch="360"/>
        </w:sectPr>
      </w:pPr>
    </w:p>
    <w:p w14:paraId="00F86205" w14:textId="4DB6D87A" w:rsidR="00C96173" w:rsidRPr="00C96173" w:rsidRDefault="00427A0A" w:rsidP="00C96173">
      <w:pPr>
        <w:spacing w:after="0" w:line="240" w:lineRule="auto"/>
        <w:contextualSpacing/>
        <w:jc w:val="both"/>
        <w:rPr>
          <w:rFonts w:ascii="Arial" w:eastAsia="Calibri" w:hAnsi="Arial" w:cs="Arial"/>
          <w:bCs/>
          <w:lang w:val="fr-FR"/>
        </w:rPr>
      </w:pPr>
      <w:r w:rsidRPr="00427A0A">
        <w:rPr>
          <w:rFonts w:ascii="Arial" w:eastAsia="Calibri" w:hAnsi="Arial" w:cs="Arial"/>
          <w:b/>
          <w:lang w:val="fr-FR"/>
        </w:rPr>
        <w:t xml:space="preserve">1. </w:t>
      </w:r>
      <w:r w:rsidR="00C96173" w:rsidRPr="00C96173">
        <w:rPr>
          <w:rFonts w:ascii="Arial" w:eastAsia="Calibri" w:hAnsi="Arial" w:cs="Arial"/>
          <w:b/>
          <w:lang w:val="fr-FR"/>
        </w:rPr>
        <w:t>INTRODUCTION</w:t>
      </w:r>
    </w:p>
    <w:p w14:paraId="53D51C21" w14:textId="77777777" w:rsidR="00C96173" w:rsidRPr="00C96173" w:rsidRDefault="00C96173" w:rsidP="00C96173">
      <w:pPr>
        <w:spacing w:after="0" w:line="240" w:lineRule="auto"/>
        <w:contextualSpacing/>
        <w:jc w:val="both"/>
        <w:rPr>
          <w:rFonts w:ascii="Arial" w:eastAsia="Calibri" w:hAnsi="Arial" w:cs="Arial"/>
          <w:bCs/>
          <w:sz w:val="20"/>
          <w:szCs w:val="20"/>
          <w:lang w:val="fr-FR"/>
        </w:rPr>
      </w:pPr>
    </w:p>
    <w:p w14:paraId="31A4EE50" w14:textId="77777777" w:rsidR="00C96173" w:rsidRPr="00C96173" w:rsidRDefault="00C96173" w:rsidP="00C96173">
      <w:pPr>
        <w:spacing w:after="0" w:line="240" w:lineRule="auto"/>
        <w:contextualSpacing/>
        <w:jc w:val="both"/>
        <w:rPr>
          <w:rFonts w:ascii="Arial" w:eastAsia="Calibri" w:hAnsi="Arial" w:cs="Arial"/>
          <w:bCs/>
          <w:sz w:val="20"/>
          <w:szCs w:val="20"/>
          <w:lang w:val="fr-FR"/>
        </w:rPr>
      </w:pPr>
      <w:r w:rsidRPr="00C96173">
        <w:rPr>
          <w:rFonts w:ascii="Arial" w:eastAsia="Calibri" w:hAnsi="Arial" w:cs="Arial"/>
          <w:bCs/>
          <w:sz w:val="20"/>
          <w:szCs w:val="20"/>
          <w:lang w:val="fr-FR"/>
        </w:rPr>
        <w:t xml:space="preserve">Coccidiosis is a protozoan disease caused by obligate intracellular parasites of the </w:t>
      </w:r>
      <w:r w:rsidRPr="00C96173">
        <w:rPr>
          <w:rFonts w:ascii="Arial" w:eastAsia="Calibri" w:hAnsi="Arial" w:cs="Arial"/>
          <w:bCs/>
          <w:i/>
          <w:iCs/>
          <w:sz w:val="20"/>
          <w:szCs w:val="20"/>
          <w:lang w:val="fr-FR"/>
        </w:rPr>
        <w:t>Apicomplexa</w:t>
      </w:r>
      <w:r w:rsidRPr="00C96173">
        <w:rPr>
          <w:rFonts w:ascii="Arial" w:eastAsia="Calibri" w:hAnsi="Arial" w:cs="Arial"/>
          <w:bCs/>
          <w:sz w:val="20"/>
          <w:szCs w:val="20"/>
          <w:lang w:val="fr-FR"/>
        </w:rPr>
        <w:t xml:space="preserve"> phylum, a group of pathogens of significant economic, veterinary, and medical concern (Aitfella, 2012). In poultry farming, coccidiosis remains a major constraint, adversely affecting productivity, food security, and economic development. To manage this disease, many farmers rely on veterinary drugs. However, the improper and uncontrolled use of these anticoccidial agents has led to the emergence of </w:t>
      </w:r>
      <w:r w:rsidRPr="00C96173">
        <w:rPr>
          <w:rFonts w:ascii="Arial" w:eastAsia="Calibri" w:hAnsi="Arial" w:cs="Arial"/>
          <w:bCs/>
          <w:i/>
          <w:iCs/>
          <w:sz w:val="20"/>
          <w:szCs w:val="20"/>
          <w:lang w:val="fr-FR"/>
        </w:rPr>
        <w:t>Eimeria</w:t>
      </w:r>
      <w:r w:rsidRPr="00C96173">
        <w:rPr>
          <w:rFonts w:ascii="Arial" w:eastAsia="Calibri" w:hAnsi="Arial" w:cs="Arial"/>
          <w:bCs/>
          <w:sz w:val="20"/>
          <w:szCs w:val="20"/>
          <w:lang w:val="fr-FR"/>
        </w:rPr>
        <w:t xml:space="preserve"> strains resistant to commonly used medications (Dakpogan et al., 2012).</w:t>
      </w:r>
    </w:p>
    <w:p w14:paraId="1F574D94" w14:textId="77777777" w:rsidR="00C96173" w:rsidRPr="00C96173" w:rsidRDefault="00C96173" w:rsidP="00C96173">
      <w:pPr>
        <w:spacing w:after="0" w:line="240" w:lineRule="auto"/>
        <w:contextualSpacing/>
        <w:jc w:val="both"/>
        <w:rPr>
          <w:rFonts w:ascii="Arial" w:eastAsia="Calibri" w:hAnsi="Arial" w:cs="Arial"/>
          <w:bCs/>
          <w:sz w:val="20"/>
          <w:szCs w:val="20"/>
          <w:lang w:val="fr-FR"/>
        </w:rPr>
      </w:pPr>
    </w:p>
    <w:p w14:paraId="7347EA6C" w14:textId="11FE4DA2" w:rsidR="00C96173" w:rsidRPr="00C96173" w:rsidRDefault="00C96173" w:rsidP="00C96173">
      <w:pPr>
        <w:spacing w:after="0" w:line="240" w:lineRule="auto"/>
        <w:contextualSpacing/>
        <w:jc w:val="both"/>
        <w:rPr>
          <w:rFonts w:ascii="Arial" w:eastAsia="Calibri" w:hAnsi="Arial" w:cs="Arial"/>
          <w:bCs/>
          <w:sz w:val="20"/>
          <w:szCs w:val="20"/>
          <w:lang w:val="fr-FR"/>
        </w:rPr>
      </w:pPr>
      <w:r w:rsidRPr="00C96173">
        <w:rPr>
          <w:rFonts w:ascii="Arial" w:eastAsia="Calibri" w:hAnsi="Arial" w:cs="Arial"/>
          <w:bCs/>
          <w:sz w:val="20"/>
          <w:szCs w:val="20"/>
          <w:lang w:val="fr-FR"/>
        </w:rPr>
        <w:t xml:space="preserve">Given the growing problem of resistance and the associated health risks for both consumers and animals, there is an urgent need to explore alternative strategies (Kouamé et al., 2004; Ouattara-Soro et al., 2023). Among these alternatives, medicinal plants have received increasing attention. </w:t>
      </w:r>
      <w:r w:rsidRPr="00C96173">
        <w:rPr>
          <w:rFonts w:ascii="Arial" w:eastAsia="Calibri" w:hAnsi="Arial" w:cs="Arial"/>
          <w:bCs/>
          <w:i/>
          <w:iCs/>
          <w:sz w:val="20"/>
          <w:szCs w:val="20"/>
          <w:lang w:val="fr-FR"/>
        </w:rPr>
        <w:t>Alchornea cordifolia</w:t>
      </w:r>
      <w:r w:rsidRPr="00C96173">
        <w:rPr>
          <w:rFonts w:ascii="Arial" w:eastAsia="Calibri" w:hAnsi="Arial" w:cs="Arial"/>
          <w:bCs/>
          <w:sz w:val="20"/>
          <w:szCs w:val="20"/>
          <w:lang w:val="fr-FR"/>
        </w:rPr>
        <w:t xml:space="preserve">, in particular, is widely used in traditional medicine for its anti-inflammatory, antifungal, antibacterial, analgesic, and antioxidant properties (Traoré, 2005; </w:t>
      </w:r>
      <w:r w:rsidR="003B10A1">
        <w:rPr>
          <w:rFonts w:ascii="Arial" w:eastAsia="Calibri" w:hAnsi="Arial" w:cs="Arial"/>
          <w:bCs/>
          <w:sz w:val="20"/>
          <w:szCs w:val="20"/>
          <w:lang w:val="fr-FR"/>
        </w:rPr>
        <w:t>M</w:t>
      </w:r>
      <w:r w:rsidRPr="00C96173">
        <w:rPr>
          <w:rFonts w:ascii="Arial" w:eastAsia="Calibri" w:hAnsi="Arial" w:cs="Arial"/>
          <w:bCs/>
          <w:sz w:val="20"/>
          <w:szCs w:val="20"/>
          <w:lang w:val="fr-FR"/>
        </w:rPr>
        <w:t>'Bra, 2017).</w:t>
      </w:r>
    </w:p>
    <w:p w14:paraId="28F93243" w14:textId="77777777" w:rsidR="00C96173" w:rsidRPr="00C96173" w:rsidRDefault="00C96173" w:rsidP="00C96173">
      <w:pPr>
        <w:spacing w:after="0" w:line="240" w:lineRule="auto"/>
        <w:contextualSpacing/>
        <w:jc w:val="both"/>
        <w:rPr>
          <w:rFonts w:ascii="Arial" w:eastAsia="Calibri" w:hAnsi="Arial" w:cs="Arial"/>
          <w:bCs/>
          <w:sz w:val="20"/>
          <w:szCs w:val="20"/>
          <w:lang w:val="fr-FR"/>
        </w:rPr>
      </w:pPr>
    </w:p>
    <w:p w14:paraId="7B0A0615" w14:textId="14D68D62" w:rsidR="00C96173" w:rsidRPr="00C96173" w:rsidRDefault="00C96173" w:rsidP="00C96173">
      <w:pPr>
        <w:spacing w:after="0" w:line="240" w:lineRule="auto"/>
        <w:contextualSpacing/>
        <w:jc w:val="both"/>
        <w:rPr>
          <w:rFonts w:ascii="Arial" w:eastAsia="Calibri" w:hAnsi="Arial" w:cs="Arial"/>
          <w:bCs/>
          <w:sz w:val="20"/>
          <w:szCs w:val="20"/>
          <w:lang w:val="fr-FR"/>
        </w:rPr>
      </w:pPr>
      <w:r w:rsidRPr="00C96173">
        <w:rPr>
          <w:rFonts w:ascii="Arial" w:eastAsia="Calibri" w:hAnsi="Arial" w:cs="Arial"/>
          <w:bCs/>
          <w:sz w:val="20"/>
          <w:szCs w:val="20"/>
          <w:lang w:val="fr-FR"/>
        </w:rPr>
        <w:t xml:space="preserve">The objective of this study was to evaluate the </w:t>
      </w:r>
      <w:r w:rsidRPr="00C96173">
        <w:rPr>
          <w:rFonts w:ascii="Arial" w:eastAsia="Calibri" w:hAnsi="Arial" w:cs="Arial"/>
          <w:sz w:val="20"/>
          <w:szCs w:val="20"/>
          <w:lang w:val="fr-FR"/>
        </w:rPr>
        <w:t>in vivo antiparasitic effects</w:t>
      </w:r>
      <w:r w:rsidRPr="00C96173">
        <w:rPr>
          <w:rFonts w:ascii="Arial" w:eastAsia="Calibri" w:hAnsi="Arial" w:cs="Arial"/>
          <w:bCs/>
          <w:sz w:val="20"/>
          <w:szCs w:val="20"/>
          <w:lang w:val="fr-FR"/>
        </w:rPr>
        <w:t xml:space="preserve"> of the aqueous extract of </w:t>
      </w:r>
      <w:r w:rsidRPr="00C96173">
        <w:rPr>
          <w:rFonts w:ascii="Arial" w:eastAsia="Calibri" w:hAnsi="Arial" w:cs="Arial"/>
          <w:bCs/>
          <w:i/>
          <w:iCs/>
          <w:sz w:val="20"/>
          <w:szCs w:val="20"/>
          <w:lang w:val="fr-FR"/>
        </w:rPr>
        <w:t>Alchornea cordifolia</w:t>
      </w:r>
      <w:r w:rsidRPr="00C96173">
        <w:rPr>
          <w:rFonts w:ascii="Arial" w:eastAsia="Calibri" w:hAnsi="Arial" w:cs="Arial"/>
          <w:bCs/>
          <w:sz w:val="20"/>
          <w:szCs w:val="20"/>
          <w:lang w:val="fr-FR"/>
        </w:rPr>
        <w:t xml:space="preserve"> leaves in broiler chickens</w:t>
      </w:r>
      <w:r w:rsidR="003B10A1">
        <w:rPr>
          <w:rFonts w:ascii="Arial" w:eastAsia="Calibri" w:hAnsi="Arial" w:cs="Arial"/>
          <w:bCs/>
          <w:sz w:val="20"/>
          <w:szCs w:val="20"/>
          <w:lang w:val="fr-FR"/>
        </w:rPr>
        <w:t xml:space="preserve"> (</w:t>
      </w:r>
      <w:r w:rsidR="003B10A1" w:rsidRPr="00F15949">
        <w:rPr>
          <w:rFonts w:ascii="Arial" w:eastAsia="Calibri" w:hAnsi="Arial" w:cs="Arial"/>
          <w:bCs/>
          <w:sz w:val="20"/>
          <w:szCs w:val="20"/>
          <w:lang w:val="fr-FR"/>
        </w:rPr>
        <w:t>Wagner</w:t>
      </w:r>
      <w:r w:rsidR="003B10A1">
        <w:rPr>
          <w:rFonts w:ascii="Arial" w:eastAsia="Calibri" w:hAnsi="Arial" w:cs="Arial"/>
          <w:bCs/>
          <w:sz w:val="20"/>
          <w:szCs w:val="20"/>
          <w:lang w:val="fr-FR"/>
        </w:rPr>
        <w:t xml:space="preserve"> </w:t>
      </w:r>
      <w:r w:rsidR="003B10A1" w:rsidRPr="00F15949">
        <w:rPr>
          <w:rFonts w:ascii="Arial" w:eastAsia="Calibri" w:hAnsi="Arial" w:cs="Arial"/>
          <w:bCs/>
          <w:sz w:val="20"/>
          <w:szCs w:val="20"/>
          <w:lang w:val="fr-FR"/>
        </w:rPr>
        <w:t>&amp; Bladt, 2001)</w:t>
      </w:r>
      <w:r w:rsidRPr="00C96173">
        <w:rPr>
          <w:rFonts w:ascii="Arial" w:eastAsia="Calibri" w:hAnsi="Arial" w:cs="Arial"/>
          <w:bCs/>
          <w:sz w:val="20"/>
          <w:szCs w:val="20"/>
          <w:lang w:val="fr-FR"/>
        </w:rPr>
        <w:t>.</w:t>
      </w:r>
    </w:p>
    <w:p w14:paraId="4A985A5A" w14:textId="77777777" w:rsidR="00C96173" w:rsidRPr="00C96173" w:rsidRDefault="00C96173" w:rsidP="00C96173">
      <w:pPr>
        <w:spacing w:after="0" w:line="240" w:lineRule="auto"/>
        <w:contextualSpacing/>
        <w:jc w:val="both"/>
        <w:rPr>
          <w:rFonts w:ascii="Arial" w:eastAsia="Calibri" w:hAnsi="Arial" w:cs="Arial"/>
          <w:b/>
          <w:sz w:val="20"/>
          <w:szCs w:val="20"/>
          <w:lang w:val="fr-FR"/>
        </w:rPr>
      </w:pPr>
    </w:p>
    <w:p w14:paraId="51CEF8F3" w14:textId="3D21FA8E" w:rsidR="00C96173" w:rsidRPr="00C96173" w:rsidRDefault="00427A0A" w:rsidP="00C96173">
      <w:pPr>
        <w:spacing w:after="0" w:line="240" w:lineRule="auto"/>
        <w:contextualSpacing/>
        <w:jc w:val="both"/>
        <w:rPr>
          <w:rFonts w:ascii="Arial" w:eastAsia="Calibri" w:hAnsi="Arial" w:cs="Arial"/>
          <w:b/>
          <w:lang w:val="fr-FR"/>
        </w:rPr>
      </w:pPr>
      <w:r w:rsidRPr="00427A0A">
        <w:rPr>
          <w:rFonts w:ascii="Arial" w:eastAsia="Calibri" w:hAnsi="Arial" w:cs="Arial"/>
          <w:b/>
          <w:lang w:val="fr-FR"/>
        </w:rPr>
        <w:t xml:space="preserve">2. </w:t>
      </w:r>
      <w:r w:rsidR="00C96173" w:rsidRPr="00C96173">
        <w:rPr>
          <w:rFonts w:ascii="Arial" w:eastAsia="Calibri" w:hAnsi="Arial" w:cs="Arial"/>
          <w:b/>
          <w:lang w:val="fr-FR"/>
        </w:rPr>
        <w:t>MATERIALS AND METHODS</w:t>
      </w:r>
    </w:p>
    <w:p w14:paraId="6D0CB07A" w14:textId="77777777" w:rsidR="00427A0A" w:rsidRDefault="00427A0A" w:rsidP="00C96173">
      <w:pPr>
        <w:spacing w:after="0" w:line="240" w:lineRule="auto"/>
        <w:contextualSpacing/>
        <w:jc w:val="both"/>
        <w:rPr>
          <w:rFonts w:ascii="Arial" w:eastAsia="Calibri" w:hAnsi="Arial" w:cs="Arial"/>
          <w:b/>
          <w:sz w:val="20"/>
          <w:szCs w:val="20"/>
          <w:lang w:val="fr-FR"/>
        </w:rPr>
      </w:pPr>
    </w:p>
    <w:p w14:paraId="5CB05C2E" w14:textId="0E813586" w:rsidR="00C96173" w:rsidRPr="00C96173" w:rsidRDefault="00427A0A" w:rsidP="00C96173">
      <w:pPr>
        <w:spacing w:after="0" w:line="240" w:lineRule="auto"/>
        <w:contextualSpacing/>
        <w:jc w:val="both"/>
        <w:rPr>
          <w:rFonts w:ascii="Arial" w:eastAsia="Calibri" w:hAnsi="Arial" w:cs="Arial"/>
          <w:bCs/>
          <w:lang w:val="fr-FR"/>
        </w:rPr>
      </w:pPr>
      <w:r w:rsidRPr="00427A0A">
        <w:rPr>
          <w:rFonts w:ascii="Arial" w:eastAsia="Calibri" w:hAnsi="Arial" w:cs="Arial"/>
          <w:b/>
          <w:lang w:val="fr-FR"/>
        </w:rPr>
        <w:t xml:space="preserve">2.1 </w:t>
      </w:r>
      <w:r w:rsidR="00C96173" w:rsidRPr="00C96173">
        <w:rPr>
          <w:rFonts w:ascii="Arial" w:eastAsia="Calibri" w:hAnsi="Arial" w:cs="Arial"/>
          <w:b/>
          <w:lang w:val="fr-FR"/>
        </w:rPr>
        <w:t>Materials</w:t>
      </w:r>
    </w:p>
    <w:p w14:paraId="74CD4419" w14:textId="77777777" w:rsidR="00C96173" w:rsidRPr="00C96173" w:rsidRDefault="00C96173" w:rsidP="00C96173">
      <w:pPr>
        <w:spacing w:after="0" w:line="240" w:lineRule="auto"/>
        <w:contextualSpacing/>
        <w:jc w:val="both"/>
        <w:rPr>
          <w:rFonts w:ascii="Arial" w:eastAsia="Calibri" w:hAnsi="Arial" w:cs="Arial"/>
          <w:b/>
          <w:sz w:val="20"/>
          <w:szCs w:val="20"/>
          <w:lang w:val="fr-FR"/>
        </w:rPr>
      </w:pPr>
    </w:p>
    <w:p w14:paraId="01BA68CC" w14:textId="27FC9DB0" w:rsidR="00C96173" w:rsidRPr="00C96173" w:rsidRDefault="00427A0A" w:rsidP="00C96173">
      <w:pPr>
        <w:spacing w:after="0" w:line="240" w:lineRule="auto"/>
        <w:contextualSpacing/>
        <w:jc w:val="both"/>
        <w:rPr>
          <w:rFonts w:ascii="Arial" w:eastAsia="Calibri" w:hAnsi="Arial" w:cs="Arial"/>
          <w:bCs/>
          <w:sz w:val="20"/>
          <w:szCs w:val="20"/>
          <w:lang w:val="fr-FR"/>
        </w:rPr>
      </w:pPr>
      <w:r>
        <w:rPr>
          <w:rFonts w:ascii="Arial" w:eastAsia="Calibri" w:hAnsi="Arial" w:cs="Arial"/>
          <w:b/>
          <w:sz w:val="20"/>
          <w:szCs w:val="20"/>
          <w:lang w:val="fr-FR"/>
        </w:rPr>
        <w:t>2</w:t>
      </w:r>
      <w:r w:rsidR="00C96173" w:rsidRPr="00C96173">
        <w:rPr>
          <w:rFonts w:ascii="Arial" w:eastAsia="Calibri" w:hAnsi="Arial" w:cs="Arial"/>
          <w:b/>
          <w:sz w:val="20"/>
          <w:szCs w:val="20"/>
          <w:lang w:val="fr-FR"/>
        </w:rPr>
        <w:t>.1.1</w:t>
      </w:r>
      <w:r>
        <w:rPr>
          <w:rFonts w:ascii="Arial" w:eastAsia="Calibri" w:hAnsi="Arial" w:cs="Arial"/>
          <w:b/>
          <w:sz w:val="20"/>
          <w:szCs w:val="20"/>
          <w:lang w:val="fr-FR"/>
        </w:rPr>
        <w:t xml:space="preserve"> </w:t>
      </w:r>
      <w:r w:rsidR="00C96173" w:rsidRPr="00C96173">
        <w:rPr>
          <w:rFonts w:ascii="Arial" w:eastAsia="Calibri" w:hAnsi="Arial" w:cs="Arial"/>
          <w:b/>
          <w:sz w:val="20"/>
          <w:szCs w:val="20"/>
          <w:lang w:val="fr-FR"/>
        </w:rPr>
        <w:t>Plant</w:t>
      </w:r>
      <w:r w:rsidR="00C96173" w:rsidRPr="00C96173">
        <w:rPr>
          <w:rFonts w:ascii="Arial" w:eastAsia="Calibri" w:hAnsi="Arial" w:cs="Arial"/>
          <w:bCs/>
          <w:sz w:val="20"/>
          <w:szCs w:val="20"/>
          <w:lang w:val="fr-FR"/>
        </w:rPr>
        <w:t xml:space="preserve"> </w:t>
      </w:r>
      <w:r w:rsidR="00C96173" w:rsidRPr="00C96173">
        <w:rPr>
          <w:rFonts w:ascii="Arial" w:eastAsia="Calibri" w:hAnsi="Arial" w:cs="Arial"/>
          <w:b/>
          <w:sz w:val="20"/>
          <w:szCs w:val="20"/>
          <w:lang w:val="fr-FR"/>
        </w:rPr>
        <w:t>material</w:t>
      </w:r>
      <w:r>
        <w:rPr>
          <w:rFonts w:ascii="Arial" w:eastAsia="Calibri" w:hAnsi="Arial" w:cs="Arial"/>
          <w:b/>
          <w:sz w:val="20"/>
          <w:szCs w:val="20"/>
          <w:lang w:val="fr-FR"/>
        </w:rPr>
        <w:t>s</w:t>
      </w:r>
      <w:r w:rsidR="00C96173" w:rsidRPr="00C96173">
        <w:rPr>
          <w:rFonts w:ascii="Arial" w:eastAsia="Calibri" w:hAnsi="Arial" w:cs="Arial"/>
          <w:b/>
          <w:sz w:val="20"/>
          <w:szCs w:val="20"/>
          <w:lang w:val="fr-FR"/>
        </w:rPr>
        <w:t xml:space="preserve"> </w:t>
      </w:r>
    </w:p>
    <w:p w14:paraId="67531B5F" w14:textId="77777777" w:rsidR="00C96173" w:rsidRPr="00C96173" w:rsidRDefault="00C96173" w:rsidP="00C96173">
      <w:pPr>
        <w:spacing w:after="0" w:line="240" w:lineRule="auto"/>
        <w:contextualSpacing/>
        <w:jc w:val="both"/>
        <w:rPr>
          <w:rFonts w:ascii="Arial" w:eastAsia="Calibri" w:hAnsi="Arial" w:cs="Arial"/>
          <w:bCs/>
          <w:sz w:val="20"/>
          <w:szCs w:val="20"/>
          <w:lang w:val="fr-FR"/>
        </w:rPr>
      </w:pPr>
    </w:p>
    <w:p w14:paraId="7A4DED5E" w14:textId="77777777" w:rsidR="00C96173" w:rsidRPr="00C96173" w:rsidRDefault="00C96173" w:rsidP="00C96173">
      <w:pPr>
        <w:spacing w:after="0" w:line="240" w:lineRule="auto"/>
        <w:contextualSpacing/>
        <w:jc w:val="both"/>
        <w:rPr>
          <w:rFonts w:ascii="Arial" w:eastAsia="Calibri" w:hAnsi="Arial" w:cs="Arial"/>
          <w:bCs/>
          <w:sz w:val="20"/>
          <w:szCs w:val="20"/>
          <w:lang w:val="fr-FR"/>
        </w:rPr>
      </w:pPr>
      <w:r w:rsidRPr="00C96173">
        <w:rPr>
          <w:rFonts w:ascii="Arial" w:eastAsia="Calibri" w:hAnsi="Arial" w:cs="Arial"/>
          <w:bCs/>
          <w:sz w:val="20"/>
          <w:szCs w:val="20"/>
          <w:lang w:val="fr-FR"/>
        </w:rPr>
        <w:t xml:space="preserve">The plant material consisted of Alchornea cordifolia leaves, which were air-dried in the </w:t>
      </w:r>
      <w:r w:rsidRPr="00C96173">
        <w:rPr>
          <w:rFonts w:ascii="Arial" w:eastAsia="Calibri" w:hAnsi="Arial" w:cs="Arial"/>
          <w:bCs/>
          <w:sz w:val="20"/>
          <w:szCs w:val="20"/>
          <w:lang w:val="fr-FR"/>
        </w:rPr>
        <w:t>shade and then ground into a fine powder. This powder was used to prepare the aqueous extract.</w:t>
      </w:r>
    </w:p>
    <w:p w14:paraId="1A982889" w14:textId="77777777" w:rsidR="00C96173" w:rsidRPr="00C96173" w:rsidRDefault="00C96173" w:rsidP="00C96173">
      <w:pPr>
        <w:spacing w:after="0" w:line="240" w:lineRule="auto"/>
        <w:contextualSpacing/>
        <w:jc w:val="both"/>
        <w:rPr>
          <w:rFonts w:ascii="Arial" w:eastAsia="Calibri" w:hAnsi="Arial" w:cs="Arial"/>
          <w:b/>
          <w:sz w:val="20"/>
          <w:szCs w:val="20"/>
          <w:lang w:val="fr-FR"/>
        </w:rPr>
      </w:pPr>
    </w:p>
    <w:p w14:paraId="5A57CD22" w14:textId="1D8166AB" w:rsidR="00C96173" w:rsidRPr="00C96173" w:rsidRDefault="00427A0A" w:rsidP="00C96173">
      <w:pPr>
        <w:spacing w:after="0" w:line="240" w:lineRule="auto"/>
        <w:contextualSpacing/>
        <w:jc w:val="both"/>
        <w:rPr>
          <w:rFonts w:ascii="Arial" w:eastAsia="Calibri" w:hAnsi="Arial" w:cs="Arial"/>
          <w:b/>
          <w:sz w:val="20"/>
          <w:szCs w:val="20"/>
          <w:lang w:val="fr-FR"/>
        </w:rPr>
      </w:pPr>
      <w:r>
        <w:rPr>
          <w:rFonts w:ascii="Arial" w:eastAsia="Calibri" w:hAnsi="Arial" w:cs="Arial"/>
          <w:b/>
          <w:sz w:val="20"/>
          <w:szCs w:val="20"/>
          <w:lang w:val="fr-FR"/>
        </w:rPr>
        <w:t>2</w:t>
      </w:r>
      <w:r w:rsidR="00C96173" w:rsidRPr="00C96173">
        <w:rPr>
          <w:rFonts w:ascii="Arial" w:eastAsia="Calibri" w:hAnsi="Arial" w:cs="Arial"/>
          <w:b/>
          <w:sz w:val="20"/>
          <w:szCs w:val="20"/>
          <w:lang w:val="fr-FR"/>
        </w:rPr>
        <w:t>.1.2 Animal material</w:t>
      </w:r>
      <w:r>
        <w:rPr>
          <w:rFonts w:ascii="Arial" w:eastAsia="Calibri" w:hAnsi="Arial" w:cs="Arial"/>
          <w:b/>
          <w:sz w:val="20"/>
          <w:szCs w:val="20"/>
          <w:lang w:val="fr-FR"/>
        </w:rPr>
        <w:t>s</w:t>
      </w:r>
    </w:p>
    <w:p w14:paraId="7565887C" w14:textId="77777777" w:rsidR="00C96173" w:rsidRPr="00C96173" w:rsidRDefault="00C96173" w:rsidP="00C96173">
      <w:pPr>
        <w:spacing w:after="0" w:line="240" w:lineRule="auto"/>
        <w:contextualSpacing/>
        <w:jc w:val="both"/>
        <w:rPr>
          <w:rFonts w:ascii="Arial" w:eastAsia="Calibri" w:hAnsi="Arial" w:cs="Arial"/>
          <w:b/>
          <w:sz w:val="20"/>
          <w:szCs w:val="20"/>
          <w:lang w:val="fr-FR"/>
        </w:rPr>
      </w:pPr>
    </w:p>
    <w:p w14:paraId="5331F5E8" w14:textId="77777777" w:rsidR="00C96173" w:rsidRPr="00C96173" w:rsidRDefault="00C96173" w:rsidP="00C96173">
      <w:pPr>
        <w:numPr>
          <w:ilvl w:val="0"/>
          <w:numId w:val="2"/>
        </w:numPr>
        <w:spacing w:after="0" w:line="240" w:lineRule="auto"/>
        <w:ind w:left="540"/>
        <w:contextualSpacing/>
        <w:jc w:val="both"/>
        <w:rPr>
          <w:rFonts w:ascii="Arial" w:eastAsia="Calibri" w:hAnsi="Arial" w:cs="Arial"/>
          <w:bCs/>
          <w:sz w:val="20"/>
          <w:szCs w:val="20"/>
          <w:lang w:val="fr-FR"/>
        </w:rPr>
      </w:pPr>
      <w:r w:rsidRPr="00C96173">
        <w:rPr>
          <w:rFonts w:ascii="Arial" w:eastAsia="Calibri" w:hAnsi="Arial" w:cs="Arial"/>
          <w:bCs/>
          <w:sz w:val="20"/>
          <w:szCs w:val="20"/>
          <w:lang w:val="fr-FR"/>
        </w:rPr>
        <w:t xml:space="preserve">Wistar strain </w:t>
      </w:r>
      <w:r w:rsidRPr="00C96173">
        <w:rPr>
          <w:rFonts w:ascii="Arial" w:eastAsia="Calibri" w:hAnsi="Arial" w:cs="Arial"/>
          <w:bCs/>
          <w:i/>
          <w:iCs/>
          <w:sz w:val="20"/>
          <w:szCs w:val="20"/>
          <w:lang w:val="fr-FR"/>
        </w:rPr>
        <w:t>Rattus norvegicus</w:t>
      </w:r>
      <w:r w:rsidRPr="00C96173">
        <w:rPr>
          <w:rFonts w:ascii="Arial" w:eastAsia="Calibri" w:hAnsi="Arial" w:cs="Arial"/>
          <w:bCs/>
          <w:sz w:val="20"/>
          <w:szCs w:val="20"/>
          <w:lang w:val="fr-FR"/>
        </w:rPr>
        <w:t xml:space="preserve"> (Muridae) rats, weighing between 100 g and 130 g, were used for acute toxicity assessment.</w:t>
      </w:r>
    </w:p>
    <w:p w14:paraId="3EB39EAC" w14:textId="77777777" w:rsidR="00C96173" w:rsidRPr="00C96173" w:rsidRDefault="00C96173" w:rsidP="00C96173">
      <w:pPr>
        <w:numPr>
          <w:ilvl w:val="0"/>
          <w:numId w:val="2"/>
        </w:numPr>
        <w:spacing w:after="0" w:line="240" w:lineRule="auto"/>
        <w:ind w:left="540"/>
        <w:contextualSpacing/>
        <w:jc w:val="both"/>
        <w:rPr>
          <w:rFonts w:ascii="Arial" w:eastAsia="Calibri" w:hAnsi="Arial" w:cs="Arial"/>
          <w:bCs/>
          <w:sz w:val="20"/>
          <w:szCs w:val="20"/>
          <w:lang w:val="fr-FR"/>
        </w:rPr>
      </w:pPr>
      <w:r w:rsidRPr="00C96173">
        <w:rPr>
          <w:rFonts w:ascii="Arial" w:eastAsia="Calibri" w:hAnsi="Arial" w:cs="Arial"/>
          <w:bCs/>
          <w:sz w:val="20"/>
          <w:szCs w:val="20"/>
          <w:lang w:val="fr-FR"/>
        </w:rPr>
        <w:t xml:space="preserve">Fifty-one (51) one-day-old </w:t>
      </w:r>
      <w:r w:rsidRPr="00C96173">
        <w:rPr>
          <w:rFonts w:ascii="Arial" w:eastAsia="Calibri" w:hAnsi="Arial" w:cs="Arial"/>
          <w:bCs/>
          <w:i/>
          <w:iCs/>
          <w:sz w:val="20"/>
          <w:szCs w:val="20"/>
          <w:lang w:val="fr-FR"/>
        </w:rPr>
        <w:t>Gallus gallus domesticus</w:t>
      </w:r>
      <w:r w:rsidRPr="00C96173">
        <w:rPr>
          <w:rFonts w:ascii="Arial" w:eastAsia="Calibri" w:hAnsi="Arial" w:cs="Arial"/>
          <w:bCs/>
          <w:sz w:val="20"/>
          <w:szCs w:val="20"/>
          <w:lang w:val="fr-FR"/>
        </w:rPr>
        <w:t xml:space="preserve"> chicks of the Cobb 500 strain, averaging 43 g in weight, were obtained from IVOGRAIN on August 23, 2022, and monitored from day 1 to day 32.</w:t>
      </w:r>
    </w:p>
    <w:p w14:paraId="0BDAFAB7" w14:textId="77777777" w:rsidR="00C96173" w:rsidRPr="00C96173" w:rsidRDefault="00C96173" w:rsidP="00C96173">
      <w:pPr>
        <w:spacing w:after="0" w:line="240" w:lineRule="auto"/>
        <w:contextualSpacing/>
        <w:jc w:val="both"/>
        <w:rPr>
          <w:rFonts w:ascii="Arial" w:eastAsia="Calibri" w:hAnsi="Arial" w:cs="Arial"/>
          <w:bCs/>
          <w:sz w:val="20"/>
          <w:szCs w:val="20"/>
          <w:lang w:val="fr-FR"/>
        </w:rPr>
      </w:pPr>
    </w:p>
    <w:p w14:paraId="6AD0E3DE" w14:textId="1D3F44B0" w:rsidR="00C96173" w:rsidRPr="00C96173" w:rsidRDefault="00427A0A" w:rsidP="00C96173">
      <w:pPr>
        <w:spacing w:after="0" w:line="240" w:lineRule="auto"/>
        <w:contextualSpacing/>
        <w:jc w:val="both"/>
        <w:rPr>
          <w:rFonts w:ascii="Arial" w:eastAsia="Calibri" w:hAnsi="Arial" w:cs="Arial"/>
          <w:b/>
          <w:lang w:val="fr-FR"/>
        </w:rPr>
      </w:pPr>
      <w:r w:rsidRPr="00427A0A">
        <w:rPr>
          <w:rFonts w:ascii="Arial" w:eastAsia="Calibri" w:hAnsi="Arial" w:cs="Arial"/>
          <w:b/>
          <w:lang w:val="fr-FR"/>
        </w:rPr>
        <w:t>2</w:t>
      </w:r>
      <w:r w:rsidR="00C96173" w:rsidRPr="00C96173">
        <w:rPr>
          <w:rFonts w:ascii="Arial" w:eastAsia="Calibri" w:hAnsi="Arial" w:cs="Arial"/>
          <w:b/>
          <w:lang w:val="fr-FR"/>
        </w:rPr>
        <w:t>.2 Methods</w:t>
      </w:r>
    </w:p>
    <w:p w14:paraId="6AC2ADFD" w14:textId="77777777" w:rsidR="00C96173" w:rsidRPr="00C96173" w:rsidRDefault="00C96173" w:rsidP="00C96173">
      <w:pPr>
        <w:spacing w:after="0" w:line="240" w:lineRule="auto"/>
        <w:contextualSpacing/>
        <w:jc w:val="both"/>
        <w:rPr>
          <w:rFonts w:ascii="Arial" w:eastAsia="Calibri" w:hAnsi="Arial" w:cs="Arial"/>
          <w:b/>
          <w:sz w:val="20"/>
          <w:szCs w:val="20"/>
          <w:lang w:val="fr-FR"/>
        </w:rPr>
      </w:pPr>
    </w:p>
    <w:p w14:paraId="4999A3F1" w14:textId="58AE590A" w:rsidR="00C96173" w:rsidRPr="00C96173" w:rsidRDefault="00427A0A" w:rsidP="00427A0A">
      <w:pPr>
        <w:spacing w:after="0" w:line="240" w:lineRule="auto"/>
        <w:ind w:left="540" w:hanging="540"/>
        <w:contextualSpacing/>
        <w:jc w:val="both"/>
        <w:rPr>
          <w:rFonts w:ascii="Arial" w:eastAsia="Calibri" w:hAnsi="Arial" w:cs="Arial"/>
          <w:b/>
          <w:sz w:val="20"/>
          <w:szCs w:val="20"/>
          <w:lang w:val="fr-FR"/>
        </w:rPr>
      </w:pPr>
      <w:r>
        <w:rPr>
          <w:rFonts w:ascii="Arial" w:eastAsia="Calibri" w:hAnsi="Arial" w:cs="Arial"/>
          <w:b/>
          <w:sz w:val="20"/>
          <w:szCs w:val="20"/>
          <w:lang w:val="fr-FR"/>
        </w:rPr>
        <w:t>2</w:t>
      </w:r>
      <w:r w:rsidR="00C96173" w:rsidRPr="00C96173">
        <w:rPr>
          <w:rFonts w:ascii="Arial" w:eastAsia="Calibri" w:hAnsi="Arial" w:cs="Arial"/>
          <w:b/>
          <w:sz w:val="20"/>
          <w:szCs w:val="20"/>
          <w:lang w:val="fr-FR"/>
        </w:rPr>
        <w:t>.2.1</w:t>
      </w:r>
      <w:r>
        <w:rPr>
          <w:rFonts w:ascii="Arial" w:eastAsia="Calibri" w:hAnsi="Arial" w:cs="Arial"/>
          <w:b/>
          <w:sz w:val="20"/>
          <w:szCs w:val="20"/>
          <w:lang w:val="fr-FR"/>
        </w:rPr>
        <w:tab/>
      </w:r>
      <w:r w:rsidR="00C96173" w:rsidRPr="00C96173">
        <w:rPr>
          <w:rFonts w:ascii="Arial" w:eastAsia="Calibri" w:hAnsi="Arial" w:cs="Arial"/>
          <w:b/>
          <w:sz w:val="20"/>
          <w:szCs w:val="20"/>
          <w:lang w:val="fr-FR"/>
        </w:rPr>
        <w:t>Preparation of aqueous extract of Alchornea cordifolia leaves</w:t>
      </w:r>
    </w:p>
    <w:p w14:paraId="26333702" w14:textId="77777777" w:rsidR="00C96173" w:rsidRPr="00C96173" w:rsidRDefault="00C96173" w:rsidP="00C96173">
      <w:pPr>
        <w:spacing w:after="0" w:line="240" w:lineRule="auto"/>
        <w:contextualSpacing/>
        <w:jc w:val="both"/>
        <w:rPr>
          <w:rFonts w:ascii="Arial" w:eastAsia="Calibri" w:hAnsi="Arial" w:cs="Arial"/>
          <w:bCs/>
          <w:sz w:val="20"/>
          <w:szCs w:val="20"/>
          <w:lang w:val="fr-FR"/>
        </w:rPr>
      </w:pPr>
    </w:p>
    <w:p w14:paraId="15D21521" w14:textId="77777777" w:rsidR="00C96173" w:rsidRPr="00C96173" w:rsidRDefault="00C96173" w:rsidP="00C96173">
      <w:pPr>
        <w:spacing w:after="0" w:line="240" w:lineRule="auto"/>
        <w:contextualSpacing/>
        <w:jc w:val="both"/>
        <w:rPr>
          <w:rFonts w:ascii="Arial" w:eastAsia="Calibri" w:hAnsi="Arial" w:cs="Arial"/>
          <w:bCs/>
          <w:sz w:val="20"/>
          <w:szCs w:val="20"/>
          <w:lang w:val="fr-FR"/>
        </w:rPr>
      </w:pPr>
      <w:r w:rsidRPr="00C96173">
        <w:rPr>
          <w:rFonts w:ascii="Arial" w:eastAsia="Calibri" w:hAnsi="Arial" w:cs="Arial"/>
          <w:bCs/>
          <w:sz w:val="20"/>
          <w:szCs w:val="20"/>
          <w:lang w:val="fr-FR"/>
        </w:rPr>
        <w:t>The aqueous extract was prepared following the protocol described by Bagré et al. (2011). Briefly, 100 g of leaf powder was macerated in 1000 mL of sterile distilled water for 24 hours at room temperature on a magnetic stirrer set at 3000 rpm. The resulting mixture was filtered successively through poplin cloth, cotton wool, and Whatman filter paper. The filtrate was then dried in an oven at 40°C to obtain the dry extract.</w:t>
      </w:r>
    </w:p>
    <w:p w14:paraId="37815ED1" w14:textId="77777777" w:rsidR="00C96173" w:rsidRPr="00C96173" w:rsidRDefault="00C96173" w:rsidP="00C96173">
      <w:pPr>
        <w:spacing w:after="0" w:line="240" w:lineRule="auto"/>
        <w:contextualSpacing/>
        <w:jc w:val="both"/>
        <w:rPr>
          <w:rFonts w:ascii="Arial" w:eastAsia="Calibri" w:hAnsi="Arial" w:cs="Arial"/>
          <w:b/>
          <w:sz w:val="20"/>
          <w:szCs w:val="20"/>
          <w:lang w:val="fr-FR"/>
        </w:rPr>
      </w:pPr>
    </w:p>
    <w:p w14:paraId="791F4ADE" w14:textId="52CE42C8" w:rsidR="00C96173" w:rsidRPr="00C96173" w:rsidRDefault="00427A0A" w:rsidP="00C96173">
      <w:pPr>
        <w:spacing w:after="0" w:line="240" w:lineRule="auto"/>
        <w:contextualSpacing/>
        <w:jc w:val="both"/>
        <w:rPr>
          <w:rFonts w:ascii="Arial" w:eastAsia="Calibri" w:hAnsi="Arial" w:cs="Arial"/>
          <w:b/>
          <w:sz w:val="20"/>
          <w:szCs w:val="20"/>
          <w:lang w:val="fr-FR"/>
        </w:rPr>
      </w:pPr>
      <w:r>
        <w:rPr>
          <w:rFonts w:ascii="Arial" w:eastAsia="Calibri" w:hAnsi="Arial" w:cs="Arial"/>
          <w:b/>
          <w:sz w:val="20"/>
          <w:szCs w:val="20"/>
          <w:lang w:val="fr-FR"/>
        </w:rPr>
        <w:t>2</w:t>
      </w:r>
      <w:r w:rsidR="00C96173" w:rsidRPr="00C96173">
        <w:rPr>
          <w:rFonts w:ascii="Arial" w:eastAsia="Calibri" w:hAnsi="Arial" w:cs="Arial"/>
          <w:b/>
          <w:sz w:val="20"/>
          <w:szCs w:val="20"/>
          <w:lang w:val="fr-FR"/>
        </w:rPr>
        <w:t>.2.2 Phytochemical screening</w:t>
      </w:r>
    </w:p>
    <w:p w14:paraId="408829C6" w14:textId="77777777" w:rsidR="00C96173" w:rsidRPr="00C96173" w:rsidRDefault="00C96173" w:rsidP="00C96173">
      <w:pPr>
        <w:spacing w:after="0" w:line="240" w:lineRule="auto"/>
        <w:contextualSpacing/>
        <w:jc w:val="both"/>
        <w:rPr>
          <w:rFonts w:ascii="Arial" w:eastAsia="Calibri" w:hAnsi="Arial" w:cs="Arial"/>
          <w:bCs/>
          <w:sz w:val="20"/>
          <w:szCs w:val="20"/>
          <w:lang w:val="fr-FR"/>
        </w:rPr>
      </w:pPr>
    </w:p>
    <w:p w14:paraId="42B765F9" w14:textId="77777777" w:rsidR="00C96173" w:rsidRPr="00C96173" w:rsidRDefault="00C96173" w:rsidP="00C96173">
      <w:pPr>
        <w:spacing w:after="0" w:line="240" w:lineRule="auto"/>
        <w:contextualSpacing/>
        <w:jc w:val="both"/>
        <w:rPr>
          <w:rFonts w:ascii="Arial" w:eastAsia="Calibri" w:hAnsi="Arial" w:cs="Arial"/>
          <w:bCs/>
          <w:sz w:val="20"/>
          <w:szCs w:val="20"/>
          <w:lang w:val="fr-FR"/>
        </w:rPr>
      </w:pPr>
      <w:r w:rsidRPr="00C96173">
        <w:rPr>
          <w:rFonts w:ascii="Arial" w:eastAsia="Calibri" w:hAnsi="Arial" w:cs="Arial"/>
          <w:bCs/>
          <w:sz w:val="20"/>
          <w:szCs w:val="20"/>
          <w:lang w:val="fr-FR"/>
        </w:rPr>
        <w:t>Phytochemical analyses were conducted according to the methods of Lazureski et al. (2007), Abo (2013), and Mea et al. (2017) at the Animal Physiology and Phytotherapy Laboratory, Biosciences UFR (UFHB).</w:t>
      </w:r>
    </w:p>
    <w:p w14:paraId="10CFE185" w14:textId="77777777" w:rsidR="00C96173" w:rsidRPr="00C96173" w:rsidRDefault="00C96173" w:rsidP="00C96173">
      <w:pPr>
        <w:spacing w:after="0" w:line="240" w:lineRule="auto"/>
        <w:contextualSpacing/>
        <w:jc w:val="both"/>
        <w:rPr>
          <w:rFonts w:ascii="Arial" w:eastAsia="Calibri" w:hAnsi="Arial" w:cs="Arial"/>
          <w:b/>
          <w:sz w:val="20"/>
          <w:szCs w:val="20"/>
          <w:lang w:val="fr-FR"/>
        </w:rPr>
      </w:pPr>
    </w:p>
    <w:p w14:paraId="120B598D" w14:textId="02684FE8" w:rsidR="00C96173" w:rsidRPr="00C96173" w:rsidRDefault="00427A0A" w:rsidP="00427A0A">
      <w:pPr>
        <w:spacing w:after="0" w:line="240" w:lineRule="auto"/>
        <w:ind w:left="540" w:hanging="540"/>
        <w:contextualSpacing/>
        <w:jc w:val="both"/>
        <w:rPr>
          <w:rFonts w:ascii="Arial" w:eastAsia="Calibri" w:hAnsi="Arial" w:cs="Arial"/>
          <w:b/>
          <w:sz w:val="20"/>
          <w:szCs w:val="20"/>
          <w:lang w:val="fr-FR"/>
        </w:rPr>
      </w:pPr>
      <w:r>
        <w:rPr>
          <w:rFonts w:ascii="Arial" w:eastAsia="Calibri" w:hAnsi="Arial" w:cs="Arial"/>
          <w:b/>
          <w:sz w:val="20"/>
          <w:szCs w:val="20"/>
          <w:lang w:val="fr-FR"/>
        </w:rPr>
        <w:t>2</w:t>
      </w:r>
      <w:r w:rsidR="00C96173" w:rsidRPr="00C96173">
        <w:rPr>
          <w:rFonts w:ascii="Arial" w:eastAsia="Calibri" w:hAnsi="Arial" w:cs="Arial"/>
          <w:b/>
          <w:sz w:val="20"/>
          <w:szCs w:val="20"/>
          <w:lang w:val="fr-FR"/>
        </w:rPr>
        <w:t>.2.3</w:t>
      </w:r>
      <w:r>
        <w:rPr>
          <w:rFonts w:ascii="Arial" w:eastAsia="Calibri" w:hAnsi="Arial" w:cs="Arial"/>
          <w:b/>
          <w:sz w:val="20"/>
          <w:szCs w:val="20"/>
          <w:lang w:val="fr-FR"/>
        </w:rPr>
        <w:tab/>
      </w:r>
      <w:r w:rsidR="00C96173" w:rsidRPr="00C96173">
        <w:rPr>
          <w:rFonts w:ascii="Arial" w:eastAsia="Calibri" w:hAnsi="Arial" w:cs="Arial"/>
          <w:b/>
          <w:sz w:val="20"/>
          <w:szCs w:val="20"/>
          <w:lang w:val="fr-FR"/>
        </w:rPr>
        <w:t>Acute toxicity testing by oral gavage</w:t>
      </w:r>
    </w:p>
    <w:p w14:paraId="58772C78" w14:textId="77777777" w:rsidR="00C96173" w:rsidRPr="00C96173" w:rsidRDefault="00C96173" w:rsidP="00C96173">
      <w:pPr>
        <w:spacing w:after="0" w:line="240" w:lineRule="auto"/>
        <w:contextualSpacing/>
        <w:jc w:val="both"/>
        <w:rPr>
          <w:rFonts w:ascii="Arial" w:eastAsia="Calibri" w:hAnsi="Arial" w:cs="Arial"/>
          <w:bCs/>
          <w:sz w:val="20"/>
          <w:szCs w:val="20"/>
          <w:lang w:val="fr-FR"/>
        </w:rPr>
      </w:pPr>
    </w:p>
    <w:p w14:paraId="6EF1E4E9" w14:textId="77777777" w:rsidR="00C96173" w:rsidRPr="00C96173" w:rsidRDefault="00C96173" w:rsidP="00C96173">
      <w:pPr>
        <w:spacing w:after="0" w:line="240" w:lineRule="auto"/>
        <w:contextualSpacing/>
        <w:jc w:val="both"/>
        <w:rPr>
          <w:rFonts w:ascii="Arial" w:eastAsia="Calibri" w:hAnsi="Arial" w:cs="Arial"/>
          <w:bCs/>
          <w:sz w:val="20"/>
          <w:szCs w:val="20"/>
          <w:lang w:val="fr-FR"/>
        </w:rPr>
      </w:pPr>
      <w:r w:rsidRPr="00C96173">
        <w:rPr>
          <w:rFonts w:ascii="Arial" w:eastAsia="Calibri" w:hAnsi="Arial" w:cs="Arial"/>
          <w:bCs/>
          <w:sz w:val="20"/>
          <w:szCs w:val="20"/>
          <w:lang w:val="fr-FR"/>
        </w:rPr>
        <w:lastRenderedPageBreak/>
        <w:t>This experimental procedure was adapted from OECD guideline 423 (2001). Wistar rats (100–130 g) were divided into three groups of six animals each. Two groups received increasing doses of the aqueous extract orally via gavage, while the control group received distilled water. Animals were closely monitored for any toxic effects.</w:t>
      </w:r>
    </w:p>
    <w:p w14:paraId="50E7BF5F" w14:textId="77777777" w:rsidR="00C96173" w:rsidRPr="00C96173" w:rsidRDefault="00C96173" w:rsidP="00C96173">
      <w:pPr>
        <w:spacing w:after="0" w:line="240" w:lineRule="auto"/>
        <w:contextualSpacing/>
        <w:jc w:val="both"/>
        <w:rPr>
          <w:rFonts w:ascii="Arial" w:eastAsia="Calibri" w:hAnsi="Arial" w:cs="Arial"/>
          <w:b/>
          <w:sz w:val="16"/>
          <w:szCs w:val="16"/>
          <w:lang w:val="fr-FR"/>
        </w:rPr>
      </w:pPr>
    </w:p>
    <w:p w14:paraId="65A57BBF" w14:textId="14B5C509" w:rsidR="00C96173" w:rsidRPr="00C96173" w:rsidRDefault="00427A0A" w:rsidP="00427A0A">
      <w:pPr>
        <w:spacing w:after="0" w:line="240" w:lineRule="auto"/>
        <w:ind w:left="540" w:hanging="540"/>
        <w:contextualSpacing/>
        <w:jc w:val="both"/>
        <w:rPr>
          <w:rFonts w:ascii="Arial" w:eastAsia="Calibri" w:hAnsi="Arial" w:cs="Arial"/>
          <w:b/>
          <w:sz w:val="20"/>
          <w:szCs w:val="20"/>
          <w:lang w:val="fr-FR"/>
        </w:rPr>
      </w:pPr>
      <w:r>
        <w:rPr>
          <w:rFonts w:ascii="Arial" w:eastAsia="Calibri" w:hAnsi="Arial" w:cs="Arial"/>
          <w:b/>
          <w:sz w:val="20"/>
          <w:szCs w:val="20"/>
          <w:lang w:val="fr-FR"/>
        </w:rPr>
        <w:t>2</w:t>
      </w:r>
      <w:r w:rsidR="00C96173" w:rsidRPr="00C96173">
        <w:rPr>
          <w:rFonts w:ascii="Arial" w:eastAsia="Calibri" w:hAnsi="Arial" w:cs="Arial"/>
          <w:b/>
          <w:sz w:val="20"/>
          <w:szCs w:val="20"/>
          <w:lang w:val="fr-FR"/>
        </w:rPr>
        <w:t>.2.4</w:t>
      </w:r>
      <w:r>
        <w:rPr>
          <w:rFonts w:ascii="Arial" w:eastAsia="Calibri" w:hAnsi="Arial" w:cs="Arial"/>
          <w:b/>
          <w:sz w:val="20"/>
          <w:szCs w:val="20"/>
          <w:lang w:val="fr-FR"/>
        </w:rPr>
        <w:tab/>
      </w:r>
      <w:r w:rsidR="00C96173" w:rsidRPr="00C96173">
        <w:rPr>
          <w:rFonts w:ascii="Arial" w:eastAsia="Calibri" w:hAnsi="Arial" w:cs="Arial"/>
          <w:b/>
          <w:sz w:val="20"/>
          <w:szCs w:val="20"/>
          <w:lang w:val="fr-FR"/>
        </w:rPr>
        <w:t>Induction and treatment of coccidiosis</w:t>
      </w:r>
    </w:p>
    <w:p w14:paraId="18893F3B" w14:textId="77777777" w:rsidR="00C96173" w:rsidRPr="00C96173" w:rsidRDefault="00C96173" w:rsidP="00C96173">
      <w:pPr>
        <w:spacing w:after="0" w:line="240" w:lineRule="auto"/>
        <w:contextualSpacing/>
        <w:jc w:val="both"/>
        <w:rPr>
          <w:rFonts w:ascii="Arial" w:eastAsia="Calibri" w:hAnsi="Arial" w:cs="Arial"/>
          <w:bCs/>
          <w:sz w:val="16"/>
          <w:szCs w:val="16"/>
          <w:lang w:val="fr-FR"/>
        </w:rPr>
      </w:pPr>
    </w:p>
    <w:p w14:paraId="644B830A" w14:textId="77777777" w:rsidR="00C96173" w:rsidRPr="00C96173" w:rsidRDefault="00C96173" w:rsidP="00C96173">
      <w:pPr>
        <w:spacing w:after="0" w:line="240" w:lineRule="auto"/>
        <w:contextualSpacing/>
        <w:jc w:val="both"/>
        <w:rPr>
          <w:rFonts w:ascii="Arial" w:eastAsia="Calibri" w:hAnsi="Arial" w:cs="Arial"/>
          <w:bCs/>
          <w:sz w:val="20"/>
          <w:szCs w:val="20"/>
          <w:lang w:val="fr-FR"/>
        </w:rPr>
      </w:pPr>
      <w:r w:rsidRPr="00C96173">
        <w:rPr>
          <w:rFonts w:ascii="Arial" w:eastAsia="Calibri" w:hAnsi="Arial" w:cs="Arial"/>
          <w:bCs/>
          <w:sz w:val="20"/>
          <w:szCs w:val="20"/>
          <w:lang w:val="fr-FR"/>
        </w:rPr>
        <w:t>Fifty-one one-day-old chicks were randomly divided into three groups of 17 birds each:</w:t>
      </w:r>
    </w:p>
    <w:p w14:paraId="3FEEF0D9" w14:textId="77777777" w:rsidR="00C96173" w:rsidRPr="00C96173" w:rsidRDefault="00C96173" w:rsidP="00C96173">
      <w:pPr>
        <w:spacing w:after="0" w:line="240" w:lineRule="auto"/>
        <w:contextualSpacing/>
        <w:jc w:val="both"/>
        <w:rPr>
          <w:rFonts w:ascii="Arial" w:eastAsia="Calibri" w:hAnsi="Arial" w:cs="Arial"/>
          <w:bCs/>
          <w:sz w:val="16"/>
          <w:szCs w:val="16"/>
          <w:lang w:val="fr-FR"/>
        </w:rPr>
      </w:pPr>
    </w:p>
    <w:p w14:paraId="4C9A82FB" w14:textId="77777777" w:rsidR="00C96173" w:rsidRPr="00C96173" w:rsidRDefault="00C96173" w:rsidP="00C96173">
      <w:pPr>
        <w:numPr>
          <w:ilvl w:val="0"/>
          <w:numId w:val="3"/>
        </w:numPr>
        <w:tabs>
          <w:tab w:val="clear" w:pos="720"/>
        </w:tabs>
        <w:spacing w:after="0" w:line="240" w:lineRule="auto"/>
        <w:ind w:left="540"/>
        <w:contextualSpacing/>
        <w:jc w:val="both"/>
        <w:rPr>
          <w:rFonts w:ascii="Arial" w:eastAsia="Calibri" w:hAnsi="Arial" w:cs="Arial"/>
          <w:bCs/>
          <w:sz w:val="20"/>
          <w:szCs w:val="20"/>
          <w:lang w:val="fr-FR"/>
        </w:rPr>
      </w:pPr>
      <w:r w:rsidRPr="00C96173">
        <w:rPr>
          <w:rFonts w:ascii="Arial" w:eastAsia="Calibri" w:hAnsi="Arial" w:cs="Arial"/>
          <w:b/>
          <w:sz w:val="20"/>
          <w:szCs w:val="20"/>
          <w:lang w:val="fr-FR"/>
        </w:rPr>
        <w:t>Group 1 (Control):</w:t>
      </w:r>
      <w:r w:rsidRPr="00C96173">
        <w:rPr>
          <w:rFonts w:ascii="Arial" w:eastAsia="Calibri" w:hAnsi="Arial" w:cs="Arial"/>
          <w:bCs/>
          <w:sz w:val="20"/>
          <w:szCs w:val="20"/>
          <w:lang w:val="fr-FR"/>
        </w:rPr>
        <w:t xml:space="preserve"> reared with conventional prophylaxis and received standard anticoccidial treatment.</w:t>
      </w:r>
    </w:p>
    <w:p w14:paraId="5E9FC254" w14:textId="77777777" w:rsidR="00C96173" w:rsidRPr="00C96173" w:rsidRDefault="00C96173" w:rsidP="00C96173">
      <w:pPr>
        <w:numPr>
          <w:ilvl w:val="0"/>
          <w:numId w:val="3"/>
        </w:numPr>
        <w:tabs>
          <w:tab w:val="clear" w:pos="720"/>
        </w:tabs>
        <w:spacing w:after="0" w:line="240" w:lineRule="auto"/>
        <w:ind w:left="540"/>
        <w:contextualSpacing/>
        <w:jc w:val="both"/>
        <w:rPr>
          <w:rFonts w:ascii="Arial" w:eastAsia="Calibri" w:hAnsi="Arial" w:cs="Arial"/>
          <w:bCs/>
          <w:sz w:val="20"/>
          <w:szCs w:val="20"/>
          <w:lang w:val="fr-FR"/>
        </w:rPr>
      </w:pPr>
      <w:r w:rsidRPr="00C96173">
        <w:rPr>
          <w:rFonts w:ascii="Arial" w:eastAsia="Calibri" w:hAnsi="Arial" w:cs="Arial"/>
          <w:b/>
          <w:sz w:val="20"/>
          <w:szCs w:val="20"/>
          <w:lang w:val="fr-FR"/>
        </w:rPr>
        <w:t>Group 2:</w:t>
      </w:r>
      <w:r w:rsidRPr="00C96173">
        <w:rPr>
          <w:rFonts w:ascii="Arial" w:eastAsia="Calibri" w:hAnsi="Arial" w:cs="Arial"/>
          <w:bCs/>
          <w:sz w:val="20"/>
          <w:szCs w:val="20"/>
          <w:lang w:val="fr-FR"/>
        </w:rPr>
        <w:t xml:space="preserve"> reared with conventional prophylaxis, but received the aqueous extract of Alchornea cordifolia (AEAC) at 5 g/L instead of conventional anticoccidials, without antibiotics.</w:t>
      </w:r>
    </w:p>
    <w:p w14:paraId="31EF06FA" w14:textId="77777777" w:rsidR="00C96173" w:rsidRPr="00C96173" w:rsidRDefault="00C96173" w:rsidP="00C96173">
      <w:pPr>
        <w:numPr>
          <w:ilvl w:val="0"/>
          <w:numId w:val="3"/>
        </w:numPr>
        <w:tabs>
          <w:tab w:val="clear" w:pos="720"/>
        </w:tabs>
        <w:spacing w:after="0" w:line="240" w:lineRule="auto"/>
        <w:ind w:left="540"/>
        <w:contextualSpacing/>
        <w:jc w:val="both"/>
        <w:rPr>
          <w:rFonts w:ascii="Arial" w:eastAsia="Calibri" w:hAnsi="Arial" w:cs="Arial"/>
          <w:bCs/>
          <w:sz w:val="20"/>
          <w:szCs w:val="20"/>
          <w:lang w:val="fr-FR"/>
        </w:rPr>
      </w:pPr>
      <w:r w:rsidRPr="00C96173">
        <w:rPr>
          <w:rFonts w:ascii="Arial" w:eastAsia="Calibri" w:hAnsi="Arial" w:cs="Arial"/>
          <w:b/>
          <w:sz w:val="20"/>
          <w:szCs w:val="20"/>
          <w:lang w:val="fr-FR"/>
        </w:rPr>
        <w:t>Group 3:</w:t>
      </w:r>
      <w:r w:rsidRPr="00C96173">
        <w:rPr>
          <w:rFonts w:ascii="Arial" w:eastAsia="Calibri" w:hAnsi="Arial" w:cs="Arial"/>
          <w:bCs/>
          <w:sz w:val="20"/>
          <w:szCs w:val="20"/>
          <w:lang w:val="fr-FR"/>
        </w:rPr>
        <w:t xml:space="preserve"> reared with conventional prophylaxis, but received AEAC at 10 g/L instead of conventional anticoccidials, without antibiotics.</w:t>
      </w:r>
    </w:p>
    <w:p w14:paraId="39EB8554" w14:textId="77777777" w:rsidR="00C96173" w:rsidRPr="00C96173" w:rsidRDefault="00C96173" w:rsidP="00C96173">
      <w:pPr>
        <w:spacing w:after="0" w:line="240" w:lineRule="auto"/>
        <w:contextualSpacing/>
        <w:jc w:val="both"/>
        <w:rPr>
          <w:rFonts w:ascii="Arial" w:eastAsia="Calibri" w:hAnsi="Arial" w:cs="Arial"/>
          <w:bCs/>
          <w:sz w:val="16"/>
          <w:szCs w:val="16"/>
          <w:lang w:val="fr-FR"/>
        </w:rPr>
      </w:pPr>
    </w:p>
    <w:p w14:paraId="1B66BF8F" w14:textId="77777777" w:rsidR="00C96173" w:rsidRPr="00C96173" w:rsidRDefault="00C96173" w:rsidP="00C96173">
      <w:pPr>
        <w:spacing w:after="0" w:line="240" w:lineRule="auto"/>
        <w:contextualSpacing/>
        <w:jc w:val="both"/>
        <w:rPr>
          <w:rFonts w:ascii="Arial" w:eastAsia="Calibri" w:hAnsi="Arial" w:cs="Arial"/>
          <w:bCs/>
          <w:sz w:val="20"/>
          <w:szCs w:val="20"/>
          <w:lang w:val="fr-FR"/>
        </w:rPr>
      </w:pPr>
      <w:r w:rsidRPr="00C96173">
        <w:rPr>
          <w:rFonts w:ascii="Arial" w:eastAsia="Calibri" w:hAnsi="Arial" w:cs="Arial"/>
          <w:bCs/>
          <w:sz w:val="20"/>
          <w:szCs w:val="20"/>
          <w:lang w:val="fr-FR"/>
        </w:rPr>
        <w:t>Prior to artificial infestation, the presence of coccidia was confirmed microscopically. The chicks were infected via their drinking water after a 12-hour water deprivation.</w:t>
      </w:r>
    </w:p>
    <w:p w14:paraId="4FCF94D5" w14:textId="77777777" w:rsidR="00C96173" w:rsidRPr="00C96173" w:rsidRDefault="00C96173" w:rsidP="00C96173">
      <w:pPr>
        <w:spacing w:after="0" w:line="240" w:lineRule="auto"/>
        <w:contextualSpacing/>
        <w:jc w:val="both"/>
        <w:rPr>
          <w:rFonts w:ascii="Arial" w:eastAsia="Calibri" w:hAnsi="Arial" w:cs="Arial"/>
          <w:bCs/>
          <w:sz w:val="16"/>
          <w:szCs w:val="16"/>
          <w:lang w:val="fr-FR"/>
        </w:rPr>
      </w:pPr>
    </w:p>
    <w:p w14:paraId="698D9EF2" w14:textId="77777777" w:rsidR="00C96173" w:rsidRPr="00C96173" w:rsidRDefault="00C96173" w:rsidP="00C96173">
      <w:pPr>
        <w:spacing w:after="0" w:line="240" w:lineRule="auto"/>
        <w:contextualSpacing/>
        <w:jc w:val="both"/>
        <w:rPr>
          <w:rFonts w:ascii="Arial" w:eastAsia="Calibri" w:hAnsi="Arial" w:cs="Arial"/>
          <w:bCs/>
          <w:sz w:val="20"/>
          <w:szCs w:val="20"/>
          <w:lang w:val="fr-FR"/>
        </w:rPr>
      </w:pPr>
      <w:r w:rsidRPr="00C96173">
        <w:rPr>
          <w:rFonts w:ascii="Arial" w:eastAsia="Calibri" w:hAnsi="Arial" w:cs="Arial"/>
          <w:bCs/>
          <w:sz w:val="20"/>
          <w:szCs w:val="20"/>
          <w:lang w:val="fr-FR"/>
        </w:rPr>
        <w:t>Two treatment phases were applied: preventive treatment starting on day 2 of the rearing cycle (Groups 2 and 3 received AEAC instead of antibiotics) and curative treatment starting on day 22 (five days post-infestation on day 17). During curative treatment, Groups 2 and 3 received 5 g/L and 10 g/L AEAC, respectively, while the control group received a conventional anticoccidial at 1 g/L. Treatments lasted according to standard prophylaxis protocols.</w:t>
      </w:r>
    </w:p>
    <w:p w14:paraId="79179582" w14:textId="77777777" w:rsidR="00C96173" w:rsidRPr="00C96173" w:rsidRDefault="00C96173" w:rsidP="00C96173">
      <w:pPr>
        <w:spacing w:after="0" w:line="240" w:lineRule="auto"/>
        <w:contextualSpacing/>
        <w:jc w:val="both"/>
        <w:rPr>
          <w:rFonts w:ascii="Arial" w:eastAsia="Calibri" w:hAnsi="Arial" w:cs="Arial"/>
          <w:bCs/>
          <w:sz w:val="16"/>
          <w:szCs w:val="16"/>
          <w:lang w:val="fr-FR"/>
        </w:rPr>
      </w:pPr>
    </w:p>
    <w:p w14:paraId="18CF9623" w14:textId="77777777" w:rsidR="00C96173" w:rsidRPr="00C96173" w:rsidRDefault="00C96173" w:rsidP="00C96173">
      <w:pPr>
        <w:spacing w:after="0" w:line="240" w:lineRule="auto"/>
        <w:contextualSpacing/>
        <w:jc w:val="both"/>
        <w:rPr>
          <w:rFonts w:ascii="Arial" w:eastAsia="Calibri" w:hAnsi="Arial" w:cs="Arial"/>
          <w:bCs/>
          <w:sz w:val="20"/>
          <w:szCs w:val="20"/>
          <w:lang w:val="fr-FR"/>
        </w:rPr>
      </w:pPr>
      <w:r w:rsidRPr="00C96173">
        <w:rPr>
          <w:rFonts w:ascii="Arial" w:eastAsia="Calibri" w:hAnsi="Arial" w:cs="Arial"/>
          <w:bCs/>
          <w:sz w:val="20"/>
          <w:szCs w:val="20"/>
          <w:lang w:val="fr-FR"/>
        </w:rPr>
        <w:t>Chicks were weighed individually every 7 days. Droppings were analyzed on days 7, 14, 18, 21, 24, and 27. At the end of the treatment, intestinal lesion scores were assessed.</w:t>
      </w:r>
    </w:p>
    <w:p w14:paraId="6EBF8492" w14:textId="77777777" w:rsidR="00C96173" w:rsidRPr="00C96173" w:rsidRDefault="00C96173" w:rsidP="00C96173">
      <w:pPr>
        <w:spacing w:after="0" w:line="240" w:lineRule="auto"/>
        <w:contextualSpacing/>
        <w:jc w:val="both"/>
        <w:rPr>
          <w:rFonts w:ascii="Arial" w:eastAsia="Calibri" w:hAnsi="Arial" w:cs="Arial"/>
          <w:bCs/>
          <w:sz w:val="16"/>
          <w:szCs w:val="16"/>
          <w:lang w:val="fr-FR"/>
        </w:rPr>
      </w:pPr>
    </w:p>
    <w:p w14:paraId="444DB64C" w14:textId="77777777" w:rsidR="00C96173" w:rsidRPr="00C96173" w:rsidRDefault="00C96173" w:rsidP="00C96173">
      <w:pPr>
        <w:spacing w:after="0" w:line="240" w:lineRule="auto"/>
        <w:contextualSpacing/>
        <w:jc w:val="both"/>
        <w:rPr>
          <w:rFonts w:ascii="Arial" w:eastAsia="Calibri" w:hAnsi="Arial" w:cs="Arial"/>
          <w:bCs/>
          <w:sz w:val="20"/>
          <w:szCs w:val="20"/>
          <w:lang w:val="fr-FR"/>
        </w:rPr>
      </w:pPr>
      <w:r w:rsidRPr="00C96173">
        <w:rPr>
          <w:rFonts w:ascii="Arial" w:eastAsia="Calibri" w:hAnsi="Arial" w:cs="Arial"/>
          <w:bCs/>
          <w:sz w:val="20"/>
          <w:szCs w:val="20"/>
          <w:lang w:val="fr-FR"/>
        </w:rPr>
        <w:t>The bedding was regularly changed to minimize recontamination risks. Monitoring parameters included weight gain, feed conversion ratio, coccidiosis-related mortality, oocyst excretion, intestinal lesion scores, clinical signs, and faecal appearance.</w:t>
      </w:r>
    </w:p>
    <w:p w14:paraId="745752C1" w14:textId="77777777" w:rsidR="00C96173" w:rsidRPr="00C96173" w:rsidRDefault="00C96173" w:rsidP="00C96173">
      <w:pPr>
        <w:spacing w:after="0" w:line="240" w:lineRule="auto"/>
        <w:contextualSpacing/>
        <w:jc w:val="both"/>
        <w:rPr>
          <w:rFonts w:ascii="Arial" w:eastAsia="Calibri" w:hAnsi="Arial" w:cs="Arial"/>
          <w:b/>
          <w:sz w:val="16"/>
          <w:szCs w:val="16"/>
          <w:lang w:val="fr-FR"/>
        </w:rPr>
      </w:pPr>
    </w:p>
    <w:p w14:paraId="550EAB73" w14:textId="23ECCFFF" w:rsidR="00C96173" w:rsidRPr="00C96173" w:rsidRDefault="00427A0A" w:rsidP="00C96173">
      <w:pPr>
        <w:spacing w:after="0" w:line="240" w:lineRule="auto"/>
        <w:contextualSpacing/>
        <w:jc w:val="both"/>
        <w:rPr>
          <w:rFonts w:ascii="Arial" w:eastAsia="Times New Roman" w:hAnsi="Arial" w:cs="Arial"/>
          <w:b/>
          <w:bCs/>
          <w:lang w:val="fr-FR" w:eastAsia="fr-FR"/>
        </w:rPr>
      </w:pPr>
      <w:r w:rsidRPr="00427A0A">
        <w:rPr>
          <w:rFonts w:ascii="Arial" w:eastAsia="Calibri" w:hAnsi="Arial" w:cs="Arial"/>
          <w:b/>
          <w:lang w:val="fr-FR"/>
        </w:rPr>
        <w:t>2</w:t>
      </w:r>
      <w:r w:rsidR="00C96173" w:rsidRPr="00C96173">
        <w:rPr>
          <w:rFonts w:ascii="Arial" w:eastAsia="Calibri" w:hAnsi="Arial" w:cs="Arial"/>
          <w:b/>
          <w:lang w:val="fr-FR"/>
        </w:rPr>
        <w:t xml:space="preserve">.3 </w:t>
      </w:r>
      <w:r w:rsidR="00C96173" w:rsidRPr="00C96173">
        <w:rPr>
          <w:rFonts w:ascii="Arial" w:eastAsia="Times New Roman" w:hAnsi="Arial" w:cs="Arial"/>
          <w:b/>
          <w:bCs/>
          <w:lang w:val="fr-FR" w:eastAsia="fr-FR"/>
        </w:rPr>
        <w:t>Statistical Analysis</w:t>
      </w:r>
    </w:p>
    <w:p w14:paraId="2ED44600" w14:textId="77777777" w:rsidR="00C96173" w:rsidRPr="00C96173" w:rsidRDefault="00C96173" w:rsidP="00C96173">
      <w:pPr>
        <w:spacing w:after="0" w:line="240" w:lineRule="auto"/>
        <w:contextualSpacing/>
        <w:jc w:val="both"/>
        <w:rPr>
          <w:rFonts w:ascii="Arial" w:eastAsia="Times New Roman" w:hAnsi="Arial" w:cs="Arial"/>
          <w:sz w:val="16"/>
          <w:szCs w:val="16"/>
          <w:lang w:val="fr-FR" w:eastAsia="fr-FR"/>
        </w:rPr>
      </w:pPr>
    </w:p>
    <w:p w14:paraId="208E4512" w14:textId="77777777" w:rsidR="00C96173" w:rsidRPr="00C96173" w:rsidRDefault="00C96173" w:rsidP="00C96173">
      <w:pPr>
        <w:spacing w:after="0" w:line="240" w:lineRule="auto"/>
        <w:contextualSpacing/>
        <w:jc w:val="both"/>
        <w:rPr>
          <w:rFonts w:ascii="Arial" w:eastAsia="Times New Roman" w:hAnsi="Arial" w:cs="Arial"/>
          <w:sz w:val="20"/>
          <w:szCs w:val="20"/>
          <w:lang w:val="fr-FR" w:eastAsia="fr-FR"/>
        </w:rPr>
      </w:pPr>
      <w:r w:rsidRPr="00C96173">
        <w:rPr>
          <w:rFonts w:ascii="Arial" w:eastAsia="Times New Roman" w:hAnsi="Arial" w:cs="Arial"/>
          <w:sz w:val="20"/>
          <w:szCs w:val="20"/>
          <w:lang w:val="fr-FR" w:eastAsia="fr-FR"/>
        </w:rPr>
        <w:t>The results were analyzed using a one-way analysis of variance (ANOVA) performed with appropriate statistical software. Data processing and graphical representations were generated using Microsoft Excel and XLSTAT.</w:t>
      </w:r>
    </w:p>
    <w:p w14:paraId="4CD061BA" w14:textId="1CF360E6" w:rsidR="00C96173" w:rsidRPr="00C96173" w:rsidRDefault="00427A0A" w:rsidP="00427A0A">
      <w:pPr>
        <w:spacing w:after="0" w:line="240" w:lineRule="auto"/>
        <w:contextualSpacing/>
        <w:jc w:val="both"/>
        <w:rPr>
          <w:rFonts w:ascii="Arial" w:eastAsia="Calibri" w:hAnsi="Arial" w:cs="Arial"/>
          <w:b/>
          <w:bCs/>
          <w:lang w:val="fr-FR"/>
        </w:rPr>
      </w:pPr>
      <w:r w:rsidRPr="00427A0A">
        <w:rPr>
          <w:rFonts w:ascii="Arial" w:eastAsia="Times New Roman" w:hAnsi="Arial" w:cs="Arial"/>
          <w:b/>
          <w:bCs/>
          <w:lang w:val="fr-FR" w:eastAsia="fr-FR"/>
        </w:rPr>
        <w:t xml:space="preserve">3. </w:t>
      </w:r>
      <w:r w:rsidR="00C96173" w:rsidRPr="00C96173">
        <w:rPr>
          <w:rFonts w:ascii="Arial" w:eastAsia="Calibri" w:hAnsi="Arial" w:cs="Arial"/>
          <w:b/>
          <w:bCs/>
          <w:lang w:val="fr-FR"/>
        </w:rPr>
        <w:t>RESULTS</w:t>
      </w:r>
    </w:p>
    <w:p w14:paraId="7142034B" w14:textId="77777777" w:rsidR="00C96173" w:rsidRPr="00C96173" w:rsidRDefault="00C96173" w:rsidP="00C96173">
      <w:pPr>
        <w:spacing w:after="0" w:line="240" w:lineRule="auto"/>
        <w:contextualSpacing/>
        <w:jc w:val="both"/>
        <w:rPr>
          <w:rFonts w:ascii="Arial" w:eastAsia="Times New Roman" w:hAnsi="Arial" w:cs="Arial"/>
          <w:sz w:val="20"/>
          <w:szCs w:val="20"/>
          <w:lang w:val="fr-FR" w:eastAsia="fr-FR"/>
        </w:rPr>
      </w:pPr>
    </w:p>
    <w:p w14:paraId="0C855593" w14:textId="591EBD63" w:rsidR="00C96173" w:rsidRPr="00C96173" w:rsidRDefault="00427A0A" w:rsidP="00C96173">
      <w:pPr>
        <w:spacing w:after="0" w:line="240" w:lineRule="auto"/>
        <w:contextualSpacing/>
        <w:jc w:val="both"/>
        <w:rPr>
          <w:rFonts w:ascii="Arial" w:eastAsia="Calibri" w:hAnsi="Arial" w:cs="Arial"/>
          <w:b/>
          <w:lang w:val="fr-FR"/>
        </w:rPr>
      </w:pPr>
      <w:r w:rsidRPr="00427A0A">
        <w:rPr>
          <w:rFonts w:ascii="Arial" w:eastAsia="Calibri" w:hAnsi="Arial" w:cs="Arial"/>
          <w:b/>
          <w:lang w:val="fr-FR"/>
        </w:rPr>
        <w:t>3</w:t>
      </w:r>
      <w:r w:rsidR="00C96173" w:rsidRPr="00C96173">
        <w:rPr>
          <w:rFonts w:ascii="Arial" w:eastAsia="Calibri" w:hAnsi="Arial" w:cs="Arial"/>
          <w:b/>
          <w:lang w:val="fr-FR"/>
        </w:rPr>
        <w:t xml:space="preserve">.1 Phytochemical </w:t>
      </w:r>
      <w:r w:rsidRPr="00C96173">
        <w:rPr>
          <w:rFonts w:ascii="Arial" w:eastAsia="Calibri" w:hAnsi="Arial" w:cs="Arial"/>
          <w:b/>
          <w:lang w:val="fr-FR"/>
        </w:rPr>
        <w:t>Screening</w:t>
      </w:r>
    </w:p>
    <w:p w14:paraId="7230AFA8" w14:textId="77777777" w:rsidR="00C96173" w:rsidRPr="00C96173" w:rsidRDefault="00C96173" w:rsidP="00C96173">
      <w:pPr>
        <w:spacing w:after="0" w:line="240" w:lineRule="auto"/>
        <w:contextualSpacing/>
        <w:jc w:val="both"/>
        <w:rPr>
          <w:rFonts w:ascii="Arial" w:eastAsia="Calibri" w:hAnsi="Arial" w:cs="Arial"/>
          <w:sz w:val="20"/>
          <w:szCs w:val="20"/>
          <w:lang w:val="fr-FR"/>
        </w:rPr>
      </w:pPr>
    </w:p>
    <w:p w14:paraId="50CFB644" w14:textId="68D4F67D" w:rsidR="00C96173" w:rsidRPr="00C96173" w:rsidRDefault="00C96173" w:rsidP="00C96173">
      <w:pPr>
        <w:spacing w:after="0" w:line="240" w:lineRule="auto"/>
        <w:contextualSpacing/>
        <w:jc w:val="both"/>
        <w:rPr>
          <w:rFonts w:ascii="Arial" w:eastAsia="Calibri" w:hAnsi="Arial" w:cs="Arial"/>
          <w:b/>
          <w:sz w:val="20"/>
          <w:szCs w:val="20"/>
          <w:lang w:val="fr-FR"/>
        </w:rPr>
      </w:pPr>
      <w:r w:rsidRPr="00C96173">
        <w:rPr>
          <w:rFonts w:ascii="Arial" w:eastAsia="Calibri" w:hAnsi="Arial" w:cs="Arial"/>
          <w:sz w:val="20"/>
          <w:szCs w:val="20"/>
          <w:lang w:val="fr-FR"/>
        </w:rPr>
        <w:t xml:space="preserve">The phytochemical screening of the aqueous extract of </w:t>
      </w:r>
      <w:r w:rsidRPr="00C96173">
        <w:rPr>
          <w:rFonts w:ascii="Arial" w:eastAsia="Calibri" w:hAnsi="Arial" w:cs="Arial"/>
          <w:i/>
          <w:iCs/>
          <w:sz w:val="20"/>
          <w:szCs w:val="20"/>
          <w:lang w:val="fr-FR"/>
        </w:rPr>
        <w:t>Alchornea cordifolia</w:t>
      </w:r>
      <w:r w:rsidRPr="00C96173">
        <w:rPr>
          <w:rFonts w:ascii="Arial" w:eastAsia="Calibri" w:hAnsi="Arial" w:cs="Arial"/>
          <w:sz w:val="20"/>
          <w:szCs w:val="20"/>
          <w:lang w:val="fr-FR"/>
        </w:rPr>
        <w:t xml:space="preserve"> leaves revealed the presence of several bioactive compounds, including sterols and polyterpenes, polyphenols, quinone compounds, alkaloids, and catechic tannins. These secondary metabolites are known for their diverse pharmacological properties such as anti-inflammatory, antimicrobial, antioxidant, and antiparasitic activities. The presence of these compounds supports the traditional use of </w:t>
      </w:r>
      <w:r w:rsidRPr="00C96173">
        <w:rPr>
          <w:rFonts w:ascii="Arial" w:eastAsia="Calibri" w:hAnsi="Arial" w:cs="Arial"/>
          <w:i/>
          <w:iCs/>
          <w:sz w:val="20"/>
          <w:szCs w:val="20"/>
          <w:lang w:val="fr-FR"/>
        </w:rPr>
        <w:t>Alchornea cordifolia</w:t>
      </w:r>
      <w:r w:rsidRPr="00C96173">
        <w:rPr>
          <w:rFonts w:ascii="Arial" w:eastAsia="Calibri" w:hAnsi="Arial" w:cs="Arial"/>
          <w:sz w:val="20"/>
          <w:szCs w:val="20"/>
          <w:lang w:val="fr-FR"/>
        </w:rPr>
        <w:t xml:space="preserve"> in treating various ailments and suggests its potential efficacy as a natural anticoccidial agent.</w:t>
      </w:r>
    </w:p>
    <w:p w14:paraId="4B9040D2" w14:textId="77777777" w:rsidR="00C96173" w:rsidRPr="00C96173" w:rsidRDefault="00C96173" w:rsidP="00C96173">
      <w:pPr>
        <w:spacing w:after="0" w:line="240" w:lineRule="auto"/>
        <w:contextualSpacing/>
        <w:jc w:val="both"/>
        <w:rPr>
          <w:rFonts w:ascii="Arial" w:eastAsia="Calibri" w:hAnsi="Arial" w:cs="Arial"/>
          <w:b/>
          <w:sz w:val="20"/>
          <w:szCs w:val="20"/>
          <w:lang w:val="fr-FR"/>
        </w:rPr>
      </w:pPr>
    </w:p>
    <w:p w14:paraId="78138443" w14:textId="79853E95" w:rsidR="00C96173" w:rsidRPr="00C96173" w:rsidRDefault="00427A0A" w:rsidP="00C96173">
      <w:pPr>
        <w:spacing w:after="0" w:line="240" w:lineRule="auto"/>
        <w:contextualSpacing/>
        <w:jc w:val="both"/>
        <w:rPr>
          <w:rFonts w:ascii="Arial" w:eastAsia="Calibri" w:hAnsi="Arial" w:cs="Arial"/>
          <w:b/>
          <w:lang w:val="fr-FR"/>
        </w:rPr>
      </w:pPr>
      <w:r w:rsidRPr="00427A0A">
        <w:rPr>
          <w:rFonts w:ascii="Arial" w:eastAsia="Calibri" w:hAnsi="Arial" w:cs="Arial"/>
          <w:b/>
          <w:lang w:val="fr-FR"/>
        </w:rPr>
        <w:t>3</w:t>
      </w:r>
      <w:r w:rsidR="00C96173" w:rsidRPr="00C96173">
        <w:rPr>
          <w:rFonts w:ascii="Arial" w:eastAsia="Calibri" w:hAnsi="Arial" w:cs="Arial"/>
          <w:b/>
          <w:lang w:val="fr-FR"/>
        </w:rPr>
        <w:t xml:space="preserve">.2 Acute </w:t>
      </w:r>
      <w:r w:rsidRPr="00427A0A">
        <w:rPr>
          <w:rFonts w:ascii="Arial" w:eastAsia="Calibri" w:hAnsi="Arial" w:cs="Arial"/>
          <w:b/>
          <w:lang w:val="fr-FR"/>
        </w:rPr>
        <w:t>Toxicity</w:t>
      </w:r>
    </w:p>
    <w:p w14:paraId="1FC60596" w14:textId="77777777" w:rsidR="00C96173" w:rsidRPr="00C96173" w:rsidRDefault="00C96173" w:rsidP="00C96173">
      <w:pPr>
        <w:spacing w:after="0" w:line="240" w:lineRule="auto"/>
        <w:contextualSpacing/>
        <w:jc w:val="both"/>
        <w:rPr>
          <w:rFonts w:ascii="Arial" w:eastAsia="Times New Roman" w:hAnsi="Arial" w:cs="Arial"/>
          <w:sz w:val="20"/>
          <w:szCs w:val="20"/>
          <w:lang w:val="fr-FR" w:eastAsia="fr-FR"/>
        </w:rPr>
      </w:pPr>
    </w:p>
    <w:p w14:paraId="0AD12017" w14:textId="4B71D3BE" w:rsidR="00C96173" w:rsidRPr="00C96173" w:rsidRDefault="00C96173" w:rsidP="00C96173">
      <w:pPr>
        <w:spacing w:after="0" w:line="240" w:lineRule="auto"/>
        <w:contextualSpacing/>
        <w:jc w:val="both"/>
        <w:rPr>
          <w:rFonts w:ascii="Arial" w:eastAsia="Times New Roman" w:hAnsi="Arial" w:cs="Arial"/>
          <w:sz w:val="20"/>
          <w:szCs w:val="20"/>
          <w:lang w:val="fr-FR" w:eastAsia="fr-FR"/>
        </w:rPr>
      </w:pPr>
      <w:r w:rsidRPr="00C96173">
        <w:rPr>
          <w:rFonts w:ascii="Arial" w:eastAsia="Times New Roman" w:hAnsi="Arial" w:cs="Arial"/>
          <w:sz w:val="20"/>
          <w:szCs w:val="20"/>
          <w:lang w:val="fr-FR" w:eastAsia="fr-FR"/>
        </w:rPr>
        <w:t>A single oral gavage dose of 2000 mg/kg body weight administered to female rats had no observable effect on their behavior. However, a single dose of 5000 mg/kg body weight caused a temporary reduction in motor activity, with the rats gathering in a corner of the cage for approximately 30 minutes. After this period, normal behavior resumed. No mortality was observed at any dose during the 14-day observation period. All animals survived, indicating that the LD</w:t>
      </w:r>
      <w:r w:rsidRPr="00C96173">
        <w:rPr>
          <w:rFonts w:ascii="Cambria Math" w:eastAsia="Times New Roman" w:hAnsi="Cambria Math" w:cs="Cambria Math"/>
          <w:sz w:val="20"/>
          <w:szCs w:val="20"/>
          <w:lang w:val="fr-FR" w:eastAsia="fr-FR"/>
        </w:rPr>
        <w:t>₅₀</w:t>
      </w:r>
      <w:r w:rsidRPr="00C96173">
        <w:rPr>
          <w:rFonts w:ascii="Arial" w:eastAsia="Times New Roman" w:hAnsi="Arial" w:cs="Arial"/>
          <w:sz w:val="20"/>
          <w:szCs w:val="20"/>
          <w:lang w:val="fr-FR" w:eastAsia="fr-FR"/>
        </w:rPr>
        <w:t xml:space="preserve"> is greater than 5000 mg/kg body weight. According to the Globally Harmonized System of Classification and Labelling of Chemicals (GHS, 2003), the aqueous extract of </w:t>
      </w:r>
      <w:r w:rsidRPr="00C96173">
        <w:rPr>
          <w:rFonts w:ascii="Arial" w:eastAsia="Times New Roman" w:hAnsi="Arial" w:cs="Arial"/>
          <w:i/>
          <w:iCs/>
          <w:sz w:val="20"/>
          <w:szCs w:val="20"/>
          <w:lang w:val="fr-FR" w:eastAsia="fr-FR"/>
        </w:rPr>
        <w:t>Alchornea cordifolia</w:t>
      </w:r>
      <w:r w:rsidRPr="00C96173">
        <w:rPr>
          <w:rFonts w:ascii="Arial" w:eastAsia="Times New Roman" w:hAnsi="Arial" w:cs="Arial"/>
          <w:sz w:val="20"/>
          <w:szCs w:val="20"/>
          <w:lang w:val="fr-FR" w:eastAsia="fr-FR"/>
        </w:rPr>
        <w:t xml:space="preserve"> leaves is considered non-toxic when administered orally to Wistar rats (Table </w:t>
      </w:r>
      <w:r w:rsidR="00106CE1">
        <w:rPr>
          <w:rFonts w:ascii="Arial" w:eastAsia="Times New Roman" w:hAnsi="Arial" w:cs="Arial"/>
          <w:sz w:val="20"/>
          <w:szCs w:val="20"/>
          <w:lang w:val="fr-FR" w:eastAsia="fr-FR"/>
        </w:rPr>
        <w:t>1</w:t>
      </w:r>
      <w:r w:rsidRPr="00C96173">
        <w:rPr>
          <w:rFonts w:ascii="Arial" w:eastAsia="Times New Roman" w:hAnsi="Arial" w:cs="Arial"/>
          <w:sz w:val="20"/>
          <w:szCs w:val="20"/>
          <w:lang w:val="fr-FR" w:eastAsia="fr-FR"/>
        </w:rPr>
        <w:t>).</w:t>
      </w:r>
    </w:p>
    <w:p w14:paraId="13C8C89B" w14:textId="77777777" w:rsidR="00C96173" w:rsidRPr="00C96173" w:rsidRDefault="00C96173" w:rsidP="00C96173">
      <w:pPr>
        <w:spacing w:after="0" w:line="240" w:lineRule="auto"/>
        <w:contextualSpacing/>
        <w:jc w:val="both"/>
        <w:rPr>
          <w:rFonts w:ascii="Arial" w:eastAsia="Calibri" w:hAnsi="Arial" w:cs="Arial"/>
          <w:b/>
          <w:sz w:val="20"/>
          <w:szCs w:val="20"/>
          <w:lang w:val="fr-FR"/>
        </w:rPr>
      </w:pPr>
    </w:p>
    <w:p w14:paraId="18C4A945" w14:textId="61853E71" w:rsidR="00C96173" w:rsidRPr="00C96173" w:rsidRDefault="00427A0A" w:rsidP="00427A0A">
      <w:pPr>
        <w:spacing w:after="0" w:line="240" w:lineRule="auto"/>
        <w:ind w:left="360" w:hanging="360"/>
        <w:contextualSpacing/>
        <w:jc w:val="both"/>
        <w:rPr>
          <w:rFonts w:ascii="Arial" w:eastAsia="Calibri" w:hAnsi="Arial" w:cs="Arial"/>
          <w:b/>
          <w:lang w:val="fr-FR"/>
        </w:rPr>
      </w:pPr>
      <w:r w:rsidRPr="00427A0A">
        <w:rPr>
          <w:rFonts w:ascii="Arial" w:eastAsia="Calibri" w:hAnsi="Arial" w:cs="Arial"/>
          <w:b/>
          <w:lang w:val="fr-FR"/>
        </w:rPr>
        <w:t>3</w:t>
      </w:r>
      <w:r w:rsidR="00C96173" w:rsidRPr="00C96173">
        <w:rPr>
          <w:rFonts w:ascii="Arial" w:eastAsia="Calibri" w:hAnsi="Arial" w:cs="Arial"/>
          <w:b/>
          <w:lang w:val="fr-FR"/>
        </w:rPr>
        <w:t>.3</w:t>
      </w:r>
      <w:r>
        <w:rPr>
          <w:rFonts w:ascii="Arial" w:eastAsia="Times New Roman" w:hAnsi="Arial" w:cs="Arial"/>
          <w:lang w:val="fr-FR" w:eastAsia="fr-FR"/>
        </w:rPr>
        <w:tab/>
      </w:r>
      <w:r w:rsidR="00C96173" w:rsidRPr="00C96173">
        <w:rPr>
          <w:rFonts w:ascii="Arial" w:eastAsia="Calibri" w:hAnsi="Arial" w:cs="Arial"/>
          <w:b/>
          <w:lang w:val="fr-FR"/>
        </w:rPr>
        <w:t xml:space="preserve">Zootechnical and </w:t>
      </w:r>
      <w:r w:rsidRPr="00427A0A">
        <w:rPr>
          <w:rFonts w:ascii="Arial" w:eastAsia="Calibri" w:hAnsi="Arial" w:cs="Arial"/>
          <w:b/>
          <w:lang w:val="fr-FR"/>
        </w:rPr>
        <w:t>Parasitological Parameters</w:t>
      </w:r>
    </w:p>
    <w:p w14:paraId="4B9E7011" w14:textId="77777777" w:rsidR="00C96173" w:rsidRPr="00C96173" w:rsidRDefault="00C96173" w:rsidP="00C96173">
      <w:pPr>
        <w:spacing w:after="0" w:line="240" w:lineRule="auto"/>
        <w:contextualSpacing/>
        <w:jc w:val="both"/>
        <w:rPr>
          <w:rFonts w:ascii="Arial" w:eastAsia="Calibri" w:hAnsi="Arial" w:cs="Arial"/>
          <w:b/>
          <w:sz w:val="18"/>
          <w:szCs w:val="18"/>
          <w:lang w:val="fr-FR"/>
        </w:rPr>
      </w:pPr>
    </w:p>
    <w:p w14:paraId="183E1844" w14:textId="31B2ED16" w:rsidR="00C96173" w:rsidRPr="00C96173" w:rsidRDefault="00427A0A" w:rsidP="00C96173">
      <w:pPr>
        <w:spacing w:after="0" w:line="240" w:lineRule="auto"/>
        <w:contextualSpacing/>
        <w:jc w:val="both"/>
        <w:rPr>
          <w:rFonts w:ascii="Arial" w:eastAsia="Times New Roman" w:hAnsi="Arial" w:cs="Arial"/>
          <w:sz w:val="20"/>
          <w:szCs w:val="20"/>
          <w:lang w:val="fr-FR" w:eastAsia="fr-FR"/>
        </w:rPr>
      </w:pPr>
      <w:r>
        <w:rPr>
          <w:rFonts w:ascii="Arial" w:eastAsia="Calibri" w:hAnsi="Arial" w:cs="Arial"/>
          <w:b/>
          <w:sz w:val="20"/>
          <w:szCs w:val="20"/>
          <w:lang w:val="fr-FR"/>
        </w:rPr>
        <w:t>3</w:t>
      </w:r>
      <w:r w:rsidR="00C96173" w:rsidRPr="00C96173">
        <w:rPr>
          <w:rFonts w:ascii="Arial" w:eastAsia="Calibri" w:hAnsi="Arial" w:cs="Arial"/>
          <w:b/>
          <w:sz w:val="20"/>
          <w:szCs w:val="20"/>
          <w:lang w:val="fr-FR"/>
        </w:rPr>
        <w:t>.3.1 Average daily earnings</w:t>
      </w:r>
    </w:p>
    <w:p w14:paraId="2135A53F" w14:textId="77777777" w:rsidR="00C96173" w:rsidRPr="00C96173" w:rsidRDefault="00C96173" w:rsidP="00C96173">
      <w:pPr>
        <w:spacing w:after="0" w:line="240" w:lineRule="auto"/>
        <w:contextualSpacing/>
        <w:jc w:val="both"/>
        <w:rPr>
          <w:rFonts w:ascii="Arial" w:eastAsia="Calibri" w:hAnsi="Arial" w:cs="Arial"/>
          <w:sz w:val="20"/>
          <w:szCs w:val="20"/>
          <w:lang w:val="fr-FR"/>
        </w:rPr>
      </w:pPr>
    </w:p>
    <w:p w14:paraId="221132BD" w14:textId="3221BCF6" w:rsidR="00C96173" w:rsidRPr="00C96173" w:rsidRDefault="00C96173" w:rsidP="00C96173">
      <w:pPr>
        <w:spacing w:after="0" w:line="240" w:lineRule="auto"/>
        <w:contextualSpacing/>
        <w:jc w:val="both"/>
        <w:rPr>
          <w:rFonts w:ascii="Arial" w:eastAsia="Calibri" w:hAnsi="Arial" w:cs="Arial"/>
          <w:sz w:val="20"/>
          <w:szCs w:val="20"/>
          <w:lang w:val="fr-FR"/>
        </w:rPr>
      </w:pPr>
      <w:r w:rsidRPr="00C96173">
        <w:rPr>
          <w:rFonts w:ascii="Arial" w:eastAsia="Calibri" w:hAnsi="Arial" w:cs="Arial"/>
          <w:sz w:val="20"/>
          <w:szCs w:val="20"/>
          <w:lang w:val="fr-FR"/>
        </w:rPr>
        <w:t xml:space="preserve">The average daily weight gains of batches </w:t>
      </w:r>
      <w:r w:rsidR="00106CE1">
        <w:rPr>
          <w:rFonts w:ascii="Arial" w:eastAsia="Calibri" w:hAnsi="Arial" w:cs="Arial"/>
          <w:sz w:val="20"/>
          <w:szCs w:val="20"/>
          <w:lang w:val="fr-FR"/>
        </w:rPr>
        <w:t xml:space="preserve">            </w:t>
      </w:r>
      <w:r w:rsidRPr="00C96173">
        <w:rPr>
          <w:rFonts w:ascii="Arial" w:eastAsia="Calibri" w:hAnsi="Arial" w:cs="Arial"/>
          <w:sz w:val="20"/>
          <w:szCs w:val="20"/>
          <w:lang w:val="fr-FR"/>
        </w:rPr>
        <w:t xml:space="preserve">2 and 3, which were treated with the aqueous extract of </w:t>
      </w:r>
      <w:r w:rsidRPr="00C96173">
        <w:rPr>
          <w:rFonts w:ascii="Arial" w:eastAsia="Calibri" w:hAnsi="Arial" w:cs="Arial"/>
          <w:i/>
          <w:iCs/>
          <w:sz w:val="20"/>
          <w:szCs w:val="20"/>
          <w:lang w:val="fr-FR"/>
        </w:rPr>
        <w:t>Alchornea cordifolia</w:t>
      </w:r>
      <w:r w:rsidRPr="00C96173">
        <w:rPr>
          <w:rFonts w:ascii="Arial" w:eastAsia="Calibri" w:hAnsi="Arial" w:cs="Arial"/>
          <w:sz w:val="20"/>
          <w:szCs w:val="20"/>
          <w:lang w:val="fr-FR"/>
        </w:rPr>
        <w:t xml:space="preserve"> (EAAC), were 33.51 g and 31.98 g, respectively. The control group had an average daily gain of 33.15 g. Statistical analysis showed no significant difference (P &gt; 0.05) between the average gains </w:t>
      </w:r>
      <w:r w:rsidRPr="00C96173">
        <w:rPr>
          <w:rFonts w:ascii="Arial" w:eastAsia="Calibri" w:hAnsi="Arial" w:cs="Arial"/>
          <w:sz w:val="20"/>
          <w:szCs w:val="20"/>
          <w:lang w:val="fr-FR"/>
        </w:rPr>
        <w:lastRenderedPageBreak/>
        <w:t>of the treated groups and the control group (Fig</w:t>
      </w:r>
      <w:r w:rsidR="00106CE1">
        <w:rPr>
          <w:rFonts w:ascii="Arial" w:eastAsia="Calibri" w:hAnsi="Arial" w:cs="Arial"/>
          <w:sz w:val="20"/>
          <w:szCs w:val="20"/>
          <w:lang w:val="fr-FR"/>
        </w:rPr>
        <w:t>.</w:t>
      </w:r>
      <w:r w:rsidRPr="00C96173">
        <w:rPr>
          <w:rFonts w:ascii="Arial" w:eastAsia="Calibri" w:hAnsi="Arial" w:cs="Arial"/>
          <w:sz w:val="20"/>
          <w:szCs w:val="20"/>
          <w:lang w:val="fr-FR"/>
        </w:rPr>
        <w:t xml:space="preserve"> 1).</w:t>
      </w:r>
    </w:p>
    <w:p w14:paraId="08D42FC4" w14:textId="77777777" w:rsidR="00C96173" w:rsidRPr="00C96173" w:rsidRDefault="00C96173" w:rsidP="00C96173">
      <w:pPr>
        <w:spacing w:after="0" w:line="240" w:lineRule="auto"/>
        <w:contextualSpacing/>
        <w:jc w:val="both"/>
        <w:rPr>
          <w:rFonts w:ascii="Arial" w:eastAsia="Calibri" w:hAnsi="Arial" w:cs="Arial"/>
          <w:bCs/>
          <w:sz w:val="20"/>
          <w:szCs w:val="20"/>
          <w:lang w:val="fr-FR"/>
        </w:rPr>
      </w:pPr>
    </w:p>
    <w:p w14:paraId="4F392108" w14:textId="4FC7AEAE" w:rsidR="00C96173" w:rsidRPr="00C96173" w:rsidRDefault="00427A0A" w:rsidP="00C96173">
      <w:pPr>
        <w:spacing w:after="0" w:line="240" w:lineRule="auto"/>
        <w:contextualSpacing/>
        <w:jc w:val="both"/>
        <w:rPr>
          <w:rFonts w:ascii="Arial" w:eastAsia="Calibri" w:hAnsi="Arial" w:cs="Arial"/>
          <w:b/>
          <w:sz w:val="20"/>
          <w:szCs w:val="20"/>
          <w:lang w:val="fr-FR"/>
        </w:rPr>
      </w:pPr>
      <w:r>
        <w:rPr>
          <w:rFonts w:ascii="Arial" w:eastAsia="Calibri" w:hAnsi="Arial" w:cs="Arial"/>
          <w:b/>
          <w:sz w:val="20"/>
          <w:szCs w:val="20"/>
          <w:lang w:val="fr-FR"/>
        </w:rPr>
        <w:t>3</w:t>
      </w:r>
      <w:r w:rsidR="00C96173" w:rsidRPr="00C96173">
        <w:rPr>
          <w:rFonts w:ascii="Arial" w:eastAsia="Calibri" w:hAnsi="Arial" w:cs="Arial"/>
          <w:b/>
          <w:sz w:val="20"/>
          <w:szCs w:val="20"/>
          <w:lang w:val="fr-FR"/>
        </w:rPr>
        <w:t>.3.2 Consumption index</w:t>
      </w:r>
    </w:p>
    <w:p w14:paraId="5DB51DE6" w14:textId="77777777" w:rsidR="00C96173" w:rsidRPr="00C96173" w:rsidRDefault="00C96173" w:rsidP="00C96173">
      <w:pPr>
        <w:spacing w:after="0" w:line="240" w:lineRule="auto"/>
        <w:contextualSpacing/>
        <w:jc w:val="both"/>
        <w:rPr>
          <w:rFonts w:ascii="Arial" w:eastAsia="Calibri" w:hAnsi="Arial" w:cs="Arial"/>
          <w:bCs/>
          <w:sz w:val="20"/>
          <w:szCs w:val="20"/>
          <w:lang w:val="fr-FR"/>
        </w:rPr>
      </w:pPr>
    </w:p>
    <w:p w14:paraId="0848F346" w14:textId="443EB8F2" w:rsidR="00C96173" w:rsidRPr="00C96173" w:rsidRDefault="00C96173" w:rsidP="00C96173">
      <w:pPr>
        <w:spacing w:after="0" w:line="240" w:lineRule="auto"/>
        <w:contextualSpacing/>
        <w:jc w:val="both"/>
        <w:rPr>
          <w:rFonts w:ascii="Arial" w:eastAsia="Calibri" w:hAnsi="Arial" w:cs="Arial"/>
          <w:sz w:val="20"/>
          <w:szCs w:val="20"/>
          <w:lang w:val="fr-FR"/>
        </w:rPr>
      </w:pPr>
      <w:r w:rsidRPr="00C96173">
        <w:rPr>
          <w:rFonts w:ascii="Arial" w:eastAsia="Calibri" w:hAnsi="Arial" w:cs="Arial"/>
          <w:sz w:val="20"/>
          <w:szCs w:val="20"/>
          <w:lang w:val="fr-FR"/>
        </w:rPr>
        <w:t xml:space="preserve">The feed conversion ratios (FCR) of the control group and the batches treated with 5 g/L and 10 </w:t>
      </w:r>
      <w:r w:rsidRPr="00C96173">
        <w:rPr>
          <w:rFonts w:ascii="Arial" w:eastAsia="Calibri" w:hAnsi="Arial" w:cs="Arial"/>
          <w:sz w:val="20"/>
          <w:szCs w:val="20"/>
          <w:lang w:val="fr-FR"/>
        </w:rPr>
        <w:t>g/L AEAC were 1.4, 1.42, and 1.4, respectively. The FCR of the two batches treated with AEAC showed a slight increase over the course of the study. However, this increase was not statistically significant (P &gt; 0.05) compared to the control group (Fig</w:t>
      </w:r>
      <w:r w:rsidR="00106CE1">
        <w:rPr>
          <w:rFonts w:ascii="Arial" w:eastAsia="Calibri" w:hAnsi="Arial" w:cs="Arial"/>
          <w:sz w:val="20"/>
          <w:szCs w:val="20"/>
          <w:lang w:val="fr-FR"/>
        </w:rPr>
        <w:t>.</w:t>
      </w:r>
      <w:r w:rsidRPr="00C96173">
        <w:rPr>
          <w:rFonts w:ascii="Arial" w:eastAsia="Calibri" w:hAnsi="Arial" w:cs="Arial"/>
          <w:sz w:val="20"/>
          <w:szCs w:val="20"/>
          <w:lang w:val="fr-FR"/>
        </w:rPr>
        <w:t xml:space="preserve"> 2).</w:t>
      </w:r>
    </w:p>
    <w:p w14:paraId="1A23B7C9" w14:textId="77777777" w:rsidR="00106CE1" w:rsidRDefault="00106CE1" w:rsidP="00C96173">
      <w:pPr>
        <w:spacing w:after="0" w:line="240" w:lineRule="auto"/>
        <w:contextualSpacing/>
        <w:jc w:val="both"/>
        <w:rPr>
          <w:rFonts w:ascii="Arial" w:eastAsia="Calibri" w:hAnsi="Arial" w:cs="Arial"/>
          <w:b/>
          <w:sz w:val="20"/>
          <w:szCs w:val="20"/>
          <w:lang w:val="fr-FR"/>
        </w:rPr>
        <w:sectPr w:rsidR="00106CE1" w:rsidSect="00106CE1">
          <w:type w:val="continuous"/>
          <w:pgSz w:w="11909" w:h="16834" w:code="9"/>
          <w:pgMar w:top="1440" w:right="1440" w:bottom="1440" w:left="1440" w:header="720" w:footer="864" w:gutter="0"/>
          <w:pgNumType w:start="2"/>
          <w:cols w:num="2" w:space="288"/>
          <w:titlePg/>
          <w:docGrid w:linePitch="360"/>
        </w:sectPr>
      </w:pPr>
    </w:p>
    <w:p w14:paraId="71A97B6D" w14:textId="77777777" w:rsidR="00C96173" w:rsidRPr="00C96173" w:rsidRDefault="00C96173" w:rsidP="00C96173">
      <w:pPr>
        <w:spacing w:after="0" w:line="240" w:lineRule="auto"/>
        <w:contextualSpacing/>
        <w:jc w:val="both"/>
        <w:rPr>
          <w:rFonts w:ascii="Arial" w:eastAsia="Calibri" w:hAnsi="Arial" w:cs="Arial"/>
          <w:b/>
          <w:sz w:val="12"/>
          <w:szCs w:val="12"/>
          <w:lang w:val="fr-FR"/>
        </w:rPr>
      </w:pPr>
    </w:p>
    <w:p w14:paraId="0DF0EAE1" w14:textId="77777777" w:rsidR="00C96173" w:rsidRPr="00C96173" w:rsidRDefault="00C96173" w:rsidP="00C96173">
      <w:pPr>
        <w:spacing w:after="0" w:line="240" w:lineRule="auto"/>
        <w:contextualSpacing/>
        <w:jc w:val="center"/>
        <w:rPr>
          <w:rFonts w:ascii="Arial" w:eastAsia="Calibri" w:hAnsi="Arial" w:cs="Arial"/>
          <w:b/>
          <w:bCs/>
          <w:i/>
          <w:iCs/>
          <w:sz w:val="20"/>
          <w:szCs w:val="20"/>
          <w:lang w:val="fr-FR"/>
        </w:rPr>
      </w:pPr>
      <w:r w:rsidRPr="00C96173">
        <w:rPr>
          <w:rFonts w:ascii="Arial" w:eastAsia="Calibri" w:hAnsi="Arial" w:cs="Arial"/>
          <w:b/>
          <w:bCs/>
          <w:sz w:val="20"/>
          <w:szCs w:val="20"/>
          <w:lang w:val="fr-FR"/>
        </w:rPr>
        <w:t xml:space="preserve">Table 1. Results of phytochemical screening of the aqueous extract of </w:t>
      </w:r>
      <w:r w:rsidRPr="00C96173">
        <w:rPr>
          <w:rFonts w:ascii="Arial" w:eastAsia="Calibri" w:hAnsi="Arial" w:cs="Arial"/>
          <w:b/>
          <w:bCs/>
          <w:i/>
          <w:iCs/>
          <w:sz w:val="20"/>
          <w:szCs w:val="20"/>
          <w:lang w:val="fr-FR"/>
        </w:rPr>
        <w:t>Alchornea cordifolia</w:t>
      </w:r>
    </w:p>
    <w:p w14:paraId="6E6F6AF7" w14:textId="77777777" w:rsidR="00C96173" w:rsidRPr="00C96173" w:rsidRDefault="00C96173" w:rsidP="00C96173">
      <w:pPr>
        <w:spacing w:after="0" w:line="240" w:lineRule="auto"/>
        <w:contextualSpacing/>
        <w:jc w:val="center"/>
        <w:rPr>
          <w:rFonts w:ascii="Arial" w:eastAsia="Calibri" w:hAnsi="Arial" w:cs="Arial"/>
          <w:b/>
          <w:bCs/>
          <w:sz w:val="12"/>
          <w:szCs w:val="12"/>
          <w:lang w:val="fr-FR"/>
        </w:rPr>
      </w:pPr>
    </w:p>
    <w:tbl>
      <w:tblPr>
        <w:tblStyle w:val="TableGrid1"/>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68"/>
        <w:gridCol w:w="1626"/>
        <w:gridCol w:w="3908"/>
        <w:gridCol w:w="2258"/>
      </w:tblGrid>
      <w:tr w:rsidR="00C96173" w:rsidRPr="00C96173" w14:paraId="41C45CAE" w14:textId="77777777" w:rsidTr="00DE7065">
        <w:trPr>
          <w:trHeight w:val="20"/>
          <w:jc w:val="center"/>
        </w:trPr>
        <w:tc>
          <w:tcPr>
            <w:tcW w:w="2835" w:type="dxa"/>
            <w:gridSpan w:val="2"/>
            <w:tcBorders>
              <w:bottom w:val="single" w:sz="4" w:space="0" w:color="auto"/>
            </w:tcBorders>
          </w:tcPr>
          <w:p w14:paraId="43676C88" w14:textId="77777777" w:rsidR="00C96173" w:rsidRPr="00C96173" w:rsidRDefault="00C96173" w:rsidP="00C96173">
            <w:pPr>
              <w:contextualSpacing/>
              <w:rPr>
                <w:rFonts w:ascii="Arial" w:eastAsia="Times New Roman" w:hAnsi="Arial" w:cs="Arial"/>
                <w:b/>
                <w:iCs/>
                <w:sz w:val="20"/>
                <w:szCs w:val="20"/>
              </w:rPr>
            </w:pPr>
            <w:r w:rsidRPr="00C96173">
              <w:rPr>
                <w:rFonts w:ascii="Arial" w:eastAsia="Times New Roman" w:hAnsi="Arial" w:cs="Arial"/>
                <w:b/>
                <w:iCs/>
                <w:sz w:val="20"/>
                <w:szCs w:val="20"/>
              </w:rPr>
              <w:t>Compounds sought</w:t>
            </w:r>
          </w:p>
        </w:tc>
        <w:tc>
          <w:tcPr>
            <w:tcW w:w="3828" w:type="dxa"/>
            <w:tcBorders>
              <w:bottom w:val="single" w:sz="4" w:space="0" w:color="auto"/>
            </w:tcBorders>
          </w:tcPr>
          <w:p w14:paraId="71BB7F56" w14:textId="77777777" w:rsidR="00C96173" w:rsidRPr="00C96173" w:rsidRDefault="00C96173" w:rsidP="00C96173">
            <w:pPr>
              <w:contextualSpacing/>
              <w:rPr>
                <w:rFonts w:ascii="Arial" w:eastAsia="Times New Roman" w:hAnsi="Arial" w:cs="Arial"/>
                <w:b/>
                <w:sz w:val="20"/>
                <w:szCs w:val="20"/>
              </w:rPr>
            </w:pPr>
            <w:r w:rsidRPr="00C96173">
              <w:rPr>
                <w:rFonts w:ascii="Arial" w:eastAsia="Times New Roman" w:hAnsi="Arial" w:cs="Arial"/>
                <w:b/>
                <w:sz w:val="20"/>
                <w:szCs w:val="20"/>
              </w:rPr>
              <w:t>Test or reagents</w:t>
            </w:r>
          </w:p>
        </w:tc>
        <w:tc>
          <w:tcPr>
            <w:tcW w:w="2212" w:type="dxa"/>
            <w:tcBorders>
              <w:bottom w:val="single" w:sz="4" w:space="0" w:color="auto"/>
            </w:tcBorders>
          </w:tcPr>
          <w:p w14:paraId="4110EF97" w14:textId="77777777" w:rsidR="00C96173" w:rsidRPr="00C96173" w:rsidRDefault="00C96173" w:rsidP="00C96173">
            <w:pPr>
              <w:contextualSpacing/>
              <w:rPr>
                <w:rFonts w:ascii="Arial" w:eastAsia="Times New Roman" w:hAnsi="Arial" w:cs="Arial"/>
                <w:b/>
                <w:iCs/>
                <w:sz w:val="20"/>
                <w:szCs w:val="20"/>
              </w:rPr>
            </w:pPr>
            <w:r w:rsidRPr="00C96173">
              <w:rPr>
                <w:rFonts w:ascii="Arial" w:eastAsia="Times New Roman" w:hAnsi="Arial" w:cs="Arial"/>
                <w:b/>
                <w:iCs/>
                <w:sz w:val="20"/>
                <w:szCs w:val="20"/>
              </w:rPr>
              <w:t>Results</w:t>
            </w:r>
          </w:p>
        </w:tc>
      </w:tr>
      <w:tr w:rsidR="00C96173" w:rsidRPr="00C96173" w14:paraId="39C29CD1" w14:textId="77777777" w:rsidTr="00DE7065">
        <w:trPr>
          <w:trHeight w:val="20"/>
          <w:jc w:val="center"/>
        </w:trPr>
        <w:tc>
          <w:tcPr>
            <w:tcW w:w="2835" w:type="dxa"/>
            <w:gridSpan w:val="2"/>
            <w:tcBorders>
              <w:top w:val="single" w:sz="4" w:space="0" w:color="auto"/>
              <w:bottom w:val="nil"/>
            </w:tcBorders>
          </w:tcPr>
          <w:p w14:paraId="25245D79" w14:textId="77777777" w:rsidR="00C96173" w:rsidRPr="00C96173" w:rsidRDefault="00C96173" w:rsidP="00C96173">
            <w:pPr>
              <w:contextualSpacing/>
              <w:rPr>
                <w:rFonts w:ascii="Arial" w:eastAsia="Times New Roman" w:hAnsi="Arial" w:cs="Arial"/>
                <w:iCs/>
                <w:sz w:val="20"/>
                <w:szCs w:val="20"/>
              </w:rPr>
            </w:pPr>
            <w:r w:rsidRPr="00C96173">
              <w:rPr>
                <w:rFonts w:ascii="Arial" w:eastAsia="Times New Roman" w:hAnsi="Arial" w:cs="Arial"/>
                <w:iCs/>
                <w:sz w:val="20"/>
                <w:szCs w:val="20"/>
              </w:rPr>
              <w:t>Sterols and polyterpenes</w:t>
            </w:r>
          </w:p>
        </w:tc>
        <w:tc>
          <w:tcPr>
            <w:tcW w:w="3828" w:type="dxa"/>
            <w:tcBorders>
              <w:top w:val="single" w:sz="4" w:space="0" w:color="auto"/>
              <w:bottom w:val="nil"/>
            </w:tcBorders>
          </w:tcPr>
          <w:p w14:paraId="7F22B1C3" w14:textId="77777777" w:rsidR="00C96173" w:rsidRPr="00C96173" w:rsidRDefault="00C96173" w:rsidP="00C96173">
            <w:pPr>
              <w:contextualSpacing/>
              <w:rPr>
                <w:rFonts w:ascii="Arial" w:hAnsi="Arial" w:cs="Arial"/>
                <w:sz w:val="20"/>
                <w:szCs w:val="20"/>
              </w:rPr>
            </w:pPr>
            <w:r w:rsidRPr="00C96173">
              <w:rPr>
                <w:rFonts w:ascii="Arial" w:hAnsi="Arial" w:cs="Arial"/>
                <w:sz w:val="20"/>
                <w:szCs w:val="20"/>
              </w:rPr>
              <w:t>Liebermann</w:t>
            </w:r>
          </w:p>
        </w:tc>
        <w:tc>
          <w:tcPr>
            <w:tcW w:w="2212" w:type="dxa"/>
            <w:tcBorders>
              <w:top w:val="single" w:sz="4" w:space="0" w:color="auto"/>
              <w:bottom w:val="nil"/>
            </w:tcBorders>
          </w:tcPr>
          <w:p w14:paraId="710A78A1" w14:textId="77777777" w:rsidR="00C96173" w:rsidRPr="00C96173" w:rsidRDefault="00C96173" w:rsidP="00C96173">
            <w:pPr>
              <w:contextualSpacing/>
              <w:rPr>
                <w:rFonts w:ascii="Arial" w:hAnsi="Arial" w:cs="Arial"/>
                <w:b/>
                <w:sz w:val="20"/>
                <w:szCs w:val="20"/>
              </w:rPr>
            </w:pPr>
            <w:r w:rsidRPr="00C96173">
              <w:rPr>
                <w:rFonts w:ascii="Arial" w:hAnsi="Arial" w:cs="Arial"/>
                <w:b/>
                <w:sz w:val="20"/>
                <w:szCs w:val="20"/>
              </w:rPr>
              <w:t>+</w:t>
            </w:r>
          </w:p>
        </w:tc>
      </w:tr>
      <w:tr w:rsidR="00C96173" w:rsidRPr="00C96173" w14:paraId="08D568F5" w14:textId="77777777" w:rsidTr="00DE7065">
        <w:trPr>
          <w:trHeight w:val="20"/>
          <w:jc w:val="center"/>
        </w:trPr>
        <w:tc>
          <w:tcPr>
            <w:tcW w:w="2835" w:type="dxa"/>
            <w:gridSpan w:val="2"/>
            <w:tcBorders>
              <w:top w:val="nil"/>
            </w:tcBorders>
          </w:tcPr>
          <w:p w14:paraId="7A06E027" w14:textId="77777777" w:rsidR="00C96173" w:rsidRPr="00C96173" w:rsidRDefault="00C96173" w:rsidP="00C96173">
            <w:pPr>
              <w:contextualSpacing/>
              <w:rPr>
                <w:rFonts w:ascii="Arial" w:eastAsia="Times New Roman" w:hAnsi="Arial" w:cs="Arial"/>
                <w:iCs/>
                <w:sz w:val="20"/>
                <w:szCs w:val="20"/>
              </w:rPr>
            </w:pPr>
            <w:r w:rsidRPr="00C96173">
              <w:rPr>
                <w:rFonts w:ascii="Arial" w:eastAsia="Times New Roman" w:hAnsi="Arial" w:cs="Arial"/>
                <w:iCs/>
                <w:sz w:val="20"/>
                <w:szCs w:val="20"/>
              </w:rPr>
              <w:t>Polyphenols</w:t>
            </w:r>
          </w:p>
        </w:tc>
        <w:tc>
          <w:tcPr>
            <w:tcW w:w="3828" w:type="dxa"/>
            <w:tcBorders>
              <w:top w:val="nil"/>
            </w:tcBorders>
          </w:tcPr>
          <w:p w14:paraId="74D23D63" w14:textId="77777777" w:rsidR="00C96173" w:rsidRPr="00C96173" w:rsidRDefault="00C96173" w:rsidP="00C96173">
            <w:pPr>
              <w:contextualSpacing/>
              <w:rPr>
                <w:rFonts w:ascii="Arial" w:hAnsi="Arial" w:cs="Arial"/>
                <w:sz w:val="20"/>
                <w:szCs w:val="20"/>
              </w:rPr>
            </w:pPr>
            <w:r w:rsidRPr="00C96173">
              <w:rPr>
                <w:rFonts w:ascii="Arial" w:hAnsi="Arial" w:cs="Arial"/>
                <w:sz w:val="20"/>
                <w:szCs w:val="20"/>
              </w:rPr>
              <w:t>Ferric chloride</w:t>
            </w:r>
          </w:p>
        </w:tc>
        <w:tc>
          <w:tcPr>
            <w:tcW w:w="2212" w:type="dxa"/>
            <w:tcBorders>
              <w:top w:val="nil"/>
            </w:tcBorders>
          </w:tcPr>
          <w:p w14:paraId="4089FDAB" w14:textId="77777777" w:rsidR="00C96173" w:rsidRPr="00C96173" w:rsidRDefault="00C96173" w:rsidP="00C96173">
            <w:pPr>
              <w:contextualSpacing/>
              <w:rPr>
                <w:rFonts w:ascii="Arial" w:hAnsi="Arial" w:cs="Arial"/>
                <w:b/>
                <w:sz w:val="20"/>
                <w:szCs w:val="20"/>
              </w:rPr>
            </w:pPr>
            <w:r w:rsidRPr="00C96173">
              <w:rPr>
                <w:rFonts w:ascii="Arial" w:hAnsi="Arial" w:cs="Arial"/>
                <w:b/>
                <w:sz w:val="20"/>
                <w:szCs w:val="20"/>
              </w:rPr>
              <w:t>+</w:t>
            </w:r>
          </w:p>
        </w:tc>
      </w:tr>
      <w:tr w:rsidR="00C96173" w:rsidRPr="00C96173" w14:paraId="2D6140ED" w14:textId="77777777" w:rsidTr="00DE7065">
        <w:trPr>
          <w:trHeight w:val="20"/>
          <w:jc w:val="center"/>
        </w:trPr>
        <w:tc>
          <w:tcPr>
            <w:tcW w:w="2835" w:type="dxa"/>
            <w:gridSpan w:val="2"/>
          </w:tcPr>
          <w:p w14:paraId="7E283EB1" w14:textId="77777777" w:rsidR="00C96173" w:rsidRPr="00C96173" w:rsidRDefault="00C96173" w:rsidP="00C96173">
            <w:pPr>
              <w:contextualSpacing/>
              <w:rPr>
                <w:rFonts w:ascii="Arial" w:eastAsia="Times New Roman" w:hAnsi="Arial" w:cs="Arial"/>
                <w:iCs/>
                <w:sz w:val="20"/>
                <w:szCs w:val="20"/>
              </w:rPr>
            </w:pPr>
            <w:r w:rsidRPr="00C96173">
              <w:rPr>
                <w:rFonts w:ascii="Arial" w:eastAsia="Times New Roman" w:hAnsi="Arial" w:cs="Arial"/>
                <w:iCs/>
                <w:sz w:val="20"/>
                <w:szCs w:val="20"/>
              </w:rPr>
              <w:t>Flavonoids</w:t>
            </w:r>
          </w:p>
        </w:tc>
        <w:tc>
          <w:tcPr>
            <w:tcW w:w="3828" w:type="dxa"/>
          </w:tcPr>
          <w:p w14:paraId="68F9F546" w14:textId="77777777" w:rsidR="00C96173" w:rsidRPr="00C96173" w:rsidRDefault="00C96173" w:rsidP="00C96173">
            <w:pPr>
              <w:contextualSpacing/>
              <w:rPr>
                <w:rFonts w:ascii="Arial" w:hAnsi="Arial" w:cs="Arial"/>
                <w:sz w:val="20"/>
                <w:szCs w:val="20"/>
              </w:rPr>
            </w:pPr>
            <w:r w:rsidRPr="00C96173">
              <w:rPr>
                <w:rFonts w:ascii="Arial" w:hAnsi="Arial" w:cs="Arial"/>
                <w:sz w:val="20"/>
                <w:szCs w:val="20"/>
              </w:rPr>
              <w:t>Cyanidine</w:t>
            </w:r>
          </w:p>
        </w:tc>
        <w:tc>
          <w:tcPr>
            <w:tcW w:w="2212" w:type="dxa"/>
          </w:tcPr>
          <w:p w14:paraId="58436AB3" w14:textId="77777777" w:rsidR="00C96173" w:rsidRPr="00C96173" w:rsidRDefault="00C96173" w:rsidP="00C96173">
            <w:pPr>
              <w:contextualSpacing/>
              <w:rPr>
                <w:rFonts w:ascii="Arial" w:hAnsi="Arial" w:cs="Arial"/>
                <w:b/>
                <w:sz w:val="20"/>
                <w:szCs w:val="20"/>
              </w:rPr>
            </w:pPr>
            <w:r w:rsidRPr="00C96173">
              <w:rPr>
                <w:rFonts w:ascii="Arial" w:hAnsi="Arial" w:cs="Arial"/>
                <w:b/>
                <w:sz w:val="20"/>
                <w:szCs w:val="20"/>
              </w:rPr>
              <w:t>-</w:t>
            </w:r>
          </w:p>
        </w:tc>
      </w:tr>
      <w:tr w:rsidR="00C96173" w:rsidRPr="00C96173" w14:paraId="1EB1A3DF" w14:textId="77777777" w:rsidTr="00DE7065">
        <w:trPr>
          <w:trHeight w:val="20"/>
          <w:jc w:val="center"/>
        </w:trPr>
        <w:tc>
          <w:tcPr>
            <w:tcW w:w="2835" w:type="dxa"/>
            <w:gridSpan w:val="2"/>
          </w:tcPr>
          <w:p w14:paraId="07048D28" w14:textId="77777777" w:rsidR="00C96173" w:rsidRPr="00C96173" w:rsidRDefault="00C96173" w:rsidP="00C96173">
            <w:pPr>
              <w:contextualSpacing/>
              <w:rPr>
                <w:rFonts w:ascii="Arial" w:eastAsia="Times New Roman" w:hAnsi="Arial" w:cs="Arial"/>
                <w:iCs/>
                <w:sz w:val="20"/>
                <w:szCs w:val="20"/>
              </w:rPr>
            </w:pPr>
            <w:r w:rsidRPr="00C96173">
              <w:rPr>
                <w:rFonts w:ascii="Arial" w:eastAsia="Times New Roman" w:hAnsi="Arial" w:cs="Arial"/>
                <w:iCs/>
                <w:sz w:val="20"/>
                <w:szCs w:val="20"/>
              </w:rPr>
              <w:t>Saponosides</w:t>
            </w:r>
          </w:p>
        </w:tc>
        <w:tc>
          <w:tcPr>
            <w:tcW w:w="3828" w:type="dxa"/>
          </w:tcPr>
          <w:p w14:paraId="54A7EED4" w14:textId="77777777" w:rsidR="00C96173" w:rsidRPr="00C96173" w:rsidRDefault="00C96173" w:rsidP="00C96173">
            <w:pPr>
              <w:contextualSpacing/>
              <w:rPr>
                <w:rFonts w:ascii="Arial" w:hAnsi="Arial" w:cs="Arial"/>
                <w:sz w:val="20"/>
                <w:szCs w:val="20"/>
              </w:rPr>
            </w:pPr>
            <w:r w:rsidRPr="00C96173">
              <w:rPr>
                <w:rFonts w:ascii="Arial" w:hAnsi="Arial" w:cs="Arial"/>
                <w:sz w:val="20"/>
                <w:szCs w:val="20"/>
              </w:rPr>
              <w:t>Vigorous agitation</w:t>
            </w:r>
          </w:p>
        </w:tc>
        <w:tc>
          <w:tcPr>
            <w:tcW w:w="2212" w:type="dxa"/>
          </w:tcPr>
          <w:p w14:paraId="498216CD" w14:textId="77777777" w:rsidR="00C96173" w:rsidRPr="00C96173" w:rsidRDefault="00C96173" w:rsidP="00C96173">
            <w:pPr>
              <w:contextualSpacing/>
              <w:rPr>
                <w:rFonts w:ascii="Arial" w:hAnsi="Arial" w:cs="Arial"/>
                <w:b/>
                <w:sz w:val="20"/>
                <w:szCs w:val="20"/>
              </w:rPr>
            </w:pPr>
            <w:r w:rsidRPr="00C96173">
              <w:rPr>
                <w:rFonts w:ascii="Arial" w:hAnsi="Arial" w:cs="Arial"/>
                <w:b/>
                <w:sz w:val="20"/>
                <w:szCs w:val="20"/>
              </w:rPr>
              <w:t>-</w:t>
            </w:r>
          </w:p>
        </w:tc>
      </w:tr>
      <w:tr w:rsidR="00C96173" w:rsidRPr="00C96173" w14:paraId="1456E352" w14:textId="77777777" w:rsidTr="00DE7065">
        <w:trPr>
          <w:trHeight w:val="20"/>
          <w:jc w:val="center"/>
        </w:trPr>
        <w:tc>
          <w:tcPr>
            <w:tcW w:w="2835" w:type="dxa"/>
            <w:gridSpan w:val="2"/>
          </w:tcPr>
          <w:p w14:paraId="1FE85CFC" w14:textId="77777777" w:rsidR="00C96173" w:rsidRPr="00C96173" w:rsidRDefault="00C96173" w:rsidP="00C96173">
            <w:pPr>
              <w:contextualSpacing/>
              <w:rPr>
                <w:rFonts w:ascii="Arial" w:eastAsia="Times New Roman" w:hAnsi="Arial" w:cs="Arial"/>
                <w:iCs/>
                <w:sz w:val="20"/>
                <w:szCs w:val="20"/>
              </w:rPr>
            </w:pPr>
            <w:r w:rsidRPr="00C96173">
              <w:rPr>
                <w:rFonts w:ascii="Arial" w:eastAsia="Times New Roman" w:hAnsi="Arial" w:cs="Arial"/>
                <w:iCs/>
                <w:sz w:val="20"/>
                <w:szCs w:val="20"/>
              </w:rPr>
              <w:t>Quinonic compounds</w:t>
            </w:r>
          </w:p>
        </w:tc>
        <w:tc>
          <w:tcPr>
            <w:tcW w:w="3828" w:type="dxa"/>
          </w:tcPr>
          <w:p w14:paraId="3043E127" w14:textId="77777777" w:rsidR="00C96173" w:rsidRPr="00C96173" w:rsidRDefault="00C96173" w:rsidP="00C96173">
            <w:pPr>
              <w:contextualSpacing/>
              <w:rPr>
                <w:rFonts w:ascii="Arial" w:hAnsi="Arial" w:cs="Arial"/>
                <w:sz w:val="20"/>
                <w:szCs w:val="20"/>
              </w:rPr>
            </w:pPr>
            <w:r w:rsidRPr="00C96173">
              <w:rPr>
                <w:rFonts w:ascii="Arial" w:hAnsi="Arial" w:cs="Arial"/>
                <w:sz w:val="20"/>
                <w:szCs w:val="20"/>
              </w:rPr>
              <w:t>Borntraeger</w:t>
            </w:r>
          </w:p>
        </w:tc>
        <w:tc>
          <w:tcPr>
            <w:tcW w:w="2212" w:type="dxa"/>
          </w:tcPr>
          <w:p w14:paraId="37215216" w14:textId="77777777" w:rsidR="00C96173" w:rsidRPr="00C96173" w:rsidRDefault="00C96173" w:rsidP="00C96173">
            <w:pPr>
              <w:contextualSpacing/>
              <w:rPr>
                <w:rFonts w:ascii="Arial" w:hAnsi="Arial" w:cs="Arial"/>
                <w:b/>
                <w:sz w:val="20"/>
                <w:szCs w:val="20"/>
              </w:rPr>
            </w:pPr>
            <w:r w:rsidRPr="00C96173">
              <w:rPr>
                <w:rFonts w:ascii="Arial" w:eastAsia="Times New Roman" w:hAnsi="Arial" w:cs="Arial"/>
                <w:b/>
                <w:sz w:val="20"/>
                <w:szCs w:val="20"/>
              </w:rPr>
              <w:t>+</w:t>
            </w:r>
          </w:p>
        </w:tc>
      </w:tr>
      <w:tr w:rsidR="00C96173" w:rsidRPr="00C96173" w14:paraId="6708C3D2" w14:textId="77777777" w:rsidTr="00DE7065">
        <w:trPr>
          <w:trHeight w:val="20"/>
          <w:jc w:val="center"/>
        </w:trPr>
        <w:tc>
          <w:tcPr>
            <w:tcW w:w="2835" w:type="dxa"/>
            <w:gridSpan w:val="2"/>
            <w:vMerge w:val="restart"/>
          </w:tcPr>
          <w:p w14:paraId="645B85A5" w14:textId="77777777" w:rsidR="00C96173" w:rsidRPr="00C96173" w:rsidRDefault="00C96173" w:rsidP="00C96173">
            <w:pPr>
              <w:contextualSpacing/>
              <w:rPr>
                <w:rFonts w:ascii="Arial" w:eastAsia="Times New Roman" w:hAnsi="Arial" w:cs="Arial"/>
                <w:iCs/>
                <w:sz w:val="20"/>
                <w:szCs w:val="20"/>
              </w:rPr>
            </w:pPr>
          </w:p>
          <w:p w14:paraId="26230860" w14:textId="77777777" w:rsidR="00C96173" w:rsidRPr="00C96173" w:rsidRDefault="00C96173" w:rsidP="00C96173">
            <w:pPr>
              <w:contextualSpacing/>
              <w:rPr>
                <w:rFonts w:ascii="Arial" w:eastAsia="Times New Roman" w:hAnsi="Arial" w:cs="Arial"/>
                <w:iCs/>
                <w:sz w:val="20"/>
                <w:szCs w:val="20"/>
              </w:rPr>
            </w:pPr>
            <w:r w:rsidRPr="00C96173">
              <w:rPr>
                <w:rFonts w:ascii="Arial" w:eastAsia="Times New Roman" w:hAnsi="Arial" w:cs="Arial"/>
                <w:iCs/>
                <w:sz w:val="20"/>
                <w:szCs w:val="20"/>
              </w:rPr>
              <w:t>Alkaloids</w:t>
            </w:r>
          </w:p>
        </w:tc>
        <w:tc>
          <w:tcPr>
            <w:tcW w:w="3828" w:type="dxa"/>
          </w:tcPr>
          <w:p w14:paraId="290500E6" w14:textId="77777777" w:rsidR="00C96173" w:rsidRPr="00C96173" w:rsidRDefault="00C96173" w:rsidP="00C96173">
            <w:pPr>
              <w:contextualSpacing/>
              <w:rPr>
                <w:rFonts w:ascii="Arial" w:hAnsi="Arial" w:cs="Arial"/>
                <w:sz w:val="20"/>
                <w:szCs w:val="20"/>
              </w:rPr>
            </w:pPr>
            <w:r w:rsidRPr="00C96173">
              <w:rPr>
                <w:rFonts w:ascii="Arial" w:hAnsi="Arial" w:cs="Arial"/>
                <w:sz w:val="20"/>
                <w:szCs w:val="20"/>
              </w:rPr>
              <w:t>Dragendorff</w:t>
            </w:r>
          </w:p>
        </w:tc>
        <w:tc>
          <w:tcPr>
            <w:tcW w:w="2212" w:type="dxa"/>
          </w:tcPr>
          <w:p w14:paraId="40004FF8" w14:textId="77777777" w:rsidR="00C96173" w:rsidRPr="00C96173" w:rsidRDefault="00C96173" w:rsidP="00C96173">
            <w:pPr>
              <w:contextualSpacing/>
              <w:rPr>
                <w:rFonts w:ascii="Arial" w:hAnsi="Arial" w:cs="Arial"/>
                <w:b/>
                <w:sz w:val="20"/>
                <w:szCs w:val="20"/>
              </w:rPr>
            </w:pPr>
            <w:r w:rsidRPr="00C96173">
              <w:rPr>
                <w:rFonts w:ascii="Arial" w:hAnsi="Arial" w:cs="Arial"/>
                <w:b/>
                <w:sz w:val="20"/>
                <w:szCs w:val="20"/>
              </w:rPr>
              <w:t>+</w:t>
            </w:r>
          </w:p>
        </w:tc>
      </w:tr>
      <w:tr w:rsidR="00C96173" w:rsidRPr="00C96173" w14:paraId="717C8449" w14:textId="77777777" w:rsidTr="00DE7065">
        <w:trPr>
          <w:trHeight w:val="20"/>
          <w:jc w:val="center"/>
        </w:trPr>
        <w:tc>
          <w:tcPr>
            <w:tcW w:w="2835" w:type="dxa"/>
            <w:gridSpan w:val="2"/>
            <w:vMerge/>
          </w:tcPr>
          <w:p w14:paraId="564D2A40" w14:textId="77777777" w:rsidR="00C96173" w:rsidRPr="00C96173" w:rsidRDefault="00C96173" w:rsidP="00C96173">
            <w:pPr>
              <w:contextualSpacing/>
              <w:rPr>
                <w:rFonts w:ascii="Arial" w:eastAsia="Times New Roman" w:hAnsi="Arial" w:cs="Arial"/>
                <w:iCs/>
                <w:sz w:val="20"/>
                <w:szCs w:val="20"/>
              </w:rPr>
            </w:pPr>
          </w:p>
        </w:tc>
        <w:tc>
          <w:tcPr>
            <w:tcW w:w="3828" w:type="dxa"/>
          </w:tcPr>
          <w:p w14:paraId="695AC6B8" w14:textId="77777777" w:rsidR="00C96173" w:rsidRPr="00C96173" w:rsidRDefault="00C96173" w:rsidP="00C96173">
            <w:pPr>
              <w:contextualSpacing/>
              <w:rPr>
                <w:rFonts w:ascii="Arial" w:hAnsi="Arial" w:cs="Arial"/>
                <w:sz w:val="20"/>
                <w:szCs w:val="20"/>
              </w:rPr>
            </w:pPr>
            <w:r w:rsidRPr="00C96173">
              <w:rPr>
                <w:rFonts w:ascii="Arial" w:hAnsi="Arial" w:cs="Arial"/>
                <w:sz w:val="20"/>
                <w:szCs w:val="20"/>
              </w:rPr>
              <w:t>Bouchardat</w:t>
            </w:r>
          </w:p>
        </w:tc>
        <w:tc>
          <w:tcPr>
            <w:tcW w:w="2212" w:type="dxa"/>
          </w:tcPr>
          <w:p w14:paraId="5A866925" w14:textId="77777777" w:rsidR="00C96173" w:rsidRPr="00C96173" w:rsidRDefault="00C96173" w:rsidP="00C96173">
            <w:pPr>
              <w:contextualSpacing/>
              <w:rPr>
                <w:rFonts w:ascii="Arial" w:hAnsi="Arial" w:cs="Arial"/>
                <w:b/>
                <w:sz w:val="20"/>
                <w:szCs w:val="20"/>
              </w:rPr>
            </w:pPr>
            <w:r w:rsidRPr="00C96173">
              <w:rPr>
                <w:rFonts w:ascii="Arial" w:hAnsi="Arial" w:cs="Arial"/>
                <w:b/>
                <w:sz w:val="20"/>
                <w:szCs w:val="20"/>
              </w:rPr>
              <w:t>+</w:t>
            </w:r>
          </w:p>
        </w:tc>
      </w:tr>
      <w:tr w:rsidR="00C96173" w:rsidRPr="00C96173" w14:paraId="413DE7C5" w14:textId="77777777" w:rsidTr="00DE7065">
        <w:trPr>
          <w:trHeight w:val="20"/>
          <w:jc w:val="center"/>
        </w:trPr>
        <w:tc>
          <w:tcPr>
            <w:tcW w:w="1242" w:type="dxa"/>
            <w:vMerge w:val="restart"/>
          </w:tcPr>
          <w:p w14:paraId="50EBC82C" w14:textId="77777777" w:rsidR="00C96173" w:rsidRPr="00C96173" w:rsidRDefault="00C96173" w:rsidP="00C96173">
            <w:pPr>
              <w:contextualSpacing/>
              <w:rPr>
                <w:rFonts w:ascii="Arial" w:eastAsia="Times New Roman" w:hAnsi="Arial" w:cs="Arial"/>
                <w:iCs/>
                <w:sz w:val="20"/>
                <w:szCs w:val="20"/>
              </w:rPr>
            </w:pPr>
          </w:p>
          <w:p w14:paraId="006B304E" w14:textId="77777777" w:rsidR="00C96173" w:rsidRPr="00C96173" w:rsidRDefault="00C96173" w:rsidP="00C96173">
            <w:pPr>
              <w:contextualSpacing/>
              <w:rPr>
                <w:rFonts w:ascii="Arial" w:eastAsia="Times New Roman" w:hAnsi="Arial" w:cs="Arial"/>
                <w:iCs/>
                <w:sz w:val="20"/>
                <w:szCs w:val="20"/>
              </w:rPr>
            </w:pPr>
            <w:r w:rsidRPr="00C96173">
              <w:rPr>
                <w:rFonts w:ascii="Arial" w:eastAsia="Times New Roman" w:hAnsi="Arial" w:cs="Arial"/>
                <w:iCs/>
                <w:sz w:val="20"/>
                <w:szCs w:val="20"/>
              </w:rPr>
              <w:t>Tannins</w:t>
            </w:r>
          </w:p>
        </w:tc>
        <w:tc>
          <w:tcPr>
            <w:tcW w:w="1593" w:type="dxa"/>
          </w:tcPr>
          <w:p w14:paraId="2B28DE87" w14:textId="77777777" w:rsidR="00C96173" w:rsidRPr="00C96173" w:rsidRDefault="00C96173" w:rsidP="00C96173">
            <w:pPr>
              <w:contextualSpacing/>
              <w:rPr>
                <w:rFonts w:ascii="Arial" w:hAnsi="Arial" w:cs="Arial"/>
                <w:sz w:val="20"/>
                <w:szCs w:val="20"/>
              </w:rPr>
            </w:pPr>
            <w:r w:rsidRPr="00C96173">
              <w:rPr>
                <w:rFonts w:ascii="Arial" w:hAnsi="Arial" w:cs="Arial"/>
                <w:sz w:val="20"/>
                <w:szCs w:val="20"/>
              </w:rPr>
              <w:t>Catechics</w:t>
            </w:r>
          </w:p>
        </w:tc>
        <w:tc>
          <w:tcPr>
            <w:tcW w:w="3828" w:type="dxa"/>
          </w:tcPr>
          <w:p w14:paraId="59EDB1BE" w14:textId="77777777" w:rsidR="00C96173" w:rsidRPr="00C96173" w:rsidRDefault="00C96173" w:rsidP="00C96173">
            <w:pPr>
              <w:contextualSpacing/>
              <w:rPr>
                <w:rFonts w:ascii="Arial" w:hAnsi="Arial" w:cs="Arial"/>
                <w:sz w:val="20"/>
                <w:szCs w:val="20"/>
              </w:rPr>
            </w:pPr>
            <w:r w:rsidRPr="00C96173">
              <w:rPr>
                <w:rFonts w:ascii="Arial" w:hAnsi="Arial" w:cs="Arial"/>
                <w:sz w:val="20"/>
                <w:szCs w:val="20"/>
              </w:rPr>
              <w:t>Stiasny</w:t>
            </w:r>
          </w:p>
        </w:tc>
        <w:tc>
          <w:tcPr>
            <w:tcW w:w="2212" w:type="dxa"/>
          </w:tcPr>
          <w:p w14:paraId="0EC89D0E" w14:textId="77777777" w:rsidR="00C96173" w:rsidRPr="00C96173" w:rsidRDefault="00C96173" w:rsidP="00C96173">
            <w:pPr>
              <w:contextualSpacing/>
              <w:rPr>
                <w:rFonts w:ascii="Arial" w:hAnsi="Arial" w:cs="Arial"/>
                <w:b/>
                <w:sz w:val="20"/>
                <w:szCs w:val="20"/>
              </w:rPr>
            </w:pPr>
            <w:r w:rsidRPr="00C96173">
              <w:rPr>
                <w:rFonts w:ascii="Arial" w:hAnsi="Arial" w:cs="Arial"/>
                <w:b/>
                <w:sz w:val="20"/>
                <w:szCs w:val="20"/>
              </w:rPr>
              <w:t>+</w:t>
            </w:r>
          </w:p>
        </w:tc>
      </w:tr>
      <w:tr w:rsidR="00C96173" w:rsidRPr="00C96173" w14:paraId="1D61ED96" w14:textId="77777777" w:rsidTr="00DE7065">
        <w:trPr>
          <w:trHeight w:val="20"/>
          <w:jc w:val="center"/>
        </w:trPr>
        <w:tc>
          <w:tcPr>
            <w:tcW w:w="1242" w:type="dxa"/>
            <w:vMerge/>
          </w:tcPr>
          <w:p w14:paraId="7EF1478E" w14:textId="77777777" w:rsidR="00C96173" w:rsidRPr="00C96173" w:rsidRDefault="00C96173" w:rsidP="00C96173">
            <w:pPr>
              <w:contextualSpacing/>
              <w:rPr>
                <w:rFonts w:ascii="Arial" w:eastAsia="Times New Roman" w:hAnsi="Arial" w:cs="Arial"/>
                <w:i/>
                <w:iCs/>
                <w:sz w:val="20"/>
                <w:szCs w:val="20"/>
              </w:rPr>
            </w:pPr>
          </w:p>
        </w:tc>
        <w:tc>
          <w:tcPr>
            <w:tcW w:w="1593" w:type="dxa"/>
          </w:tcPr>
          <w:p w14:paraId="09530E5F" w14:textId="77777777" w:rsidR="00C96173" w:rsidRPr="00C96173" w:rsidRDefault="00C96173" w:rsidP="00C96173">
            <w:pPr>
              <w:contextualSpacing/>
              <w:rPr>
                <w:rFonts w:ascii="Arial" w:hAnsi="Arial" w:cs="Arial"/>
                <w:sz w:val="20"/>
                <w:szCs w:val="20"/>
              </w:rPr>
            </w:pPr>
            <w:r w:rsidRPr="00C96173">
              <w:rPr>
                <w:rFonts w:ascii="Arial" w:hAnsi="Arial" w:cs="Arial"/>
                <w:sz w:val="20"/>
                <w:szCs w:val="20"/>
              </w:rPr>
              <w:t>Galliques</w:t>
            </w:r>
          </w:p>
        </w:tc>
        <w:tc>
          <w:tcPr>
            <w:tcW w:w="3828" w:type="dxa"/>
          </w:tcPr>
          <w:p w14:paraId="525B08AF" w14:textId="77777777" w:rsidR="00C96173" w:rsidRPr="00C96173" w:rsidRDefault="00C96173" w:rsidP="00C96173">
            <w:pPr>
              <w:contextualSpacing/>
              <w:rPr>
                <w:rFonts w:ascii="Arial" w:hAnsi="Arial" w:cs="Arial"/>
                <w:sz w:val="20"/>
                <w:szCs w:val="20"/>
              </w:rPr>
            </w:pPr>
            <w:r w:rsidRPr="00C96173">
              <w:rPr>
                <w:rFonts w:ascii="Arial" w:hAnsi="Arial" w:cs="Arial"/>
                <w:sz w:val="20"/>
                <w:szCs w:val="20"/>
              </w:rPr>
              <w:t>Hydrochloric acid</w:t>
            </w:r>
          </w:p>
        </w:tc>
        <w:tc>
          <w:tcPr>
            <w:tcW w:w="2212" w:type="dxa"/>
          </w:tcPr>
          <w:p w14:paraId="096907EE" w14:textId="77777777" w:rsidR="00C96173" w:rsidRPr="00C96173" w:rsidRDefault="00C96173" w:rsidP="00C96173">
            <w:pPr>
              <w:contextualSpacing/>
              <w:rPr>
                <w:rFonts w:ascii="Arial" w:hAnsi="Arial" w:cs="Arial"/>
                <w:b/>
                <w:sz w:val="20"/>
                <w:szCs w:val="20"/>
              </w:rPr>
            </w:pPr>
            <w:r w:rsidRPr="00C96173">
              <w:rPr>
                <w:rFonts w:ascii="Arial" w:hAnsi="Arial" w:cs="Arial"/>
                <w:b/>
                <w:sz w:val="20"/>
                <w:szCs w:val="20"/>
              </w:rPr>
              <w:t>-</w:t>
            </w:r>
          </w:p>
        </w:tc>
      </w:tr>
    </w:tbl>
    <w:p w14:paraId="50E448D7" w14:textId="77777777" w:rsidR="00C96173" w:rsidRPr="00C96173" w:rsidRDefault="00C96173" w:rsidP="00C96173">
      <w:pPr>
        <w:tabs>
          <w:tab w:val="left" w:pos="0"/>
        </w:tabs>
        <w:spacing w:after="0" w:line="240" w:lineRule="auto"/>
        <w:contextualSpacing/>
        <w:jc w:val="center"/>
        <w:rPr>
          <w:rFonts w:ascii="Arial" w:eastAsia="Calibri" w:hAnsi="Arial" w:cs="Arial"/>
          <w:bCs/>
          <w:i/>
          <w:iCs/>
          <w:sz w:val="18"/>
          <w:szCs w:val="18"/>
          <w:lang w:val="fr-FR"/>
        </w:rPr>
      </w:pPr>
      <w:r w:rsidRPr="00C96173">
        <w:rPr>
          <w:rFonts w:ascii="Arial" w:eastAsia="Calibri" w:hAnsi="Arial" w:cs="Arial"/>
          <w:bCs/>
          <w:i/>
          <w:iCs/>
          <w:sz w:val="18"/>
          <w:szCs w:val="18"/>
          <w:lang w:val="fr-FR"/>
        </w:rPr>
        <w:t>(+) : Presence of compound</w:t>
      </w:r>
    </w:p>
    <w:p w14:paraId="60CB4688" w14:textId="77777777" w:rsidR="00C96173" w:rsidRPr="00C96173" w:rsidRDefault="00C96173" w:rsidP="00C96173">
      <w:pPr>
        <w:tabs>
          <w:tab w:val="left" w:pos="0"/>
        </w:tabs>
        <w:spacing w:after="0" w:line="240" w:lineRule="auto"/>
        <w:contextualSpacing/>
        <w:jc w:val="center"/>
        <w:rPr>
          <w:rFonts w:ascii="Arial" w:eastAsia="Calibri" w:hAnsi="Arial" w:cs="Arial"/>
          <w:bCs/>
          <w:i/>
          <w:iCs/>
          <w:sz w:val="18"/>
          <w:szCs w:val="18"/>
          <w:lang w:val="fr-FR"/>
        </w:rPr>
      </w:pPr>
      <w:r w:rsidRPr="00C96173">
        <w:rPr>
          <w:rFonts w:ascii="Arial" w:eastAsia="Calibri" w:hAnsi="Arial" w:cs="Arial"/>
          <w:bCs/>
          <w:i/>
          <w:iCs/>
          <w:sz w:val="18"/>
          <w:szCs w:val="18"/>
          <w:lang w:val="fr-FR"/>
        </w:rPr>
        <w:t>(</w:t>
      </w:r>
      <w:r w:rsidRPr="00C96173">
        <w:rPr>
          <w:rFonts w:ascii="Arial" w:eastAsia="Times New Roman" w:hAnsi="Arial" w:cs="Arial"/>
          <w:bCs/>
          <w:i/>
          <w:iCs/>
          <w:sz w:val="18"/>
          <w:szCs w:val="18"/>
          <w:lang w:val="fr-CH"/>
        </w:rPr>
        <w:t>–</w:t>
      </w:r>
      <w:r w:rsidRPr="00C96173">
        <w:rPr>
          <w:rFonts w:ascii="Arial" w:eastAsia="Calibri" w:hAnsi="Arial" w:cs="Arial"/>
          <w:bCs/>
          <w:i/>
          <w:iCs/>
          <w:sz w:val="18"/>
          <w:szCs w:val="18"/>
          <w:lang w:val="fr-FR"/>
        </w:rPr>
        <w:t>) : Absence of compound</w:t>
      </w:r>
      <w:bookmarkStart w:id="0" w:name="_Toc116842937"/>
    </w:p>
    <w:p w14:paraId="715DB4DB" w14:textId="77777777" w:rsidR="00C96173" w:rsidRPr="00C96173" w:rsidRDefault="00C96173" w:rsidP="00C96173">
      <w:pPr>
        <w:spacing w:after="0" w:line="240" w:lineRule="auto"/>
        <w:contextualSpacing/>
        <w:jc w:val="both"/>
        <w:rPr>
          <w:rFonts w:ascii="Arial" w:eastAsia="Calibri" w:hAnsi="Arial" w:cs="Arial"/>
          <w:sz w:val="12"/>
          <w:szCs w:val="12"/>
          <w:lang w:val="fr-FR"/>
        </w:rPr>
      </w:pPr>
    </w:p>
    <w:p w14:paraId="32F03384" w14:textId="77777777" w:rsidR="00C96173" w:rsidRPr="00C96173" w:rsidRDefault="00C96173" w:rsidP="00C96173">
      <w:pPr>
        <w:spacing w:after="0" w:line="240" w:lineRule="auto"/>
        <w:contextualSpacing/>
        <w:jc w:val="center"/>
        <w:rPr>
          <w:rFonts w:ascii="Arial" w:eastAsia="Calibri" w:hAnsi="Arial" w:cs="Arial"/>
          <w:b/>
          <w:bCs/>
          <w:sz w:val="20"/>
          <w:szCs w:val="20"/>
          <w:lang w:val="fr-FR"/>
        </w:rPr>
      </w:pPr>
      <w:r w:rsidRPr="00C96173">
        <w:rPr>
          <w:rFonts w:ascii="Arial" w:eastAsia="Calibri" w:hAnsi="Arial" w:cs="Arial"/>
          <w:b/>
          <w:bCs/>
          <w:sz w:val="20"/>
          <w:szCs w:val="20"/>
          <w:lang w:val="fr-FR"/>
        </w:rPr>
        <w:t xml:space="preserve">Table 2. </w:t>
      </w:r>
      <w:bookmarkEnd w:id="0"/>
      <w:r w:rsidRPr="00C96173">
        <w:rPr>
          <w:rFonts w:ascii="Arial" w:eastAsia="Calibri" w:hAnsi="Arial" w:cs="Arial"/>
          <w:b/>
          <w:bCs/>
          <w:sz w:val="20"/>
          <w:szCs w:val="20"/>
          <w:lang w:val="fr-FR"/>
        </w:rPr>
        <w:t xml:space="preserve">Number of rats and mortality rate as a function of the dose of </w:t>
      </w:r>
      <w:r w:rsidRPr="00C96173">
        <w:rPr>
          <w:rFonts w:ascii="Arial" w:eastAsia="Calibri" w:hAnsi="Arial" w:cs="Arial"/>
          <w:b/>
          <w:bCs/>
          <w:i/>
          <w:iCs/>
          <w:sz w:val="20"/>
          <w:szCs w:val="20"/>
          <w:lang w:val="fr-FR"/>
        </w:rPr>
        <w:t>Alchornea cordifolia</w:t>
      </w:r>
      <w:r w:rsidRPr="00C96173">
        <w:rPr>
          <w:rFonts w:ascii="Arial" w:eastAsia="Calibri" w:hAnsi="Arial" w:cs="Arial"/>
          <w:b/>
          <w:bCs/>
          <w:sz w:val="20"/>
          <w:szCs w:val="20"/>
          <w:lang w:val="fr-FR"/>
        </w:rPr>
        <w:t xml:space="preserve"> extract</w:t>
      </w:r>
    </w:p>
    <w:p w14:paraId="43F50F77" w14:textId="77777777" w:rsidR="00C96173" w:rsidRPr="00C96173" w:rsidRDefault="00C96173" w:rsidP="00C96173">
      <w:pPr>
        <w:spacing w:after="0" w:line="240" w:lineRule="auto"/>
        <w:contextualSpacing/>
        <w:jc w:val="both"/>
        <w:rPr>
          <w:rFonts w:ascii="Arial" w:eastAsia="Calibri" w:hAnsi="Arial" w:cs="Arial"/>
          <w:b/>
          <w:bCs/>
          <w:sz w:val="12"/>
          <w:szCs w:val="12"/>
          <w:lang w:val="fr-FR"/>
        </w:rPr>
      </w:pPr>
    </w:p>
    <w:tbl>
      <w:tblPr>
        <w:tblStyle w:val="TableGrid1"/>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1812"/>
        <w:gridCol w:w="1812"/>
        <w:gridCol w:w="1813"/>
        <w:gridCol w:w="1813"/>
      </w:tblGrid>
      <w:tr w:rsidR="00C96173" w:rsidRPr="00C96173" w14:paraId="574FE57F" w14:textId="77777777" w:rsidTr="00C96173">
        <w:trPr>
          <w:trHeight w:val="20"/>
          <w:jc w:val="center"/>
        </w:trPr>
        <w:tc>
          <w:tcPr>
            <w:tcW w:w="1812" w:type="dxa"/>
            <w:tcBorders>
              <w:top w:val="single" w:sz="4" w:space="0" w:color="auto"/>
              <w:bottom w:val="single" w:sz="4" w:space="0" w:color="auto"/>
            </w:tcBorders>
          </w:tcPr>
          <w:p w14:paraId="2B5F3122" w14:textId="77777777" w:rsidR="00C96173" w:rsidRPr="00C96173" w:rsidRDefault="00C96173" w:rsidP="00C96173">
            <w:pPr>
              <w:contextualSpacing/>
              <w:rPr>
                <w:rFonts w:ascii="Arial" w:hAnsi="Arial" w:cs="Arial"/>
                <w:b/>
                <w:bCs/>
                <w:sz w:val="20"/>
                <w:szCs w:val="20"/>
              </w:rPr>
            </w:pPr>
            <w:r w:rsidRPr="00C96173">
              <w:rPr>
                <w:rFonts w:ascii="Arial" w:hAnsi="Arial" w:cs="Arial"/>
                <w:b/>
                <w:bCs/>
                <w:sz w:val="20"/>
                <w:szCs w:val="20"/>
              </w:rPr>
              <w:t>Lots</w:t>
            </w:r>
          </w:p>
        </w:tc>
        <w:tc>
          <w:tcPr>
            <w:tcW w:w="1812" w:type="dxa"/>
            <w:tcBorders>
              <w:top w:val="single" w:sz="4" w:space="0" w:color="auto"/>
              <w:bottom w:val="single" w:sz="4" w:space="0" w:color="auto"/>
            </w:tcBorders>
          </w:tcPr>
          <w:p w14:paraId="7DECA437" w14:textId="77777777" w:rsidR="00C96173" w:rsidRPr="00C96173" w:rsidRDefault="00C96173" w:rsidP="00C96173">
            <w:pPr>
              <w:contextualSpacing/>
              <w:rPr>
                <w:rFonts w:ascii="Arial" w:hAnsi="Arial" w:cs="Arial"/>
                <w:b/>
                <w:bCs/>
                <w:sz w:val="20"/>
                <w:szCs w:val="20"/>
              </w:rPr>
            </w:pPr>
            <w:r w:rsidRPr="00C96173">
              <w:rPr>
                <w:rFonts w:ascii="Arial" w:hAnsi="Arial" w:cs="Arial"/>
                <w:b/>
                <w:bCs/>
                <w:sz w:val="20"/>
                <w:szCs w:val="20"/>
              </w:rPr>
              <w:t>EAAC dose</w:t>
            </w:r>
          </w:p>
          <w:p w14:paraId="7A64BB07" w14:textId="77777777" w:rsidR="00C96173" w:rsidRPr="00C96173" w:rsidRDefault="00C96173" w:rsidP="00C96173">
            <w:pPr>
              <w:contextualSpacing/>
              <w:rPr>
                <w:rFonts w:ascii="Arial" w:hAnsi="Arial" w:cs="Arial"/>
                <w:b/>
                <w:bCs/>
                <w:sz w:val="20"/>
                <w:szCs w:val="20"/>
              </w:rPr>
            </w:pPr>
            <w:r w:rsidRPr="00C96173">
              <w:rPr>
                <w:rFonts w:ascii="Arial" w:hAnsi="Arial" w:cs="Arial"/>
                <w:b/>
                <w:bCs/>
                <w:sz w:val="20"/>
                <w:szCs w:val="20"/>
              </w:rPr>
              <w:t>(mg/kg PC)</w:t>
            </w:r>
          </w:p>
        </w:tc>
        <w:tc>
          <w:tcPr>
            <w:tcW w:w="1812" w:type="dxa"/>
            <w:tcBorders>
              <w:top w:val="single" w:sz="4" w:space="0" w:color="auto"/>
              <w:bottom w:val="single" w:sz="4" w:space="0" w:color="auto"/>
            </w:tcBorders>
          </w:tcPr>
          <w:p w14:paraId="0567EEDD" w14:textId="77777777" w:rsidR="00C96173" w:rsidRPr="00C96173" w:rsidRDefault="00C96173" w:rsidP="00C96173">
            <w:pPr>
              <w:contextualSpacing/>
              <w:rPr>
                <w:rFonts w:ascii="Arial" w:hAnsi="Arial" w:cs="Arial"/>
                <w:b/>
                <w:bCs/>
                <w:sz w:val="20"/>
                <w:szCs w:val="20"/>
              </w:rPr>
            </w:pPr>
            <w:r w:rsidRPr="00C96173">
              <w:rPr>
                <w:rFonts w:ascii="Arial" w:hAnsi="Arial" w:cs="Arial"/>
                <w:b/>
                <w:bCs/>
                <w:sz w:val="20"/>
                <w:szCs w:val="20"/>
              </w:rPr>
              <w:t>Number of rats tested</w:t>
            </w:r>
          </w:p>
        </w:tc>
        <w:tc>
          <w:tcPr>
            <w:tcW w:w="1813" w:type="dxa"/>
            <w:tcBorders>
              <w:top w:val="single" w:sz="4" w:space="0" w:color="auto"/>
              <w:bottom w:val="single" w:sz="4" w:space="0" w:color="auto"/>
            </w:tcBorders>
          </w:tcPr>
          <w:p w14:paraId="7F433660" w14:textId="77777777" w:rsidR="00C96173" w:rsidRPr="00C96173" w:rsidRDefault="00C96173" w:rsidP="00C96173">
            <w:pPr>
              <w:contextualSpacing/>
              <w:rPr>
                <w:rFonts w:ascii="Arial" w:hAnsi="Arial" w:cs="Arial"/>
                <w:b/>
                <w:bCs/>
                <w:sz w:val="20"/>
                <w:szCs w:val="20"/>
              </w:rPr>
            </w:pPr>
            <w:r w:rsidRPr="00C96173">
              <w:rPr>
                <w:rFonts w:ascii="Arial" w:hAnsi="Arial" w:cs="Arial"/>
                <w:b/>
                <w:bCs/>
                <w:sz w:val="20"/>
                <w:szCs w:val="20"/>
              </w:rPr>
              <w:t>Number of dead rats</w:t>
            </w:r>
          </w:p>
        </w:tc>
        <w:tc>
          <w:tcPr>
            <w:tcW w:w="1813" w:type="dxa"/>
            <w:tcBorders>
              <w:top w:val="single" w:sz="4" w:space="0" w:color="auto"/>
              <w:bottom w:val="single" w:sz="4" w:space="0" w:color="auto"/>
            </w:tcBorders>
          </w:tcPr>
          <w:p w14:paraId="5089F384" w14:textId="77777777" w:rsidR="00C96173" w:rsidRPr="00C96173" w:rsidRDefault="00C96173" w:rsidP="00C96173">
            <w:pPr>
              <w:contextualSpacing/>
              <w:rPr>
                <w:rFonts w:ascii="Arial" w:hAnsi="Arial" w:cs="Arial"/>
                <w:b/>
                <w:bCs/>
                <w:sz w:val="20"/>
                <w:szCs w:val="20"/>
              </w:rPr>
            </w:pPr>
            <w:r w:rsidRPr="00C96173">
              <w:rPr>
                <w:rFonts w:ascii="Arial" w:hAnsi="Arial" w:cs="Arial"/>
                <w:b/>
                <w:bCs/>
                <w:sz w:val="20"/>
                <w:szCs w:val="20"/>
              </w:rPr>
              <w:t>Mortality rate</w:t>
            </w:r>
          </w:p>
        </w:tc>
      </w:tr>
      <w:tr w:rsidR="00C96173" w:rsidRPr="00C96173" w14:paraId="2DABAD6D" w14:textId="77777777" w:rsidTr="00C96173">
        <w:trPr>
          <w:trHeight w:val="20"/>
          <w:jc w:val="center"/>
        </w:trPr>
        <w:tc>
          <w:tcPr>
            <w:tcW w:w="1812" w:type="dxa"/>
            <w:tcBorders>
              <w:top w:val="single" w:sz="4" w:space="0" w:color="auto"/>
            </w:tcBorders>
          </w:tcPr>
          <w:p w14:paraId="2F240B1C" w14:textId="77777777" w:rsidR="00C96173" w:rsidRPr="00C96173" w:rsidRDefault="00C96173" w:rsidP="00C96173">
            <w:pPr>
              <w:contextualSpacing/>
              <w:rPr>
                <w:rFonts w:ascii="Arial" w:hAnsi="Arial" w:cs="Arial"/>
                <w:sz w:val="20"/>
                <w:szCs w:val="20"/>
              </w:rPr>
            </w:pPr>
            <w:r w:rsidRPr="00C96173">
              <w:rPr>
                <w:rFonts w:ascii="Arial" w:hAnsi="Arial" w:cs="Arial"/>
                <w:sz w:val="20"/>
                <w:szCs w:val="20"/>
              </w:rPr>
              <w:t>1</w:t>
            </w:r>
          </w:p>
        </w:tc>
        <w:tc>
          <w:tcPr>
            <w:tcW w:w="1812" w:type="dxa"/>
            <w:tcBorders>
              <w:top w:val="single" w:sz="4" w:space="0" w:color="auto"/>
            </w:tcBorders>
          </w:tcPr>
          <w:p w14:paraId="14CB0013" w14:textId="77777777" w:rsidR="00C96173" w:rsidRPr="00C96173" w:rsidRDefault="00C96173" w:rsidP="00C96173">
            <w:pPr>
              <w:contextualSpacing/>
              <w:rPr>
                <w:rFonts w:ascii="Arial" w:hAnsi="Arial" w:cs="Arial"/>
                <w:sz w:val="20"/>
                <w:szCs w:val="20"/>
              </w:rPr>
            </w:pPr>
            <w:r w:rsidRPr="00C96173">
              <w:rPr>
                <w:rFonts w:ascii="Arial" w:hAnsi="Arial" w:cs="Arial"/>
                <w:sz w:val="20"/>
                <w:szCs w:val="20"/>
              </w:rPr>
              <w:t>2000</w:t>
            </w:r>
          </w:p>
        </w:tc>
        <w:tc>
          <w:tcPr>
            <w:tcW w:w="1812" w:type="dxa"/>
            <w:tcBorders>
              <w:top w:val="single" w:sz="4" w:space="0" w:color="auto"/>
            </w:tcBorders>
          </w:tcPr>
          <w:p w14:paraId="4ACE96A5" w14:textId="77777777" w:rsidR="00C96173" w:rsidRPr="00C96173" w:rsidRDefault="00C96173" w:rsidP="00C96173">
            <w:pPr>
              <w:contextualSpacing/>
              <w:rPr>
                <w:rFonts w:ascii="Arial" w:hAnsi="Arial" w:cs="Arial"/>
                <w:sz w:val="20"/>
                <w:szCs w:val="20"/>
              </w:rPr>
            </w:pPr>
            <w:r w:rsidRPr="00C96173">
              <w:rPr>
                <w:rFonts w:ascii="Arial" w:hAnsi="Arial" w:cs="Arial"/>
                <w:sz w:val="20"/>
                <w:szCs w:val="20"/>
              </w:rPr>
              <w:t>3</w:t>
            </w:r>
          </w:p>
        </w:tc>
        <w:tc>
          <w:tcPr>
            <w:tcW w:w="1813" w:type="dxa"/>
            <w:tcBorders>
              <w:top w:val="single" w:sz="4" w:space="0" w:color="auto"/>
            </w:tcBorders>
          </w:tcPr>
          <w:p w14:paraId="72760531" w14:textId="77777777" w:rsidR="00C96173" w:rsidRPr="00C96173" w:rsidRDefault="00C96173" w:rsidP="00C96173">
            <w:pPr>
              <w:contextualSpacing/>
              <w:rPr>
                <w:rFonts w:ascii="Arial" w:hAnsi="Arial" w:cs="Arial"/>
                <w:sz w:val="20"/>
                <w:szCs w:val="20"/>
              </w:rPr>
            </w:pPr>
            <w:r w:rsidRPr="00C96173">
              <w:rPr>
                <w:rFonts w:ascii="Arial" w:hAnsi="Arial" w:cs="Arial"/>
                <w:sz w:val="20"/>
                <w:szCs w:val="20"/>
              </w:rPr>
              <w:t>0</w:t>
            </w:r>
          </w:p>
        </w:tc>
        <w:tc>
          <w:tcPr>
            <w:tcW w:w="1813" w:type="dxa"/>
            <w:tcBorders>
              <w:top w:val="single" w:sz="4" w:space="0" w:color="auto"/>
            </w:tcBorders>
          </w:tcPr>
          <w:p w14:paraId="34B20D0E" w14:textId="77777777" w:rsidR="00C96173" w:rsidRPr="00C96173" w:rsidRDefault="00C96173" w:rsidP="00C96173">
            <w:pPr>
              <w:contextualSpacing/>
              <w:rPr>
                <w:rFonts w:ascii="Arial" w:hAnsi="Arial" w:cs="Arial"/>
                <w:sz w:val="20"/>
                <w:szCs w:val="20"/>
              </w:rPr>
            </w:pPr>
            <w:r w:rsidRPr="00C96173">
              <w:rPr>
                <w:rFonts w:ascii="Arial" w:hAnsi="Arial" w:cs="Arial"/>
                <w:sz w:val="20"/>
                <w:szCs w:val="20"/>
              </w:rPr>
              <w:t>0%</w:t>
            </w:r>
          </w:p>
        </w:tc>
      </w:tr>
      <w:tr w:rsidR="00C96173" w:rsidRPr="00C96173" w14:paraId="690A4559" w14:textId="77777777" w:rsidTr="00C96173">
        <w:trPr>
          <w:trHeight w:val="20"/>
          <w:jc w:val="center"/>
        </w:trPr>
        <w:tc>
          <w:tcPr>
            <w:tcW w:w="1812" w:type="dxa"/>
          </w:tcPr>
          <w:p w14:paraId="2E28F22F" w14:textId="77777777" w:rsidR="00C96173" w:rsidRPr="00C96173" w:rsidRDefault="00C96173" w:rsidP="00C96173">
            <w:pPr>
              <w:contextualSpacing/>
              <w:rPr>
                <w:rFonts w:ascii="Arial" w:hAnsi="Arial" w:cs="Arial"/>
                <w:sz w:val="20"/>
                <w:szCs w:val="20"/>
              </w:rPr>
            </w:pPr>
            <w:r w:rsidRPr="00C96173">
              <w:rPr>
                <w:rFonts w:ascii="Arial" w:hAnsi="Arial" w:cs="Arial"/>
                <w:sz w:val="20"/>
                <w:szCs w:val="20"/>
              </w:rPr>
              <w:t>2</w:t>
            </w:r>
          </w:p>
        </w:tc>
        <w:tc>
          <w:tcPr>
            <w:tcW w:w="1812" w:type="dxa"/>
          </w:tcPr>
          <w:p w14:paraId="73DFC8C4" w14:textId="77777777" w:rsidR="00C96173" w:rsidRPr="00C96173" w:rsidRDefault="00C96173" w:rsidP="00C96173">
            <w:pPr>
              <w:contextualSpacing/>
              <w:rPr>
                <w:rFonts w:ascii="Arial" w:hAnsi="Arial" w:cs="Arial"/>
                <w:sz w:val="20"/>
                <w:szCs w:val="20"/>
              </w:rPr>
            </w:pPr>
            <w:r w:rsidRPr="00C96173">
              <w:rPr>
                <w:rFonts w:ascii="Arial" w:hAnsi="Arial" w:cs="Arial"/>
                <w:sz w:val="20"/>
                <w:szCs w:val="20"/>
              </w:rPr>
              <w:t>5000</w:t>
            </w:r>
          </w:p>
        </w:tc>
        <w:tc>
          <w:tcPr>
            <w:tcW w:w="1812" w:type="dxa"/>
          </w:tcPr>
          <w:p w14:paraId="6B260348" w14:textId="77777777" w:rsidR="00C96173" w:rsidRPr="00C96173" w:rsidRDefault="00C96173" w:rsidP="00C96173">
            <w:pPr>
              <w:contextualSpacing/>
              <w:rPr>
                <w:rFonts w:ascii="Arial" w:hAnsi="Arial" w:cs="Arial"/>
                <w:sz w:val="20"/>
                <w:szCs w:val="20"/>
              </w:rPr>
            </w:pPr>
            <w:r w:rsidRPr="00C96173">
              <w:rPr>
                <w:rFonts w:ascii="Arial" w:hAnsi="Arial" w:cs="Arial"/>
                <w:sz w:val="20"/>
                <w:szCs w:val="20"/>
              </w:rPr>
              <w:t>3</w:t>
            </w:r>
          </w:p>
        </w:tc>
        <w:tc>
          <w:tcPr>
            <w:tcW w:w="1813" w:type="dxa"/>
          </w:tcPr>
          <w:p w14:paraId="2C58D991" w14:textId="77777777" w:rsidR="00C96173" w:rsidRPr="00C96173" w:rsidRDefault="00C96173" w:rsidP="00C96173">
            <w:pPr>
              <w:contextualSpacing/>
              <w:rPr>
                <w:rFonts w:ascii="Arial" w:hAnsi="Arial" w:cs="Arial"/>
                <w:sz w:val="20"/>
                <w:szCs w:val="20"/>
              </w:rPr>
            </w:pPr>
            <w:r w:rsidRPr="00C96173">
              <w:rPr>
                <w:rFonts w:ascii="Arial" w:hAnsi="Arial" w:cs="Arial"/>
                <w:sz w:val="20"/>
                <w:szCs w:val="20"/>
              </w:rPr>
              <w:t>0</w:t>
            </w:r>
          </w:p>
        </w:tc>
        <w:tc>
          <w:tcPr>
            <w:tcW w:w="1813" w:type="dxa"/>
          </w:tcPr>
          <w:p w14:paraId="679F659E" w14:textId="77777777" w:rsidR="00C96173" w:rsidRPr="00C96173" w:rsidRDefault="00C96173" w:rsidP="00C96173">
            <w:pPr>
              <w:contextualSpacing/>
              <w:rPr>
                <w:rFonts w:ascii="Arial" w:hAnsi="Arial" w:cs="Arial"/>
                <w:sz w:val="20"/>
                <w:szCs w:val="20"/>
              </w:rPr>
            </w:pPr>
            <w:r w:rsidRPr="00C96173">
              <w:rPr>
                <w:rFonts w:ascii="Arial" w:hAnsi="Arial" w:cs="Arial"/>
                <w:sz w:val="20"/>
                <w:szCs w:val="20"/>
              </w:rPr>
              <w:t>0%</w:t>
            </w:r>
          </w:p>
        </w:tc>
      </w:tr>
    </w:tbl>
    <w:p w14:paraId="630520A2" w14:textId="77777777" w:rsidR="00C96173" w:rsidRPr="00C96173" w:rsidRDefault="00C96173" w:rsidP="00C96173">
      <w:pPr>
        <w:spacing w:after="0" w:line="240" w:lineRule="auto"/>
        <w:contextualSpacing/>
        <w:jc w:val="both"/>
        <w:rPr>
          <w:rFonts w:ascii="Arial" w:eastAsia="Calibri" w:hAnsi="Arial" w:cs="Arial"/>
          <w:b/>
          <w:sz w:val="12"/>
          <w:szCs w:val="12"/>
          <w:lang w:val="fr-FR"/>
        </w:rPr>
      </w:pPr>
    </w:p>
    <w:p w14:paraId="56C1D046" w14:textId="77777777" w:rsidR="00C96173" w:rsidRPr="00C96173" w:rsidRDefault="00C96173" w:rsidP="00C96173">
      <w:pPr>
        <w:spacing w:after="0" w:line="240" w:lineRule="auto"/>
        <w:contextualSpacing/>
        <w:jc w:val="center"/>
        <w:rPr>
          <w:rFonts w:ascii="Arial" w:eastAsia="Calibri" w:hAnsi="Arial" w:cs="Arial"/>
          <w:sz w:val="20"/>
          <w:szCs w:val="20"/>
          <w:lang w:val="fr-FR" w:eastAsia="fr-FR"/>
        </w:rPr>
      </w:pPr>
      <w:r w:rsidRPr="00C96173">
        <w:rPr>
          <w:rFonts w:ascii="Calibri" w:eastAsia="Calibri" w:hAnsi="Calibri" w:cs="Times New Roman"/>
          <w:noProof/>
          <w:kern w:val="2"/>
          <w:sz w:val="24"/>
          <w:szCs w:val="24"/>
        </w:rPr>
        <w:drawing>
          <wp:inline distT="0" distB="0" distL="0" distR="0" wp14:anchorId="0F050C8E" wp14:editId="6744EAC4">
            <wp:extent cx="3767328" cy="2080081"/>
            <wp:effectExtent l="0" t="0" r="0" b="0"/>
            <wp:docPr id="1042716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716102" name=""/>
                    <pic:cNvPicPr/>
                  </pic:nvPicPr>
                  <pic:blipFill>
                    <a:blip r:embed="rId11"/>
                    <a:stretch>
                      <a:fillRect/>
                    </a:stretch>
                  </pic:blipFill>
                  <pic:spPr>
                    <a:xfrm>
                      <a:off x="0" y="0"/>
                      <a:ext cx="3805461" cy="2101136"/>
                    </a:xfrm>
                    <a:prstGeom prst="rect">
                      <a:avLst/>
                    </a:prstGeom>
                  </pic:spPr>
                </pic:pic>
              </a:graphicData>
            </a:graphic>
          </wp:inline>
        </w:drawing>
      </w:r>
    </w:p>
    <w:p w14:paraId="645FFD12" w14:textId="77777777" w:rsidR="00C96173" w:rsidRPr="00C96173" w:rsidRDefault="00C96173" w:rsidP="00C96173">
      <w:pPr>
        <w:spacing w:after="0" w:line="240" w:lineRule="auto"/>
        <w:contextualSpacing/>
        <w:jc w:val="both"/>
        <w:rPr>
          <w:rFonts w:ascii="Arial" w:eastAsia="Calibri" w:hAnsi="Arial" w:cs="Arial"/>
          <w:sz w:val="12"/>
          <w:szCs w:val="12"/>
          <w:lang w:val="fr-FR" w:eastAsia="fr-FR"/>
        </w:rPr>
      </w:pPr>
    </w:p>
    <w:p w14:paraId="517C8E1B" w14:textId="77777777" w:rsidR="00C96173" w:rsidRPr="00C96173" w:rsidRDefault="00C96173" w:rsidP="00C96173">
      <w:pPr>
        <w:spacing w:after="0" w:line="240" w:lineRule="auto"/>
        <w:contextualSpacing/>
        <w:jc w:val="center"/>
        <w:rPr>
          <w:rFonts w:ascii="Arial" w:eastAsia="Calibri" w:hAnsi="Arial" w:cs="Arial"/>
          <w:b/>
          <w:bCs/>
          <w:sz w:val="20"/>
          <w:szCs w:val="20"/>
          <w:lang w:val="fr-FR"/>
        </w:rPr>
      </w:pPr>
      <w:r w:rsidRPr="00C96173">
        <w:rPr>
          <w:rFonts w:ascii="Arial" w:eastAsia="Calibri" w:hAnsi="Arial" w:cs="Arial"/>
          <w:b/>
          <w:bCs/>
          <w:sz w:val="20"/>
          <w:szCs w:val="20"/>
          <w:lang w:val="fr-FR"/>
        </w:rPr>
        <w:t>Fig. 1. Evolution of weight gain in treated chickens</w:t>
      </w:r>
    </w:p>
    <w:p w14:paraId="3264713C" w14:textId="77777777" w:rsidR="00C96173" w:rsidRPr="00C96173" w:rsidRDefault="00C96173" w:rsidP="00C96173">
      <w:pPr>
        <w:spacing w:after="0" w:line="240" w:lineRule="auto"/>
        <w:contextualSpacing/>
        <w:jc w:val="both"/>
        <w:rPr>
          <w:rFonts w:ascii="Arial" w:eastAsia="Calibri" w:hAnsi="Arial" w:cs="Arial"/>
          <w:sz w:val="12"/>
          <w:szCs w:val="12"/>
          <w:lang w:val="fr-FR"/>
        </w:rPr>
      </w:pPr>
    </w:p>
    <w:p w14:paraId="5258D2F4" w14:textId="77777777" w:rsidR="00C96173" w:rsidRPr="00C96173" w:rsidRDefault="00C96173" w:rsidP="00C96173">
      <w:pPr>
        <w:tabs>
          <w:tab w:val="left" w:pos="1680"/>
        </w:tabs>
        <w:spacing w:after="0" w:line="240" w:lineRule="auto"/>
        <w:contextualSpacing/>
        <w:jc w:val="center"/>
        <w:rPr>
          <w:rFonts w:ascii="Arial" w:eastAsia="Calibri" w:hAnsi="Arial" w:cs="Arial"/>
          <w:sz w:val="20"/>
          <w:szCs w:val="20"/>
          <w:lang w:val="fr-FR"/>
        </w:rPr>
      </w:pPr>
      <w:r w:rsidRPr="00C96173">
        <w:rPr>
          <w:rFonts w:ascii="Calibri" w:eastAsia="Calibri" w:hAnsi="Calibri" w:cs="Times New Roman"/>
          <w:noProof/>
          <w:kern w:val="2"/>
          <w:sz w:val="24"/>
          <w:szCs w:val="24"/>
        </w:rPr>
        <w:lastRenderedPageBreak/>
        <w:drawing>
          <wp:inline distT="0" distB="0" distL="0" distR="0" wp14:anchorId="7CCD67C6" wp14:editId="6D45A071">
            <wp:extent cx="4075718" cy="2099463"/>
            <wp:effectExtent l="0" t="0" r="0" b="0"/>
            <wp:docPr id="1026272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272566" name=""/>
                    <pic:cNvPicPr/>
                  </pic:nvPicPr>
                  <pic:blipFill>
                    <a:blip r:embed="rId12"/>
                    <a:stretch>
                      <a:fillRect/>
                    </a:stretch>
                  </pic:blipFill>
                  <pic:spPr>
                    <a:xfrm>
                      <a:off x="0" y="0"/>
                      <a:ext cx="4132890" cy="2128913"/>
                    </a:xfrm>
                    <a:prstGeom prst="rect">
                      <a:avLst/>
                    </a:prstGeom>
                  </pic:spPr>
                </pic:pic>
              </a:graphicData>
            </a:graphic>
          </wp:inline>
        </w:drawing>
      </w:r>
    </w:p>
    <w:p w14:paraId="34A1B169" w14:textId="77777777" w:rsidR="00C96173" w:rsidRPr="00C96173" w:rsidRDefault="00C96173" w:rsidP="00C96173">
      <w:pPr>
        <w:spacing w:after="0" w:line="240" w:lineRule="auto"/>
        <w:contextualSpacing/>
        <w:jc w:val="center"/>
        <w:rPr>
          <w:rFonts w:ascii="Arial" w:eastAsia="Calibri" w:hAnsi="Arial" w:cs="Arial"/>
          <w:sz w:val="12"/>
          <w:szCs w:val="12"/>
          <w:lang w:val="fr-FR"/>
        </w:rPr>
      </w:pPr>
    </w:p>
    <w:p w14:paraId="3A1FC9A9" w14:textId="77777777" w:rsidR="00C96173" w:rsidRPr="00C96173" w:rsidRDefault="00C96173" w:rsidP="00C96173">
      <w:pPr>
        <w:spacing w:after="0" w:line="240" w:lineRule="auto"/>
        <w:contextualSpacing/>
        <w:jc w:val="center"/>
        <w:rPr>
          <w:rFonts w:ascii="Arial" w:eastAsia="Calibri" w:hAnsi="Arial" w:cs="Arial"/>
          <w:b/>
          <w:bCs/>
          <w:i/>
          <w:iCs/>
          <w:sz w:val="20"/>
          <w:szCs w:val="20"/>
          <w:lang w:val="fr-FR"/>
        </w:rPr>
      </w:pPr>
      <w:bookmarkStart w:id="1" w:name="_Toc119525024"/>
      <w:r w:rsidRPr="00C96173">
        <w:rPr>
          <w:rFonts w:ascii="Arial" w:eastAsia="Calibri" w:hAnsi="Arial" w:cs="Arial"/>
          <w:b/>
          <w:bCs/>
          <w:sz w:val="20"/>
          <w:szCs w:val="20"/>
          <w:lang w:val="fr-FR"/>
        </w:rPr>
        <w:t xml:space="preserve">Fig. 2. </w:t>
      </w:r>
      <w:bookmarkEnd w:id="1"/>
      <w:r w:rsidRPr="00C96173">
        <w:rPr>
          <w:rFonts w:ascii="Arial" w:eastAsia="Times New Roman" w:hAnsi="Arial" w:cs="Arial"/>
          <w:b/>
          <w:bCs/>
          <w:sz w:val="20"/>
          <w:szCs w:val="20"/>
          <w:lang w:val="fr-FR" w:eastAsia="fr-FR"/>
        </w:rPr>
        <w:t>Change in feed conversion rate for treated chickens</w:t>
      </w:r>
    </w:p>
    <w:p w14:paraId="59EF4010" w14:textId="77777777" w:rsidR="00106CE1" w:rsidRDefault="00106CE1" w:rsidP="00C96173">
      <w:pPr>
        <w:spacing w:after="0" w:line="240" w:lineRule="auto"/>
        <w:contextualSpacing/>
        <w:jc w:val="both"/>
        <w:rPr>
          <w:rFonts w:ascii="Arial" w:eastAsia="Calibri" w:hAnsi="Arial" w:cs="Arial"/>
          <w:sz w:val="20"/>
          <w:szCs w:val="20"/>
          <w:highlight w:val="yellow"/>
          <w:lang w:val="fr-FR"/>
        </w:rPr>
        <w:sectPr w:rsidR="00106CE1" w:rsidSect="00106CE1">
          <w:type w:val="continuous"/>
          <w:pgSz w:w="11909" w:h="16834" w:code="9"/>
          <w:pgMar w:top="1440" w:right="1440" w:bottom="1440" w:left="1440" w:header="720" w:footer="864" w:gutter="0"/>
          <w:pgNumType w:start="1"/>
          <w:cols w:space="720"/>
          <w:titlePg/>
          <w:docGrid w:linePitch="360"/>
        </w:sectPr>
      </w:pPr>
    </w:p>
    <w:p w14:paraId="307E01B1" w14:textId="77777777" w:rsidR="00C96173" w:rsidRPr="00C96173" w:rsidRDefault="00C96173" w:rsidP="00C96173">
      <w:pPr>
        <w:spacing w:after="0" w:line="240" w:lineRule="auto"/>
        <w:contextualSpacing/>
        <w:jc w:val="both"/>
        <w:rPr>
          <w:rFonts w:ascii="Arial" w:eastAsia="Calibri" w:hAnsi="Arial" w:cs="Arial"/>
          <w:sz w:val="20"/>
          <w:szCs w:val="20"/>
          <w:lang w:val="fr-FR"/>
        </w:rPr>
      </w:pPr>
      <w:r w:rsidRPr="00C96173">
        <w:rPr>
          <w:rFonts w:ascii="Arial" w:eastAsia="Calibri" w:hAnsi="Arial" w:cs="Arial"/>
          <w:sz w:val="20"/>
          <w:szCs w:val="20"/>
          <w:highlight w:val="yellow"/>
          <w:lang w:val="fr-FR"/>
        </w:rPr>
        <w:t>(n=17)</w:t>
      </w:r>
    </w:p>
    <w:p w14:paraId="25D68796" w14:textId="60A64046" w:rsidR="00C96173" w:rsidRPr="00C96173" w:rsidRDefault="00427A0A" w:rsidP="00C96173">
      <w:pPr>
        <w:spacing w:after="0" w:line="240" w:lineRule="auto"/>
        <w:contextualSpacing/>
        <w:jc w:val="both"/>
        <w:rPr>
          <w:rFonts w:ascii="Arial" w:eastAsia="Calibri" w:hAnsi="Arial" w:cs="Arial"/>
          <w:b/>
          <w:sz w:val="20"/>
          <w:szCs w:val="20"/>
          <w:lang w:val="fr-FR"/>
        </w:rPr>
      </w:pPr>
      <w:r>
        <w:rPr>
          <w:rFonts w:ascii="Arial" w:eastAsia="Calibri" w:hAnsi="Arial" w:cs="Arial"/>
          <w:b/>
          <w:sz w:val="20"/>
          <w:szCs w:val="20"/>
          <w:lang w:val="fr-FR"/>
        </w:rPr>
        <w:t>3</w:t>
      </w:r>
      <w:r w:rsidR="00C96173" w:rsidRPr="00C96173">
        <w:rPr>
          <w:rFonts w:ascii="Arial" w:eastAsia="Calibri" w:hAnsi="Arial" w:cs="Arial"/>
          <w:b/>
          <w:sz w:val="20"/>
          <w:szCs w:val="20"/>
          <w:lang w:val="fr-FR"/>
        </w:rPr>
        <w:t>.3.3 Mortality rate</w:t>
      </w:r>
    </w:p>
    <w:p w14:paraId="321C3BF7" w14:textId="77777777" w:rsidR="00C96173" w:rsidRPr="00C96173" w:rsidRDefault="00C96173" w:rsidP="00C96173">
      <w:pPr>
        <w:spacing w:after="0" w:line="240" w:lineRule="auto"/>
        <w:contextualSpacing/>
        <w:jc w:val="both"/>
        <w:rPr>
          <w:rFonts w:ascii="Arial" w:eastAsia="Times New Roman" w:hAnsi="Arial" w:cs="Arial"/>
          <w:sz w:val="20"/>
          <w:szCs w:val="20"/>
          <w:lang w:val="fr-FR" w:eastAsia="fr-FR"/>
        </w:rPr>
      </w:pPr>
    </w:p>
    <w:p w14:paraId="00354E99" w14:textId="77777777" w:rsidR="00C96173" w:rsidRPr="00C96173" w:rsidRDefault="00C96173" w:rsidP="00C96173">
      <w:pPr>
        <w:spacing w:after="0" w:line="240" w:lineRule="auto"/>
        <w:contextualSpacing/>
        <w:jc w:val="both"/>
        <w:rPr>
          <w:rFonts w:ascii="Arial" w:eastAsia="Times New Roman" w:hAnsi="Arial" w:cs="Arial"/>
          <w:sz w:val="20"/>
          <w:szCs w:val="20"/>
          <w:lang w:val="fr-FR" w:eastAsia="fr-FR"/>
        </w:rPr>
      </w:pPr>
      <w:r w:rsidRPr="00C96173">
        <w:rPr>
          <w:rFonts w:ascii="Arial" w:eastAsia="Times New Roman" w:hAnsi="Arial" w:cs="Arial"/>
          <w:sz w:val="20"/>
          <w:szCs w:val="20"/>
          <w:lang w:val="fr-FR" w:eastAsia="fr-FR"/>
        </w:rPr>
        <w:t>During the rearing period, no mortality was observed in any of the three experimental batches. The overall mortality rate throughout the experiment was 0%.</w:t>
      </w:r>
    </w:p>
    <w:p w14:paraId="1814EB39" w14:textId="77777777" w:rsidR="00C96173" w:rsidRPr="00C96173" w:rsidRDefault="00C96173" w:rsidP="00C96173">
      <w:pPr>
        <w:spacing w:after="0" w:line="240" w:lineRule="auto"/>
        <w:contextualSpacing/>
        <w:jc w:val="both"/>
        <w:rPr>
          <w:rFonts w:ascii="Arial" w:eastAsia="Times New Roman" w:hAnsi="Arial" w:cs="Arial"/>
          <w:sz w:val="20"/>
          <w:szCs w:val="20"/>
          <w:lang w:val="fr-FR" w:eastAsia="fr-FR"/>
        </w:rPr>
      </w:pPr>
    </w:p>
    <w:p w14:paraId="7590A08E" w14:textId="5E921484" w:rsidR="00C96173" w:rsidRPr="00C96173" w:rsidRDefault="00427A0A" w:rsidP="00C96173">
      <w:pPr>
        <w:spacing w:after="0" w:line="240" w:lineRule="auto"/>
        <w:contextualSpacing/>
        <w:jc w:val="both"/>
        <w:rPr>
          <w:rFonts w:ascii="Arial" w:eastAsia="Times New Roman" w:hAnsi="Arial" w:cs="Arial"/>
          <w:b/>
          <w:bCs/>
          <w:sz w:val="20"/>
          <w:szCs w:val="20"/>
          <w:lang w:val="fr-FR" w:eastAsia="fr-FR"/>
        </w:rPr>
      </w:pPr>
      <w:r>
        <w:rPr>
          <w:rFonts w:ascii="Arial" w:eastAsia="Times New Roman" w:hAnsi="Arial" w:cs="Arial"/>
          <w:b/>
          <w:bCs/>
          <w:sz w:val="20"/>
          <w:szCs w:val="20"/>
          <w:lang w:val="fr-FR" w:eastAsia="fr-FR"/>
        </w:rPr>
        <w:t>3</w:t>
      </w:r>
      <w:r w:rsidR="00C96173" w:rsidRPr="00C96173">
        <w:rPr>
          <w:rFonts w:ascii="Arial" w:eastAsia="Times New Roman" w:hAnsi="Arial" w:cs="Arial"/>
          <w:b/>
          <w:bCs/>
          <w:sz w:val="20"/>
          <w:szCs w:val="20"/>
          <w:lang w:val="fr-FR" w:eastAsia="fr-FR"/>
        </w:rPr>
        <w:t>.3.4 Oocyst excretion</w:t>
      </w:r>
    </w:p>
    <w:p w14:paraId="486C4E4B" w14:textId="77777777" w:rsidR="00C96173" w:rsidRPr="00C96173" w:rsidRDefault="00C96173" w:rsidP="00C96173">
      <w:pPr>
        <w:spacing w:after="0" w:line="240" w:lineRule="auto"/>
        <w:contextualSpacing/>
        <w:jc w:val="both"/>
        <w:rPr>
          <w:rFonts w:ascii="Arial" w:eastAsia="Calibri" w:hAnsi="Arial" w:cs="Arial"/>
          <w:b/>
          <w:sz w:val="20"/>
          <w:szCs w:val="20"/>
          <w:lang w:val="fr-FR"/>
        </w:rPr>
      </w:pPr>
    </w:p>
    <w:p w14:paraId="7E047613" w14:textId="27CF2710" w:rsidR="00C96173" w:rsidRPr="00C96173" w:rsidRDefault="00427A0A" w:rsidP="00427A0A">
      <w:pPr>
        <w:spacing w:after="0" w:line="240" w:lineRule="auto"/>
        <w:ind w:left="540" w:hanging="540"/>
        <w:contextualSpacing/>
        <w:jc w:val="both"/>
        <w:rPr>
          <w:rFonts w:ascii="Arial" w:eastAsia="Calibri" w:hAnsi="Arial" w:cs="Arial"/>
          <w:bCs/>
          <w:i/>
          <w:iCs/>
          <w:sz w:val="20"/>
          <w:szCs w:val="20"/>
          <w:lang w:val="fr-FR"/>
        </w:rPr>
      </w:pPr>
      <w:r w:rsidRPr="00427A0A">
        <w:rPr>
          <w:rFonts w:ascii="Arial" w:eastAsia="Calibri" w:hAnsi="Arial" w:cs="Arial"/>
          <w:bCs/>
          <w:i/>
          <w:iCs/>
          <w:sz w:val="20"/>
          <w:szCs w:val="20"/>
          <w:lang w:val="fr-FR"/>
        </w:rPr>
        <w:t>3.3.4.1</w:t>
      </w:r>
      <w:r>
        <w:rPr>
          <w:rFonts w:ascii="Arial" w:eastAsia="Calibri" w:hAnsi="Arial" w:cs="Arial"/>
          <w:bCs/>
          <w:i/>
          <w:iCs/>
          <w:sz w:val="20"/>
          <w:szCs w:val="20"/>
          <w:lang w:val="fr-FR"/>
        </w:rPr>
        <w:tab/>
      </w:r>
      <w:r w:rsidR="00C96173" w:rsidRPr="00C96173">
        <w:rPr>
          <w:rFonts w:ascii="Arial" w:eastAsia="Calibri" w:hAnsi="Arial" w:cs="Arial"/>
          <w:bCs/>
          <w:i/>
          <w:iCs/>
          <w:sz w:val="20"/>
          <w:szCs w:val="20"/>
          <w:lang w:val="fr-FR"/>
        </w:rPr>
        <w:t>Analysis before artificial infestation and treatment</w:t>
      </w:r>
    </w:p>
    <w:p w14:paraId="0C32A726" w14:textId="77777777" w:rsidR="00C96173" w:rsidRPr="00C96173" w:rsidRDefault="00C96173" w:rsidP="00C96173">
      <w:pPr>
        <w:spacing w:after="0" w:line="240" w:lineRule="auto"/>
        <w:contextualSpacing/>
        <w:jc w:val="both"/>
        <w:rPr>
          <w:rFonts w:ascii="Arial" w:eastAsia="Times New Roman" w:hAnsi="Arial" w:cs="Arial"/>
          <w:sz w:val="20"/>
          <w:szCs w:val="20"/>
          <w:lang w:val="fr-FR" w:eastAsia="fr-FR"/>
        </w:rPr>
      </w:pPr>
    </w:p>
    <w:p w14:paraId="0E43142E" w14:textId="264F1C48" w:rsidR="00C96173" w:rsidRPr="00C96173" w:rsidRDefault="00C96173" w:rsidP="00C96173">
      <w:pPr>
        <w:spacing w:after="0" w:line="240" w:lineRule="auto"/>
        <w:contextualSpacing/>
        <w:jc w:val="both"/>
        <w:rPr>
          <w:rFonts w:ascii="Arial" w:eastAsia="Times New Roman" w:hAnsi="Arial" w:cs="Arial"/>
          <w:sz w:val="20"/>
          <w:szCs w:val="20"/>
          <w:lang w:val="fr-FR" w:eastAsia="fr-FR"/>
        </w:rPr>
      </w:pPr>
      <w:r w:rsidRPr="00C96173">
        <w:rPr>
          <w:rFonts w:ascii="Arial" w:eastAsia="Times New Roman" w:hAnsi="Arial" w:cs="Arial"/>
          <w:sz w:val="20"/>
          <w:szCs w:val="20"/>
          <w:lang w:val="fr-FR" w:eastAsia="fr-FR"/>
        </w:rPr>
        <w:t>From day 1 to day 7 of rearing, coprological analysis of the droppings revealed no presence of coccidia in either the treated groups or the control group. However, starting from the second week, low levels of coccidia were detected in all batches. Specifically, in the groups treated with AEAC at 5 g/L and 10 g/L, the oocysts per gram (OPG) were 50 and 7,250 respectively, while the control group showed 650 OPG. (</w:t>
      </w:r>
      <w:r w:rsidR="00106CE1" w:rsidRPr="00C96173">
        <w:rPr>
          <w:rFonts w:ascii="Arial" w:eastAsia="Times New Roman" w:hAnsi="Arial" w:cs="Arial"/>
          <w:sz w:val="20"/>
          <w:szCs w:val="20"/>
          <w:lang w:val="fr-FR" w:eastAsia="fr-FR"/>
        </w:rPr>
        <w:t>Fig</w:t>
      </w:r>
      <w:r w:rsidR="00106CE1">
        <w:rPr>
          <w:rFonts w:ascii="Arial" w:eastAsia="Times New Roman" w:hAnsi="Arial" w:cs="Arial"/>
          <w:sz w:val="20"/>
          <w:szCs w:val="20"/>
          <w:lang w:val="fr-FR" w:eastAsia="fr-FR"/>
        </w:rPr>
        <w:t>.</w:t>
      </w:r>
      <w:r w:rsidR="00106CE1" w:rsidRPr="00C96173">
        <w:rPr>
          <w:rFonts w:ascii="Arial" w:eastAsia="Times New Roman" w:hAnsi="Arial" w:cs="Arial"/>
          <w:sz w:val="20"/>
          <w:szCs w:val="20"/>
          <w:lang w:val="fr-FR" w:eastAsia="fr-FR"/>
        </w:rPr>
        <w:t xml:space="preserve"> </w:t>
      </w:r>
      <w:r w:rsidRPr="00C96173">
        <w:rPr>
          <w:rFonts w:ascii="Arial" w:eastAsia="Times New Roman" w:hAnsi="Arial" w:cs="Arial"/>
          <w:sz w:val="20"/>
          <w:szCs w:val="20"/>
          <w:lang w:val="fr-FR" w:eastAsia="fr-FR"/>
        </w:rPr>
        <w:t>3).</w:t>
      </w:r>
    </w:p>
    <w:p w14:paraId="3E69E51B" w14:textId="77777777" w:rsidR="00C96173" w:rsidRPr="00C96173" w:rsidRDefault="00C96173" w:rsidP="00C96173">
      <w:pPr>
        <w:spacing w:after="0" w:line="240" w:lineRule="auto"/>
        <w:contextualSpacing/>
        <w:jc w:val="both"/>
        <w:rPr>
          <w:rFonts w:ascii="Arial" w:eastAsia="Times New Roman" w:hAnsi="Arial" w:cs="Arial"/>
          <w:sz w:val="20"/>
          <w:szCs w:val="20"/>
          <w:lang w:val="fr-FR" w:eastAsia="fr-FR"/>
        </w:rPr>
      </w:pPr>
    </w:p>
    <w:p w14:paraId="7F86FFB7" w14:textId="68E48467" w:rsidR="00C96173" w:rsidRPr="00C96173" w:rsidRDefault="00427A0A" w:rsidP="00427A0A">
      <w:pPr>
        <w:spacing w:after="0" w:line="240" w:lineRule="auto"/>
        <w:ind w:left="540" w:hanging="540"/>
        <w:contextualSpacing/>
        <w:jc w:val="both"/>
        <w:rPr>
          <w:rFonts w:ascii="Arial" w:eastAsia="Times New Roman" w:hAnsi="Arial" w:cs="Arial"/>
          <w:i/>
          <w:iCs/>
          <w:sz w:val="20"/>
          <w:szCs w:val="20"/>
          <w:lang w:val="fr-FR" w:eastAsia="fr-FR"/>
        </w:rPr>
      </w:pPr>
      <w:r w:rsidRPr="00427A0A">
        <w:rPr>
          <w:rFonts w:ascii="Arial" w:eastAsia="Times New Roman" w:hAnsi="Arial" w:cs="Arial"/>
          <w:i/>
          <w:iCs/>
          <w:sz w:val="20"/>
          <w:szCs w:val="20"/>
          <w:lang w:val="fr-FR" w:eastAsia="fr-FR"/>
        </w:rPr>
        <w:t>3.3.4.2</w:t>
      </w:r>
      <w:r>
        <w:rPr>
          <w:rFonts w:ascii="Arial" w:eastAsia="Times New Roman" w:hAnsi="Arial" w:cs="Arial"/>
          <w:i/>
          <w:iCs/>
          <w:sz w:val="20"/>
          <w:szCs w:val="20"/>
          <w:lang w:val="fr-FR" w:eastAsia="fr-FR"/>
        </w:rPr>
        <w:tab/>
      </w:r>
      <w:r w:rsidR="00C96173" w:rsidRPr="00C96173">
        <w:rPr>
          <w:rFonts w:ascii="Arial" w:eastAsia="Times New Roman" w:hAnsi="Arial" w:cs="Arial"/>
          <w:i/>
          <w:iCs/>
          <w:sz w:val="20"/>
          <w:szCs w:val="20"/>
          <w:lang w:val="fr-FR" w:eastAsia="fr-FR"/>
        </w:rPr>
        <w:t>Analysis after artificial infestation and treatment</w:t>
      </w:r>
    </w:p>
    <w:p w14:paraId="790D178C" w14:textId="77777777" w:rsidR="00C96173" w:rsidRPr="00C96173" w:rsidRDefault="00C96173" w:rsidP="00C96173">
      <w:pPr>
        <w:spacing w:after="0" w:line="240" w:lineRule="auto"/>
        <w:contextualSpacing/>
        <w:jc w:val="both"/>
        <w:rPr>
          <w:rFonts w:ascii="Arial" w:eastAsia="Times New Roman" w:hAnsi="Arial" w:cs="Arial"/>
          <w:sz w:val="20"/>
          <w:szCs w:val="20"/>
          <w:lang w:val="fr-FR" w:eastAsia="fr-FR"/>
        </w:rPr>
      </w:pPr>
    </w:p>
    <w:p w14:paraId="064D50AC" w14:textId="77777777" w:rsidR="00C96173" w:rsidRPr="00C96173" w:rsidRDefault="00C96173" w:rsidP="00C96173">
      <w:pPr>
        <w:spacing w:after="0" w:line="240" w:lineRule="auto"/>
        <w:contextualSpacing/>
        <w:jc w:val="both"/>
        <w:rPr>
          <w:rFonts w:ascii="Arial" w:eastAsia="Times New Roman" w:hAnsi="Arial" w:cs="Arial"/>
          <w:sz w:val="20"/>
          <w:szCs w:val="20"/>
          <w:lang w:val="fr-FR" w:eastAsia="fr-FR"/>
        </w:rPr>
      </w:pPr>
      <w:r w:rsidRPr="00C96173">
        <w:rPr>
          <w:rFonts w:ascii="Arial" w:eastAsia="Times New Roman" w:hAnsi="Arial" w:cs="Arial"/>
          <w:sz w:val="20"/>
          <w:szCs w:val="20"/>
          <w:lang w:val="fr-FR" w:eastAsia="fr-FR"/>
        </w:rPr>
        <w:t>Five days after infestation, coprological analysis revealed a high presence of coccidia in the droppings of all three batches. The control batch showed 86,350 oocysts per gram (OPG), while the batch treated with 10 g/L AEAC had a lower count of 21,400 OPG. The batch treated with 5 g/L AEAC had a higher count of 102,300 OPG.</w:t>
      </w:r>
    </w:p>
    <w:p w14:paraId="633C072D" w14:textId="53FDEFBC" w:rsidR="00C96173" w:rsidRPr="00C96173" w:rsidRDefault="00C96173" w:rsidP="00C96173">
      <w:pPr>
        <w:spacing w:after="0" w:line="240" w:lineRule="auto"/>
        <w:contextualSpacing/>
        <w:jc w:val="both"/>
        <w:rPr>
          <w:rFonts w:ascii="Arial" w:eastAsia="Times New Roman" w:hAnsi="Arial" w:cs="Arial"/>
          <w:sz w:val="20"/>
          <w:szCs w:val="20"/>
          <w:lang w:val="fr-FR" w:eastAsia="fr-FR"/>
        </w:rPr>
      </w:pPr>
      <w:r w:rsidRPr="00C96173">
        <w:rPr>
          <w:rFonts w:ascii="Arial" w:eastAsia="Times New Roman" w:hAnsi="Arial" w:cs="Arial"/>
          <w:sz w:val="20"/>
          <w:szCs w:val="20"/>
          <w:lang w:val="fr-FR" w:eastAsia="fr-FR"/>
        </w:rPr>
        <w:t>By day 26, four days after treatment, a marked decrease in coccidia oocysts was observed in all batches. In the control batch and the batch treated with 5 g/L AEAC, OPG dropped from 86,350 to 1,600 and from 102,300 to 1,800 respectively. However, in the batch treated with 10 g/L AEAC, the decrease was less pronounced, from 21,400 to 13,900 OPG. At the end of the seven-day treatment period, infestation levels were low in all batches. Microscopic examination showed OPG values of 200 in the control batch, 4,200 in the 5 g/L AEAC batch, and 3,500 in the 10 g/L AEAC batch (Fig</w:t>
      </w:r>
      <w:r w:rsidR="00106CE1">
        <w:rPr>
          <w:rFonts w:ascii="Arial" w:eastAsia="Times New Roman" w:hAnsi="Arial" w:cs="Arial"/>
          <w:sz w:val="20"/>
          <w:szCs w:val="20"/>
          <w:lang w:val="fr-FR" w:eastAsia="fr-FR"/>
        </w:rPr>
        <w:t>.</w:t>
      </w:r>
      <w:r w:rsidRPr="00C96173">
        <w:rPr>
          <w:rFonts w:ascii="Arial" w:eastAsia="Times New Roman" w:hAnsi="Arial" w:cs="Arial"/>
          <w:sz w:val="20"/>
          <w:szCs w:val="20"/>
          <w:lang w:val="fr-FR" w:eastAsia="fr-FR"/>
        </w:rPr>
        <w:t xml:space="preserve"> 4).</w:t>
      </w:r>
    </w:p>
    <w:p w14:paraId="10EC4535" w14:textId="77777777" w:rsidR="00C96173" w:rsidRPr="00C96173" w:rsidRDefault="00C96173" w:rsidP="00C96173">
      <w:pPr>
        <w:spacing w:after="0" w:line="240" w:lineRule="auto"/>
        <w:contextualSpacing/>
        <w:jc w:val="both"/>
        <w:rPr>
          <w:rFonts w:ascii="Arial" w:eastAsia="Calibri" w:hAnsi="Arial" w:cs="Arial"/>
          <w:b/>
          <w:sz w:val="20"/>
          <w:szCs w:val="20"/>
          <w:lang w:val="fr-FR"/>
        </w:rPr>
      </w:pPr>
    </w:p>
    <w:p w14:paraId="5327BF65" w14:textId="7F6799B0" w:rsidR="00C96173" w:rsidRPr="00C96173" w:rsidRDefault="00427A0A" w:rsidP="00C96173">
      <w:pPr>
        <w:spacing w:after="0" w:line="240" w:lineRule="auto"/>
        <w:contextualSpacing/>
        <w:jc w:val="both"/>
        <w:rPr>
          <w:rFonts w:ascii="Arial" w:eastAsia="Calibri" w:hAnsi="Arial" w:cs="Arial"/>
          <w:b/>
          <w:sz w:val="20"/>
          <w:szCs w:val="20"/>
          <w:lang w:val="fr-FR"/>
        </w:rPr>
      </w:pPr>
      <w:r>
        <w:rPr>
          <w:rFonts w:ascii="Arial" w:eastAsia="Calibri" w:hAnsi="Arial" w:cs="Arial"/>
          <w:b/>
          <w:sz w:val="20"/>
          <w:szCs w:val="20"/>
          <w:lang w:val="fr-FR"/>
        </w:rPr>
        <w:t>3</w:t>
      </w:r>
      <w:r w:rsidR="00C96173" w:rsidRPr="00C96173">
        <w:rPr>
          <w:rFonts w:ascii="Arial" w:eastAsia="Calibri" w:hAnsi="Arial" w:cs="Arial"/>
          <w:b/>
          <w:sz w:val="20"/>
          <w:szCs w:val="20"/>
          <w:lang w:val="fr-FR"/>
        </w:rPr>
        <w:t>.3.5 Clinical index</w:t>
      </w:r>
    </w:p>
    <w:p w14:paraId="36E667EC" w14:textId="77777777" w:rsidR="00C96173" w:rsidRPr="00C96173" w:rsidRDefault="00C96173" w:rsidP="00C96173">
      <w:pPr>
        <w:spacing w:after="0" w:line="240" w:lineRule="auto"/>
        <w:contextualSpacing/>
        <w:jc w:val="both"/>
        <w:rPr>
          <w:rFonts w:ascii="Arial" w:eastAsia="Times New Roman" w:hAnsi="Arial" w:cs="Arial"/>
          <w:sz w:val="20"/>
          <w:szCs w:val="20"/>
          <w:lang w:val="fr-FR" w:eastAsia="fr-FR"/>
        </w:rPr>
      </w:pPr>
    </w:p>
    <w:p w14:paraId="402DA798" w14:textId="77777777" w:rsidR="00C96173" w:rsidRDefault="00C96173" w:rsidP="00C96173">
      <w:pPr>
        <w:spacing w:after="0" w:line="240" w:lineRule="auto"/>
        <w:contextualSpacing/>
        <w:jc w:val="both"/>
        <w:rPr>
          <w:rFonts w:ascii="Arial" w:eastAsia="Times New Roman" w:hAnsi="Arial" w:cs="Arial"/>
          <w:sz w:val="20"/>
          <w:szCs w:val="20"/>
          <w:lang w:val="fr-FR" w:eastAsia="fr-FR"/>
        </w:rPr>
      </w:pPr>
      <w:r w:rsidRPr="00C96173">
        <w:rPr>
          <w:rFonts w:ascii="Arial" w:eastAsia="Times New Roman" w:hAnsi="Arial" w:cs="Arial"/>
          <w:sz w:val="20"/>
          <w:szCs w:val="20"/>
          <w:lang w:val="fr-FR" w:eastAsia="fr-FR"/>
        </w:rPr>
        <w:t>Chickens from the three infected batches exhibited clinical signs characteristic of coccidiosis, including prostration with a hunched posture, drooping wings, and ruffled feathers. Their droppings varied considerably, ranging from normal to visibly bloody.</w:t>
      </w:r>
    </w:p>
    <w:p w14:paraId="18C4FD57" w14:textId="77777777" w:rsidR="00106CE1" w:rsidRDefault="00106CE1" w:rsidP="00C96173">
      <w:pPr>
        <w:spacing w:after="0" w:line="240" w:lineRule="auto"/>
        <w:contextualSpacing/>
        <w:jc w:val="both"/>
        <w:rPr>
          <w:rFonts w:ascii="Arial" w:eastAsia="Times New Roman" w:hAnsi="Arial" w:cs="Arial"/>
          <w:sz w:val="20"/>
          <w:szCs w:val="20"/>
          <w:lang w:val="fr-FR" w:eastAsia="fr-FR"/>
        </w:rPr>
      </w:pPr>
    </w:p>
    <w:p w14:paraId="2DE21FEB" w14:textId="77777777" w:rsidR="00106CE1" w:rsidRPr="00C96173" w:rsidRDefault="00106CE1" w:rsidP="00106CE1">
      <w:pPr>
        <w:spacing w:after="0" w:line="240" w:lineRule="auto"/>
        <w:contextualSpacing/>
        <w:jc w:val="both"/>
        <w:rPr>
          <w:rFonts w:ascii="Arial" w:eastAsia="Calibri" w:hAnsi="Arial" w:cs="Arial"/>
          <w:sz w:val="20"/>
          <w:szCs w:val="20"/>
          <w:lang w:val="fr-FR"/>
        </w:rPr>
      </w:pPr>
      <w:r>
        <w:rPr>
          <w:rFonts w:ascii="Arial" w:eastAsia="Calibri" w:hAnsi="Arial" w:cs="Arial"/>
          <w:b/>
          <w:bCs/>
          <w:sz w:val="20"/>
          <w:szCs w:val="20"/>
          <w:lang w:val="fr-FR"/>
        </w:rPr>
        <w:t>3</w:t>
      </w:r>
      <w:r w:rsidRPr="00C96173">
        <w:rPr>
          <w:rFonts w:ascii="Arial" w:eastAsia="Calibri" w:hAnsi="Arial" w:cs="Arial"/>
          <w:b/>
          <w:bCs/>
          <w:sz w:val="20"/>
          <w:szCs w:val="20"/>
          <w:lang w:val="fr-FR"/>
        </w:rPr>
        <w:t>.3.6 Lésion</w:t>
      </w:r>
      <w:r w:rsidRPr="00C96173">
        <w:rPr>
          <w:rFonts w:ascii="Arial" w:eastAsia="Calibri" w:hAnsi="Arial" w:cs="Arial"/>
          <w:b/>
          <w:sz w:val="20"/>
          <w:szCs w:val="20"/>
          <w:lang w:val="fr-FR"/>
        </w:rPr>
        <w:t xml:space="preserve"> index</w:t>
      </w:r>
    </w:p>
    <w:p w14:paraId="56EF43A6" w14:textId="77777777" w:rsidR="00106CE1" w:rsidRPr="00C96173" w:rsidRDefault="00106CE1" w:rsidP="00106CE1">
      <w:pPr>
        <w:spacing w:after="0" w:line="240" w:lineRule="auto"/>
        <w:contextualSpacing/>
        <w:jc w:val="both"/>
        <w:rPr>
          <w:rFonts w:ascii="Arial" w:eastAsia="Calibri" w:hAnsi="Arial" w:cs="Arial"/>
          <w:b/>
          <w:sz w:val="20"/>
          <w:szCs w:val="20"/>
          <w:lang w:val="fr-FR"/>
        </w:rPr>
      </w:pPr>
    </w:p>
    <w:p w14:paraId="3E130748" w14:textId="21E2CA10" w:rsidR="00106CE1" w:rsidRPr="00C96173" w:rsidRDefault="00106CE1" w:rsidP="00C96173">
      <w:pPr>
        <w:spacing w:after="0" w:line="240" w:lineRule="auto"/>
        <w:contextualSpacing/>
        <w:jc w:val="both"/>
        <w:rPr>
          <w:rFonts w:ascii="Arial" w:eastAsia="Calibri" w:hAnsi="Arial" w:cs="Arial"/>
          <w:sz w:val="20"/>
          <w:szCs w:val="20"/>
          <w:lang w:val="fr-FR"/>
        </w:rPr>
      </w:pPr>
      <w:r w:rsidRPr="00C96173">
        <w:rPr>
          <w:rFonts w:ascii="Arial" w:eastAsia="Calibri" w:hAnsi="Arial" w:cs="Arial"/>
          <w:sz w:val="20"/>
          <w:szCs w:val="20"/>
          <w:lang w:val="fr-FR"/>
        </w:rPr>
        <w:t xml:space="preserve">At necropsy after the treatment period, </w:t>
      </w:r>
      <w:r>
        <w:rPr>
          <w:rFonts w:ascii="Arial" w:eastAsia="Calibri" w:hAnsi="Arial" w:cs="Arial"/>
          <w:sz w:val="20"/>
          <w:szCs w:val="20"/>
          <w:lang w:val="fr-FR"/>
        </w:rPr>
        <w:t xml:space="preserve">        </w:t>
      </w:r>
      <w:r w:rsidRPr="00C96173">
        <w:rPr>
          <w:rFonts w:ascii="Arial" w:eastAsia="Calibri" w:hAnsi="Arial" w:cs="Arial"/>
          <w:sz w:val="20"/>
          <w:szCs w:val="20"/>
          <w:lang w:val="fr-FR"/>
        </w:rPr>
        <w:t xml:space="preserve">intestinal and duodenal lesions as well </w:t>
      </w:r>
      <w:r>
        <w:rPr>
          <w:rFonts w:ascii="Arial" w:eastAsia="Calibri" w:hAnsi="Arial" w:cs="Arial"/>
          <w:sz w:val="20"/>
          <w:szCs w:val="20"/>
          <w:lang w:val="fr-FR"/>
        </w:rPr>
        <w:t xml:space="preserve">              </w:t>
      </w:r>
      <w:r w:rsidRPr="00C96173">
        <w:rPr>
          <w:rFonts w:ascii="Arial" w:eastAsia="Calibri" w:hAnsi="Arial" w:cs="Arial"/>
          <w:sz w:val="20"/>
          <w:szCs w:val="20"/>
          <w:lang w:val="fr-FR"/>
        </w:rPr>
        <w:t xml:space="preserve">as cecal dilatation were observed in the control batch. In contrast, the batches treated with the aqueous extract of </w:t>
      </w:r>
      <w:r w:rsidRPr="00C96173">
        <w:rPr>
          <w:rFonts w:ascii="Arial" w:eastAsia="Calibri" w:hAnsi="Arial" w:cs="Arial"/>
          <w:i/>
          <w:iCs/>
          <w:sz w:val="20"/>
          <w:szCs w:val="20"/>
          <w:lang w:val="fr-FR"/>
        </w:rPr>
        <w:t>Alchornea cordifolia</w:t>
      </w:r>
      <w:r w:rsidRPr="00C96173">
        <w:rPr>
          <w:rFonts w:ascii="Arial" w:eastAsia="Calibri" w:hAnsi="Arial" w:cs="Arial"/>
          <w:sz w:val="20"/>
          <w:szCs w:val="20"/>
          <w:lang w:val="fr-FR"/>
        </w:rPr>
        <w:t xml:space="preserve"> </w:t>
      </w:r>
      <w:r>
        <w:rPr>
          <w:rFonts w:ascii="Arial" w:eastAsia="Calibri" w:hAnsi="Arial" w:cs="Arial"/>
          <w:sz w:val="20"/>
          <w:szCs w:val="20"/>
          <w:lang w:val="fr-FR"/>
        </w:rPr>
        <w:t xml:space="preserve">       </w:t>
      </w:r>
      <w:r w:rsidRPr="00C96173">
        <w:rPr>
          <w:rFonts w:ascii="Arial" w:eastAsia="Calibri" w:hAnsi="Arial" w:cs="Arial"/>
          <w:sz w:val="20"/>
          <w:szCs w:val="20"/>
          <w:lang w:val="fr-FR"/>
        </w:rPr>
        <w:t>showed no intestinal lesions. However, slight duodenal lesions and mild cecal dilatation were noted.</w:t>
      </w:r>
    </w:p>
    <w:p w14:paraId="4A797E01" w14:textId="77777777" w:rsidR="00106CE1" w:rsidRDefault="00106CE1" w:rsidP="00C96173">
      <w:pPr>
        <w:spacing w:after="0" w:line="240" w:lineRule="auto"/>
        <w:contextualSpacing/>
        <w:jc w:val="both"/>
        <w:rPr>
          <w:rFonts w:ascii="Arial" w:eastAsia="Times New Roman" w:hAnsi="Arial" w:cs="Arial"/>
          <w:sz w:val="20"/>
          <w:szCs w:val="20"/>
          <w:lang w:val="fr-FR" w:eastAsia="fr-FR"/>
        </w:rPr>
        <w:sectPr w:rsidR="00106CE1" w:rsidSect="00106CE1">
          <w:type w:val="continuous"/>
          <w:pgSz w:w="11909" w:h="16834" w:code="9"/>
          <w:pgMar w:top="1440" w:right="1440" w:bottom="1440" w:left="1440" w:header="720" w:footer="864" w:gutter="0"/>
          <w:pgNumType w:start="5"/>
          <w:cols w:num="2" w:space="288"/>
          <w:docGrid w:linePitch="360"/>
        </w:sectPr>
      </w:pPr>
    </w:p>
    <w:p w14:paraId="32834A69" w14:textId="77777777" w:rsidR="00C96173" w:rsidRPr="00C96173" w:rsidRDefault="00C96173" w:rsidP="00C96173">
      <w:pPr>
        <w:spacing w:after="0" w:line="240" w:lineRule="auto"/>
        <w:contextualSpacing/>
        <w:jc w:val="both"/>
        <w:rPr>
          <w:rFonts w:ascii="Arial" w:eastAsia="Times New Roman" w:hAnsi="Arial" w:cs="Arial"/>
          <w:sz w:val="20"/>
          <w:szCs w:val="20"/>
          <w:lang w:val="fr-FR" w:eastAsia="fr-FR"/>
        </w:rPr>
      </w:pPr>
    </w:p>
    <w:p w14:paraId="71CA6FF7" w14:textId="77777777" w:rsidR="00C96173" w:rsidRPr="00C96173" w:rsidRDefault="00C96173" w:rsidP="00C96173">
      <w:pPr>
        <w:spacing w:after="0" w:line="240" w:lineRule="auto"/>
        <w:contextualSpacing/>
        <w:jc w:val="center"/>
        <w:rPr>
          <w:rFonts w:ascii="Arial" w:eastAsia="Calibri" w:hAnsi="Arial" w:cs="Arial"/>
          <w:sz w:val="20"/>
          <w:szCs w:val="20"/>
          <w:lang w:val="fr-FR"/>
        </w:rPr>
      </w:pPr>
      <w:r w:rsidRPr="00C96173">
        <w:rPr>
          <w:rFonts w:ascii="Calibri" w:eastAsia="Calibri" w:hAnsi="Calibri" w:cs="Times New Roman"/>
          <w:noProof/>
          <w:kern w:val="2"/>
          <w:sz w:val="24"/>
          <w:szCs w:val="24"/>
        </w:rPr>
        <w:lastRenderedPageBreak/>
        <w:drawing>
          <wp:inline distT="0" distB="0" distL="0" distR="0" wp14:anchorId="4C2E90B8" wp14:editId="77C31538">
            <wp:extent cx="4430137" cy="2648102"/>
            <wp:effectExtent l="0" t="0" r="0" b="0"/>
            <wp:docPr id="1804295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295969" name=""/>
                    <pic:cNvPicPr/>
                  </pic:nvPicPr>
                  <pic:blipFill>
                    <a:blip r:embed="rId13"/>
                    <a:stretch>
                      <a:fillRect/>
                    </a:stretch>
                  </pic:blipFill>
                  <pic:spPr>
                    <a:xfrm>
                      <a:off x="0" y="0"/>
                      <a:ext cx="4449255" cy="2659530"/>
                    </a:xfrm>
                    <a:prstGeom prst="rect">
                      <a:avLst/>
                    </a:prstGeom>
                  </pic:spPr>
                </pic:pic>
              </a:graphicData>
            </a:graphic>
          </wp:inline>
        </w:drawing>
      </w:r>
    </w:p>
    <w:p w14:paraId="7E363E0E" w14:textId="77777777" w:rsidR="00C96173" w:rsidRPr="00C96173" w:rsidRDefault="00C96173" w:rsidP="00C96173">
      <w:pPr>
        <w:spacing w:after="0" w:line="240" w:lineRule="auto"/>
        <w:contextualSpacing/>
        <w:jc w:val="center"/>
        <w:rPr>
          <w:rFonts w:ascii="Arial" w:eastAsia="Calibri" w:hAnsi="Arial" w:cs="Arial"/>
          <w:b/>
          <w:bCs/>
          <w:sz w:val="20"/>
          <w:szCs w:val="20"/>
          <w:lang w:val="fr-FR"/>
        </w:rPr>
      </w:pPr>
      <w:bookmarkStart w:id="2" w:name="_Toc119525025"/>
    </w:p>
    <w:p w14:paraId="01F78B83" w14:textId="77777777" w:rsidR="00C96173" w:rsidRPr="00C96173" w:rsidRDefault="00C96173" w:rsidP="00C96173">
      <w:pPr>
        <w:spacing w:after="0" w:line="240" w:lineRule="auto"/>
        <w:contextualSpacing/>
        <w:jc w:val="center"/>
        <w:rPr>
          <w:rFonts w:ascii="Arial" w:eastAsia="Times New Roman" w:hAnsi="Arial" w:cs="Arial"/>
          <w:b/>
          <w:bCs/>
          <w:sz w:val="20"/>
          <w:szCs w:val="20"/>
          <w:lang w:val="fr-FR" w:eastAsia="fr-FR"/>
        </w:rPr>
      </w:pPr>
      <w:r w:rsidRPr="00C96173">
        <w:rPr>
          <w:rFonts w:ascii="Arial" w:eastAsia="Calibri" w:hAnsi="Arial" w:cs="Arial"/>
          <w:b/>
          <w:bCs/>
          <w:sz w:val="20"/>
          <w:szCs w:val="20"/>
          <w:lang w:val="fr-FR"/>
        </w:rPr>
        <w:t xml:space="preserve">Fig. 3. </w:t>
      </w:r>
      <w:bookmarkEnd w:id="2"/>
      <w:r w:rsidRPr="00C96173">
        <w:rPr>
          <w:rFonts w:ascii="Arial" w:eastAsia="Times New Roman" w:hAnsi="Arial" w:cs="Arial"/>
          <w:b/>
          <w:bCs/>
          <w:sz w:val="20"/>
          <w:szCs w:val="20"/>
          <w:lang w:val="fr-FR" w:eastAsia="fr-FR"/>
        </w:rPr>
        <w:t>Changes in OPG before artificial infestation</w:t>
      </w:r>
    </w:p>
    <w:p w14:paraId="10AFCDC6" w14:textId="77777777" w:rsidR="00C96173" w:rsidRDefault="00C96173" w:rsidP="00C96173">
      <w:pPr>
        <w:spacing w:after="0" w:line="240" w:lineRule="auto"/>
        <w:contextualSpacing/>
        <w:jc w:val="both"/>
        <w:rPr>
          <w:rFonts w:ascii="Arial" w:eastAsia="Times New Roman" w:hAnsi="Arial" w:cs="Arial"/>
          <w:sz w:val="20"/>
          <w:szCs w:val="20"/>
          <w:lang w:val="fr-FR" w:eastAsia="fr-FR"/>
        </w:rPr>
      </w:pPr>
    </w:p>
    <w:p w14:paraId="59E70C89" w14:textId="77777777" w:rsidR="00106CE1" w:rsidRPr="00C96173" w:rsidRDefault="00106CE1" w:rsidP="00C96173">
      <w:pPr>
        <w:spacing w:after="0" w:line="240" w:lineRule="auto"/>
        <w:contextualSpacing/>
        <w:jc w:val="both"/>
        <w:rPr>
          <w:rFonts w:ascii="Arial" w:eastAsia="Times New Roman" w:hAnsi="Arial" w:cs="Arial"/>
          <w:sz w:val="20"/>
          <w:szCs w:val="20"/>
          <w:lang w:val="fr-FR" w:eastAsia="fr-FR"/>
        </w:rPr>
      </w:pPr>
    </w:p>
    <w:p w14:paraId="4375ECB7" w14:textId="77777777" w:rsidR="00C96173" w:rsidRPr="00C96173" w:rsidRDefault="00C96173" w:rsidP="00C96173">
      <w:pPr>
        <w:tabs>
          <w:tab w:val="left" w:pos="7736"/>
        </w:tabs>
        <w:spacing w:after="0" w:line="240" w:lineRule="auto"/>
        <w:contextualSpacing/>
        <w:jc w:val="center"/>
        <w:rPr>
          <w:rFonts w:ascii="Arial" w:eastAsia="Calibri" w:hAnsi="Arial" w:cs="Arial"/>
          <w:sz w:val="20"/>
          <w:szCs w:val="20"/>
          <w:lang w:val="fr-FR"/>
        </w:rPr>
      </w:pPr>
      <w:bookmarkStart w:id="3" w:name="_Toc119525026"/>
      <w:r w:rsidRPr="00C96173">
        <w:rPr>
          <w:rFonts w:ascii="Calibri" w:eastAsia="Calibri" w:hAnsi="Calibri" w:cs="Times New Roman"/>
          <w:noProof/>
          <w:kern w:val="2"/>
          <w:sz w:val="24"/>
          <w:szCs w:val="24"/>
        </w:rPr>
        <w:drawing>
          <wp:inline distT="0" distB="0" distL="0" distR="0" wp14:anchorId="1A754EF9" wp14:editId="6EC7EA58">
            <wp:extent cx="4508271" cy="2260397"/>
            <wp:effectExtent l="0" t="0" r="0" b="0"/>
            <wp:docPr id="473333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33966" name=""/>
                    <pic:cNvPicPr/>
                  </pic:nvPicPr>
                  <pic:blipFill>
                    <a:blip r:embed="rId14"/>
                    <a:stretch>
                      <a:fillRect/>
                    </a:stretch>
                  </pic:blipFill>
                  <pic:spPr>
                    <a:xfrm>
                      <a:off x="0" y="0"/>
                      <a:ext cx="4528355" cy="2270467"/>
                    </a:xfrm>
                    <a:prstGeom prst="rect">
                      <a:avLst/>
                    </a:prstGeom>
                  </pic:spPr>
                </pic:pic>
              </a:graphicData>
            </a:graphic>
          </wp:inline>
        </w:drawing>
      </w:r>
    </w:p>
    <w:p w14:paraId="1E06F369" w14:textId="77777777" w:rsidR="00C96173" w:rsidRPr="00C96173" w:rsidRDefault="00C96173" w:rsidP="00C96173">
      <w:pPr>
        <w:tabs>
          <w:tab w:val="center" w:pos="4536"/>
          <w:tab w:val="left" w:pos="7736"/>
        </w:tabs>
        <w:spacing w:after="0" w:line="240" w:lineRule="auto"/>
        <w:contextualSpacing/>
        <w:jc w:val="both"/>
        <w:rPr>
          <w:rFonts w:ascii="Arial" w:eastAsia="Calibri" w:hAnsi="Arial" w:cs="Arial"/>
          <w:sz w:val="20"/>
          <w:szCs w:val="20"/>
          <w:lang w:val="fr-FR"/>
        </w:rPr>
      </w:pPr>
    </w:p>
    <w:p w14:paraId="0BB4CF33" w14:textId="77777777" w:rsidR="00C96173" w:rsidRPr="00C96173" w:rsidRDefault="00C96173" w:rsidP="00C96173">
      <w:pPr>
        <w:tabs>
          <w:tab w:val="center" w:pos="4536"/>
          <w:tab w:val="left" w:pos="7736"/>
        </w:tabs>
        <w:spacing w:after="0" w:line="240" w:lineRule="auto"/>
        <w:contextualSpacing/>
        <w:jc w:val="center"/>
        <w:rPr>
          <w:rFonts w:ascii="Arial" w:eastAsia="Calibri" w:hAnsi="Arial" w:cs="Arial"/>
          <w:b/>
          <w:bCs/>
          <w:i/>
          <w:iCs/>
          <w:sz w:val="20"/>
          <w:szCs w:val="20"/>
          <w:lang w:val="fr-FR"/>
        </w:rPr>
      </w:pPr>
      <w:r w:rsidRPr="00C96173">
        <w:rPr>
          <w:rFonts w:ascii="Arial" w:eastAsia="Calibri" w:hAnsi="Arial" w:cs="Arial"/>
          <w:b/>
          <w:bCs/>
          <w:sz w:val="20"/>
          <w:szCs w:val="20"/>
          <w:lang w:val="fr-FR"/>
        </w:rPr>
        <w:t xml:space="preserve">Fig. 4. </w:t>
      </w:r>
      <w:bookmarkEnd w:id="3"/>
      <w:r w:rsidRPr="00C96173">
        <w:rPr>
          <w:rFonts w:ascii="Arial" w:eastAsia="Times New Roman" w:hAnsi="Arial" w:cs="Arial"/>
          <w:b/>
          <w:bCs/>
          <w:sz w:val="20"/>
          <w:szCs w:val="20"/>
          <w:lang w:val="fr-FR" w:eastAsia="fr-FR"/>
        </w:rPr>
        <w:t>Changes in OPG after artificial infestation</w:t>
      </w:r>
    </w:p>
    <w:p w14:paraId="1763FEDB" w14:textId="77777777" w:rsidR="00C96173" w:rsidRPr="00C96173" w:rsidRDefault="00C96173" w:rsidP="00C96173">
      <w:pPr>
        <w:spacing w:after="0" w:line="240" w:lineRule="auto"/>
        <w:contextualSpacing/>
        <w:jc w:val="both"/>
        <w:rPr>
          <w:rFonts w:ascii="Arial" w:eastAsia="Calibri" w:hAnsi="Arial" w:cs="Arial"/>
          <w:sz w:val="20"/>
          <w:szCs w:val="20"/>
          <w:lang w:val="fr-FR"/>
        </w:rPr>
      </w:pPr>
    </w:p>
    <w:p w14:paraId="778C7A7E" w14:textId="77777777" w:rsidR="00106CE1" w:rsidRDefault="00106CE1" w:rsidP="00427A0A">
      <w:pPr>
        <w:spacing w:after="0" w:line="240" w:lineRule="auto"/>
        <w:contextualSpacing/>
        <w:jc w:val="both"/>
        <w:rPr>
          <w:rFonts w:ascii="Arial" w:eastAsia="Calibri" w:hAnsi="Arial" w:cs="Arial"/>
          <w:b/>
          <w:lang w:val="fr-FR"/>
        </w:rPr>
        <w:sectPr w:rsidR="00106CE1" w:rsidSect="00106CE1">
          <w:type w:val="continuous"/>
          <w:pgSz w:w="11909" w:h="16834" w:code="9"/>
          <w:pgMar w:top="1440" w:right="1440" w:bottom="1440" w:left="1440" w:header="720" w:footer="864" w:gutter="0"/>
          <w:pgNumType w:start="5"/>
          <w:cols w:space="720"/>
          <w:titlePg/>
          <w:docGrid w:linePitch="360"/>
        </w:sectPr>
      </w:pPr>
    </w:p>
    <w:p w14:paraId="74FD11FC" w14:textId="1BD36DDF" w:rsidR="00C96173" w:rsidRPr="00C96173" w:rsidRDefault="00427A0A" w:rsidP="00427A0A">
      <w:pPr>
        <w:spacing w:after="0" w:line="240" w:lineRule="auto"/>
        <w:contextualSpacing/>
        <w:jc w:val="both"/>
        <w:rPr>
          <w:rFonts w:ascii="Arial" w:eastAsia="Calibri" w:hAnsi="Arial" w:cs="Arial"/>
          <w:b/>
          <w:lang w:val="fr-FR"/>
        </w:rPr>
      </w:pPr>
      <w:r w:rsidRPr="00427A0A">
        <w:rPr>
          <w:rFonts w:ascii="Arial" w:eastAsia="Calibri" w:hAnsi="Arial" w:cs="Arial"/>
          <w:b/>
          <w:lang w:val="fr-FR"/>
        </w:rPr>
        <w:t xml:space="preserve">4. </w:t>
      </w:r>
      <w:r w:rsidR="00C96173" w:rsidRPr="00C96173">
        <w:rPr>
          <w:rFonts w:ascii="Arial" w:eastAsia="Calibri" w:hAnsi="Arial" w:cs="Arial"/>
          <w:b/>
          <w:lang w:val="fr-FR"/>
        </w:rPr>
        <w:t>DISCUSSION</w:t>
      </w:r>
    </w:p>
    <w:p w14:paraId="2BA7EE5A" w14:textId="77777777" w:rsidR="00C96173" w:rsidRPr="00C96173" w:rsidRDefault="00C96173" w:rsidP="00C96173">
      <w:pPr>
        <w:spacing w:after="0" w:line="240" w:lineRule="auto"/>
        <w:contextualSpacing/>
        <w:jc w:val="both"/>
        <w:rPr>
          <w:rFonts w:ascii="Arial" w:eastAsia="Times New Roman" w:hAnsi="Arial" w:cs="Arial"/>
          <w:sz w:val="18"/>
          <w:szCs w:val="18"/>
          <w:lang w:val="fr-FR" w:eastAsia="fr-FR"/>
        </w:rPr>
      </w:pPr>
    </w:p>
    <w:p w14:paraId="646FCBA2" w14:textId="77777777" w:rsidR="00C96173" w:rsidRDefault="00C96173" w:rsidP="00C96173">
      <w:pPr>
        <w:spacing w:after="0" w:line="240" w:lineRule="auto"/>
        <w:contextualSpacing/>
        <w:jc w:val="both"/>
        <w:rPr>
          <w:rFonts w:ascii="Arial" w:eastAsia="Times New Roman" w:hAnsi="Arial" w:cs="Arial"/>
          <w:sz w:val="20"/>
          <w:szCs w:val="20"/>
          <w:lang w:val="fr-FR" w:eastAsia="fr-FR"/>
        </w:rPr>
      </w:pPr>
      <w:r w:rsidRPr="00C96173">
        <w:rPr>
          <w:rFonts w:ascii="Arial" w:eastAsia="Times New Roman" w:hAnsi="Arial" w:cs="Arial"/>
          <w:sz w:val="20"/>
          <w:szCs w:val="20"/>
          <w:lang w:val="fr-FR" w:eastAsia="fr-FR"/>
        </w:rPr>
        <w:t xml:space="preserve">Phytochemical screening revealed that the aqueous extract of fresh </w:t>
      </w:r>
      <w:r w:rsidRPr="00C96173">
        <w:rPr>
          <w:rFonts w:ascii="Arial" w:eastAsia="Times New Roman" w:hAnsi="Arial" w:cs="Arial"/>
          <w:i/>
          <w:iCs/>
          <w:sz w:val="20"/>
          <w:szCs w:val="20"/>
          <w:lang w:val="fr-FR" w:eastAsia="fr-FR"/>
        </w:rPr>
        <w:t>Alchornea cordifolia</w:t>
      </w:r>
      <w:r w:rsidRPr="00C96173">
        <w:rPr>
          <w:rFonts w:ascii="Arial" w:eastAsia="Times New Roman" w:hAnsi="Arial" w:cs="Arial"/>
          <w:sz w:val="20"/>
          <w:szCs w:val="20"/>
          <w:lang w:val="fr-FR" w:eastAsia="fr-FR"/>
        </w:rPr>
        <w:t xml:space="preserve"> leaves contained sterols and polyterpenes, polyphenols, quinone compounds, alkaloids, and catechic tannins. These results suggest that the extract is rich in bioactive compounds that may contribute to the plant’s therapeutic properties. This profile differs from that reported by Saraka et al. (2018), who, using ethanolic extraction, identified flavonoids and gall tannins but no quinone compounds in fresh </w:t>
      </w:r>
      <w:r w:rsidRPr="00C96173">
        <w:rPr>
          <w:rFonts w:ascii="Arial" w:eastAsia="Times New Roman" w:hAnsi="Arial" w:cs="Arial"/>
          <w:i/>
          <w:iCs/>
          <w:sz w:val="20"/>
          <w:szCs w:val="20"/>
          <w:lang w:val="fr-FR" w:eastAsia="fr-FR"/>
        </w:rPr>
        <w:t>A. cordifolia</w:t>
      </w:r>
      <w:r w:rsidRPr="00C96173">
        <w:rPr>
          <w:rFonts w:ascii="Arial" w:eastAsia="Times New Roman" w:hAnsi="Arial" w:cs="Arial"/>
          <w:sz w:val="20"/>
          <w:szCs w:val="20"/>
          <w:lang w:val="fr-FR" w:eastAsia="fr-FR"/>
        </w:rPr>
        <w:t xml:space="preserve"> leaves. Such differences may be attributed to the extraction solvent used, which plays a key role in </w:t>
      </w:r>
      <w:r w:rsidRPr="00C96173">
        <w:rPr>
          <w:rFonts w:ascii="Arial" w:eastAsia="Times New Roman" w:hAnsi="Arial" w:cs="Arial"/>
          <w:sz w:val="20"/>
          <w:szCs w:val="20"/>
          <w:lang w:val="fr-FR" w:eastAsia="fr-FR"/>
        </w:rPr>
        <w:t>determining the chemical composition of plant extracts.</w:t>
      </w:r>
    </w:p>
    <w:p w14:paraId="11AA1E34" w14:textId="77777777" w:rsidR="00C96173" w:rsidRPr="00C96173" w:rsidRDefault="00C96173" w:rsidP="00C96173">
      <w:pPr>
        <w:spacing w:after="0" w:line="240" w:lineRule="auto"/>
        <w:contextualSpacing/>
        <w:jc w:val="both"/>
        <w:rPr>
          <w:rFonts w:ascii="Arial" w:eastAsia="Calibri" w:hAnsi="Arial" w:cs="Arial"/>
          <w:b/>
          <w:sz w:val="20"/>
          <w:szCs w:val="20"/>
          <w:lang w:val="fr-FR"/>
        </w:rPr>
      </w:pPr>
    </w:p>
    <w:p w14:paraId="2FE3F6FF" w14:textId="511F354B" w:rsidR="00C96173" w:rsidRDefault="00C96173" w:rsidP="00C96173">
      <w:pPr>
        <w:spacing w:after="0" w:line="240" w:lineRule="auto"/>
        <w:contextualSpacing/>
        <w:jc w:val="both"/>
        <w:rPr>
          <w:rFonts w:ascii="Arial" w:eastAsia="Times New Roman" w:hAnsi="Arial" w:cs="Arial"/>
          <w:sz w:val="20"/>
          <w:szCs w:val="20"/>
          <w:lang w:val="fr-FR" w:eastAsia="fr-FR"/>
        </w:rPr>
      </w:pPr>
      <w:r w:rsidRPr="00C96173">
        <w:rPr>
          <w:rFonts w:ascii="Arial" w:eastAsia="Times New Roman" w:hAnsi="Arial" w:cs="Arial"/>
          <w:sz w:val="20"/>
          <w:szCs w:val="20"/>
          <w:lang w:val="fr-FR" w:eastAsia="fr-FR"/>
        </w:rPr>
        <w:t xml:space="preserve">The acute oral toxicity test indicated that the aqueous extract of </w:t>
      </w:r>
      <w:r w:rsidRPr="00C96173">
        <w:rPr>
          <w:rFonts w:ascii="Arial" w:eastAsia="Times New Roman" w:hAnsi="Arial" w:cs="Arial"/>
          <w:i/>
          <w:iCs/>
          <w:sz w:val="20"/>
          <w:szCs w:val="20"/>
          <w:lang w:val="fr-FR" w:eastAsia="fr-FR"/>
        </w:rPr>
        <w:t>A. cordifolia</w:t>
      </w:r>
      <w:r w:rsidRPr="00C96173">
        <w:rPr>
          <w:rFonts w:ascii="Arial" w:eastAsia="Times New Roman" w:hAnsi="Arial" w:cs="Arial"/>
          <w:sz w:val="20"/>
          <w:szCs w:val="20"/>
          <w:lang w:val="fr-FR" w:eastAsia="fr-FR"/>
        </w:rPr>
        <w:t xml:space="preserve"> leaves caused no mortality in rats at doses of 2000 and 5000 mg/kg body weight. The extract was well tolerated, with no major behavioural changes, suggesting an LD</w:t>
      </w:r>
      <w:r w:rsidRPr="00C96173">
        <w:rPr>
          <w:rFonts w:ascii="Cambria Math" w:eastAsia="Times New Roman" w:hAnsi="Cambria Math" w:cs="Cambria Math"/>
          <w:sz w:val="20"/>
          <w:szCs w:val="20"/>
          <w:lang w:val="fr-FR" w:eastAsia="fr-FR"/>
        </w:rPr>
        <w:t>₅₀</w:t>
      </w:r>
      <w:r w:rsidRPr="00C96173">
        <w:rPr>
          <w:rFonts w:ascii="Arial" w:eastAsia="Times New Roman" w:hAnsi="Arial" w:cs="Arial"/>
          <w:sz w:val="20"/>
          <w:szCs w:val="20"/>
          <w:lang w:val="fr-FR" w:eastAsia="fr-FR"/>
        </w:rPr>
        <w:t xml:space="preserve"> greater than 5000 mg/kg. This finding aligns with the results of Traoré (2004) in female mice. According to the </w:t>
      </w:r>
      <w:r w:rsidR="00106CE1">
        <w:rPr>
          <w:rFonts w:ascii="Arial" w:eastAsia="Times New Roman" w:hAnsi="Arial" w:cs="Arial"/>
          <w:sz w:val="20"/>
          <w:szCs w:val="20"/>
          <w:lang w:val="fr-FR" w:eastAsia="fr-FR"/>
        </w:rPr>
        <w:t xml:space="preserve">       </w:t>
      </w:r>
      <w:r w:rsidRPr="00C96173">
        <w:rPr>
          <w:rFonts w:ascii="Arial" w:eastAsia="Times New Roman" w:hAnsi="Arial" w:cs="Arial"/>
          <w:sz w:val="20"/>
          <w:szCs w:val="20"/>
          <w:lang w:val="fr-FR" w:eastAsia="fr-FR"/>
        </w:rPr>
        <w:t>OECD Globally Harmonized System (OECD, 2001), the extract can therefore be classified in Category 5, indicating low toxicity via the oral route.</w:t>
      </w:r>
    </w:p>
    <w:p w14:paraId="62AC2ED6" w14:textId="77777777" w:rsidR="00C96173" w:rsidRPr="00C96173" w:rsidRDefault="00C96173" w:rsidP="00C96173">
      <w:pPr>
        <w:spacing w:after="0" w:line="240" w:lineRule="auto"/>
        <w:contextualSpacing/>
        <w:jc w:val="both"/>
        <w:rPr>
          <w:rFonts w:ascii="Arial" w:eastAsia="Times New Roman" w:hAnsi="Arial" w:cs="Arial"/>
          <w:sz w:val="20"/>
          <w:szCs w:val="20"/>
          <w:lang w:val="fr-FR" w:eastAsia="fr-FR"/>
        </w:rPr>
      </w:pPr>
    </w:p>
    <w:p w14:paraId="578752C0" w14:textId="77777777" w:rsidR="00C96173" w:rsidRDefault="00C96173" w:rsidP="00C96173">
      <w:pPr>
        <w:spacing w:after="0" w:line="240" w:lineRule="auto"/>
        <w:contextualSpacing/>
        <w:jc w:val="both"/>
        <w:rPr>
          <w:rFonts w:ascii="Arial" w:eastAsia="Times New Roman" w:hAnsi="Arial" w:cs="Arial"/>
          <w:sz w:val="20"/>
          <w:szCs w:val="20"/>
          <w:lang w:val="fr-FR" w:eastAsia="fr-FR"/>
        </w:rPr>
      </w:pPr>
      <w:r w:rsidRPr="00C96173">
        <w:rPr>
          <w:rFonts w:ascii="Arial" w:eastAsia="Times New Roman" w:hAnsi="Arial" w:cs="Arial"/>
          <w:sz w:val="20"/>
          <w:szCs w:val="20"/>
          <w:lang w:val="fr-FR" w:eastAsia="fr-FR"/>
        </w:rPr>
        <w:lastRenderedPageBreak/>
        <w:t xml:space="preserve">Body weight measurements showed that the average weights of the batches treated with 5 g/L and 10 g/L AEAC increased, although the differences were not statistically significant (P &gt; 0.05) compared to the control group treated with 1 g/L SUPERCOX PLUS. This suggests that AEAC does not impair growth performance. These results differ from those reported by Kouakou et al. (2010), who observed significant differences in weight gain between hens treated with </w:t>
      </w:r>
      <w:r w:rsidRPr="00C96173">
        <w:rPr>
          <w:rFonts w:ascii="Arial" w:eastAsia="Times New Roman" w:hAnsi="Arial" w:cs="Arial"/>
          <w:i/>
          <w:iCs/>
          <w:sz w:val="20"/>
          <w:szCs w:val="20"/>
          <w:lang w:val="fr-FR" w:eastAsia="fr-FR"/>
        </w:rPr>
        <w:t>Thonningia sanguinea</w:t>
      </w:r>
      <w:r w:rsidRPr="00C96173">
        <w:rPr>
          <w:rFonts w:ascii="Arial" w:eastAsia="Times New Roman" w:hAnsi="Arial" w:cs="Arial"/>
          <w:sz w:val="20"/>
          <w:szCs w:val="20"/>
          <w:lang w:val="fr-FR" w:eastAsia="fr-FR"/>
        </w:rPr>
        <w:t xml:space="preserve"> and those receiving conventional anticoccidials. Such discrepancies may be explained by the different pharmacological properties of the plant species used.</w:t>
      </w:r>
    </w:p>
    <w:p w14:paraId="428A5D91" w14:textId="77777777" w:rsidR="00C96173" w:rsidRPr="00C96173" w:rsidRDefault="00C96173" w:rsidP="00C96173">
      <w:pPr>
        <w:spacing w:after="0" w:line="240" w:lineRule="auto"/>
        <w:contextualSpacing/>
        <w:jc w:val="both"/>
        <w:rPr>
          <w:rFonts w:ascii="Arial" w:eastAsia="Times New Roman" w:hAnsi="Arial" w:cs="Arial"/>
          <w:sz w:val="20"/>
          <w:szCs w:val="20"/>
          <w:lang w:val="fr-FR" w:eastAsia="fr-FR"/>
        </w:rPr>
      </w:pPr>
    </w:p>
    <w:p w14:paraId="7D7E7FD7" w14:textId="1204C8C8" w:rsidR="00C96173" w:rsidRDefault="00C96173" w:rsidP="00C96173">
      <w:pPr>
        <w:spacing w:after="0" w:line="240" w:lineRule="auto"/>
        <w:contextualSpacing/>
        <w:jc w:val="both"/>
        <w:rPr>
          <w:rFonts w:ascii="Arial" w:eastAsia="Times New Roman" w:hAnsi="Arial" w:cs="Arial"/>
          <w:sz w:val="20"/>
          <w:szCs w:val="20"/>
          <w:lang w:val="fr-FR" w:eastAsia="fr-FR"/>
        </w:rPr>
      </w:pPr>
      <w:r w:rsidRPr="00C96173">
        <w:rPr>
          <w:rFonts w:ascii="Arial" w:eastAsia="Times New Roman" w:hAnsi="Arial" w:cs="Arial"/>
          <w:sz w:val="20"/>
          <w:szCs w:val="20"/>
          <w:lang w:val="fr-FR" w:eastAsia="fr-FR"/>
        </w:rPr>
        <w:t>Average daily gains were comparable across all groups, with values of 33.51 g and 31.98 g for the groups treated with 5 g/L and 10 g/L AEAC, respectively, and 33.15 g for the control. Statistical analysis revealed no significant differences (P &gt; 0.05). These results indicate that AEAC does not negatively affect feed intake or growth. Unlike Chaab</w:t>
      </w:r>
      <w:r w:rsidR="003B10A1">
        <w:rPr>
          <w:rFonts w:ascii="Arial" w:eastAsia="Times New Roman" w:hAnsi="Arial" w:cs="Arial"/>
          <w:sz w:val="20"/>
          <w:szCs w:val="20"/>
          <w:lang w:val="fr-FR" w:eastAsia="fr-FR"/>
        </w:rPr>
        <w:t>n</w:t>
      </w:r>
      <w:r w:rsidRPr="00C96173">
        <w:rPr>
          <w:rFonts w:ascii="Arial" w:eastAsia="Times New Roman" w:hAnsi="Arial" w:cs="Arial"/>
          <w:sz w:val="20"/>
          <w:szCs w:val="20"/>
          <w:lang w:val="fr-FR" w:eastAsia="fr-FR"/>
        </w:rPr>
        <w:t xml:space="preserve">a (2014), who observed significant differences in turkeys treated with </w:t>
      </w:r>
      <w:r w:rsidRPr="00C96173">
        <w:rPr>
          <w:rFonts w:ascii="Arial" w:eastAsia="Times New Roman" w:hAnsi="Arial" w:cs="Arial"/>
          <w:i/>
          <w:iCs/>
          <w:sz w:val="20"/>
          <w:szCs w:val="20"/>
          <w:lang w:val="fr-FR" w:eastAsia="fr-FR"/>
        </w:rPr>
        <w:t>Artemisia herba-alba</w:t>
      </w:r>
      <w:r w:rsidRPr="00C96173">
        <w:rPr>
          <w:rFonts w:ascii="Arial" w:eastAsia="Times New Roman" w:hAnsi="Arial" w:cs="Arial"/>
          <w:sz w:val="20"/>
          <w:szCs w:val="20"/>
          <w:lang w:val="fr-FR" w:eastAsia="fr-FR"/>
        </w:rPr>
        <w:t>, our findings suggest that AEAC maintains normal growth trajectories in broilers.</w:t>
      </w:r>
    </w:p>
    <w:p w14:paraId="7BE910FA" w14:textId="77777777" w:rsidR="00C96173" w:rsidRPr="00C96173" w:rsidRDefault="00C96173" w:rsidP="00C96173">
      <w:pPr>
        <w:spacing w:after="0" w:line="240" w:lineRule="auto"/>
        <w:contextualSpacing/>
        <w:jc w:val="both"/>
        <w:rPr>
          <w:rFonts w:ascii="Arial" w:eastAsia="Times New Roman" w:hAnsi="Arial" w:cs="Arial"/>
          <w:sz w:val="20"/>
          <w:szCs w:val="20"/>
          <w:lang w:val="fr-FR" w:eastAsia="fr-FR"/>
        </w:rPr>
      </w:pPr>
    </w:p>
    <w:p w14:paraId="78FB511D" w14:textId="77777777" w:rsidR="00C96173" w:rsidRDefault="00C96173" w:rsidP="00C96173">
      <w:pPr>
        <w:spacing w:after="0" w:line="240" w:lineRule="auto"/>
        <w:contextualSpacing/>
        <w:jc w:val="both"/>
        <w:rPr>
          <w:rFonts w:ascii="Arial" w:eastAsia="Times New Roman" w:hAnsi="Arial" w:cs="Arial"/>
          <w:sz w:val="20"/>
          <w:szCs w:val="20"/>
          <w:lang w:val="fr-FR" w:eastAsia="fr-FR"/>
        </w:rPr>
      </w:pPr>
      <w:r w:rsidRPr="00C96173">
        <w:rPr>
          <w:rFonts w:ascii="Arial" w:eastAsia="Times New Roman" w:hAnsi="Arial" w:cs="Arial"/>
          <w:sz w:val="20"/>
          <w:szCs w:val="20"/>
          <w:lang w:val="fr-FR" w:eastAsia="fr-FR"/>
        </w:rPr>
        <w:t>Although the feed conversion ratio (FCR) slightly increased in the AEAC-treated groups, the differences were not significant (P &gt; 0.05) compared with the control. This indicates that appetite and feed efficiency were not compromised by AEAC. In contrast, Essomba (2003) reported deteriorated FCRs in chickens infected with coccidiosis. Notably, mortality during the entire experimental period was zero across all batches, contrary to the findings of Bakli (2020), who observed mortality post-infestation. According to Patra et al. (2010), peak mortality typically occurs between the sixth and eighth day post-infection due to hemorrhagic diarrhea. In the present study, although clinical signs were observed, all birds responded well to treatment, mirroring the results of Kouakou et al. (2010).</w:t>
      </w:r>
    </w:p>
    <w:p w14:paraId="5C63C908" w14:textId="77777777" w:rsidR="00C96173" w:rsidRDefault="00C96173" w:rsidP="00C96173">
      <w:pPr>
        <w:spacing w:after="0" w:line="240" w:lineRule="auto"/>
        <w:contextualSpacing/>
        <w:jc w:val="both"/>
        <w:rPr>
          <w:rFonts w:ascii="Arial" w:eastAsia="Times New Roman" w:hAnsi="Arial" w:cs="Arial"/>
          <w:sz w:val="20"/>
          <w:szCs w:val="20"/>
          <w:lang w:val="fr-FR" w:eastAsia="fr-FR"/>
        </w:rPr>
      </w:pPr>
      <w:r w:rsidRPr="00C96173">
        <w:rPr>
          <w:rFonts w:ascii="Arial" w:eastAsia="Times New Roman" w:hAnsi="Arial" w:cs="Arial"/>
          <w:sz w:val="20"/>
          <w:szCs w:val="20"/>
          <w:lang w:val="fr-FR" w:eastAsia="fr-FR"/>
        </w:rPr>
        <w:t>During the first week of rearing, no oocysts were detected in the feces, consistent with the known incubation period of coccidia and with Essomba's (2003) findings. From the second week onward, a low-level coccidia infestation was observed in all groups, confirming that the incubation period had been reached.</w:t>
      </w:r>
    </w:p>
    <w:p w14:paraId="54BED34A" w14:textId="77777777" w:rsidR="00C96173" w:rsidRPr="00C96173" w:rsidRDefault="00C96173" w:rsidP="00C96173">
      <w:pPr>
        <w:spacing w:after="0" w:line="240" w:lineRule="auto"/>
        <w:contextualSpacing/>
        <w:jc w:val="both"/>
        <w:rPr>
          <w:rFonts w:ascii="Arial" w:eastAsia="Times New Roman" w:hAnsi="Arial" w:cs="Arial"/>
          <w:sz w:val="20"/>
          <w:szCs w:val="20"/>
          <w:lang w:val="fr-FR" w:eastAsia="fr-FR"/>
        </w:rPr>
      </w:pPr>
    </w:p>
    <w:p w14:paraId="7B242FB7" w14:textId="77777777" w:rsidR="00C96173" w:rsidRDefault="00C96173" w:rsidP="00C96173">
      <w:pPr>
        <w:spacing w:after="0" w:line="240" w:lineRule="auto"/>
        <w:contextualSpacing/>
        <w:jc w:val="both"/>
        <w:rPr>
          <w:rFonts w:ascii="Arial" w:eastAsia="Times New Roman" w:hAnsi="Arial" w:cs="Arial"/>
          <w:sz w:val="20"/>
          <w:szCs w:val="20"/>
          <w:lang w:val="fr-FR" w:eastAsia="fr-FR"/>
        </w:rPr>
      </w:pPr>
      <w:r w:rsidRPr="00C96173">
        <w:rPr>
          <w:rFonts w:ascii="Arial" w:eastAsia="Times New Roman" w:hAnsi="Arial" w:cs="Arial"/>
          <w:sz w:val="20"/>
          <w:szCs w:val="20"/>
          <w:lang w:val="fr-FR" w:eastAsia="fr-FR"/>
        </w:rPr>
        <w:t xml:space="preserve">Following artificial infestation, all groups showed high levels of oocysts: 86,350 OPG in the </w:t>
      </w:r>
      <w:r w:rsidRPr="00C96173">
        <w:rPr>
          <w:rFonts w:ascii="Arial" w:eastAsia="Times New Roman" w:hAnsi="Arial" w:cs="Arial"/>
          <w:sz w:val="20"/>
          <w:szCs w:val="20"/>
          <w:lang w:val="fr-FR" w:eastAsia="fr-FR"/>
        </w:rPr>
        <w:t>control, 102,300 OPG in the 5 g/L AEAC group, and 21,400 OPG in the 10 g/L AEAC group. Four days after treatment, these numbers significantly decreased to 1,600 OPG, 1,800 OPG, and 13,900 OPG, respectively. By the end of the 7-day treatment, infestation levels dropped further to 200 OPG in the control group, 4,200 OPG in the 5 g/L AEAC group, and 3,500 OPG in the 10 g/L AEAC group. These reductions suggest that AEAC possesses anticoccidial properties, likely due to the bioactive compounds present in the extract.</w:t>
      </w:r>
    </w:p>
    <w:p w14:paraId="066780E2" w14:textId="77777777" w:rsidR="00C96173" w:rsidRPr="00C96173" w:rsidRDefault="00C96173" w:rsidP="00C96173">
      <w:pPr>
        <w:spacing w:after="0" w:line="240" w:lineRule="auto"/>
        <w:contextualSpacing/>
        <w:jc w:val="both"/>
        <w:rPr>
          <w:rFonts w:ascii="Arial" w:eastAsia="Times New Roman" w:hAnsi="Arial" w:cs="Arial"/>
          <w:sz w:val="20"/>
          <w:szCs w:val="20"/>
          <w:lang w:val="fr-FR" w:eastAsia="fr-FR"/>
        </w:rPr>
      </w:pPr>
    </w:p>
    <w:p w14:paraId="36476A54" w14:textId="77777777" w:rsidR="00C96173" w:rsidRDefault="00C96173" w:rsidP="00C96173">
      <w:pPr>
        <w:spacing w:after="0" w:line="240" w:lineRule="auto"/>
        <w:contextualSpacing/>
        <w:jc w:val="both"/>
        <w:rPr>
          <w:rFonts w:ascii="Arial" w:eastAsia="Times New Roman" w:hAnsi="Arial" w:cs="Arial"/>
          <w:sz w:val="20"/>
          <w:szCs w:val="20"/>
          <w:lang w:val="fr-FR" w:eastAsia="fr-FR"/>
        </w:rPr>
      </w:pPr>
      <w:r w:rsidRPr="00C96173">
        <w:rPr>
          <w:rFonts w:ascii="Arial" w:eastAsia="Times New Roman" w:hAnsi="Arial" w:cs="Arial"/>
          <w:sz w:val="20"/>
          <w:szCs w:val="20"/>
          <w:lang w:val="fr-FR" w:eastAsia="fr-FR"/>
        </w:rPr>
        <w:t xml:space="preserve">Tannins, for instance, can bind microbial cell walls, inhibit protease activity, and disrupt parasite metabolism by interacting with proteins through hydrogen bonding, hydrophobic interactions, and covalent bonds (Bakli, 2020). Their proposed mode of action against </w:t>
      </w:r>
      <w:r w:rsidRPr="00C96173">
        <w:rPr>
          <w:rFonts w:ascii="Arial" w:eastAsia="Times New Roman" w:hAnsi="Arial" w:cs="Arial"/>
          <w:i/>
          <w:iCs/>
          <w:sz w:val="20"/>
          <w:szCs w:val="20"/>
          <w:lang w:val="fr-FR" w:eastAsia="fr-FR"/>
        </w:rPr>
        <w:t>Eimeria</w:t>
      </w:r>
      <w:r w:rsidRPr="00C96173">
        <w:rPr>
          <w:rFonts w:ascii="Arial" w:eastAsia="Times New Roman" w:hAnsi="Arial" w:cs="Arial"/>
          <w:sz w:val="20"/>
          <w:szCs w:val="20"/>
          <w:lang w:val="fr-FR" w:eastAsia="fr-FR"/>
        </w:rPr>
        <w:t xml:space="preserve"> species includes oxidative stress induction and interference with enzyme systems and transport proteins.</w:t>
      </w:r>
    </w:p>
    <w:p w14:paraId="535A03BC" w14:textId="77777777" w:rsidR="00C96173" w:rsidRPr="00C96173" w:rsidRDefault="00C96173" w:rsidP="00C96173">
      <w:pPr>
        <w:spacing w:after="0" w:line="240" w:lineRule="auto"/>
        <w:contextualSpacing/>
        <w:jc w:val="both"/>
        <w:rPr>
          <w:rFonts w:ascii="Arial" w:eastAsia="Times New Roman" w:hAnsi="Arial" w:cs="Arial"/>
          <w:sz w:val="20"/>
          <w:szCs w:val="20"/>
          <w:lang w:val="fr-FR" w:eastAsia="fr-FR"/>
        </w:rPr>
      </w:pPr>
    </w:p>
    <w:p w14:paraId="6CC6F340" w14:textId="77777777" w:rsidR="00C96173" w:rsidRDefault="00C96173" w:rsidP="00C96173">
      <w:pPr>
        <w:spacing w:after="0" w:line="240" w:lineRule="auto"/>
        <w:contextualSpacing/>
        <w:jc w:val="both"/>
        <w:rPr>
          <w:rFonts w:ascii="Arial" w:eastAsia="Times New Roman" w:hAnsi="Arial" w:cs="Arial"/>
          <w:sz w:val="20"/>
          <w:szCs w:val="20"/>
          <w:lang w:val="fr-FR" w:eastAsia="fr-FR"/>
        </w:rPr>
      </w:pPr>
      <w:r w:rsidRPr="00C96173">
        <w:rPr>
          <w:rFonts w:ascii="Arial" w:eastAsia="Times New Roman" w:hAnsi="Arial" w:cs="Arial"/>
          <w:sz w:val="20"/>
          <w:szCs w:val="20"/>
          <w:lang w:val="fr-FR" w:eastAsia="fr-FR"/>
        </w:rPr>
        <w:t>Phenolic compounds in AEAC may also contribute to its activity. Their antimicrobial effects are known to compromise cell membrane integrity, disturb proton gradients, and interfere with ATP synthesis, ultimately leading to parasite lysis (Bakli, 2020). Nevertheless, the oocyst count in the control group treated with SUPERCOX PLUS (200 OPG) was lower than in the AEAC groups, possibly due to the higher concentration of active ingredients in the synthetic drug (Ola-Fadunsin &amp; Ademola, 2014).</w:t>
      </w:r>
    </w:p>
    <w:p w14:paraId="352A9D95" w14:textId="77777777" w:rsidR="00C96173" w:rsidRPr="00C96173" w:rsidRDefault="00C96173" w:rsidP="00C96173">
      <w:pPr>
        <w:spacing w:after="0" w:line="240" w:lineRule="auto"/>
        <w:contextualSpacing/>
        <w:jc w:val="both"/>
        <w:rPr>
          <w:rFonts w:ascii="Arial" w:eastAsia="Times New Roman" w:hAnsi="Arial" w:cs="Arial"/>
          <w:sz w:val="20"/>
          <w:szCs w:val="20"/>
          <w:lang w:val="fr-FR" w:eastAsia="fr-FR"/>
        </w:rPr>
      </w:pPr>
    </w:p>
    <w:p w14:paraId="1001918E" w14:textId="6D8E9101" w:rsidR="00C96173" w:rsidRPr="00C96173" w:rsidRDefault="00C96173" w:rsidP="00C96173">
      <w:pPr>
        <w:spacing w:after="0" w:line="240" w:lineRule="auto"/>
        <w:contextualSpacing/>
        <w:jc w:val="both"/>
        <w:rPr>
          <w:rFonts w:ascii="Arial" w:eastAsia="Times New Roman" w:hAnsi="Arial" w:cs="Arial"/>
          <w:sz w:val="20"/>
          <w:szCs w:val="20"/>
          <w:lang w:val="fr-FR" w:eastAsia="fr-FR"/>
        </w:rPr>
      </w:pPr>
      <w:r w:rsidRPr="00C96173">
        <w:rPr>
          <w:rFonts w:ascii="Arial" w:eastAsia="Times New Roman" w:hAnsi="Arial" w:cs="Arial"/>
          <w:sz w:val="20"/>
          <w:szCs w:val="20"/>
          <w:lang w:val="fr-FR" w:eastAsia="fr-FR"/>
        </w:rPr>
        <w:t xml:space="preserve">Clinically, infected chickens exhibited typical signs of coccidiosis, including lethargy, ruffled feathers, and bloody droppings, as previously reported by Kouakou et al. (2010). Necropsy revealed intestinal and duodenal lesions and caecal dilation in the control group, whereas only minor duodenal lesions and mild caecal dilation were observed in the AEAC-treated groups. The reduced lesion scores indicate that </w:t>
      </w:r>
      <w:r w:rsidRPr="00C96173">
        <w:rPr>
          <w:rFonts w:ascii="Arial" w:eastAsia="Times New Roman" w:hAnsi="Arial" w:cs="Arial"/>
          <w:i/>
          <w:iCs/>
          <w:sz w:val="20"/>
          <w:szCs w:val="20"/>
          <w:lang w:val="fr-FR" w:eastAsia="fr-FR"/>
        </w:rPr>
        <w:t>A. cordifolia</w:t>
      </w:r>
      <w:r w:rsidRPr="00C96173">
        <w:rPr>
          <w:rFonts w:ascii="Arial" w:eastAsia="Times New Roman" w:hAnsi="Arial" w:cs="Arial"/>
          <w:sz w:val="20"/>
          <w:szCs w:val="20"/>
          <w:lang w:val="fr-FR" w:eastAsia="fr-FR"/>
        </w:rPr>
        <w:t xml:space="preserve"> effectively mitigates intestinal damage caused by </w:t>
      </w:r>
      <w:r w:rsidRPr="00C96173">
        <w:rPr>
          <w:rFonts w:ascii="Arial" w:eastAsia="Times New Roman" w:hAnsi="Arial" w:cs="Arial"/>
          <w:i/>
          <w:iCs/>
          <w:sz w:val="20"/>
          <w:szCs w:val="20"/>
          <w:lang w:val="fr-FR" w:eastAsia="fr-FR"/>
        </w:rPr>
        <w:t>Eimeria</w:t>
      </w:r>
      <w:r w:rsidRPr="00C96173">
        <w:rPr>
          <w:rFonts w:ascii="Arial" w:eastAsia="Times New Roman" w:hAnsi="Arial" w:cs="Arial"/>
          <w:sz w:val="20"/>
          <w:szCs w:val="20"/>
          <w:lang w:val="fr-FR" w:eastAsia="fr-FR"/>
        </w:rPr>
        <w:t xml:space="preserve"> spp. This aligns with findings from Saarinen et al. (2001), who demonstrated that plant extracts can reduce oxidative stress and intestinal lesions in chickens, thereby limiting parasite development.</w:t>
      </w:r>
    </w:p>
    <w:p w14:paraId="7E20F9E7" w14:textId="77777777" w:rsidR="00427A0A" w:rsidRDefault="00427A0A" w:rsidP="00427A0A">
      <w:pPr>
        <w:spacing w:after="0" w:line="240" w:lineRule="auto"/>
        <w:contextualSpacing/>
        <w:jc w:val="both"/>
        <w:rPr>
          <w:rFonts w:ascii="Arial" w:eastAsia="Calibri" w:hAnsi="Arial" w:cs="Arial"/>
          <w:sz w:val="20"/>
          <w:szCs w:val="20"/>
          <w:lang w:val="fr-FR"/>
        </w:rPr>
      </w:pPr>
    </w:p>
    <w:p w14:paraId="6BC2EA88" w14:textId="215DE365" w:rsidR="00C96173" w:rsidRPr="00C96173" w:rsidRDefault="00427A0A" w:rsidP="00427A0A">
      <w:pPr>
        <w:spacing w:after="0" w:line="240" w:lineRule="auto"/>
        <w:contextualSpacing/>
        <w:jc w:val="both"/>
        <w:rPr>
          <w:rFonts w:ascii="Arial" w:eastAsia="Calibri" w:hAnsi="Arial" w:cs="Arial"/>
          <w:b/>
          <w:bCs/>
          <w:lang w:val="fr-FR"/>
        </w:rPr>
      </w:pPr>
      <w:r w:rsidRPr="00427A0A">
        <w:rPr>
          <w:rFonts w:ascii="Arial" w:eastAsia="Calibri" w:hAnsi="Arial" w:cs="Arial"/>
          <w:b/>
          <w:bCs/>
          <w:lang w:val="fr-FR"/>
        </w:rPr>
        <w:t xml:space="preserve">5. </w:t>
      </w:r>
      <w:r w:rsidR="00C96173" w:rsidRPr="00C96173">
        <w:rPr>
          <w:rFonts w:ascii="Arial" w:eastAsia="Calibri" w:hAnsi="Arial" w:cs="Arial"/>
          <w:b/>
          <w:bCs/>
          <w:lang w:val="fr-FR"/>
        </w:rPr>
        <w:t>CONCLUSION</w:t>
      </w:r>
    </w:p>
    <w:p w14:paraId="4CA740AC" w14:textId="77777777" w:rsidR="00C96173" w:rsidRDefault="00C96173" w:rsidP="00C96173">
      <w:pPr>
        <w:spacing w:after="0" w:line="240" w:lineRule="auto"/>
        <w:contextualSpacing/>
        <w:jc w:val="both"/>
        <w:rPr>
          <w:rFonts w:ascii="Arial" w:eastAsia="Calibri" w:hAnsi="Arial" w:cs="Arial"/>
          <w:sz w:val="20"/>
          <w:szCs w:val="20"/>
          <w:lang w:val="fr-FR"/>
        </w:rPr>
      </w:pPr>
    </w:p>
    <w:p w14:paraId="2FAC53BA" w14:textId="1EAF784F" w:rsidR="00C96173" w:rsidRDefault="00C96173" w:rsidP="00C96173">
      <w:pPr>
        <w:spacing w:after="0" w:line="240" w:lineRule="auto"/>
        <w:contextualSpacing/>
        <w:jc w:val="both"/>
        <w:rPr>
          <w:rFonts w:ascii="Arial" w:eastAsia="Calibri" w:hAnsi="Arial" w:cs="Arial"/>
          <w:sz w:val="20"/>
          <w:szCs w:val="20"/>
          <w:lang w:val="fr-FR"/>
        </w:rPr>
      </w:pPr>
      <w:r w:rsidRPr="00C96173">
        <w:rPr>
          <w:rFonts w:ascii="Arial" w:eastAsia="Calibri" w:hAnsi="Arial" w:cs="Arial"/>
          <w:sz w:val="20"/>
          <w:szCs w:val="20"/>
          <w:lang w:val="fr-FR"/>
        </w:rPr>
        <w:t xml:space="preserve">This study highlighted the antiparasitic potential of </w:t>
      </w:r>
      <w:r w:rsidRPr="00C96173">
        <w:rPr>
          <w:rFonts w:ascii="Arial" w:eastAsia="Calibri" w:hAnsi="Arial" w:cs="Arial"/>
          <w:i/>
          <w:iCs/>
          <w:sz w:val="20"/>
          <w:szCs w:val="20"/>
          <w:lang w:val="fr-FR"/>
        </w:rPr>
        <w:t>Alchornea cordifolia</w:t>
      </w:r>
      <w:r w:rsidRPr="00C96173">
        <w:rPr>
          <w:rFonts w:ascii="Arial" w:eastAsia="Calibri" w:hAnsi="Arial" w:cs="Arial"/>
          <w:sz w:val="20"/>
          <w:szCs w:val="20"/>
          <w:lang w:val="fr-FR"/>
        </w:rPr>
        <w:t xml:space="preserve"> leaves. Phytochemical screening of the aqueous extract revealed the presence of several bioactive compound classes, </w:t>
      </w:r>
      <w:r w:rsidRPr="00C96173">
        <w:rPr>
          <w:rFonts w:ascii="Arial" w:eastAsia="Calibri" w:hAnsi="Arial" w:cs="Arial"/>
          <w:sz w:val="20"/>
          <w:szCs w:val="20"/>
          <w:lang w:val="fr-FR"/>
        </w:rPr>
        <w:lastRenderedPageBreak/>
        <w:t>which may be responsible for the various therapeutic properties traditionally attributed to the plant. The acute toxicity test demonstrated that the extract is well tolerated when administered orally, with an estimated LD</w:t>
      </w:r>
      <w:r w:rsidRPr="00C96173">
        <w:rPr>
          <w:rFonts w:ascii="Cambria Math" w:eastAsia="Calibri" w:hAnsi="Cambria Math" w:cs="Cambria Math"/>
          <w:sz w:val="20"/>
          <w:szCs w:val="20"/>
          <w:lang w:val="fr-FR"/>
        </w:rPr>
        <w:t>₅₀</w:t>
      </w:r>
      <w:r w:rsidRPr="00C96173">
        <w:rPr>
          <w:rFonts w:ascii="Arial" w:eastAsia="Calibri" w:hAnsi="Arial" w:cs="Arial"/>
          <w:sz w:val="20"/>
          <w:szCs w:val="20"/>
          <w:lang w:val="fr-FR"/>
        </w:rPr>
        <w:t xml:space="preserve"> greater than 5000 mg/kg body weight, suggesting a relatively safe profile for therapeutic use.</w:t>
      </w:r>
    </w:p>
    <w:p w14:paraId="6FE75AB0" w14:textId="77777777" w:rsidR="00C96173" w:rsidRPr="00C96173" w:rsidRDefault="00C96173" w:rsidP="00C96173">
      <w:pPr>
        <w:spacing w:after="0" w:line="240" w:lineRule="auto"/>
        <w:contextualSpacing/>
        <w:jc w:val="both"/>
        <w:rPr>
          <w:rFonts w:ascii="Arial" w:eastAsia="Calibri" w:hAnsi="Arial" w:cs="Arial"/>
          <w:sz w:val="20"/>
          <w:szCs w:val="20"/>
          <w:lang w:val="fr-FR"/>
        </w:rPr>
      </w:pPr>
    </w:p>
    <w:p w14:paraId="0114C4D7" w14:textId="77777777" w:rsidR="00C96173" w:rsidRDefault="00C96173" w:rsidP="00C96173">
      <w:pPr>
        <w:spacing w:after="0" w:line="240" w:lineRule="auto"/>
        <w:contextualSpacing/>
        <w:jc w:val="both"/>
        <w:rPr>
          <w:rFonts w:ascii="Arial" w:eastAsia="Calibri" w:hAnsi="Arial" w:cs="Arial"/>
          <w:sz w:val="20"/>
          <w:szCs w:val="20"/>
          <w:lang w:val="fr-FR"/>
        </w:rPr>
      </w:pPr>
      <w:r w:rsidRPr="00C96173">
        <w:rPr>
          <w:rFonts w:ascii="Arial" w:eastAsia="Calibri" w:hAnsi="Arial" w:cs="Arial"/>
          <w:sz w:val="20"/>
          <w:szCs w:val="20"/>
          <w:lang w:val="fr-FR"/>
        </w:rPr>
        <w:t xml:space="preserve">Evaluation of the efficacy of the aqueous extract of </w:t>
      </w:r>
      <w:r w:rsidRPr="00C96173">
        <w:rPr>
          <w:rFonts w:ascii="Arial" w:eastAsia="Calibri" w:hAnsi="Arial" w:cs="Arial"/>
          <w:i/>
          <w:iCs/>
          <w:sz w:val="20"/>
          <w:szCs w:val="20"/>
          <w:lang w:val="fr-FR"/>
        </w:rPr>
        <w:t>Alchornea cordifolia</w:t>
      </w:r>
      <w:r w:rsidRPr="00C96173">
        <w:rPr>
          <w:rFonts w:ascii="Arial" w:eastAsia="Calibri" w:hAnsi="Arial" w:cs="Arial"/>
          <w:sz w:val="20"/>
          <w:szCs w:val="20"/>
          <w:lang w:val="fr-FR"/>
        </w:rPr>
        <w:t xml:space="preserve"> at concentrations of 5 g/L and 10 g/L in the treatment of avian coccidiosis experimentally induced by </w:t>
      </w:r>
      <w:r w:rsidRPr="00C96173">
        <w:rPr>
          <w:rFonts w:ascii="Arial" w:eastAsia="Calibri" w:hAnsi="Arial" w:cs="Arial"/>
          <w:i/>
          <w:iCs/>
          <w:sz w:val="20"/>
          <w:szCs w:val="20"/>
          <w:lang w:val="fr-FR"/>
        </w:rPr>
        <w:t>Eimeria</w:t>
      </w:r>
      <w:r w:rsidRPr="00C96173">
        <w:rPr>
          <w:rFonts w:ascii="Arial" w:eastAsia="Calibri" w:hAnsi="Arial" w:cs="Arial"/>
          <w:sz w:val="20"/>
          <w:szCs w:val="20"/>
          <w:lang w:val="fr-FR"/>
        </w:rPr>
        <w:t xml:space="preserve"> in broiler chickens showed that the plant possesses anticoccidial activity comparable to that of SUPERCOX PLUS, a synthetic anticoccidial used at 1 g/L. These doses significantly reduced the oocyst count and helped preserve the integrity of the intestinal mucosa against parasitic damage.</w:t>
      </w:r>
    </w:p>
    <w:p w14:paraId="1BCEF4B5" w14:textId="77777777" w:rsidR="00C96173" w:rsidRPr="00C96173" w:rsidRDefault="00C96173" w:rsidP="00C96173">
      <w:pPr>
        <w:spacing w:after="0" w:line="240" w:lineRule="auto"/>
        <w:contextualSpacing/>
        <w:jc w:val="both"/>
        <w:rPr>
          <w:rFonts w:ascii="Arial" w:eastAsia="Calibri" w:hAnsi="Arial" w:cs="Arial"/>
          <w:sz w:val="20"/>
          <w:szCs w:val="20"/>
          <w:lang w:val="fr-FR"/>
        </w:rPr>
      </w:pPr>
    </w:p>
    <w:p w14:paraId="6F3EAE07" w14:textId="2ED02C8A" w:rsidR="00C96173" w:rsidRPr="00C96173" w:rsidRDefault="00C96173" w:rsidP="00C96173">
      <w:pPr>
        <w:spacing w:after="0" w:line="240" w:lineRule="auto"/>
        <w:contextualSpacing/>
        <w:jc w:val="both"/>
        <w:rPr>
          <w:rFonts w:ascii="Arial" w:eastAsia="Calibri" w:hAnsi="Arial" w:cs="Arial"/>
          <w:sz w:val="20"/>
          <w:szCs w:val="20"/>
          <w:lang w:val="fr-FR"/>
        </w:rPr>
      </w:pPr>
      <w:r w:rsidRPr="00C96173">
        <w:rPr>
          <w:rFonts w:ascii="Arial" w:eastAsia="Calibri" w:hAnsi="Arial" w:cs="Arial"/>
          <w:sz w:val="20"/>
          <w:szCs w:val="20"/>
          <w:lang w:val="fr-FR"/>
        </w:rPr>
        <w:t xml:space="preserve">Moreover, the extract had no adverse effects on feed conversion ratio or zootechnical performance in treated chickens when compared to the control group. These findings suggest that the aqueous extract of </w:t>
      </w:r>
      <w:r w:rsidRPr="00C96173">
        <w:rPr>
          <w:rFonts w:ascii="Arial" w:eastAsia="Calibri" w:hAnsi="Arial" w:cs="Arial"/>
          <w:i/>
          <w:iCs/>
          <w:sz w:val="20"/>
          <w:szCs w:val="20"/>
          <w:lang w:val="fr-FR"/>
        </w:rPr>
        <w:t>Alchornea cordifolia</w:t>
      </w:r>
      <w:r w:rsidRPr="00C96173">
        <w:rPr>
          <w:rFonts w:ascii="Arial" w:eastAsia="Calibri" w:hAnsi="Arial" w:cs="Arial"/>
          <w:sz w:val="20"/>
          <w:szCs w:val="20"/>
          <w:lang w:val="fr-FR"/>
        </w:rPr>
        <w:t xml:space="preserve"> leaves may serve as a promising natural alternative for the prevention and treatment of avian coccidiosis. Nevertheless, further studies—particularly on subacute and chronic toxicity—are recommended to support its safe and effective use in traditional veterinary medicine.</w:t>
      </w:r>
    </w:p>
    <w:p w14:paraId="6F4C9ADB" w14:textId="77777777" w:rsidR="00F15949" w:rsidRPr="00F15949" w:rsidRDefault="00F15949" w:rsidP="00F15949">
      <w:pPr>
        <w:spacing w:after="0" w:line="240" w:lineRule="auto"/>
        <w:contextualSpacing/>
        <w:jc w:val="both"/>
        <w:rPr>
          <w:rFonts w:ascii="Arial" w:eastAsia="Calibri" w:hAnsi="Arial" w:cs="Arial"/>
          <w:sz w:val="20"/>
          <w:szCs w:val="20"/>
          <w:lang w:val="fr-FR"/>
        </w:rPr>
      </w:pPr>
    </w:p>
    <w:p w14:paraId="29FDFDFF" w14:textId="77777777" w:rsidR="00F15949" w:rsidRPr="00106CE1" w:rsidRDefault="00F15949" w:rsidP="00F15949">
      <w:pPr>
        <w:spacing w:after="0" w:line="240" w:lineRule="auto"/>
        <w:jc w:val="both"/>
        <w:rPr>
          <w:rFonts w:ascii="Arial" w:eastAsia="Calibri" w:hAnsi="Arial" w:cs="Arial"/>
          <w:b/>
          <w:bCs/>
          <w:kern w:val="2"/>
          <w:sz w:val="21"/>
          <w:szCs w:val="21"/>
          <w:highlight w:val="yellow"/>
        </w:rPr>
      </w:pPr>
      <w:r w:rsidRPr="00106CE1">
        <w:rPr>
          <w:rFonts w:ascii="Arial" w:eastAsia="Calibri" w:hAnsi="Arial" w:cs="Arial"/>
          <w:b/>
          <w:bCs/>
          <w:kern w:val="2"/>
          <w:sz w:val="21"/>
          <w:szCs w:val="21"/>
          <w:highlight w:val="yellow"/>
        </w:rPr>
        <w:t>DISCLAIMER (ARTIFICIAL INTELLIGENCE)</w:t>
      </w:r>
    </w:p>
    <w:p w14:paraId="1005F0CA" w14:textId="77777777" w:rsidR="00F15949" w:rsidRPr="00560217" w:rsidRDefault="00F15949" w:rsidP="00F15949">
      <w:pPr>
        <w:spacing w:after="0" w:line="240" w:lineRule="auto"/>
        <w:jc w:val="both"/>
        <w:rPr>
          <w:rFonts w:ascii="Arial" w:eastAsia="Calibri" w:hAnsi="Arial" w:cs="Arial"/>
          <w:b/>
          <w:bCs/>
          <w:kern w:val="2"/>
          <w:highlight w:val="yellow"/>
        </w:rPr>
      </w:pPr>
      <w:r w:rsidRPr="00560217">
        <w:rPr>
          <w:rFonts w:ascii="Arial" w:eastAsia="Calibri" w:hAnsi="Arial" w:cs="Arial"/>
          <w:b/>
          <w:i/>
          <w:color w:val="FF0000"/>
          <w:kern w:val="2"/>
          <w:highlight w:val="yellow"/>
        </w:rPr>
        <w:t>Please write this section</w:t>
      </w:r>
      <w:r w:rsidRPr="00560217">
        <w:rPr>
          <w:rFonts w:ascii="Arial" w:eastAsia="Calibri" w:hAnsi="Arial" w:cs="Arial"/>
          <w:b/>
          <w:i/>
          <w:kern w:val="2"/>
          <w:highlight w:val="yellow"/>
        </w:rPr>
        <w:t xml:space="preserve"> </w:t>
      </w:r>
      <w:r w:rsidRPr="00560217">
        <w:rPr>
          <w:rFonts w:ascii="Arial" w:eastAsia="Calibri" w:hAnsi="Arial" w:cs="Arial"/>
          <w:b/>
          <w:bCs/>
          <w:kern w:val="2"/>
          <w:highlight w:val="yellow"/>
        </w:rPr>
        <w:t xml:space="preserve"> </w:t>
      </w:r>
    </w:p>
    <w:p w14:paraId="4EF31DFE" w14:textId="77777777" w:rsidR="00F15949" w:rsidRPr="00560217" w:rsidRDefault="00F15949" w:rsidP="00F15949">
      <w:pPr>
        <w:spacing w:after="0" w:line="240" w:lineRule="auto"/>
        <w:jc w:val="both"/>
        <w:rPr>
          <w:rFonts w:ascii="Arial" w:eastAsia="Calibri" w:hAnsi="Arial" w:cs="Arial"/>
          <w:b/>
          <w:bCs/>
          <w:kern w:val="2"/>
          <w:sz w:val="20"/>
          <w:szCs w:val="20"/>
          <w:highlight w:val="yellow"/>
        </w:rPr>
      </w:pPr>
      <w:r w:rsidRPr="00560217">
        <w:rPr>
          <w:rFonts w:ascii="Arial" w:eastAsia="Calibri" w:hAnsi="Arial" w:cs="Arial"/>
          <w:b/>
          <w:bCs/>
          <w:kern w:val="2"/>
          <w:sz w:val="20"/>
          <w:szCs w:val="20"/>
          <w:highlight w:val="yellow"/>
        </w:rPr>
        <w:t xml:space="preserve">Option 1: </w:t>
      </w:r>
    </w:p>
    <w:p w14:paraId="5FD28458" w14:textId="77777777" w:rsidR="00F15949" w:rsidRPr="00560217" w:rsidRDefault="00F15949" w:rsidP="00F15949">
      <w:pPr>
        <w:spacing w:after="0" w:line="240" w:lineRule="auto"/>
        <w:jc w:val="both"/>
        <w:rPr>
          <w:rFonts w:ascii="Arial" w:eastAsia="Calibri" w:hAnsi="Arial" w:cs="Arial"/>
          <w:b/>
          <w:bCs/>
          <w:kern w:val="2"/>
          <w:sz w:val="20"/>
          <w:szCs w:val="20"/>
          <w:highlight w:val="yellow"/>
        </w:rPr>
      </w:pPr>
    </w:p>
    <w:p w14:paraId="2A2C1377" w14:textId="77777777" w:rsidR="00F15949" w:rsidRPr="00560217" w:rsidRDefault="00F15949" w:rsidP="00F15949">
      <w:pPr>
        <w:spacing w:after="0" w:line="240" w:lineRule="auto"/>
        <w:jc w:val="both"/>
        <w:rPr>
          <w:rFonts w:ascii="Arial" w:eastAsia="Calibri" w:hAnsi="Arial" w:cs="Arial"/>
          <w:kern w:val="2"/>
          <w:sz w:val="20"/>
          <w:szCs w:val="20"/>
          <w:highlight w:val="yellow"/>
        </w:rPr>
      </w:pPr>
      <w:r w:rsidRPr="00560217">
        <w:rPr>
          <w:rFonts w:ascii="Arial" w:eastAsia="Calibri" w:hAnsi="Arial" w:cs="Arial"/>
          <w:kern w:val="2"/>
          <w:sz w:val="20"/>
          <w:szCs w:val="20"/>
          <w:highlight w:val="yellow"/>
        </w:rPr>
        <w:t xml:space="preserve">Author(s) hereby declare that NO generative AI technologies such as Large Language Models (ChatGPT, COPILOT, etc) and text-to-image generators have been used during writing or editing of this manuscript. </w:t>
      </w:r>
    </w:p>
    <w:p w14:paraId="77F37A7E" w14:textId="77777777" w:rsidR="00F15949" w:rsidRPr="00560217" w:rsidRDefault="00F15949" w:rsidP="00F15949">
      <w:pPr>
        <w:spacing w:after="0" w:line="240" w:lineRule="auto"/>
        <w:jc w:val="both"/>
        <w:rPr>
          <w:rFonts w:ascii="Arial" w:eastAsia="Calibri" w:hAnsi="Arial" w:cs="Arial"/>
          <w:kern w:val="2"/>
          <w:sz w:val="20"/>
          <w:szCs w:val="20"/>
          <w:highlight w:val="yellow"/>
        </w:rPr>
      </w:pPr>
    </w:p>
    <w:p w14:paraId="52AF31CD" w14:textId="77777777" w:rsidR="00F15949" w:rsidRPr="00560217" w:rsidRDefault="00F15949" w:rsidP="00F15949">
      <w:pPr>
        <w:spacing w:after="0" w:line="240" w:lineRule="auto"/>
        <w:jc w:val="both"/>
        <w:rPr>
          <w:rFonts w:ascii="Arial" w:eastAsia="Calibri" w:hAnsi="Arial" w:cs="Arial"/>
          <w:b/>
          <w:bCs/>
          <w:kern w:val="2"/>
          <w:sz w:val="20"/>
          <w:szCs w:val="20"/>
          <w:highlight w:val="yellow"/>
        </w:rPr>
      </w:pPr>
      <w:r w:rsidRPr="00560217">
        <w:rPr>
          <w:rFonts w:ascii="Arial" w:eastAsia="Calibri" w:hAnsi="Arial" w:cs="Arial"/>
          <w:b/>
          <w:bCs/>
          <w:kern w:val="2"/>
          <w:sz w:val="20"/>
          <w:szCs w:val="20"/>
          <w:highlight w:val="yellow"/>
        </w:rPr>
        <w:t xml:space="preserve">Option 2: </w:t>
      </w:r>
    </w:p>
    <w:p w14:paraId="26167365" w14:textId="77777777" w:rsidR="00F15949" w:rsidRPr="00560217" w:rsidRDefault="00F15949" w:rsidP="00F15949">
      <w:pPr>
        <w:spacing w:after="0" w:line="240" w:lineRule="auto"/>
        <w:jc w:val="both"/>
        <w:rPr>
          <w:rFonts w:ascii="Arial" w:eastAsia="Calibri" w:hAnsi="Arial" w:cs="Arial"/>
          <w:b/>
          <w:bCs/>
          <w:kern w:val="2"/>
          <w:sz w:val="20"/>
          <w:szCs w:val="20"/>
          <w:highlight w:val="yellow"/>
        </w:rPr>
      </w:pPr>
    </w:p>
    <w:p w14:paraId="4655AF13" w14:textId="77777777" w:rsidR="00F15949" w:rsidRPr="00560217" w:rsidRDefault="00F15949" w:rsidP="00F15949">
      <w:pPr>
        <w:spacing w:after="0" w:line="240" w:lineRule="auto"/>
        <w:jc w:val="both"/>
        <w:rPr>
          <w:rFonts w:ascii="Arial" w:eastAsia="Calibri" w:hAnsi="Arial" w:cs="Arial"/>
          <w:kern w:val="2"/>
          <w:sz w:val="20"/>
          <w:szCs w:val="20"/>
          <w:highlight w:val="yellow"/>
        </w:rPr>
      </w:pPr>
      <w:r w:rsidRPr="00560217">
        <w:rPr>
          <w:rFonts w:ascii="Arial" w:eastAsia="Calibri" w:hAnsi="Arial" w:cs="Arial"/>
          <w:kern w:val="2"/>
          <w:sz w:val="20"/>
          <w:szCs w:val="20"/>
          <w:highlight w:val="yellow"/>
        </w:rPr>
        <w:t>Author(s) hereby declare that generative AI technologies such as Large Language Models, etc have been used during writing or editing of this manuscript. This explanation will include the name, version, model, and source of the generative AI technology and as well as all input prompts provided to the generative AI technology.</w:t>
      </w:r>
    </w:p>
    <w:p w14:paraId="602A4D62" w14:textId="77777777" w:rsidR="00F15949" w:rsidRPr="00560217" w:rsidRDefault="00F15949" w:rsidP="00F15949">
      <w:pPr>
        <w:spacing w:after="0" w:line="240" w:lineRule="auto"/>
        <w:jc w:val="both"/>
        <w:rPr>
          <w:rFonts w:ascii="Arial" w:eastAsia="Calibri" w:hAnsi="Arial" w:cs="Arial"/>
          <w:kern w:val="2"/>
          <w:sz w:val="20"/>
          <w:szCs w:val="20"/>
          <w:highlight w:val="yellow"/>
        </w:rPr>
      </w:pPr>
    </w:p>
    <w:p w14:paraId="51E78E81" w14:textId="77777777" w:rsidR="00F15949" w:rsidRPr="00560217" w:rsidRDefault="00F15949" w:rsidP="00F15949">
      <w:pPr>
        <w:spacing w:after="0" w:line="240" w:lineRule="auto"/>
        <w:jc w:val="both"/>
        <w:rPr>
          <w:rFonts w:ascii="Arial" w:eastAsia="Calibri" w:hAnsi="Arial" w:cs="Arial"/>
          <w:b/>
          <w:bCs/>
          <w:kern w:val="2"/>
          <w:sz w:val="20"/>
          <w:szCs w:val="20"/>
          <w:highlight w:val="yellow"/>
        </w:rPr>
      </w:pPr>
      <w:r w:rsidRPr="00560217">
        <w:rPr>
          <w:rFonts w:ascii="Arial" w:eastAsia="Calibri" w:hAnsi="Arial" w:cs="Arial"/>
          <w:b/>
          <w:bCs/>
          <w:kern w:val="2"/>
          <w:sz w:val="20"/>
          <w:szCs w:val="20"/>
          <w:highlight w:val="yellow"/>
        </w:rPr>
        <w:t>Details of the AI usage are given below:</w:t>
      </w:r>
    </w:p>
    <w:p w14:paraId="3B52C5E7" w14:textId="77777777" w:rsidR="00F15949" w:rsidRPr="00560217" w:rsidRDefault="00F15949" w:rsidP="00F15949">
      <w:pPr>
        <w:spacing w:after="0" w:line="240" w:lineRule="auto"/>
        <w:jc w:val="both"/>
        <w:rPr>
          <w:rFonts w:ascii="Arial" w:eastAsia="Calibri" w:hAnsi="Arial" w:cs="Arial"/>
          <w:kern w:val="2"/>
          <w:sz w:val="20"/>
          <w:szCs w:val="20"/>
          <w:highlight w:val="yellow"/>
        </w:rPr>
      </w:pPr>
    </w:p>
    <w:p w14:paraId="717EFCFE" w14:textId="77777777" w:rsidR="00F15949" w:rsidRPr="00560217" w:rsidRDefault="00F15949" w:rsidP="00F15949">
      <w:pPr>
        <w:spacing w:after="0" w:line="240" w:lineRule="auto"/>
        <w:jc w:val="both"/>
        <w:rPr>
          <w:rFonts w:ascii="Arial" w:eastAsia="Calibri" w:hAnsi="Arial" w:cs="Arial"/>
          <w:kern w:val="2"/>
          <w:sz w:val="20"/>
          <w:szCs w:val="20"/>
          <w:highlight w:val="yellow"/>
        </w:rPr>
      </w:pPr>
      <w:r w:rsidRPr="00560217">
        <w:rPr>
          <w:rFonts w:ascii="Arial" w:eastAsia="Calibri" w:hAnsi="Arial" w:cs="Arial"/>
          <w:kern w:val="2"/>
          <w:sz w:val="20"/>
          <w:szCs w:val="20"/>
          <w:highlight w:val="yellow"/>
        </w:rPr>
        <w:t>1.</w:t>
      </w:r>
    </w:p>
    <w:p w14:paraId="2FBC8074" w14:textId="77777777" w:rsidR="00F15949" w:rsidRPr="00560217" w:rsidRDefault="00F15949" w:rsidP="00F15949">
      <w:pPr>
        <w:spacing w:after="0" w:line="240" w:lineRule="auto"/>
        <w:jc w:val="both"/>
        <w:rPr>
          <w:rFonts w:ascii="Arial" w:eastAsia="Calibri" w:hAnsi="Arial" w:cs="Arial"/>
          <w:kern w:val="2"/>
          <w:sz w:val="20"/>
          <w:szCs w:val="20"/>
          <w:highlight w:val="yellow"/>
        </w:rPr>
      </w:pPr>
      <w:r w:rsidRPr="00560217">
        <w:rPr>
          <w:rFonts w:ascii="Arial" w:eastAsia="Calibri" w:hAnsi="Arial" w:cs="Arial"/>
          <w:kern w:val="2"/>
          <w:sz w:val="20"/>
          <w:szCs w:val="20"/>
          <w:highlight w:val="yellow"/>
        </w:rPr>
        <w:t>2.</w:t>
      </w:r>
    </w:p>
    <w:p w14:paraId="6D98B66F" w14:textId="77777777" w:rsidR="00F15949" w:rsidRPr="00560217" w:rsidRDefault="00F15949" w:rsidP="00F15949">
      <w:pPr>
        <w:spacing w:after="0" w:line="240" w:lineRule="auto"/>
        <w:jc w:val="both"/>
        <w:rPr>
          <w:rFonts w:ascii="Arial" w:eastAsia="Calibri" w:hAnsi="Arial" w:cs="Arial"/>
          <w:kern w:val="2"/>
          <w:sz w:val="20"/>
          <w:szCs w:val="20"/>
        </w:rPr>
      </w:pPr>
      <w:r w:rsidRPr="00560217">
        <w:rPr>
          <w:rFonts w:ascii="Arial" w:eastAsia="Calibri" w:hAnsi="Arial" w:cs="Arial"/>
          <w:kern w:val="2"/>
          <w:sz w:val="20"/>
          <w:szCs w:val="20"/>
          <w:highlight w:val="yellow"/>
        </w:rPr>
        <w:t>3.</w:t>
      </w:r>
    </w:p>
    <w:p w14:paraId="169BA76E" w14:textId="77777777" w:rsidR="00F15949" w:rsidRPr="00F15949" w:rsidRDefault="00F15949" w:rsidP="00F15949">
      <w:pPr>
        <w:pStyle w:val="ReferHead"/>
        <w:keepNext w:val="0"/>
        <w:spacing w:after="0"/>
        <w:jc w:val="both"/>
        <w:rPr>
          <w:rFonts w:ascii="Arial" w:hAnsi="Arial" w:cs="Arial"/>
          <w:b w:val="0"/>
          <w:bCs/>
          <w:sz w:val="20"/>
          <w:szCs w:val="18"/>
        </w:rPr>
      </w:pPr>
    </w:p>
    <w:p w14:paraId="6C72D809" w14:textId="77777777" w:rsidR="00F15949" w:rsidRDefault="00F15949" w:rsidP="00F15949">
      <w:pPr>
        <w:pStyle w:val="ReferHead"/>
        <w:keepNext w:val="0"/>
        <w:spacing w:after="0"/>
        <w:jc w:val="both"/>
        <w:rPr>
          <w:rFonts w:ascii="Arial" w:hAnsi="Arial" w:cs="Arial"/>
          <w:bCs/>
        </w:rPr>
      </w:pPr>
      <w:r>
        <w:rPr>
          <w:rFonts w:ascii="Arial" w:hAnsi="Arial" w:cs="Arial"/>
          <w:bCs/>
        </w:rPr>
        <w:t>Competing interests</w:t>
      </w:r>
    </w:p>
    <w:p w14:paraId="0CD6D080" w14:textId="77777777" w:rsidR="00F15949" w:rsidRPr="00F15949" w:rsidRDefault="00F15949" w:rsidP="00F15949">
      <w:pPr>
        <w:pStyle w:val="ReferHead"/>
        <w:keepNext w:val="0"/>
        <w:spacing w:after="0"/>
        <w:rPr>
          <w:rFonts w:ascii="Arial" w:hAnsi="Arial" w:cs="Arial"/>
          <w:b w:val="0"/>
          <w:bCs/>
          <w:sz w:val="20"/>
          <w:szCs w:val="18"/>
        </w:rPr>
      </w:pPr>
    </w:p>
    <w:p w14:paraId="28098276" w14:textId="77777777" w:rsidR="00F15949" w:rsidRDefault="00F15949" w:rsidP="00F15949">
      <w:pPr>
        <w:pStyle w:val="ReferHead"/>
        <w:keepNext w:val="0"/>
        <w:spacing w:after="0"/>
        <w:jc w:val="both"/>
        <w:rPr>
          <w:rFonts w:ascii="Arial" w:hAnsi="Arial" w:cs="Arial"/>
          <w:b w:val="0"/>
          <w:caps w:val="0"/>
          <w:sz w:val="20"/>
        </w:rPr>
      </w:pPr>
      <w:r>
        <w:rPr>
          <w:rFonts w:ascii="Arial" w:hAnsi="Arial" w:cs="Arial"/>
          <w:b w:val="0"/>
          <w:caps w:val="0"/>
          <w:sz w:val="20"/>
        </w:rPr>
        <w:t>Authors have declared that no competing interests exist.</w:t>
      </w:r>
    </w:p>
    <w:p w14:paraId="6DE3E264" w14:textId="77777777" w:rsidR="00F15949" w:rsidRPr="00F15949" w:rsidRDefault="00F15949" w:rsidP="00F15949">
      <w:pPr>
        <w:spacing w:after="0" w:line="240" w:lineRule="auto"/>
        <w:contextualSpacing/>
        <w:jc w:val="both"/>
        <w:rPr>
          <w:rFonts w:ascii="Arial" w:eastAsia="Calibri" w:hAnsi="Arial" w:cs="Arial"/>
          <w:sz w:val="20"/>
          <w:szCs w:val="20"/>
        </w:rPr>
      </w:pPr>
    </w:p>
    <w:p w14:paraId="150B872C" w14:textId="54BCE682" w:rsidR="00F15949" w:rsidRPr="00F15949" w:rsidRDefault="00F15949" w:rsidP="00F15949">
      <w:pPr>
        <w:spacing w:after="0" w:line="240" w:lineRule="auto"/>
        <w:contextualSpacing/>
        <w:jc w:val="both"/>
        <w:rPr>
          <w:rFonts w:ascii="Arial" w:eastAsia="Calibri" w:hAnsi="Arial" w:cs="Arial"/>
          <w:b/>
          <w:lang w:val="fr-FR"/>
        </w:rPr>
      </w:pPr>
      <w:r w:rsidRPr="00F15949">
        <w:rPr>
          <w:rFonts w:ascii="Arial" w:eastAsia="Calibri" w:hAnsi="Arial" w:cs="Arial"/>
          <w:b/>
          <w:lang w:val="fr-FR"/>
        </w:rPr>
        <w:t>REFERENCES</w:t>
      </w:r>
    </w:p>
    <w:p w14:paraId="07218F7B" w14:textId="77777777" w:rsidR="00F15949" w:rsidRDefault="00F15949" w:rsidP="00F15949">
      <w:pPr>
        <w:spacing w:after="0" w:line="240" w:lineRule="auto"/>
        <w:contextualSpacing/>
        <w:jc w:val="both"/>
        <w:rPr>
          <w:rFonts w:ascii="Arial" w:eastAsia="Calibri" w:hAnsi="Arial" w:cs="Arial"/>
          <w:b/>
          <w:bCs/>
          <w:sz w:val="20"/>
          <w:szCs w:val="20"/>
          <w:lang w:val="fr-FR"/>
        </w:rPr>
      </w:pPr>
    </w:p>
    <w:p w14:paraId="764D6631" w14:textId="32F1F3C5" w:rsidR="00F15949" w:rsidRPr="00F15949" w:rsidRDefault="00F15949" w:rsidP="00F15949">
      <w:pPr>
        <w:spacing w:after="0" w:line="240" w:lineRule="auto"/>
        <w:ind w:left="540" w:hanging="540"/>
        <w:contextualSpacing/>
        <w:jc w:val="both"/>
        <w:rPr>
          <w:rFonts w:ascii="Arial" w:eastAsia="Calibri" w:hAnsi="Arial" w:cs="Arial"/>
          <w:sz w:val="20"/>
          <w:szCs w:val="20"/>
          <w:lang w:val="fr-FR"/>
        </w:rPr>
      </w:pPr>
      <w:r w:rsidRPr="00F15949">
        <w:rPr>
          <w:rFonts w:ascii="Arial" w:eastAsia="Calibri" w:hAnsi="Arial" w:cs="Arial"/>
          <w:sz w:val="20"/>
          <w:szCs w:val="20"/>
          <w:lang w:val="fr-FR"/>
        </w:rPr>
        <w:t>Abo, K. J. C. (2013). From plant to molecule: Toxicity, pharmacological effects and mechanism of action of Justicia secunda (Acanthaceae), an antihypertensive plant, on the cardiovascular system of mammals (PhD thesis, Université Félix Houphouët-Boigny). 351 pages.</w:t>
      </w:r>
    </w:p>
    <w:p w14:paraId="12566EE3" w14:textId="77777777" w:rsidR="00F15949" w:rsidRPr="00F15949" w:rsidRDefault="00F15949" w:rsidP="00F15949">
      <w:pPr>
        <w:spacing w:after="0" w:line="240" w:lineRule="auto"/>
        <w:ind w:left="540" w:hanging="540"/>
        <w:contextualSpacing/>
        <w:jc w:val="both"/>
        <w:rPr>
          <w:rFonts w:ascii="Arial" w:eastAsia="Calibri" w:hAnsi="Arial" w:cs="Arial"/>
          <w:sz w:val="20"/>
          <w:szCs w:val="20"/>
          <w:lang w:val="fr-FR"/>
        </w:rPr>
      </w:pPr>
      <w:r w:rsidRPr="00F15949">
        <w:rPr>
          <w:rFonts w:ascii="Arial" w:eastAsia="Calibri" w:hAnsi="Arial" w:cs="Arial"/>
          <w:sz w:val="20"/>
          <w:szCs w:val="20"/>
          <w:lang w:val="fr-FR"/>
        </w:rPr>
        <w:t>Aitfella, R. (2012). Study of the anticoccidial activity of extracts of Peganum harmala, Retama sphaerocarpa and pollen grains (Master’s thesis, Université Ferhat Abbas Sétif 1, Faculty of Natural and Life Sciences). 139 pages.</w:t>
      </w:r>
    </w:p>
    <w:p w14:paraId="18E8A6C0" w14:textId="77777777" w:rsidR="00F15949" w:rsidRPr="00F15949" w:rsidRDefault="00F15949" w:rsidP="00F15949">
      <w:pPr>
        <w:spacing w:after="0" w:line="240" w:lineRule="auto"/>
        <w:ind w:left="540" w:hanging="540"/>
        <w:contextualSpacing/>
        <w:jc w:val="both"/>
        <w:rPr>
          <w:rFonts w:ascii="Arial" w:eastAsia="Calibri" w:hAnsi="Arial" w:cs="Arial"/>
          <w:sz w:val="20"/>
          <w:szCs w:val="20"/>
          <w:lang w:val="fr-FR"/>
        </w:rPr>
      </w:pPr>
      <w:r w:rsidRPr="00F15949">
        <w:rPr>
          <w:rFonts w:ascii="Arial" w:eastAsia="Calibri" w:hAnsi="Arial" w:cs="Arial"/>
          <w:sz w:val="20"/>
          <w:szCs w:val="20"/>
          <w:lang w:val="fr-FR"/>
        </w:rPr>
        <w:t>Bakli, S. (2020). Antimicrobial, antioxidant and anticoccidial activities of phenolic extracts from some local medicinal plants (PhD thesis, Université Ferhat Abbas Sétif 1, Faculty of Natural and Life Sciences). 216 pages.</w:t>
      </w:r>
    </w:p>
    <w:p w14:paraId="3051D4A4" w14:textId="77777777" w:rsidR="00F15949" w:rsidRPr="00F15949" w:rsidRDefault="00F15949" w:rsidP="00F15949">
      <w:pPr>
        <w:spacing w:after="0" w:line="240" w:lineRule="auto"/>
        <w:ind w:left="540" w:hanging="540"/>
        <w:contextualSpacing/>
        <w:jc w:val="both"/>
        <w:rPr>
          <w:rFonts w:ascii="Arial" w:eastAsia="Calibri" w:hAnsi="Arial" w:cs="Arial"/>
          <w:sz w:val="20"/>
          <w:szCs w:val="20"/>
          <w:lang w:val="fr-FR"/>
        </w:rPr>
      </w:pPr>
      <w:r w:rsidRPr="00F15949">
        <w:rPr>
          <w:rFonts w:ascii="Arial" w:eastAsia="Calibri" w:hAnsi="Arial" w:cs="Arial"/>
          <w:sz w:val="20"/>
          <w:szCs w:val="20"/>
          <w:lang w:val="fr-FR"/>
        </w:rPr>
        <w:t>Bagré, I., Bahi, C., Ouattara, K., Zirihi, G. N., Djaman, A. J., Coulibaly, A., &amp; N’Guessan, J. D. (2011). Botanical study and antifungal activity of Morinda morindoides (Baker) Milne-Redh against the in vitro growth of Cryptococcus neoformans. Phytothérapie, 9, 136–141.</w:t>
      </w:r>
    </w:p>
    <w:p w14:paraId="4E575698" w14:textId="77777777" w:rsidR="00F15949" w:rsidRPr="00F15949" w:rsidRDefault="00F15949" w:rsidP="00F15949">
      <w:pPr>
        <w:spacing w:after="0" w:line="240" w:lineRule="auto"/>
        <w:ind w:left="540" w:hanging="540"/>
        <w:contextualSpacing/>
        <w:jc w:val="both"/>
        <w:rPr>
          <w:rFonts w:ascii="Arial" w:eastAsia="Calibri" w:hAnsi="Arial" w:cs="Arial"/>
          <w:sz w:val="20"/>
          <w:szCs w:val="20"/>
          <w:lang w:val="fr-FR"/>
        </w:rPr>
      </w:pPr>
      <w:r w:rsidRPr="00F15949">
        <w:rPr>
          <w:rFonts w:ascii="Arial" w:eastAsia="Calibri" w:hAnsi="Arial" w:cs="Arial"/>
          <w:sz w:val="20"/>
          <w:szCs w:val="20"/>
          <w:lang w:val="fr-FR"/>
        </w:rPr>
        <w:t>Chaabna, N. (2014). Anticoccidial activity of Artemisia herba alba extracts (Master’s thesis, Université Ferhat Abbas Sétif 1, Faculty of Natural and Life Sciences). 91 pages.</w:t>
      </w:r>
    </w:p>
    <w:p w14:paraId="07A1D5D8" w14:textId="77777777" w:rsidR="00F15949" w:rsidRPr="00F15949" w:rsidRDefault="00F15949" w:rsidP="00F15949">
      <w:pPr>
        <w:spacing w:after="0" w:line="240" w:lineRule="auto"/>
        <w:ind w:left="540" w:hanging="540"/>
        <w:contextualSpacing/>
        <w:jc w:val="both"/>
        <w:rPr>
          <w:rFonts w:ascii="Arial" w:eastAsia="Calibri" w:hAnsi="Arial" w:cs="Arial"/>
          <w:sz w:val="20"/>
          <w:szCs w:val="20"/>
          <w:lang w:val="fr-FR"/>
        </w:rPr>
      </w:pPr>
      <w:r w:rsidRPr="00F15949">
        <w:rPr>
          <w:rFonts w:ascii="Arial" w:eastAsia="Calibri" w:hAnsi="Arial" w:cs="Arial"/>
          <w:sz w:val="20"/>
          <w:szCs w:val="20"/>
          <w:lang w:val="fr-FR"/>
        </w:rPr>
        <w:t>Dakpogan, H. B., Salifou, S., Mensah, G. A., Gbangbaotche, A., Youssao, I., Naciri, M., &amp; Sakiti, N. (2012). Issues in the control and prevention of chicken coccidiosis. International Journal of Biological and Chemical Sciences, 6(6), 6088–6105.</w:t>
      </w:r>
    </w:p>
    <w:p w14:paraId="66958407" w14:textId="77777777" w:rsidR="00F15949" w:rsidRPr="00F15949" w:rsidRDefault="00F15949" w:rsidP="00F15949">
      <w:pPr>
        <w:spacing w:after="0" w:line="240" w:lineRule="auto"/>
        <w:ind w:left="540" w:hanging="540"/>
        <w:contextualSpacing/>
        <w:jc w:val="both"/>
        <w:rPr>
          <w:rFonts w:ascii="Arial" w:eastAsia="Calibri" w:hAnsi="Arial" w:cs="Arial"/>
          <w:sz w:val="20"/>
          <w:szCs w:val="20"/>
          <w:lang w:val="fr-FR"/>
        </w:rPr>
      </w:pPr>
      <w:r w:rsidRPr="00F15949">
        <w:rPr>
          <w:rFonts w:ascii="Arial" w:eastAsia="Calibri" w:hAnsi="Arial" w:cs="Arial"/>
          <w:sz w:val="20"/>
          <w:szCs w:val="20"/>
          <w:lang w:val="fr-FR"/>
        </w:rPr>
        <w:t>Essomba, L. I. (2003). Improving poultry production through the use of traditional medicine against avian coccidiosis in Cameroon (Master’s thesis, Université Cheikh Anta Diop, Dakar, Senegal). 44 pages.</w:t>
      </w:r>
    </w:p>
    <w:p w14:paraId="10F6E21A" w14:textId="77777777" w:rsidR="00F15949" w:rsidRPr="00F15949" w:rsidRDefault="00F15949" w:rsidP="00F15949">
      <w:pPr>
        <w:spacing w:after="0" w:line="240" w:lineRule="auto"/>
        <w:ind w:left="540" w:hanging="540"/>
        <w:contextualSpacing/>
        <w:jc w:val="both"/>
        <w:rPr>
          <w:rFonts w:ascii="Arial" w:eastAsia="Calibri" w:hAnsi="Arial" w:cs="Arial"/>
          <w:sz w:val="20"/>
          <w:szCs w:val="20"/>
          <w:lang w:val="fr-FR"/>
        </w:rPr>
      </w:pPr>
      <w:r w:rsidRPr="00F15949">
        <w:rPr>
          <w:rFonts w:ascii="Arial" w:eastAsia="Calibri" w:hAnsi="Arial" w:cs="Arial"/>
          <w:sz w:val="20"/>
          <w:szCs w:val="20"/>
          <w:lang w:val="fr-FR"/>
        </w:rPr>
        <w:t xml:space="preserve">Kouakou, K. S., Touré, A., Ouattara, K., &amp; N’Guessan, J. D. (2010). In vivo </w:t>
      </w:r>
      <w:r w:rsidRPr="00F15949">
        <w:rPr>
          <w:rFonts w:ascii="Arial" w:eastAsia="Calibri" w:hAnsi="Arial" w:cs="Arial"/>
          <w:sz w:val="20"/>
          <w:szCs w:val="20"/>
          <w:lang w:val="fr-FR"/>
        </w:rPr>
        <w:lastRenderedPageBreak/>
        <w:t>anticoccidial activity of aqueous extract from the inflorescences of Thonningia sanguinea (Balanophoraceae) in laying hens. International Journal of Biological and Chemical Sciences, 4(4), 864–870.</w:t>
      </w:r>
    </w:p>
    <w:p w14:paraId="6A4CC5F3" w14:textId="77777777" w:rsidR="00F15949" w:rsidRPr="00F15949" w:rsidRDefault="00F15949" w:rsidP="00F15949">
      <w:pPr>
        <w:spacing w:after="0" w:line="240" w:lineRule="auto"/>
        <w:ind w:left="540" w:hanging="540"/>
        <w:contextualSpacing/>
        <w:jc w:val="both"/>
        <w:rPr>
          <w:rFonts w:ascii="Arial" w:eastAsia="Calibri" w:hAnsi="Arial" w:cs="Arial"/>
          <w:sz w:val="20"/>
          <w:szCs w:val="20"/>
          <w:lang w:val="fr-FR"/>
        </w:rPr>
      </w:pPr>
      <w:r w:rsidRPr="00F15949">
        <w:rPr>
          <w:rFonts w:ascii="Arial" w:eastAsia="Calibri" w:hAnsi="Arial" w:cs="Arial"/>
          <w:sz w:val="20"/>
          <w:szCs w:val="20"/>
          <w:lang w:val="fr-FR"/>
        </w:rPr>
        <w:t>Kouamé, R. O., Coffi, K., Guessend, N., Séri, Y., Koukoua, G., Dosso, M., N’Guessan, Y. T., Figueredo, G., &amp; Chalchat, J. C. (2004). Antibacterial activities of essential oils from three aromatic plants of Côte d'Ivoire. Comptes Rendus Chimie, 7, 1081–1086.</w:t>
      </w:r>
    </w:p>
    <w:p w14:paraId="1E52F88F" w14:textId="77777777" w:rsidR="00F15949" w:rsidRPr="00F15949" w:rsidRDefault="00F15949" w:rsidP="00F15949">
      <w:pPr>
        <w:spacing w:after="0" w:line="240" w:lineRule="auto"/>
        <w:ind w:left="540" w:hanging="540"/>
        <w:contextualSpacing/>
        <w:jc w:val="both"/>
        <w:rPr>
          <w:rFonts w:ascii="Arial" w:eastAsia="Calibri" w:hAnsi="Arial" w:cs="Arial"/>
          <w:sz w:val="20"/>
          <w:szCs w:val="20"/>
          <w:lang w:val="fr-FR"/>
        </w:rPr>
      </w:pPr>
      <w:r w:rsidRPr="00F15949">
        <w:rPr>
          <w:rFonts w:ascii="Arial" w:eastAsia="Calibri" w:hAnsi="Arial" w:cs="Arial"/>
          <w:sz w:val="20"/>
          <w:szCs w:val="20"/>
          <w:lang w:val="fr-FR"/>
        </w:rPr>
        <w:t>Lazureski, G. V., Terenteva, I. V., &amp; Chamchurin, A. A. (2007). Praticheskii raboti po khimii soedinienii. Vischaya Chkola, Moscow, Russia. 334 pages.</w:t>
      </w:r>
    </w:p>
    <w:p w14:paraId="70165466" w14:textId="77777777" w:rsidR="00F15949" w:rsidRPr="00F15949" w:rsidRDefault="00F15949" w:rsidP="00F15949">
      <w:pPr>
        <w:spacing w:after="0" w:line="240" w:lineRule="auto"/>
        <w:ind w:left="540" w:hanging="540"/>
        <w:contextualSpacing/>
        <w:jc w:val="both"/>
        <w:rPr>
          <w:rFonts w:ascii="Arial" w:eastAsia="Calibri" w:hAnsi="Arial" w:cs="Arial"/>
          <w:sz w:val="20"/>
          <w:szCs w:val="20"/>
          <w:lang w:val="fr-FR"/>
        </w:rPr>
      </w:pPr>
      <w:r w:rsidRPr="00F15949">
        <w:rPr>
          <w:rFonts w:ascii="Arial" w:eastAsia="Calibri" w:hAnsi="Arial" w:cs="Arial"/>
          <w:sz w:val="20"/>
          <w:szCs w:val="20"/>
          <w:lang w:val="fr-FR"/>
        </w:rPr>
        <w:t>M’Bra, V. D. P. (2017). Evaluation of the hepatoprotective activity of Alchornea cordifolia and Sarenta, a plant-based preparation (Doctoral thesis in Pharmacy, Université Félix Houphouët-Boigny, Faculty of Pharmaceutical and Biological Sciences). 120 pages.</w:t>
      </w:r>
    </w:p>
    <w:p w14:paraId="23B0ADB7" w14:textId="77777777" w:rsidR="00F15949" w:rsidRPr="00F15949" w:rsidRDefault="00F15949" w:rsidP="00F15949">
      <w:pPr>
        <w:spacing w:after="0" w:line="240" w:lineRule="auto"/>
        <w:ind w:left="540" w:hanging="540"/>
        <w:contextualSpacing/>
        <w:jc w:val="both"/>
        <w:rPr>
          <w:rFonts w:ascii="Arial" w:eastAsia="Calibri" w:hAnsi="Arial" w:cs="Arial"/>
          <w:sz w:val="20"/>
          <w:szCs w:val="20"/>
          <w:lang w:val="fr-FR"/>
        </w:rPr>
      </w:pPr>
      <w:r w:rsidRPr="00F15949">
        <w:rPr>
          <w:rFonts w:ascii="Arial" w:eastAsia="Calibri" w:hAnsi="Arial" w:cs="Arial"/>
          <w:sz w:val="20"/>
          <w:szCs w:val="20"/>
          <w:lang w:val="fr-FR"/>
        </w:rPr>
        <w:t>Mea, A., Ekissi, Y. H. R., Abo, K. J. C., &amp; Kahou, B. G. P. (2017). Hypoglycemic and antihyperglycemic effect of Justicia secunda M. Vahl (Acanthaceae) on blood glucose levels in Wistar rats. International Journal of Development Research, 7(6), 13178–13183.</w:t>
      </w:r>
    </w:p>
    <w:p w14:paraId="4C05053E" w14:textId="77777777" w:rsidR="00F15949" w:rsidRPr="00F15949" w:rsidRDefault="00F15949" w:rsidP="00F15949">
      <w:pPr>
        <w:spacing w:after="0" w:line="240" w:lineRule="auto"/>
        <w:ind w:left="540" w:hanging="540"/>
        <w:contextualSpacing/>
        <w:jc w:val="both"/>
        <w:rPr>
          <w:rFonts w:ascii="Arial" w:eastAsia="Calibri" w:hAnsi="Arial" w:cs="Arial"/>
          <w:sz w:val="20"/>
          <w:szCs w:val="20"/>
          <w:lang w:val="fr-FR"/>
        </w:rPr>
      </w:pPr>
      <w:r w:rsidRPr="00F15949">
        <w:rPr>
          <w:rFonts w:ascii="Arial" w:eastAsia="Calibri" w:hAnsi="Arial" w:cs="Arial"/>
          <w:sz w:val="20"/>
          <w:szCs w:val="20"/>
          <w:lang w:val="fr-FR"/>
        </w:rPr>
        <w:t>Organisation for Economic Co-operation and Development [OECD]. (2001). Guidelines for the testing of chemicals, acute oral toxicity – Acute toxic class method (No. 423). Paris: Masson.</w:t>
      </w:r>
    </w:p>
    <w:p w14:paraId="77A70B77" w14:textId="77777777" w:rsidR="00F15949" w:rsidRPr="00F15949" w:rsidRDefault="00F15949" w:rsidP="00F15949">
      <w:pPr>
        <w:spacing w:after="0" w:line="240" w:lineRule="auto"/>
        <w:ind w:left="540" w:hanging="540"/>
        <w:contextualSpacing/>
        <w:jc w:val="both"/>
        <w:rPr>
          <w:rFonts w:ascii="Arial" w:eastAsia="Calibri" w:hAnsi="Arial" w:cs="Arial"/>
          <w:sz w:val="20"/>
          <w:szCs w:val="20"/>
          <w:lang w:val="fr-FR"/>
        </w:rPr>
      </w:pPr>
      <w:r w:rsidRPr="00F15949">
        <w:rPr>
          <w:rFonts w:ascii="Arial" w:eastAsia="Calibri" w:hAnsi="Arial" w:cs="Arial"/>
          <w:sz w:val="20"/>
          <w:szCs w:val="20"/>
          <w:lang w:val="fr-FR"/>
        </w:rPr>
        <w:t xml:space="preserve">Saarinen, M. T., Kettunen, H., Pulliainen, K., Peuranen, S., Tiihonen, K., &amp; Remus, J. (2001). A novel method to analyze betaine in chicken liver: Effect of dietary betaine </w:t>
      </w:r>
      <w:r w:rsidRPr="00F15949">
        <w:rPr>
          <w:rFonts w:ascii="Arial" w:eastAsia="Calibri" w:hAnsi="Arial" w:cs="Arial"/>
          <w:sz w:val="20"/>
          <w:szCs w:val="20"/>
          <w:lang w:val="fr-FR"/>
        </w:rPr>
        <w:t>and choline supplementation on hepatic betaine concentration in broiler chicks. Journal of Agricultural and Food Chemistry, 49, 559–563.</w:t>
      </w:r>
    </w:p>
    <w:p w14:paraId="5E6FBC4E" w14:textId="77777777" w:rsidR="00F15949" w:rsidRPr="00F15949" w:rsidRDefault="00F15949" w:rsidP="00F15949">
      <w:pPr>
        <w:spacing w:after="0" w:line="240" w:lineRule="auto"/>
        <w:ind w:left="540" w:hanging="540"/>
        <w:contextualSpacing/>
        <w:jc w:val="both"/>
        <w:rPr>
          <w:rFonts w:ascii="Arial" w:eastAsia="Calibri" w:hAnsi="Arial" w:cs="Arial"/>
          <w:sz w:val="20"/>
          <w:szCs w:val="20"/>
          <w:lang w:val="fr-FR"/>
        </w:rPr>
      </w:pPr>
      <w:r w:rsidRPr="00F15949">
        <w:rPr>
          <w:rFonts w:ascii="Arial" w:eastAsia="Calibri" w:hAnsi="Arial" w:cs="Arial"/>
          <w:sz w:val="20"/>
          <w:szCs w:val="20"/>
          <w:lang w:val="fr-FR"/>
        </w:rPr>
        <w:t>Saraka, A. I., Abo, K., Coulibaly, K., &amp; Zirihi, G. N. (2018). Phytochemical study and antifungal activity of extracts from some medicinal Euphorbiaceae used by the Baoulé in Yamoussoukro District (Côte d’Ivoire). European Scientific Journal, 14, 1857–7431.</w:t>
      </w:r>
    </w:p>
    <w:p w14:paraId="7F97E1B6" w14:textId="77777777" w:rsidR="00F15949" w:rsidRPr="00F15949" w:rsidRDefault="00F15949" w:rsidP="00F15949">
      <w:pPr>
        <w:spacing w:after="0" w:line="240" w:lineRule="auto"/>
        <w:ind w:left="540" w:hanging="540"/>
        <w:contextualSpacing/>
        <w:jc w:val="both"/>
        <w:rPr>
          <w:rFonts w:ascii="Arial" w:eastAsia="Calibri" w:hAnsi="Arial" w:cs="Arial"/>
          <w:sz w:val="20"/>
          <w:szCs w:val="20"/>
          <w:lang w:val="fr-FR"/>
        </w:rPr>
      </w:pPr>
      <w:r w:rsidRPr="00F15949">
        <w:rPr>
          <w:rFonts w:ascii="Arial" w:eastAsia="Calibri" w:hAnsi="Arial" w:cs="Arial"/>
          <w:sz w:val="20"/>
          <w:szCs w:val="20"/>
          <w:lang w:val="fr-FR"/>
        </w:rPr>
        <w:t>United Nations. (2003). Globally harmonized system of classification and labelling of chemicals (GHS): Acute toxicity. United Nations Publications, Sales No. F.03.II.E.25, New York and Geneva. 547 pages.</w:t>
      </w:r>
    </w:p>
    <w:p w14:paraId="00BAFA1C" w14:textId="77777777" w:rsidR="00F15949" w:rsidRPr="00F15949" w:rsidRDefault="00F15949" w:rsidP="00F15949">
      <w:pPr>
        <w:spacing w:after="0" w:line="240" w:lineRule="auto"/>
        <w:ind w:left="540" w:hanging="540"/>
        <w:contextualSpacing/>
        <w:jc w:val="both"/>
        <w:rPr>
          <w:rFonts w:ascii="Arial" w:eastAsia="Calibri" w:hAnsi="Arial" w:cs="Arial"/>
          <w:sz w:val="20"/>
          <w:szCs w:val="20"/>
          <w:lang w:val="fr-FR"/>
        </w:rPr>
      </w:pPr>
      <w:r w:rsidRPr="00F15949">
        <w:rPr>
          <w:rFonts w:ascii="Arial" w:eastAsia="Calibri" w:hAnsi="Arial" w:cs="Arial"/>
          <w:sz w:val="20"/>
          <w:szCs w:val="20"/>
          <w:lang w:val="fr-FR"/>
        </w:rPr>
        <w:t>Ouattara-Soro, F. S., Camara, D., Acray-Zengbe, P., Djile, J. R., &amp; Yao Konan, B. (2023). Aqueous extract of the leaves of Ocimum gratissimum (Lamiaceae) (False basil) as an alternative to chemical antibiotics used in breeding Cobb-500 broiler chickens in the Department of Azaguie, Côte d’Ivoire. European Journal of Nutrition and Food Safety, 15(5), 30–40. https://doi.org/10.9734/EJNFS/2023/v15i51310</w:t>
      </w:r>
    </w:p>
    <w:p w14:paraId="2019A25F" w14:textId="77777777" w:rsidR="00F15949" w:rsidRPr="00F15949" w:rsidRDefault="00F15949" w:rsidP="00F15949">
      <w:pPr>
        <w:spacing w:after="0" w:line="240" w:lineRule="auto"/>
        <w:ind w:left="540" w:hanging="540"/>
        <w:contextualSpacing/>
        <w:jc w:val="both"/>
        <w:rPr>
          <w:rFonts w:ascii="Arial" w:eastAsia="Calibri" w:hAnsi="Arial" w:cs="Arial"/>
          <w:sz w:val="20"/>
          <w:szCs w:val="20"/>
          <w:lang w:val="fr-FR"/>
        </w:rPr>
      </w:pPr>
      <w:r w:rsidRPr="00F15949">
        <w:rPr>
          <w:rFonts w:ascii="Arial" w:eastAsia="Calibri" w:hAnsi="Arial" w:cs="Arial"/>
          <w:sz w:val="20"/>
          <w:szCs w:val="20"/>
          <w:lang w:val="fr-FR"/>
        </w:rPr>
        <w:t>Traoré, M. (2004). Alchornea cordifolia Schumach. (Euphorbiaceae): Review of biological activities and toxicity (PhD thesis in Pharmacy, Faculty of Medicine, Pharmacy and Odonto-Stomatology, University of Bamako, Mali). 107 pages.</w:t>
      </w:r>
    </w:p>
    <w:p w14:paraId="1276D1B6" w14:textId="77777777" w:rsidR="00F15949" w:rsidRPr="00F15949" w:rsidRDefault="00F15949" w:rsidP="00F15949">
      <w:pPr>
        <w:spacing w:after="0" w:line="240" w:lineRule="auto"/>
        <w:ind w:left="540" w:hanging="540"/>
        <w:contextualSpacing/>
        <w:jc w:val="both"/>
        <w:rPr>
          <w:rFonts w:ascii="Arial" w:eastAsia="Calibri" w:hAnsi="Arial" w:cs="Arial"/>
          <w:sz w:val="20"/>
          <w:szCs w:val="20"/>
          <w:lang w:val="fr-FR"/>
        </w:rPr>
      </w:pPr>
      <w:r w:rsidRPr="00F15949">
        <w:rPr>
          <w:rFonts w:ascii="Arial" w:eastAsia="Calibri" w:hAnsi="Arial" w:cs="Arial"/>
          <w:sz w:val="20"/>
          <w:szCs w:val="20"/>
          <w:lang w:val="fr-FR"/>
        </w:rPr>
        <w:t>Wagner, H., &amp; Bladt, S. (2001). Plant drug analysis: A thin-layer chromatography atlas (2nd ed.). Springer.</w:t>
      </w:r>
    </w:p>
    <w:p w14:paraId="63441E3F" w14:textId="77777777" w:rsidR="00106CE1" w:rsidRDefault="00106CE1" w:rsidP="00F15949">
      <w:pPr>
        <w:spacing w:after="0" w:line="240" w:lineRule="auto"/>
        <w:contextualSpacing/>
        <w:jc w:val="both"/>
        <w:rPr>
          <w:rFonts w:ascii="Arial" w:eastAsia="Calibri" w:hAnsi="Arial" w:cs="Arial"/>
          <w:kern w:val="2"/>
          <w:sz w:val="20"/>
          <w:szCs w:val="20"/>
        </w:rPr>
        <w:sectPr w:rsidR="00106CE1" w:rsidSect="00106CE1">
          <w:type w:val="continuous"/>
          <w:pgSz w:w="11909" w:h="16834" w:code="9"/>
          <w:pgMar w:top="1440" w:right="1440" w:bottom="1440" w:left="1440" w:header="720" w:footer="864" w:gutter="0"/>
          <w:pgNumType w:start="6"/>
          <w:cols w:num="2" w:space="288"/>
          <w:titlePg/>
          <w:docGrid w:linePitch="360"/>
        </w:sectPr>
      </w:pPr>
    </w:p>
    <w:p w14:paraId="461D5635" w14:textId="77777777" w:rsidR="005456E2" w:rsidRPr="00BD060A" w:rsidRDefault="005456E2" w:rsidP="00BD060A">
      <w:pPr>
        <w:spacing w:after="0" w:line="240" w:lineRule="auto"/>
        <w:ind w:left="1080" w:hanging="1080"/>
        <w:contextualSpacing/>
        <w:jc w:val="both"/>
        <w:rPr>
          <w:rFonts w:ascii="Arial" w:eastAsia="Times New Roman" w:hAnsi="Arial" w:cs="Arial"/>
          <w:bCs/>
          <w:i/>
          <w:iCs/>
          <w:sz w:val="20"/>
          <w:szCs w:val="20"/>
        </w:rPr>
      </w:pPr>
    </w:p>
    <w:p w14:paraId="4D55406F" w14:textId="08C31FEC" w:rsidR="00D851AD" w:rsidRPr="00FF7C8A" w:rsidRDefault="009941D0" w:rsidP="00BD060A">
      <w:pPr>
        <w:keepNext/>
        <w:spacing w:after="0" w:line="240" w:lineRule="auto"/>
        <w:contextualSpacing/>
        <w:jc w:val="both"/>
        <w:rPr>
          <w:rFonts w:ascii="Arial" w:eastAsia="Times New Roman" w:hAnsi="Arial" w:cs="Arial"/>
          <w:b/>
          <w:sz w:val="15"/>
          <w:szCs w:val="15"/>
        </w:rPr>
      </w:pPr>
      <w:r w:rsidRPr="00FF7C8A">
        <w:rPr>
          <w:rFonts w:ascii="Arial" w:eastAsia="Calibri" w:hAnsi="Arial" w:cs="Arial"/>
          <w:b/>
          <w:bCs/>
          <w:kern w:val="2"/>
          <w:sz w:val="15"/>
          <w:szCs w:val="15"/>
          <w:lang w:val="en-GB"/>
        </w:rPr>
        <w:t xml:space="preserve">Disclaimer/Publisher’s Note: </w:t>
      </w:r>
      <w:r w:rsidRPr="00FF7C8A">
        <w:rPr>
          <w:rFonts w:ascii="Arial" w:eastAsia="Calibri" w:hAnsi="Arial" w:cs="Arial"/>
          <w:kern w:val="2"/>
          <w:sz w:val="15"/>
          <w:szCs w:val="15"/>
          <w:lang w:val="en-GB"/>
        </w:rPr>
        <w:t>The statements, opinions and data contained in all publications are solely those of the individual author(s) and contributor(s) and not of the publisher and/or the editor(s). This publisher and/or the editor(s) disclaim responsibility for any injury to people or property resulting from any ideas, methods, instructions or products referred to in the content.</w:t>
      </w:r>
    </w:p>
    <w:p w14:paraId="5A95BF89" w14:textId="77777777" w:rsidR="00D851AD" w:rsidRDefault="00D851AD" w:rsidP="00BD060A">
      <w:pPr>
        <w:keepNext/>
        <w:spacing w:after="0" w:line="240" w:lineRule="auto"/>
        <w:contextualSpacing/>
        <w:jc w:val="both"/>
        <w:rPr>
          <w:rFonts w:ascii="Arial" w:eastAsia="Times New Roman" w:hAnsi="Arial" w:cs="Arial"/>
          <w:b/>
          <w:szCs w:val="20"/>
        </w:rPr>
        <w:sectPr w:rsidR="00D851AD" w:rsidSect="00106CE1">
          <w:type w:val="continuous"/>
          <w:pgSz w:w="11909" w:h="16834" w:code="9"/>
          <w:pgMar w:top="1440" w:right="1440" w:bottom="1440" w:left="1440" w:header="720" w:footer="864" w:gutter="0"/>
          <w:pgNumType w:start="1"/>
          <w:cols w:space="720"/>
          <w:titlePg/>
          <w:docGrid w:linePitch="360"/>
        </w:sectPr>
      </w:pPr>
    </w:p>
    <w:p w14:paraId="3DE1C31C" w14:textId="77777777" w:rsidR="00BD060A" w:rsidRPr="00BD060A" w:rsidRDefault="00BD060A" w:rsidP="00E702F4">
      <w:pPr>
        <w:spacing w:after="0" w:line="240" w:lineRule="auto"/>
        <w:ind w:left="540" w:hanging="540"/>
        <w:jc w:val="center"/>
        <w:rPr>
          <w:rFonts w:ascii="Arial" w:eastAsia="Times New Roman" w:hAnsi="Arial" w:cs="Arial"/>
          <w:i/>
          <w:sz w:val="16"/>
          <w:szCs w:val="20"/>
        </w:rPr>
      </w:pPr>
    </w:p>
    <w:p w14:paraId="1906E8EF" w14:textId="07FCD9C7" w:rsidR="00CD3A89" w:rsidRDefault="000B5CE7" w:rsidP="00380ACB">
      <w:pPr>
        <w:pBdr>
          <w:top w:val="single" w:sz="4" w:space="1" w:color="auto"/>
        </w:pBdr>
        <w:spacing w:after="0" w:line="240" w:lineRule="auto"/>
        <w:jc w:val="both"/>
        <w:rPr>
          <w:rFonts w:ascii="Arial" w:hAnsi="Arial" w:cs="Arial"/>
        </w:rPr>
      </w:pPr>
      <w:r w:rsidRPr="000B5CE7">
        <w:rPr>
          <w:rFonts w:ascii="Arial" w:eastAsia="Calibri" w:hAnsi="Arial" w:cs="Arial"/>
          <w:i/>
          <w:iCs/>
          <w:kern w:val="2"/>
          <w:sz w:val="16"/>
          <w:szCs w:val="16"/>
          <w:lang w:val="en-GB"/>
        </w:rPr>
        <w:t>© Copyright (202</w:t>
      </w:r>
      <w:r w:rsidR="007245E0">
        <w:rPr>
          <w:rFonts w:ascii="Arial" w:eastAsia="Calibri" w:hAnsi="Arial" w:cs="Arial"/>
          <w:i/>
          <w:iCs/>
          <w:kern w:val="2"/>
          <w:sz w:val="16"/>
          <w:szCs w:val="16"/>
          <w:lang w:val="en-GB"/>
        </w:rPr>
        <w:t>5</w:t>
      </w:r>
      <w:r w:rsidRPr="000B5CE7">
        <w:rPr>
          <w:rFonts w:ascii="Arial" w:eastAsia="Calibri" w:hAnsi="Arial" w:cs="Arial"/>
          <w:i/>
          <w:iCs/>
          <w:kern w:val="2"/>
          <w:sz w:val="16"/>
          <w:szCs w:val="16"/>
          <w:lang w:val="en-GB"/>
        </w:rPr>
        <w:t>): Author(s). The licensee is the journal publisher. This is an Open Access article distributed under the terms of the Creative Commons Attribution License (</w:t>
      </w:r>
      <w:r w:rsidRPr="000B5CE7">
        <w:rPr>
          <w:rFonts w:ascii="Arial" w:eastAsia="Calibri" w:hAnsi="Arial" w:cs="Arial"/>
          <w:i/>
          <w:iCs/>
          <w:color w:val="0000FF"/>
          <w:kern w:val="2"/>
          <w:sz w:val="16"/>
          <w:szCs w:val="16"/>
          <w:lang w:val="en-GB"/>
        </w:rPr>
        <w:t>http://creativecommons.org/licenses/by/4.0</w:t>
      </w:r>
      <w:r w:rsidRPr="000B5CE7">
        <w:rPr>
          <w:rFonts w:ascii="Arial" w:eastAsia="Calibri" w:hAnsi="Arial" w:cs="Arial"/>
          <w:i/>
          <w:iCs/>
          <w:kern w:val="2"/>
          <w:sz w:val="16"/>
          <w:szCs w:val="16"/>
          <w:lang w:val="en-GB"/>
        </w:rPr>
        <w:t>), which permits unrestricted use, distribution, and reproduction in any medium, provided the original work is properly cited.</w:t>
      </w:r>
      <w:r w:rsidR="00BD060A" w:rsidRPr="000A2031">
        <w:rPr>
          <w:rFonts w:ascii="Arial" w:hAnsi="Arial" w:cs="Arial"/>
        </w:rPr>
        <w:t xml:space="preserve"> </w:t>
      </w:r>
    </w:p>
    <w:sectPr w:rsidR="00CD3A89" w:rsidSect="002B033F">
      <w:type w:val="continuous"/>
      <w:pgSz w:w="11909" w:h="16834" w:code="9"/>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67945" w14:textId="77777777" w:rsidR="00B20568" w:rsidRDefault="00B20568" w:rsidP="00CD3A89">
      <w:pPr>
        <w:spacing w:after="0" w:line="240" w:lineRule="auto"/>
      </w:pPr>
      <w:r>
        <w:separator/>
      </w:r>
    </w:p>
  </w:endnote>
  <w:endnote w:type="continuationSeparator" w:id="0">
    <w:p w14:paraId="0ACA27F3" w14:textId="77777777" w:rsidR="00B20568" w:rsidRDefault="00B20568" w:rsidP="00CD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3113"/>
      <w:docPartObj>
        <w:docPartGallery w:val="Page Numbers (Bottom of Page)"/>
        <w:docPartUnique/>
      </w:docPartObj>
    </w:sdtPr>
    <w:sdtContent>
      <w:p w14:paraId="3ECE2045" w14:textId="77777777" w:rsidR="00F6450F" w:rsidRPr="00F17D5A" w:rsidRDefault="00F6450F">
        <w:pPr>
          <w:pStyle w:val="Footer"/>
          <w:jc w:val="center"/>
          <w:rPr>
            <w:rFonts w:ascii="Arial" w:hAnsi="Arial" w:cs="Arial"/>
            <w:sz w:val="28"/>
          </w:rPr>
        </w:pPr>
      </w:p>
      <w:p w14:paraId="04B8CF09" w14:textId="77777777" w:rsidR="00F17D5A" w:rsidRDefault="00D777A2">
        <w:pPr>
          <w:pStyle w:val="Footer"/>
          <w:jc w:val="center"/>
          <w:rPr>
            <w:rFonts w:ascii="Arial" w:hAnsi="Arial" w:cs="Arial"/>
            <w:sz w:val="20"/>
          </w:rPr>
        </w:pPr>
        <w:r w:rsidRPr="00945900">
          <w:rPr>
            <w:rFonts w:ascii="Arial" w:hAnsi="Arial" w:cs="Arial"/>
            <w:sz w:val="20"/>
          </w:rPr>
          <w:fldChar w:fldCharType="begin"/>
        </w:r>
        <w:r w:rsidR="00A22248" w:rsidRPr="00945900">
          <w:rPr>
            <w:rFonts w:ascii="Arial" w:hAnsi="Arial" w:cs="Arial"/>
            <w:sz w:val="20"/>
          </w:rPr>
          <w:instrText xml:space="preserve"> PAGE   \* MERGEFORMAT </w:instrText>
        </w:r>
        <w:r w:rsidRPr="00945900">
          <w:rPr>
            <w:rFonts w:ascii="Arial" w:hAnsi="Arial" w:cs="Arial"/>
            <w:sz w:val="20"/>
          </w:rPr>
          <w:fldChar w:fldCharType="separate"/>
        </w:r>
        <w:r w:rsidR="00587A1E">
          <w:rPr>
            <w:rFonts w:ascii="Arial" w:hAnsi="Arial" w:cs="Arial"/>
            <w:noProof/>
            <w:sz w:val="20"/>
          </w:rPr>
          <w:t>10</w:t>
        </w:r>
        <w:r w:rsidRPr="00945900">
          <w:rPr>
            <w:rFonts w:ascii="Arial" w:hAnsi="Arial" w:cs="Arial"/>
            <w:sz w:val="20"/>
          </w:rPr>
          <w:fldChar w:fldCharType="end"/>
        </w:r>
      </w:p>
      <w:p w14:paraId="40EB4930" w14:textId="77777777" w:rsidR="00485F13" w:rsidRPr="00F17D5A" w:rsidRDefault="00000000">
        <w:pPr>
          <w:pStyle w:val="Footer"/>
          <w:jc w:val="center"/>
          <w:rPr>
            <w:rFonts w:ascii="Arial" w:hAnsi="Arial" w:cs="Arial"/>
            <w:sz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2BB11" w14:textId="77777777" w:rsidR="00E72385" w:rsidRPr="00E72385" w:rsidRDefault="00E72385" w:rsidP="00E72385">
    <w:pPr>
      <w:tabs>
        <w:tab w:val="center" w:pos="4320"/>
        <w:tab w:val="right" w:pos="8640"/>
      </w:tabs>
      <w:spacing w:after="0" w:line="240" w:lineRule="auto"/>
      <w:rPr>
        <w:rFonts w:ascii="Arial" w:eastAsia="Times New Roman" w:hAnsi="Arial" w:cs="Arial"/>
        <w:sz w:val="16"/>
        <w:szCs w:val="20"/>
      </w:rPr>
    </w:pPr>
    <w:r w:rsidRPr="00E72385">
      <w:rPr>
        <w:rFonts w:ascii="Arial" w:eastAsia="Times New Roman" w:hAnsi="Arial" w:cs="Arial"/>
        <w:sz w:val="16"/>
        <w:szCs w:val="20"/>
      </w:rPr>
      <w:t>____________________________________________</w:t>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t>_________________________________________________________</w:t>
    </w:r>
  </w:p>
  <w:p w14:paraId="028F2BE2" w14:textId="77777777" w:rsidR="00E72385" w:rsidRPr="00E72385" w:rsidRDefault="00E72385" w:rsidP="00E72385">
    <w:pPr>
      <w:spacing w:after="0" w:line="240" w:lineRule="auto"/>
      <w:jc w:val="both"/>
      <w:rPr>
        <w:rFonts w:ascii="Arial" w:eastAsia="Times New Roman" w:hAnsi="Arial" w:cs="Arial"/>
        <w:i/>
        <w:sz w:val="16"/>
        <w:szCs w:val="20"/>
      </w:rPr>
    </w:pPr>
  </w:p>
  <w:p w14:paraId="49933320" w14:textId="77777777" w:rsidR="00E72385" w:rsidRDefault="00E72385" w:rsidP="00E72385">
    <w:pPr>
      <w:spacing w:after="0" w:line="240" w:lineRule="auto"/>
      <w:jc w:val="both"/>
      <w:rPr>
        <w:rFonts w:ascii="Arial" w:eastAsia="Times New Roman" w:hAnsi="Arial" w:cs="Arial"/>
        <w:i/>
        <w:sz w:val="16"/>
        <w:szCs w:val="20"/>
      </w:rPr>
    </w:pPr>
    <w:r w:rsidRPr="00E72385">
      <w:rPr>
        <w:rFonts w:ascii="Arial" w:eastAsia="Times New Roman" w:hAnsi="Arial" w:cs="Arial"/>
        <w:i/>
        <w:sz w:val="16"/>
        <w:szCs w:val="20"/>
      </w:rPr>
      <w:t>*Corresponding author: Email: ………………………….;</w:t>
    </w:r>
  </w:p>
  <w:p w14:paraId="2F1D2B0B" w14:textId="77777777" w:rsidR="005C75DA" w:rsidRDefault="005C75DA" w:rsidP="00E72385">
    <w:pPr>
      <w:spacing w:after="0" w:line="240" w:lineRule="auto"/>
      <w:jc w:val="both"/>
      <w:rPr>
        <w:rFonts w:ascii="Arial" w:eastAsia="Times New Roman" w:hAnsi="Arial" w:cs="Arial"/>
        <w:i/>
        <w:sz w:val="16"/>
        <w:szCs w:val="20"/>
      </w:rPr>
    </w:pPr>
  </w:p>
  <w:p w14:paraId="176CC21A" w14:textId="77777777" w:rsidR="006928DD" w:rsidRDefault="006928DD" w:rsidP="006928DD">
    <w:pPr>
      <w:pStyle w:val="Footer"/>
      <w:jc w:val="both"/>
      <w:rPr>
        <w:rFonts w:ascii="Arial" w:hAnsi="Arial" w:cs="Arial"/>
        <w:b/>
        <w:bCs/>
        <w:i/>
        <w:sz w:val="16"/>
      </w:rPr>
    </w:pPr>
    <w:r w:rsidRPr="00932C11">
      <w:rPr>
        <w:rFonts w:ascii="Arial" w:hAnsi="Arial" w:cs="Arial"/>
        <w:b/>
        <w:bCs/>
        <w:i/>
        <w:sz w:val="16"/>
      </w:rPr>
      <w:t>Cite as:</w:t>
    </w:r>
  </w:p>
  <w:p w14:paraId="425F19E4" w14:textId="77777777" w:rsidR="006928DD" w:rsidRDefault="006928DD" w:rsidP="006928DD">
    <w:pPr>
      <w:pStyle w:val="Footer"/>
      <w:jc w:val="both"/>
      <w:rPr>
        <w:rFonts w:ascii="Arial" w:hAnsi="Arial" w:cs="Arial"/>
        <w:i/>
        <w:sz w:val="16"/>
      </w:rPr>
    </w:pPr>
  </w:p>
  <w:p w14:paraId="4D0AD955" w14:textId="77777777" w:rsidR="009941D0" w:rsidRDefault="009941D0" w:rsidP="006928DD">
    <w:pPr>
      <w:pStyle w:val="Footer"/>
      <w:jc w:val="both"/>
      <w:rPr>
        <w:rFonts w:ascii="Arial" w:hAnsi="Arial" w:cs="Arial"/>
        <w:i/>
        <w:sz w:val="16"/>
      </w:rPr>
    </w:pPr>
  </w:p>
  <w:p w14:paraId="55710D61" w14:textId="77777777" w:rsidR="006928DD" w:rsidRPr="00932C11" w:rsidRDefault="006928DD" w:rsidP="006928DD">
    <w:pPr>
      <w:pStyle w:val="Footer"/>
      <w:jc w:val="both"/>
      <w:rPr>
        <w:rFonts w:ascii="Arial" w:hAnsi="Arial" w:cs="Arial"/>
        <w:i/>
        <w:sz w:val="16"/>
      </w:rPr>
    </w:pPr>
  </w:p>
  <w:p w14:paraId="3191EDAF" w14:textId="77777777" w:rsidR="00CD3A89" w:rsidRDefault="00CD3A89">
    <w:pPr>
      <w:pStyle w:val="Footer"/>
      <w:rPr>
        <w:rFonts w:ascii="Arial" w:hAnsi="Arial" w:cs="Arial"/>
        <w:sz w:val="20"/>
      </w:rPr>
    </w:pPr>
  </w:p>
  <w:p w14:paraId="46581A81" w14:textId="77777777" w:rsidR="00F17D5A" w:rsidRPr="00F17D5A" w:rsidRDefault="00F17D5A">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A2EDA" w14:textId="77777777" w:rsidR="00B20568" w:rsidRDefault="00B20568" w:rsidP="00CD3A89">
      <w:pPr>
        <w:spacing w:after="0" w:line="240" w:lineRule="auto"/>
      </w:pPr>
      <w:r>
        <w:separator/>
      </w:r>
    </w:p>
  </w:footnote>
  <w:footnote w:type="continuationSeparator" w:id="0">
    <w:p w14:paraId="3C760DEE" w14:textId="77777777" w:rsidR="00B20568" w:rsidRDefault="00B20568" w:rsidP="00CD3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0603A"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72687E8A"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2DCB5C82"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6DA8C21D"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7E2BB909" w14:textId="6BAFAC65" w:rsidR="00171FBC" w:rsidRDefault="00974577" w:rsidP="00171FBC">
    <w:pPr>
      <w:tabs>
        <w:tab w:val="center" w:pos="4320"/>
        <w:tab w:val="right" w:pos="8640"/>
      </w:tabs>
      <w:spacing w:after="0" w:line="240" w:lineRule="auto"/>
      <w:jc w:val="right"/>
      <w:rPr>
        <w:rFonts w:ascii="Arial" w:eastAsia="Times New Roman" w:hAnsi="Arial" w:cs="Arial"/>
        <w:i/>
        <w:sz w:val="16"/>
        <w:szCs w:val="20"/>
      </w:rPr>
    </w:pPr>
    <w:r w:rsidRPr="00016C7D">
      <w:rPr>
        <w:rFonts w:ascii="Arial" w:eastAsia="Times New Roman" w:hAnsi="Arial" w:cs="Arial"/>
        <w:i/>
        <w:sz w:val="16"/>
        <w:szCs w:val="20"/>
      </w:rPr>
      <w:t xml:space="preserve">Author name; </w:t>
    </w:r>
    <w:r w:rsidR="005C75DA" w:rsidRPr="00016C7D">
      <w:rPr>
        <w:rFonts w:ascii="Arial" w:eastAsia="Times New Roman" w:hAnsi="Arial" w:cs="Arial"/>
        <w:i/>
        <w:sz w:val="16"/>
        <w:szCs w:val="20"/>
      </w:rPr>
      <w:t>Eur. J. Nutr. Food. Saf., vol. xx, no. xx, pp. xx-xx, 20</w:t>
    </w:r>
    <w:r w:rsidR="00587A1E" w:rsidRPr="00016C7D">
      <w:rPr>
        <w:rFonts w:ascii="Arial" w:eastAsia="Times New Roman" w:hAnsi="Arial" w:cs="Arial"/>
        <w:i/>
        <w:sz w:val="16"/>
        <w:szCs w:val="20"/>
      </w:rPr>
      <w:t>YY</w:t>
    </w:r>
    <w:r w:rsidR="00D851AD" w:rsidRPr="00016C7D">
      <w:rPr>
        <w:rFonts w:ascii="Arial" w:eastAsia="Times New Roman" w:hAnsi="Arial" w:cs="Arial"/>
        <w:i/>
        <w:sz w:val="16"/>
        <w:szCs w:val="20"/>
      </w:rPr>
      <w:t>; Article no.</w:t>
    </w:r>
    <w:r w:rsidR="00CF6B85" w:rsidRPr="00016C7D">
      <w:rPr>
        <w:rFonts w:ascii="Arial" w:eastAsia="Times New Roman" w:hAnsi="Arial" w:cs="Arial"/>
        <w:i/>
        <w:sz w:val="16"/>
        <w:szCs w:val="20"/>
      </w:rPr>
      <w:t>EJNFS</w:t>
    </w:r>
    <w:r w:rsidR="005E740D" w:rsidRPr="00016C7D">
      <w:rPr>
        <w:rFonts w:ascii="Arial" w:eastAsia="Times New Roman" w:hAnsi="Arial" w:cs="Arial"/>
        <w:i/>
        <w:sz w:val="16"/>
        <w:szCs w:val="20"/>
      </w:rPr>
      <w:t>.138084</w:t>
    </w:r>
  </w:p>
  <w:p w14:paraId="6E667AB0" w14:textId="77777777" w:rsidR="00974577" w:rsidRPr="00171FBC" w:rsidRDefault="00974577" w:rsidP="00171FBC">
    <w:pPr>
      <w:tabs>
        <w:tab w:val="center" w:pos="4320"/>
        <w:tab w:val="right" w:pos="8640"/>
      </w:tabs>
      <w:spacing w:after="0" w:line="240" w:lineRule="auto"/>
      <w:jc w:val="right"/>
      <w:rPr>
        <w:rFonts w:ascii="Arial" w:eastAsia="Times New Roman" w:hAnsi="Arial" w:cs="Arial"/>
        <w:i/>
        <w:sz w:val="16"/>
        <w:szCs w:val="20"/>
      </w:rPr>
    </w:pPr>
  </w:p>
  <w:p w14:paraId="6C7DABD8" w14:textId="77777777" w:rsidR="00171FBC" w:rsidRPr="00171FBC" w:rsidRDefault="00171FBC" w:rsidP="00171FBC">
    <w:pPr>
      <w:tabs>
        <w:tab w:val="center" w:pos="4320"/>
        <w:tab w:val="right" w:pos="8640"/>
      </w:tabs>
      <w:spacing w:after="0" w:line="240" w:lineRule="auto"/>
      <w:jc w:val="right"/>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669FC"/>
    <w:multiLevelType w:val="multilevel"/>
    <w:tmpl w:val="7A36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CE6194"/>
    <w:multiLevelType w:val="hybridMultilevel"/>
    <w:tmpl w:val="430A383C"/>
    <w:lvl w:ilvl="0" w:tplc="B210B0AC">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B2C7216"/>
    <w:multiLevelType w:val="multilevel"/>
    <w:tmpl w:val="30EC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06311">
    <w:abstractNumId w:val="3"/>
  </w:num>
  <w:num w:numId="2" w16cid:durableId="1617247493">
    <w:abstractNumId w:val="2"/>
  </w:num>
  <w:num w:numId="3" w16cid:durableId="995493843">
    <w:abstractNumId w:val="0"/>
  </w:num>
  <w:num w:numId="4" w16cid:durableId="1484271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hdrShapeDefaults>
    <o:shapedefaults v:ext="edit" spidmax="208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13266"/>
    <w:rsid w:val="000009E3"/>
    <w:rsid w:val="00001766"/>
    <w:rsid w:val="000140EA"/>
    <w:rsid w:val="00014315"/>
    <w:rsid w:val="0001551A"/>
    <w:rsid w:val="000168C6"/>
    <w:rsid w:val="00016C7D"/>
    <w:rsid w:val="00027BC3"/>
    <w:rsid w:val="0003242C"/>
    <w:rsid w:val="0008142C"/>
    <w:rsid w:val="00097AC1"/>
    <w:rsid w:val="000A2031"/>
    <w:rsid w:val="000A6BAC"/>
    <w:rsid w:val="000B1F5B"/>
    <w:rsid w:val="000B3645"/>
    <w:rsid w:val="000B5CE7"/>
    <w:rsid w:val="000D6F20"/>
    <w:rsid w:val="000E44A2"/>
    <w:rsid w:val="001004BF"/>
    <w:rsid w:val="00106CE1"/>
    <w:rsid w:val="00164F4D"/>
    <w:rsid w:val="00171FBC"/>
    <w:rsid w:val="00182B92"/>
    <w:rsid w:val="00190C2D"/>
    <w:rsid w:val="00192899"/>
    <w:rsid w:val="001D1F20"/>
    <w:rsid w:val="001E444B"/>
    <w:rsid w:val="00242E2D"/>
    <w:rsid w:val="002544D8"/>
    <w:rsid w:val="00260707"/>
    <w:rsid w:val="002759F0"/>
    <w:rsid w:val="00275E09"/>
    <w:rsid w:val="00294686"/>
    <w:rsid w:val="002964C6"/>
    <w:rsid w:val="002A041A"/>
    <w:rsid w:val="002B033F"/>
    <w:rsid w:val="00301B26"/>
    <w:rsid w:val="00354305"/>
    <w:rsid w:val="00362C07"/>
    <w:rsid w:val="00370C0D"/>
    <w:rsid w:val="00380ACB"/>
    <w:rsid w:val="00385A93"/>
    <w:rsid w:val="00394BC1"/>
    <w:rsid w:val="003A2B60"/>
    <w:rsid w:val="003A648D"/>
    <w:rsid w:val="003B10A1"/>
    <w:rsid w:val="003D0DD7"/>
    <w:rsid w:val="003D30F2"/>
    <w:rsid w:val="004066AF"/>
    <w:rsid w:val="0042297E"/>
    <w:rsid w:val="004236B3"/>
    <w:rsid w:val="00427A0A"/>
    <w:rsid w:val="0043035E"/>
    <w:rsid w:val="00454377"/>
    <w:rsid w:val="004743E7"/>
    <w:rsid w:val="00485F13"/>
    <w:rsid w:val="004914E9"/>
    <w:rsid w:val="004B4DC1"/>
    <w:rsid w:val="004E53FC"/>
    <w:rsid w:val="00510B32"/>
    <w:rsid w:val="00512AB4"/>
    <w:rsid w:val="0052349B"/>
    <w:rsid w:val="005456E2"/>
    <w:rsid w:val="00545B7F"/>
    <w:rsid w:val="00560217"/>
    <w:rsid w:val="00567976"/>
    <w:rsid w:val="00587A1E"/>
    <w:rsid w:val="005C75DA"/>
    <w:rsid w:val="005D512D"/>
    <w:rsid w:val="005E1A5D"/>
    <w:rsid w:val="005E740D"/>
    <w:rsid w:val="00613648"/>
    <w:rsid w:val="00645AB4"/>
    <w:rsid w:val="00647361"/>
    <w:rsid w:val="0064784B"/>
    <w:rsid w:val="0067626D"/>
    <w:rsid w:val="006928DD"/>
    <w:rsid w:val="006A7DA0"/>
    <w:rsid w:val="006C667C"/>
    <w:rsid w:val="006C6EB1"/>
    <w:rsid w:val="006D112D"/>
    <w:rsid w:val="006D477B"/>
    <w:rsid w:val="006D7F9B"/>
    <w:rsid w:val="006E3E64"/>
    <w:rsid w:val="006E45E6"/>
    <w:rsid w:val="0071105A"/>
    <w:rsid w:val="0071621E"/>
    <w:rsid w:val="0071719B"/>
    <w:rsid w:val="00724383"/>
    <w:rsid w:val="007245E0"/>
    <w:rsid w:val="00742F63"/>
    <w:rsid w:val="00747D62"/>
    <w:rsid w:val="00754D74"/>
    <w:rsid w:val="00785993"/>
    <w:rsid w:val="007A7DE4"/>
    <w:rsid w:val="007B18AA"/>
    <w:rsid w:val="007B646C"/>
    <w:rsid w:val="007E16D0"/>
    <w:rsid w:val="007F3DF7"/>
    <w:rsid w:val="00803F40"/>
    <w:rsid w:val="00811614"/>
    <w:rsid w:val="00812B2F"/>
    <w:rsid w:val="008227F2"/>
    <w:rsid w:val="00825F35"/>
    <w:rsid w:val="00855665"/>
    <w:rsid w:val="00867204"/>
    <w:rsid w:val="00873867"/>
    <w:rsid w:val="00883962"/>
    <w:rsid w:val="00907F8C"/>
    <w:rsid w:val="00911EB6"/>
    <w:rsid w:val="00933BEE"/>
    <w:rsid w:val="00934AFE"/>
    <w:rsid w:val="00945900"/>
    <w:rsid w:val="00950E38"/>
    <w:rsid w:val="00953210"/>
    <w:rsid w:val="00965690"/>
    <w:rsid w:val="00974577"/>
    <w:rsid w:val="00975CEA"/>
    <w:rsid w:val="00983831"/>
    <w:rsid w:val="009915D1"/>
    <w:rsid w:val="009941D0"/>
    <w:rsid w:val="009A0B84"/>
    <w:rsid w:val="009A23F1"/>
    <w:rsid w:val="009A3FBD"/>
    <w:rsid w:val="009B1955"/>
    <w:rsid w:val="009E3CF1"/>
    <w:rsid w:val="009F2773"/>
    <w:rsid w:val="00A16BE0"/>
    <w:rsid w:val="00A22248"/>
    <w:rsid w:val="00A91013"/>
    <w:rsid w:val="00A974B4"/>
    <w:rsid w:val="00AD094E"/>
    <w:rsid w:val="00AE2B64"/>
    <w:rsid w:val="00AF78AF"/>
    <w:rsid w:val="00B0748D"/>
    <w:rsid w:val="00B20568"/>
    <w:rsid w:val="00B37525"/>
    <w:rsid w:val="00B5744E"/>
    <w:rsid w:val="00B611C9"/>
    <w:rsid w:val="00B62778"/>
    <w:rsid w:val="00B70BA7"/>
    <w:rsid w:val="00B7611C"/>
    <w:rsid w:val="00BC1731"/>
    <w:rsid w:val="00BC6271"/>
    <w:rsid w:val="00BD060A"/>
    <w:rsid w:val="00BD2515"/>
    <w:rsid w:val="00BF552D"/>
    <w:rsid w:val="00C012AB"/>
    <w:rsid w:val="00C03ACA"/>
    <w:rsid w:val="00C13266"/>
    <w:rsid w:val="00C17CF8"/>
    <w:rsid w:val="00C305AC"/>
    <w:rsid w:val="00C32323"/>
    <w:rsid w:val="00C411DC"/>
    <w:rsid w:val="00C429F3"/>
    <w:rsid w:val="00C46D8E"/>
    <w:rsid w:val="00C558A9"/>
    <w:rsid w:val="00C87A4F"/>
    <w:rsid w:val="00C96173"/>
    <w:rsid w:val="00CA6559"/>
    <w:rsid w:val="00CB42CE"/>
    <w:rsid w:val="00CC52CB"/>
    <w:rsid w:val="00CD3A89"/>
    <w:rsid w:val="00CE1EB8"/>
    <w:rsid w:val="00CF6B85"/>
    <w:rsid w:val="00CF7AB3"/>
    <w:rsid w:val="00D106FC"/>
    <w:rsid w:val="00D6720F"/>
    <w:rsid w:val="00D777A2"/>
    <w:rsid w:val="00D851AD"/>
    <w:rsid w:val="00DA7E6E"/>
    <w:rsid w:val="00DB19A5"/>
    <w:rsid w:val="00DE2AEB"/>
    <w:rsid w:val="00DE3C96"/>
    <w:rsid w:val="00DE6094"/>
    <w:rsid w:val="00E15BB8"/>
    <w:rsid w:val="00E46D35"/>
    <w:rsid w:val="00E531CD"/>
    <w:rsid w:val="00E577CE"/>
    <w:rsid w:val="00E702F4"/>
    <w:rsid w:val="00E72385"/>
    <w:rsid w:val="00EA7EE9"/>
    <w:rsid w:val="00EB7722"/>
    <w:rsid w:val="00EC09B7"/>
    <w:rsid w:val="00EC2241"/>
    <w:rsid w:val="00ED402E"/>
    <w:rsid w:val="00ED56A4"/>
    <w:rsid w:val="00EF3322"/>
    <w:rsid w:val="00F15949"/>
    <w:rsid w:val="00F17D5A"/>
    <w:rsid w:val="00F31F4B"/>
    <w:rsid w:val="00F6279F"/>
    <w:rsid w:val="00F6450F"/>
    <w:rsid w:val="00FC4574"/>
    <w:rsid w:val="00FC7946"/>
    <w:rsid w:val="00FD32BE"/>
    <w:rsid w:val="00FF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rules v:ext="edit">
        <o:r id="V:Rule1" type="connector" idref="#AutoShape 54"/>
        <o:r id="V:Rule2" type="connector" idref="#_x0000_s2078"/>
      </o:rules>
    </o:shapelayout>
  </w:shapeDefaults>
  <w:decimalSymbol w:val="."/>
  <w:listSeparator w:val=","/>
  <w14:docId w14:val="738A67AE"/>
  <w15:docId w15:val="{42889079-E27F-46D4-A787-8A722DD0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35E"/>
  </w:style>
  <w:style w:type="paragraph" w:styleId="Heading1">
    <w:name w:val="heading 1"/>
    <w:basedOn w:val="Normal"/>
    <w:next w:val="Normal"/>
    <w:link w:val="Heading1Char"/>
    <w:uiPriority w:val="9"/>
    <w:qFormat/>
    <w:rsid w:val="00C429F3"/>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C429F3"/>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C429F3"/>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C429F3"/>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89"/>
  </w:style>
  <w:style w:type="paragraph" w:styleId="Footer">
    <w:name w:val="footer"/>
    <w:basedOn w:val="Normal"/>
    <w:link w:val="FooterChar"/>
    <w:uiPriority w:val="99"/>
    <w:unhideWhenUsed/>
    <w:rsid w:val="00CD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89"/>
  </w:style>
  <w:style w:type="character" w:styleId="Hyperlink">
    <w:name w:val="Hyperlink"/>
    <w:basedOn w:val="DefaultParagraphFont"/>
    <w:uiPriority w:val="99"/>
    <w:unhideWhenUsed/>
    <w:rsid w:val="00CF6B85"/>
    <w:rPr>
      <w:color w:val="0000FF" w:themeColor="hyperlink"/>
      <w:u w:val="single"/>
    </w:rPr>
  </w:style>
  <w:style w:type="paragraph" w:customStyle="1" w:styleId="ReferHead">
    <w:name w:val="Refer Head"/>
    <w:basedOn w:val="Normal"/>
    <w:rsid w:val="005456E2"/>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C429F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C429F3"/>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C429F3"/>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C429F3"/>
    <w:rPr>
      <w:rFonts w:ascii="Arial" w:eastAsiaTheme="majorEastAsia" w:hAnsi="Arial" w:cstheme="majorBidi"/>
      <w:b/>
      <w:bCs/>
      <w:i/>
      <w:iCs/>
      <w:sz w:val="20"/>
    </w:rPr>
  </w:style>
  <w:style w:type="paragraph" w:styleId="BalloonText">
    <w:name w:val="Balloon Text"/>
    <w:basedOn w:val="Normal"/>
    <w:link w:val="BalloonTextChar"/>
    <w:uiPriority w:val="99"/>
    <w:semiHidden/>
    <w:unhideWhenUsed/>
    <w:rsid w:val="005C7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5DA"/>
    <w:rPr>
      <w:rFonts w:ascii="Tahoma" w:hAnsi="Tahoma" w:cs="Tahoma"/>
      <w:sz w:val="16"/>
      <w:szCs w:val="16"/>
    </w:rPr>
  </w:style>
  <w:style w:type="table" w:styleId="TableGrid">
    <w:name w:val="Table Grid"/>
    <w:basedOn w:val="TableNormal"/>
    <w:uiPriority w:val="39"/>
    <w:rsid w:val="00F15949"/>
    <w:pPr>
      <w:spacing w:after="0" w:line="240" w:lineRule="auto"/>
    </w:pPr>
    <w:rPr>
      <w:rFonts w:eastAsia="Calibri"/>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rsid w:val="00C96173"/>
    <w:pPr>
      <w:spacing w:after="0" w:line="240" w:lineRule="auto"/>
    </w:pPr>
    <w:rPr>
      <w:rFonts w:eastAsia="Calibri"/>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27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24009">
      <w:bodyDiv w:val="1"/>
      <w:marLeft w:val="0"/>
      <w:marRight w:val="0"/>
      <w:marTop w:val="0"/>
      <w:marBottom w:val="0"/>
      <w:divBdr>
        <w:top w:val="none" w:sz="0" w:space="0" w:color="auto"/>
        <w:left w:val="none" w:sz="0" w:space="0" w:color="auto"/>
        <w:bottom w:val="none" w:sz="0" w:space="0" w:color="auto"/>
        <w:right w:val="none" w:sz="0" w:space="0" w:color="auto"/>
      </w:divBdr>
    </w:div>
    <w:div w:id="245192739">
      <w:bodyDiv w:val="1"/>
      <w:marLeft w:val="0"/>
      <w:marRight w:val="0"/>
      <w:marTop w:val="0"/>
      <w:marBottom w:val="0"/>
      <w:divBdr>
        <w:top w:val="none" w:sz="0" w:space="0" w:color="auto"/>
        <w:left w:val="none" w:sz="0" w:space="0" w:color="auto"/>
        <w:bottom w:val="none" w:sz="0" w:space="0" w:color="auto"/>
        <w:right w:val="none" w:sz="0" w:space="0" w:color="auto"/>
      </w:divBdr>
    </w:div>
    <w:div w:id="516771559">
      <w:bodyDiv w:val="1"/>
      <w:marLeft w:val="0"/>
      <w:marRight w:val="0"/>
      <w:marTop w:val="0"/>
      <w:marBottom w:val="0"/>
      <w:divBdr>
        <w:top w:val="none" w:sz="0" w:space="0" w:color="auto"/>
        <w:left w:val="none" w:sz="0" w:space="0" w:color="auto"/>
        <w:bottom w:val="none" w:sz="0" w:space="0" w:color="auto"/>
        <w:right w:val="none" w:sz="0" w:space="0" w:color="auto"/>
      </w:divBdr>
    </w:div>
    <w:div w:id="604843229">
      <w:bodyDiv w:val="1"/>
      <w:marLeft w:val="0"/>
      <w:marRight w:val="0"/>
      <w:marTop w:val="0"/>
      <w:marBottom w:val="0"/>
      <w:divBdr>
        <w:top w:val="none" w:sz="0" w:space="0" w:color="auto"/>
        <w:left w:val="none" w:sz="0" w:space="0" w:color="auto"/>
        <w:bottom w:val="none" w:sz="0" w:space="0" w:color="auto"/>
        <w:right w:val="none" w:sz="0" w:space="0" w:color="auto"/>
      </w:divBdr>
    </w:div>
    <w:div w:id="713122606">
      <w:bodyDiv w:val="1"/>
      <w:marLeft w:val="0"/>
      <w:marRight w:val="0"/>
      <w:marTop w:val="0"/>
      <w:marBottom w:val="0"/>
      <w:divBdr>
        <w:top w:val="none" w:sz="0" w:space="0" w:color="auto"/>
        <w:left w:val="none" w:sz="0" w:space="0" w:color="auto"/>
        <w:bottom w:val="none" w:sz="0" w:space="0" w:color="auto"/>
        <w:right w:val="none" w:sz="0" w:space="0" w:color="auto"/>
      </w:divBdr>
    </w:div>
    <w:div w:id="907033298">
      <w:bodyDiv w:val="1"/>
      <w:marLeft w:val="0"/>
      <w:marRight w:val="0"/>
      <w:marTop w:val="0"/>
      <w:marBottom w:val="0"/>
      <w:divBdr>
        <w:top w:val="none" w:sz="0" w:space="0" w:color="auto"/>
        <w:left w:val="none" w:sz="0" w:space="0" w:color="auto"/>
        <w:bottom w:val="none" w:sz="0" w:space="0" w:color="auto"/>
        <w:right w:val="none" w:sz="0" w:space="0" w:color="auto"/>
      </w:divBdr>
    </w:div>
    <w:div w:id="1542984980">
      <w:bodyDiv w:val="1"/>
      <w:marLeft w:val="0"/>
      <w:marRight w:val="0"/>
      <w:marTop w:val="0"/>
      <w:marBottom w:val="0"/>
      <w:divBdr>
        <w:top w:val="none" w:sz="0" w:space="0" w:color="auto"/>
        <w:left w:val="none" w:sz="0" w:space="0" w:color="auto"/>
        <w:bottom w:val="none" w:sz="0" w:space="0" w:color="auto"/>
        <w:right w:val="none" w:sz="0" w:space="0" w:color="auto"/>
      </w:divBdr>
    </w:div>
    <w:div w:id="185653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3930</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Editor GP 005</cp:lastModifiedBy>
  <cp:revision>94</cp:revision>
  <dcterms:created xsi:type="dcterms:W3CDTF">2014-09-20T11:25:00Z</dcterms:created>
  <dcterms:modified xsi:type="dcterms:W3CDTF">2025-06-21T05:43:00Z</dcterms:modified>
</cp:coreProperties>
</file>