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363ED" w14:textId="77777777" w:rsidR="00FE19D9" w:rsidRPr="00565953" w:rsidRDefault="00C45F0A">
      <w:pPr>
        <w:spacing w:line="36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Investigating the Anti-Angiogenic and Cytotoxic Characteristics of </w:t>
      </w:r>
      <w:r w:rsidRPr="00565953">
        <w:rPr>
          <w:rFonts w:ascii="Times New Roman" w:eastAsia="Times New Roman" w:hAnsi="Times New Roman" w:cs="Times New Roman"/>
          <w:b/>
          <w:i/>
          <w:sz w:val="24"/>
          <w:szCs w:val="24"/>
        </w:rPr>
        <w:t>Capparis decidua</w:t>
      </w:r>
      <w:r w:rsidRPr="00565953">
        <w:rPr>
          <w:rFonts w:ascii="Times New Roman" w:eastAsia="Times New Roman" w:hAnsi="Times New Roman" w:cs="Times New Roman"/>
          <w:b/>
          <w:sz w:val="24"/>
          <w:szCs w:val="24"/>
        </w:rPr>
        <w:t xml:space="preserve"> through Integrated </w:t>
      </w:r>
      <w:r w:rsidRPr="00565953">
        <w:rPr>
          <w:rFonts w:ascii="Times New Roman" w:eastAsia="Times New Roman" w:hAnsi="Times New Roman" w:cs="Times New Roman"/>
          <w:b/>
          <w:i/>
          <w:sz w:val="24"/>
          <w:szCs w:val="24"/>
        </w:rPr>
        <w:t>in Silico</w:t>
      </w:r>
      <w:r w:rsidRPr="00565953">
        <w:rPr>
          <w:rFonts w:ascii="Times New Roman" w:eastAsia="Times New Roman" w:hAnsi="Times New Roman" w:cs="Times New Roman"/>
          <w:b/>
          <w:sz w:val="24"/>
          <w:szCs w:val="24"/>
        </w:rPr>
        <w:t xml:space="preserve"> and </w:t>
      </w:r>
      <w:r w:rsidRPr="00565953">
        <w:rPr>
          <w:rFonts w:ascii="Times New Roman" w:eastAsia="Times New Roman" w:hAnsi="Times New Roman" w:cs="Times New Roman"/>
          <w:b/>
          <w:i/>
          <w:sz w:val="24"/>
          <w:szCs w:val="24"/>
        </w:rPr>
        <w:t>in Vitro</w:t>
      </w:r>
      <w:r w:rsidRPr="00565953">
        <w:rPr>
          <w:rFonts w:ascii="Times New Roman" w:eastAsia="Times New Roman" w:hAnsi="Times New Roman" w:cs="Times New Roman"/>
          <w:b/>
          <w:sz w:val="24"/>
          <w:szCs w:val="24"/>
        </w:rPr>
        <w:t xml:space="preserve"> Analysis</w:t>
      </w:r>
    </w:p>
    <w:p w14:paraId="7DAE5F98" w14:textId="77777777" w:rsidR="00FE19D9" w:rsidRPr="00565953" w:rsidRDefault="00FE19D9">
      <w:pPr>
        <w:spacing w:line="360" w:lineRule="auto"/>
        <w:jc w:val="center"/>
        <w:rPr>
          <w:rFonts w:ascii="Times New Roman" w:eastAsia="Times New Roman" w:hAnsi="Times New Roman" w:cs="Times New Roman"/>
          <w:b/>
          <w:sz w:val="24"/>
          <w:szCs w:val="24"/>
        </w:rPr>
      </w:pPr>
    </w:p>
    <w:p w14:paraId="2596330C" w14:textId="77777777" w:rsidR="00FE19D9" w:rsidRPr="00565953" w:rsidRDefault="00C45F0A" w:rsidP="00112EA7">
      <w:pPr>
        <w:spacing w:after="0" w:line="480" w:lineRule="auto"/>
        <w:jc w:val="both"/>
        <w:rPr>
          <w:rFonts w:ascii="Times New Roman" w:eastAsia="Times New Roman" w:hAnsi="Times New Roman" w:cs="Times New Roman"/>
          <w:b/>
          <w:color w:val="191919"/>
          <w:sz w:val="24"/>
          <w:szCs w:val="24"/>
        </w:rPr>
      </w:pPr>
      <w:r w:rsidRPr="00565953">
        <w:rPr>
          <w:rFonts w:ascii="Times New Roman" w:eastAsia="Times New Roman" w:hAnsi="Times New Roman" w:cs="Times New Roman"/>
          <w:b/>
          <w:color w:val="191919"/>
          <w:sz w:val="24"/>
          <w:szCs w:val="24"/>
        </w:rPr>
        <w:t>Abstract</w:t>
      </w:r>
    </w:p>
    <w:p w14:paraId="698F6658" w14:textId="77F0DE3C" w:rsidR="00DA50F9" w:rsidRPr="0051491B" w:rsidRDefault="00C45F0A" w:rsidP="00DA50F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5953">
        <w:rPr>
          <w:rFonts w:ascii="Times New Roman" w:eastAsia="Times New Roman" w:hAnsi="Times New Roman" w:cs="Times New Roman"/>
          <w:i/>
          <w:color w:val="191919"/>
          <w:sz w:val="24"/>
          <w:szCs w:val="24"/>
        </w:rPr>
        <w:t>Capparis decidua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arid-zone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indigenous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plant</w:t>
      </w:r>
      <w:r w:rsidRPr="00565953">
        <w:rPr>
          <w:rFonts w:ascii="Times New Roman" w:eastAsia="Times New Roman" w:hAnsi="Times New Roman" w:cs="Times New Roman"/>
          <w:color w:val="191919"/>
          <w:sz w:val="24"/>
          <w:szCs w:val="24"/>
        </w:rPr>
        <w:t xml:space="preserve">, has been </w:t>
      </w:r>
      <w:r w:rsidRPr="00565953">
        <w:rPr>
          <w:rFonts w:ascii="Times New Roman" w:eastAsia="Times New Roman" w:hAnsi="Times New Roman" w:cs="Times New Roman"/>
          <w:sz w:val="24"/>
          <w:szCs w:val="24"/>
        </w:rPr>
        <w:t>traditionally</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used</w:t>
      </w:r>
      <w:r w:rsidRPr="00565953">
        <w:rPr>
          <w:rFonts w:ascii="Times New Roman" w:eastAsia="Times New Roman" w:hAnsi="Times New Roman" w:cs="Times New Roman"/>
          <w:color w:val="191919"/>
          <w:sz w:val="24"/>
          <w:szCs w:val="24"/>
        </w:rPr>
        <w:t xml:space="preserve"> for various medicinal </w:t>
      </w:r>
      <w:r w:rsidRPr="00565953">
        <w:rPr>
          <w:rFonts w:ascii="Times New Roman" w:eastAsia="Times New Roman" w:hAnsi="Times New Roman" w:cs="Times New Roman"/>
          <w:sz w:val="24"/>
          <w:szCs w:val="24"/>
        </w:rPr>
        <w:t>purposes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It is a medically valued plant that has been reported to possess therapeutic potential.</w:t>
      </w:r>
      <w:r w:rsidR="0051491B">
        <w:rPr>
          <w:rFonts w:ascii="Times New Roman" w:eastAsia="Times New Roman" w:hAnsi="Times New Roman" w:cs="Times New Roman"/>
          <w:sz w:val="24"/>
          <w:szCs w:val="24"/>
        </w:rPr>
        <w:t xml:space="preserve"> </w:t>
      </w:r>
      <w:r w:rsidR="008C65EA" w:rsidRPr="008C65EA">
        <w:rPr>
          <w:rFonts w:ascii="Times New Roman" w:hAnsi="Times New Roman" w:cs="Times New Roman"/>
          <w:sz w:val="24"/>
          <w:szCs w:val="24"/>
          <w:highlight w:val="yellow"/>
          <w:lang w:val="en-GB"/>
        </w:rPr>
        <w:t xml:space="preserve">Despite multiple studies on other </w:t>
      </w:r>
      <w:r w:rsidR="008C65EA" w:rsidRPr="008C65EA">
        <w:rPr>
          <w:rFonts w:ascii="Times New Roman" w:hAnsi="Times New Roman" w:cs="Times New Roman"/>
          <w:i/>
          <w:iCs/>
          <w:sz w:val="24"/>
          <w:szCs w:val="24"/>
          <w:highlight w:val="yellow"/>
          <w:lang w:val="en-GB"/>
        </w:rPr>
        <w:t>Capparis</w:t>
      </w:r>
      <w:r w:rsidR="008C65EA" w:rsidRPr="008C65EA">
        <w:rPr>
          <w:rFonts w:ascii="Times New Roman" w:hAnsi="Times New Roman" w:cs="Times New Roman"/>
          <w:sz w:val="24"/>
          <w:szCs w:val="24"/>
          <w:highlight w:val="yellow"/>
          <w:lang w:val="en-GB"/>
        </w:rPr>
        <w:t xml:space="preserve"> species showing anti-inflammatory, antibacterial, and antioxidant effects, </w:t>
      </w:r>
      <w:r w:rsidR="008C65EA" w:rsidRPr="008C65EA">
        <w:rPr>
          <w:rFonts w:ascii="Times New Roman" w:hAnsi="Times New Roman" w:cs="Times New Roman"/>
          <w:i/>
          <w:iCs/>
          <w:sz w:val="24"/>
          <w:szCs w:val="24"/>
          <w:highlight w:val="yellow"/>
          <w:lang w:val="en-GB"/>
        </w:rPr>
        <w:t>Capparis decidua</w:t>
      </w:r>
      <w:r w:rsidR="008C65EA" w:rsidRPr="008C65EA">
        <w:rPr>
          <w:rFonts w:ascii="Times New Roman" w:hAnsi="Times New Roman" w:cs="Times New Roman"/>
          <w:sz w:val="24"/>
          <w:szCs w:val="24"/>
          <w:highlight w:val="yellow"/>
          <w:lang w:val="en-GB"/>
        </w:rPr>
        <w:t xml:space="preserve"> has received little attention for its anti-cancer effectiveness in breast cancer models</w:t>
      </w:r>
      <w:r w:rsidR="0051491B" w:rsidRPr="008C65EA">
        <w:rPr>
          <w:rFonts w:ascii="Times New Roman" w:hAnsi="Times New Roman" w:cs="Times New Roman"/>
          <w:sz w:val="24"/>
          <w:szCs w:val="24"/>
          <w:highlight w:val="yellow"/>
          <w:lang w:val="en-GB"/>
        </w:rPr>
        <w:t xml:space="preserve">, </w:t>
      </w:r>
      <w:r w:rsidR="0051491B" w:rsidRPr="0051491B">
        <w:rPr>
          <w:rFonts w:ascii="Times New Roman" w:hAnsi="Times New Roman" w:cs="Times New Roman"/>
          <w:sz w:val="24"/>
          <w:szCs w:val="24"/>
          <w:highlight w:val="yellow"/>
          <w:lang w:val="en-GB"/>
        </w:rPr>
        <w:t>with minimal works evaluating its therapeutic value through conventional experimental and computational models</w:t>
      </w:r>
      <w:r w:rsidR="0051491B" w:rsidRPr="001B6D0B">
        <w:rPr>
          <w:rFonts w:ascii="Times New Roman" w:hAnsi="Times New Roman" w:cs="Times New Roman"/>
          <w:lang w:val="en-GB"/>
        </w:rPr>
        <w:t>.</w:t>
      </w:r>
      <w:r w:rsidR="0051491B">
        <w:rPr>
          <w:rFonts w:ascii="Times New Roman" w:hAnsi="Times New Roman" w:cs="Times New Roman"/>
          <w:lang w:val="en-GB"/>
        </w:rPr>
        <w:t xml:space="preserve"> </w:t>
      </w:r>
      <w:r w:rsidRPr="00565953">
        <w:rPr>
          <w:rFonts w:ascii="Times New Roman" w:eastAsia="Times New Roman" w:hAnsi="Times New Roman" w:cs="Times New Roman"/>
          <w:sz w:val="24"/>
          <w:szCs w:val="24"/>
        </w:rPr>
        <w:t xml:space="preserve">Herein, it was assessed for its anti-angiogenic </w:t>
      </w:r>
      <w:bookmarkStart w:id="0" w:name="_Hlk200628153"/>
      <w:r w:rsidRPr="00565953">
        <w:rPr>
          <w:rFonts w:ascii="Times New Roman" w:eastAsia="Times New Roman" w:hAnsi="Times New Roman" w:cs="Times New Roman"/>
          <w:sz w:val="24"/>
          <w:szCs w:val="24"/>
        </w:rPr>
        <w:t xml:space="preserve">and cytotoxic potential with a combined application of in vitro, in vivo, and in silico models with reference to its clinical potential in treating breast cancer. </w:t>
      </w:r>
      <w:bookmarkEnd w:id="0"/>
      <w:r w:rsidR="00B85C62" w:rsidRPr="00B85C62">
        <w:rPr>
          <w:rFonts w:ascii="Times New Roman" w:eastAsia="Times New Roman" w:hAnsi="Times New Roman" w:cs="Times New Roman"/>
          <w:sz w:val="24"/>
          <w:szCs w:val="24"/>
          <w:highlight w:val="yellow"/>
        </w:rPr>
        <w:t>Cytotoxicity was determined using the MTT assay on MCF-7 breast cancer cells and the extract demonstrated a dose-dependent inhibitory activity with an IC₅₀ of approximately 1368 µg/mL in this assay. Significantly, its performance was compared against standard chemotherapeutics but although not as potent as 5-fluorouracil or Capecitabine, it showed noteworthy biological activity, especially in terms of the drug's inhibitory activity on angiogenesis</w:t>
      </w:r>
      <w:r w:rsidRPr="00B85C62">
        <w:rPr>
          <w:rFonts w:ascii="Times New Roman" w:eastAsia="Times New Roman" w:hAnsi="Times New Roman" w:cs="Times New Roman"/>
          <w:sz w:val="24"/>
          <w:szCs w:val="24"/>
          <w:highlight w:val="yellow"/>
        </w:rPr>
        <w:t>.</w:t>
      </w:r>
      <w:r w:rsidR="00833CC1" w:rsidRPr="00B85C62">
        <w:rPr>
          <w:rFonts w:ascii="Times New Roman" w:eastAsia="Times New Roman" w:hAnsi="Times New Roman" w:cs="Times New Roman"/>
          <w:sz w:val="24"/>
          <w:szCs w:val="24"/>
          <w:highlight w:val="yellow"/>
        </w:rPr>
        <w:t xml:space="preserve"> </w:t>
      </w:r>
      <w:r w:rsidR="00DA50F9" w:rsidRPr="00833CC1">
        <w:rPr>
          <w:rFonts w:ascii="Times New Roman" w:eastAsia="Times New Roman" w:hAnsi="Times New Roman" w:cs="Times New Roman"/>
          <w:color w:val="000000"/>
          <w:sz w:val="24"/>
          <w:szCs w:val="24"/>
          <w:highlight w:val="yellow"/>
        </w:rPr>
        <w:t xml:space="preserve">The CAM </w:t>
      </w:r>
      <w:r w:rsidR="00DA50F9" w:rsidRPr="00833CC1">
        <w:rPr>
          <w:rFonts w:ascii="Times New Roman" w:eastAsia="Times New Roman" w:hAnsi="Times New Roman" w:cs="Times New Roman"/>
          <w:sz w:val="24"/>
          <w:szCs w:val="24"/>
          <w:highlight w:val="yellow"/>
        </w:rPr>
        <w:t>assay</w:t>
      </w:r>
      <w:r w:rsidR="00DA50F9" w:rsidRPr="00833CC1">
        <w:rPr>
          <w:rFonts w:ascii="Times New Roman" w:eastAsia="Times New Roman" w:hAnsi="Times New Roman" w:cs="Times New Roman"/>
          <w:color w:val="000000"/>
          <w:sz w:val="24"/>
          <w:szCs w:val="24"/>
          <w:highlight w:val="yellow"/>
        </w:rPr>
        <w:t xml:space="preserve"> demonstrated that the extract exhibited peak inhibition of angiogenesis at a concentration of 50 µg/egg, yielding an Anti-Angiogenic Index of 62.50.</w:t>
      </w:r>
      <w:r w:rsidR="00DA50F9">
        <w:rPr>
          <w:rFonts w:ascii="Times New Roman" w:eastAsia="Times New Roman" w:hAnsi="Times New Roman" w:cs="Times New Roman"/>
          <w:color w:val="000000"/>
          <w:sz w:val="24"/>
          <w:szCs w:val="24"/>
        </w:rPr>
        <w:t xml:space="preserve"> </w:t>
      </w:r>
      <w:r w:rsidR="00DA50F9" w:rsidRPr="00DA50F9">
        <w:rPr>
          <w:rFonts w:ascii="Times New Roman" w:eastAsia="Times New Roman" w:hAnsi="Times New Roman" w:cs="Times New Roman"/>
          <w:color w:val="000000"/>
          <w:sz w:val="24"/>
          <w:szCs w:val="24"/>
        </w:rPr>
        <w:t>Molecular docking revealed that the compound 6-(1-hydroxy-non-3-enyl) tetrahydropyran-2-one exhibited strong binding affinity for breast cancer-related targets, specifically MDM2 (−10.1887 kcal/mol) and oestrogen receptor (ER) (−10.8640 kcal/mol), suggesting its potential to disrupt critical pathways in cancer progression.</w:t>
      </w:r>
      <w:r w:rsidR="00DA50F9">
        <w:rPr>
          <w:rFonts w:ascii="Times New Roman" w:eastAsia="Times New Roman" w:hAnsi="Times New Roman" w:cs="Times New Roman"/>
          <w:color w:val="000000"/>
          <w:sz w:val="24"/>
          <w:szCs w:val="24"/>
        </w:rPr>
        <w:t xml:space="preserve"> </w:t>
      </w:r>
      <w:r w:rsidR="00DA50F9" w:rsidRPr="00B85C62">
        <w:rPr>
          <w:rFonts w:ascii="Times New Roman" w:eastAsia="Times New Roman" w:hAnsi="Times New Roman" w:cs="Times New Roman"/>
          <w:color w:val="000000"/>
          <w:sz w:val="24"/>
          <w:szCs w:val="24"/>
          <w:highlight w:val="yellow"/>
        </w:rPr>
        <w:t xml:space="preserve">The findings indicate that </w:t>
      </w:r>
      <w:r w:rsidR="00DA50F9" w:rsidRPr="00B85C62">
        <w:rPr>
          <w:rFonts w:ascii="Times New Roman" w:eastAsia="Times New Roman" w:hAnsi="Times New Roman" w:cs="Times New Roman"/>
          <w:i/>
          <w:iCs/>
          <w:color w:val="000000"/>
          <w:sz w:val="24"/>
          <w:szCs w:val="24"/>
          <w:highlight w:val="yellow"/>
        </w:rPr>
        <w:t>Capparis decidua</w:t>
      </w:r>
      <w:r w:rsidR="00DA50F9" w:rsidRPr="00B85C62">
        <w:rPr>
          <w:rFonts w:ascii="Times New Roman" w:eastAsia="Times New Roman" w:hAnsi="Times New Roman" w:cs="Times New Roman"/>
          <w:color w:val="000000"/>
          <w:sz w:val="24"/>
          <w:szCs w:val="24"/>
          <w:highlight w:val="yellow"/>
        </w:rPr>
        <w:t xml:space="preserve"> may be investigated as a novel approach for complementary or alternative medicine in breast cancer treatment. Future endeavours should concentrate on isolating bioactive chemicals, enhancing their efficacy, and substantiating their therapeutic effects through preclinical studies, clinical trials, and research investigations.</w:t>
      </w:r>
    </w:p>
    <w:p w14:paraId="4C89BA56"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Keywords:</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MCF-7, anti-angiogenic, cytotoxicity, CAM assay, molecular docking, breast cancer.</w:t>
      </w:r>
    </w:p>
    <w:p w14:paraId="5FC59997" w14:textId="77777777" w:rsidR="00D47E1F" w:rsidRPr="00565953" w:rsidRDefault="00D47E1F" w:rsidP="00112EA7">
      <w:pPr>
        <w:spacing w:line="480" w:lineRule="auto"/>
        <w:jc w:val="both"/>
        <w:rPr>
          <w:rFonts w:ascii="Times New Roman" w:eastAsia="Times New Roman" w:hAnsi="Times New Roman" w:cs="Times New Roman"/>
          <w:sz w:val="24"/>
          <w:szCs w:val="24"/>
        </w:rPr>
      </w:pPr>
    </w:p>
    <w:p w14:paraId="5ABE59F2" w14:textId="77777777" w:rsidR="00FE19D9" w:rsidRPr="00565953" w:rsidRDefault="00C45F0A" w:rsidP="004866B5">
      <w:pPr>
        <w:pStyle w:val="ListParagraph"/>
        <w:numPr>
          <w:ilvl w:val="0"/>
          <w:numId w:val="5"/>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lastRenderedPageBreak/>
        <w:t>Introduction</w:t>
      </w:r>
    </w:p>
    <w:p w14:paraId="538D778C" w14:textId="672F14CB"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Abnormal proliferation of breast tissue cells defines breast cancer. Atypical cell proliferation and multiplication in breast tissues cause breast cancer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Breast cancer is among the most prevalent cancers in women, making it a major worldwide health issue. Breast cancer accounts for 25% of all cancer cases in women, rendering it the most common malignancy among the female population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2</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In India, breast cancer accounts for 28.2 % of all female cancer cases, with around 216,108 new cases reported in 2022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3</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age-standardized incidence rate of breast cancer among Indian women increased by 39.1% from 1990 to 2016, highlighting the urgent necessity for effective therapies. Although the majority of breast cancers are non-aggressive and can be adequately treated with surgical procedures, around 25% have slow-growing but highly invasive traits. Contemporary therapeutic strategies can inhibit tumour proliferation but frequently do not avert recurrence, increasing fatality rates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Several cancer cell lines are utilised globally to evaluate their pathobiology and the effectiveness of novel investigational agents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4, 5</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Due to its molecular heterogeneity, suitable models are essential for understanding disease prognosis, underlying mechanisms, and the action of drugs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6</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MCF-7 cells were established in 1973 at the Michigan Cancer Foundation. This cell line is considered one of the optimal models for breast cancer studies due to its sensitivity related to the expression of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receptors (ER)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7</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75301F81" w14:textId="3509E7A1"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Angiogenesis is the process of new blood vessel formation and plays a significant role in tumour proliferation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8</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Tumours exhibiting insufficient angiogenesis have an inability to attain logarithmic growth, resulting in a dormant state, as tumour proliferation is significantly reliant on vascular development for the provision of essential nutrients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9</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discovery of anti-angiogenic agents has garnered significant attention as tumour suppressive agents in cancer chemotherapy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9</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Numerous potential anti-angiogenic agents are under investigation for novel drug discovery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sz w:val="24"/>
          <w:szCs w:val="24"/>
        </w:rPr>
        <w:lastRenderedPageBreak/>
        <w:t xml:space="preserve">The chicken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(CAM) serves as an </w:t>
      </w:r>
      <w:r w:rsidR="00D50014" w:rsidRPr="00565953">
        <w:rPr>
          <w:rFonts w:ascii="Times New Roman" w:eastAsia="Times New Roman" w:hAnsi="Times New Roman" w:cs="Times New Roman"/>
          <w:i/>
          <w:sz w:val="24"/>
          <w:szCs w:val="24"/>
        </w:rPr>
        <w:t>in</w:t>
      </w:r>
      <w:r w:rsidRPr="00565953">
        <w:rPr>
          <w:rFonts w:ascii="Times New Roman" w:eastAsia="Times New Roman" w:hAnsi="Times New Roman" w:cs="Times New Roman"/>
          <w:i/>
          <w:sz w:val="24"/>
          <w:szCs w:val="24"/>
        </w:rPr>
        <w:t xml:space="preserve"> vivo</w:t>
      </w:r>
      <w:r w:rsidRPr="00565953">
        <w:rPr>
          <w:rFonts w:ascii="Times New Roman" w:eastAsia="Times New Roman" w:hAnsi="Times New Roman" w:cs="Times New Roman"/>
          <w:sz w:val="24"/>
          <w:szCs w:val="24"/>
        </w:rPr>
        <w:t xml:space="preserve"> model for evaluating the effects of potential anti-angiogenic agents on blood vessel formation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2</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Natural products have emerged as a possible source for the development of anti-cancer therapies. Certain medicinal plants, particularly those used in traditional Chinese medicine, have been reported to exhibit efficacy in ischemic diseases and cancer </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3</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23297EC1" w14:textId="38B133AF" w:rsidR="00F51D0B"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Medicinal herbs like </w:t>
      </w:r>
      <w:r w:rsidRPr="00565953">
        <w:rPr>
          <w:rFonts w:ascii="Times New Roman" w:eastAsia="Times New Roman" w:hAnsi="Times New Roman" w:cs="Times New Roman"/>
          <w:i/>
          <w:iCs/>
          <w:sz w:val="24"/>
          <w:szCs w:val="24"/>
        </w:rPr>
        <w:t>Capparis decidua</w:t>
      </w:r>
      <w:r w:rsidRPr="00565953">
        <w:rPr>
          <w:rFonts w:ascii="Times New Roman" w:eastAsia="Times New Roman" w:hAnsi="Times New Roman" w:cs="Times New Roman"/>
          <w:sz w:val="24"/>
          <w:szCs w:val="24"/>
        </w:rPr>
        <w:t xml:space="preserve">, which have been used for different health issues, have important natural substances like glucosides, </w:t>
      </w:r>
      <w:proofErr w:type="spellStart"/>
      <w:r w:rsidRPr="00565953">
        <w:rPr>
          <w:rFonts w:ascii="Times New Roman" w:eastAsia="Times New Roman" w:hAnsi="Times New Roman" w:cs="Times New Roman"/>
          <w:sz w:val="24"/>
          <w:szCs w:val="24"/>
        </w:rPr>
        <w:t>glucocapparin</w:t>
      </w:r>
      <w:proofErr w:type="spellEnd"/>
      <w:r w:rsidRPr="00565953">
        <w:rPr>
          <w:rFonts w:ascii="Times New Roman" w:eastAsia="Times New Roman" w:hAnsi="Times New Roman" w:cs="Times New Roman"/>
          <w:sz w:val="24"/>
          <w:szCs w:val="24"/>
        </w:rPr>
        <w:t xml:space="preserve">, </w:t>
      </w:r>
      <w:proofErr w:type="spellStart"/>
      <w:r w:rsidRPr="00565953">
        <w:rPr>
          <w:rFonts w:ascii="Times New Roman" w:eastAsia="Times New Roman" w:hAnsi="Times New Roman" w:cs="Times New Roman"/>
          <w:sz w:val="24"/>
          <w:szCs w:val="24"/>
        </w:rPr>
        <w:t>stachydrine</w:t>
      </w:r>
      <w:proofErr w:type="spellEnd"/>
      <w:r w:rsidRPr="00565953">
        <w:rPr>
          <w:rFonts w:ascii="Times New Roman" w:eastAsia="Times New Roman" w:hAnsi="Times New Roman" w:cs="Times New Roman"/>
          <w:sz w:val="24"/>
          <w:szCs w:val="24"/>
        </w:rPr>
        <w:t xml:space="preserve">, n-triacontane, β-carotene, 6-(1-hydroxy-non-3-enyl) tetrahydropyran-2-one, β-sitosterol, and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that show strong anticancer effects according to literature surveys</w:t>
      </w:r>
      <w:r w:rsidR="0000032B" w:rsidRPr="00565953">
        <w:rPr>
          <w:rFonts w:ascii="Times New Roman" w:eastAsia="Times New Roman" w:hAnsi="Times New Roman" w:cs="Times New Roman"/>
          <w:sz w:val="24"/>
          <w:szCs w:val="24"/>
        </w:rPr>
        <w:t xml:space="preserve"> </w:t>
      </w:r>
      <w:r w:rsidR="00EA7FB9" w:rsidRPr="00565953">
        <w:rPr>
          <w:rFonts w:ascii="Times New Roman" w:eastAsia="Times New Roman" w:hAnsi="Times New Roman" w:cs="Times New Roman"/>
          <w:sz w:val="24"/>
          <w:szCs w:val="24"/>
        </w:rPr>
        <w:t>[</w:t>
      </w:r>
      <w:r w:rsidR="0000032B" w:rsidRPr="00565953">
        <w:rPr>
          <w:rFonts w:ascii="Times New Roman" w:eastAsia="Times New Roman" w:hAnsi="Times New Roman" w:cs="Times New Roman"/>
          <w:sz w:val="24"/>
          <w:szCs w:val="24"/>
        </w:rPr>
        <w:t>1</w:t>
      </w:r>
      <w:r w:rsidR="00EA7FB9" w:rsidRPr="00565953">
        <w:rPr>
          <w:rFonts w:ascii="Times New Roman" w:eastAsia="Times New Roman" w:hAnsi="Times New Roman" w:cs="Times New Roman"/>
          <w:sz w:val="24"/>
          <w:szCs w:val="24"/>
        </w:rPr>
        <w:t>4</w:t>
      </w:r>
      <w:r w:rsidR="0000032B" w:rsidRPr="00565953">
        <w:rPr>
          <w:rFonts w:ascii="Times New Roman" w:eastAsia="Times New Roman" w:hAnsi="Times New Roman" w:cs="Times New Roman"/>
          <w:sz w:val="24"/>
          <w:szCs w:val="24"/>
        </w:rPr>
        <w:t>, 1</w:t>
      </w:r>
      <w:r w:rsidR="00EA7FB9" w:rsidRPr="00565953">
        <w:rPr>
          <w:rFonts w:ascii="Times New Roman" w:eastAsia="Times New Roman" w:hAnsi="Times New Roman" w:cs="Times New Roman"/>
          <w:sz w:val="24"/>
          <w:szCs w:val="24"/>
        </w:rPr>
        <w:t>5</w:t>
      </w:r>
      <w:r w:rsidR="00D338B8" w:rsidRPr="00565953">
        <w:rPr>
          <w:rFonts w:ascii="Times New Roman" w:eastAsia="Times New Roman" w:hAnsi="Times New Roman" w:cs="Times New Roman"/>
          <w:sz w:val="24"/>
          <w:szCs w:val="24"/>
        </w:rPr>
        <w:t>, 16</w:t>
      </w:r>
      <w:r w:rsidR="00EA7FB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This study investigates the anticancer potential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Plant extract evaluated for cytotoxicity against MCF-7 cell line, along with anti-angiogenic and </w:t>
      </w:r>
      <w:r w:rsidRPr="00565953">
        <w:rPr>
          <w:rFonts w:ascii="Times New Roman" w:eastAsia="Times New Roman" w:hAnsi="Times New Roman" w:cs="Times New Roman"/>
          <w:i/>
          <w:sz w:val="24"/>
          <w:szCs w:val="24"/>
        </w:rPr>
        <w:t>in silico</w:t>
      </w:r>
      <w:r w:rsidRPr="00565953">
        <w:rPr>
          <w:rFonts w:ascii="Times New Roman" w:eastAsia="Times New Roman" w:hAnsi="Times New Roman" w:cs="Times New Roman"/>
          <w:sz w:val="24"/>
          <w:szCs w:val="24"/>
        </w:rPr>
        <w:t xml:space="preserve"> molecular docking to predict potential binding modes. </w:t>
      </w:r>
    </w:p>
    <w:p w14:paraId="6DBE4E6B" w14:textId="77777777" w:rsidR="00FE19D9" w:rsidRPr="00565953" w:rsidRDefault="00C45F0A" w:rsidP="004866B5">
      <w:pPr>
        <w:pStyle w:val="ListParagraph"/>
        <w:numPr>
          <w:ilvl w:val="0"/>
          <w:numId w:val="5"/>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Materials and Methods</w:t>
      </w:r>
    </w:p>
    <w:p w14:paraId="38D35CC0" w14:textId="77777777" w:rsidR="00FE19D9" w:rsidRPr="00565953" w:rsidRDefault="00C45F0A" w:rsidP="004866B5">
      <w:pPr>
        <w:pStyle w:val="ListParagraph"/>
        <w:numPr>
          <w:ilvl w:val="0"/>
          <w:numId w:val="6"/>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Materials </w:t>
      </w:r>
    </w:p>
    <w:p w14:paraId="1F9A1196"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Trypsin EDTA (</w:t>
      </w:r>
      <w:proofErr w:type="spellStart"/>
      <w:r w:rsidRPr="00565953">
        <w:rPr>
          <w:rFonts w:ascii="Times New Roman" w:eastAsia="Times New Roman" w:hAnsi="Times New Roman" w:cs="Times New Roman"/>
          <w:sz w:val="24"/>
          <w:szCs w:val="24"/>
        </w:rPr>
        <w:t>Himedia</w:t>
      </w:r>
      <w:proofErr w:type="spellEnd"/>
      <w:r w:rsidRPr="00565953">
        <w:rPr>
          <w:rFonts w:ascii="Times New Roman" w:eastAsia="Times New Roman" w:hAnsi="Times New Roman" w:cs="Times New Roman"/>
          <w:sz w:val="24"/>
          <w:szCs w:val="24"/>
        </w:rPr>
        <w:t>), MTT reagent (Merck), dimethyl sulfoxide (DMSO), (Merck) 70% alcohol (</w:t>
      </w:r>
      <w:proofErr w:type="spellStart"/>
      <w:r w:rsidRPr="00565953">
        <w:rPr>
          <w:rFonts w:ascii="Times New Roman" w:eastAsia="Times New Roman" w:hAnsi="Times New Roman" w:cs="Times New Roman"/>
          <w:sz w:val="24"/>
          <w:szCs w:val="24"/>
        </w:rPr>
        <w:t>Emplura</w:t>
      </w:r>
      <w:proofErr w:type="spellEnd"/>
      <w:r w:rsidRPr="00565953">
        <w:rPr>
          <w:rFonts w:ascii="Times New Roman" w:eastAsia="Times New Roman" w:hAnsi="Times New Roman" w:cs="Times New Roman"/>
          <w:sz w:val="24"/>
          <w:szCs w:val="24"/>
        </w:rPr>
        <w:t>), distilled water (</w:t>
      </w:r>
      <w:proofErr w:type="spellStart"/>
      <w:r w:rsidRPr="00565953">
        <w:rPr>
          <w:rFonts w:ascii="Times New Roman" w:eastAsia="Times New Roman" w:hAnsi="Times New Roman" w:cs="Times New Roman"/>
          <w:sz w:val="24"/>
          <w:szCs w:val="24"/>
        </w:rPr>
        <w:t>Panshul</w:t>
      </w:r>
      <w:proofErr w:type="spellEnd"/>
      <w:r w:rsidRPr="00565953">
        <w:rPr>
          <w:rFonts w:ascii="Times New Roman" w:eastAsia="Times New Roman" w:hAnsi="Times New Roman" w:cs="Times New Roman"/>
          <w:sz w:val="24"/>
          <w:szCs w:val="24"/>
        </w:rPr>
        <w:t xml:space="preserve"> Industries), </w:t>
      </w:r>
      <w:proofErr w:type="spellStart"/>
      <w:r w:rsidRPr="00565953">
        <w:rPr>
          <w:rFonts w:ascii="Times New Roman" w:eastAsia="Times New Roman" w:hAnsi="Times New Roman" w:cs="Times New Roman"/>
          <w:sz w:val="24"/>
          <w:szCs w:val="24"/>
        </w:rPr>
        <w:t>hemocytometer</w:t>
      </w:r>
      <w:proofErr w:type="spellEnd"/>
      <w:r w:rsidRPr="00565953">
        <w:rPr>
          <w:rFonts w:ascii="Times New Roman" w:eastAsia="Times New Roman" w:hAnsi="Times New Roman" w:cs="Times New Roman"/>
          <w:sz w:val="24"/>
          <w:szCs w:val="24"/>
        </w:rPr>
        <w:t xml:space="preserve"> (ROHEM INDIA), microscope and camera (Lab tech), ELISA plate reader (Alere medical </w:t>
      </w:r>
      <w:proofErr w:type="spellStart"/>
      <w:r w:rsidRPr="00565953">
        <w:rPr>
          <w:rFonts w:ascii="Times New Roman" w:eastAsia="Times New Roman" w:hAnsi="Times New Roman" w:cs="Times New Roman"/>
          <w:sz w:val="24"/>
          <w:szCs w:val="24"/>
        </w:rPr>
        <w:t>Pvt.</w:t>
      </w:r>
      <w:proofErr w:type="spellEnd"/>
      <w:r w:rsidRPr="00565953">
        <w:rPr>
          <w:rFonts w:ascii="Times New Roman" w:eastAsia="Times New Roman" w:hAnsi="Times New Roman" w:cs="Times New Roman"/>
          <w:sz w:val="24"/>
          <w:szCs w:val="24"/>
        </w:rPr>
        <w:t xml:space="preserve"> Ltd.), pipettes (Perfect), CO₂ incubator (Remi), culture flasks (</w:t>
      </w:r>
      <w:proofErr w:type="spellStart"/>
      <w:r w:rsidRPr="00565953">
        <w:rPr>
          <w:rFonts w:ascii="Times New Roman" w:eastAsia="Times New Roman" w:hAnsi="Times New Roman" w:cs="Times New Roman"/>
          <w:sz w:val="24"/>
          <w:szCs w:val="24"/>
        </w:rPr>
        <w:t>Tarsons</w:t>
      </w:r>
      <w:proofErr w:type="spellEnd"/>
      <w:r w:rsidRPr="00565953">
        <w:rPr>
          <w:rFonts w:ascii="Times New Roman" w:eastAsia="Times New Roman" w:hAnsi="Times New Roman" w:cs="Times New Roman"/>
          <w:sz w:val="24"/>
          <w:szCs w:val="24"/>
        </w:rPr>
        <w:t>), 96-well plate (</w:t>
      </w:r>
      <w:proofErr w:type="spellStart"/>
      <w:r w:rsidRPr="00565953">
        <w:rPr>
          <w:rFonts w:ascii="Times New Roman" w:eastAsia="Times New Roman" w:hAnsi="Times New Roman" w:cs="Times New Roman"/>
          <w:sz w:val="24"/>
          <w:szCs w:val="24"/>
        </w:rPr>
        <w:t>Himedia</w:t>
      </w:r>
      <w:proofErr w:type="spellEnd"/>
      <w:r w:rsidRPr="00565953">
        <w:rPr>
          <w:rFonts w:ascii="Times New Roman" w:eastAsia="Times New Roman" w:hAnsi="Times New Roman" w:cs="Times New Roman"/>
          <w:sz w:val="24"/>
          <w:szCs w:val="24"/>
        </w:rPr>
        <w:t>), and centrifuge tubes (</w:t>
      </w:r>
      <w:proofErr w:type="spellStart"/>
      <w:r w:rsidRPr="00565953">
        <w:rPr>
          <w:rFonts w:ascii="Times New Roman" w:eastAsia="Times New Roman" w:hAnsi="Times New Roman" w:cs="Times New Roman"/>
          <w:sz w:val="24"/>
          <w:szCs w:val="24"/>
        </w:rPr>
        <w:t>Himedia</w:t>
      </w:r>
      <w:proofErr w:type="spellEnd"/>
      <w:r w:rsidRPr="00565953">
        <w:rPr>
          <w:rFonts w:ascii="Times New Roman" w:eastAsia="Times New Roman" w:hAnsi="Times New Roman" w:cs="Times New Roman"/>
          <w:sz w:val="24"/>
          <w:szCs w:val="24"/>
        </w:rPr>
        <w:t>).</w:t>
      </w:r>
    </w:p>
    <w:p w14:paraId="74A1672E" w14:textId="77777777" w:rsidR="00FE19D9" w:rsidRPr="00565953" w:rsidRDefault="00C45F0A" w:rsidP="004866B5">
      <w:pPr>
        <w:pStyle w:val="ListParagraph"/>
        <w:numPr>
          <w:ilvl w:val="0"/>
          <w:numId w:val="7"/>
        </w:numPr>
        <w:spacing w:after="0" w:line="480" w:lineRule="auto"/>
        <w:jc w:val="both"/>
        <w:rPr>
          <w:rFonts w:ascii="Times New Roman" w:eastAsia="Times New Roman" w:hAnsi="Times New Roman" w:cs="Times New Roman"/>
          <w:b/>
          <w:color w:val="191919"/>
          <w:sz w:val="24"/>
          <w:szCs w:val="24"/>
        </w:rPr>
      </w:pPr>
      <w:r w:rsidRPr="00565953">
        <w:rPr>
          <w:rFonts w:ascii="Times New Roman" w:eastAsia="Times New Roman" w:hAnsi="Times New Roman" w:cs="Times New Roman"/>
          <w:b/>
          <w:color w:val="191919"/>
          <w:sz w:val="24"/>
          <w:szCs w:val="24"/>
        </w:rPr>
        <w:t>Plant Sample Collection</w:t>
      </w:r>
    </w:p>
    <w:p w14:paraId="6F0038AF"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color w:val="191919"/>
          <w:sz w:val="24"/>
          <w:szCs w:val="24"/>
        </w:rPr>
        <w:t xml:space="preserve">Fresh </w:t>
      </w:r>
      <w:r w:rsidRPr="00565953">
        <w:rPr>
          <w:rFonts w:ascii="Times New Roman" w:eastAsia="Times New Roman" w:hAnsi="Times New Roman" w:cs="Times New Roman"/>
          <w:sz w:val="24"/>
          <w:szCs w:val="24"/>
        </w:rPr>
        <w:t>plant</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materials </w:t>
      </w:r>
      <w:r w:rsidRPr="00565953">
        <w:rPr>
          <w:rFonts w:ascii="Times New Roman" w:eastAsia="Times New Roman" w:hAnsi="Times New Roman" w:cs="Times New Roman"/>
          <w:color w:val="191919"/>
          <w:sz w:val="24"/>
          <w:szCs w:val="24"/>
        </w:rPr>
        <w:t xml:space="preserve">of </w:t>
      </w:r>
      <w:r w:rsidRPr="00565953">
        <w:rPr>
          <w:rFonts w:ascii="Times New Roman" w:eastAsia="Times New Roman" w:hAnsi="Times New Roman" w:cs="Times New Roman"/>
          <w:i/>
          <w:color w:val="191919"/>
          <w:sz w:val="24"/>
          <w:szCs w:val="24"/>
        </w:rPr>
        <w:t>Capparis decidua</w:t>
      </w:r>
      <w:r w:rsidRPr="00565953">
        <w:rPr>
          <w:rFonts w:ascii="Times New Roman" w:eastAsia="Times New Roman" w:hAnsi="Times New Roman" w:cs="Times New Roman"/>
          <w:color w:val="191919"/>
          <w:sz w:val="24"/>
          <w:szCs w:val="24"/>
        </w:rPr>
        <w:t xml:space="preserve"> were collected </w:t>
      </w:r>
      <w:r w:rsidRPr="00565953">
        <w:rPr>
          <w:rFonts w:ascii="Times New Roman" w:eastAsia="Times New Roman" w:hAnsi="Times New Roman" w:cs="Times New Roman"/>
          <w:sz w:val="24"/>
          <w:szCs w:val="24"/>
        </w:rPr>
        <w:t xml:space="preserve">at Dive Ghat, Tal. Purandar, Pune. The </w:t>
      </w:r>
      <w:r w:rsidRPr="00565953">
        <w:rPr>
          <w:rFonts w:ascii="Times New Roman" w:eastAsia="Times New Roman" w:hAnsi="Times New Roman" w:cs="Times New Roman"/>
          <w:color w:val="191919"/>
          <w:sz w:val="24"/>
          <w:szCs w:val="24"/>
        </w:rPr>
        <w:t xml:space="preserve">specimens </w:t>
      </w:r>
      <w:r w:rsidRPr="00565953">
        <w:rPr>
          <w:rFonts w:ascii="Times New Roman" w:eastAsia="Times New Roman" w:hAnsi="Times New Roman" w:cs="Times New Roman"/>
          <w:sz w:val="24"/>
          <w:szCs w:val="24"/>
        </w:rPr>
        <w:t xml:space="preserve">received </w:t>
      </w:r>
      <w:r w:rsidRPr="00565953">
        <w:rPr>
          <w:rFonts w:ascii="Times New Roman" w:eastAsia="Times New Roman" w:hAnsi="Times New Roman" w:cs="Times New Roman"/>
          <w:color w:val="191919"/>
          <w:sz w:val="24"/>
          <w:szCs w:val="24"/>
        </w:rPr>
        <w:t xml:space="preserve">were </w:t>
      </w:r>
      <w:r w:rsidRPr="00565953">
        <w:rPr>
          <w:rFonts w:ascii="Times New Roman" w:eastAsia="Times New Roman" w:hAnsi="Times New Roman" w:cs="Times New Roman"/>
          <w:sz w:val="24"/>
          <w:szCs w:val="24"/>
        </w:rPr>
        <w:t>submitted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for botanical authentication to the Botanical Survey of India (BSI)</w:t>
      </w:r>
      <w:r w:rsidRPr="00565953">
        <w:rPr>
          <w:rFonts w:ascii="Times New Roman" w:eastAsia="Times New Roman" w:hAnsi="Times New Roman" w:cs="Times New Roman"/>
          <w:color w:val="191919"/>
          <w:sz w:val="24"/>
          <w:szCs w:val="24"/>
        </w:rPr>
        <w:t xml:space="preserve">, and </w:t>
      </w:r>
      <w:r w:rsidRPr="00565953">
        <w:rPr>
          <w:rFonts w:ascii="Times New Roman" w:eastAsia="Times New Roman" w:hAnsi="Times New Roman" w:cs="Times New Roman"/>
          <w:sz w:val="24"/>
          <w:szCs w:val="24"/>
        </w:rPr>
        <w:t>an authentication</w:t>
      </w:r>
      <w:r w:rsidRPr="00565953">
        <w:rPr>
          <w:rFonts w:ascii="Times New Roman" w:eastAsia="Times New Roman" w:hAnsi="Times New Roman" w:cs="Times New Roman"/>
          <w:color w:val="191919"/>
          <w:sz w:val="24"/>
          <w:szCs w:val="24"/>
        </w:rPr>
        <w:t xml:space="preserve"> number (CDSRM-2) was </w:t>
      </w:r>
      <w:r w:rsidRPr="00565953">
        <w:rPr>
          <w:rFonts w:ascii="Times New Roman" w:eastAsia="Times New Roman" w:hAnsi="Times New Roman" w:cs="Times New Roman"/>
          <w:sz w:val="24"/>
          <w:szCs w:val="24"/>
        </w:rPr>
        <w:t>provided.</w:t>
      </w:r>
    </w:p>
    <w:p w14:paraId="768B7DD8" w14:textId="77777777" w:rsidR="00FE19D9" w:rsidRPr="00565953" w:rsidRDefault="00FE19D9" w:rsidP="00112EA7">
      <w:pPr>
        <w:spacing w:after="0" w:line="480" w:lineRule="auto"/>
        <w:jc w:val="both"/>
        <w:rPr>
          <w:rFonts w:ascii="Times New Roman" w:eastAsia="Times New Roman" w:hAnsi="Times New Roman" w:cs="Times New Roman"/>
          <w:color w:val="191919"/>
          <w:sz w:val="24"/>
          <w:szCs w:val="24"/>
        </w:rPr>
      </w:pPr>
    </w:p>
    <w:p w14:paraId="6067B370" w14:textId="77777777" w:rsidR="00FE19D9" w:rsidRPr="00565953" w:rsidRDefault="00C45F0A" w:rsidP="004866B5">
      <w:pPr>
        <w:pStyle w:val="ListParagraph"/>
        <w:numPr>
          <w:ilvl w:val="0"/>
          <w:numId w:val="8"/>
        </w:numPr>
        <w:spacing w:after="0" w:line="480" w:lineRule="auto"/>
        <w:jc w:val="both"/>
        <w:rPr>
          <w:rFonts w:ascii="Times New Roman" w:eastAsia="Times New Roman" w:hAnsi="Times New Roman" w:cs="Times New Roman"/>
          <w:b/>
          <w:color w:val="191919"/>
          <w:sz w:val="24"/>
          <w:szCs w:val="24"/>
        </w:rPr>
      </w:pPr>
      <w:r w:rsidRPr="00565953">
        <w:rPr>
          <w:rFonts w:ascii="Times New Roman" w:eastAsia="Times New Roman" w:hAnsi="Times New Roman" w:cs="Times New Roman"/>
          <w:b/>
          <w:color w:val="191919"/>
          <w:sz w:val="24"/>
          <w:szCs w:val="24"/>
        </w:rPr>
        <w:t>Preparation of Extracts</w:t>
      </w:r>
    </w:p>
    <w:p w14:paraId="055BC627" w14:textId="189E7FD5"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color w:val="191919"/>
          <w:sz w:val="24"/>
          <w:szCs w:val="24"/>
        </w:rPr>
        <w:t xml:space="preserve">The </w:t>
      </w:r>
      <w:r w:rsidRPr="00565953">
        <w:rPr>
          <w:rFonts w:ascii="Times New Roman" w:eastAsia="Times New Roman" w:hAnsi="Times New Roman" w:cs="Times New Roman"/>
          <w:sz w:val="24"/>
          <w:szCs w:val="24"/>
        </w:rPr>
        <w:t>chosen</w:t>
      </w:r>
      <w:r w:rsidRPr="00565953">
        <w:rPr>
          <w:rFonts w:ascii="Times New Roman" w:eastAsia="Times New Roman" w:hAnsi="Times New Roman" w:cs="Times New Roman"/>
          <w:color w:val="191919"/>
          <w:sz w:val="24"/>
          <w:szCs w:val="24"/>
        </w:rPr>
        <w:t xml:space="preserve"> plant </w:t>
      </w:r>
      <w:r w:rsidRPr="00565953">
        <w:rPr>
          <w:rFonts w:ascii="Times New Roman" w:eastAsia="Times New Roman" w:hAnsi="Times New Roman" w:cs="Times New Roman"/>
          <w:sz w:val="24"/>
          <w:szCs w:val="24"/>
        </w:rPr>
        <w:t>parts</w:t>
      </w:r>
      <w:r w:rsidRPr="00565953">
        <w:rPr>
          <w:rFonts w:ascii="Times New Roman" w:eastAsia="Times New Roman" w:hAnsi="Times New Roman" w:cs="Times New Roman"/>
          <w:color w:val="191919"/>
          <w:sz w:val="24"/>
          <w:szCs w:val="24"/>
        </w:rPr>
        <w:t xml:space="preserve"> were washed </w:t>
      </w:r>
      <w:r w:rsidRPr="00565953">
        <w:rPr>
          <w:rFonts w:ascii="Times New Roman" w:eastAsia="Times New Roman" w:hAnsi="Times New Roman" w:cs="Times New Roman"/>
          <w:sz w:val="24"/>
          <w:szCs w:val="24"/>
        </w:rPr>
        <w:t>clean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of debris and dried in the shade for 15 days to keep</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them</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intact</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phytochemically</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leaves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after</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drying,</w:t>
      </w:r>
      <w:r w:rsidRPr="00565953">
        <w:rPr>
          <w:rFonts w:ascii="Times New Roman" w:eastAsia="Times New Roman" w:hAnsi="Times New Roman" w:cs="Times New Roman"/>
          <w:color w:val="191919"/>
          <w:sz w:val="24"/>
          <w:szCs w:val="24"/>
        </w:rPr>
        <w:t xml:space="preserve"> were </w:t>
      </w:r>
      <w:r w:rsidRPr="00565953">
        <w:rPr>
          <w:rFonts w:ascii="Times New Roman" w:eastAsia="Times New Roman" w:hAnsi="Times New Roman" w:cs="Times New Roman"/>
          <w:sz w:val="24"/>
          <w:szCs w:val="24"/>
        </w:rPr>
        <w:t>crushed into a fine powder using a mechanical grinder. A 50-gram sample of the coarse powder was cold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extracted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using</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methanol</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 xml:space="preserve">resulting </w:t>
      </w:r>
      <w:r w:rsidRPr="00565953">
        <w:rPr>
          <w:rFonts w:ascii="Times New Roman" w:eastAsia="Times New Roman" w:hAnsi="Times New Roman" w:cs="Times New Roman"/>
          <w:color w:val="191919"/>
          <w:sz w:val="24"/>
          <w:szCs w:val="24"/>
        </w:rPr>
        <w:t xml:space="preserve">extract was </w:t>
      </w:r>
      <w:r w:rsidRPr="00565953">
        <w:rPr>
          <w:rFonts w:ascii="Times New Roman" w:eastAsia="Times New Roman" w:hAnsi="Times New Roman" w:cs="Times New Roman"/>
          <w:sz w:val="24"/>
          <w:szCs w:val="24"/>
        </w:rPr>
        <w:t>dried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in the shade for 10–12 hours </w:t>
      </w:r>
      <w:r w:rsidR="00943E2C"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1</w:t>
      </w:r>
      <w:r w:rsidR="00D338B8" w:rsidRPr="00565953">
        <w:rPr>
          <w:rFonts w:ascii="Times New Roman" w:eastAsia="Times New Roman" w:hAnsi="Times New Roman" w:cs="Times New Roman"/>
          <w:sz w:val="24"/>
          <w:szCs w:val="24"/>
        </w:rPr>
        <w:t>7</w:t>
      </w:r>
      <w:r w:rsidR="00167837" w:rsidRPr="00565953">
        <w:rPr>
          <w:rFonts w:ascii="Times New Roman" w:eastAsia="Times New Roman" w:hAnsi="Times New Roman" w:cs="Times New Roman"/>
          <w:sz w:val="24"/>
          <w:szCs w:val="24"/>
        </w:rPr>
        <w:t>, 1</w:t>
      </w:r>
      <w:r w:rsidR="00D338B8" w:rsidRPr="00565953">
        <w:rPr>
          <w:rFonts w:ascii="Times New Roman" w:eastAsia="Times New Roman" w:hAnsi="Times New Roman" w:cs="Times New Roman"/>
          <w:sz w:val="24"/>
          <w:szCs w:val="24"/>
        </w:rPr>
        <w:t>8</w:t>
      </w:r>
      <w:r w:rsidR="00943E2C"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crude extract was then </w:t>
      </w:r>
      <w:r w:rsidRPr="00565953">
        <w:rPr>
          <w:rFonts w:ascii="Times New Roman" w:eastAsia="Times New Roman" w:hAnsi="Times New Roman" w:cs="Times New Roman"/>
          <w:color w:val="191919"/>
          <w:sz w:val="24"/>
          <w:szCs w:val="24"/>
        </w:rPr>
        <w:t xml:space="preserve">concentrated by </w:t>
      </w:r>
      <w:r w:rsidRPr="00565953">
        <w:rPr>
          <w:rFonts w:ascii="Times New Roman" w:eastAsia="Times New Roman" w:hAnsi="Times New Roman" w:cs="Times New Roman"/>
          <w:sz w:val="24"/>
          <w:szCs w:val="24"/>
        </w:rPr>
        <w:t>evaporation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of </w:t>
      </w:r>
      <w:r w:rsidRPr="00565953">
        <w:rPr>
          <w:rFonts w:ascii="Times New Roman" w:eastAsia="Times New Roman" w:hAnsi="Times New Roman" w:cs="Times New Roman"/>
          <w:color w:val="191919"/>
          <w:sz w:val="24"/>
          <w:szCs w:val="24"/>
        </w:rPr>
        <w:t xml:space="preserve">the solvent, </w:t>
      </w:r>
      <w:r w:rsidRPr="00565953">
        <w:rPr>
          <w:rFonts w:ascii="Times New Roman" w:eastAsia="Times New Roman" w:hAnsi="Times New Roman" w:cs="Times New Roman"/>
          <w:sz w:val="24"/>
          <w:szCs w:val="24"/>
        </w:rPr>
        <w:t>giving</w:t>
      </w:r>
      <w:r w:rsidRPr="00565953">
        <w:rPr>
          <w:rFonts w:ascii="Times New Roman" w:eastAsia="Times New Roman" w:hAnsi="Times New Roman" w:cs="Times New Roman"/>
          <w:color w:val="191919"/>
          <w:sz w:val="24"/>
          <w:szCs w:val="24"/>
        </w:rPr>
        <w:t xml:space="preserve"> a dry residue. The </w:t>
      </w:r>
      <w:r w:rsidRPr="00565953">
        <w:rPr>
          <w:rFonts w:ascii="Times New Roman" w:eastAsia="Times New Roman" w:hAnsi="Times New Roman" w:cs="Times New Roman"/>
          <w:sz w:val="24"/>
          <w:szCs w:val="24"/>
        </w:rPr>
        <w:t xml:space="preserve">yield of the </w:t>
      </w:r>
      <w:r w:rsidRPr="00565953">
        <w:rPr>
          <w:rFonts w:ascii="Times New Roman" w:eastAsia="Times New Roman" w:hAnsi="Times New Roman" w:cs="Times New Roman"/>
          <w:color w:val="191919"/>
          <w:sz w:val="24"/>
          <w:szCs w:val="24"/>
        </w:rPr>
        <w:t xml:space="preserve">extraction </w:t>
      </w:r>
      <w:r w:rsidRPr="00565953">
        <w:rPr>
          <w:rFonts w:ascii="Times New Roman" w:eastAsia="Times New Roman" w:hAnsi="Times New Roman" w:cs="Times New Roman"/>
          <w:sz w:val="24"/>
          <w:szCs w:val="24"/>
        </w:rPr>
        <w:t>was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about</w:t>
      </w:r>
      <w:r w:rsidRPr="00565953">
        <w:rPr>
          <w:rFonts w:ascii="Times New Roman" w:eastAsia="Times New Roman" w:hAnsi="Times New Roman" w:cs="Times New Roman"/>
          <w:color w:val="191919"/>
          <w:sz w:val="24"/>
          <w:szCs w:val="24"/>
        </w:rPr>
        <w:t xml:space="preserve"> 15% of the </w:t>
      </w:r>
      <w:r w:rsidRPr="00565953">
        <w:rPr>
          <w:rFonts w:ascii="Times New Roman" w:eastAsia="Times New Roman" w:hAnsi="Times New Roman" w:cs="Times New Roman"/>
          <w:sz w:val="24"/>
          <w:szCs w:val="24"/>
        </w:rPr>
        <w:t>original</w:t>
      </w:r>
      <w:r w:rsidRPr="00565953">
        <w:rPr>
          <w:rFonts w:ascii="Times New Roman" w:eastAsia="Times New Roman" w:hAnsi="Times New Roman" w:cs="Times New Roman"/>
          <w:color w:val="191919"/>
          <w:sz w:val="24"/>
          <w:szCs w:val="24"/>
        </w:rPr>
        <w:t xml:space="preserve"> plant material</w:t>
      </w:r>
      <w:r w:rsidR="00D7397B" w:rsidRPr="00565953">
        <w:rPr>
          <w:rFonts w:ascii="Times New Roman" w:eastAsia="Times New Roman" w:hAnsi="Times New Roman" w:cs="Times New Roman"/>
          <w:color w:val="191919"/>
          <w:sz w:val="24"/>
          <w:szCs w:val="24"/>
        </w:rPr>
        <w:t xml:space="preserve"> </w:t>
      </w:r>
      <w:r w:rsidR="00943E2C" w:rsidRPr="00565953">
        <w:rPr>
          <w:rFonts w:ascii="Times New Roman" w:eastAsia="Times New Roman" w:hAnsi="Times New Roman" w:cs="Times New Roman"/>
          <w:color w:val="191919"/>
          <w:sz w:val="24"/>
          <w:szCs w:val="24"/>
        </w:rPr>
        <w:t>[</w:t>
      </w:r>
      <w:r w:rsidR="00D7397B" w:rsidRPr="00565953">
        <w:rPr>
          <w:rFonts w:ascii="Times New Roman" w:eastAsia="Times New Roman" w:hAnsi="Times New Roman" w:cs="Times New Roman"/>
          <w:color w:val="191919"/>
          <w:sz w:val="24"/>
          <w:szCs w:val="24"/>
        </w:rPr>
        <w:t>1</w:t>
      </w:r>
      <w:r w:rsidR="00943E2C" w:rsidRPr="00565953">
        <w:rPr>
          <w:rFonts w:ascii="Times New Roman" w:eastAsia="Times New Roman" w:hAnsi="Times New Roman" w:cs="Times New Roman"/>
          <w:color w:val="191919"/>
          <w:sz w:val="24"/>
          <w:szCs w:val="24"/>
        </w:rPr>
        <w:t>9</w:t>
      </w:r>
      <w:r w:rsidR="00D338B8" w:rsidRPr="00565953">
        <w:rPr>
          <w:rFonts w:ascii="Times New Roman" w:eastAsia="Times New Roman" w:hAnsi="Times New Roman" w:cs="Times New Roman"/>
          <w:color w:val="191919"/>
          <w:sz w:val="24"/>
          <w:szCs w:val="24"/>
        </w:rPr>
        <w:t>, 20</w:t>
      </w:r>
      <w:r w:rsidR="00943E2C" w:rsidRPr="00565953">
        <w:rPr>
          <w:rFonts w:ascii="Times New Roman" w:eastAsia="Times New Roman" w:hAnsi="Times New Roman" w:cs="Times New Roman"/>
          <w:color w:val="191919"/>
          <w:sz w:val="24"/>
          <w:szCs w:val="24"/>
        </w:rPr>
        <w:t>]</w:t>
      </w:r>
      <w:r w:rsidRPr="00565953">
        <w:rPr>
          <w:rFonts w:ascii="Times New Roman" w:eastAsia="Times New Roman" w:hAnsi="Times New Roman" w:cs="Times New Roman"/>
          <w:color w:val="191919"/>
          <w:sz w:val="24"/>
          <w:szCs w:val="24"/>
        </w:rPr>
        <w:t xml:space="preserve">. </w:t>
      </w:r>
    </w:p>
    <w:p w14:paraId="2CCD8050" w14:textId="45CAEA75" w:rsidR="00FE19D9" w:rsidRPr="00565953" w:rsidRDefault="00C45F0A" w:rsidP="004866B5">
      <w:pPr>
        <w:pStyle w:val="ListParagraph"/>
        <w:numPr>
          <w:ilvl w:val="0"/>
          <w:numId w:val="9"/>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Details of the MCF-7 Cell Line </w:t>
      </w:r>
    </w:p>
    <w:p w14:paraId="62C0551A"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color w:val="191919"/>
          <w:sz w:val="24"/>
          <w:szCs w:val="24"/>
        </w:rPr>
        <w:t xml:space="preserve">The MCF-7 cell line was initially isolated from the breast tissue of a 69-year-old Caucasian woman with adenocarcinoma and is used extensively in the study of breast cancer.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cells </w:t>
      </w:r>
      <w:r w:rsidRPr="00565953">
        <w:rPr>
          <w:rFonts w:ascii="Times New Roman" w:eastAsia="Times New Roman" w:hAnsi="Times New Roman" w:cs="Times New Roman"/>
          <w:sz w:val="24"/>
          <w:szCs w:val="24"/>
        </w:rPr>
        <w:t>have</w:t>
      </w:r>
      <w:r w:rsidRPr="00565953">
        <w:rPr>
          <w:rFonts w:ascii="Times New Roman" w:eastAsia="Times New Roman" w:hAnsi="Times New Roman" w:cs="Times New Roman"/>
          <w:color w:val="191919"/>
          <w:sz w:val="24"/>
          <w:szCs w:val="24"/>
        </w:rPr>
        <w:t xml:space="preserve"> adherent growth </w:t>
      </w:r>
      <w:r w:rsidRPr="00565953">
        <w:rPr>
          <w:rFonts w:ascii="Times New Roman" w:eastAsia="Times New Roman" w:hAnsi="Times New Roman" w:cs="Times New Roman"/>
          <w:sz w:val="24"/>
          <w:szCs w:val="24"/>
        </w:rPr>
        <w:t>patterns</w:t>
      </w:r>
      <w:r w:rsidRPr="00565953">
        <w:rPr>
          <w:rFonts w:ascii="Times New Roman" w:eastAsia="Times New Roman" w:hAnsi="Times New Roman" w:cs="Times New Roman"/>
          <w:color w:val="191919"/>
          <w:sz w:val="24"/>
          <w:szCs w:val="24"/>
        </w:rPr>
        <w:t xml:space="preserve"> and are </w:t>
      </w:r>
      <w:r w:rsidRPr="00565953">
        <w:rPr>
          <w:rFonts w:ascii="Times New Roman" w:eastAsia="Times New Roman" w:hAnsi="Times New Roman" w:cs="Times New Roman"/>
          <w:sz w:val="24"/>
          <w:szCs w:val="24"/>
        </w:rPr>
        <w:t xml:space="preserve">indicative of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receptor-positive breast cancer. For the current study, the MCF-7 cell line was obtained from the National Centre for Cell Science (NCCS), Pune, India. All the </w:t>
      </w:r>
      <w:r w:rsidRPr="00565953">
        <w:rPr>
          <w:rFonts w:ascii="Times New Roman" w:eastAsia="Times New Roman" w:hAnsi="Times New Roman" w:cs="Times New Roman"/>
          <w:color w:val="191919"/>
          <w:sz w:val="24"/>
          <w:szCs w:val="24"/>
        </w:rPr>
        <w:t xml:space="preserve">cell culture </w:t>
      </w:r>
      <w:r w:rsidRPr="00565953">
        <w:rPr>
          <w:rFonts w:ascii="Times New Roman" w:eastAsia="Times New Roman" w:hAnsi="Times New Roman" w:cs="Times New Roman"/>
          <w:sz w:val="24"/>
          <w:szCs w:val="24"/>
        </w:rPr>
        <w:t>steps</w:t>
      </w:r>
      <w:r w:rsidRPr="00565953">
        <w:rPr>
          <w:rFonts w:ascii="Times New Roman" w:eastAsia="Times New Roman" w:hAnsi="Times New Roman" w:cs="Times New Roman"/>
          <w:color w:val="191919"/>
          <w:sz w:val="24"/>
          <w:szCs w:val="24"/>
        </w:rPr>
        <w:t xml:space="preserve"> were </w:t>
      </w:r>
      <w:r w:rsidRPr="00565953">
        <w:rPr>
          <w:rFonts w:ascii="Times New Roman" w:eastAsia="Times New Roman" w:hAnsi="Times New Roman" w:cs="Times New Roman"/>
          <w:sz w:val="24"/>
          <w:szCs w:val="24"/>
        </w:rPr>
        <w:t>performed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according</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to</w:t>
      </w:r>
      <w:r w:rsidRPr="00565953">
        <w:rPr>
          <w:rFonts w:ascii="Times New Roman" w:eastAsia="Times New Roman" w:hAnsi="Times New Roman" w:cs="Times New Roman"/>
          <w:color w:val="191919"/>
          <w:sz w:val="24"/>
          <w:szCs w:val="24"/>
        </w:rPr>
        <w:t xml:space="preserve"> the standard </w:t>
      </w:r>
      <w:r w:rsidRPr="00565953">
        <w:rPr>
          <w:rFonts w:ascii="Times New Roman" w:eastAsia="Times New Roman" w:hAnsi="Times New Roman" w:cs="Times New Roman"/>
          <w:sz w:val="24"/>
          <w:szCs w:val="24"/>
        </w:rPr>
        <w:t>protocol</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suggested</w:t>
      </w:r>
      <w:r w:rsidRPr="00565953">
        <w:rPr>
          <w:rFonts w:ascii="Times New Roman" w:eastAsia="Times New Roman" w:hAnsi="Times New Roman" w:cs="Times New Roman"/>
          <w:color w:val="191919"/>
          <w:sz w:val="24"/>
          <w:szCs w:val="24"/>
        </w:rPr>
        <w:t xml:space="preserve"> by NCCS </w:t>
      </w:r>
      <w:r w:rsidRPr="00565953">
        <w:rPr>
          <w:rFonts w:ascii="Times New Roman" w:eastAsia="Times New Roman" w:hAnsi="Times New Roman" w:cs="Times New Roman"/>
          <w:sz w:val="24"/>
          <w:szCs w:val="24"/>
        </w:rPr>
        <w:t>for</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ensuring the viability and authenticity of the cell line.</w:t>
      </w:r>
    </w:p>
    <w:p w14:paraId="078DB0B3" w14:textId="54B683AA" w:rsidR="00FE19D9" w:rsidRPr="00565953" w:rsidRDefault="00C45F0A" w:rsidP="00013DE4">
      <w:pPr>
        <w:pStyle w:val="ListParagraph"/>
        <w:numPr>
          <w:ilvl w:val="0"/>
          <w:numId w:val="10"/>
        </w:num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Vitro Cytotoxicity Assay – MTT Assay</w:t>
      </w:r>
    </w:p>
    <w:p w14:paraId="61C065DE" w14:textId="223A82C0" w:rsidR="00FE19D9" w:rsidRPr="00565953" w:rsidRDefault="00C45F0A" w:rsidP="00112EA7">
      <w:pPr>
        <w:spacing w:after="0" w:line="480" w:lineRule="auto"/>
        <w:jc w:val="both"/>
        <w:rPr>
          <w:rFonts w:ascii="Times New Roman" w:eastAsia="Times New Roman" w:hAnsi="Times New Roman" w:cs="Times New Roman"/>
          <w:sz w:val="24"/>
          <w:szCs w:val="24"/>
          <w:vertAlign w:val="superscript"/>
        </w:rPr>
      </w:pPr>
      <w:r w:rsidRPr="00565953">
        <w:rPr>
          <w:rFonts w:ascii="Times New Roman" w:eastAsia="Times New Roman" w:hAnsi="Times New Roman" w:cs="Times New Roman"/>
          <w:color w:val="191919"/>
          <w:sz w:val="24"/>
          <w:szCs w:val="24"/>
        </w:rPr>
        <w:t xml:space="preserve">Cytotoxic </w:t>
      </w:r>
      <w:r w:rsidRPr="00565953">
        <w:rPr>
          <w:rFonts w:ascii="Times New Roman" w:eastAsia="Times New Roman" w:hAnsi="Times New Roman" w:cs="Times New Roman"/>
          <w:sz w:val="24"/>
          <w:szCs w:val="24"/>
        </w:rPr>
        <w:t>activity of the test extract was determined</w:t>
      </w:r>
      <w:r w:rsidRPr="00565953">
        <w:rPr>
          <w:rFonts w:ascii="Times New Roman" w:eastAsia="Times New Roman" w:hAnsi="Times New Roman" w:cs="Times New Roman"/>
          <w:color w:val="191919"/>
          <w:sz w:val="24"/>
          <w:szCs w:val="24"/>
        </w:rPr>
        <w:t xml:space="preserve"> using MTT assay </w:t>
      </w:r>
      <w:r w:rsidRPr="00565953">
        <w:rPr>
          <w:rFonts w:ascii="Times New Roman" w:eastAsia="Times New Roman" w:hAnsi="Times New Roman" w:cs="Times New Roman"/>
          <w:sz w:val="24"/>
          <w:szCs w:val="24"/>
        </w:rPr>
        <w:t>in</w:t>
      </w:r>
      <w:r w:rsidRPr="00565953">
        <w:rPr>
          <w:rFonts w:ascii="Times New Roman" w:eastAsia="Times New Roman" w:hAnsi="Times New Roman" w:cs="Times New Roman"/>
          <w:color w:val="191919"/>
          <w:sz w:val="24"/>
          <w:szCs w:val="24"/>
        </w:rPr>
        <w:t xml:space="preserve"> MCF-7 </w:t>
      </w:r>
      <w:r w:rsidRPr="00565953">
        <w:rPr>
          <w:rFonts w:ascii="Times New Roman" w:eastAsia="Times New Roman" w:hAnsi="Times New Roman" w:cs="Times New Roman"/>
          <w:sz w:val="24"/>
          <w:szCs w:val="24"/>
        </w:rPr>
        <w:t xml:space="preserve">cells for </w:t>
      </w:r>
      <w:r w:rsidRPr="00565953">
        <w:rPr>
          <w:rFonts w:ascii="Times New Roman" w:eastAsia="Times New Roman" w:hAnsi="Times New Roman" w:cs="Times New Roman"/>
          <w:color w:val="191919"/>
          <w:sz w:val="24"/>
          <w:szCs w:val="24"/>
        </w:rPr>
        <w:t xml:space="preserve">breast cancer.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cell</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line was twice passaged when received </w:t>
      </w:r>
      <w:r w:rsidRPr="00565953">
        <w:rPr>
          <w:rFonts w:ascii="Times New Roman" w:eastAsia="Times New Roman" w:hAnsi="Times New Roman" w:cs="Times New Roman"/>
          <w:color w:val="191919"/>
          <w:sz w:val="24"/>
          <w:szCs w:val="24"/>
        </w:rPr>
        <w:t xml:space="preserve">from </w:t>
      </w:r>
      <w:r w:rsidRPr="00565953">
        <w:rPr>
          <w:rFonts w:ascii="Times New Roman" w:eastAsia="Times New Roman" w:hAnsi="Times New Roman" w:cs="Times New Roman"/>
          <w:sz w:val="24"/>
          <w:szCs w:val="24"/>
        </w:rPr>
        <w:t>National Centre for Cell Science (NCCS), Pune, and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used.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cells were detached </w:t>
      </w:r>
      <w:r w:rsidRPr="00565953">
        <w:rPr>
          <w:rFonts w:ascii="Times New Roman" w:eastAsia="Times New Roman" w:hAnsi="Times New Roman" w:cs="Times New Roman"/>
          <w:sz w:val="24"/>
          <w:szCs w:val="24"/>
        </w:rPr>
        <w:t>enzymatically</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by</w:t>
      </w:r>
      <w:r w:rsidRPr="00565953">
        <w:rPr>
          <w:rFonts w:ascii="Times New Roman" w:eastAsia="Times New Roman" w:hAnsi="Times New Roman" w:cs="Times New Roman"/>
          <w:color w:val="191919"/>
          <w:sz w:val="24"/>
          <w:szCs w:val="24"/>
        </w:rPr>
        <w:t xml:space="preserve"> trypsin</w:t>
      </w:r>
      <w:r w:rsidRPr="00565953">
        <w:rPr>
          <w:rFonts w:ascii="Times New Roman" w:eastAsia="Times New Roman" w:hAnsi="Times New Roman" w:cs="Times New Roman"/>
          <w:sz w:val="24"/>
          <w:szCs w:val="24"/>
        </w:rPr>
        <w:t>-EDTA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solution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centrifuged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at 1000 RPM for 3 minutes. The </w:t>
      </w:r>
      <w:r w:rsidRPr="00565953">
        <w:rPr>
          <w:rFonts w:ascii="Times New Roman" w:eastAsia="Times New Roman" w:hAnsi="Times New Roman" w:cs="Times New Roman"/>
          <w:color w:val="191919"/>
          <w:sz w:val="24"/>
          <w:szCs w:val="24"/>
        </w:rPr>
        <w:t xml:space="preserve">cell pellet </w:t>
      </w:r>
      <w:r w:rsidRPr="00565953">
        <w:rPr>
          <w:rFonts w:ascii="Times New Roman" w:eastAsia="Times New Roman" w:hAnsi="Times New Roman" w:cs="Times New Roman"/>
          <w:sz w:val="24"/>
          <w:szCs w:val="24"/>
        </w:rPr>
        <w:t xml:space="preserve">resulting from it </w:t>
      </w:r>
      <w:r w:rsidRPr="00565953">
        <w:rPr>
          <w:rFonts w:ascii="Times New Roman" w:eastAsia="Times New Roman" w:hAnsi="Times New Roman" w:cs="Times New Roman"/>
          <w:color w:val="191919"/>
          <w:sz w:val="24"/>
          <w:szCs w:val="24"/>
        </w:rPr>
        <w:t xml:space="preserve">was resuspended in </w:t>
      </w:r>
      <w:r w:rsidRPr="00565953">
        <w:rPr>
          <w:rFonts w:ascii="Times New Roman" w:eastAsia="Times New Roman" w:hAnsi="Times New Roman" w:cs="Times New Roman"/>
          <w:sz w:val="24"/>
          <w:szCs w:val="24"/>
        </w:rPr>
        <w:t>new culture medium, and the cell density was brought to 1 × 10⁵ cells/</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Each well in a 96-well plate was seeded with 100 </w:t>
      </w:r>
      <w:proofErr w:type="spellStart"/>
      <w:r w:rsidRPr="00565953">
        <w:rPr>
          <w:rFonts w:ascii="Times New Roman" w:eastAsia="Times New Roman" w:hAnsi="Times New Roman" w:cs="Times New Roman"/>
          <w:sz w:val="24"/>
          <w:szCs w:val="24"/>
        </w:rPr>
        <w:t>μL</w:t>
      </w:r>
      <w:proofErr w:type="spellEnd"/>
      <w:r w:rsidRPr="00565953">
        <w:rPr>
          <w:rFonts w:ascii="Times New Roman" w:eastAsia="Times New Roman" w:hAnsi="Times New Roman" w:cs="Times New Roman"/>
          <w:sz w:val="24"/>
          <w:szCs w:val="24"/>
        </w:rPr>
        <w:t xml:space="preserve"> of the pre-adhered</w:t>
      </w:r>
      <w:r w:rsidRPr="00565953">
        <w:rPr>
          <w:rFonts w:ascii="Times New Roman" w:eastAsia="Times New Roman" w:hAnsi="Times New Roman" w:cs="Times New Roman"/>
          <w:color w:val="191919"/>
          <w:sz w:val="24"/>
          <w:szCs w:val="24"/>
        </w:rPr>
        <w:t xml:space="preserve"> cell suspension (</w:t>
      </w:r>
      <w:r w:rsidRPr="00565953">
        <w:rPr>
          <w:rFonts w:ascii="Times New Roman" w:eastAsia="Times New Roman" w:hAnsi="Times New Roman" w:cs="Times New Roman"/>
          <w:sz w:val="24"/>
          <w:szCs w:val="24"/>
        </w:rPr>
        <w:t xml:space="preserve">1 × 10⁴ cells/well). The plates were incubated at 37 ± 1°C in a humidified atmosphere with 5% CO₂ for 24 hours for cell adhesion, </w:t>
      </w:r>
      <w:r w:rsidRPr="00565953">
        <w:rPr>
          <w:rFonts w:ascii="Times New Roman" w:eastAsia="Times New Roman" w:hAnsi="Times New Roman" w:cs="Times New Roman"/>
          <w:sz w:val="24"/>
          <w:szCs w:val="24"/>
        </w:rPr>
        <w:lastRenderedPageBreak/>
        <w:t xml:space="preserve">recovery, and entry into the exponential growth phase. Cell </w:t>
      </w:r>
      <w:r w:rsidRPr="00565953">
        <w:rPr>
          <w:rFonts w:ascii="Times New Roman" w:eastAsia="Times New Roman" w:hAnsi="Times New Roman" w:cs="Times New Roman"/>
          <w:color w:val="191919"/>
          <w:sz w:val="24"/>
          <w:szCs w:val="24"/>
        </w:rPr>
        <w:t xml:space="preserve">monolayer formation and cell </w:t>
      </w:r>
      <w:r w:rsidRPr="00565953">
        <w:rPr>
          <w:rFonts w:ascii="Times New Roman" w:eastAsia="Times New Roman" w:hAnsi="Times New Roman" w:cs="Times New Roman"/>
          <w:sz w:val="24"/>
          <w:szCs w:val="24"/>
        </w:rPr>
        <w:t>viability</w:t>
      </w:r>
      <w:r w:rsidRPr="00565953">
        <w:rPr>
          <w:rFonts w:ascii="Times New Roman" w:eastAsia="Times New Roman" w:hAnsi="Times New Roman" w:cs="Times New Roman"/>
          <w:color w:val="191919"/>
          <w:sz w:val="24"/>
          <w:szCs w:val="24"/>
        </w:rPr>
        <w:t xml:space="preserve"> were </w:t>
      </w:r>
      <w:r w:rsidRPr="00565953">
        <w:rPr>
          <w:rFonts w:ascii="Times New Roman" w:eastAsia="Times New Roman" w:hAnsi="Times New Roman" w:cs="Times New Roman"/>
          <w:sz w:val="24"/>
          <w:szCs w:val="24"/>
        </w:rPr>
        <w:t>verified using a phase-contrast microscope</w:t>
      </w:r>
      <w:r w:rsidR="000D5313" w:rsidRPr="00565953">
        <w:rPr>
          <w:rFonts w:ascii="Times New Roman" w:eastAsia="Times New Roman" w:hAnsi="Times New Roman" w:cs="Times New Roman"/>
          <w:sz w:val="24"/>
          <w:szCs w:val="24"/>
        </w:rPr>
        <w:t xml:space="preserve"> </w:t>
      </w:r>
      <w:r w:rsidR="00F85915" w:rsidRPr="00565953">
        <w:rPr>
          <w:rFonts w:ascii="Times New Roman" w:eastAsia="Times New Roman" w:hAnsi="Times New Roman" w:cs="Times New Roman"/>
          <w:sz w:val="24"/>
          <w:szCs w:val="24"/>
        </w:rPr>
        <w:t>[2</w:t>
      </w:r>
      <w:r w:rsidR="00D338B8" w:rsidRPr="00565953">
        <w:rPr>
          <w:rFonts w:ascii="Times New Roman" w:eastAsia="Times New Roman" w:hAnsi="Times New Roman" w:cs="Times New Roman"/>
          <w:sz w:val="24"/>
          <w:szCs w:val="24"/>
        </w:rPr>
        <w:t>1</w:t>
      </w:r>
      <w:r w:rsidR="0096350F">
        <w:rPr>
          <w:rFonts w:ascii="Times New Roman" w:eastAsia="Times New Roman" w:hAnsi="Times New Roman" w:cs="Times New Roman"/>
          <w:sz w:val="24"/>
          <w:szCs w:val="24"/>
        </w:rPr>
        <w:t>,</w:t>
      </w:r>
      <w:r w:rsidR="0096350F" w:rsidRPr="005932F9">
        <w:rPr>
          <w:rFonts w:ascii="Times New Roman" w:eastAsia="Times New Roman" w:hAnsi="Times New Roman" w:cs="Times New Roman"/>
          <w:sz w:val="24"/>
          <w:szCs w:val="24"/>
          <w:highlight w:val="yellow"/>
        </w:rPr>
        <w:t>22</w:t>
      </w:r>
      <w:r w:rsidR="00F85915"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vertAlign w:val="superscript"/>
        </w:rPr>
        <w:t xml:space="preserve"> </w:t>
      </w:r>
      <w:r w:rsidRPr="00565953">
        <w:rPr>
          <w:rFonts w:ascii="Times New Roman" w:eastAsia="Times New Roman" w:hAnsi="Times New Roman" w:cs="Times New Roman"/>
          <w:sz w:val="24"/>
          <w:szCs w:val="24"/>
        </w:rPr>
        <w:t>Treatment consisted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of</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placing</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100 </w:t>
      </w:r>
      <w:proofErr w:type="spellStart"/>
      <w:r w:rsidRPr="00565953">
        <w:rPr>
          <w:rFonts w:ascii="Times New Roman" w:eastAsia="Times New Roman" w:hAnsi="Times New Roman" w:cs="Times New Roman"/>
          <w:sz w:val="24"/>
          <w:szCs w:val="24"/>
        </w:rPr>
        <w:t>μL</w:t>
      </w:r>
      <w:proofErr w:type="spellEnd"/>
      <w:r w:rsidRPr="00565953">
        <w:rPr>
          <w:rFonts w:ascii="Times New Roman" w:eastAsia="Times New Roman" w:hAnsi="Times New Roman" w:cs="Times New Roman"/>
          <w:sz w:val="24"/>
          <w:szCs w:val="24"/>
        </w:rPr>
        <w:t xml:space="preserve"> of media containing different concentrations of the test extract, negative control, or positive control in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individual wells, with each treatment condition run in triplicate. The assay consisted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of </w:t>
      </w:r>
      <w:r w:rsidRPr="00565953">
        <w:rPr>
          <w:rFonts w:ascii="Times New Roman" w:eastAsia="Times New Roman" w:hAnsi="Times New Roman" w:cs="Times New Roman"/>
          <w:color w:val="191919"/>
          <w:sz w:val="24"/>
          <w:szCs w:val="24"/>
        </w:rPr>
        <w:t xml:space="preserve">five </w:t>
      </w:r>
      <w:r w:rsidRPr="00565953">
        <w:rPr>
          <w:rFonts w:ascii="Times New Roman" w:eastAsia="Times New Roman" w:hAnsi="Times New Roman" w:cs="Times New Roman"/>
          <w:sz w:val="24"/>
          <w:szCs w:val="24"/>
        </w:rPr>
        <w:t>different concentrations of the positive control and eight varying concentrations of the test extract. The plates were incubated 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second time </w:t>
      </w:r>
      <w:r w:rsidRPr="00565953">
        <w:rPr>
          <w:rFonts w:ascii="Times New Roman" w:eastAsia="Times New Roman" w:hAnsi="Times New Roman" w:cs="Times New Roman"/>
          <w:color w:val="191919"/>
          <w:sz w:val="24"/>
          <w:szCs w:val="24"/>
        </w:rPr>
        <w:t xml:space="preserve">under the same </w:t>
      </w:r>
      <w:r w:rsidRPr="00565953">
        <w:rPr>
          <w:rFonts w:ascii="Times New Roman" w:eastAsia="Times New Roman" w:hAnsi="Times New Roman" w:cs="Times New Roman"/>
          <w:sz w:val="24"/>
          <w:szCs w:val="24"/>
        </w:rPr>
        <w:t>condition</w:t>
      </w:r>
      <w:r w:rsidRPr="00565953">
        <w:rPr>
          <w:rFonts w:ascii="Times New Roman" w:eastAsia="Times New Roman" w:hAnsi="Times New Roman" w:cs="Times New Roman"/>
          <w:color w:val="191919"/>
          <w:sz w:val="24"/>
          <w:szCs w:val="24"/>
        </w:rPr>
        <w:t xml:space="preserve"> for 48 hours. </w:t>
      </w:r>
      <w:r w:rsidRPr="00565953">
        <w:rPr>
          <w:rFonts w:ascii="Times New Roman" w:eastAsia="Times New Roman" w:hAnsi="Times New Roman" w:cs="Times New Roman"/>
          <w:sz w:val="24"/>
          <w:szCs w:val="24"/>
        </w:rPr>
        <w:t>After</w:t>
      </w:r>
      <w:r w:rsidRPr="00565953">
        <w:rPr>
          <w:rFonts w:ascii="Times New Roman" w:eastAsia="Times New Roman" w:hAnsi="Times New Roman" w:cs="Times New Roman"/>
          <w:color w:val="191919"/>
          <w:sz w:val="24"/>
          <w:szCs w:val="24"/>
        </w:rPr>
        <w:t xml:space="preserve"> treatment, media </w:t>
      </w:r>
      <w:r w:rsidRPr="00565953">
        <w:rPr>
          <w:rFonts w:ascii="Times New Roman" w:eastAsia="Times New Roman" w:hAnsi="Times New Roman" w:cs="Times New Roman"/>
          <w:sz w:val="24"/>
          <w:szCs w:val="24"/>
        </w:rPr>
        <w:t>were</w:t>
      </w:r>
      <w:r w:rsidRPr="00565953">
        <w:rPr>
          <w:rFonts w:ascii="Times New Roman" w:eastAsia="Times New Roman" w:hAnsi="Times New Roman" w:cs="Times New Roman"/>
          <w:color w:val="191919"/>
          <w:sz w:val="24"/>
          <w:szCs w:val="24"/>
        </w:rPr>
        <w:t xml:space="preserve"> removed </w:t>
      </w:r>
      <w:r w:rsidRPr="00565953">
        <w:rPr>
          <w:rFonts w:ascii="Times New Roman" w:eastAsia="Times New Roman" w:hAnsi="Times New Roman" w:cs="Times New Roman"/>
          <w:sz w:val="24"/>
          <w:szCs w:val="24"/>
        </w:rPr>
        <w:t xml:space="preserve">cautiously </w:t>
      </w:r>
      <w:r w:rsidRPr="00565953">
        <w:rPr>
          <w:rFonts w:ascii="Times New Roman" w:eastAsia="Times New Roman" w:hAnsi="Times New Roman" w:cs="Times New Roman"/>
          <w:color w:val="191919"/>
          <w:sz w:val="24"/>
          <w:szCs w:val="24"/>
        </w:rPr>
        <w:t xml:space="preserve">and 10 </w:t>
      </w:r>
      <w:proofErr w:type="spellStart"/>
      <w:r w:rsidRPr="00565953">
        <w:rPr>
          <w:rFonts w:ascii="Times New Roman" w:eastAsia="Times New Roman" w:hAnsi="Times New Roman" w:cs="Times New Roman"/>
          <w:color w:val="191919"/>
          <w:sz w:val="24"/>
          <w:szCs w:val="24"/>
        </w:rPr>
        <w:t>μL</w:t>
      </w:r>
      <w:proofErr w:type="spellEnd"/>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MTT reagent (3-[4,5-dimethylthiazol-2-yl]-2,5-diphenyltetrazolium bromide) was added to each well. Plates were incubated for another</w:t>
      </w:r>
      <w:r w:rsidRPr="00565953">
        <w:rPr>
          <w:rFonts w:ascii="Times New Roman" w:eastAsia="Times New Roman" w:hAnsi="Times New Roman" w:cs="Times New Roman"/>
          <w:color w:val="191919"/>
          <w:sz w:val="24"/>
          <w:szCs w:val="24"/>
        </w:rPr>
        <w:t xml:space="preserve"> 3 hours. MTT reagent was </w:t>
      </w:r>
      <w:r w:rsidRPr="00565953">
        <w:rPr>
          <w:rFonts w:ascii="Times New Roman" w:eastAsia="Times New Roman" w:hAnsi="Times New Roman" w:cs="Times New Roman"/>
          <w:sz w:val="24"/>
          <w:szCs w:val="24"/>
        </w:rPr>
        <w:t>removed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following incubation, </w:t>
      </w:r>
      <w:r w:rsidRPr="00565953">
        <w:rPr>
          <w:rFonts w:ascii="Times New Roman" w:eastAsia="Times New Roman" w:hAnsi="Times New Roman" w:cs="Times New Roman"/>
          <w:color w:val="191919"/>
          <w:sz w:val="24"/>
          <w:szCs w:val="24"/>
        </w:rPr>
        <w:t xml:space="preserve">and 100 </w:t>
      </w:r>
      <w:proofErr w:type="spellStart"/>
      <w:r w:rsidRPr="00565953">
        <w:rPr>
          <w:rFonts w:ascii="Times New Roman" w:eastAsia="Times New Roman" w:hAnsi="Times New Roman" w:cs="Times New Roman"/>
          <w:color w:val="191919"/>
          <w:sz w:val="24"/>
          <w:szCs w:val="24"/>
        </w:rPr>
        <w:t>μL</w:t>
      </w:r>
      <w:proofErr w:type="spellEnd"/>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dimethyl sulfoxide (DMSO) was added to dissolve</w:t>
      </w:r>
      <w:r w:rsidRPr="00565953">
        <w:rPr>
          <w:rFonts w:ascii="Times New Roman" w:eastAsia="Times New Roman" w:hAnsi="Times New Roman" w:cs="Times New Roman"/>
          <w:color w:val="191919"/>
          <w:sz w:val="24"/>
          <w:szCs w:val="24"/>
        </w:rPr>
        <w:t xml:space="preserve"> the formazan crystals </w:t>
      </w:r>
      <w:r w:rsidRPr="00565953">
        <w:rPr>
          <w:rFonts w:ascii="Times New Roman" w:eastAsia="Times New Roman" w:hAnsi="Times New Roman" w:cs="Times New Roman"/>
          <w:sz w:val="24"/>
          <w:szCs w:val="24"/>
        </w:rPr>
        <w:t>generated</w:t>
      </w:r>
      <w:r w:rsidRPr="00565953">
        <w:rPr>
          <w:rFonts w:ascii="Times New Roman" w:eastAsia="Times New Roman" w:hAnsi="Times New Roman" w:cs="Times New Roman"/>
          <w:color w:val="191919"/>
          <w:sz w:val="24"/>
          <w:szCs w:val="24"/>
        </w:rPr>
        <w:t xml:space="preserve"> by </w:t>
      </w:r>
      <w:r w:rsidRPr="00565953">
        <w:rPr>
          <w:rFonts w:ascii="Times New Roman" w:eastAsia="Times New Roman" w:hAnsi="Times New Roman" w:cs="Times New Roman"/>
          <w:sz w:val="24"/>
          <w:szCs w:val="24"/>
        </w:rPr>
        <w:t>living</w:t>
      </w:r>
      <w:r w:rsidRPr="00565953">
        <w:rPr>
          <w:rFonts w:ascii="Times New Roman" w:eastAsia="Times New Roman" w:hAnsi="Times New Roman" w:cs="Times New Roman"/>
          <w:color w:val="191919"/>
          <w:sz w:val="24"/>
          <w:szCs w:val="24"/>
        </w:rPr>
        <w:t xml:space="preserve"> cells. Absorbance was </w:t>
      </w:r>
      <w:r w:rsidRPr="00565953">
        <w:rPr>
          <w:rFonts w:ascii="Times New Roman" w:eastAsia="Times New Roman" w:hAnsi="Times New Roman" w:cs="Times New Roman"/>
          <w:sz w:val="24"/>
          <w:szCs w:val="24"/>
        </w:rPr>
        <w:t>quantitated</w:t>
      </w:r>
      <w:r w:rsidRPr="00565953">
        <w:rPr>
          <w:rFonts w:ascii="Times New Roman" w:eastAsia="Times New Roman" w:hAnsi="Times New Roman" w:cs="Times New Roman"/>
          <w:color w:val="191919"/>
          <w:sz w:val="24"/>
          <w:szCs w:val="24"/>
        </w:rPr>
        <w:t xml:space="preserve"> at 570 nm </w:t>
      </w:r>
      <w:r w:rsidRPr="00565953">
        <w:rPr>
          <w:rFonts w:ascii="Times New Roman" w:eastAsia="Times New Roman" w:hAnsi="Times New Roman" w:cs="Times New Roman"/>
          <w:sz w:val="24"/>
          <w:szCs w:val="24"/>
        </w:rPr>
        <w:t>on an ELISA plate reader for</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determination of </w:t>
      </w:r>
      <w:r w:rsidRPr="00565953">
        <w:rPr>
          <w:rFonts w:ascii="Times New Roman" w:eastAsia="Times New Roman" w:hAnsi="Times New Roman" w:cs="Times New Roman"/>
          <w:color w:val="191919"/>
          <w:sz w:val="24"/>
          <w:szCs w:val="24"/>
        </w:rPr>
        <w:t>cell viability</w:t>
      </w:r>
      <w:r w:rsidR="000D5313" w:rsidRPr="00565953">
        <w:rPr>
          <w:rFonts w:ascii="Times New Roman" w:eastAsia="Times New Roman" w:hAnsi="Times New Roman" w:cs="Times New Roman"/>
          <w:color w:val="191919"/>
          <w:sz w:val="24"/>
          <w:szCs w:val="24"/>
        </w:rPr>
        <w:t xml:space="preserve"> </w:t>
      </w:r>
      <w:r w:rsidR="00F85915" w:rsidRPr="00565953">
        <w:rPr>
          <w:rFonts w:ascii="Times New Roman" w:eastAsia="Times New Roman" w:hAnsi="Times New Roman" w:cs="Times New Roman"/>
          <w:color w:val="191919"/>
          <w:sz w:val="24"/>
          <w:szCs w:val="24"/>
        </w:rPr>
        <w:t>[</w:t>
      </w:r>
      <w:r w:rsidR="000D5313" w:rsidRPr="00565953">
        <w:rPr>
          <w:rFonts w:ascii="Times New Roman" w:eastAsia="Times New Roman" w:hAnsi="Times New Roman" w:cs="Times New Roman"/>
          <w:color w:val="191919"/>
          <w:sz w:val="24"/>
          <w:szCs w:val="24"/>
        </w:rPr>
        <w:t>2</w:t>
      </w:r>
      <w:r w:rsidR="00F066E4">
        <w:rPr>
          <w:rFonts w:ascii="Times New Roman" w:eastAsia="Times New Roman" w:hAnsi="Times New Roman" w:cs="Times New Roman"/>
          <w:color w:val="191919"/>
          <w:sz w:val="24"/>
          <w:szCs w:val="24"/>
        </w:rPr>
        <w:t>3</w:t>
      </w:r>
      <w:r w:rsidR="00F85915" w:rsidRPr="00565953">
        <w:rPr>
          <w:rFonts w:ascii="Times New Roman" w:eastAsia="Times New Roman" w:hAnsi="Times New Roman" w:cs="Times New Roman"/>
          <w:color w:val="191919"/>
          <w:sz w:val="24"/>
          <w:szCs w:val="24"/>
        </w:rPr>
        <w:t>]</w:t>
      </w:r>
      <w:r w:rsidRPr="00565953">
        <w:rPr>
          <w:rFonts w:ascii="Times New Roman" w:eastAsia="Times New Roman" w:hAnsi="Times New Roman" w:cs="Times New Roman"/>
          <w:color w:val="191919"/>
          <w:sz w:val="24"/>
          <w:szCs w:val="24"/>
        </w:rPr>
        <w:t>.</w:t>
      </w:r>
    </w:p>
    <w:p w14:paraId="2D10E13F" w14:textId="77777777" w:rsidR="00FE19D9" w:rsidRPr="00565953" w:rsidRDefault="00FE19D9" w:rsidP="00112EA7">
      <w:pPr>
        <w:spacing w:after="0" w:line="480" w:lineRule="auto"/>
        <w:jc w:val="both"/>
        <w:rPr>
          <w:rFonts w:ascii="Times New Roman" w:eastAsia="Times New Roman" w:hAnsi="Times New Roman" w:cs="Times New Roman"/>
          <w:color w:val="191919"/>
          <w:sz w:val="24"/>
          <w:szCs w:val="24"/>
        </w:rPr>
      </w:pPr>
    </w:p>
    <w:p w14:paraId="7B9E016E" w14:textId="77777777" w:rsidR="00FE19D9" w:rsidRPr="00565953" w:rsidRDefault="00C45F0A" w:rsidP="0096016C">
      <w:pPr>
        <w:pStyle w:val="ListParagraph"/>
        <w:numPr>
          <w:ilvl w:val="0"/>
          <w:numId w:val="11"/>
        </w:num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Vitro Anti-Angiogenic Assay – CAM Assay</w:t>
      </w:r>
    </w:p>
    <w:p w14:paraId="77A9C71A" w14:textId="5FB98E2E" w:rsidR="00FE19D9" w:rsidRPr="00565953" w:rsidRDefault="00C45F0A" w:rsidP="00112EA7">
      <w:pPr>
        <w:spacing w:after="0" w:line="480" w:lineRule="auto"/>
        <w:jc w:val="both"/>
        <w:rPr>
          <w:rFonts w:ascii="Times New Roman" w:eastAsia="Times New Roman" w:hAnsi="Times New Roman" w:cs="Times New Roman"/>
          <w:sz w:val="24"/>
          <w:szCs w:val="24"/>
          <w:vertAlign w:val="superscript"/>
        </w:rPr>
      </w:pPr>
      <w:r w:rsidRPr="00565953">
        <w:rPr>
          <w:rFonts w:ascii="Times New Roman" w:eastAsia="Times New Roman" w:hAnsi="Times New Roman" w:cs="Times New Roman"/>
          <w:sz w:val="24"/>
          <w:szCs w:val="24"/>
        </w:rPr>
        <w:t>The anti-angiogenic activity of the test extract was tested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with the Chick Chorioallantoic Membrane (CAM) assay. Fertilized chicken eggs were preliminary</w:t>
      </w:r>
      <w:r w:rsidRPr="00565953">
        <w:rPr>
          <w:rFonts w:ascii="Times New Roman" w:eastAsia="Times New Roman" w:hAnsi="Times New Roman" w:cs="Times New Roman"/>
          <w:color w:val="191919"/>
          <w:sz w:val="24"/>
          <w:szCs w:val="24"/>
        </w:rPr>
        <w:t xml:space="preserve"> cleaned </w:t>
      </w:r>
      <w:r w:rsidRPr="00565953">
        <w:rPr>
          <w:rFonts w:ascii="Times New Roman" w:eastAsia="Times New Roman" w:hAnsi="Times New Roman" w:cs="Times New Roman"/>
          <w:sz w:val="24"/>
          <w:szCs w:val="24"/>
        </w:rPr>
        <w:t>using 70% ethanol and incubated in a humidified chamber at 37°C for one day. A 1 cm² window was delicately</w:t>
      </w:r>
      <w:r w:rsidRPr="00565953">
        <w:rPr>
          <w:rFonts w:ascii="Times New Roman" w:eastAsia="Times New Roman" w:hAnsi="Times New Roman" w:cs="Times New Roman"/>
          <w:color w:val="191919"/>
          <w:sz w:val="24"/>
          <w:szCs w:val="24"/>
        </w:rPr>
        <w:t xml:space="preserve"> cut </w:t>
      </w:r>
      <w:r w:rsidRPr="00565953">
        <w:rPr>
          <w:rFonts w:ascii="Times New Roman" w:eastAsia="Times New Roman" w:hAnsi="Times New Roman" w:cs="Times New Roman"/>
          <w:sz w:val="24"/>
          <w:szCs w:val="24"/>
        </w:rPr>
        <w:t>on</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 xml:space="preserve">fourth day of incubation on the eggshell of each egg and temporarily sealed with sterile adhesive tape. The </w:t>
      </w:r>
      <w:r w:rsidRPr="00565953">
        <w:rPr>
          <w:rFonts w:ascii="Times New Roman" w:eastAsia="Times New Roman" w:hAnsi="Times New Roman" w:cs="Times New Roman"/>
          <w:color w:val="191919"/>
          <w:sz w:val="24"/>
          <w:szCs w:val="24"/>
        </w:rPr>
        <w:t xml:space="preserve">test extract solutions were </w:t>
      </w:r>
      <w:r w:rsidRPr="00565953">
        <w:rPr>
          <w:rFonts w:ascii="Times New Roman" w:eastAsia="Times New Roman" w:hAnsi="Times New Roman" w:cs="Times New Roman"/>
          <w:sz w:val="24"/>
          <w:szCs w:val="24"/>
        </w:rPr>
        <w:t>made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up </w:t>
      </w:r>
      <w:r w:rsidRPr="00565953">
        <w:rPr>
          <w:rFonts w:ascii="Times New Roman" w:eastAsia="Times New Roman" w:hAnsi="Times New Roman" w:cs="Times New Roman"/>
          <w:color w:val="191919"/>
          <w:sz w:val="24"/>
          <w:szCs w:val="24"/>
        </w:rPr>
        <w:t xml:space="preserve">of distilled water </w:t>
      </w:r>
      <w:r w:rsidRPr="00565953">
        <w:rPr>
          <w:rFonts w:ascii="Times New Roman" w:eastAsia="Times New Roman" w:hAnsi="Times New Roman" w:cs="Times New Roman"/>
          <w:sz w:val="24"/>
          <w:szCs w:val="24"/>
        </w:rPr>
        <w:t>to</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required</w:t>
      </w:r>
      <w:r w:rsidRPr="00565953">
        <w:rPr>
          <w:rFonts w:ascii="Times New Roman" w:eastAsia="Times New Roman" w:hAnsi="Times New Roman" w:cs="Times New Roman"/>
          <w:color w:val="191919"/>
          <w:sz w:val="24"/>
          <w:szCs w:val="24"/>
        </w:rPr>
        <w:t xml:space="preserve"> concentrations. </w:t>
      </w:r>
      <w:r w:rsidRPr="00565953">
        <w:rPr>
          <w:rFonts w:ascii="Times New Roman" w:eastAsia="Times New Roman" w:hAnsi="Times New Roman" w:cs="Times New Roman"/>
          <w:sz w:val="24"/>
          <w:szCs w:val="24"/>
        </w:rPr>
        <w:t xml:space="preserve">Sterile 6-mm filter paper discs were wetted with 10 </w:t>
      </w:r>
      <w:proofErr w:type="spellStart"/>
      <w:r w:rsidRPr="00565953">
        <w:rPr>
          <w:rFonts w:ascii="Times New Roman" w:eastAsia="Times New Roman" w:hAnsi="Times New Roman" w:cs="Times New Roman"/>
          <w:sz w:val="24"/>
          <w:szCs w:val="24"/>
        </w:rPr>
        <w:t>μL</w:t>
      </w:r>
      <w:proofErr w:type="spellEnd"/>
      <w:r w:rsidRPr="00565953">
        <w:rPr>
          <w:rFonts w:ascii="Times New Roman" w:eastAsia="Times New Roman" w:hAnsi="Times New Roman" w:cs="Times New Roman"/>
          <w:sz w:val="24"/>
          <w:szCs w:val="24"/>
        </w:rPr>
        <w:t xml:space="preserve"> of the test extract or control solution on day six and placed directly on the CAM surface via the pre-cut window. The window was sealed with adhesive tape, and the eggs were again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incubated</w:t>
      </w:r>
      <w:r w:rsidRPr="00565953">
        <w:rPr>
          <w:rFonts w:ascii="Times New Roman" w:eastAsia="Times New Roman" w:hAnsi="Times New Roman" w:cs="Times New Roman"/>
          <w:color w:val="191919"/>
          <w:sz w:val="24"/>
          <w:szCs w:val="24"/>
        </w:rPr>
        <w:t xml:space="preserve"> for </w:t>
      </w:r>
      <w:r w:rsidRPr="00565953">
        <w:rPr>
          <w:rFonts w:ascii="Times New Roman" w:eastAsia="Times New Roman" w:hAnsi="Times New Roman" w:cs="Times New Roman"/>
          <w:sz w:val="24"/>
          <w:szCs w:val="24"/>
        </w:rPr>
        <w:t>an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additional 48 hours. On day eight, the CAMs were examined </w:t>
      </w:r>
      <w:r w:rsidRPr="00565953">
        <w:rPr>
          <w:rFonts w:ascii="Times New Roman" w:eastAsia="Times New Roman" w:hAnsi="Times New Roman" w:cs="Times New Roman"/>
          <w:color w:val="191919"/>
          <w:sz w:val="24"/>
          <w:szCs w:val="24"/>
        </w:rPr>
        <w:t xml:space="preserve">visually and </w:t>
      </w:r>
      <w:r w:rsidRPr="00565953">
        <w:rPr>
          <w:rFonts w:ascii="Times New Roman" w:eastAsia="Times New Roman" w:hAnsi="Times New Roman" w:cs="Times New Roman"/>
          <w:sz w:val="24"/>
          <w:szCs w:val="24"/>
        </w:rPr>
        <w:t>photographed</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blood vessels in each CAM were</w:t>
      </w:r>
      <w:r w:rsidRPr="00565953">
        <w:rPr>
          <w:rFonts w:ascii="Times New Roman" w:eastAsia="Times New Roman" w:hAnsi="Times New Roman" w:cs="Times New Roman"/>
          <w:color w:val="191919"/>
          <w:sz w:val="24"/>
          <w:szCs w:val="24"/>
        </w:rPr>
        <w:t xml:space="preserve"> counted to </w:t>
      </w:r>
      <w:r w:rsidRPr="00565953">
        <w:rPr>
          <w:rFonts w:ascii="Times New Roman" w:eastAsia="Times New Roman" w:hAnsi="Times New Roman" w:cs="Times New Roman"/>
          <w:sz w:val="24"/>
          <w:szCs w:val="24"/>
        </w:rPr>
        <w:t>determine</w:t>
      </w:r>
      <w:r w:rsidRPr="00565953">
        <w:rPr>
          <w:rFonts w:ascii="Times New Roman" w:eastAsia="Times New Roman" w:hAnsi="Times New Roman" w:cs="Times New Roman"/>
          <w:color w:val="191919"/>
          <w:sz w:val="24"/>
          <w:szCs w:val="24"/>
        </w:rPr>
        <w:t xml:space="preserve"> the </w:t>
      </w:r>
      <w:r w:rsidRPr="00565953">
        <w:rPr>
          <w:rFonts w:ascii="Times New Roman" w:eastAsia="Times New Roman" w:hAnsi="Times New Roman" w:cs="Times New Roman"/>
          <w:sz w:val="24"/>
          <w:szCs w:val="24"/>
        </w:rPr>
        <w:t>degree</w:t>
      </w:r>
      <w:r w:rsidRPr="00565953">
        <w:rPr>
          <w:rFonts w:ascii="Times New Roman" w:eastAsia="Times New Roman" w:hAnsi="Times New Roman" w:cs="Times New Roman"/>
          <w:color w:val="191919"/>
          <w:sz w:val="24"/>
          <w:szCs w:val="24"/>
        </w:rPr>
        <w:t xml:space="preserve"> of angiogenesis. The </w:t>
      </w:r>
      <w:r w:rsidRPr="00565953">
        <w:rPr>
          <w:rFonts w:ascii="Times New Roman" w:eastAsia="Times New Roman" w:hAnsi="Times New Roman" w:cs="Times New Roman"/>
          <w:sz w:val="24"/>
          <w:szCs w:val="24"/>
        </w:rPr>
        <w:t>test samples were compared with the control groups to determine</w:t>
      </w:r>
      <w:r w:rsidRPr="00565953">
        <w:rPr>
          <w:rFonts w:ascii="Times New Roman" w:eastAsia="Times New Roman" w:hAnsi="Times New Roman" w:cs="Times New Roman"/>
          <w:color w:val="191919"/>
          <w:sz w:val="24"/>
          <w:szCs w:val="24"/>
        </w:rPr>
        <w:t xml:space="preserve"> anti-angiogenic </w:t>
      </w:r>
      <w:r w:rsidRPr="00565953">
        <w:rPr>
          <w:rFonts w:ascii="Times New Roman" w:eastAsia="Times New Roman" w:hAnsi="Times New Roman" w:cs="Times New Roman"/>
          <w:sz w:val="24"/>
          <w:szCs w:val="24"/>
        </w:rPr>
        <w:t>activity</w:t>
      </w:r>
      <w:r w:rsidR="00E3095F" w:rsidRPr="00565953">
        <w:rPr>
          <w:rFonts w:ascii="Times New Roman" w:eastAsia="Times New Roman" w:hAnsi="Times New Roman" w:cs="Times New Roman"/>
          <w:sz w:val="24"/>
          <w:szCs w:val="24"/>
        </w:rPr>
        <w:t xml:space="preserve"> </w:t>
      </w:r>
      <w:r w:rsidR="00256106" w:rsidRPr="00565953">
        <w:rPr>
          <w:rFonts w:ascii="Times New Roman" w:eastAsia="Times New Roman" w:hAnsi="Times New Roman" w:cs="Times New Roman"/>
          <w:sz w:val="24"/>
          <w:szCs w:val="24"/>
        </w:rPr>
        <w:t>[</w:t>
      </w:r>
      <w:r w:rsidR="00E3095F" w:rsidRPr="00565953">
        <w:rPr>
          <w:rFonts w:ascii="Times New Roman" w:eastAsia="Times New Roman" w:hAnsi="Times New Roman" w:cs="Times New Roman"/>
          <w:sz w:val="24"/>
          <w:szCs w:val="24"/>
        </w:rPr>
        <w:t>2</w:t>
      </w:r>
      <w:r w:rsidR="00F066E4">
        <w:rPr>
          <w:rFonts w:ascii="Times New Roman" w:eastAsia="Times New Roman" w:hAnsi="Times New Roman" w:cs="Times New Roman"/>
          <w:sz w:val="24"/>
          <w:szCs w:val="24"/>
        </w:rPr>
        <w:t>4</w:t>
      </w:r>
      <w:r w:rsidR="00DD53B1">
        <w:rPr>
          <w:rFonts w:ascii="Times New Roman" w:eastAsia="Times New Roman" w:hAnsi="Times New Roman" w:cs="Times New Roman"/>
          <w:sz w:val="24"/>
          <w:szCs w:val="24"/>
        </w:rPr>
        <w:t>,</w:t>
      </w:r>
      <w:r w:rsidR="00DD53B1" w:rsidRPr="005932F9">
        <w:rPr>
          <w:rFonts w:ascii="Times New Roman" w:eastAsia="Times New Roman" w:hAnsi="Times New Roman" w:cs="Times New Roman"/>
          <w:sz w:val="24"/>
          <w:szCs w:val="24"/>
          <w:highlight w:val="yellow"/>
        </w:rPr>
        <w:t>25</w:t>
      </w:r>
      <w:r w:rsidR="00256106" w:rsidRPr="00565953">
        <w:rPr>
          <w:rFonts w:ascii="Times New Roman" w:eastAsia="Times New Roman" w:hAnsi="Times New Roman" w:cs="Times New Roman"/>
          <w:sz w:val="24"/>
          <w:szCs w:val="24"/>
        </w:rPr>
        <w:t>]</w:t>
      </w:r>
      <w:r w:rsidRPr="00565953">
        <w:rPr>
          <w:rFonts w:ascii="Times New Roman" w:eastAsia="Times New Roman" w:hAnsi="Times New Roman" w:cs="Times New Roman"/>
          <w:color w:val="191919"/>
          <w:sz w:val="24"/>
          <w:szCs w:val="24"/>
        </w:rPr>
        <w:t>.</w:t>
      </w:r>
    </w:p>
    <w:p w14:paraId="4748313F" w14:textId="77777777" w:rsidR="00FE19D9" w:rsidRPr="00565953" w:rsidRDefault="00C45F0A" w:rsidP="0096016C">
      <w:pPr>
        <w:pStyle w:val="ListParagraph"/>
        <w:numPr>
          <w:ilvl w:val="0"/>
          <w:numId w:val="12"/>
        </w:num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lastRenderedPageBreak/>
        <w:t>Molecular Docking Studies</w:t>
      </w:r>
    </w:p>
    <w:p w14:paraId="157D7C35" w14:textId="0CED56D7" w:rsidR="00FE19D9" w:rsidRPr="00565953" w:rsidRDefault="00C45F0A" w:rsidP="00256106">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The molecular docking analysis</w:t>
      </w:r>
      <w:r w:rsidRPr="00565953">
        <w:rPr>
          <w:rFonts w:ascii="Times New Roman" w:eastAsia="Times New Roman" w:hAnsi="Times New Roman" w:cs="Times New Roman"/>
          <w:color w:val="191919"/>
          <w:sz w:val="24"/>
          <w:szCs w:val="24"/>
        </w:rPr>
        <w:t xml:space="preserve"> was </w:t>
      </w:r>
      <w:r w:rsidRPr="00565953">
        <w:rPr>
          <w:rFonts w:ascii="Times New Roman" w:eastAsia="Times New Roman" w:hAnsi="Times New Roman" w:cs="Times New Roman"/>
          <w:sz w:val="24"/>
          <w:szCs w:val="24"/>
        </w:rPr>
        <w:t>performed</w:t>
      </w:r>
      <w:r w:rsidRPr="00565953">
        <w:rPr>
          <w:rFonts w:ascii="Times New Roman" w:eastAsia="Times New Roman" w:hAnsi="Times New Roman" w:cs="Times New Roman"/>
          <w:color w:val="191919"/>
          <w:sz w:val="24"/>
          <w:szCs w:val="24"/>
        </w:rPr>
        <w:t xml:space="preserve"> to </w:t>
      </w:r>
      <w:r w:rsidRPr="00565953">
        <w:rPr>
          <w:rFonts w:ascii="Times New Roman" w:eastAsia="Times New Roman" w:hAnsi="Times New Roman" w:cs="Times New Roman"/>
          <w:sz w:val="24"/>
          <w:szCs w:val="24"/>
        </w:rPr>
        <w:t>assess</w:t>
      </w:r>
      <w:r w:rsidRPr="00565953">
        <w:rPr>
          <w:rFonts w:ascii="Times New Roman" w:eastAsia="Times New Roman" w:hAnsi="Times New Roman" w:cs="Times New Roman"/>
          <w:color w:val="191919"/>
          <w:sz w:val="24"/>
          <w:szCs w:val="24"/>
        </w:rPr>
        <w:t xml:space="preserve"> the interaction of </w:t>
      </w:r>
      <w:r w:rsidRPr="00565953">
        <w:rPr>
          <w:rFonts w:ascii="Times New Roman" w:eastAsia="Times New Roman" w:hAnsi="Times New Roman" w:cs="Times New Roman"/>
          <w:sz w:val="24"/>
          <w:szCs w:val="24"/>
        </w:rPr>
        <w:t>the</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major </w:t>
      </w:r>
      <w:r w:rsidRPr="00565953">
        <w:rPr>
          <w:rFonts w:ascii="Times New Roman" w:eastAsia="Times New Roman" w:hAnsi="Times New Roman" w:cs="Times New Roman"/>
          <w:color w:val="191919"/>
          <w:sz w:val="24"/>
          <w:szCs w:val="24"/>
        </w:rPr>
        <w:t xml:space="preserve">phytoconstituents </w:t>
      </w:r>
      <w:r w:rsidRPr="00565953">
        <w:rPr>
          <w:rFonts w:ascii="Times New Roman" w:eastAsia="Times New Roman" w:hAnsi="Times New Roman" w:cs="Times New Roman"/>
          <w:sz w:val="24"/>
          <w:szCs w:val="24"/>
        </w:rPr>
        <w:t>of</w:t>
      </w:r>
      <w:r w:rsidRPr="00565953">
        <w:rPr>
          <w:rFonts w:ascii="Times New Roman" w:eastAsia="Times New Roman" w:hAnsi="Times New Roman" w:cs="Times New Roman"/>
          <w:color w:val="191919"/>
          <w:sz w:val="24"/>
          <w:szCs w:val="24"/>
        </w:rPr>
        <w:t xml:space="preserve"> Capparis decidua with </w:t>
      </w:r>
      <w:r w:rsidRPr="00565953">
        <w:rPr>
          <w:rFonts w:ascii="Times New Roman" w:eastAsia="Times New Roman" w:hAnsi="Times New Roman" w:cs="Times New Roman"/>
          <w:sz w:val="24"/>
          <w:szCs w:val="24"/>
        </w:rPr>
        <w:t>chosen</w:t>
      </w:r>
      <w:r w:rsidRPr="00565953">
        <w:rPr>
          <w:rFonts w:ascii="Times New Roman" w:eastAsia="Times New Roman" w:hAnsi="Times New Roman" w:cs="Times New Roman"/>
          <w:color w:val="191919"/>
          <w:sz w:val="24"/>
          <w:szCs w:val="24"/>
        </w:rPr>
        <w:t xml:space="preserve"> cancer-</w:t>
      </w:r>
      <w:r w:rsidRPr="00565953">
        <w:rPr>
          <w:rFonts w:ascii="Times New Roman" w:eastAsia="Times New Roman" w:hAnsi="Times New Roman" w:cs="Times New Roman"/>
          <w:sz w:val="24"/>
          <w:szCs w:val="24"/>
        </w:rPr>
        <w:t xml:space="preserve">associated target proteins. The 3D structures of active chemical constituents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 tetrahydropyran-2-one were downloaded from the PubChem which are present in </w:t>
      </w:r>
      <w:r w:rsidRPr="00565953">
        <w:rPr>
          <w:rFonts w:ascii="Times New Roman" w:eastAsia="Times New Roman" w:hAnsi="Times New Roman" w:cs="Times New Roman"/>
          <w:i/>
          <w:sz w:val="24"/>
          <w:szCs w:val="24"/>
        </w:rPr>
        <w:t>Capparis decidua</w:t>
      </w:r>
      <w:r w:rsidR="00E3095F" w:rsidRPr="00565953">
        <w:rPr>
          <w:rFonts w:ascii="Times New Roman" w:eastAsia="Times New Roman" w:hAnsi="Times New Roman" w:cs="Times New Roman"/>
          <w:i/>
          <w:sz w:val="24"/>
          <w:szCs w:val="24"/>
        </w:rPr>
        <w:t xml:space="preserve"> </w:t>
      </w:r>
      <w:r w:rsidR="00256106" w:rsidRPr="00565953">
        <w:rPr>
          <w:rFonts w:ascii="Times New Roman" w:eastAsia="Times New Roman" w:hAnsi="Times New Roman" w:cs="Times New Roman"/>
          <w:iCs/>
          <w:sz w:val="24"/>
          <w:szCs w:val="24"/>
        </w:rPr>
        <w:t>[</w:t>
      </w:r>
      <w:r w:rsidR="00E3095F" w:rsidRPr="00565953">
        <w:rPr>
          <w:rFonts w:ascii="Times New Roman" w:eastAsia="Times New Roman" w:hAnsi="Times New Roman" w:cs="Times New Roman"/>
          <w:iCs/>
          <w:sz w:val="24"/>
          <w:szCs w:val="24"/>
        </w:rPr>
        <w:t>2</w:t>
      </w:r>
      <w:r w:rsidR="00DD53B1">
        <w:rPr>
          <w:rFonts w:ascii="Times New Roman" w:eastAsia="Times New Roman" w:hAnsi="Times New Roman" w:cs="Times New Roman"/>
          <w:iCs/>
          <w:sz w:val="24"/>
          <w:szCs w:val="24"/>
        </w:rPr>
        <w:t>6</w:t>
      </w:r>
      <w:r w:rsidR="00F9311F">
        <w:rPr>
          <w:rFonts w:ascii="Times New Roman" w:eastAsia="Times New Roman" w:hAnsi="Times New Roman" w:cs="Times New Roman"/>
          <w:iCs/>
          <w:sz w:val="24"/>
          <w:szCs w:val="24"/>
        </w:rPr>
        <w:t>,</w:t>
      </w:r>
      <w:r w:rsidR="005932F9" w:rsidRPr="005932F9">
        <w:rPr>
          <w:rFonts w:ascii="Times New Roman" w:eastAsia="Times New Roman" w:hAnsi="Times New Roman" w:cs="Times New Roman"/>
          <w:iCs/>
          <w:sz w:val="24"/>
          <w:szCs w:val="24"/>
          <w:highlight w:val="yellow"/>
        </w:rPr>
        <w:t>27</w:t>
      </w:r>
      <w:r w:rsidR="00256106" w:rsidRPr="00565953">
        <w:rPr>
          <w:rFonts w:ascii="Times New Roman" w:eastAsia="Times New Roman" w:hAnsi="Times New Roman" w:cs="Times New Roman"/>
          <w:iCs/>
          <w:sz w:val="24"/>
          <w:szCs w:val="24"/>
        </w:rPr>
        <w:t>]</w:t>
      </w:r>
      <w:r w:rsidRPr="00565953">
        <w:rPr>
          <w:rFonts w:ascii="Times New Roman" w:eastAsia="Times New Roman" w:hAnsi="Times New Roman" w:cs="Times New Roman"/>
          <w:i/>
          <w:sz w:val="24"/>
          <w:szCs w:val="24"/>
        </w:rPr>
        <w:t>.</w:t>
      </w:r>
      <w:r w:rsidR="00E3095F" w:rsidRPr="00565953">
        <w:rPr>
          <w:rFonts w:ascii="Times New Roman" w:eastAsia="Times New Roman" w:hAnsi="Times New Roman" w:cs="Times New Roman"/>
          <w:i/>
          <w:sz w:val="24"/>
          <w:szCs w:val="24"/>
        </w:rPr>
        <w:t xml:space="preserve"> </w:t>
      </w:r>
      <w:r w:rsidRPr="00565953">
        <w:rPr>
          <w:rFonts w:ascii="Times New Roman" w:eastAsia="Times New Roman" w:hAnsi="Times New Roman" w:cs="Times New Roman"/>
          <w:sz w:val="24"/>
          <w:szCs w:val="24"/>
        </w:rPr>
        <w:t>The 3D structures of the active chemical compounds</w:t>
      </w:r>
      <w:r w:rsidRPr="00565953">
        <w:rPr>
          <w:rFonts w:ascii="Times New Roman" w:eastAsia="Times New Roman" w:hAnsi="Times New Roman" w:cs="Times New Roman"/>
          <w:color w:val="191919"/>
          <w:sz w:val="24"/>
          <w:szCs w:val="24"/>
        </w:rPr>
        <w:t>—</w:t>
      </w:r>
      <w:proofErr w:type="spellStart"/>
      <w:r w:rsidRPr="00565953">
        <w:rPr>
          <w:rFonts w:ascii="Times New Roman" w:eastAsia="Times New Roman" w:hAnsi="Times New Roman" w:cs="Times New Roman"/>
          <w:color w:val="191919"/>
          <w:sz w:val="24"/>
          <w:szCs w:val="24"/>
        </w:rPr>
        <w:t>Capparin</w:t>
      </w:r>
      <w:proofErr w:type="spellEnd"/>
      <w:r w:rsidRPr="00565953">
        <w:rPr>
          <w:rFonts w:ascii="Times New Roman" w:eastAsia="Times New Roman" w:hAnsi="Times New Roman" w:cs="Times New Roman"/>
          <w:color w:val="191919"/>
          <w:sz w:val="24"/>
          <w:szCs w:val="24"/>
        </w:rPr>
        <w:t xml:space="preserve"> and 6-(1-hydroxy-non-3-enyl) tetrahydropyran-2-one—were </w:t>
      </w:r>
      <w:r w:rsidRPr="00565953">
        <w:rPr>
          <w:rFonts w:ascii="Times New Roman" w:eastAsia="Times New Roman" w:hAnsi="Times New Roman" w:cs="Times New Roman"/>
          <w:sz w:val="24"/>
          <w:szCs w:val="24"/>
        </w:rPr>
        <w:t>obtained from the PubChem database. These substances</w:t>
      </w:r>
      <w:r w:rsidRPr="00565953">
        <w:rPr>
          <w:rFonts w:ascii="Times New Roman" w:eastAsia="Times New Roman" w:hAnsi="Times New Roman" w:cs="Times New Roman"/>
          <w:color w:val="191919"/>
          <w:sz w:val="24"/>
          <w:szCs w:val="24"/>
        </w:rPr>
        <w:t xml:space="preserve"> are </w:t>
      </w:r>
      <w:r w:rsidRPr="00565953">
        <w:rPr>
          <w:rFonts w:ascii="Times New Roman" w:eastAsia="Times New Roman" w:hAnsi="Times New Roman" w:cs="Times New Roman"/>
          <w:sz w:val="24"/>
          <w:szCs w:val="24"/>
        </w:rPr>
        <w:t>reported</w:t>
      </w:r>
      <w:r w:rsidRPr="00565953">
        <w:rPr>
          <w:rFonts w:ascii="Times New Roman" w:eastAsia="Times New Roman" w:hAnsi="Times New Roman" w:cs="Times New Roman"/>
          <w:color w:val="191919"/>
          <w:sz w:val="24"/>
          <w:szCs w:val="24"/>
        </w:rPr>
        <w:t xml:space="preserve"> to </w:t>
      </w:r>
      <w:r w:rsidRPr="00565953">
        <w:rPr>
          <w:rFonts w:ascii="Times New Roman" w:eastAsia="Times New Roman" w:hAnsi="Times New Roman" w:cs="Times New Roman"/>
          <w:sz w:val="24"/>
          <w:szCs w:val="24"/>
        </w:rPr>
        <w:t>occur</w:t>
      </w:r>
      <w:r w:rsidRPr="00565953">
        <w:rPr>
          <w:rFonts w:ascii="Times New Roman" w:eastAsia="Times New Roman" w:hAnsi="Times New Roman" w:cs="Times New Roman"/>
          <w:color w:val="191919"/>
          <w:sz w:val="24"/>
          <w:szCs w:val="24"/>
        </w:rPr>
        <w:t xml:space="preserve"> naturally in </w:t>
      </w:r>
      <w:r w:rsidRPr="00565953">
        <w:rPr>
          <w:rFonts w:ascii="Times New Roman" w:eastAsia="Times New Roman" w:hAnsi="Times New Roman" w:cs="Times New Roman"/>
          <w:i/>
          <w:color w:val="191919"/>
          <w:sz w:val="24"/>
          <w:szCs w:val="24"/>
        </w:rPr>
        <w:t>Capparis decidua</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Breast cancer-related </w:t>
      </w:r>
      <w:r w:rsidRPr="00565953">
        <w:rPr>
          <w:rFonts w:ascii="Times New Roman" w:eastAsia="Times New Roman" w:hAnsi="Times New Roman" w:cs="Times New Roman"/>
          <w:color w:val="191919"/>
          <w:sz w:val="24"/>
          <w:szCs w:val="24"/>
        </w:rPr>
        <w:t>target proteins</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such</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as</w:t>
      </w:r>
      <w:r w:rsidRPr="00565953">
        <w:rPr>
          <w:rFonts w:ascii="Times New Roman" w:eastAsia="Times New Roman" w:hAnsi="Times New Roman" w:cs="Times New Roman"/>
          <w:color w:val="191919"/>
          <w:sz w:val="24"/>
          <w:szCs w:val="24"/>
        </w:rPr>
        <w:t xml:space="preserv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receptors and MDM2, were chosen</w:t>
      </w:r>
      <w:r w:rsidRPr="00565953">
        <w:rPr>
          <w:rFonts w:ascii="Times New Roman" w:eastAsia="Times New Roman" w:hAnsi="Times New Roman" w:cs="Times New Roman"/>
          <w:color w:val="191919"/>
          <w:sz w:val="24"/>
          <w:szCs w:val="24"/>
        </w:rPr>
        <w:t xml:space="preserve"> for </w:t>
      </w:r>
      <w:r w:rsidRPr="00565953">
        <w:rPr>
          <w:rFonts w:ascii="Times New Roman" w:eastAsia="Times New Roman" w:hAnsi="Times New Roman" w:cs="Times New Roman"/>
          <w:sz w:val="24"/>
          <w:szCs w:val="24"/>
        </w:rPr>
        <w:t xml:space="preserve">the </w:t>
      </w:r>
      <w:r w:rsidRPr="00565953">
        <w:rPr>
          <w:rFonts w:ascii="Times New Roman" w:eastAsia="Times New Roman" w:hAnsi="Times New Roman" w:cs="Times New Roman"/>
          <w:color w:val="191919"/>
          <w:sz w:val="24"/>
          <w:szCs w:val="24"/>
        </w:rPr>
        <w:t xml:space="preserve">docking </w:t>
      </w:r>
      <w:r w:rsidRPr="00565953">
        <w:rPr>
          <w:rFonts w:ascii="Times New Roman" w:eastAsia="Times New Roman" w:hAnsi="Times New Roman" w:cs="Times New Roman"/>
          <w:sz w:val="24"/>
          <w:szCs w:val="24"/>
        </w:rPr>
        <w:t>experiments.</w:t>
      </w:r>
      <w:r w:rsidR="003F3CBB" w:rsidRPr="003F3CBB">
        <w:rPr>
          <w:rFonts w:ascii="Times New Roman" w:eastAsia="Times New Roman" w:hAnsi="Times New Roman" w:cs="Times New Roman"/>
          <w:sz w:val="24"/>
          <w:szCs w:val="24"/>
          <w:highlight w:val="yellow"/>
        </w:rPr>
        <w:t>[28]</w:t>
      </w:r>
      <w:r w:rsidRPr="00565953">
        <w:rPr>
          <w:rFonts w:ascii="Times New Roman" w:eastAsia="Times New Roman" w:hAnsi="Times New Roman" w:cs="Times New Roman"/>
          <w:sz w:val="24"/>
          <w:szCs w:val="24"/>
        </w:rPr>
        <w:t xml:space="preserve"> Their crystal structures were downloaded from the RCSB Protein Data Bank (PDB). Co-crystallized ligands and crystallographic water molecules were eliminated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before docking </w:t>
      </w:r>
      <w:r w:rsidRPr="00565953">
        <w:rPr>
          <w:rFonts w:ascii="Times New Roman" w:eastAsia="Times New Roman" w:hAnsi="Times New Roman" w:cs="Times New Roman"/>
          <w:color w:val="191919"/>
          <w:sz w:val="24"/>
          <w:szCs w:val="24"/>
        </w:rPr>
        <w:t xml:space="preserve">to </w:t>
      </w:r>
      <w:r w:rsidRPr="00565953">
        <w:rPr>
          <w:rFonts w:ascii="Times New Roman" w:eastAsia="Times New Roman" w:hAnsi="Times New Roman" w:cs="Times New Roman"/>
          <w:sz w:val="24"/>
          <w:szCs w:val="24"/>
        </w:rPr>
        <w:t>get</w:t>
      </w:r>
      <w:r w:rsidRPr="00565953">
        <w:rPr>
          <w:rFonts w:ascii="Times New Roman" w:eastAsia="Times New Roman" w:hAnsi="Times New Roman" w:cs="Times New Roman"/>
          <w:color w:val="191919"/>
          <w:sz w:val="24"/>
          <w:szCs w:val="24"/>
        </w:rPr>
        <w:t xml:space="preserve"> the proteins </w:t>
      </w:r>
      <w:r w:rsidRPr="00565953">
        <w:rPr>
          <w:rFonts w:ascii="Times New Roman" w:eastAsia="Times New Roman" w:hAnsi="Times New Roman" w:cs="Times New Roman"/>
          <w:sz w:val="24"/>
          <w:szCs w:val="24"/>
        </w:rPr>
        <w:t>ready for analysis. Molecular docking was conducted</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with</w:t>
      </w:r>
      <w:r w:rsidRPr="00565953">
        <w:rPr>
          <w:rFonts w:ascii="Times New Roman" w:eastAsia="Times New Roman" w:hAnsi="Times New Roman" w:cs="Times New Roman"/>
          <w:color w:val="191919"/>
          <w:sz w:val="24"/>
          <w:szCs w:val="24"/>
        </w:rPr>
        <w:t xml:space="preserve"> ArgusLab 4.0.1 </w:t>
      </w:r>
      <w:r w:rsidRPr="00565953">
        <w:rPr>
          <w:rFonts w:ascii="Times New Roman" w:eastAsia="Times New Roman" w:hAnsi="Times New Roman" w:cs="Times New Roman"/>
          <w:sz w:val="24"/>
          <w:szCs w:val="24"/>
        </w:rPr>
        <w:t>at</w:t>
      </w:r>
      <w:r w:rsidRPr="00565953">
        <w:rPr>
          <w:rFonts w:ascii="Times New Roman" w:eastAsia="Times New Roman" w:hAnsi="Times New Roman" w:cs="Times New Roman"/>
          <w:color w:val="191919"/>
          <w:sz w:val="24"/>
          <w:szCs w:val="24"/>
        </w:rPr>
        <w:t xml:space="preserve"> default parameters to </w:t>
      </w:r>
      <w:r w:rsidRPr="00565953">
        <w:rPr>
          <w:rFonts w:ascii="Times New Roman" w:eastAsia="Times New Roman" w:hAnsi="Times New Roman" w:cs="Times New Roman"/>
          <w:sz w:val="24"/>
          <w:szCs w:val="24"/>
        </w:rPr>
        <w:t>estimate binding affinities and interaction patterns</w:t>
      </w:r>
      <w:r w:rsidRPr="00565953">
        <w:rPr>
          <w:rFonts w:ascii="Times New Roman" w:eastAsia="Times New Roman" w:hAnsi="Times New Roman" w:cs="Times New Roman"/>
          <w:color w:val="191919"/>
          <w:sz w:val="24"/>
          <w:szCs w:val="24"/>
        </w:rPr>
        <w:t xml:space="preserve">. Docking visualization and ligand–protein </w:t>
      </w:r>
      <w:r w:rsidRPr="00565953">
        <w:rPr>
          <w:rFonts w:ascii="Times New Roman" w:eastAsia="Times New Roman" w:hAnsi="Times New Roman" w:cs="Times New Roman"/>
          <w:sz w:val="24"/>
          <w:szCs w:val="24"/>
        </w:rPr>
        <w:t>interaction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 xml:space="preserve">analysis </w:t>
      </w:r>
      <w:r w:rsidR="00256106" w:rsidRPr="00565953">
        <w:rPr>
          <w:rFonts w:ascii="Times New Roman" w:eastAsia="Times New Roman" w:hAnsi="Times New Roman" w:cs="Times New Roman"/>
          <w:color w:val="191919"/>
          <w:sz w:val="24"/>
          <w:szCs w:val="24"/>
        </w:rPr>
        <w:t>was</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done</w:t>
      </w:r>
      <w:r w:rsidRPr="00565953">
        <w:rPr>
          <w:rFonts w:ascii="Times New Roman" w:eastAsia="Times New Roman" w:hAnsi="Times New Roman" w:cs="Times New Roman"/>
          <w:color w:val="191919"/>
          <w:sz w:val="24"/>
          <w:szCs w:val="24"/>
        </w:rPr>
        <w:t xml:space="preserve"> using Discovery Studio Visualizer for </w:t>
      </w:r>
      <w:r w:rsidRPr="00565953">
        <w:rPr>
          <w:rFonts w:ascii="Times New Roman" w:eastAsia="Times New Roman" w:hAnsi="Times New Roman" w:cs="Times New Roman"/>
          <w:sz w:val="24"/>
          <w:szCs w:val="24"/>
        </w:rPr>
        <w:t>visualization</w:t>
      </w:r>
      <w:r w:rsidRPr="00565953">
        <w:rPr>
          <w:rFonts w:ascii="Times New Roman" w:eastAsia="Times New Roman" w:hAnsi="Times New Roman" w:cs="Times New Roman"/>
          <w:color w:val="191919"/>
          <w:sz w:val="24"/>
          <w:szCs w:val="24"/>
        </w:rPr>
        <w:t xml:space="preserve"> </w:t>
      </w:r>
      <w:r w:rsidRPr="00565953">
        <w:rPr>
          <w:rFonts w:ascii="Times New Roman" w:eastAsia="Times New Roman" w:hAnsi="Times New Roman" w:cs="Times New Roman"/>
          <w:sz w:val="24"/>
          <w:szCs w:val="24"/>
        </w:rPr>
        <w:t>of binding poses and molecular interactions in detail</w:t>
      </w:r>
      <w:r w:rsidRPr="00565953">
        <w:rPr>
          <w:rFonts w:ascii="Times New Roman" w:eastAsia="Times New Roman" w:hAnsi="Times New Roman" w:cs="Times New Roman"/>
          <w:color w:val="191919"/>
          <w:sz w:val="24"/>
          <w:szCs w:val="24"/>
        </w:rPr>
        <w:t>.</w:t>
      </w:r>
    </w:p>
    <w:p w14:paraId="0A12CA5C" w14:textId="4CE923E0" w:rsidR="00FE19D9" w:rsidRPr="00565953" w:rsidRDefault="00E901E1" w:rsidP="004866B5">
      <w:pPr>
        <w:pStyle w:val="ListParagraph"/>
        <w:numPr>
          <w:ilvl w:val="0"/>
          <w:numId w:val="5"/>
        </w:numPr>
        <w:spacing w:line="480" w:lineRule="auto"/>
        <w:jc w:val="both"/>
        <w:rPr>
          <w:rFonts w:ascii="Times New Roman" w:eastAsia="Times New Roman" w:hAnsi="Times New Roman" w:cs="Times New Roman"/>
          <w:b/>
          <w:sz w:val="24"/>
          <w:szCs w:val="24"/>
        </w:rPr>
      </w:pPr>
      <w:bookmarkStart w:id="1" w:name="_GoBack"/>
      <w:r w:rsidRPr="00565953">
        <w:rPr>
          <w:rFonts w:ascii="Times New Roman" w:eastAsia="Times New Roman" w:hAnsi="Times New Roman" w:cs="Times New Roman"/>
          <w:b/>
          <w:sz w:val="24"/>
          <w:szCs w:val="24"/>
        </w:rPr>
        <w:t>Result</w:t>
      </w:r>
      <w:bookmarkEnd w:id="1"/>
      <w:r w:rsidRPr="00565953">
        <w:rPr>
          <w:rFonts w:ascii="Times New Roman" w:eastAsia="Times New Roman" w:hAnsi="Times New Roman" w:cs="Times New Roman"/>
          <w:b/>
          <w:sz w:val="24"/>
          <w:szCs w:val="24"/>
        </w:rPr>
        <w:t>s</w:t>
      </w:r>
    </w:p>
    <w:p w14:paraId="0DE9DB61" w14:textId="77777777" w:rsidR="00FE19D9" w:rsidRPr="00565953" w:rsidRDefault="00C45F0A" w:rsidP="0096016C">
      <w:pPr>
        <w:pStyle w:val="ListParagraph"/>
        <w:numPr>
          <w:ilvl w:val="0"/>
          <w:numId w:val="13"/>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Vitro Model – MTT Assay (Anti-Cancer Activity)</w:t>
      </w:r>
    </w:p>
    <w:p w14:paraId="5F91D54E"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ability of Capparis decidua extract to kill MCF-7 human breast cancer cells was tested using the MTT assay. The data are shown in Tables 1 and 2 and graphically illustrated in Figure 1. Within the first concentration range (12.5–500 µg/mL), </w:t>
      </w:r>
      <w:r w:rsidRPr="00565953">
        <w:rPr>
          <w:rFonts w:ascii="Times New Roman" w:eastAsia="Times New Roman" w:hAnsi="Times New Roman" w:cs="Times New Roman"/>
          <w:i/>
          <w:sz w:val="24"/>
          <w:szCs w:val="24"/>
        </w:rPr>
        <w:t>C.</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decidua</w:t>
      </w:r>
      <w:r w:rsidRPr="00565953">
        <w:rPr>
          <w:rFonts w:ascii="Times New Roman" w:eastAsia="Times New Roman" w:hAnsi="Times New Roman" w:cs="Times New Roman"/>
          <w:sz w:val="24"/>
          <w:szCs w:val="24"/>
        </w:rPr>
        <w:t xml:space="preserve"> extract was not strongly cytotoxic, with cell viability greater than 70%, implying a weaker effect at reduced concentrations. The percentage viability between 12.5, 25, 50, 100, 200, 300, 400, and 500 µg/ mL was 74.29% to 104.10%, as indicated in Table 1, meaning IC₅₀ could not be established within the range. </w:t>
      </w:r>
    </w:p>
    <w:p w14:paraId="78B0EC98" w14:textId="747053B5"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Table 1: </w:t>
      </w:r>
      <w:r w:rsidRPr="00565953">
        <w:rPr>
          <w:rFonts w:ascii="Times New Roman" w:eastAsia="Times New Roman" w:hAnsi="Times New Roman" w:cs="Times New Roman"/>
          <w:sz w:val="24"/>
          <w:szCs w:val="24"/>
        </w:rPr>
        <w:t>Absorbance, % Viability for vehicle</w:t>
      </w:r>
      <w:r w:rsidR="0021123E">
        <w:rPr>
          <w:rFonts w:ascii="Times New Roman" w:eastAsia="Times New Roman" w:hAnsi="Times New Roman" w:cs="Times New Roman"/>
          <w:sz w:val="24"/>
          <w:szCs w:val="24"/>
        </w:rPr>
        <w:t xml:space="preserve"> </w:t>
      </w:r>
      <w:r w:rsidRPr="00565953">
        <w:rPr>
          <w:rFonts w:ascii="Times New Roman" w:eastAsia="Times New Roman" w:hAnsi="Times New Roman" w:cs="Times New Roman"/>
          <w:sz w:val="24"/>
          <w:szCs w:val="24"/>
        </w:rPr>
        <w:t xml:space="preserve">and test item-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w:t>
      </w:r>
      <w:r w:rsidRPr="00565953">
        <w:rPr>
          <w:rFonts w:ascii="Times New Roman" w:eastAsia="Times New Roman" w:hAnsi="Times New Roman" w:cs="Times New Roman"/>
          <w:b/>
          <w:sz w:val="24"/>
          <w:szCs w:val="24"/>
        </w:rPr>
        <w:t xml:space="preserve"> </w:t>
      </w:r>
    </w:p>
    <w:tbl>
      <w:tblPr>
        <w:tblStyle w:val="a"/>
        <w:tblW w:w="89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559"/>
        <w:gridCol w:w="1143"/>
        <w:gridCol w:w="822"/>
        <w:gridCol w:w="822"/>
        <w:gridCol w:w="822"/>
        <w:gridCol w:w="865"/>
        <w:gridCol w:w="685"/>
        <w:gridCol w:w="1503"/>
      </w:tblGrid>
      <w:tr w:rsidR="00FE19D9" w:rsidRPr="00565953" w14:paraId="3D2A4834" w14:textId="77777777">
        <w:trPr>
          <w:trHeight w:val="409"/>
        </w:trPr>
        <w:tc>
          <w:tcPr>
            <w:tcW w:w="8981" w:type="dxa"/>
            <w:gridSpan w:val="9"/>
            <w:tcBorders>
              <w:top w:val="single" w:sz="4" w:space="0" w:color="000000"/>
              <w:left w:val="single" w:sz="4" w:space="0" w:color="000000"/>
              <w:bottom w:val="single" w:sz="4" w:space="0" w:color="000000"/>
              <w:right w:val="single" w:sz="4" w:space="0" w:color="000000"/>
            </w:tcBorders>
            <w:vAlign w:val="center"/>
          </w:tcPr>
          <w:p w14:paraId="36718C90" w14:textId="5C536320" w:rsidR="00FE19D9" w:rsidRPr="00565953" w:rsidRDefault="00C45F0A" w:rsidP="00112EA7">
            <w:pPr>
              <w:spacing w:line="480" w:lineRule="auto"/>
              <w:rPr>
                <w:rFonts w:ascii="Times New Roman" w:eastAsia="Times New Roman" w:hAnsi="Times New Roman" w:cs="Times New Roman"/>
                <w:sz w:val="24"/>
                <w:szCs w:val="24"/>
              </w:rPr>
            </w:pPr>
            <w:bookmarkStart w:id="2" w:name="_heading=h.70hgbd78ny44" w:colFirst="0" w:colLast="0"/>
            <w:bookmarkEnd w:id="2"/>
            <w:r w:rsidRPr="00565953">
              <w:rPr>
                <w:rFonts w:ascii="Times New Roman" w:eastAsia="Times New Roman" w:hAnsi="Times New Roman" w:cs="Times New Roman"/>
                <w:sz w:val="24"/>
                <w:szCs w:val="24"/>
              </w:rPr>
              <w:lastRenderedPageBreak/>
              <w:t>Absorbance at 570 nm- 24 hours</w:t>
            </w:r>
          </w:p>
        </w:tc>
      </w:tr>
      <w:tr w:rsidR="00FE19D9" w:rsidRPr="00565953" w14:paraId="6C0BEA13" w14:textId="77777777">
        <w:trPr>
          <w:trHeight w:val="781"/>
        </w:trPr>
        <w:tc>
          <w:tcPr>
            <w:tcW w:w="2319" w:type="dxa"/>
            <w:gridSpan w:val="2"/>
            <w:tcBorders>
              <w:top w:val="single" w:sz="4" w:space="0" w:color="000000"/>
              <w:left w:val="single" w:sz="4" w:space="0" w:color="000000"/>
              <w:bottom w:val="single" w:sz="4" w:space="0" w:color="000000"/>
              <w:right w:val="single" w:sz="4" w:space="0" w:color="000000"/>
            </w:tcBorders>
            <w:vAlign w:val="center"/>
          </w:tcPr>
          <w:p w14:paraId="1A20CF34"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Formulations</w:t>
            </w:r>
          </w:p>
        </w:tc>
        <w:tc>
          <w:tcPr>
            <w:tcW w:w="1143" w:type="dxa"/>
            <w:tcBorders>
              <w:top w:val="single" w:sz="4" w:space="0" w:color="000000"/>
              <w:left w:val="single" w:sz="4" w:space="0" w:color="000000"/>
              <w:bottom w:val="single" w:sz="4" w:space="0" w:color="000000"/>
              <w:right w:val="single" w:sz="4" w:space="0" w:color="000000"/>
            </w:tcBorders>
            <w:vAlign w:val="center"/>
          </w:tcPr>
          <w:p w14:paraId="77B9CF56"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Conc.</w:t>
            </w:r>
          </w:p>
          <w:p w14:paraId="2E540117"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(µg/mL)</w:t>
            </w:r>
          </w:p>
        </w:tc>
        <w:tc>
          <w:tcPr>
            <w:tcW w:w="822" w:type="dxa"/>
            <w:tcBorders>
              <w:top w:val="single" w:sz="4" w:space="0" w:color="000000"/>
              <w:left w:val="single" w:sz="4" w:space="0" w:color="000000"/>
              <w:bottom w:val="single" w:sz="4" w:space="0" w:color="000000"/>
              <w:right w:val="single" w:sz="4" w:space="0" w:color="000000"/>
            </w:tcBorders>
            <w:vAlign w:val="center"/>
          </w:tcPr>
          <w:p w14:paraId="67BAAA17"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Ab. 1</w:t>
            </w:r>
          </w:p>
        </w:tc>
        <w:tc>
          <w:tcPr>
            <w:tcW w:w="822" w:type="dxa"/>
            <w:tcBorders>
              <w:top w:val="single" w:sz="4" w:space="0" w:color="000000"/>
              <w:left w:val="single" w:sz="4" w:space="0" w:color="000000"/>
              <w:bottom w:val="single" w:sz="4" w:space="0" w:color="000000"/>
              <w:right w:val="single" w:sz="4" w:space="0" w:color="000000"/>
            </w:tcBorders>
            <w:vAlign w:val="center"/>
          </w:tcPr>
          <w:p w14:paraId="7F1C3348"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Ab. 2</w:t>
            </w:r>
          </w:p>
        </w:tc>
        <w:tc>
          <w:tcPr>
            <w:tcW w:w="822" w:type="dxa"/>
            <w:tcBorders>
              <w:top w:val="single" w:sz="4" w:space="0" w:color="000000"/>
              <w:left w:val="single" w:sz="4" w:space="0" w:color="000000"/>
              <w:bottom w:val="single" w:sz="4" w:space="0" w:color="000000"/>
              <w:right w:val="single" w:sz="4" w:space="0" w:color="000000"/>
            </w:tcBorders>
            <w:vAlign w:val="center"/>
          </w:tcPr>
          <w:p w14:paraId="77E845D1"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Ab. 3</w:t>
            </w:r>
          </w:p>
        </w:tc>
        <w:tc>
          <w:tcPr>
            <w:tcW w:w="865" w:type="dxa"/>
            <w:tcBorders>
              <w:top w:val="single" w:sz="4" w:space="0" w:color="000000"/>
              <w:left w:val="single" w:sz="4" w:space="0" w:color="000000"/>
              <w:bottom w:val="single" w:sz="4" w:space="0" w:color="000000"/>
              <w:right w:val="single" w:sz="4" w:space="0" w:color="000000"/>
            </w:tcBorders>
            <w:vAlign w:val="center"/>
          </w:tcPr>
          <w:p w14:paraId="24CB5C16"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Mean</w:t>
            </w:r>
          </w:p>
        </w:tc>
        <w:tc>
          <w:tcPr>
            <w:tcW w:w="685" w:type="dxa"/>
            <w:tcBorders>
              <w:top w:val="single" w:sz="4" w:space="0" w:color="000000"/>
              <w:left w:val="single" w:sz="4" w:space="0" w:color="000000"/>
              <w:bottom w:val="single" w:sz="4" w:space="0" w:color="000000"/>
              <w:right w:val="single" w:sz="4" w:space="0" w:color="000000"/>
            </w:tcBorders>
            <w:vAlign w:val="center"/>
          </w:tcPr>
          <w:p w14:paraId="289886E5"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SD</w:t>
            </w:r>
          </w:p>
        </w:tc>
        <w:tc>
          <w:tcPr>
            <w:tcW w:w="1503" w:type="dxa"/>
            <w:tcBorders>
              <w:top w:val="single" w:sz="4" w:space="0" w:color="000000"/>
              <w:left w:val="single" w:sz="4" w:space="0" w:color="000000"/>
              <w:bottom w:val="single" w:sz="4" w:space="0" w:color="000000"/>
              <w:right w:val="single" w:sz="4" w:space="0" w:color="000000"/>
            </w:tcBorders>
            <w:vAlign w:val="center"/>
          </w:tcPr>
          <w:p w14:paraId="7E7BBCEE"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Viability</w:t>
            </w:r>
          </w:p>
        </w:tc>
      </w:tr>
      <w:tr w:rsidR="00FE19D9" w:rsidRPr="00565953" w14:paraId="69339E6C" w14:textId="77777777">
        <w:trPr>
          <w:trHeight w:val="428"/>
        </w:trPr>
        <w:tc>
          <w:tcPr>
            <w:tcW w:w="2319" w:type="dxa"/>
            <w:gridSpan w:val="2"/>
            <w:tcBorders>
              <w:top w:val="single" w:sz="4" w:space="0" w:color="000000"/>
              <w:left w:val="single" w:sz="4" w:space="0" w:color="000000"/>
              <w:bottom w:val="single" w:sz="4" w:space="0" w:color="000000"/>
              <w:right w:val="single" w:sz="4" w:space="0" w:color="000000"/>
            </w:tcBorders>
            <w:vAlign w:val="center"/>
          </w:tcPr>
          <w:p w14:paraId="201FBF3C"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Vehicle Control</w:t>
            </w:r>
          </w:p>
        </w:tc>
        <w:tc>
          <w:tcPr>
            <w:tcW w:w="1143" w:type="dxa"/>
            <w:tcBorders>
              <w:top w:val="single" w:sz="4" w:space="0" w:color="000000"/>
              <w:left w:val="single" w:sz="4" w:space="0" w:color="000000"/>
              <w:bottom w:val="single" w:sz="4" w:space="0" w:color="000000"/>
              <w:right w:val="single" w:sz="4" w:space="0" w:color="000000"/>
            </w:tcBorders>
            <w:vAlign w:val="center"/>
          </w:tcPr>
          <w:p w14:paraId="7CF81CA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 µL</w:t>
            </w:r>
          </w:p>
        </w:tc>
        <w:tc>
          <w:tcPr>
            <w:tcW w:w="822" w:type="dxa"/>
            <w:tcBorders>
              <w:top w:val="single" w:sz="4" w:space="0" w:color="000000"/>
              <w:left w:val="single" w:sz="4" w:space="0" w:color="000000"/>
              <w:bottom w:val="single" w:sz="4" w:space="0" w:color="000000"/>
              <w:right w:val="single" w:sz="4" w:space="0" w:color="000000"/>
            </w:tcBorders>
            <w:vAlign w:val="center"/>
          </w:tcPr>
          <w:p w14:paraId="5570849E"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0.620</w:t>
            </w:r>
          </w:p>
        </w:tc>
        <w:tc>
          <w:tcPr>
            <w:tcW w:w="822" w:type="dxa"/>
            <w:tcBorders>
              <w:top w:val="single" w:sz="4" w:space="0" w:color="000000"/>
              <w:left w:val="single" w:sz="4" w:space="0" w:color="000000"/>
              <w:bottom w:val="single" w:sz="4" w:space="0" w:color="000000"/>
              <w:right w:val="single" w:sz="4" w:space="0" w:color="000000"/>
            </w:tcBorders>
            <w:vAlign w:val="center"/>
          </w:tcPr>
          <w:p w14:paraId="589C79B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0.767</w:t>
            </w:r>
          </w:p>
        </w:tc>
        <w:tc>
          <w:tcPr>
            <w:tcW w:w="822" w:type="dxa"/>
            <w:tcBorders>
              <w:top w:val="single" w:sz="4" w:space="0" w:color="000000"/>
              <w:left w:val="single" w:sz="4" w:space="0" w:color="000000"/>
              <w:bottom w:val="single" w:sz="4" w:space="0" w:color="000000"/>
              <w:right w:val="single" w:sz="4" w:space="0" w:color="000000"/>
            </w:tcBorders>
            <w:vAlign w:val="center"/>
          </w:tcPr>
          <w:p w14:paraId="05F7276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0.663</w:t>
            </w:r>
          </w:p>
        </w:tc>
        <w:tc>
          <w:tcPr>
            <w:tcW w:w="865" w:type="dxa"/>
            <w:tcBorders>
              <w:top w:val="single" w:sz="4" w:space="0" w:color="000000"/>
              <w:left w:val="single" w:sz="4" w:space="0" w:color="000000"/>
              <w:bottom w:val="single" w:sz="4" w:space="0" w:color="000000"/>
              <w:right w:val="single" w:sz="4" w:space="0" w:color="000000"/>
            </w:tcBorders>
            <w:vAlign w:val="center"/>
          </w:tcPr>
          <w:p w14:paraId="75B012F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0.68</w:t>
            </w:r>
          </w:p>
        </w:tc>
        <w:tc>
          <w:tcPr>
            <w:tcW w:w="685" w:type="dxa"/>
            <w:tcBorders>
              <w:top w:val="single" w:sz="4" w:space="0" w:color="000000"/>
              <w:left w:val="single" w:sz="4" w:space="0" w:color="000000"/>
              <w:bottom w:val="single" w:sz="4" w:space="0" w:color="000000"/>
              <w:right w:val="single" w:sz="4" w:space="0" w:color="000000"/>
            </w:tcBorders>
            <w:vAlign w:val="center"/>
          </w:tcPr>
          <w:p w14:paraId="7ED407B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0.08</w:t>
            </w:r>
          </w:p>
        </w:tc>
        <w:tc>
          <w:tcPr>
            <w:tcW w:w="1503" w:type="dxa"/>
            <w:tcBorders>
              <w:top w:val="single" w:sz="4" w:space="0" w:color="000000"/>
              <w:left w:val="single" w:sz="4" w:space="0" w:color="000000"/>
              <w:bottom w:val="single" w:sz="4" w:space="0" w:color="000000"/>
              <w:right w:val="single" w:sz="4" w:space="0" w:color="000000"/>
            </w:tcBorders>
            <w:vAlign w:val="center"/>
          </w:tcPr>
          <w:p w14:paraId="2739A31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100.00</w:t>
            </w:r>
          </w:p>
        </w:tc>
      </w:tr>
      <w:tr w:rsidR="00FE19D9" w:rsidRPr="00565953" w14:paraId="4007F8A6" w14:textId="77777777">
        <w:trPr>
          <w:trHeight w:val="428"/>
        </w:trPr>
        <w:tc>
          <w:tcPr>
            <w:tcW w:w="1760" w:type="dxa"/>
            <w:vMerge w:val="restart"/>
            <w:tcBorders>
              <w:top w:val="single" w:sz="4" w:space="0" w:color="000000"/>
              <w:left w:val="single" w:sz="4" w:space="0" w:color="000000"/>
              <w:bottom w:val="single" w:sz="4" w:space="0" w:color="000000"/>
              <w:right w:val="single" w:sz="4" w:space="0" w:color="000000"/>
            </w:tcBorders>
            <w:vAlign w:val="center"/>
          </w:tcPr>
          <w:p w14:paraId="7C517DFB"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i/>
                <w:sz w:val="24"/>
                <w:szCs w:val="24"/>
              </w:rPr>
              <w:t>Capparis decidua</w:t>
            </w:r>
            <w:r w:rsidRPr="00565953">
              <w:rPr>
                <w:rFonts w:ascii="Times New Roman" w:eastAsia="Times New Roman" w:hAnsi="Times New Roman" w:cs="Times New Roman"/>
                <w:b/>
                <w:sz w:val="24"/>
                <w:szCs w:val="24"/>
              </w:rPr>
              <w:t xml:space="preserve"> </w:t>
            </w:r>
          </w:p>
          <w:p w14:paraId="5D5B03D6" w14:textId="77777777" w:rsidR="00FE19D9" w:rsidRPr="00565953" w:rsidRDefault="00FE19D9" w:rsidP="00112EA7">
            <w:pPr>
              <w:spacing w:line="480" w:lineRule="auto"/>
              <w:rPr>
                <w:rFonts w:ascii="Times New Roman" w:eastAsia="Times New Roman" w:hAnsi="Times New Roman" w:cs="Times New Roman"/>
                <w:b/>
                <w:i/>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7AF1A1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F8</w:t>
            </w:r>
          </w:p>
        </w:tc>
        <w:tc>
          <w:tcPr>
            <w:tcW w:w="1143" w:type="dxa"/>
            <w:tcBorders>
              <w:top w:val="single" w:sz="4" w:space="0" w:color="000000"/>
              <w:left w:val="single" w:sz="4" w:space="0" w:color="000000"/>
              <w:bottom w:val="single" w:sz="4" w:space="0" w:color="000000"/>
              <w:right w:val="single" w:sz="4" w:space="0" w:color="000000"/>
            </w:tcBorders>
            <w:vAlign w:val="center"/>
          </w:tcPr>
          <w:p w14:paraId="6389773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12.5</w:t>
            </w:r>
          </w:p>
        </w:tc>
        <w:tc>
          <w:tcPr>
            <w:tcW w:w="822" w:type="dxa"/>
            <w:tcBorders>
              <w:top w:val="single" w:sz="4" w:space="0" w:color="000000"/>
              <w:left w:val="single" w:sz="4" w:space="0" w:color="000000"/>
              <w:bottom w:val="single" w:sz="4" w:space="0" w:color="000000"/>
              <w:right w:val="single" w:sz="4" w:space="0" w:color="000000"/>
            </w:tcBorders>
            <w:vAlign w:val="center"/>
          </w:tcPr>
          <w:p w14:paraId="2BAE768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0.686</w:t>
            </w:r>
          </w:p>
        </w:tc>
        <w:tc>
          <w:tcPr>
            <w:tcW w:w="822" w:type="dxa"/>
            <w:tcBorders>
              <w:top w:val="single" w:sz="4" w:space="0" w:color="000000"/>
              <w:left w:val="single" w:sz="4" w:space="0" w:color="000000"/>
              <w:bottom w:val="single" w:sz="4" w:space="0" w:color="000000"/>
              <w:right w:val="single" w:sz="4" w:space="0" w:color="000000"/>
            </w:tcBorders>
            <w:vAlign w:val="center"/>
          </w:tcPr>
          <w:p w14:paraId="5F06102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0.661</w:t>
            </w:r>
          </w:p>
        </w:tc>
        <w:tc>
          <w:tcPr>
            <w:tcW w:w="822" w:type="dxa"/>
            <w:tcBorders>
              <w:top w:val="single" w:sz="4" w:space="0" w:color="000000"/>
              <w:left w:val="single" w:sz="4" w:space="0" w:color="000000"/>
              <w:bottom w:val="single" w:sz="4" w:space="0" w:color="000000"/>
              <w:right w:val="single" w:sz="4" w:space="0" w:color="000000"/>
            </w:tcBorders>
            <w:vAlign w:val="center"/>
          </w:tcPr>
          <w:p w14:paraId="06A78736"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0.717</w:t>
            </w:r>
          </w:p>
        </w:tc>
        <w:tc>
          <w:tcPr>
            <w:tcW w:w="865" w:type="dxa"/>
            <w:tcBorders>
              <w:top w:val="single" w:sz="4" w:space="0" w:color="000000"/>
              <w:left w:val="single" w:sz="4" w:space="0" w:color="000000"/>
              <w:bottom w:val="single" w:sz="4" w:space="0" w:color="000000"/>
              <w:right w:val="single" w:sz="4" w:space="0" w:color="000000"/>
            </w:tcBorders>
            <w:vAlign w:val="center"/>
          </w:tcPr>
          <w:p w14:paraId="63FAD59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0.69</w:t>
            </w:r>
          </w:p>
        </w:tc>
        <w:tc>
          <w:tcPr>
            <w:tcW w:w="685" w:type="dxa"/>
            <w:tcBorders>
              <w:top w:val="single" w:sz="4" w:space="0" w:color="000000"/>
              <w:left w:val="single" w:sz="4" w:space="0" w:color="000000"/>
              <w:bottom w:val="single" w:sz="4" w:space="0" w:color="000000"/>
              <w:right w:val="single" w:sz="4" w:space="0" w:color="000000"/>
            </w:tcBorders>
            <w:vAlign w:val="center"/>
          </w:tcPr>
          <w:p w14:paraId="28E0094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0.03</w:t>
            </w:r>
          </w:p>
        </w:tc>
        <w:tc>
          <w:tcPr>
            <w:tcW w:w="1503" w:type="dxa"/>
            <w:tcBorders>
              <w:top w:val="single" w:sz="4" w:space="0" w:color="000000"/>
              <w:left w:val="single" w:sz="4" w:space="0" w:color="000000"/>
              <w:bottom w:val="single" w:sz="4" w:space="0" w:color="000000"/>
              <w:right w:val="single" w:sz="4" w:space="0" w:color="000000"/>
            </w:tcBorders>
            <w:vAlign w:val="center"/>
          </w:tcPr>
          <w:p w14:paraId="35D1787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100.68</w:t>
            </w:r>
          </w:p>
        </w:tc>
      </w:tr>
      <w:tr w:rsidR="00FE19D9" w:rsidRPr="00565953" w14:paraId="022387C7"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0CDADCB6"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351F4E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F7</w:t>
            </w:r>
          </w:p>
        </w:tc>
        <w:tc>
          <w:tcPr>
            <w:tcW w:w="1143" w:type="dxa"/>
            <w:tcBorders>
              <w:top w:val="single" w:sz="4" w:space="0" w:color="000000"/>
              <w:left w:val="single" w:sz="4" w:space="0" w:color="000000"/>
              <w:bottom w:val="single" w:sz="4" w:space="0" w:color="000000"/>
              <w:right w:val="single" w:sz="4" w:space="0" w:color="000000"/>
            </w:tcBorders>
            <w:vAlign w:val="center"/>
          </w:tcPr>
          <w:p w14:paraId="3A2C2F8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25</w:t>
            </w:r>
          </w:p>
        </w:tc>
        <w:tc>
          <w:tcPr>
            <w:tcW w:w="822" w:type="dxa"/>
            <w:tcBorders>
              <w:top w:val="single" w:sz="4" w:space="0" w:color="000000"/>
              <w:left w:val="single" w:sz="4" w:space="0" w:color="000000"/>
              <w:bottom w:val="single" w:sz="4" w:space="0" w:color="000000"/>
              <w:right w:val="single" w:sz="4" w:space="0" w:color="000000"/>
            </w:tcBorders>
            <w:vAlign w:val="center"/>
          </w:tcPr>
          <w:p w14:paraId="4C276AEA"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0.716</w:t>
            </w:r>
          </w:p>
        </w:tc>
        <w:tc>
          <w:tcPr>
            <w:tcW w:w="822" w:type="dxa"/>
            <w:tcBorders>
              <w:top w:val="single" w:sz="4" w:space="0" w:color="000000"/>
              <w:left w:val="single" w:sz="4" w:space="0" w:color="000000"/>
              <w:bottom w:val="single" w:sz="4" w:space="0" w:color="000000"/>
              <w:right w:val="single" w:sz="4" w:space="0" w:color="000000"/>
            </w:tcBorders>
            <w:vAlign w:val="center"/>
          </w:tcPr>
          <w:p w14:paraId="1F3D60F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0.740</w:t>
            </w:r>
          </w:p>
        </w:tc>
        <w:tc>
          <w:tcPr>
            <w:tcW w:w="822" w:type="dxa"/>
            <w:tcBorders>
              <w:top w:val="single" w:sz="4" w:space="0" w:color="000000"/>
              <w:left w:val="single" w:sz="4" w:space="0" w:color="000000"/>
              <w:bottom w:val="single" w:sz="4" w:space="0" w:color="000000"/>
              <w:right w:val="single" w:sz="4" w:space="0" w:color="000000"/>
            </w:tcBorders>
            <w:vAlign w:val="center"/>
          </w:tcPr>
          <w:p w14:paraId="10BC871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0.678</w:t>
            </w:r>
          </w:p>
        </w:tc>
        <w:tc>
          <w:tcPr>
            <w:tcW w:w="865" w:type="dxa"/>
            <w:tcBorders>
              <w:top w:val="single" w:sz="4" w:space="0" w:color="000000"/>
              <w:left w:val="single" w:sz="4" w:space="0" w:color="000000"/>
              <w:bottom w:val="single" w:sz="4" w:space="0" w:color="000000"/>
              <w:right w:val="single" w:sz="4" w:space="0" w:color="000000"/>
            </w:tcBorders>
            <w:vAlign w:val="center"/>
          </w:tcPr>
          <w:p w14:paraId="2B9673A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w:t>
            </w:r>
          </w:p>
        </w:tc>
        <w:tc>
          <w:tcPr>
            <w:tcW w:w="685" w:type="dxa"/>
            <w:tcBorders>
              <w:top w:val="single" w:sz="4" w:space="0" w:color="000000"/>
              <w:left w:val="single" w:sz="4" w:space="0" w:color="000000"/>
              <w:bottom w:val="single" w:sz="4" w:space="0" w:color="000000"/>
              <w:right w:val="single" w:sz="4" w:space="0" w:color="000000"/>
            </w:tcBorders>
            <w:vAlign w:val="center"/>
          </w:tcPr>
          <w:p w14:paraId="45DF139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0.03</w:t>
            </w:r>
          </w:p>
        </w:tc>
        <w:tc>
          <w:tcPr>
            <w:tcW w:w="1503" w:type="dxa"/>
            <w:tcBorders>
              <w:top w:val="single" w:sz="4" w:space="0" w:color="000000"/>
              <w:left w:val="single" w:sz="4" w:space="0" w:color="000000"/>
              <w:bottom w:val="single" w:sz="4" w:space="0" w:color="000000"/>
              <w:right w:val="single" w:sz="4" w:space="0" w:color="000000"/>
            </w:tcBorders>
            <w:vAlign w:val="center"/>
          </w:tcPr>
          <w:p w14:paraId="19FFB73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104.10</w:t>
            </w:r>
          </w:p>
        </w:tc>
      </w:tr>
      <w:tr w:rsidR="00FE19D9" w:rsidRPr="00565953" w14:paraId="7FB6D6A0"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281CA0E1"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D54AB6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F6</w:t>
            </w:r>
          </w:p>
        </w:tc>
        <w:tc>
          <w:tcPr>
            <w:tcW w:w="1143" w:type="dxa"/>
            <w:tcBorders>
              <w:top w:val="single" w:sz="4" w:space="0" w:color="000000"/>
              <w:left w:val="single" w:sz="4" w:space="0" w:color="000000"/>
              <w:bottom w:val="single" w:sz="4" w:space="0" w:color="000000"/>
              <w:right w:val="single" w:sz="4" w:space="0" w:color="000000"/>
            </w:tcBorders>
            <w:vAlign w:val="center"/>
          </w:tcPr>
          <w:p w14:paraId="6441AE0B"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50</w:t>
            </w:r>
          </w:p>
        </w:tc>
        <w:tc>
          <w:tcPr>
            <w:tcW w:w="822" w:type="dxa"/>
            <w:tcBorders>
              <w:top w:val="single" w:sz="4" w:space="0" w:color="000000"/>
              <w:left w:val="single" w:sz="4" w:space="0" w:color="000000"/>
              <w:bottom w:val="single" w:sz="4" w:space="0" w:color="000000"/>
              <w:right w:val="single" w:sz="4" w:space="0" w:color="000000"/>
            </w:tcBorders>
            <w:vAlign w:val="center"/>
          </w:tcPr>
          <w:p w14:paraId="46BECB6A"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0.609</w:t>
            </w:r>
          </w:p>
        </w:tc>
        <w:tc>
          <w:tcPr>
            <w:tcW w:w="822" w:type="dxa"/>
            <w:tcBorders>
              <w:top w:val="single" w:sz="4" w:space="0" w:color="000000"/>
              <w:left w:val="single" w:sz="4" w:space="0" w:color="000000"/>
              <w:bottom w:val="single" w:sz="4" w:space="0" w:color="000000"/>
              <w:right w:val="single" w:sz="4" w:space="0" w:color="000000"/>
            </w:tcBorders>
            <w:vAlign w:val="center"/>
          </w:tcPr>
          <w:p w14:paraId="208E7F2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0.642</w:t>
            </w:r>
          </w:p>
        </w:tc>
        <w:tc>
          <w:tcPr>
            <w:tcW w:w="822" w:type="dxa"/>
            <w:tcBorders>
              <w:top w:val="single" w:sz="4" w:space="0" w:color="000000"/>
              <w:left w:val="single" w:sz="4" w:space="0" w:color="000000"/>
              <w:bottom w:val="single" w:sz="4" w:space="0" w:color="000000"/>
              <w:right w:val="single" w:sz="4" w:space="0" w:color="000000"/>
            </w:tcBorders>
            <w:vAlign w:val="center"/>
          </w:tcPr>
          <w:p w14:paraId="15B1706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0.680</w:t>
            </w:r>
          </w:p>
        </w:tc>
        <w:tc>
          <w:tcPr>
            <w:tcW w:w="865" w:type="dxa"/>
            <w:tcBorders>
              <w:top w:val="single" w:sz="4" w:space="0" w:color="000000"/>
              <w:left w:val="single" w:sz="4" w:space="0" w:color="000000"/>
              <w:bottom w:val="single" w:sz="4" w:space="0" w:color="000000"/>
              <w:right w:val="single" w:sz="4" w:space="0" w:color="000000"/>
            </w:tcBorders>
            <w:vAlign w:val="center"/>
          </w:tcPr>
          <w:p w14:paraId="5332332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w:t>
            </w:r>
          </w:p>
        </w:tc>
        <w:tc>
          <w:tcPr>
            <w:tcW w:w="685" w:type="dxa"/>
            <w:tcBorders>
              <w:top w:val="single" w:sz="4" w:space="0" w:color="000000"/>
              <w:left w:val="single" w:sz="4" w:space="0" w:color="000000"/>
              <w:bottom w:val="single" w:sz="4" w:space="0" w:color="000000"/>
              <w:right w:val="single" w:sz="4" w:space="0" w:color="000000"/>
            </w:tcBorders>
            <w:vAlign w:val="center"/>
          </w:tcPr>
          <w:p w14:paraId="47E226AE"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0.04</w:t>
            </w:r>
          </w:p>
        </w:tc>
        <w:tc>
          <w:tcPr>
            <w:tcW w:w="1503" w:type="dxa"/>
            <w:tcBorders>
              <w:top w:val="single" w:sz="4" w:space="0" w:color="000000"/>
              <w:left w:val="single" w:sz="4" w:space="0" w:color="000000"/>
              <w:bottom w:val="single" w:sz="4" w:space="0" w:color="000000"/>
              <w:right w:val="single" w:sz="4" w:space="0" w:color="000000"/>
            </w:tcBorders>
            <w:vAlign w:val="center"/>
          </w:tcPr>
          <w:p w14:paraId="49F2B92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94.20</w:t>
            </w:r>
          </w:p>
        </w:tc>
      </w:tr>
      <w:tr w:rsidR="00FE19D9" w:rsidRPr="00565953" w14:paraId="332AB22B"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2454ABD1"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5F5035C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F5</w:t>
            </w:r>
          </w:p>
        </w:tc>
        <w:tc>
          <w:tcPr>
            <w:tcW w:w="1143" w:type="dxa"/>
            <w:tcBorders>
              <w:top w:val="single" w:sz="4" w:space="0" w:color="000000"/>
              <w:left w:val="single" w:sz="4" w:space="0" w:color="000000"/>
              <w:bottom w:val="single" w:sz="4" w:space="0" w:color="000000"/>
              <w:right w:val="single" w:sz="4" w:space="0" w:color="000000"/>
            </w:tcBorders>
            <w:vAlign w:val="center"/>
          </w:tcPr>
          <w:p w14:paraId="232C3717"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100</w:t>
            </w:r>
          </w:p>
        </w:tc>
        <w:tc>
          <w:tcPr>
            <w:tcW w:w="822" w:type="dxa"/>
            <w:tcBorders>
              <w:top w:val="single" w:sz="4" w:space="0" w:color="000000"/>
              <w:left w:val="single" w:sz="4" w:space="0" w:color="000000"/>
              <w:bottom w:val="single" w:sz="4" w:space="0" w:color="000000"/>
              <w:right w:val="single" w:sz="4" w:space="0" w:color="000000"/>
            </w:tcBorders>
            <w:vAlign w:val="center"/>
          </w:tcPr>
          <w:p w14:paraId="724A236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0.651</w:t>
            </w:r>
          </w:p>
        </w:tc>
        <w:tc>
          <w:tcPr>
            <w:tcW w:w="822" w:type="dxa"/>
            <w:tcBorders>
              <w:top w:val="single" w:sz="4" w:space="0" w:color="000000"/>
              <w:left w:val="single" w:sz="4" w:space="0" w:color="000000"/>
              <w:bottom w:val="single" w:sz="4" w:space="0" w:color="000000"/>
              <w:right w:val="single" w:sz="4" w:space="0" w:color="000000"/>
            </w:tcBorders>
            <w:vAlign w:val="center"/>
          </w:tcPr>
          <w:p w14:paraId="213C18A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0.586</w:t>
            </w:r>
          </w:p>
        </w:tc>
        <w:tc>
          <w:tcPr>
            <w:tcW w:w="822" w:type="dxa"/>
            <w:tcBorders>
              <w:top w:val="single" w:sz="4" w:space="0" w:color="000000"/>
              <w:left w:val="single" w:sz="4" w:space="0" w:color="000000"/>
              <w:bottom w:val="single" w:sz="4" w:space="0" w:color="000000"/>
              <w:right w:val="single" w:sz="4" w:space="0" w:color="000000"/>
            </w:tcBorders>
            <w:vAlign w:val="center"/>
          </w:tcPr>
          <w:p w14:paraId="198AA566"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0.692</w:t>
            </w:r>
          </w:p>
        </w:tc>
        <w:tc>
          <w:tcPr>
            <w:tcW w:w="865" w:type="dxa"/>
            <w:tcBorders>
              <w:top w:val="single" w:sz="4" w:space="0" w:color="000000"/>
              <w:left w:val="single" w:sz="4" w:space="0" w:color="000000"/>
              <w:bottom w:val="single" w:sz="4" w:space="0" w:color="000000"/>
              <w:right w:val="single" w:sz="4" w:space="0" w:color="000000"/>
            </w:tcBorders>
            <w:vAlign w:val="center"/>
          </w:tcPr>
          <w:p w14:paraId="76F7EEA7"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w:t>
            </w:r>
          </w:p>
        </w:tc>
        <w:tc>
          <w:tcPr>
            <w:tcW w:w="685" w:type="dxa"/>
            <w:tcBorders>
              <w:top w:val="single" w:sz="4" w:space="0" w:color="000000"/>
              <w:left w:val="single" w:sz="4" w:space="0" w:color="000000"/>
              <w:bottom w:val="single" w:sz="4" w:space="0" w:color="000000"/>
              <w:right w:val="single" w:sz="4" w:space="0" w:color="000000"/>
            </w:tcBorders>
            <w:vAlign w:val="center"/>
          </w:tcPr>
          <w:p w14:paraId="208B6A2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0.05</w:t>
            </w:r>
          </w:p>
        </w:tc>
        <w:tc>
          <w:tcPr>
            <w:tcW w:w="1503" w:type="dxa"/>
            <w:tcBorders>
              <w:top w:val="single" w:sz="4" w:space="0" w:color="000000"/>
              <w:left w:val="single" w:sz="4" w:space="0" w:color="000000"/>
              <w:bottom w:val="single" w:sz="4" w:space="0" w:color="000000"/>
              <w:right w:val="single" w:sz="4" w:space="0" w:color="000000"/>
            </w:tcBorders>
            <w:vAlign w:val="center"/>
          </w:tcPr>
          <w:p w14:paraId="1F73A91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94.10</w:t>
            </w:r>
          </w:p>
        </w:tc>
      </w:tr>
      <w:tr w:rsidR="00FE19D9" w:rsidRPr="00565953" w14:paraId="54166BB8"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0801FB29"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F0CF7B6"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F4</w:t>
            </w:r>
          </w:p>
        </w:tc>
        <w:tc>
          <w:tcPr>
            <w:tcW w:w="1143" w:type="dxa"/>
            <w:tcBorders>
              <w:top w:val="single" w:sz="4" w:space="0" w:color="000000"/>
              <w:left w:val="single" w:sz="4" w:space="0" w:color="000000"/>
              <w:bottom w:val="single" w:sz="4" w:space="0" w:color="000000"/>
              <w:right w:val="single" w:sz="4" w:space="0" w:color="000000"/>
            </w:tcBorders>
            <w:vAlign w:val="center"/>
          </w:tcPr>
          <w:p w14:paraId="3F87D437"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200</w:t>
            </w:r>
          </w:p>
        </w:tc>
        <w:tc>
          <w:tcPr>
            <w:tcW w:w="822" w:type="dxa"/>
            <w:tcBorders>
              <w:top w:val="single" w:sz="4" w:space="0" w:color="000000"/>
              <w:left w:val="single" w:sz="4" w:space="0" w:color="000000"/>
              <w:bottom w:val="single" w:sz="4" w:space="0" w:color="000000"/>
              <w:right w:val="single" w:sz="4" w:space="0" w:color="000000"/>
            </w:tcBorders>
            <w:vAlign w:val="center"/>
          </w:tcPr>
          <w:p w14:paraId="58E5065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0.659</w:t>
            </w:r>
          </w:p>
        </w:tc>
        <w:tc>
          <w:tcPr>
            <w:tcW w:w="822" w:type="dxa"/>
            <w:tcBorders>
              <w:top w:val="single" w:sz="4" w:space="0" w:color="000000"/>
              <w:left w:val="single" w:sz="4" w:space="0" w:color="000000"/>
              <w:bottom w:val="single" w:sz="4" w:space="0" w:color="000000"/>
              <w:right w:val="single" w:sz="4" w:space="0" w:color="000000"/>
            </w:tcBorders>
            <w:vAlign w:val="center"/>
          </w:tcPr>
          <w:p w14:paraId="65301E1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0.543</w:t>
            </w:r>
          </w:p>
        </w:tc>
        <w:tc>
          <w:tcPr>
            <w:tcW w:w="822" w:type="dxa"/>
            <w:tcBorders>
              <w:top w:val="single" w:sz="4" w:space="0" w:color="000000"/>
              <w:left w:val="single" w:sz="4" w:space="0" w:color="000000"/>
              <w:bottom w:val="single" w:sz="4" w:space="0" w:color="000000"/>
              <w:right w:val="single" w:sz="4" w:space="0" w:color="000000"/>
            </w:tcBorders>
            <w:vAlign w:val="center"/>
          </w:tcPr>
          <w:p w14:paraId="01FEB824"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0.710</w:t>
            </w:r>
          </w:p>
        </w:tc>
        <w:tc>
          <w:tcPr>
            <w:tcW w:w="865" w:type="dxa"/>
            <w:tcBorders>
              <w:top w:val="single" w:sz="4" w:space="0" w:color="000000"/>
              <w:left w:val="single" w:sz="4" w:space="0" w:color="000000"/>
              <w:bottom w:val="single" w:sz="4" w:space="0" w:color="000000"/>
              <w:right w:val="single" w:sz="4" w:space="0" w:color="000000"/>
            </w:tcBorders>
            <w:vAlign w:val="center"/>
          </w:tcPr>
          <w:p w14:paraId="23EAEC8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w:t>
            </w:r>
          </w:p>
        </w:tc>
        <w:tc>
          <w:tcPr>
            <w:tcW w:w="685" w:type="dxa"/>
            <w:tcBorders>
              <w:top w:val="single" w:sz="4" w:space="0" w:color="000000"/>
              <w:left w:val="single" w:sz="4" w:space="0" w:color="000000"/>
              <w:bottom w:val="single" w:sz="4" w:space="0" w:color="000000"/>
              <w:right w:val="single" w:sz="4" w:space="0" w:color="000000"/>
            </w:tcBorders>
            <w:vAlign w:val="center"/>
          </w:tcPr>
          <w:p w14:paraId="0680103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0.09</w:t>
            </w:r>
          </w:p>
        </w:tc>
        <w:tc>
          <w:tcPr>
            <w:tcW w:w="1503" w:type="dxa"/>
            <w:tcBorders>
              <w:top w:val="single" w:sz="4" w:space="0" w:color="000000"/>
              <w:left w:val="single" w:sz="4" w:space="0" w:color="000000"/>
              <w:bottom w:val="single" w:sz="4" w:space="0" w:color="000000"/>
              <w:right w:val="single" w:sz="4" w:space="0" w:color="000000"/>
            </w:tcBorders>
            <w:vAlign w:val="center"/>
          </w:tcPr>
          <w:p w14:paraId="79FC0345"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93.27</w:t>
            </w:r>
          </w:p>
        </w:tc>
      </w:tr>
      <w:tr w:rsidR="00FE19D9" w:rsidRPr="00565953" w14:paraId="5F83FE7A"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7B2F6335"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3FDE1A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F3</w:t>
            </w:r>
          </w:p>
        </w:tc>
        <w:tc>
          <w:tcPr>
            <w:tcW w:w="1143" w:type="dxa"/>
            <w:tcBorders>
              <w:top w:val="single" w:sz="4" w:space="0" w:color="000000"/>
              <w:left w:val="single" w:sz="4" w:space="0" w:color="000000"/>
              <w:bottom w:val="single" w:sz="4" w:space="0" w:color="000000"/>
              <w:right w:val="single" w:sz="4" w:space="0" w:color="000000"/>
            </w:tcBorders>
            <w:vAlign w:val="center"/>
          </w:tcPr>
          <w:p w14:paraId="1DC60DF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300</w:t>
            </w:r>
          </w:p>
        </w:tc>
        <w:tc>
          <w:tcPr>
            <w:tcW w:w="822" w:type="dxa"/>
            <w:tcBorders>
              <w:top w:val="single" w:sz="4" w:space="0" w:color="000000"/>
              <w:left w:val="single" w:sz="4" w:space="0" w:color="000000"/>
              <w:bottom w:val="single" w:sz="4" w:space="0" w:color="000000"/>
              <w:right w:val="single" w:sz="4" w:space="0" w:color="000000"/>
            </w:tcBorders>
            <w:vAlign w:val="center"/>
          </w:tcPr>
          <w:p w14:paraId="5211CDB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0.548</w:t>
            </w:r>
          </w:p>
        </w:tc>
        <w:tc>
          <w:tcPr>
            <w:tcW w:w="822" w:type="dxa"/>
            <w:tcBorders>
              <w:top w:val="single" w:sz="4" w:space="0" w:color="000000"/>
              <w:left w:val="single" w:sz="4" w:space="0" w:color="000000"/>
              <w:bottom w:val="single" w:sz="4" w:space="0" w:color="000000"/>
              <w:right w:val="single" w:sz="4" w:space="0" w:color="000000"/>
            </w:tcBorders>
            <w:vAlign w:val="center"/>
          </w:tcPr>
          <w:p w14:paraId="100CAB70"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0.640</w:t>
            </w:r>
          </w:p>
        </w:tc>
        <w:tc>
          <w:tcPr>
            <w:tcW w:w="822" w:type="dxa"/>
            <w:tcBorders>
              <w:top w:val="single" w:sz="4" w:space="0" w:color="000000"/>
              <w:left w:val="single" w:sz="4" w:space="0" w:color="000000"/>
              <w:bottom w:val="single" w:sz="4" w:space="0" w:color="000000"/>
              <w:right w:val="single" w:sz="4" w:space="0" w:color="000000"/>
            </w:tcBorders>
            <w:vAlign w:val="center"/>
          </w:tcPr>
          <w:p w14:paraId="51199AA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0.702</w:t>
            </w:r>
          </w:p>
        </w:tc>
        <w:tc>
          <w:tcPr>
            <w:tcW w:w="865" w:type="dxa"/>
            <w:tcBorders>
              <w:top w:val="single" w:sz="4" w:space="0" w:color="000000"/>
              <w:left w:val="single" w:sz="4" w:space="0" w:color="000000"/>
              <w:bottom w:val="single" w:sz="4" w:space="0" w:color="000000"/>
              <w:right w:val="single" w:sz="4" w:space="0" w:color="000000"/>
            </w:tcBorders>
            <w:vAlign w:val="center"/>
          </w:tcPr>
          <w:p w14:paraId="5E4E4CD5"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0.63</w:t>
            </w:r>
          </w:p>
        </w:tc>
        <w:tc>
          <w:tcPr>
            <w:tcW w:w="685" w:type="dxa"/>
            <w:tcBorders>
              <w:top w:val="single" w:sz="4" w:space="0" w:color="000000"/>
              <w:left w:val="single" w:sz="4" w:space="0" w:color="000000"/>
              <w:bottom w:val="single" w:sz="4" w:space="0" w:color="000000"/>
              <w:right w:val="single" w:sz="4" w:space="0" w:color="000000"/>
            </w:tcBorders>
            <w:vAlign w:val="center"/>
          </w:tcPr>
          <w:p w14:paraId="7CE67D9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0.08</w:t>
            </w:r>
          </w:p>
        </w:tc>
        <w:tc>
          <w:tcPr>
            <w:tcW w:w="1503" w:type="dxa"/>
            <w:tcBorders>
              <w:top w:val="single" w:sz="4" w:space="0" w:color="000000"/>
              <w:left w:val="single" w:sz="4" w:space="0" w:color="000000"/>
              <w:bottom w:val="single" w:sz="4" w:space="0" w:color="000000"/>
              <w:right w:val="single" w:sz="4" w:space="0" w:color="000000"/>
            </w:tcBorders>
            <w:vAlign w:val="center"/>
          </w:tcPr>
          <w:p w14:paraId="316DE20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92.20</w:t>
            </w:r>
          </w:p>
        </w:tc>
      </w:tr>
      <w:tr w:rsidR="00FE19D9" w:rsidRPr="00565953" w14:paraId="5DE795AC"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65C67E69"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AEC782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F2</w:t>
            </w:r>
          </w:p>
        </w:tc>
        <w:tc>
          <w:tcPr>
            <w:tcW w:w="1143" w:type="dxa"/>
            <w:tcBorders>
              <w:top w:val="single" w:sz="4" w:space="0" w:color="000000"/>
              <w:left w:val="single" w:sz="4" w:space="0" w:color="000000"/>
              <w:bottom w:val="single" w:sz="4" w:space="0" w:color="000000"/>
              <w:right w:val="single" w:sz="4" w:space="0" w:color="000000"/>
            </w:tcBorders>
            <w:vAlign w:val="center"/>
          </w:tcPr>
          <w:p w14:paraId="2CCA739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400</w:t>
            </w:r>
          </w:p>
        </w:tc>
        <w:tc>
          <w:tcPr>
            <w:tcW w:w="822" w:type="dxa"/>
            <w:tcBorders>
              <w:top w:val="single" w:sz="4" w:space="0" w:color="000000"/>
              <w:left w:val="single" w:sz="4" w:space="0" w:color="000000"/>
              <w:bottom w:val="single" w:sz="4" w:space="0" w:color="000000"/>
              <w:right w:val="single" w:sz="4" w:space="0" w:color="000000"/>
            </w:tcBorders>
            <w:vAlign w:val="center"/>
          </w:tcPr>
          <w:p w14:paraId="6DC1589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0.643</w:t>
            </w:r>
          </w:p>
        </w:tc>
        <w:tc>
          <w:tcPr>
            <w:tcW w:w="822" w:type="dxa"/>
            <w:tcBorders>
              <w:top w:val="single" w:sz="4" w:space="0" w:color="000000"/>
              <w:left w:val="single" w:sz="4" w:space="0" w:color="000000"/>
              <w:bottom w:val="single" w:sz="4" w:space="0" w:color="000000"/>
              <w:right w:val="single" w:sz="4" w:space="0" w:color="000000"/>
            </w:tcBorders>
            <w:vAlign w:val="center"/>
          </w:tcPr>
          <w:p w14:paraId="2D71B3C3"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0.615</w:t>
            </w:r>
          </w:p>
        </w:tc>
        <w:tc>
          <w:tcPr>
            <w:tcW w:w="822" w:type="dxa"/>
            <w:tcBorders>
              <w:top w:val="single" w:sz="4" w:space="0" w:color="000000"/>
              <w:left w:val="single" w:sz="4" w:space="0" w:color="000000"/>
              <w:bottom w:val="single" w:sz="4" w:space="0" w:color="000000"/>
              <w:right w:val="single" w:sz="4" w:space="0" w:color="000000"/>
            </w:tcBorders>
            <w:vAlign w:val="center"/>
          </w:tcPr>
          <w:p w14:paraId="7E0A1E2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0.582</w:t>
            </w:r>
          </w:p>
        </w:tc>
        <w:tc>
          <w:tcPr>
            <w:tcW w:w="865" w:type="dxa"/>
            <w:tcBorders>
              <w:top w:val="single" w:sz="4" w:space="0" w:color="000000"/>
              <w:left w:val="single" w:sz="4" w:space="0" w:color="000000"/>
              <w:bottom w:val="single" w:sz="4" w:space="0" w:color="000000"/>
              <w:right w:val="single" w:sz="4" w:space="0" w:color="000000"/>
            </w:tcBorders>
            <w:vAlign w:val="center"/>
          </w:tcPr>
          <w:p w14:paraId="6534721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0.61</w:t>
            </w:r>
          </w:p>
        </w:tc>
        <w:tc>
          <w:tcPr>
            <w:tcW w:w="685" w:type="dxa"/>
            <w:tcBorders>
              <w:top w:val="single" w:sz="4" w:space="0" w:color="000000"/>
              <w:left w:val="single" w:sz="4" w:space="0" w:color="000000"/>
              <w:bottom w:val="single" w:sz="4" w:space="0" w:color="000000"/>
              <w:right w:val="single" w:sz="4" w:space="0" w:color="000000"/>
            </w:tcBorders>
            <w:vAlign w:val="center"/>
          </w:tcPr>
          <w:p w14:paraId="280AFE15"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0.03</w:t>
            </w:r>
          </w:p>
        </w:tc>
        <w:tc>
          <w:tcPr>
            <w:tcW w:w="1503" w:type="dxa"/>
            <w:tcBorders>
              <w:top w:val="single" w:sz="4" w:space="0" w:color="000000"/>
              <w:left w:val="single" w:sz="4" w:space="0" w:color="000000"/>
              <w:bottom w:val="single" w:sz="4" w:space="0" w:color="000000"/>
              <w:right w:val="single" w:sz="4" w:space="0" w:color="000000"/>
            </w:tcBorders>
            <w:vAlign w:val="center"/>
          </w:tcPr>
          <w:p w14:paraId="48C237E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89.76</w:t>
            </w:r>
          </w:p>
        </w:tc>
      </w:tr>
      <w:tr w:rsidR="00FE19D9" w:rsidRPr="00565953" w14:paraId="3F278746" w14:textId="77777777">
        <w:trPr>
          <w:trHeight w:val="159"/>
        </w:trPr>
        <w:tc>
          <w:tcPr>
            <w:tcW w:w="1760" w:type="dxa"/>
            <w:vMerge/>
            <w:tcBorders>
              <w:top w:val="single" w:sz="4" w:space="0" w:color="000000"/>
              <w:left w:val="single" w:sz="4" w:space="0" w:color="000000"/>
              <w:bottom w:val="single" w:sz="4" w:space="0" w:color="000000"/>
              <w:right w:val="single" w:sz="4" w:space="0" w:color="000000"/>
            </w:tcBorders>
            <w:vAlign w:val="center"/>
          </w:tcPr>
          <w:p w14:paraId="1865D1E3" w14:textId="77777777" w:rsidR="00FE19D9" w:rsidRPr="00565953" w:rsidRDefault="00FE19D9" w:rsidP="00112EA7">
            <w:pPr>
              <w:widowControl w:val="0"/>
              <w:spacing w:line="480" w:lineRule="auto"/>
              <w:rPr>
                <w:rFonts w:ascii="Times New Roman" w:eastAsia="Times New Roman" w:hAnsi="Times New Roman" w:cs="Times New Roman"/>
                <w:sz w:val="24"/>
                <w:szCs w:val="24"/>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1531A23F"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F1</w:t>
            </w:r>
          </w:p>
        </w:tc>
        <w:tc>
          <w:tcPr>
            <w:tcW w:w="1143" w:type="dxa"/>
            <w:tcBorders>
              <w:top w:val="single" w:sz="4" w:space="0" w:color="000000"/>
              <w:left w:val="single" w:sz="4" w:space="0" w:color="000000"/>
              <w:bottom w:val="single" w:sz="4" w:space="0" w:color="000000"/>
              <w:right w:val="single" w:sz="4" w:space="0" w:color="000000"/>
            </w:tcBorders>
            <w:vAlign w:val="center"/>
          </w:tcPr>
          <w:p w14:paraId="2C2A07E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500</w:t>
            </w:r>
          </w:p>
        </w:tc>
        <w:tc>
          <w:tcPr>
            <w:tcW w:w="822" w:type="dxa"/>
            <w:tcBorders>
              <w:top w:val="single" w:sz="4" w:space="0" w:color="000000"/>
              <w:left w:val="single" w:sz="4" w:space="0" w:color="000000"/>
              <w:bottom w:val="single" w:sz="4" w:space="0" w:color="000000"/>
              <w:right w:val="single" w:sz="4" w:space="0" w:color="000000"/>
            </w:tcBorders>
            <w:vAlign w:val="center"/>
          </w:tcPr>
          <w:p w14:paraId="637D1708"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0.442</w:t>
            </w:r>
          </w:p>
        </w:tc>
        <w:tc>
          <w:tcPr>
            <w:tcW w:w="822" w:type="dxa"/>
            <w:tcBorders>
              <w:top w:val="single" w:sz="4" w:space="0" w:color="000000"/>
              <w:left w:val="single" w:sz="4" w:space="0" w:color="000000"/>
              <w:bottom w:val="single" w:sz="4" w:space="0" w:color="000000"/>
              <w:right w:val="single" w:sz="4" w:space="0" w:color="000000"/>
            </w:tcBorders>
            <w:vAlign w:val="center"/>
          </w:tcPr>
          <w:p w14:paraId="50E9750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0.534</w:t>
            </w:r>
          </w:p>
        </w:tc>
        <w:tc>
          <w:tcPr>
            <w:tcW w:w="822" w:type="dxa"/>
            <w:tcBorders>
              <w:top w:val="single" w:sz="4" w:space="0" w:color="000000"/>
              <w:left w:val="single" w:sz="4" w:space="0" w:color="000000"/>
              <w:bottom w:val="single" w:sz="4" w:space="0" w:color="000000"/>
              <w:right w:val="single" w:sz="4" w:space="0" w:color="000000"/>
            </w:tcBorders>
            <w:vAlign w:val="center"/>
          </w:tcPr>
          <w:p w14:paraId="273AA52B"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0.547</w:t>
            </w:r>
          </w:p>
        </w:tc>
        <w:tc>
          <w:tcPr>
            <w:tcW w:w="865" w:type="dxa"/>
            <w:tcBorders>
              <w:top w:val="single" w:sz="4" w:space="0" w:color="000000"/>
              <w:left w:val="single" w:sz="4" w:space="0" w:color="000000"/>
              <w:bottom w:val="single" w:sz="4" w:space="0" w:color="000000"/>
              <w:right w:val="single" w:sz="4" w:space="0" w:color="000000"/>
            </w:tcBorders>
            <w:vAlign w:val="center"/>
          </w:tcPr>
          <w:p w14:paraId="0FDF3B7D"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0.51</w:t>
            </w:r>
          </w:p>
        </w:tc>
        <w:tc>
          <w:tcPr>
            <w:tcW w:w="685" w:type="dxa"/>
            <w:tcBorders>
              <w:top w:val="single" w:sz="4" w:space="0" w:color="000000"/>
              <w:left w:val="single" w:sz="4" w:space="0" w:color="000000"/>
              <w:bottom w:val="single" w:sz="4" w:space="0" w:color="000000"/>
              <w:right w:val="single" w:sz="4" w:space="0" w:color="000000"/>
            </w:tcBorders>
            <w:vAlign w:val="center"/>
          </w:tcPr>
          <w:p w14:paraId="01F9EE39"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0.06</w:t>
            </w:r>
          </w:p>
        </w:tc>
        <w:tc>
          <w:tcPr>
            <w:tcW w:w="1503" w:type="dxa"/>
            <w:tcBorders>
              <w:top w:val="single" w:sz="4" w:space="0" w:color="000000"/>
              <w:left w:val="single" w:sz="4" w:space="0" w:color="000000"/>
              <w:bottom w:val="single" w:sz="4" w:space="0" w:color="000000"/>
              <w:right w:val="single" w:sz="4" w:space="0" w:color="000000"/>
            </w:tcBorders>
            <w:vAlign w:val="center"/>
          </w:tcPr>
          <w:p w14:paraId="6C34C2F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74.29</w:t>
            </w:r>
          </w:p>
        </w:tc>
      </w:tr>
    </w:tbl>
    <w:p w14:paraId="6A7D4C3D" w14:textId="77777777" w:rsidR="00FE19D9" w:rsidRPr="00565953" w:rsidRDefault="00FE19D9" w:rsidP="00112EA7">
      <w:pPr>
        <w:spacing w:line="480" w:lineRule="auto"/>
        <w:jc w:val="both"/>
        <w:rPr>
          <w:rFonts w:ascii="Times New Roman" w:eastAsia="Times New Roman" w:hAnsi="Times New Roman" w:cs="Times New Roman"/>
          <w:sz w:val="24"/>
          <w:szCs w:val="24"/>
        </w:rPr>
      </w:pPr>
    </w:p>
    <w:p w14:paraId="63E2A8C2" w14:textId="77777777"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study was extended to higher concentrations since the IC 50 cannot be calculated from the above results. </w:t>
      </w:r>
    </w:p>
    <w:p w14:paraId="09710A33"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To determine IC₅₀, more extended concentrations were tested (125–5000 µg/ mL). As indicated in Table 2, there was a clear dose-dependent decrease in cell viability. The extract exhibited a noteworthy drop in cell viability in a rising concentration 88.23% at 125 µg/ mL to 17.26% at 5000 µg/ </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The IC₅₀ was found to be about 1368 µg/ mL, reflective of moderate cytotoxicity. The cytotoxic profile of the extract was similar to that of the reference chemotherapeutic agent, Capecitabine, with a 20.81% viability recorded at 5000 µg/</w:t>
      </w:r>
      <w:proofErr w:type="spellStart"/>
      <w:r w:rsidRPr="00565953">
        <w:rPr>
          <w:rFonts w:ascii="Times New Roman" w:eastAsia="Times New Roman" w:hAnsi="Times New Roman" w:cs="Times New Roman"/>
          <w:sz w:val="24"/>
          <w:szCs w:val="24"/>
        </w:rPr>
        <w:t>mL.</w:t>
      </w:r>
      <w:proofErr w:type="spellEnd"/>
    </w:p>
    <w:p w14:paraId="50A0F355" w14:textId="14482C6F"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2: </w:t>
      </w:r>
      <w:r w:rsidRPr="00565953">
        <w:rPr>
          <w:rFonts w:ascii="Times New Roman" w:eastAsia="Times New Roman" w:hAnsi="Times New Roman" w:cs="Times New Roman"/>
          <w:sz w:val="24"/>
          <w:szCs w:val="24"/>
        </w:rPr>
        <w:t xml:space="preserve">Absorbance, % Viability for vehicle, positive control and test item </w:t>
      </w:r>
      <w:r w:rsidR="0077712B" w:rsidRPr="00565953">
        <w:rPr>
          <w:rFonts w:ascii="Times New Roman" w:eastAsia="Times New Roman" w:hAnsi="Times New Roman" w:cs="Times New Roman"/>
          <w:sz w:val="24"/>
          <w:szCs w:val="24"/>
        </w:rPr>
        <w:t xml:space="preserve">of </w:t>
      </w:r>
      <w:r w:rsidRPr="00565953">
        <w:rPr>
          <w:rFonts w:ascii="Times New Roman" w:eastAsia="Times New Roman" w:hAnsi="Times New Roman" w:cs="Times New Roman"/>
          <w:b/>
          <w:i/>
          <w:sz w:val="24"/>
          <w:szCs w:val="24"/>
        </w:rPr>
        <w:t xml:space="preserve">Capparis decidua </w:t>
      </w: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2"/>
        <w:gridCol w:w="470"/>
        <w:gridCol w:w="1061"/>
        <w:gridCol w:w="763"/>
        <w:gridCol w:w="763"/>
        <w:gridCol w:w="763"/>
        <w:gridCol w:w="803"/>
        <w:gridCol w:w="756"/>
        <w:gridCol w:w="1315"/>
      </w:tblGrid>
      <w:tr w:rsidR="00FE19D9" w:rsidRPr="00565953" w14:paraId="320FC464" w14:textId="77777777">
        <w:trPr>
          <w:trHeight w:val="373"/>
        </w:trPr>
        <w:tc>
          <w:tcPr>
            <w:tcW w:w="9356" w:type="dxa"/>
            <w:gridSpan w:val="9"/>
            <w:tcBorders>
              <w:top w:val="single" w:sz="4" w:space="0" w:color="000000"/>
              <w:left w:val="single" w:sz="4" w:space="0" w:color="000000"/>
              <w:bottom w:val="single" w:sz="4" w:space="0" w:color="000000"/>
              <w:right w:val="single" w:sz="4" w:space="0" w:color="000000"/>
            </w:tcBorders>
            <w:vAlign w:val="center"/>
          </w:tcPr>
          <w:p w14:paraId="49A3F58B" w14:textId="356BC566"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lastRenderedPageBreak/>
              <w:t xml:space="preserve">Absorbance at 570 nm- 24 </w:t>
            </w:r>
            <w:r w:rsidR="00256106" w:rsidRPr="00565953">
              <w:rPr>
                <w:rFonts w:ascii="Times New Roman" w:eastAsia="Times New Roman" w:hAnsi="Times New Roman" w:cs="Times New Roman"/>
                <w:color w:val="000000"/>
                <w:sz w:val="24"/>
                <w:szCs w:val="24"/>
              </w:rPr>
              <w:t>hours</w:t>
            </w:r>
          </w:p>
        </w:tc>
      </w:tr>
      <w:tr w:rsidR="00FE19D9" w:rsidRPr="00565953" w14:paraId="64ED89D5" w14:textId="77777777">
        <w:trPr>
          <w:trHeight w:val="714"/>
        </w:trPr>
        <w:tc>
          <w:tcPr>
            <w:tcW w:w="3132" w:type="dxa"/>
            <w:gridSpan w:val="2"/>
            <w:tcBorders>
              <w:top w:val="single" w:sz="4" w:space="0" w:color="000000"/>
              <w:left w:val="single" w:sz="4" w:space="0" w:color="000000"/>
              <w:bottom w:val="single" w:sz="4" w:space="0" w:color="000000"/>
              <w:right w:val="single" w:sz="4" w:space="0" w:color="000000"/>
            </w:tcBorders>
            <w:vAlign w:val="center"/>
          </w:tcPr>
          <w:p w14:paraId="21EE039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Formulations</w:t>
            </w:r>
          </w:p>
        </w:tc>
        <w:tc>
          <w:tcPr>
            <w:tcW w:w="1061" w:type="dxa"/>
            <w:tcBorders>
              <w:top w:val="single" w:sz="4" w:space="0" w:color="000000"/>
              <w:left w:val="single" w:sz="4" w:space="0" w:color="000000"/>
              <w:bottom w:val="single" w:sz="4" w:space="0" w:color="000000"/>
              <w:right w:val="single" w:sz="4" w:space="0" w:color="000000"/>
            </w:tcBorders>
            <w:vAlign w:val="center"/>
          </w:tcPr>
          <w:p w14:paraId="430BF0A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Conc.</w:t>
            </w:r>
          </w:p>
          <w:p w14:paraId="3C1CE14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(µg/mL)</w:t>
            </w:r>
          </w:p>
        </w:tc>
        <w:tc>
          <w:tcPr>
            <w:tcW w:w="763" w:type="dxa"/>
            <w:tcBorders>
              <w:top w:val="single" w:sz="4" w:space="0" w:color="000000"/>
              <w:left w:val="single" w:sz="4" w:space="0" w:color="000000"/>
              <w:bottom w:val="single" w:sz="4" w:space="0" w:color="000000"/>
              <w:right w:val="single" w:sz="4" w:space="0" w:color="000000"/>
            </w:tcBorders>
            <w:vAlign w:val="center"/>
          </w:tcPr>
          <w:p w14:paraId="3AFA749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Ab. 1</w:t>
            </w:r>
          </w:p>
        </w:tc>
        <w:tc>
          <w:tcPr>
            <w:tcW w:w="763" w:type="dxa"/>
            <w:tcBorders>
              <w:top w:val="single" w:sz="4" w:space="0" w:color="000000"/>
              <w:left w:val="single" w:sz="4" w:space="0" w:color="000000"/>
              <w:bottom w:val="single" w:sz="4" w:space="0" w:color="000000"/>
              <w:right w:val="single" w:sz="4" w:space="0" w:color="000000"/>
            </w:tcBorders>
            <w:vAlign w:val="center"/>
          </w:tcPr>
          <w:p w14:paraId="3557E05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Ab. 2</w:t>
            </w:r>
          </w:p>
        </w:tc>
        <w:tc>
          <w:tcPr>
            <w:tcW w:w="763" w:type="dxa"/>
            <w:tcBorders>
              <w:top w:val="single" w:sz="4" w:space="0" w:color="000000"/>
              <w:left w:val="single" w:sz="4" w:space="0" w:color="000000"/>
              <w:bottom w:val="single" w:sz="4" w:space="0" w:color="000000"/>
              <w:right w:val="single" w:sz="4" w:space="0" w:color="000000"/>
            </w:tcBorders>
            <w:vAlign w:val="center"/>
          </w:tcPr>
          <w:p w14:paraId="0745F30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Ab. 3</w:t>
            </w:r>
          </w:p>
        </w:tc>
        <w:tc>
          <w:tcPr>
            <w:tcW w:w="803" w:type="dxa"/>
            <w:tcBorders>
              <w:top w:val="single" w:sz="4" w:space="0" w:color="000000"/>
              <w:left w:val="single" w:sz="4" w:space="0" w:color="000000"/>
              <w:bottom w:val="single" w:sz="4" w:space="0" w:color="000000"/>
              <w:right w:val="single" w:sz="4" w:space="0" w:color="000000"/>
            </w:tcBorders>
            <w:vAlign w:val="center"/>
          </w:tcPr>
          <w:p w14:paraId="2189E8D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Mean</w:t>
            </w:r>
          </w:p>
        </w:tc>
        <w:tc>
          <w:tcPr>
            <w:tcW w:w="756" w:type="dxa"/>
            <w:tcBorders>
              <w:top w:val="single" w:sz="4" w:space="0" w:color="000000"/>
              <w:left w:val="single" w:sz="4" w:space="0" w:color="000000"/>
              <w:bottom w:val="single" w:sz="4" w:space="0" w:color="000000"/>
              <w:right w:val="single" w:sz="4" w:space="0" w:color="000000"/>
            </w:tcBorders>
            <w:vAlign w:val="center"/>
          </w:tcPr>
          <w:p w14:paraId="42B6D6B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SD</w:t>
            </w:r>
          </w:p>
        </w:tc>
        <w:tc>
          <w:tcPr>
            <w:tcW w:w="1315" w:type="dxa"/>
            <w:tcBorders>
              <w:top w:val="single" w:sz="4" w:space="0" w:color="000000"/>
              <w:left w:val="single" w:sz="4" w:space="0" w:color="000000"/>
              <w:bottom w:val="single" w:sz="4" w:space="0" w:color="000000"/>
              <w:right w:val="single" w:sz="4" w:space="0" w:color="000000"/>
            </w:tcBorders>
            <w:vAlign w:val="center"/>
          </w:tcPr>
          <w:p w14:paraId="7B57734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Viability</w:t>
            </w:r>
          </w:p>
        </w:tc>
      </w:tr>
      <w:tr w:rsidR="00FE19D9" w:rsidRPr="00565953" w14:paraId="3355D928" w14:textId="77777777">
        <w:trPr>
          <w:trHeight w:val="391"/>
        </w:trPr>
        <w:tc>
          <w:tcPr>
            <w:tcW w:w="3132" w:type="dxa"/>
            <w:gridSpan w:val="2"/>
            <w:tcBorders>
              <w:top w:val="single" w:sz="4" w:space="0" w:color="000000"/>
              <w:left w:val="single" w:sz="4" w:space="0" w:color="000000"/>
              <w:bottom w:val="single" w:sz="4" w:space="0" w:color="000000"/>
              <w:right w:val="single" w:sz="4" w:space="0" w:color="000000"/>
            </w:tcBorders>
            <w:vAlign w:val="center"/>
          </w:tcPr>
          <w:p w14:paraId="07CDAF1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Vehicle Control</w:t>
            </w:r>
          </w:p>
        </w:tc>
        <w:tc>
          <w:tcPr>
            <w:tcW w:w="1061" w:type="dxa"/>
            <w:tcBorders>
              <w:top w:val="single" w:sz="4" w:space="0" w:color="000000"/>
              <w:left w:val="single" w:sz="4" w:space="0" w:color="000000"/>
              <w:bottom w:val="single" w:sz="4" w:space="0" w:color="000000"/>
              <w:right w:val="single" w:sz="4" w:space="0" w:color="000000"/>
            </w:tcBorders>
            <w:vAlign w:val="center"/>
          </w:tcPr>
          <w:p w14:paraId="78C2986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 µL</w:t>
            </w:r>
          </w:p>
        </w:tc>
        <w:tc>
          <w:tcPr>
            <w:tcW w:w="763" w:type="dxa"/>
            <w:tcBorders>
              <w:top w:val="single" w:sz="4" w:space="0" w:color="000000"/>
              <w:left w:val="single" w:sz="4" w:space="0" w:color="000000"/>
              <w:bottom w:val="single" w:sz="4" w:space="0" w:color="000000"/>
              <w:right w:val="single" w:sz="4" w:space="0" w:color="000000"/>
            </w:tcBorders>
            <w:vAlign w:val="center"/>
          </w:tcPr>
          <w:p w14:paraId="5C5CED0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0.205</w:t>
            </w:r>
          </w:p>
        </w:tc>
        <w:tc>
          <w:tcPr>
            <w:tcW w:w="763" w:type="dxa"/>
            <w:tcBorders>
              <w:top w:val="single" w:sz="4" w:space="0" w:color="000000"/>
              <w:left w:val="single" w:sz="4" w:space="0" w:color="000000"/>
              <w:bottom w:val="single" w:sz="4" w:space="0" w:color="000000"/>
              <w:right w:val="single" w:sz="4" w:space="0" w:color="000000"/>
            </w:tcBorders>
            <w:vAlign w:val="center"/>
          </w:tcPr>
          <w:p w14:paraId="73FED28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0.204</w:t>
            </w:r>
          </w:p>
        </w:tc>
        <w:tc>
          <w:tcPr>
            <w:tcW w:w="763" w:type="dxa"/>
            <w:tcBorders>
              <w:top w:val="single" w:sz="4" w:space="0" w:color="000000"/>
              <w:left w:val="single" w:sz="4" w:space="0" w:color="000000"/>
              <w:bottom w:val="single" w:sz="4" w:space="0" w:color="000000"/>
              <w:right w:val="single" w:sz="4" w:space="0" w:color="000000"/>
            </w:tcBorders>
            <w:vAlign w:val="center"/>
          </w:tcPr>
          <w:p w14:paraId="11DF77D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0.211</w:t>
            </w:r>
          </w:p>
        </w:tc>
        <w:tc>
          <w:tcPr>
            <w:tcW w:w="803" w:type="dxa"/>
            <w:tcBorders>
              <w:top w:val="single" w:sz="4" w:space="0" w:color="000000"/>
              <w:left w:val="single" w:sz="4" w:space="0" w:color="000000"/>
              <w:bottom w:val="single" w:sz="4" w:space="0" w:color="000000"/>
              <w:right w:val="single" w:sz="4" w:space="0" w:color="000000"/>
            </w:tcBorders>
            <w:vAlign w:val="center"/>
          </w:tcPr>
          <w:p w14:paraId="45050AB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0.207</w:t>
            </w:r>
          </w:p>
        </w:tc>
        <w:tc>
          <w:tcPr>
            <w:tcW w:w="756" w:type="dxa"/>
            <w:tcBorders>
              <w:top w:val="single" w:sz="4" w:space="0" w:color="000000"/>
              <w:left w:val="single" w:sz="4" w:space="0" w:color="000000"/>
              <w:bottom w:val="single" w:sz="4" w:space="0" w:color="000000"/>
              <w:right w:val="single" w:sz="4" w:space="0" w:color="000000"/>
            </w:tcBorders>
            <w:vAlign w:val="center"/>
          </w:tcPr>
          <w:p w14:paraId="6D78A3E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0.004</w:t>
            </w:r>
          </w:p>
        </w:tc>
        <w:tc>
          <w:tcPr>
            <w:tcW w:w="1315" w:type="dxa"/>
            <w:tcBorders>
              <w:top w:val="single" w:sz="4" w:space="0" w:color="000000"/>
              <w:left w:val="single" w:sz="4" w:space="0" w:color="000000"/>
              <w:bottom w:val="single" w:sz="4" w:space="0" w:color="000000"/>
              <w:right w:val="single" w:sz="4" w:space="0" w:color="000000"/>
            </w:tcBorders>
            <w:vAlign w:val="center"/>
          </w:tcPr>
          <w:p w14:paraId="4834F98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100.00</w:t>
            </w:r>
          </w:p>
        </w:tc>
      </w:tr>
      <w:tr w:rsidR="00FE19D9" w:rsidRPr="00565953" w14:paraId="560FE3F4" w14:textId="77777777">
        <w:trPr>
          <w:trHeight w:val="391"/>
        </w:trPr>
        <w:tc>
          <w:tcPr>
            <w:tcW w:w="2662" w:type="dxa"/>
            <w:vMerge w:val="restart"/>
            <w:tcBorders>
              <w:top w:val="single" w:sz="4" w:space="0" w:color="000000"/>
              <w:left w:val="single" w:sz="4" w:space="0" w:color="000000"/>
              <w:bottom w:val="single" w:sz="4" w:space="0" w:color="000000"/>
              <w:right w:val="single" w:sz="4" w:space="0" w:color="000000"/>
            </w:tcBorders>
            <w:vAlign w:val="center"/>
          </w:tcPr>
          <w:p w14:paraId="7F78ABF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b/>
                <w:i/>
                <w:color w:val="000000"/>
                <w:sz w:val="24"/>
                <w:szCs w:val="24"/>
              </w:rPr>
              <w:t>Capparis decidua</w:t>
            </w:r>
            <w:r w:rsidRPr="00565953">
              <w:rPr>
                <w:rFonts w:ascii="Times New Roman" w:eastAsia="Times New Roman" w:hAnsi="Times New Roman" w:cs="Times New Roman"/>
                <w:b/>
                <w:color w:val="000000"/>
                <w:sz w:val="24"/>
                <w:szCs w:val="24"/>
              </w:rPr>
              <w:t xml:space="preserve"> </w:t>
            </w:r>
          </w:p>
        </w:tc>
        <w:tc>
          <w:tcPr>
            <w:tcW w:w="470" w:type="dxa"/>
            <w:tcBorders>
              <w:top w:val="single" w:sz="4" w:space="0" w:color="000000"/>
              <w:left w:val="single" w:sz="4" w:space="0" w:color="000000"/>
              <w:bottom w:val="single" w:sz="4" w:space="0" w:color="000000"/>
              <w:right w:val="single" w:sz="4" w:space="0" w:color="000000"/>
            </w:tcBorders>
            <w:vAlign w:val="center"/>
          </w:tcPr>
          <w:p w14:paraId="536949A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F8</w:t>
            </w:r>
          </w:p>
        </w:tc>
        <w:tc>
          <w:tcPr>
            <w:tcW w:w="1061" w:type="dxa"/>
            <w:tcBorders>
              <w:top w:val="single" w:sz="4" w:space="0" w:color="000000"/>
              <w:left w:val="single" w:sz="4" w:space="0" w:color="000000"/>
              <w:bottom w:val="single" w:sz="4" w:space="0" w:color="000000"/>
              <w:right w:val="single" w:sz="4" w:space="0" w:color="000000"/>
            </w:tcBorders>
            <w:vAlign w:val="center"/>
          </w:tcPr>
          <w:p w14:paraId="093AF39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125</w:t>
            </w:r>
          </w:p>
        </w:tc>
        <w:tc>
          <w:tcPr>
            <w:tcW w:w="763" w:type="dxa"/>
            <w:tcBorders>
              <w:top w:val="single" w:sz="4" w:space="0" w:color="000000"/>
              <w:left w:val="single" w:sz="4" w:space="0" w:color="000000"/>
              <w:bottom w:val="single" w:sz="4" w:space="0" w:color="000000"/>
              <w:right w:val="single" w:sz="4" w:space="0" w:color="000000"/>
            </w:tcBorders>
            <w:vAlign w:val="center"/>
          </w:tcPr>
          <w:p w14:paraId="35A0C27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0.165</w:t>
            </w:r>
          </w:p>
        </w:tc>
        <w:tc>
          <w:tcPr>
            <w:tcW w:w="763" w:type="dxa"/>
            <w:tcBorders>
              <w:top w:val="single" w:sz="4" w:space="0" w:color="000000"/>
              <w:left w:val="single" w:sz="4" w:space="0" w:color="000000"/>
              <w:bottom w:val="single" w:sz="4" w:space="0" w:color="000000"/>
              <w:right w:val="single" w:sz="4" w:space="0" w:color="000000"/>
            </w:tcBorders>
            <w:vAlign w:val="center"/>
          </w:tcPr>
          <w:p w14:paraId="7351802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0.195</w:t>
            </w:r>
          </w:p>
        </w:tc>
        <w:tc>
          <w:tcPr>
            <w:tcW w:w="763" w:type="dxa"/>
            <w:tcBorders>
              <w:top w:val="single" w:sz="4" w:space="0" w:color="000000"/>
              <w:left w:val="single" w:sz="4" w:space="0" w:color="000000"/>
              <w:bottom w:val="single" w:sz="4" w:space="0" w:color="000000"/>
              <w:right w:val="single" w:sz="4" w:space="0" w:color="000000"/>
            </w:tcBorders>
            <w:vAlign w:val="center"/>
          </w:tcPr>
          <w:p w14:paraId="18AD92F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0.187</w:t>
            </w:r>
          </w:p>
        </w:tc>
        <w:tc>
          <w:tcPr>
            <w:tcW w:w="803" w:type="dxa"/>
            <w:tcBorders>
              <w:top w:val="single" w:sz="4" w:space="0" w:color="000000"/>
              <w:left w:val="single" w:sz="4" w:space="0" w:color="000000"/>
              <w:bottom w:val="single" w:sz="4" w:space="0" w:color="000000"/>
              <w:right w:val="single" w:sz="4" w:space="0" w:color="000000"/>
            </w:tcBorders>
            <w:vAlign w:val="center"/>
          </w:tcPr>
          <w:p w14:paraId="55EABAF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0.182</w:t>
            </w:r>
          </w:p>
        </w:tc>
        <w:tc>
          <w:tcPr>
            <w:tcW w:w="756" w:type="dxa"/>
            <w:tcBorders>
              <w:top w:val="single" w:sz="4" w:space="0" w:color="000000"/>
              <w:left w:val="single" w:sz="4" w:space="0" w:color="000000"/>
              <w:bottom w:val="single" w:sz="4" w:space="0" w:color="000000"/>
              <w:right w:val="single" w:sz="4" w:space="0" w:color="000000"/>
            </w:tcBorders>
            <w:vAlign w:val="center"/>
          </w:tcPr>
          <w:p w14:paraId="2913249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0.016</w:t>
            </w:r>
          </w:p>
        </w:tc>
        <w:tc>
          <w:tcPr>
            <w:tcW w:w="1315" w:type="dxa"/>
            <w:tcBorders>
              <w:top w:val="single" w:sz="4" w:space="0" w:color="000000"/>
              <w:left w:val="single" w:sz="4" w:space="0" w:color="000000"/>
              <w:bottom w:val="single" w:sz="4" w:space="0" w:color="000000"/>
              <w:right w:val="single" w:sz="4" w:space="0" w:color="000000"/>
            </w:tcBorders>
            <w:vAlign w:val="center"/>
          </w:tcPr>
          <w:p w14:paraId="5E6EA72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88.23</w:t>
            </w:r>
          </w:p>
        </w:tc>
      </w:tr>
      <w:tr w:rsidR="00FE19D9" w:rsidRPr="00565953" w14:paraId="71274584"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3AA8DE7C"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7B6C028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F7</w:t>
            </w:r>
          </w:p>
        </w:tc>
        <w:tc>
          <w:tcPr>
            <w:tcW w:w="1061" w:type="dxa"/>
            <w:tcBorders>
              <w:top w:val="single" w:sz="4" w:space="0" w:color="000000"/>
              <w:left w:val="single" w:sz="4" w:space="0" w:color="000000"/>
              <w:bottom w:val="single" w:sz="4" w:space="0" w:color="000000"/>
              <w:right w:val="single" w:sz="4" w:space="0" w:color="000000"/>
            </w:tcBorders>
            <w:vAlign w:val="center"/>
          </w:tcPr>
          <w:p w14:paraId="79A9D9D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250</w:t>
            </w:r>
          </w:p>
        </w:tc>
        <w:tc>
          <w:tcPr>
            <w:tcW w:w="763" w:type="dxa"/>
            <w:tcBorders>
              <w:top w:val="single" w:sz="4" w:space="0" w:color="000000"/>
              <w:left w:val="single" w:sz="4" w:space="0" w:color="000000"/>
              <w:bottom w:val="single" w:sz="4" w:space="0" w:color="000000"/>
              <w:right w:val="single" w:sz="4" w:space="0" w:color="000000"/>
            </w:tcBorders>
            <w:vAlign w:val="center"/>
          </w:tcPr>
          <w:p w14:paraId="041632F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0.175</w:t>
            </w:r>
          </w:p>
        </w:tc>
        <w:tc>
          <w:tcPr>
            <w:tcW w:w="763" w:type="dxa"/>
            <w:tcBorders>
              <w:top w:val="single" w:sz="4" w:space="0" w:color="000000"/>
              <w:left w:val="single" w:sz="4" w:space="0" w:color="000000"/>
              <w:bottom w:val="single" w:sz="4" w:space="0" w:color="000000"/>
              <w:right w:val="single" w:sz="4" w:space="0" w:color="000000"/>
            </w:tcBorders>
            <w:vAlign w:val="center"/>
          </w:tcPr>
          <w:p w14:paraId="62AE1A4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0.172</w:t>
            </w:r>
          </w:p>
        </w:tc>
        <w:tc>
          <w:tcPr>
            <w:tcW w:w="763" w:type="dxa"/>
            <w:tcBorders>
              <w:top w:val="single" w:sz="4" w:space="0" w:color="000000"/>
              <w:left w:val="single" w:sz="4" w:space="0" w:color="000000"/>
              <w:bottom w:val="single" w:sz="4" w:space="0" w:color="000000"/>
              <w:right w:val="single" w:sz="4" w:space="0" w:color="000000"/>
            </w:tcBorders>
            <w:vAlign w:val="center"/>
          </w:tcPr>
          <w:p w14:paraId="4C33DD6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0.185</w:t>
            </w:r>
          </w:p>
        </w:tc>
        <w:tc>
          <w:tcPr>
            <w:tcW w:w="803" w:type="dxa"/>
            <w:tcBorders>
              <w:top w:val="single" w:sz="4" w:space="0" w:color="000000"/>
              <w:left w:val="single" w:sz="4" w:space="0" w:color="000000"/>
              <w:bottom w:val="single" w:sz="4" w:space="0" w:color="000000"/>
              <w:right w:val="single" w:sz="4" w:space="0" w:color="000000"/>
            </w:tcBorders>
            <w:vAlign w:val="center"/>
          </w:tcPr>
          <w:p w14:paraId="7CC0B12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0.177</w:t>
            </w:r>
          </w:p>
        </w:tc>
        <w:tc>
          <w:tcPr>
            <w:tcW w:w="756" w:type="dxa"/>
            <w:tcBorders>
              <w:top w:val="single" w:sz="4" w:space="0" w:color="000000"/>
              <w:left w:val="single" w:sz="4" w:space="0" w:color="000000"/>
              <w:bottom w:val="single" w:sz="4" w:space="0" w:color="000000"/>
              <w:right w:val="single" w:sz="4" w:space="0" w:color="000000"/>
            </w:tcBorders>
            <w:vAlign w:val="center"/>
          </w:tcPr>
          <w:p w14:paraId="0759C42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0.007</w:t>
            </w:r>
          </w:p>
        </w:tc>
        <w:tc>
          <w:tcPr>
            <w:tcW w:w="1315" w:type="dxa"/>
            <w:tcBorders>
              <w:top w:val="single" w:sz="4" w:space="0" w:color="000000"/>
              <w:left w:val="single" w:sz="4" w:space="0" w:color="000000"/>
              <w:bottom w:val="single" w:sz="4" w:space="0" w:color="000000"/>
              <w:right w:val="single" w:sz="4" w:space="0" w:color="000000"/>
            </w:tcBorders>
            <w:vAlign w:val="center"/>
          </w:tcPr>
          <w:p w14:paraId="19C68D4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85.81</w:t>
            </w:r>
          </w:p>
        </w:tc>
      </w:tr>
      <w:tr w:rsidR="00FE19D9" w:rsidRPr="00565953" w14:paraId="275328B3"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0AA2DFE7"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257459A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F6</w:t>
            </w:r>
          </w:p>
        </w:tc>
        <w:tc>
          <w:tcPr>
            <w:tcW w:w="1061" w:type="dxa"/>
            <w:tcBorders>
              <w:top w:val="single" w:sz="4" w:space="0" w:color="000000"/>
              <w:left w:val="single" w:sz="4" w:space="0" w:color="000000"/>
              <w:bottom w:val="single" w:sz="4" w:space="0" w:color="000000"/>
              <w:right w:val="single" w:sz="4" w:space="0" w:color="000000"/>
            </w:tcBorders>
            <w:vAlign w:val="center"/>
          </w:tcPr>
          <w:p w14:paraId="7B9FAF4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500</w:t>
            </w:r>
          </w:p>
        </w:tc>
        <w:tc>
          <w:tcPr>
            <w:tcW w:w="763" w:type="dxa"/>
            <w:tcBorders>
              <w:top w:val="single" w:sz="4" w:space="0" w:color="000000"/>
              <w:left w:val="single" w:sz="4" w:space="0" w:color="000000"/>
              <w:bottom w:val="single" w:sz="4" w:space="0" w:color="000000"/>
              <w:right w:val="single" w:sz="4" w:space="0" w:color="000000"/>
            </w:tcBorders>
            <w:vAlign w:val="center"/>
          </w:tcPr>
          <w:p w14:paraId="3815558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0.151</w:t>
            </w:r>
          </w:p>
        </w:tc>
        <w:tc>
          <w:tcPr>
            <w:tcW w:w="763" w:type="dxa"/>
            <w:tcBorders>
              <w:top w:val="single" w:sz="4" w:space="0" w:color="000000"/>
              <w:left w:val="single" w:sz="4" w:space="0" w:color="000000"/>
              <w:bottom w:val="single" w:sz="4" w:space="0" w:color="000000"/>
              <w:right w:val="single" w:sz="4" w:space="0" w:color="000000"/>
            </w:tcBorders>
            <w:vAlign w:val="center"/>
          </w:tcPr>
          <w:p w14:paraId="257EB7D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0.152</w:t>
            </w:r>
          </w:p>
        </w:tc>
        <w:tc>
          <w:tcPr>
            <w:tcW w:w="763" w:type="dxa"/>
            <w:tcBorders>
              <w:top w:val="single" w:sz="4" w:space="0" w:color="000000"/>
              <w:left w:val="single" w:sz="4" w:space="0" w:color="000000"/>
              <w:bottom w:val="single" w:sz="4" w:space="0" w:color="000000"/>
              <w:right w:val="single" w:sz="4" w:space="0" w:color="000000"/>
            </w:tcBorders>
            <w:vAlign w:val="center"/>
          </w:tcPr>
          <w:p w14:paraId="095F9BD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0.134</w:t>
            </w:r>
          </w:p>
        </w:tc>
        <w:tc>
          <w:tcPr>
            <w:tcW w:w="803" w:type="dxa"/>
            <w:tcBorders>
              <w:top w:val="single" w:sz="4" w:space="0" w:color="000000"/>
              <w:left w:val="single" w:sz="4" w:space="0" w:color="000000"/>
              <w:bottom w:val="single" w:sz="4" w:space="0" w:color="000000"/>
              <w:right w:val="single" w:sz="4" w:space="0" w:color="000000"/>
            </w:tcBorders>
            <w:vAlign w:val="center"/>
          </w:tcPr>
          <w:p w14:paraId="33EAF7D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0.146</w:t>
            </w:r>
          </w:p>
        </w:tc>
        <w:tc>
          <w:tcPr>
            <w:tcW w:w="756" w:type="dxa"/>
            <w:tcBorders>
              <w:top w:val="single" w:sz="4" w:space="0" w:color="000000"/>
              <w:left w:val="single" w:sz="4" w:space="0" w:color="000000"/>
              <w:bottom w:val="single" w:sz="4" w:space="0" w:color="000000"/>
              <w:right w:val="single" w:sz="4" w:space="0" w:color="000000"/>
            </w:tcBorders>
            <w:vAlign w:val="center"/>
          </w:tcPr>
          <w:p w14:paraId="5833311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0.010</w:t>
            </w:r>
          </w:p>
        </w:tc>
        <w:tc>
          <w:tcPr>
            <w:tcW w:w="1315" w:type="dxa"/>
            <w:tcBorders>
              <w:top w:val="single" w:sz="4" w:space="0" w:color="000000"/>
              <w:left w:val="single" w:sz="4" w:space="0" w:color="000000"/>
              <w:bottom w:val="single" w:sz="4" w:space="0" w:color="000000"/>
              <w:right w:val="single" w:sz="4" w:space="0" w:color="000000"/>
            </w:tcBorders>
            <w:vAlign w:val="center"/>
          </w:tcPr>
          <w:p w14:paraId="3EF064A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70.48</w:t>
            </w:r>
          </w:p>
        </w:tc>
      </w:tr>
      <w:tr w:rsidR="00FE19D9" w:rsidRPr="00565953" w14:paraId="52DC77A7"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3C4D2B6D"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7787CA9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F5</w:t>
            </w:r>
          </w:p>
        </w:tc>
        <w:tc>
          <w:tcPr>
            <w:tcW w:w="1061" w:type="dxa"/>
            <w:tcBorders>
              <w:top w:val="single" w:sz="4" w:space="0" w:color="000000"/>
              <w:left w:val="single" w:sz="4" w:space="0" w:color="000000"/>
              <w:bottom w:val="single" w:sz="4" w:space="0" w:color="000000"/>
              <w:right w:val="single" w:sz="4" w:space="0" w:color="000000"/>
            </w:tcBorders>
            <w:vAlign w:val="center"/>
          </w:tcPr>
          <w:p w14:paraId="2F74D6F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1000</w:t>
            </w:r>
          </w:p>
        </w:tc>
        <w:tc>
          <w:tcPr>
            <w:tcW w:w="763" w:type="dxa"/>
            <w:tcBorders>
              <w:top w:val="single" w:sz="4" w:space="0" w:color="000000"/>
              <w:left w:val="single" w:sz="4" w:space="0" w:color="000000"/>
              <w:bottom w:val="single" w:sz="4" w:space="0" w:color="000000"/>
              <w:right w:val="single" w:sz="4" w:space="0" w:color="000000"/>
            </w:tcBorders>
            <w:vAlign w:val="center"/>
          </w:tcPr>
          <w:p w14:paraId="30673A7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0.105</w:t>
            </w:r>
          </w:p>
        </w:tc>
        <w:tc>
          <w:tcPr>
            <w:tcW w:w="763" w:type="dxa"/>
            <w:tcBorders>
              <w:top w:val="single" w:sz="4" w:space="0" w:color="000000"/>
              <w:left w:val="single" w:sz="4" w:space="0" w:color="000000"/>
              <w:bottom w:val="single" w:sz="4" w:space="0" w:color="000000"/>
              <w:right w:val="single" w:sz="4" w:space="0" w:color="000000"/>
            </w:tcBorders>
            <w:vAlign w:val="center"/>
          </w:tcPr>
          <w:p w14:paraId="033AA95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0.108</w:t>
            </w:r>
          </w:p>
        </w:tc>
        <w:tc>
          <w:tcPr>
            <w:tcW w:w="763" w:type="dxa"/>
            <w:tcBorders>
              <w:top w:val="single" w:sz="4" w:space="0" w:color="000000"/>
              <w:left w:val="single" w:sz="4" w:space="0" w:color="000000"/>
              <w:bottom w:val="single" w:sz="4" w:space="0" w:color="000000"/>
              <w:right w:val="single" w:sz="4" w:space="0" w:color="000000"/>
            </w:tcBorders>
            <w:vAlign w:val="center"/>
          </w:tcPr>
          <w:p w14:paraId="7C7E6A3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0.107</w:t>
            </w:r>
          </w:p>
        </w:tc>
        <w:tc>
          <w:tcPr>
            <w:tcW w:w="803" w:type="dxa"/>
            <w:tcBorders>
              <w:top w:val="single" w:sz="4" w:space="0" w:color="000000"/>
              <w:left w:val="single" w:sz="4" w:space="0" w:color="000000"/>
              <w:bottom w:val="single" w:sz="4" w:space="0" w:color="000000"/>
              <w:right w:val="single" w:sz="4" w:space="0" w:color="000000"/>
            </w:tcBorders>
            <w:vAlign w:val="center"/>
          </w:tcPr>
          <w:p w14:paraId="18BD4EA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0.107</w:t>
            </w:r>
          </w:p>
        </w:tc>
        <w:tc>
          <w:tcPr>
            <w:tcW w:w="756" w:type="dxa"/>
            <w:tcBorders>
              <w:top w:val="single" w:sz="4" w:space="0" w:color="000000"/>
              <w:left w:val="single" w:sz="4" w:space="0" w:color="000000"/>
              <w:bottom w:val="single" w:sz="4" w:space="0" w:color="000000"/>
              <w:right w:val="single" w:sz="4" w:space="0" w:color="000000"/>
            </w:tcBorders>
            <w:vAlign w:val="center"/>
          </w:tcPr>
          <w:p w14:paraId="317FD7C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0.002</w:t>
            </w:r>
          </w:p>
        </w:tc>
        <w:tc>
          <w:tcPr>
            <w:tcW w:w="1315" w:type="dxa"/>
            <w:tcBorders>
              <w:top w:val="single" w:sz="4" w:space="0" w:color="000000"/>
              <w:left w:val="single" w:sz="4" w:space="0" w:color="000000"/>
              <w:bottom w:val="single" w:sz="4" w:space="0" w:color="000000"/>
              <w:right w:val="single" w:sz="4" w:space="0" w:color="000000"/>
            </w:tcBorders>
            <w:vAlign w:val="center"/>
          </w:tcPr>
          <w:p w14:paraId="1084D49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51.61</w:t>
            </w:r>
          </w:p>
        </w:tc>
      </w:tr>
      <w:tr w:rsidR="00FE19D9" w:rsidRPr="00565953" w14:paraId="09DC24A4"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6EE7107D"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31708EE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F4</w:t>
            </w:r>
          </w:p>
        </w:tc>
        <w:tc>
          <w:tcPr>
            <w:tcW w:w="1061" w:type="dxa"/>
            <w:tcBorders>
              <w:top w:val="single" w:sz="4" w:space="0" w:color="000000"/>
              <w:left w:val="single" w:sz="4" w:space="0" w:color="000000"/>
              <w:bottom w:val="single" w:sz="4" w:space="0" w:color="000000"/>
              <w:right w:val="single" w:sz="4" w:space="0" w:color="000000"/>
            </w:tcBorders>
            <w:vAlign w:val="center"/>
          </w:tcPr>
          <w:p w14:paraId="4627521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2000</w:t>
            </w:r>
          </w:p>
        </w:tc>
        <w:tc>
          <w:tcPr>
            <w:tcW w:w="763" w:type="dxa"/>
            <w:tcBorders>
              <w:top w:val="single" w:sz="4" w:space="0" w:color="000000"/>
              <w:left w:val="single" w:sz="4" w:space="0" w:color="000000"/>
              <w:bottom w:val="single" w:sz="4" w:space="0" w:color="000000"/>
              <w:right w:val="single" w:sz="4" w:space="0" w:color="000000"/>
            </w:tcBorders>
            <w:vAlign w:val="center"/>
          </w:tcPr>
          <w:p w14:paraId="6D85273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0.098</w:t>
            </w:r>
          </w:p>
        </w:tc>
        <w:tc>
          <w:tcPr>
            <w:tcW w:w="763" w:type="dxa"/>
            <w:tcBorders>
              <w:top w:val="single" w:sz="4" w:space="0" w:color="000000"/>
              <w:left w:val="single" w:sz="4" w:space="0" w:color="000000"/>
              <w:bottom w:val="single" w:sz="4" w:space="0" w:color="000000"/>
              <w:right w:val="single" w:sz="4" w:space="0" w:color="000000"/>
            </w:tcBorders>
            <w:vAlign w:val="center"/>
          </w:tcPr>
          <w:p w14:paraId="283DD07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0.088</w:t>
            </w:r>
          </w:p>
        </w:tc>
        <w:tc>
          <w:tcPr>
            <w:tcW w:w="763" w:type="dxa"/>
            <w:tcBorders>
              <w:top w:val="single" w:sz="4" w:space="0" w:color="000000"/>
              <w:left w:val="single" w:sz="4" w:space="0" w:color="000000"/>
              <w:bottom w:val="single" w:sz="4" w:space="0" w:color="000000"/>
              <w:right w:val="single" w:sz="4" w:space="0" w:color="000000"/>
            </w:tcBorders>
            <w:vAlign w:val="center"/>
          </w:tcPr>
          <w:p w14:paraId="6673C96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0.083</w:t>
            </w:r>
          </w:p>
        </w:tc>
        <w:tc>
          <w:tcPr>
            <w:tcW w:w="803" w:type="dxa"/>
            <w:tcBorders>
              <w:top w:val="single" w:sz="4" w:space="0" w:color="000000"/>
              <w:left w:val="single" w:sz="4" w:space="0" w:color="000000"/>
              <w:bottom w:val="single" w:sz="4" w:space="0" w:color="000000"/>
              <w:right w:val="single" w:sz="4" w:space="0" w:color="000000"/>
            </w:tcBorders>
            <w:vAlign w:val="center"/>
          </w:tcPr>
          <w:p w14:paraId="0301B87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0.090</w:t>
            </w:r>
          </w:p>
        </w:tc>
        <w:tc>
          <w:tcPr>
            <w:tcW w:w="756" w:type="dxa"/>
            <w:tcBorders>
              <w:top w:val="single" w:sz="4" w:space="0" w:color="000000"/>
              <w:left w:val="single" w:sz="4" w:space="0" w:color="000000"/>
              <w:bottom w:val="single" w:sz="4" w:space="0" w:color="000000"/>
              <w:right w:val="single" w:sz="4" w:space="0" w:color="000000"/>
            </w:tcBorders>
            <w:vAlign w:val="center"/>
          </w:tcPr>
          <w:p w14:paraId="740EEE2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0.008</w:t>
            </w:r>
          </w:p>
        </w:tc>
        <w:tc>
          <w:tcPr>
            <w:tcW w:w="1315" w:type="dxa"/>
            <w:tcBorders>
              <w:top w:val="single" w:sz="4" w:space="0" w:color="000000"/>
              <w:left w:val="single" w:sz="4" w:space="0" w:color="000000"/>
              <w:bottom w:val="single" w:sz="4" w:space="0" w:color="000000"/>
              <w:right w:val="single" w:sz="4" w:space="0" w:color="000000"/>
            </w:tcBorders>
            <w:vAlign w:val="center"/>
          </w:tcPr>
          <w:p w14:paraId="7BD3DD4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43.39</w:t>
            </w:r>
          </w:p>
        </w:tc>
      </w:tr>
      <w:tr w:rsidR="00FE19D9" w:rsidRPr="00565953" w14:paraId="4B22A67B"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5D765E33"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2108B45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F3</w:t>
            </w:r>
          </w:p>
        </w:tc>
        <w:tc>
          <w:tcPr>
            <w:tcW w:w="1061" w:type="dxa"/>
            <w:tcBorders>
              <w:top w:val="single" w:sz="4" w:space="0" w:color="000000"/>
              <w:left w:val="single" w:sz="4" w:space="0" w:color="000000"/>
              <w:bottom w:val="single" w:sz="4" w:space="0" w:color="000000"/>
              <w:right w:val="single" w:sz="4" w:space="0" w:color="000000"/>
            </w:tcBorders>
            <w:vAlign w:val="center"/>
          </w:tcPr>
          <w:p w14:paraId="65FAC04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3000</w:t>
            </w:r>
          </w:p>
        </w:tc>
        <w:tc>
          <w:tcPr>
            <w:tcW w:w="763" w:type="dxa"/>
            <w:tcBorders>
              <w:top w:val="single" w:sz="4" w:space="0" w:color="000000"/>
              <w:left w:val="single" w:sz="4" w:space="0" w:color="000000"/>
              <w:bottom w:val="single" w:sz="4" w:space="0" w:color="000000"/>
              <w:right w:val="single" w:sz="4" w:space="0" w:color="000000"/>
            </w:tcBorders>
            <w:vAlign w:val="center"/>
          </w:tcPr>
          <w:p w14:paraId="5FAF1B6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0.077</w:t>
            </w:r>
          </w:p>
        </w:tc>
        <w:tc>
          <w:tcPr>
            <w:tcW w:w="763" w:type="dxa"/>
            <w:tcBorders>
              <w:top w:val="single" w:sz="4" w:space="0" w:color="000000"/>
              <w:left w:val="single" w:sz="4" w:space="0" w:color="000000"/>
              <w:bottom w:val="single" w:sz="4" w:space="0" w:color="000000"/>
              <w:right w:val="single" w:sz="4" w:space="0" w:color="000000"/>
            </w:tcBorders>
            <w:vAlign w:val="center"/>
          </w:tcPr>
          <w:p w14:paraId="5BBA9C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0.087</w:t>
            </w:r>
          </w:p>
        </w:tc>
        <w:tc>
          <w:tcPr>
            <w:tcW w:w="763" w:type="dxa"/>
            <w:tcBorders>
              <w:top w:val="single" w:sz="4" w:space="0" w:color="000000"/>
              <w:left w:val="single" w:sz="4" w:space="0" w:color="000000"/>
              <w:bottom w:val="single" w:sz="4" w:space="0" w:color="000000"/>
              <w:right w:val="single" w:sz="4" w:space="0" w:color="000000"/>
            </w:tcBorders>
            <w:vAlign w:val="center"/>
          </w:tcPr>
          <w:p w14:paraId="2117830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0.09</w:t>
            </w:r>
          </w:p>
        </w:tc>
        <w:tc>
          <w:tcPr>
            <w:tcW w:w="803" w:type="dxa"/>
            <w:tcBorders>
              <w:top w:val="single" w:sz="4" w:space="0" w:color="000000"/>
              <w:left w:val="single" w:sz="4" w:space="0" w:color="000000"/>
              <w:bottom w:val="single" w:sz="4" w:space="0" w:color="000000"/>
              <w:right w:val="single" w:sz="4" w:space="0" w:color="000000"/>
            </w:tcBorders>
            <w:vAlign w:val="center"/>
          </w:tcPr>
          <w:p w14:paraId="1E0AD31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0.085</w:t>
            </w:r>
          </w:p>
        </w:tc>
        <w:tc>
          <w:tcPr>
            <w:tcW w:w="756" w:type="dxa"/>
            <w:tcBorders>
              <w:top w:val="single" w:sz="4" w:space="0" w:color="000000"/>
              <w:left w:val="single" w:sz="4" w:space="0" w:color="000000"/>
              <w:bottom w:val="single" w:sz="4" w:space="0" w:color="000000"/>
              <w:right w:val="single" w:sz="4" w:space="0" w:color="000000"/>
            </w:tcBorders>
            <w:vAlign w:val="center"/>
          </w:tcPr>
          <w:p w14:paraId="2051565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0.007</w:t>
            </w:r>
          </w:p>
        </w:tc>
        <w:tc>
          <w:tcPr>
            <w:tcW w:w="1315" w:type="dxa"/>
            <w:tcBorders>
              <w:top w:val="single" w:sz="4" w:space="0" w:color="000000"/>
              <w:left w:val="single" w:sz="4" w:space="0" w:color="000000"/>
              <w:bottom w:val="single" w:sz="4" w:space="0" w:color="000000"/>
              <w:right w:val="single" w:sz="4" w:space="0" w:color="000000"/>
            </w:tcBorders>
            <w:vAlign w:val="center"/>
          </w:tcPr>
          <w:p w14:paraId="6B698BB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40.97</w:t>
            </w:r>
          </w:p>
        </w:tc>
      </w:tr>
      <w:tr w:rsidR="00FE19D9" w:rsidRPr="00565953" w14:paraId="476CE535"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0B5987D7"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04BCFDB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F2</w:t>
            </w:r>
          </w:p>
        </w:tc>
        <w:tc>
          <w:tcPr>
            <w:tcW w:w="1061" w:type="dxa"/>
            <w:tcBorders>
              <w:top w:val="single" w:sz="4" w:space="0" w:color="000000"/>
              <w:left w:val="single" w:sz="4" w:space="0" w:color="000000"/>
              <w:bottom w:val="single" w:sz="4" w:space="0" w:color="000000"/>
              <w:right w:val="single" w:sz="4" w:space="0" w:color="000000"/>
            </w:tcBorders>
            <w:vAlign w:val="center"/>
          </w:tcPr>
          <w:p w14:paraId="615D978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4000</w:t>
            </w:r>
          </w:p>
        </w:tc>
        <w:tc>
          <w:tcPr>
            <w:tcW w:w="763" w:type="dxa"/>
            <w:tcBorders>
              <w:top w:val="single" w:sz="4" w:space="0" w:color="000000"/>
              <w:left w:val="single" w:sz="4" w:space="0" w:color="000000"/>
              <w:bottom w:val="single" w:sz="4" w:space="0" w:color="000000"/>
              <w:right w:val="single" w:sz="4" w:space="0" w:color="000000"/>
            </w:tcBorders>
            <w:vAlign w:val="center"/>
          </w:tcPr>
          <w:p w14:paraId="5E8A747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0.055</w:t>
            </w:r>
          </w:p>
        </w:tc>
        <w:tc>
          <w:tcPr>
            <w:tcW w:w="763" w:type="dxa"/>
            <w:tcBorders>
              <w:top w:val="single" w:sz="4" w:space="0" w:color="000000"/>
              <w:left w:val="single" w:sz="4" w:space="0" w:color="000000"/>
              <w:bottom w:val="single" w:sz="4" w:space="0" w:color="000000"/>
              <w:right w:val="single" w:sz="4" w:space="0" w:color="000000"/>
            </w:tcBorders>
            <w:vAlign w:val="center"/>
          </w:tcPr>
          <w:p w14:paraId="00A337C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0.045</w:t>
            </w:r>
          </w:p>
        </w:tc>
        <w:tc>
          <w:tcPr>
            <w:tcW w:w="763" w:type="dxa"/>
            <w:tcBorders>
              <w:top w:val="single" w:sz="4" w:space="0" w:color="000000"/>
              <w:left w:val="single" w:sz="4" w:space="0" w:color="000000"/>
              <w:bottom w:val="single" w:sz="4" w:space="0" w:color="000000"/>
              <w:right w:val="single" w:sz="4" w:space="0" w:color="000000"/>
            </w:tcBorders>
            <w:vAlign w:val="center"/>
          </w:tcPr>
          <w:p w14:paraId="109F7D6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0.054</w:t>
            </w:r>
          </w:p>
        </w:tc>
        <w:tc>
          <w:tcPr>
            <w:tcW w:w="803" w:type="dxa"/>
            <w:tcBorders>
              <w:top w:val="single" w:sz="4" w:space="0" w:color="000000"/>
              <w:left w:val="single" w:sz="4" w:space="0" w:color="000000"/>
              <w:bottom w:val="single" w:sz="4" w:space="0" w:color="000000"/>
              <w:right w:val="single" w:sz="4" w:space="0" w:color="000000"/>
            </w:tcBorders>
            <w:vAlign w:val="center"/>
          </w:tcPr>
          <w:p w14:paraId="519A7D0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0.051</w:t>
            </w:r>
          </w:p>
        </w:tc>
        <w:tc>
          <w:tcPr>
            <w:tcW w:w="756" w:type="dxa"/>
            <w:tcBorders>
              <w:top w:val="single" w:sz="4" w:space="0" w:color="000000"/>
              <w:left w:val="single" w:sz="4" w:space="0" w:color="000000"/>
              <w:bottom w:val="single" w:sz="4" w:space="0" w:color="000000"/>
              <w:right w:val="single" w:sz="4" w:space="0" w:color="000000"/>
            </w:tcBorders>
            <w:vAlign w:val="center"/>
          </w:tcPr>
          <w:p w14:paraId="2EBC86F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0.006</w:t>
            </w:r>
          </w:p>
        </w:tc>
        <w:tc>
          <w:tcPr>
            <w:tcW w:w="1315" w:type="dxa"/>
            <w:tcBorders>
              <w:top w:val="single" w:sz="4" w:space="0" w:color="000000"/>
              <w:left w:val="single" w:sz="4" w:space="0" w:color="000000"/>
              <w:bottom w:val="single" w:sz="4" w:space="0" w:color="000000"/>
              <w:right w:val="single" w:sz="4" w:space="0" w:color="000000"/>
            </w:tcBorders>
            <w:vAlign w:val="center"/>
          </w:tcPr>
          <w:p w14:paraId="1192CA7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24.84</w:t>
            </w:r>
          </w:p>
        </w:tc>
      </w:tr>
      <w:tr w:rsidR="00FE19D9" w:rsidRPr="00565953" w14:paraId="52F6F6A4"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37A1F6C6"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5B84DF9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F1</w:t>
            </w:r>
          </w:p>
        </w:tc>
        <w:tc>
          <w:tcPr>
            <w:tcW w:w="1061" w:type="dxa"/>
            <w:tcBorders>
              <w:top w:val="single" w:sz="4" w:space="0" w:color="000000"/>
              <w:left w:val="single" w:sz="4" w:space="0" w:color="000000"/>
              <w:bottom w:val="single" w:sz="4" w:space="0" w:color="000000"/>
              <w:right w:val="single" w:sz="4" w:space="0" w:color="000000"/>
            </w:tcBorders>
            <w:vAlign w:val="center"/>
          </w:tcPr>
          <w:p w14:paraId="1381D57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5000</w:t>
            </w:r>
          </w:p>
        </w:tc>
        <w:tc>
          <w:tcPr>
            <w:tcW w:w="763" w:type="dxa"/>
            <w:tcBorders>
              <w:top w:val="single" w:sz="4" w:space="0" w:color="000000"/>
              <w:left w:val="single" w:sz="4" w:space="0" w:color="000000"/>
              <w:bottom w:val="single" w:sz="4" w:space="0" w:color="000000"/>
              <w:right w:val="single" w:sz="4" w:space="0" w:color="000000"/>
            </w:tcBorders>
            <w:vAlign w:val="center"/>
          </w:tcPr>
          <w:p w14:paraId="76E7A9A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0.035</w:t>
            </w:r>
          </w:p>
        </w:tc>
        <w:tc>
          <w:tcPr>
            <w:tcW w:w="763" w:type="dxa"/>
            <w:tcBorders>
              <w:top w:val="single" w:sz="4" w:space="0" w:color="000000"/>
              <w:left w:val="single" w:sz="4" w:space="0" w:color="000000"/>
              <w:bottom w:val="single" w:sz="4" w:space="0" w:color="000000"/>
              <w:right w:val="single" w:sz="4" w:space="0" w:color="000000"/>
            </w:tcBorders>
            <w:vAlign w:val="center"/>
          </w:tcPr>
          <w:p w14:paraId="30650B1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0.034</w:t>
            </w:r>
          </w:p>
        </w:tc>
        <w:tc>
          <w:tcPr>
            <w:tcW w:w="763" w:type="dxa"/>
            <w:tcBorders>
              <w:top w:val="single" w:sz="4" w:space="0" w:color="000000"/>
              <w:left w:val="single" w:sz="4" w:space="0" w:color="000000"/>
              <w:bottom w:val="single" w:sz="4" w:space="0" w:color="000000"/>
              <w:right w:val="single" w:sz="4" w:space="0" w:color="000000"/>
            </w:tcBorders>
            <w:vAlign w:val="center"/>
          </w:tcPr>
          <w:p w14:paraId="2F6768DE"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0.038</w:t>
            </w:r>
          </w:p>
        </w:tc>
        <w:tc>
          <w:tcPr>
            <w:tcW w:w="803" w:type="dxa"/>
            <w:tcBorders>
              <w:top w:val="single" w:sz="4" w:space="0" w:color="000000"/>
              <w:left w:val="single" w:sz="4" w:space="0" w:color="000000"/>
              <w:bottom w:val="single" w:sz="4" w:space="0" w:color="000000"/>
              <w:right w:val="single" w:sz="4" w:space="0" w:color="000000"/>
            </w:tcBorders>
            <w:vAlign w:val="center"/>
          </w:tcPr>
          <w:p w14:paraId="2D2EDB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0.036</w:t>
            </w:r>
          </w:p>
        </w:tc>
        <w:tc>
          <w:tcPr>
            <w:tcW w:w="756" w:type="dxa"/>
            <w:tcBorders>
              <w:top w:val="single" w:sz="4" w:space="0" w:color="000000"/>
              <w:left w:val="single" w:sz="4" w:space="0" w:color="000000"/>
              <w:bottom w:val="single" w:sz="4" w:space="0" w:color="000000"/>
              <w:right w:val="single" w:sz="4" w:space="0" w:color="000000"/>
            </w:tcBorders>
            <w:vAlign w:val="center"/>
          </w:tcPr>
          <w:p w14:paraId="79AC4DD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0.002</w:t>
            </w:r>
          </w:p>
        </w:tc>
        <w:tc>
          <w:tcPr>
            <w:tcW w:w="1315" w:type="dxa"/>
            <w:tcBorders>
              <w:top w:val="single" w:sz="4" w:space="0" w:color="000000"/>
              <w:left w:val="single" w:sz="4" w:space="0" w:color="000000"/>
              <w:bottom w:val="single" w:sz="4" w:space="0" w:color="000000"/>
              <w:right w:val="single" w:sz="4" w:space="0" w:color="000000"/>
            </w:tcBorders>
            <w:vAlign w:val="center"/>
          </w:tcPr>
          <w:p w14:paraId="6232D3D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17.26</w:t>
            </w:r>
          </w:p>
        </w:tc>
      </w:tr>
      <w:tr w:rsidR="00FE19D9" w:rsidRPr="00565953" w14:paraId="321EE602" w14:textId="77777777">
        <w:trPr>
          <w:trHeight w:val="373"/>
        </w:trPr>
        <w:tc>
          <w:tcPr>
            <w:tcW w:w="2662" w:type="dxa"/>
            <w:vMerge w:val="restart"/>
            <w:tcBorders>
              <w:top w:val="single" w:sz="4" w:space="0" w:color="000000"/>
              <w:left w:val="single" w:sz="4" w:space="0" w:color="000000"/>
              <w:bottom w:val="single" w:sz="4" w:space="0" w:color="000000"/>
              <w:right w:val="single" w:sz="4" w:space="0" w:color="000000"/>
            </w:tcBorders>
            <w:vAlign w:val="center"/>
          </w:tcPr>
          <w:p w14:paraId="6760C93E" w14:textId="1A9F969D"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Positive </w:t>
            </w:r>
            <w:r w:rsidR="00256106" w:rsidRPr="00565953">
              <w:rPr>
                <w:rFonts w:ascii="Times New Roman" w:eastAsia="Times New Roman" w:hAnsi="Times New Roman" w:cs="Times New Roman"/>
                <w:b/>
                <w:color w:val="000000"/>
                <w:sz w:val="24"/>
                <w:szCs w:val="24"/>
              </w:rPr>
              <w:t>Control Capecitabine</w:t>
            </w:r>
          </w:p>
        </w:tc>
        <w:tc>
          <w:tcPr>
            <w:tcW w:w="470" w:type="dxa"/>
            <w:tcBorders>
              <w:top w:val="single" w:sz="4" w:space="0" w:color="000000"/>
              <w:left w:val="single" w:sz="4" w:space="0" w:color="000000"/>
              <w:bottom w:val="single" w:sz="4" w:space="0" w:color="000000"/>
              <w:right w:val="single" w:sz="4" w:space="0" w:color="000000"/>
            </w:tcBorders>
            <w:vAlign w:val="center"/>
          </w:tcPr>
          <w:p w14:paraId="07153D4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F5</w:t>
            </w:r>
          </w:p>
        </w:tc>
        <w:tc>
          <w:tcPr>
            <w:tcW w:w="1061" w:type="dxa"/>
            <w:tcBorders>
              <w:top w:val="single" w:sz="4" w:space="0" w:color="000000"/>
              <w:left w:val="single" w:sz="4" w:space="0" w:color="000000"/>
              <w:bottom w:val="single" w:sz="4" w:space="0" w:color="000000"/>
              <w:right w:val="single" w:sz="4" w:space="0" w:color="000000"/>
            </w:tcBorders>
            <w:vAlign w:val="center"/>
          </w:tcPr>
          <w:p w14:paraId="54DD440E"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1000</w:t>
            </w:r>
          </w:p>
        </w:tc>
        <w:tc>
          <w:tcPr>
            <w:tcW w:w="763" w:type="dxa"/>
            <w:tcBorders>
              <w:top w:val="single" w:sz="4" w:space="0" w:color="000000"/>
              <w:left w:val="single" w:sz="4" w:space="0" w:color="000000"/>
              <w:bottom w:val="single" w:sz="4" w:space="0" w:color="000000"/>
              <w:right w:val="single" w:sz="4" w:space="0" w:color="000000"/>
            </w:tcBorders>
            <w:vAlign w:val="center"/>
          </w:tcPr>
          <w:p w14:paraId="4788B6C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0.111</w:t>
            </w:r>
          </w:p>
        </w:tc>
        <w:tc>
          <w:tcPr>
            <w:tcW w:w="763" w:type="dxa"/>
            <w:tcBorders>
              <w:top w:val="single" w:sz="4" w:space="0" w:color="000000"/>
              <w:left w:val="single" w:sz="4" w:space="0" w:color="000000"/>
              <w:bottom w:val="single" w:sz="4" w:space="0" w:color="000000"/>
              <w:right w:val="single" w:sz="4" w:space="0" w:color="000000"/>
            </w:tcBorders>
            <w:vAlign w:val="center"/>
          </w:tcPr>
          <w:p w14:paraId="62DA085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0.104</w:t>
            </w:r>
          </w:p>
        </w:tc>
        <w:tc>
          <w:tcPr>
            <w:tcW w:w="763" w:type="dxa"/>
            <w:tcBorders>
              <w:top w:val="single" w:sz="4" w:space="0" w:color="000000"/>
              <w:left w:val="single" w:sz="4" w:space="0" w:color="000000"/>
              <w:bottom w:val="single" w:sz="4" w:space="0" w:color="000000"/>
              <w:right w:val="single" w:sz="4" w:space="0" w:color="000000"/>
            </w:tcBorders>
            <w:vAlign w:val="center"/>
          </w:tcPr>
          <w:p w14:paraId="617F46C6"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0.104</w:t>
            </w:r>
          </w:p>
        </w:tc>
        <w:tc>
          <w:tcPr>
            <w:tcW w:w="803" w:type="dxa"/>
            <w:tcBorders>
              <w:top w:val="single" w:sz="4" w:space="0" w:color="000000"/>
              <w:left w:val="single" w:sz="4" w:space="0" w:color="000000"/>
              <w:bottom w:val="single" w:sz="4" w:space="0" w:color="000000"/>
              <w:right w:val="single" w:sz="4" w:space="0" w:color="000000"/>
            </w:tcBorders>
            <w:vAlign w:val="center"/>
          </w:tcPr>
          <w:p w14:paraId="6ACB1137"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0.106</w:t>
            </w:r>
          </w:p>
        </w:tc>
        <w:tc>
          <w:tcPr>
            <w:tcW w:w="756" w:type="dxa"/>
            <w:tcBorders>
              <w:top w:val="single" w:sz="4" w:space="0" w:color="000000"/>
              <w:left w:val="single" w:sz="4" w:space="0" w:color="000000"/>
              <w:bottom w:val="single" w:sz="4" w:space="0" w:color="000000"/>
              <w:right w:val="single" w:sz="4" w:space="0" w:color="000000"/>
            </w:tcBorders>
            <w:vAlign w:val="center"/>
          </w:tcPr>
          <w:p w14:paraId="0B604B6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0.004</w:t>
            </w:r>
          </w:p>
        </w:tc>
        <w:tc>
          <w:tcPr>
            <w:tcW w:w="1315" w:type="dxa"/>
            <w:tcBorders>
              <w:top w:val="single" w:sz="4" w:space="0" w:color="000000"/>
              <w:left w:val="single" w:sz="4" w:space="0" w:color="000000"/>
              <w:bottom w:val="single" w:sz="4" w:space="0" w:color="000000"/>
              <w:right w:val="single" w:sz="4" w:space="0" w:color="000000"/>
            </w:tcBorders>
            <w:vAlign w:val="center"/>
          </w:tcPr>
          <w:p w14:paraId="0839F2A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51.45</w:t>
            </w:r>
          </w:p>
        </w:tc>
      </w:tr>
      <w:tr w:rsidR="00FE19D9" w:rsidRPr="00565953" w14:paraId="034A596B"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666A9F6F"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237354D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F4</w:t>
            </w:r>
          </w:p>
        </w:tc>
        <w:tc>
          <w:tcPr>
            <w:tcW w:w="1061" w:type="dxa"/>
            <w:tcBorders>
              <w:top w:val="single" w:sz="4" w:space="0" w:color="000000"/>
              <w:left w:val="single" w:sz="4" w:space="0" w:color="000000"/>
              <w:bottom w:val="single" w:sz="4" w:space="0" w:color="000000"/>
              <w:right w:val="single" w:sz="4" w:space="0" w:color="000000"/>
            </w:tcBorders>
            <w:vAlign w:val="center"/>
          </w:tcPr>
          <w:p w14:paraId="1A89BA8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2000</w:t>
            </w:r>
          </w:p>
        </w:tc>
        <w:tc>
          <w:tcPr>
            <w:tcW w:w="763" w:type="dxa"/>
            <w:tcBorders>
              <w:top w:val="single" w:sz="4" w:space="0" w:color="000000"/>
              <w:left w:val="single" w:sz="4" w:space="0" w:color="000000"/>
              <w:bottom w:val="single" w:sz="4" w:space="0" w:color="000000"/>
              <w:right w:val="single" w:sz="4" w:space="0" w:color="000000"/>
            </w:tcBorders>
            <w:vAlign w:val="center"/>
          </w:tcPr>
          <w:p w14:paraId="30C6B14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0.074</w:t>
            </w:r>
          </w:p>
        </w:tc>
        <w:tc>
          <w:tcPr>
            <w:tcW w:w="763" w:type="dxa"/>
            <w:tcBorders>
              <w:top w:val="single" w:sz="4" w:space="0" w:color="000000"/>
              <w:left w:val="single" w:sz="4" w:space="0" w:color="000000"/>
              <w:bottom w:val="single" w:sz="4" w:space="0" w:color="000000"/>
              <w:right w:val="single" w:sz="4" w:space="0" w:color="000000"/>
            </w:tcBorders>
            <w:vAlign w:val="center"/>
          </w:tcPr>
          <w:p w14:paraId="518AD20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0.074</w:t>
            </w:r>
          </w:p>
        </w:tc>
        <w:tc>
          <w:tcPr>
            <w:tcW w:w="763" w:type="dxa"/>
            <w:tcBorders>
              <w:top w:val="single" w:sz="4" w:space="0" w:color="000000"/>
              <w:left w:val="single" w:sz="4" w:space="0" w:color="000000"/>
              <w:bottom w:val="single" w:sz="4" w:space="0" w:color="000000"/>
              <w:right w:val="single" w:sz="4" w:space="0" w:color="000000"/>
            </w:tcBorders>
            <w:vAlign w:val="center"/>
          </w:tcPr>
          <w:p w14:paraId="55A7E7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0.085</w:t>
            </w:r>
          </w:p>
        </w:tc>
        <w:tc>
          <w:tcPr>
            <w:tcW w:w="803" w:type="dxa"/>
            <w:tcBorders>
              <w:top w:val="single" w:sz="4" w:space="0" w:color="000000"/>
              <w:left w:val="single" w:sz="4" w:space="0" w:color="000000"/>
              <w:bottom w:val="single" w:sz="4" w:space="0" w:color="000000"/>
              <w:right w:val="single" w:sz="4" w:space="0" w:color="000000"/>
            </w:tcBorders>
            <w:vAlign w:val="center"/>
          </w:tcPr>
          <w:p w14:paraId="256DCEDA"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0.078</w:t>
            </w:r>
          </w:p>
        </w:tc>
        <w:tc>
          <w:tcPr>
            <w:tcW w:w="756" w:type="dxa"/>
            <w:tcBorders>
              <w:top w:val="single" w:sz="4" w:space="0" w:color="000000"/>
              <w:left w:val="single" w:sz="4" w:space="0" w:color="000000"/>
              <w:bottom w:val="single" w:sz="4" w:space="0" w:color="000000"/>
              <w:right w:val="single" w:sz="4" w:space="0" w:color="000000"/>
            </w:tcBorders>
            <w:vAlign w:val="center"/>
          </w:tcPr>
          <w:p w14:paraId="00A53FF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0.006</w:t>
            </w:r>
          </w:p>
        </w:tc>
        <w:tc>
          <w:tcPr>
            <w:tcW w:w="1315" w:type="dxa"/>
            <w:tcBorders>
              <w:top w:val="single" w:sz="4" w:space="0" w:color="000000"/>
              <w:left w:val="single" w:sz="4" w:space="0" w:color="000000"/>
              <w:bottom w:val="single" w:sz="4" w:space="0" w:color="000000"/>
              <w:right w:val="single" w:sz="4" w:space="0" w:color="000000"/>
            </w:tcBorders>
            <w:vAlign w:val="center"/>
          </w:tcPr>
          <w:p w14:paraId="5E9488A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37.58</w:t>
            </w:r>
          </w:p>
        </w:tc>
      </w:tr>
      <w:tr w:rsidR="00FE19D9" w:rsidRPr="00565953" w14:paraId="5BD43AD7"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5654FD0A"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157C580E"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F3</w:t>
            </w:r>
          </w:p>
        </w:tc>
        <w:tc>
          <w:tcPr>
            <w:tcW w:w="1061" w:type="dxa"/>
            <w:tcBorders>
              <w:top w:val="single" w:sz="4" w:space="0" w:color="000000"/>
              <w:left w:val="single" w:sz="4" w:space="0" w:color="000000"/>
              <w:bottom w:val="single" w:sz="4" w:space="0" w:color="000000"/>
              <w:right w:val="single" w:sz="4" w:space="0" w:color="000000"/>
            </w:tcBorders>
            <w:vAlign w:val="center"/>
          </w:tcPr>
          <w:p w14:paraId="5E4ADF6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3000</w:t>
            </w:r>
          </w:p>
        </w:tc>
        <w:tc>
          <w:tcPr>
            <w:tcW w:w="763" w:type="dxa"/>
            <w:tcBorders>
              <w:top w:val="single" w:sz="4" w:space="0" w:color="000000"/>
              <w:left w:val="single" w:sz="4" w:space="0" w:color="000000"/>
              <w:bottom w:val="single" w:sz="4" w:space="0" w:color="000000"/>
              <w:right w:val="single" w:sz="4" w:space="0" w:color="000000"/>
            </w:tcBorders>
            <w:vAlign w:val="center"/>
          </w:tcPr>
          <w:p w14:paraId="7968ABA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0.065</w:t>
            </w:r>
          </w:p>
        </w:tc>
        <w:tc>
          <w:tcPr>
            <w:tcW w:w="763" w:type="dxa"/>
            <w:tcBorders>
              <w:top w:val="single" w:sz="4" w:space="0" w:color="000000"/>
              <w:left w:val="single" w:sz="4" w:space="0" w:color="000000"/>
              <w:bottom w:val="single" w:sz="4" w:space="0" w:color="000000"/>
              <w:right w:val="single" w:sz="4" w:space="0" w:color="000000"/>
            </w:tcBorders>
            <w:vAlign w:val="center"/>
          </w:tcPr>
          <w:p w14:paraId="3F8F46C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0.069</w:t>
            </w:r>
          </w:p>
        </w:tc>
        <w:tc>
          <w:tcPr>
            <w:tcW w:w="763" w:type="dxa"/>
            <w:tcBorders>
              <w:top w:val="single" w:sz="4" w:space="0" w:color="000000"/>
              <w:left w:val="single" w:sz="4" w:space="0" w:color="000000"/>
              <w:bottom w:val="single" w:sz="4" w:space="0" w:color="000000"/>
              <w:right w:val="single" w:sz="4" w:space="0" w:color="000000"/>
            </w:tcBorders>
            <w:vAlign w:val="center"/>
          </w:tcPr>
          <w:p w14:paraId="769BBB1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0.074</w:t>
            </w:r>
          </w:p>
        </w:tc>
        <w:tc>
          <w:tcPr>
            <w:tcW w:w="803" w:type="dxa"/>
            <w:tcBorders>
              <w:top w:val="single" w:sz="4" w:space="0" w:color="000000"/>
              <w:left w:val="single" w:sz="4" w:space="0" w:color="000000"/>
              <w:bottom w:val="single" w:sz="4" w:space="0" w:color="000000"/>
              <w:right w:val="single" w:sz="4" w:space="0" w:color="000000"/>
            </w:tcBorders>
            <w:vAlign w:val="center"/>
          </w:tcPr>
          <w:p w14:paraId="4F64C63B"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0.069</w:t>
            </w:r>
          </w:p>
        </w:tc>
        <w:tc>
          <w:tcPr>
            <w:tcW w:w="756" w:type="dxa"/>
            <w:tcBorders>
              <w:top w:val="single" w:sz="4" w:space="0" w:color="000000"/>
              <w:left w:val="single" w:sz="4" w:space="0" w:color="000000"/>
              <w:bottom w:val="single" w:sz="4" w:space="0" w:color="000000"/>
              <w:right w:val="single" w:sz="4" w:space="0" w:color="000000"/>
            </w:tcBorders>
            <w:vAlign w:val="center"/>
          </w:tcPr>
          <w:p w14:paraId="6815A8DC"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0.005</w:t>
            </w:r>
          </w:p>
        </w:tc>
        <w:tc>
          <w:tcPr>
            <w:tcW w:w="1315" w:type="dxa"/>
            <w:tcBorders>
              <w:top w:val="single" w:sz="4" w:space="0" w:color="000000"/>
              <w:left w:val="single" w:sz="4" w:space="0" w:color="000000"/>
              <w:bottom w:val="single" w:sz="4" w:space="0" w:color="000000"/>
              <w:right w:val="single" w:sz="4" w:space="0" w:color="000000"/>
            </w:tcBorders>
            <w:vAlign w:val="center"/>
          </w:tcPr>
          <w:p w14:paraId="21FC018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33.55</w:t>
            </w:r>
          </w:p>
        </w:tc>
      </w:tr>
      <w:tr w:rsidR="00FE19D9" w:rsidRPr="00565953" w14:paraId="69498572"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77E221EB"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393C3014"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F2</w:t>
            </w:r>
          </w:p>
        </w:tc>
        <w:tc>
          <w:tcPr>
            <w:tcW w:w="1061" w:type="dxa"/>
            <w:tcBorders>
              <w:top w:val="single" w:sz="4" w:space="0" w:color="000000"/>
              <w:left w:val="single" w:sz="4" w:space="0" w:color="000000"/>
              <w:bottom w:val="single" w:sz="4" w:space="0" w:color="000000"/>
              <w:right w:val="single" w:sz="4" w:space="0" w:color="000000"/>
            </w:tcBorders>
            <w:vAlign w:val="center"/>
          </w:tcPr>
          <w:p w14:paraId="550D44E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4000</w:t>
            </w:r>
          </w:p>
        </w:tc>
        <w:tc>
          <w:tcPr>
            <w:tcW w:w="763" w:type="dxa"/>
            <w:tcBorders>
              <w:top w:val="single" w:sz="4" w:space="0" w:color="000000"/>
              <w:left w:val="single" w:sz="4" w:space="0" w:color="000000"/>
              <w:bottom w:val="single" w:sz="4" w:space="0" w:color="000000"/>
              <w:right w:val="single" w:sz="4" w:space="0" w:color="000000"/>
            </w:tcBorders>
            <w:vAlign w:val="center"/>
          </w:tcPr>
          <w:p w14:paraId="791969B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0.054</w:t>
            </w:r>
          </w:p>
        </w:tc>
        <w:tc>
          <w:tcPr>
            <w:tcW w:w="763" w:type="dxa"/>
            <w:tcBorders>
              <w:top w:val="single" w:sz="4" w:space="0" w:color="000000"/>
              <w:left w:val="single" w:sz="4" w:space="0" w:color="000000"/>
              <w:bottom w:val="single" w:sz="4" w:space="0" w:color="000000"/>
              <w:right w:val="single" w:sz="4" w:space="0" w:color="000000"/>
            </w:tcBorders>
            <w:vAlign w:val="center"/>
          </w:tcPr>
          <w:p w14:paraId="5EF9B832"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0.060</w:t>
            </w:r>
          </w:p>
        </w:tc>
        <w:tc>
          <w:tcPr>
            <w:tcW w:w="763" w:type="dxa"/>
            <w:tcBorders>
              <w:top w:val="single" w:sz="4" w:space="0" w:color="000000"/>
              <w:left w:val="single" w:sz="4" w:space="0" w:color="000000"/>
              <w:bottom w:val="single" w:sz="4" w:space="0" w:color="000000"/>
              <w:right w:val="single" w:sz="4" w:space="0" w:color="000000"/>
            </w:tcBorders>
            <w:vAlign w:val="center"/>
          </w:tcPr>
          <w:p w14:paraId="2D1C35D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0.068</w:t>
            </w:r>
          </w:p>
        </w:tc>
        <w:tc>
          <w:tcPr>
            <w:tcW w:w="803" w:type="dxa"/>
            <w:tcBorders>
              <w:top w:val="single" w:sz="4" w:space="0" w:color="000000"/>
              <w:left w:val="single" w:sz="4" w:space="0" w:color="000000"/>
              <w:bottom w:val="single" w:sz="4" w:space="0" w:color="000000"/>
              <w:right w:val="single" w:sz="4" w:space="0" w:color="000000"/>
            </w:tcBorders>
            <w:vAlign w:val="center"/>
          </w:tcPr>
          <w:p w14:paraId="2E4A9DF3"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0.061</w:t>
            </w:r>
          </w:p>
        </w:tc>
        <w:tc>
          <w:tcPr>
            <w:tcW w:w="756" w:type="dxa"/>
            <w:tcBorders>
              <w:top w:val="single" w:sz="4" w:space="0" w:color="000000"/>
              <w:left w:val="single" w:sz="4" w:space="0" w:color="000000"/>
              <w:bottom w:val="single" w:sz="4" w:space="0" w:color="000000"/>
              <w:right w:val="single" w:sz="4" w:space="0" w:color="000000"/>
            </w:tcBorders>
            <w:vAlign w:val="center"/>
          </w:tcPr>
          <w:p w14:paraId="7F9A3E2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0.007</w:t>
            </w:r>
          </w:p>
        </w:tc>
        <w:tc>
          <w:tcPr>
            <w:tcW w:w="1315" w:type="dxa"/>
            <w:tcBorders>
              <w:top w:val="single" w:sz="4" w:space="0" w:color="000000"/>
              <w:left w:val="single" w:sz="4" w:space="0" w:color="000000"/>
              <w:bottom w:val="single" w:sz="4" w:space="0" w:color="000000"/>
              <w:right w:val="single" w:sz="4" w:space="0" w:color="000000"/>
            </w:tcBorders>
            <w:vAlign w:val="center"/>
          </w:tcPr>
          <w:p w14:paraId="5B4E636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29.35</w:t>
            </w:r>
          </w:p>
        </w:tc>
      </w:tr>
      <w:tr w:rsidR="00FE19D9" w:rsidRPr="00565953" w14:paraId="07F5461B" w14:textId="77777777">
        <w:trPr>
          <w:trHeight w:val="146"/>
        </w:trPr>
        <w:tc>
          <w:tcPr>
            <w:tcW w:w="2662" w:type="dxa"/>
            <w:vMerge/>
            <w:tcBorders>
              <w:top w:val="single" w:sz="4" w:space="0" w:color="000000"/>
              <w:left w:val="single" w:sz="4" w:space="0" w:color="000000"/>
              <w:bottom w:val="single" w:sz="4" w:space="0" w:color="000000"/>
              <w:right w:val="single" w:sz="4" w:space="0" w:color="000000"/>
            </w:tcBorders>
            <w:vAlign w:val="center"/>
          </w:tcPr>
          <w:p w14:paraId="44914460" w14:textId="77777777" w:rsidR="00FE19D9" w:rsidRPr="00565953" w:rsidRDefault="00FE19D9" w:rsidP="00112EA7">
            <w:pPr>
              <w:widowControl w:val="0"/>
              <w:pBdr>
                <w:top w:val="nil"/>
                <w:left w:val="nil"/>
                <w:bottom w:val="nil"/>
                <w:right w:val="nil"/>
                <w:between w:val="nil"/>
              </w:pBdr>
              <w:spacing w:line="480" w:lineRule="auto"/>
              <w:rPr>
                <w:rFonts w:ascii="Times New Roman" w:eastAsia="Times New Roman" w:hAnsi="Times New Roman" w:cs="Times New Roman"/>
                <w:color w:val="000000"/>
                <w:sz w:val="24"/>
                <w:szCs w:val="24"/>
              </w:rPr>
            </w:pPr>
          </w:p>
        </w:tc>
        <w:tc>
          <w:tcPr>
            <w:tcW w:w="470" w:type="dxa"/>
            <w:tcBorders>
              <w:top w:val="single" w:sz="4" w:space="0" w:color="000000"/>
              <w:left w:val="single" w:sz="4" w:space="0" w:color="000000"/>
              <w:bottom w:val="single" w:sz="4" w:space="0" w:color="000000"/>
              <w:right w:val="single" w:sz="4" w:space="0" w:color="000000"/>
            </w:tcBorders>
            <w:vAlign w:val="center"/>
          </w:tcPr>
          <w:p w14:paraId="13F8E82D"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F1</w:t>
            </w:r>
          </w:p>
        </w:tc>
        <w:tc>
          <w:tcPr>
            <w:tcW w:w="1061" w:type="dxa"/>
            <w:tcBorders>
              <w:top w:val="single" w:sz="4" w:space="0" w:color="000000"/>
              <w:left w:val="single" w:sz="4" w:space="0" w:color="000000"/>
              <w:bottom w:val="single" w:sz="4" w:space="0" w:color="000000"/>
              <w:right w:val="single" w:sz="4" w:space="0" w:color="000000"/>
            </w:tcBorders>
            <w:vAlign w:val="center"/>
          </w:tcPr>
          <w:p w14:paraId="4EEFBCE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5000</w:t>
            </w:r>
          </w:p>
        </w:tc>
        <w:tc>
          <w:tcPr>
            <w:tcW w:w="763" w:type="dxa"/>
            <w:tcBorders>
              <w:top w:val="single" w:sz="4" w:space="0" w:color="000000"/>
              <w:left w:val="single" w:sz="4" w:space="0" w:color="000000"/>
              <w:bottom w:val="single" w:sz="4" w:space="0" w:color="000000"/>
              <w:right w:val="single" w:sz="4" w:space="0" w:color="000000"/>
            </w:tcBorders>
            <w:vAlign w:val="center"/>
          </w:tcPr>
          <w:p w14:paraId="5E2E8005"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0.044</w:t>
            </w:r>
          </w:p>
        </w:tc>
        <w:tc>
          <w:tcPr>
            <w:tcW w:w="763" w:type="dxa"/>
            <w:tcBorders>
              <w:top w:val="single" w:sz="4" w:space="0" w:color="000000"/>
              <w:left w:val="single" w:sz="4" w:space="0" w:color="000000"/>
              <w:bottom w:val="single" w:sz="4" w:space="0" w:color="000000"/>
              <w:right w:val="single" w:sz="4" w:space="0" w:color="000000"/>
            </w:tcBorders>
            <w:vAlign w:val="center"/>
          </w:tcPr>
          <w:p w14:paraId="38F2300F"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0.044</w:t>
            </w:r>
          </w:p>
        </w:tc>
        <w:tc>
          <w:tcPr>
            <w:tcW w:w="763" w:type="dxa"/>
            <w:tcBorders>
              <w:top w:val="single" w:sz="4" w:space="0" w:color="000000"/>
              <w:left w:val="single" w:sz="4" w:space="0" w:color="000000"/>
              <w:bottom w:val="single" w:sz="4" w:space="0" w:color="000000"/>
              <w:right w:val="single" w:sz="4" w:space="0" w:color="000000"/>
            </w:tcBorders>
            <w:vAlign w:val="center"/>
          </w:tcPr>
          <w:p w14:paraId="3E2A8D09"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0.041</w:t>
            </w:r>
          </w:p>
        </w:tc>
        <w:tc>
          <w:tcPr>
            <w:tcW w:w="803" w:type="dxa"/>
            <w:tcBorders>
              <w:top w:val="single" w:sz="4" w:space="0" w:color="000000"/>
              <w:left w:val="single" w:sz="4" w:space="0" w:color="000000"/>
              <w:bottom w:val="single" w:sz="4" w:space="0" w:color="000000"/>
              <w:right w:val="single" w:sz="4" w:space="0" w:color="000000"/>
            </w:tcBorders>
            <w:vAlign w:val="center"/>
          </w:tcPr>
          <w:p w14:paraId="01716718"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0.043</w:t>
            </w:r>
          </w:p>
        </w:tc>
        <w:tc>
          <w:tcPr>
            <w:tcW w:w="756" w:type="dxa"/>
            <w:tcBorders>
              <w:top w:val="single" w:sz="4" w:space="0" w:color="000000"/>
              <w:left w:val="single" w:sz="4" w:space="0" w:color="000000"/>
              <w:bottom w:val="single" w:sz="4" w:space="0" w:color="000000"/>
              <w:right w:val="single" w:sz="4" w:space="0" w:color="000000"/>
            </w:tcBorders>
            <w:vAlign w:val="center"/>
          </w:tcPr>
          <w:p w14:paraId="768CA881"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0.002</w:t>
            </w:r>
          </w:p>
        </w:tc>
        <w:tc>
          <w:tcPr>
            <w:tcW w:w="1315" w:type="dxa"/>
            <w:tcBorders>
              <w:top w:val="single" w:sz="4" w:space="0" w:color="000000"/>
              <w:left w:val="single" w:sz="4" w:space="0" w:color="000000"/>
              <w:bottom w:val="single" w:sz="4" w:space="0" w:color="000000"/>
              <w:right w:val="single" w:sz="4" w:space="0" w:color="000000"/>
            </w:tcBorders>
            <w:vAlign w:val="center"/>
          </w:tcPr>
          <w:p w14:paraId="0D296430" w14:textId="77777777" w:rsidR="00FE19D9" w:rsidRPr="00565953" w:rsidRDefault="00C45F0A" w:rsidP="00112EA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20.81</w:t>
            </w:r>
          </w:p>
        </w:tc>
      </w:tr>
    </w:tbl>
    <w:p w14:paraId="678F23EB" w14:textId="77777777" w:rsidR="00FE19D9" w:rsidRPr="00565953" w:rsidRDefault="00FE19D9" w:rsidP="00112EA7">
      <w:pPr>
        <w:spacing w:line="480" w:lineRule="auto"/>
        <w:rPr>
          <w:rFonts w:ascii="Times New Roman" w:eastAsia="Times New Roman" w:hAnsi="Times New Roman" w:cs="Times New Roman"/>
          <w:b/>
          <w:sz w:val="24"/>
          <w:szCs w:val="24"/>
        </w:rPr>
      </w:pPr>
    </w:p>
    <w:p w14:paraId="7961CB5B" w14:textId="77777777"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Graphical presentation of data</w:t>
      </w:r>
    </w:p>
    <w:p w14:paraId="37C34BDC" w14:textId="6D4BA0A4" w:rsidR="00FE19D9" w:rsidRPr="00565953" w:rsidRDefault="00621E09"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Graphical presentation of Absorbance, % Viability for the vehicle, positive control, and test </w:t>
      </w:r>
      <w:proofErr w:type="spellStart"/>
      <w:r w:rsidRPr="00565953">
        <w:rPr>
          <w:rFonts w:ascii="Times New Roman" w:eastAsia="Times New Roman" w:hAnsi="Times New Roman" w:cs="Times New Roman"/>
          <w:sz w:val="24"/>
          <w:szCs w:val="24"/>
        </w:rPr>
        <w:t>tem</w:t>
      </w:r>
      <w:proofErr w:type="spellEnd"/>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extract </w:t>
      </w:r>
    </w:p>
    <w:p w14:paraId="5A41FCAE" w14:textId="2E31C04C"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                            </w:t>
      </w:r>
    </w:p>
    <w:p w14:paraId="30877D2C" w14:textId="095E99B6" w:rsidR="00FE19D9" w:rsidRPr="00565953" w:rsidRDefault="00B44B56" w:rsidP="00112EA7">
      <w:pPr>
        <w:spacing w:line="480" w:lineRule="auto"/>
        <w:rPr>
          <w:rFonts w:ascii="Times New Roman" w:eastAsia="Times New Roman" w:hAnsi="Times New Roman" w:cs="Times New Roman"/>
          <w:b/>
          <w:sz w:val="24"/>
          <w:szCs w:val="24"/>
        </w:rPr>
      </w:pPr>
      <w:r w:rsidRPr="00565953">
        <w:rPr>
          <w:noProof/>
          <w:lang w:val="en-US" w:eastAsia="en-US" w:bidi="ar-SA"/>
        </w:rPr>
        <w:lastRenderedPageBreak/>
        <w:drawing>
          <wp:anchor distT="0" distB="0" distL="114300" distR="114300" simplePos="0" relativeHeight="251658240" behindDoc="0" locked="0" layoutInCell="1" hidden="0" allowOverlap="1" wp14:anchorId="68ACB1A6" wp14:editId="224857E1">
            <wp:simplePos x="0" y="0"/>
            <wp:positionH relativeFrom="column">
              <wp:posOffset>121920</wp:posOffset>
            </wp:positionH>
            <wp:positionV relativeFrom="paragraph">
              <wp:posOffset>22860</wp:posOffset>
            </wp:positionV>
            <wp:extent cx="5204460" cy="2827020"/>
            <wp:effectExtent l="0" t="0" r="0" b="0"/>
            <wp:wrapSquare wrapText="bothSides" distT="0" distB="0" distL="114300" distR="114300"/>
            <wp:docPr id="213596769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5204460" cy="2827020"/>
                    </a:xfrm>
                    <a:prstGeom prst="rect">
                      <a:avLst/>
                    </a:prstGeom>
                    <a:ln/>
                  </pic:spPr>
                </pic:pic>
              </a:graphicData>
            </a:graphic>
            <wp14:sizeRelH relativeFrom="margin">
              <wp14:pctWidth>0</wp14:pctWidth>
            </wp14:sizeRelH>
            <wp14:sizeRelV relativeFrom="margin">
              <wp14:pctHeight>0</wp14:pctHeight>
            </wp14:sizeRelV>
          </wp:anchor>
        </w:drawing>
      </w:r>
    </w:p>
    <w:p w14:paraId="58D9D248" w14:textId="77777777" w:rsidR="00FE19D9" w:rsidRPr="00565953" w:rsidRDefault="00FE19D9" w:rsidP="00112EA7">
      <w:pPr>
        <w:spacing w:line="480" w:lineRule="auto"/>
        <w:rPr>
          <w:rFonts w:ascii="Times New Roman" w:eastAsia="Times New Roman" w:hAnsi="Times New Roman" w:cs="Times New Roman"/>
          <w:b/>
          <w:sz w:val="24"/>
          <w:szCs w:val="24"/>
        </w:rPr>
      </w:pPr>
    </w:p>
    <w:p w14:paraId="3764F111"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br/>
      </w:r>
    </w:p>
    <w:p w14:paraId="3680FC02"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                              </w:t>
      </w:r>
    </w:p>
    <w:p w14:paraId="0D50A29C" w14:textId="77777777" w:rsidR="00FE19D9" w:rsidRPr="00565953" w:rsidRDefault="00FE19D9" w:rsidP="00112EA7">
      <w:pPr>
        <w:spacing w:line="480" w:lineRule="auto"/>
        <w:rPr>
          <w:rFonts w:ascii="Times New Roman" w:eastAsia="Times New Roman" w:hAnsi="Times New Roman" w:cs="Times New Roman"/>
          <w:sz w:val="24"/>
          <w:szCs w:val="24"/>
        </w:rPr>
      </w:pPr>
    </w:p>
    <w:p w14:paraId="697AF1E4" w14:textId="77777777" w:rsidR="00FE19D9" w:rsidRPr="00565953" w:rsidRDefault="00FE19D9" w:rsidP="00112EA7">
      <w:pPr>
        <w:widowControl w:val="0"/>
        <w:spacing w:line="480" w:lineRule="auto"/>
        <w:rPr>
          <w:rFonts w:ascii="Times New Roman" w:eastAsia="Times New Roman" w:hAnsi="Times New Roman" w:cs="Times New Roman"/>
          <w:b/>
          <w:sz w:val="24"/>
          <w:szCs w:val="24"/>
        </w:rPr>
      </w:pPr>
    </w:p>
    <w:p w14:paraId="2C9EB303" w14:textId="77777777" w:rsidR="00FE19D9" w:rsidRPr="00565953" w:rsidRDefault="00C45F0A" w:rsidP="00112EA7">
      <w:pPr>
        <w:widowControl w:val="0"/>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Figure 1: </w:t>
      </w:r>
      <w:r w:rsidRPr="00565953">
        <w:rPr>
          <w:rFonts w:ascii="Times New Roman" w:eastAsia="Times New Roman" w:hAnsi="Times New Roman" w:cs="Times New Roman"/>
          <w:sz w:val="24"/>
          <w:szCs w:val="24"/>
        </w:rPr>
        <w:t xml:space="preserve">Graphical presentation of % viability of test item-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 and standard Capecitabine </w:t>
      </w:r>
    </w:p>
    <w:p w14:paraId="5F46453E" w14:textId="7761BE81" w:rsidR="00FE19D9" w:rsidRPr="00565953" w:rsidRDefault="00C45F0A" w:rsidP="00112EA7">
      <w:pPr>
        <w:widowControl w:val="0"/>
        <w:shd w:val="clear" w:color="auto" w:fill="FFFFFF"/>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graph provides an easy graphical comparison of the impact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 on cancer cell viability with respect to the control drug Capecitabine. Consistent with expectation, Capecitabine demonstrated high cytotoxicity with decreasing cell survival. Surprisingly, even </w:t>
      </w:r>
      <w:r w:rsidRPr="00565953">
        <w:rPr>
          <w:rFonts w:ascii="Times New Roman" w:eastAsia="Times New Roman" w:hAnsi="Times New Roman" w:cs="Times New Roman"/>
          <w:i/>
          <w:sz w:val="24"/>
          <w:szCs w:val="24"/>
        </w:rPr>
        <w:t>C. decidua</w:t>
      </w:r>
      <w:r w:rsidRPr="00565953">
        <w:rPr>
          <w:rFonts w:ascii="Times New Roman" w:eastAsia="Times New Roman" w:hAnsi="Times New Roman" w:cs="Times New Roman"/>
          <w:sz w:val="24"/>
          <w:szCs w:val="24"/>
        </w:rPr>
        <w:t xml:space="preserve"> significantly reduced cell viability, particularly at higher concentrations—nearly similar to that of comparable to that of Capecitabine control drug. This would indicate that the plant extract potentially has genuine potential as a natural anti-cancer drug, demonstrating both cytotoxic and potential anti-angiogenic activity that is worthy of further investigation.</w:t>
      </w:r>
    </w:p>
    <w:p w14:paraId="66AC162B" w14:textId="77777777"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Photographic support (Figures 2) recorded morphological alterations in cell structures and decreases in cell populations at high extract concentrations, indicative of the quantitative results.</w:t>
      </w:r>
    </w:p>
    <w:p w14:paraId="72DB6781" w14:textId="77777777" w:rsidR="00FE19D9" w:rsidRPr="00565953" w:rsidRDefault="00C45F0A" w:rsidP="00112EA7">
      <w:pPr>
        <w:spacing w:line="48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noProof/>
          <w:sz w:val="24"/>
          <w:szCs w:val="24"/>
          <w:lang w:val="en-US" w:eastAsia="en-US" w:bidi="ar-SA"/>
        </w:rPr>
        <w:lastRenderedPageBreak/>
        <w:drawing>
          <wp:inline distT="114300" distB="114300" distL="114300" distR="114300" wp14:anchorId="5483649B" wp14:editId="07DAC9AF">
            <wp:extent cx="5753100" cy="6477000"/>
            <wp:effectExtent l="0" t="0" r="0" b="0"/>
            <wp:docPr id="21359676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9"/>
                    <a:srcRect l="12840" r="11820"/>
                    <a:stretch>
                      <a:fillRect/>
                    </a:stretch>
                  </pic:blipFill>
                  <pic:spPr bwMode="auto">
                    <a:xfrm>
                      <a:off x="0" y="0"/>
                      <a:ext cx="5754109" cy="6478136"/>
                    </a:xfrm>
                    <a:prstGeom prst="rect">
                      <a:avLst/>
                    </a:prstGeom>
                    <a:ln>
                      <a:noFill/>
                    </a:ln>
                    <a:extLst>
                      <a:ext uri="{53640926-AAD7-44D8-BBD7-CCE9431645EC}">
                        <a14:shadowObscured xmlns:a14="http://schemas.microsoft.com/office/drawing/2010/main"/>
                      </a:ext>
                    </a:extLst>
                  </pic:spPr>
                </pic:pic>
              </a:graphicData>
            </a:graphic>
          </wp:inline>
        </w:drawing>
      </w:r>
    </w:p>
    <w:p w14:paraId="429336C1" w14:textId="172E39A8"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Figure 2 </w:t>
      </w:r>
      <w:r w:rsidRPr="00565953">
        <w:rPr>
          <w:rFonts w:ascii="Times New Roman" w:eastAsia="Times New Roman" w:hAnsi="Times New Roman" w:cs="Times New Roman"/>
          <w:sz w:val="24"/>
          <w:szCs w:val="24"/>
        </w:rPr>
        <w:t xml:space="preserve">Morphological alterations in cell structures at near </w:t>
      </w:r>
      <w:proofErr w:type="gramStart"/>
      <w:r w:rsidRPr="00565953">
        <w:rPr>
          <w:rFonts w:ascii="Times New Roman" w:eastAsia="Times New Roman" w:hAnsi="Times New Roman" w:cs="Times New Roman"/>
          <w:sz w:val="24"/>
          <w:szCs w:val="24"/>
        </w:rPr>
        <w:t>it’s  IC</w:t>
      </w:r>
      <w:proofErr w:type="gramEnd"/>
      <w:r w:rsidRPr="00565953">
        <w:rPr>
          <w:rFonts w:ascii="Times New Roman" w:eastAsia="Times New Roman" w:hAnsi="Times New Roman" w:cs="Times New Roman"/>
          <w:sz w:val="24"/>
          <w:szCs w:val="24"/>
        </w:rPr>
        <w:t xml:space="preserve">₅₀ . </w:t>
      </w:r>
      <w:r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sz w:val="24"/>
          <w:szCs w:val="24"/>
        </w:rPr>
        <w:t xml:space="preserve">VC (Vehicle Control), </w:t>
      </w:r>
      <w:r w:rsidRPr="00565953">
        <w:rPr>
          <w:rFonts w:ascii="Times New Roman" w:eastAsia="Times New Roman" w:hAnsi="Times New Roman" w:cs="Times New Roman"/>
          <w:iCs/>
          <w:sz w:val="24"/>
          <w:szCs w:val="24"/>
        </w:rPr>
        <w:t xml:space="preserve">Cd </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and PC (Positive Control Capecitabine)</w:t>
      </w:r>
    </w:p>
    <w:p w14:paraId="24A85C16" w14:textId="77777777" w:rsidR="00FE19D9" w:rsidRPr="00565953" w:rsidRDefault="00FE19D9" w:rsidP="00112EA7">
      <w:pPr>
        <w:spacing w:line="480" w:lineRule="auto"/>
        <w:rPr>
          <w:rFonts w:ascii="Times New Roman" w:eastAsia="Times New Roman" w:hAnsi="Times New Roman" w:cs="Times New Roman"/>
          <w:sz w:val="24"/>
          <w:szCs w:val="24"/>
        </w:rPr>
      </w:pPr>
    </w:p>
    <w:p w14:paraId="69E186E4" w14:textId="77777777" w:rsidR="00FE19D9" w:rsidRPr="00565953" w:rsidRDefault="00C45F0A" w:rsidP="00112EA7">
      <w:pPr>
        <w:spacing w:before="240" w:after="24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lastRenderedPageBreak/>
        <w:t xml:space="preserve">The present study demonstrated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 exhibits significant antiangiogenic activity in a dose-dependent manner, as observed through both quantitative data (antiangiogenic indices) and qualitative photographic documentation. The test extract, particularly at 50 µg/egg and 25 µg/egg, showed inhibition of blood vessel formation comparable to the standard drug 5-fluorouracil at 10 µg/egg and 5 µg/egg, respectively. These findings suggest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contains bioactive constituents capable of suppressing angiogenesis, making it a promising candidate for further exploration as a natural antiangiogenic agent. This potential may be of therapeutic interest in the treatment of angiogenesis-dependent diseases such as cancer, diabetic retinopathy, and rheumatoid arthritis. However, further investigations, including phytochemical analysis, in vivo studies, and mechanistic evaluations, are warranted to establish its therapeutic potential and safety profile fully.</w:t>
      </w:r>
    </w:p>
    <w:p w14:paraId="0C00BCF0" w14:textId="77777777" w:rsidR="00FE19D9" w:rsidRPr="00565953" w:rsidRDefault="00C45F0A" w:rsidP="0096016C">
      <w:pPr>
        <w:pStyle w:val="ListParagraph"/>
        <w:numPr>
          <w:ilvl w:val="0"/>
          <w:numId w:val="15"/>
        </w:num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In Vivo Model-Antiangiogenic Study</w:t>
      </w:r>
    </w:p>
    <w:p w14:paraId="135CEA14" w14:textId="77777777" w:rsidR="00FE19D9" w:rsidRPr="00565953" w:rsidRDefault="00C45F0A" w:rsidP="00112EA7">
      <w:pPr>
        <w:spacing w:after="0"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The anti-angiogenic activity of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extract was determined by the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(CAM) assay. Tertiary and quaternary blood vessel counts were performed after treatment, and the antiangiogenic index was computed (Table 3). At concentrations of 12.5, 25, and 50 µg/egg, the extract was highly anti-angiogenic, with indices of 45.24, 61.31, and 62.50, respectively. These are in line with that of the positive control, 5-fluorouracil, with antiangiogenic indices of 63.10 (10 µg/egg), 52.98 (5 µg/egg), 47.02 (2.5 µg/egg), and 44.05 (1.25 µg/egg). The nearly identical antiangiogenic indices point to the fact that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extract potently inhibits neovascularisation in a dose-dependent manner. </w:t>
      </w:r>
    </w:p>
    <w:p w14:paraId="6E8CBF27" w14:textId="247AF862"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Representative photographs (Figures 3</w:t>
      </w:r>
      <w:r w:rsidR="00DF072C" w:rsidRPr="00565953">
        <w:rPr>
          <w:rFonts w:ascii="Times New Roman" w:eastAsia="Times New Roman" w:hAnsi="Times New Roman" w:cs="Times New Roman"/>
          <w:sz w:val="24"/>
          <w:szCs w:val="24"/>
        </w:rPr>
        <w:t>a-h</w:t>
      </w:r>
      <w:r w:rsidRPr="00565953">
        <w:rPr>
          <w:rFonts w:ascii="Times New Roman" w:eastAsia="Times New Roman" w:hAnsi="Times New Roman" w:cs="Times New Roman"/>
          <w:sz w:val="24"/>
          <w:szCs w:val="24"/>
        </w:rPr>
        <w:t>) visually verify decreased blood vessel formation, supporting the extract's antiangiogenic effectiveness.</w:t>
      </w:r>
    </w:p>
    <w:p w14:paraId="288E3CB9" w14:textId="730BF501"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lastRenderedPageBreak/>
        <w:t xml:space="preserve">Table No. 3 </w:t>
      </w:r>
      <w:r w:rsidRPr="00565953">
        <w:rPr>
          <w:rFonts w:ascii="Times New Roman" w:eastAsia="Times New Roman" w:hAnsi="Times New Roman" w:cs="Times New Roman"/>
          <w:sz w:val="24"/>
          <w:szCs w:val="24"/>
        </w:rPr>
        <w:t xml:space="preserve">Number of tertiary and quaternary vessels, antiangiogenic index for positive control and test extract </w:t>
      </w:r>
      <w:r w:rsidRPr="00565953">
        <w:rPr>
          <w:rFonts w:ascii="Times New Roman" w:eastAsia="Times New Roman" w:hAnsi="Times New Roman" w:cs="Times New Roman"/>
          <w:b/>
          <w:i/>
          <w:sz w:val="24"/>
          <w:szCs w:val="24"/>
        </w:rPr>
        <w:t xml:space="preserve">Capparis decidua </w:t>
      </w:r>
    </w:p>
    <w:tbl>
      <w:tblPr>
        <w:tblStyle w:val="a1"/>
        <w:tblW w:w="9285" w:type="dxa"/>
        <w:tblLayout w:type="fixed"/>
        <w:tblLook w:val="0400" w:firstRow="0" w:lastRow="0" w:firstColumn="0" w:lastColumn="0" w:noHBand="0" w:noVBand="1"/>
      </w:tblPr>
      <w:tblGrid>
        <w:gridCol w:w="983"/>
        <w:gridCol w:w="712"/>
        <w:gridCol w:w="435"/>
        <w:gridCol w:w="435"/>
        <w:gridCol w:w="435"/>
        <w:gridCol w:w="435"/>
        <w:gridCol w:w="435"/>
        <w:gridCol w:w="495"/>
        <w:gridCol w:w="495"/>
        <w:gridCol w:w="495"/>
        <w:gridCol w:w="495"/>
        <w:gridCol w:w="495"/>
        <w:gridCol w:w="750"/>
        <w:gridCol w:w="975"/>
        <w:gridCol w:w="1215"/>
      </w:tblGrid>
      <w:tr w:rsidR="00FE19D9" w:rsidRPr="00565953" w14:paraId="26983013" w14:textId="77777777" w:rsidTr="003F7E02">
        <w:trPr>
          <w:trHeight w:val="89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C3AE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Group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D9F5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Conc. </w:t>
            </w:r>
          </w:p>
          <w:p w14:paraId="4C47A9F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µg/  </w:t>
            </w:r>
          </w:p>
          <w:p w14:paraId="7451751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egg</w:t>
            </w:r>
          </w:p>
        </w:tc>
        <w:tc>
          <w:tcPr>
            <w:tcW w:w="21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63BA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No. Tertiary vessels </w:t>
            </w:r>
          </w:p>
        </w:tc>
        <w:tc>
          <w:tcPr>
            <w:tcW w:w="247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ACA4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No. Quaternary vessels </w:t>
            </w:r>
          </w:p>
        </w:tc>
        <w:tc>
          <w:tcPr>
            <w:tcW w:w="7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F25E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Sum </w:t>
            </w:r>
          </w:p>
        </w:tc>
        <w:tc>
          <w:tcPr>
            <w:tcW w:w="9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E623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Avg. </w:t>
            </w:r>
          </w:p>
        </w:tc>
        <w:tc>
          <w:tcPr>
            <w:tcW w:w="12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ABA8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Anti </w:t>
            </w:r>
          </w:p>
          <w:p w14:paraId="1A2207F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Angiogenic Index</w:t>
            </w:r>
          </w:p>
        </w:tc>
      </w:tr>
      <w:tr w:rsidR="00FE19D9" w:rsidRPr="00565953" w14:paraId="017FEAF3" w14:textId="77777777" w:rsidTr="003F7E02">
        <w:trPr>
          <w:trHeight w:val="689"/>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91C3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Rep.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C8FF2" w14:textId="77777777" w:rsidR="00FE19D9" w:rsidRPr="00565953" w:rsidRDefault="00FE19D9"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B1D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A17AB"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AECC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AC9F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3C93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A7EB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C46D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6727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1CFD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037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w:t>
            </w:r>
          </w:p>
        </w:tc>
        <w:tc>
          <w:tcPr>
            <w:tcW w:w="75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066D3" w14:textId="77777777" w:rsidR="00FE19D9" w:rsidRPr="00565953" w:rsidRDefault="00FE19D9" w:rsidP="00B44B5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5B2DA" w14:textId="77777777" w:rsidR="00FE19D9" w:rsidRPr="00565953" w:rsidRDefault="00FE19D9" w:rsidP="00B44B5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21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B14F6" w14:textId="77777777" w:rsidR="00FE19D9" w:rsidRPr="00565953" w:rsidRDefault="00FE19D9" w:rsidP="00B44B5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E19D9" w:rsidRPr="00565953" w14:paraId="6B3669F4"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52DF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NC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2283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D9B2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5652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6886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B74D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F2AE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D0FD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4BE7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802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0E08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1FB3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31 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EA5C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168 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B6DE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33.6 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34AB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w:t>
            </w:r>
          </w:p>
        </w:tc>
      </w:tr>
      <w:tr w:rsidR="00FE19D9" w:rsidRPr="00565953" w14:paraId="271D4AE5"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BB22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F1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F17A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A469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202A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D135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CCE4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3089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D273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5BF0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13 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E077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0781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B850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B881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62 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050F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12.4 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FDF1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63.10</w:t>
            </w:r>
          </w:p>
        </w:tc>
      </w:tr>
      <w:tr w:rsidR="00FE19D9" w:rsidRPr="00565953" w14:paraId="4A440536"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F041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F2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DACF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1772B"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574A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80D5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3CB8B"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47BA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8553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9E48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0650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FDB6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040E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11 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6B2E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79 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9878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15.8 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22B4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52.98</w:t>
            </w:r>
          </w:p>
        </w:tc>
      </w:tr>
      <w:tr w:rsidR="00FE19D9" w:rsidRPr="00565953" w14:paraId="00FC80C0"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8B31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F3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B8EB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DD02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7365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BAC9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8538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8360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CC2C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8C37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1F025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9D5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2EF3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0259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89 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DE69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17.8 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3400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47.02</w:t>
            </w:r>
          </w:p>
        </w:tc>
      </w:tr>
      <w:tr w:rsidR="00FE19D9" w:rsidRPr="00565953" w14:paraId="59E17A59"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3F36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PC- F4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CC1D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4D57C"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EA60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3316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C243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681B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A14C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B057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22 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D2F1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13 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3B00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4414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14 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900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94 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176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18.8 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0881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44.05</w:t>
            </w:r>
          </w:p>
        </w:tc>
      </w:tr>
      <w:tr w:rsidR="00FE19D9" w:rsidRPr="00565953" w14:paraId="24416835"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F97A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TI-F1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A9E8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50 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0F40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F10A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EBB8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CC9E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3 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9EAE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44BF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11 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26212"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940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03BB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FF1B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8B43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63 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6D82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12.6 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E59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62.50</w:t>
            </w:r>
          </w:p>
        </w:tc>
      </w:tr>
      <w:tr w:rsidR="00FE19D9" w:rsidRPr="00565953" w14:paraId="2877195C" w14:textId="77777777" w:rsidTr="003F7E02">
        <w:trPr>
          <w:trHeight w:val="61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7703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TI-F2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A2D8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16BA3"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0CA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144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18AEF"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BB54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68FC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6B29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F0B7A"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8040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EC5E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9F3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65 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30A86"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13 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79D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61.31</w:t>
            </w:r>
          </w:p>
        </w:tc>
      </w:tr>
      <w:tr w:rsidR="00FE19D9" w:rsidRPr="00565953" w14:paraId="4C05B71F" w14:textId="77777777" w:rsidTr="003F7E02">
        <w:trPr>
          <w:trHeight w:val="141"/>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4993D"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TI-F3 </w:t>
            </w:r>
          </w:p>
        </w:tc>
        <w:tc>
          <w:tcPr>
            <w:tcW w:w="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7A98E"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12.5</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071C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878F7"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567A1"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5974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5 </w:t>
            </w:r>
          </w:p>
        </w:tc>
        <w:tc>
          <w:tcPr>
            <w:tcW w:w="4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8F30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E03FE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FDA55"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7B3D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11 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A109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15 </w:t>
            </w:r>
          </w:p>
        </w:tc>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95D9"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12 </w:t>
            </w:r>
          </w:p>
        </w:tc>
        <w:tc>
          <w:tcPr>
            <w:tcW w:w="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07EA0"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92 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67CF8"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18.4 </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4FC74" w14:textId="77777777" w:rsidR="00FE19D9" w:rsidRPr="00565953" w:rsidRDefault="00C45F0A" w:rsidP="00B44B5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45.24</w:t>
            </w:r>
          </w:p>
        </w:tc>
      </w:tr>
    </w:tbl>
    <w:p w14:paraId="7A64CE8C" w14:textId="77777777"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Rep.: Replicate; NC: Negative control; PC: Positive control; F: Formulation; TI: Test item. By comparison, the standard drug 5-fluorouracil showed antiangiogenic indices of 63.10, 52.98, 47.02, and 44.05 at respective doses of 10, 5, 2.5, and 1.25 µg per egg.</w:t>
      </w:r>
    </w:p>
    <w:p w14:paraId="0854BDE2" w14:textId="77777777" w:rsidR="00FE19D9" w:rsidRPr="00565953" w:rsidRDefault="00C45F0A" w:rsidP="00112EA7">
      <w:pPr>
        <w:pStyle w:val="Heading3"/>
        <w:keepNext w:val="0"/>
        <w:keepLines w:val="0"/>
        <w:spacing w:before="280" w:after="80" w:line="480" w:lineRule="auto"/>
        <w:jc w:val="both"/>
        <w:rPr>
          <w:rFonts w:ascii="Times New Roman" w:eastAsia="Times New Roman" w:hAnsi="Times New Roman" w:cs="Times New Roman"/>
          <w:color w:val="000000"/>
        </w:rPr>
      </w:pPr>
      <w:bookmarkStart w:id="3" w:name="_heading=h.2eg7q6x24rg2" w:colFirst="0" w:colLast="0"/>
      <w:bookmarkEnd w:id="3"/>
      <w:r w:rsidRPr="00565953">
        <w:rPr>
          <w:rFonts w:ascii="Times New Roman" w:eastAsia="Times New Roman" w:hAnsi="Times New Roman" w:cs="Times New Roman"/>
          <w:color w:val="000000"/>
        </w:rPr>
        <w:t xml:space="preserve">Table 3, results show the antiangiogenic activity of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(Test Item, TI) in different concentrations (50 µg, 25 µg, and 12.5 µg per egg) in comparison to the reference </w:t>
      </w:r>
      <w:r w:rsidRPr="00565953">
        <w:rPr>
          <w:rFonts w:ascii="Times New Roman" w:eastAsia="Times New Roman" w:hAnsi="Times New Roman" w:cs="Times New Roman"/>
          <w:color w:val="000000"/>
        </w:rPr>
        <w:lastRenderedPageBreak/>
        <w:t xml:space="preserve">chemotherapeutic drug 5-fluorouracil (Positive Control, PC) and a Negative Control (NC). In the negative control, there was normal vessel development with a mean number of vessels (tertiary plus quaternary) of 33.6. No antiangiogenic activity was expected as well as noted in this group, and the antiangiogenic index was not applicable. The positive control, 5-fluorouracil, showed evident dose-dependent inhibition of angiogenesis. The highest dose of 10 µg/egg (PC-F1) showed the highest antiangiogenic index of 63.10, reflecting maximum suppression of new vessel growth. With decreasing doses, the antiangiogenic index also decreased—52.98 at 5 µg/egg (PC-F2), 47.02 at 2.5 µg/egg (PC-F3), and 44.05 at the lowest level of 1.25 µg/egg (PC-F4), affirming the concentration-dependent nature of its antiangiogenic activity. Likewise,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was found to possess a dose-dependent antiangiogenic activity. At the highest tested dose (50 µg/egg, TI-F1), the extract had an antiangiogenic index of 62.50, which closely </w:t>
      </w:r>
      <w:proofErr w:type="spellStart"/>
      <w:r w:rsidRPr="00565953">
        <w:rPr>
          <w:rFonts w:ascii="Times New Roman" w:eastAsia="Times New Roman" w:hAnsi="Times New Roman" w:cs="Times New Roman"/>
          <w:color w:val="000000"/>
        </w:rPr>
        <w:t>equaled</w:t>
      </w:r>
      <w:proofErr w:type="spellEnd"/>
      <w:r w:rsidRPr="00565953">
        <w:rPr>
          <w:rFonts w:ascii="Times New Roman" w:eastAsia="Times New Roman" w:hAnsi="Times New Roman" w:cs="Times New Roman"/>
          <w:color w:val="000000"/>
        </w:rPr>
        <w:t xml:space="preserve"> that of the standard drug at 10 µg/egg. At 25 µg/egg (TI-F2), the index was high at 61.31, which indicated high inhibition of vascular growth. At the lowest tested dose (12.5 µg/egg, TI-F3), the index reduced to 45.24, reflecting lower but still significant antiangiogenic activity. Comparison between test item and the positive control indicates that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at 50 µg/egg is almost as potent as 5-fluorouracil at 10 µg/egg in inhibiting angiogenesis. At even 25 µg/egg, the extract showed antiangiogenic activity on par with intermediate doses of the reference drug, highlighting its prospect as a natural inhibitor of angiogenesis. These results as a whole indicate that </w:t>
      </w:r>
      <w:r w:rsidRPr="00565953">
        <w:rPr>
          <w:rFonts w:ascii="Times New Roman" w:eastAsia="Times New Roman" w:hAnsi="Times New Roman" w:cs="Times New Roman"/>
          <w:i/>
          <w:color w:val="000000"/>
        </w:rPr>
        <w:t>Capparis decidua</w:t>
      </w:r>
      <w:r w:rsidRPr="00565953">
        <w:rPr>
          <w:rFonts w:ascii="Times New Roman" w:eastAsia="Times New Roman" w:hAnsi="Times New Roman" w:cs="Times New Roman"/>
          <w:color w:val="000000"/>
        </w:rPr>
        <w:t xml:space="preserve"> extract has impressive antiangiogenic activity in a dose-dependent pattern. Its similarity to 5-fluorouracil at higher concentrations indicates its potential as a drug candidate for targeting angiogenesis, a critical process in </w:t>
      </w:r>
      <w:proofErr w:type="spellStart"/>
      <w:r w:rsidRPr="00565953">
        <w:rPr>
          <w:rFonts w:ascii="Times New Roman" w:eastAsia="Times New Roman" w:hAnsi="Times New Roman" w:cs="Times New Roman"/>
          <w:color w:val="000000"/>
        </w:rPr>
        <w:t>tumor</w:t>
      </w:r>
      <w:proofErr w:type="spellEnd"/>
      <w:r w:rsidRPr="00565953">
        <w:rPr>
          <w:rFonts w:ascii="Times New Roman" w:eastAsia="Times New Roman" w:hAnsi="Times New Roman" w:cs="Times New Roman"/>
          <w:color w:val="000000"/>
        </w:rPr>
        <w:t xml:space="preserve"> progression and metastasis. Additional investigation into its mode of action and confirmation by in vivo models would be necessary to determine its potential in breast cancer treatment.</w:t>
      </w:r>
    </w:p>
    <w:tbl>
      <w:tblPr>
        <w:tblStyle w:val="a2"/>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510"/>
      </w:tblGrid>
      <w:tr w:rsidR="00FE19D9" w:rsidRPr="00565953" w14:paraId="1A255E81" w14:textId="77777777">
        <w:trPr>
          <w:trHeight w:val="3112"/>
        </w:trPr>
        <w:tc>
          <w:tcPr>
            <w:tcW w:w="4508" w:type="dxa"/>
            <w:tcBorders>
              <w:top w:val="single" w:sz="4" w:space="0" w:color="000000"/>
              <w:left w:val="single" w:sz="4" w:space="0" w:color="000000"/>
              <w:bottom w:val="single" w:sz="4" w:space="0" w:color="000000"/>
              <w:right w:val="single" w:sz="4" w:space="0" w:color="000000"/>
            </w:tcBorders>
          </w:tcPr>
          <w:p w14:paraId="034E7E4D"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lastRenderedPageBreak/>
              <w:drawing>
                <wp:inline distT="0" distB="0" distL="0" distR="0" wp14:anchorId="49A4D12B" wp14:editId="52F92D85">
                  <wp:extent cx="2217420" cy="1790700"/>
                  <wp:effectExtent l="0" t="0" r="0" b="0"/>
                  <wp:docPr id="21359676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17420" cy="17907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755006E4"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3C542B6C" wp14:editId="04129B7D">
                  <wp:extent cx="2240280" cy="1790700"/>
                  <wp:effectExtent l="0" t="0" r="0" b="0"/>
                  <wp:docPr id="213596768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240280" cy="1790700"/>
                          </a:xfrm>
                          <a:prstGeom prst="rect">
                            <a:avLst/>
                          </a:prstGeom>
                          <a:ln/>
                        </pic:spPr>
                      </pic:pic>
                    </a:graphicData>
                  </a:graphic>
                </wp:inline>
              </w:drawing>
            </w:r>
          </w:p>
        </w:tc>
      </w:tr>
      <w:tr w:rsidR="00FE19D9" w:rsidRPr="00565953" w14:paraId="65887DE1" w14:textId="77777777">
        <w:trPr>
          <w:trHeight w:val="292"/>
        </w:trPr>
        <w:tc>
          <w:tcPr>
            <w:tcW w:w="4508" w:type="dxa"/>
            <w:tcBorders>
              <w:top w:val="single" w:sz="4" w:space="0" w:color="000000"/>
              <w:left w:val="single" w:sz="4" w:space="0" w:color="000000"/>
              <w:bottom w:val="single" w:sz="4" w:space="0" w:color="000000"/>
              <w:right w:val="single" w:sz="4" w:space="0" w:color="000000"/>
            </w:tcBorders>
          </w:tcPr>
          <w:p w14:paraId="26A74738" w14:textId="2E2E27E3" w:rsidR="00FE19D9" w:rsidRPr="00565953" w:rsidRDefault="00C45F0A"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w:t>
            </w:r>
            <w:r w:rsidR="003B3444" w:rsidRPr="00565953">
              <w:rPr>
                <w:rFonts w:ascii="Times New Roman" w:eastAsia="Times New Roman" w:hAnsi="Times New Roman" w:cs="Times New Roman"/>
                <w:b/>
                <w:sz w:val="24"/>
                <w:szCs w:val="24"/>
              </w:rPr>
              <w:t xml:space="preserve"> (</w:t>
            </w:r>
            <w:r w:rsidR="00C64B34" w:rsidRPr="00565953">
              <w:rPr>
                <w:rFonts w:ascii="Times New Roman" w:eastAsia="Times New Roman" w:hAnsi="Times New Roman" w:cs="Times New Roman"/>
                <w:b/>
                <w:sz w:val="24"/>
                <w:szCs w:val="24"/>
              </w:rPr>
              <w:t>a</w:t>
            </w:r>
            <w:r w:rsidR="003B3444" w:rsidRPr="00565953">
              <w:rPr>
                <w:rFonts w:ascii="Times New Roman" w:eastAsia="Times New Roman" w:hAnsi="Times New Roman" w:cs="Times New Roman"/>
                <w:b/>
                <w:sz w:val="24"/>
                <w:szCs w:val="24"/>
              </w:rPr>
              <w:t>)</w:t>
            </w:r>
            <w:r w:rsidRPr="00565953">
              <w:rPr>
                <w:rFonts w:ascii="Times New Roman" w:eastAsia="Times New Roman" w:hAnsi="Times New Roman" w:cs="Times New Roman"/>
                <w:b/>
                <w:sz w:val="24"/>
                <w:szCs w:val="24"/>
              </w:rPr>
              <w:t>: NC</w:t>
            </w:r>
          </w:p>
        </w:tc>
        <w:tc>
          <w:tcPr>
            <w:tcW w:w="4510" w:type="dxa"/>
            <w:tcBorders>
              <w:top w:val="single" w:sz="4" w:space="0" w:color="000000"/>
              <w:left w:val="single" w:sz="4" w:space="0" w:color="000000"/>
              <w:bottom w:val="single" w:sz="4" w:space="0" w:color="000000"/>
              <w:right w:val="single" w:sz="4" w:space="0" w:color="000000"/>
            </w:tcBorders>
          </w:tcPr>
          <w:p w14:paraId="7A63E656" w14:textId="3BBCFD64"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(b): PC- F1</w:t>
            </w:r>
          </w:p>
        </w:tc>
      </w:tr>
      <w:tr w:rsidR="00FE19D9" w:rsidRPr="00565953" w14:paraId="5135C239" w14:textId="77777777">
        <w:trPr>
          <w:trHeight w:val="2949"/>
        </w:trPr>
        <w:tc>
          <w:tcPr>
            <w:tcW w:w="4508" w:type="dxa"/>
            <w:tcBorders>
              <w:top w:val="single" w:sz="4" w:space="0" w:color="000000"/>
              <w:left w:val="single" w:sz="4" w:space="0" w:color="000000"/>
              <w:bottom w:val="single" w:sz="4" w:space="0" w:color="000000"/>
              <w:right w:val="single" w:sz="4" w:space="0" w:color="000000"/>
            </w:tcBorders>
          </w:tcPr>
          <w:p w14:paraId="40521EB1"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58E3C84D" wp14:editId="35880D29">
                  <wp:extent cx="2263140" cy="1714500"/>
                  <wp:effectExtent l="0" t="0" r="0" b="0"/>
                  <wp:docPr id="21359676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263140" cy="17145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2970531B" w14:textId="77777777" w:rsidR="00FE19D9" w:rsidRPr="00565953" w:rsidRDefault="00C45F0A"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3F6DB9E8" wp14:editId="6F81D537">
                  <wp:extent cx="2148840" cy="1783080"/>
                  <wp:effectExtent l="0" t="0" r="0" b="0"/>
                  <wp:docPr id="213596768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2148840" cy="1783080"/>
                          </a:xfrm>
                          <a:prstGeom prst="rect">
                            <a:avLst/>
                          </a:prstGeom>
                          <a:ln/>
                        </pic:spPr>
                      </pic:pic>
                    </a:graphicData>
                  </a:graphic>
                </wp:inline>
              </w:drawing>
            </w:r>
          </w:p>
          <w:p w14:paraId="5530EE60" w14:textId="77777777" w:rsidR="00FE19D9" w:rsidRPr="00565953" w:rsidRDefault="00FE19D9" w:rsidP="003F7E02">
            <w:pPr>
              <w:spacing w:after="0" w:line="240" w:lineRule="auto"/>
              <w:jc w:val="center"/>
              <w:rPr>
                <w:rFonts w:ascii="Times New Roman" w:eastAsia="Times New Roman" w:hAnsi="Times New Roman" w:cs="Times New Roman"/>
                <w:sz w:val="24"/>
                <w:szCs w:val="24"/>
              </w:rPr>
            </w:pPr>
          </w:p>
        </w:tc>
      </w:tr>
      <w:tr w:rsidR="00FE19D9" w:rsidRPr="00565953" w14:paraId="6B628B25" w14:textId="77777777">
        <w:trPr>
          <w:trHeight w:val="294"/>
        </w:trPr>
        <w:tc>
          <w:tcPr>
            <w:tcW w:w="4508" w:type="dxa"/>
            <w:tcBorders>
              <w:top w:val="single" w:sz="4" w:space="0" w:color="000000"/>
              <w:left w:val="single" w:sz="4" w:space="0" w:color="000000"/>
              <w:bottom w:val="single" w:sz="4" w:space="0" w:color="000000"/>
              <w:right w:val="single" w:sz="4" w:space="0" w:color="000000"/>
            </w:tcBorders>
          </w:tcPr>
          <w:p w14:paraId="1668ED62" w14:textId="2D9AFECF"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(c): PC- F2</w:t>
            </w:r>
          </w:p>
        </w:tc>
        <w:tc>
          <w:tcPr>
            <w:tcW w:w="4510" w:type="dxa"/>
            <w:tcBorders>
              <w:top w:val="single" w:sz="4" w:space="0" w:color="000000"/>
              <w:left w:val="single" w:sz="4" w:space="0" w:color="000000"/>
              <w:bottom w:val="single" w:sz="4" w:space="0" w:color="000000"/>
              <w:right w:val="single" w:sz="4" w:space="0" w:color="000000"/>
            </w:tcBorders>
          </w:tcPr>
          <w:p w14:paraId="526798ED" w14:textId="0F00D293"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(d): PC- F3</w:t>
            </w:r>
          </w:p>
        </w:tc>
      </w:tr>
      <w:tr w:rsidR="00FE19D9" w:rsidRPr="00565953" w14:paraId="6E264BD4" w14:textId="77777777">
        <w:trPr>
          <w:trHeight w:val="2736"/>
        </w:trPr>
        <w:tc>
          <w:tcPr>
            <w:tcW w:w="4508" w:type="dxa"/>
            <w:tcBorders>
              <w:top w:val="single" w:sz="4" w:space="0" w:color="000000"/>
              <w:left w:val="single" w:sz="4" w:space="0" w:color="000000"/>
              <w:bottom w:val="single" w:sz="4" w:space="0" w:color="000000"/>
              <w:right w:val="single" w:sz="4" w:space="0" w:color="000000"/>
            </w:tcBorders>
          </w:tcPr>
          <w:p w14:paraId="3E80FC7C"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62DD9A50" wp14:editId="6A75C84D">
                  <wp:extent cx="2293620" cy="1714500"/>
                  <wp:effectExtent l="0" t="0" r="0" b="0"/>
                  <wp:docPr id="21359676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293620" cy="17145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7562E634"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439218A0" wp14:editId="56C7861E">
                  <wp:extent cx="2156460" cy="1714500"/>
                  <wp:effectExtent l="0" t="0" r="0" b="0"/>
                  <wp:docPr id="213596768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156460" cy="1714500"/>
                          </a:xfrm>
                          <a:prstGeom prst="rect">
                            <a:avLst/>
                          </a:prstGeom>
                          <a:ln/>
                        </pic:spPr>
                      </pic:pic>
                    </a:graphicData>
                  </a:graphic>
                </wp:inline>
              </w:drawing>
            </w:r>
          </w:p>
        </w:tc>
      </w:tr>
      <w:tr w:rsidR="00FE19D9" w:rsidRPr="00565953" w14:paraId="161BF8D6" w14:textId="77777777">
        <w:trPr>
          <w:trHeight w:val="292"/>
        </w:trPr>
        <w:tc>
          <w:tcPr>
            <w:tcW w:w="4508" w:type="dxa"/>
            <w:tcBorders>
              <w:top w:val="single" w:sz="4" w:space="0" w:color="000000"/>
              <w:left w:val="single" w:sz="4" w:space="0" w:color="000000"/>
              <w:bottom w:val="single" w:sz="4" w:space="0" w:color="000000"/>
              <w:right w:val="single" w:sz="4" w:space="0" w:color="000000"/>
            </w:tcBorders>
          </w:tcPr>
          <w:p w14:paraId="4E37F66E" w14:textId="01821AC3"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w:t>
            </w:r>
            <w:r w:rsidR="00256106"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b/>
                <w:sz w:val="24"/>
                <w:szCs w:val="24"/>
              </w:rPr>
              <w:t>(e): PC- F4</w:t>
            </w:r>
          </w:p>
        </w:tc>
        <w:tc>
          <w:tcPr>
            <w:tcW w:w="4510" w:type="dxa"/>
            <w:tcBorders>
              <w:top w:val="single" w:sz="4" w:space="0" w:color="000000"/>
              <w:left w:val="single" w:sz="4" w:space="0" w:color="000000"/>
              <w:bottom w:val="single" w:sz="4" w:space="0" w:color="000000"/>
              <w:right w:val="single" w:sz="4" w:space="0" w:color="000000"/>
            </w:tcBorders>
          </w:tcPr>
          <w:p w14:paraId="53F5C1E3" w14:textId="5507ED4F" w:rsidR="00FE19D9" w:rsidRPr="00565953" w:rsidRDefault="00C45F0A"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 </w:t>
            </w:r>
            <w:r w:rsidR="00C64B34" w:rsidRPr="00565953">
              <w:rPr>
                <w:rFonts w:ascii="Times New Roman" w:eastAsia="Times New Roman" w:hAnsi="Times New Roman" w:cs="Times New Roman"/>
                <w:b/>
                <w:sz w:val="24"/>
                <w:szCs w:val="24"/>
              </w:rPr>
              <w:t>3 (f)</w:t>
            </w:r>
            <w:r w:rsidRPr="00565953">
              <w:rPr>
                <w:rFonts w:ascii="Times New Roman" w:eastAsia="Times New Roman" w:hAnsi="Times New Roman" w:cs="Times New Roman"/>
                <w:b/>
                <w:sz w:val="24"/>
                <w:szCs w:val="24"/>
              </w:rPr>
              <w:t>: TI- F1</w:t>
            </w:r>
          </w:p>
        </w:tc>
      </w:tr>
      <w:tr w:rsidR="00FE19D9" w:rsidRPr="00565953" w14:paraId="7D81BD6E" w14:textId="77777777">
        <w:trPr>
          <w:trHeight w:val="2822"/>
        </w:trPr>
        <w:tc>
          <w:tcPr>
            <w:tcW w:w="4508" w:type="dxa"/>
            <w:tcBorders>
              <w:top w:val="single" w:sz="4" w:space="0" w:color="000000"/>
              <w:left w:val="single" w:sz="4" w:space="0" w:color="000000"/>
              <w:bottom w:val="single" w:sz="4" w:space="0" w:color="000000"/>
              <w:right w:val="single" w:sz="4" w:space="0" w:color="000000"/>
            </w:tcBorders>
          </w:tcPr>
          <w:p w14:paraId="4A25D546"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3F711E7D" wp14:editId="71AB8955">
                  <wp:extent cx="2293620" cy="1714500"/>
                  <wp:effectExtent l="0" t="0" r="0" b="0"/>
                  <wp:docPr id="213596768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2293620" cy="1714500"/>
                          </a:xfrm>
                          <a:prstGeom prst="rect">
                            <a:avLst/>
                          </a:prstGeom>
                          <a:ln/>
                        </pic:spPr>
                      </pic:pic>
                    </a:graphicData>
                  </a:graphic>
                </wp:inline>
              </w:drawing>
            </w:r>
          </w:p>
        </w:tc>
        <w:tc>
          <w:tcPr>
            <w:tcW w:w="4510" w:type="dxa"/>
            <w:tcBorders>
              <w:top w:val="single" w:sz="4" w:space="0" w:color="000000"/>
              <w:left w:val="single" w:sz="4" w:space="0" w:color="000000"/>
              <w:bottom w:val="single" w:sz="4" w:space="0" w:color="000000"/>
              <w:right w:val="single" w:sz="4" w:space="0" w:color="000000"/>
            </w:tcBorders>
          </w:tcPr>
          <w:p w14:paraId="2873CCBA" w14:textId="77777777" w:rsidR="00FE19D9" w:rsidRPr="00565953" w:rsidRDefault="00C45F0A" w:rsidP="003F7E02">
            <w:pPr>
              <w:spacing w:after="0" w:line="24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5CC07F9B" wp14:editId="5FEC55B7">
                  <wp:extent cx="2141220" cy="1714500"/>
                  <wp:effectExtent l="0" t="0" r="0" b="0"/>
                  <wp:docPr id="213596768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2141220" cy="1714500"/>
                          </a:xfrm>
                          <a:prstGeom prst="rect">
                            <a:avLst/>
                          </a:prstGeom>
                          <a:ln/>
                        </pic:spPr>
                      </pic:pic>
                    </a:graphicData>
                  </a:graphic>
                </wp:inline>
              </w:drawing>
            </w:r>
          </w:p>
        </w:tc>
      </w:tr>
      <w:tr w:rsidR="00FE19D9" w:rsidRPr="00565953" w14:paraId="6A9CED94" w14:textId="77777777">
        <w:trPr>
          <w:trHeight w:val="292"/>
        </w:trPr>
        <w:tc>
          <w:tcPr>
            <w:tcW w:w="4508" w:type="dxa"/>
            <w:tcBorders>
              <w:top w:val="single" w:sz="4" w:space="0" w:color="000000"/>
              <w:left w:val="single" w:sz="4" w:space="0" w:color="000000"/>
              <w:bottom w:val="single" w:sz="4" w:space="0" w:color="000000"/>
              <w:right w:val="single" w:sz="4" w:space="0" w:color="000000"/>
            </w:tcBorders>
          </w:tcPr>
          <w:p w14:paraId="754D1833" w14:textId="77496C2D"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w:t>
            </w:r>
            <w:r w:rsidR="00256106"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b/>
                <w:sz w:val="24"/>
                <w:szCs w:val="24"/>
              </w:rPr>
              <w:t>(g): TI- F2</w:t>
            </w:r>
          </w:p>
        </w:tc>
        <w:tc>
          <w:tcPr>
            <w:tcW w:w="4510" w:type="dxa"/>
            <w:tcBorders>
              <w:top w:val="single" w:sz="4" w:space="0" w:color="000000"/>
              <w:left w:val="single" w:sz="4" w:space="0" w:color="000000"/>
              <w:bottom w:val="single" w:sz="4" w:space="0" w:color="000000"/>
              <w:right w:val="single" w:sz="4" w:space="0" w:color="000000"/>
            </w:tcBorders>
          </w:tcPr>
          <w:p w14:paraId="29A64474" w14:textId="665B6F11" w:rsidR="00FE19D9" w:rsidRPr="00565953" w:rsidRDefault="00C64B34" w:rsidP="003F7E02">
            <w:pPr>
              <w:spacing w:after="0" w:line="240" w:lineRule="auto"/>
              <w:jc w:val="center"/>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3 (h): TI-F3</w:t>
            </w:r>
          </w:p>
        </w:tc>
      </w:tr>
    </w:tbl>
    <w:p w14:paraId="12B10B73" w14:textId="56C7E32C" w:rsidR="00FE19D9" w:rsidRPr="00565953" w:rsidRDefault="00C45F0A" w:rsidP="00112EA7">
      <w:pPr>
        <w:spacing w:before="240" w:after="240"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lastRenderedPageBreak/>
        <w:t>Figure 3:</w:t>
      </w:r>
      <w:r w:rsidRPr="00565953">
        <w:rPr>
          <w:rFonts w:ascii="Times New Roman" w:eastAsia="Times New Roman" w:hAnsi="Times New Roman" w:cs="Times New Roman"/>
          <w:sz w:val="24"/>
          <w:szCs w:val="24"/>
        </w:rPr>
        <w:t xml:space="preserve">  Representative images for each experimental group are presented below to visually demonstrate the extent of blood vessel formation (angiogenesis) or inhibition (</w:t>
      </w:r>
      <w:proofErr w:type="spellStart"/>
      <w:r w:rsidRPr="00565953">
        <w:rPr>
          <w:rFonts w:ascii="Times New Roman" w:eastAsia="Times New Roman" w:hAnsi="Times New Roman" w:cs="Times New Roman"/>
          <w:sz w:val="24"/>
          <w:szCs w:val="24"/>
        </w:rPr>
        <w:t>antiangiogenesis</w:t>
      </w:r>
      <w:proofErr w:type="spellEnd"/>
      <w:r w:rsidRPr="00565953">
        <w:rPr>
          <w:rFonts w:ascii="Times New Roman" w:eastAsia="Times New Roman" w:hAnsi="Times New Roman" w:cs="Times New Roman"/>
          <w:sz w:val="24"/>
          <w:szCs w:val="24"/>
        </w:rPr>
        <w:t>) observed.</w:t>
      </w:r>
    </w:p>
    <w:p w14:paraId="2D10FD04" w14:textId="103DBA32" w:rsidR="00FE19D9" w:rsidRPr="00565953" w:rsidRDefault="00C45F0A" w:rsidP="00112EA7">
      <w:pPr>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Representative photographs of the CAM assay quantitatively illustrate the degree of angiogenesis or its inhibition within the experimental groups. In the negative control group (Figure </w:t>
      </w:r>
      <w:r w:rsidR="00DA06AB" w:rsidRPr="00565953">
        <w:rPr>
          <w:rFonts w:ascii="Times New Roman" w:eastAsia="Times New Roman" w:hAnsi="Times New Roman" w:cs="Times New Roman"/>
          <w:sz w:val="24"/>
          <w:szCs w:val="24"/>
        </w:rPr>
        <w:t>3a</w:t>
      </w:r>
      <w:r w:rsidRPr="00565953">
        <w:rPr>
          <w:rFonts w:ascii="Times New Roman" w:eastAsia="Times New Roman" w:hAnsi="Times New Roman" w:cs="Times New Roman"/>
          <w:sz w:val="24"/>
          <w:szCs w:val="24"/>
        </w:rPr>
        <w:t xml:space="preserve">), the typical vascular growth was seen, where there existed a dense network and complexity of tertiary and quaternary vessels, reflecting unimpaired angiogenesis. Contrariwise, the positive control groups treated with 5-fluorouracil revealed a dose-related suppression of blood vessel formation. At the highest dose (10 µg/egg, Figure </w:t>
      </w:r>
      <w:r w:rsidR="00DA06AB" w:rsidRPr="00565953">
        <w:rPr>
          <w:rFonts w:ascii="Times New Roman" w:eastAsia="Times New Roman" w:hAnsi="Times New Roman" w:cs="Times New Roman"/>
          <w:sz w:val="24"/>
          <w:szCs w:val="24"/>
        </w:rPr>
        <w:t>3b</w:t>
      </w:r>
      <w:r w:rsidRPr="00565953">
        <w:rPr>
          <w:rFonts w:ascii="Times New Roman" w:eastAsia="Times New Roman" w:hAnsi="Times New Roman" w:cs="Times New Roman"/>
          <w:sz w:val="24"/>
          <w:szCs w:val="24"/>
        </w:rPr>
        <w:t xml:space="preserve">), there was significant decrease in vascular density, indicating a strong antiangiogenic effect. With decreasing dose, the degree of inhibition decreased: the 5 µg/egg group (Figure </w:t>
      </w:r>
      <w:r w:rsidR="00FF7DBA" w:rsidRPr="00565953">
        <w:rPr>
          <w:rFonts w:ascii="Times New Roman" w:eastAsia="Times New Roman" w:hAnsi="Times New Roman" w:cs="Times New Roman"/>
          <w:sz w:val="24"/>
          <w:szCs w:val="24"/>
        </w:rPr>
        <w:t>3c</w:t>
      </w:r>
      <w:r w:rsidRPr="00565953">
        <w:rPr>
          <w:rFonts w:ascii="Times New Roman" w:eastAsia="Times New Roman" w:hAnsi="Times New Roman" w:cs="Times New Roman"/>
          <w:sz w:val="24"/>
          <w:szCs w:val="24"/>
        </w:rPr>
        <w:t xml:space="preserve">) had moderate inhibition, the 2.5 µg/egg group (Figure </w:t>
      </w:r>
      <w:r w:rsidR="00FF7DBA" w:rsidRPr="00565953">
        <w:rPr>
          <w:rFonts w:ascii="Times New Roman" w:eastAsia="Times New Roman" w:hAnsi="Times New Roman" w:cs="Times New Roman"/>
          <w:sz w:val="24"/>
          <w:szCs w:val="24"/>
        </w:rPr>
        <w:t>3d</w:t>
      </w:r>
      <w:r w:rsidRPr="00565953">
        <w:rPr>
          <w:rFonts w:ascii="Times New Roman" w:eastAsia="Times New Roman" w:hAnsi="Times New Roman" w:cs="Times New Roman"/>
          <w:sz w:val="24"/>
          <w:szCs w:val="24"/>
        </w:rPr>
        <w:t xml:space="preserve">) had mild suppression, and the lowest dose (1.25 µg/egg, Figure </w:t>
      </w:r>
      <w:r w:rsidR="00FF7DBA" w:rsidRPr="00565953">
        <w:rPr>
          <w:rFonts w:ascii="Times New Roman" w:eastAsia="Times New Roman" w:hAnsi="Times New Roman" w:cs="Times New Roman"/>
          <w:sz w:val="24"/>
          <w:szCs w:val="24"/>
        </w:rPr>
        <w:t>3e</w:t>
      </w:r>
      <w:r w:rsidRPr="00565953">
        <w:rPr>
          <w:rFonts w:ascii="Times New Roman" w:eastAsia="Times New Roman" w:hAnsi="Times New Roman" w:cs="Times New Roman"/>
          <w:sz w:val="24"/>
          <w:szCs w:val="24"/>
        </w:rPr>
        <w:t>) had the lowest antiangiogenic activity among the treated groups, with vessel formation being close to that of the control. The test groups treated with</w:t>
      </w:r>
      <w:r w:rsidRPr="00565953">
        <w:rPr>
          <w:rFonts w:ascii="Times New Roman" w:eastAsia="Times New Roman" w:hAnsi="Times New Roman" w:cs="Times New Roman"/>
          <w:i/>
          <w:sz w:val="24"/>
          <w:szCs w:val="24"/>
        </w:rPr>
        <w:t xml:space="preserve"> Capparis decidua</w:t>
      </w:r>
      <w:r w:rsidRPr="00565953">
        <w:rPr>
          <w:rFonts w:ascii="Times New Roman" w:eastAsia="Times New Roman" w:hAnsi="Times New Roman" w:cs="Times New Roman"/>
          <w:sz w:val="24"/>
          <w:szCs w:val="24"/>
        </w:rPr>
        <w:t xml:space="preserve"> extract also exhibited dose-dependent antiangiogenic activity. At 50 µg/egg (Figure </w:t>
      </w:r>
      <w:r w:rsidR="00FF7DBA" w:rsidRPr="00565953">
        <w:rPr>
          <w:rFonts w:ascii="Times New Roman" w:eastAsia="Times New Roman" w:hAnsi="Times New Roman" w:cs="Times New Roman"/>
          <w:sz w:val="24"/>
          <w:szCs w:val="24"/>
        </w:rPr>
        <w:t>3f</w:t>
      </w:r>
      <w:r w:rsidRPr="00565953">
        <w:rPr>
          <w:rFonts w:ascii="Times New Roman" w:eastAsia="Times New Roman" w:hAnsi="Times New Roman" w:cs="Times New Roman"/>
          <w:sz w:val="24"/>
          <w:szCs w:val="24"/>
        </w:rPr>
        <w:t xml:space="preserve">), there was significant inhibition of vessel formation, which was similar to that observed with 10 µg/egg of 5-fluorouracil, and it showed good inhibitory potential. At 25 µg/egg (Figure </w:t>
      </w:r>
      <w:r w:rsidR="00FF7DBA" w:rsidRPr="00565953">
        <w:rPr>
          <w:rFonts w:ascii="Times New Roman" w:eastAsia="Times New Roman" w:hAnsi="Times New Roman" w:cs="Times New Roman"/>
          <w:sz w:val="24"/>
          <w:szCs w:val="24"/>
        </w:rPr>
        <w:t>3g</w:t>
      </w:r>
      <w:r w:rsidRPr="00565953">
        <w:rPr>
          <w:rFonts w:ascii="Times New Roman" w:eastAsia="Times New Roman" w:hAnsi="Times New Roman" w:cs="Times New Roman"/>
          <w:sz w:val="24"/>
          <w:szCs w:val="24"/>
        </w:rPr>
        <w:t xml:space="preserve">), there was moderate antiangiogenic activity, with reduced branching and fewer blood vessels that were visible. The lowest concentration tested (12.5 µg/egg, Figure </w:t>
      </w:r>
      <w:r w:rsidR="00C64B34" w:rsidRPr="00565953">
        <w:rPr>
          <w:rFonts w:ascii="Times New Roman" w:eastAsia="Times New Roman" w:hAnsi="Times New Roman" w:cs="Times New Roman"/>
          <w:sz w:val="24"/>
          <w:szCs w:val="24"/>
        </w:rPr>
        <w:t>3(h)</w:t>
      </w:r>
      <w:r w:rsidRPr="00565953">
        <w:rPr>
          <w:rFonts w:ascii="Times New Roman" w:eastAsia="Times New Roman" w:hAnsi="Times New Roman" w:cs="Times New Roman"/>
          <w:sz w:val="24"/>
          <w:szCs w:val="24"/>
        </w:rPr>
        <w:t xml:space="preserve"> showed only weak inhibition of vascular development against the control but still showed a significant measurable antiangiogenic effect. In summary, these snapshot images validate the quantitative data and demonstrate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extract is a potent inhibitor of angiogenesis in a concentration-dependent response.</w:t>
      </w:r>
    </w:p>
    <w:p w14:paraId="2344E9A0" w14:textId="77777777" w:rsidR="00385E80" w:rsidRPr="00565953" w:rsidRDefault="00385E80" w:rsidP="00112EA7">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14:paraId="7FC74BCE" w14:textId="77777777" w:rsidR="00FE19D9" w:rsidRPr="00565953" w:rsidRDefault="00C45F0A" w:rsidP="0096016C">
      <w:pPr>
        <w:pStyle w:val="ListParagraph"/>
        <w:numPr>
          <w:ilvl w:val="0"/>
          <w:numId w:val="8"/>
        </w:num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lastRenderedPageBreak/>
        <w:t xml:space="preserve">In Silico Molecular Docking Studies: </w:t>
      </w:r>
    </w:p>
    <w:p w14:paraId="1BB4175F" w14:textId="21AAA625"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 molecular docking investigation was conducted under the assumption of a model in which the docking process treated the protein and ligand as flexible entities. The estimated docking score presented in Table 4 and 5. </w:t>
      </w:r>
      <w:r w:rsidRPr="00565953">
        <w:rPr>
          <w:rFonts w:ascii="Times New Roman" w:eastAsia="Times New Roman" w:hAnsi="Times New Roman" w:cs="Times New Roman"/>
          <w:color w:val="191919"/>
          <w:sz w:val="24"/>
          <w:szCs w:val="24"/>
        </w:rPr>
        <w:t>Molecular docking was</w:t>
      </w:r>
      <w:r w:rsidRPr="00565953">
        <w:rPr>
          <w:rFonts w:ascii="Times New Roman" w:eastAsia="Times New Roman" w:hAnsi="Times New Roman" w:cs="Times New Roman"/>
          <w:sz w:val="24"/>
          <w:szCs w:val="24"/>
        </w:rPr>
        <w:t xml:space="preserve"> performed using ArgusLab to investigate the interaction of two principal phytoconstituents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w:t>
      </w:r>
      <w:r w:rsidR="00256106" w:rsidRPr="00565953">
        <w:rPr>
          <w:rFonts w:ascii="Times New Roman" w:eastAsia="Times New Roman" w:hAnsi="Times New Roman" w:cs="Times New Roman"/>
          <w:sz w:val="24"/>
          <w:szCs w:val="24"/>
        </w:rPr>
        <w:t>enyl) tetrahydropyran</w:t>
      </w:r>
      <w:r w:rsidRPr="00565953">
        <w:rPr>
          <w:rFonts w:ascii="Times New Roman" w:eastAsia="Times New Roman" w:hAnsi="Times New Roman" w:cs="Times New Roman"/>
          <w:sz w:val="24"/>
          <w:szCs w:val="24"/>
        </w:rPr>
        <w:t xml:space="preserve">-2-one—against cancer-related protein targets, MDM2 and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(ER).</w:t>
      </w:r>
    </w:p>
    <w:p w14:paraId="66F162F6" w14:textId="77777777" w:rsidR="00FE19D9" w:rsidRPr="00565953" w:rsidRDefault="00C45F0A" w:rsidP="00112EA7">
      <w:pPr>
        <w:spacing w:after="0"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Against MDM2 (PDB ID: 4JRG, DOI: 10.2210/pdb4JRG/</w:t>
      </w:r>
      <w:proofErr w:type="spellStart"/>
      <w:r w:rsidRPr="00565953">
        <w:rPr>
          <w:rFonts w:ascii="Times New Roman" w:eastAsia="Times New Roman" w:hAnsi="Times New Roman" w:cs="Times New Roman"/>
          <w:b/>
          <w:sz w:val="24"/>
          <w:szCs w:val="24"/>
        </w:rPr>
        <w:t>pdb</w:t>
      </w:r>
      <w:proofErr w:type="spellEnd"/>
      <w:r w:rsidRPr="00565953">
        <w:rPr>
          <w:rFonts w:ascii="Times New Roman" w:eastAsia="Times New Roman" w:hAnsi="Times New Roman" w:cs="Times New Roman"/>
          <w:b/>
          <w:sz w:val="24"/>
          <w:szCs w:val="24"/>
        </w:rPr>
        <w:t xml:space="preserve">): </w:t>
      </w:r>
    </w:p>
    <w:p w14:paraId="25649B6E" w14:textId="1BE60601" w:rsidR="00FE19D9" w:rsidRPr="00565953" w:rsidRDefault="00C45F0A" w:rsidP="00112EA7">
      <w:pPr>
        <w:spacing w:after="0" w:line="480" w:lineRule="auto"/>
        <w:jc w:val="both"/>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had</w:t>
      </w:r>
      <w:r w:rsidR="00DA6D9C" w:rsidRPr="00565953">
        <w:rPr>
          <w:rFonts w:ascii="Times New Roman" w:eastAsia="Times New Roman" w:hAnsi="Times New Roman" w:cs="Times New Roman"/>
          <w:sz w:val="24"/>
          <w:szCs w:val="24"/>
        </w:rPr>
        <w:t xml:space="preserve"> a docking score of −7.7979 </w:t>
      </w:r>
      <w:proofErr w:type="spellStart"/>
      <w:r w:rsidRPr="00565953">
        <w:rPr>
          <w:rFonts w:ascii="Times New Roman" w:eastAsia="Times New Roman" w:hAnsi="Times New Roman" w:cs="Times New Roman"/>
          <w:sz w:val="24"/>
          <w:szCs w:val="24"/>
        </w:rPr>
        <w:t>kca</w:t>
      </w:r>
      <w:proofErr w:type="spellEnd"/>
      <w:r w:rsidRPr="00565953">
        <w:rPr>
          <w:rFonts w:ascii="Times New Roman" w:eastAsia="Times New Roman" w:hAnsi="Times New Roman" w:cs="Times New Roman"/>
          <w:sz w:val="24"/>
          <w:szCs w:val="24"/>
        </w:rPr>
        <w:t>/mol with hydrophobic and van der Waals interactions with residues such as VAL A71, LEU A78, and PHE A87.</w:t>
      </w:r>
      <w:r w:rsidR="00977849" w:rsidRPr="00565953">
        <w:rPr>
          <w:rFonts w:ascii="Times New Roman" w:eastAsia="Times New Roman" w:hAnsi="Times New Roman" w:cs="Times New Roman"/>
          <w:sz w:val="24"/>
          <w:szCs w:val="24"/>
        </w:rPr>
        <w:t xml:space="preserve"> 6-(1-hydroxy-non-3-</w:t>
      </w:r>
      <w:r w:rsidR="00256106" w:rsidRPr="00565953">
        <w:rPr>
          <w:rFonts w:ascii="Times New Roman" w:eastAsia="Times New Roman" w:hAnsi="Times New Roman" w:cs="Times New Roman"/>
          <w:sz w:val="24"/>
          <w:szCs w:val="24"/>
        </w:rPr>
        <w:t>enyl) tetrahydropyran</w:t>
      </w:r>
      <w:r w:rsidR="00977849" w:rsidRPr="00565953">
        <w:rPr>
          <w:rFonts w:ascii="Times New Roman" w:eastAsia="Times New Roman" w:hAnsi="Times New Roman" w:cs="Times New Roman"/>
          <w:sz w:val="24"/>
          <w:szCs w:val="24"/>
        </w:rPr>
        <w:t>-2-one showed a stronger attraction with a value of −10.1887 kcal/mol, connecting to important parts like MET B130, PHE B171, and ILE B183.</w:t>
      </w:r>
    </w:p>
    <w:p w14:paraId="1FAB8854" w14:textId="6E103A79"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 xml:space="preserve">Table 4: </w:t>
      </w:r>
      <w:r w:rsidRPr="00565953">
        <w:rPr>
          <w:rFonts w:ascii="Times New Roman" w:eastAsia="Times New Roman" w:hAnsi="Times New Roman" w:cs="Times New Roman"/>
          <w:sz w:val="24"/>
          <w:szCs w:val="24"/>
        </w:rPr>
        <w:t xml:space="preserve">Interaction between chemical constituents of </w:t>
      </w:r>
      <w:r w:rsidRPr="00565953">
        <w:rPr>
          <w:rFonts w:ascii="Times New Roman" w:eastAsia="Times New Roman" w:hAnsi="Times New Roman" w:cs="Times New Roman"/>
          <w:b/>
          <w:i/>
          <w:sz w:val="24"/>
          <w:szCs w:val="24"/>
        </w:rPr>
        <w:t>Capparis decidua</w:t>
      </w:r>
      <w:r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sz w:val="24"/>
          <w:szCs w:val="24"/>
        </w:rPr>
        <w:t>and MDM2</w:t>
      </w:r>
      <w:r w:rsidRPr="00565953">
        <w:rPr>
          <w:rFonts w:ascii="Times New Roman" w:eastAsia="Times New Roman" w:hAnsi="Times New Roman" w:cs="Times New Roman"/>
          <w:b/>
          <w:sz w:val="24"/>
          <w:szCs w:val="24"/>
        </w:rPr>
        <w:t xml:space="preserve"> </w:t>
      </w:r>
      <w:r w:rsidRPr="00565953">
        <w:rPr>
          <w:rFonts w:ascii="Times New Roman" w:eastAsia="Times New Roman" w:hAnsi="Times New Roman" w:cs="Times New Roman"/>
          <w:sz w:val="24"/>
          <w:szCs w:val="24"/>
        </w:rPr>
        <w:t xml:space="preserve">PDB 4JRG </w:t>
      </w:r>
      <w:r w:rsidR="0031624D" w:rsidRPr="00565953">
        <w:rPr>
          <w:rFonts w:ascii="Times New Roman" w:eastAsia="Times New Roman" w:hAnsi="Times New Roman" w:cs="Times New Roman"/>
          <w:sz w:val="24"/>
          <w:szCs w:val="24"/>
        </w:rPr>
        <w:t>PDB</w:t>
      </w:r>
      <w:r w:rsidRPr="00565953">
        <w:rPr>
          <w:rFonts w:ascii="Times New Roman" w:eastAsia="Times New Roman" w:hAnsi="Times New Roman" w:cs="Times New Roman"/>
          <w:b/>
          <w:sz w:val="24"/>
          <w:szCs w:val="24"/>
        </w:rPr>
        <w:t xml:space="preserve">  </w:t>
      </w: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559"/>
        <w:gridCol w:w="1418"/>
        <w:gridCol w:w="1275"/>
        <w:gridCol w:w="1418"/>
      </w:tblGrid>
      <w:tr w:rsidR="00FE19D9" w:rsidRPr="00565953" w14:paraId="3B21062F" w14:textId="77777777">
        <w:trPr>
          <w:trHeight w:val="613"/>
        </w:trPr>
        <w:tc>
          <w:tcPr>
            <w:tcW w:w="1838" w:type="dxa"/>
            <w:tcBorders>
              <w:top w:val="single" w:sz="4" w:space="0" w:color="000000"/>
              <w:left w:val="single" w:sz="4" w:space="0" w:color="000000"/>
              <w:bottom w:val="single" w:sz="4" w:space="0" w:color="000000"/>
              <w:right w:val="single" w:sz="4" w:space="0" w:color="000000"/>
            </w:tcBorders>
          </w:tcPr>
          <w:p w14:paraId="1299CF4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DRUG</w:t>
            </w:r>
          </w:p>
        </w:tc>
        <w:tc>
          <w:tcPr>
            <w:tcW w:w="1843" w:type="dxa"/>
            <w:tcBorders>
              <w:top w:val="single" w:sz="4" w:space="0" w:color="000000"/>
              <w:left w:val="single" w:sz="4" w:space="0" w:color="000000"/>
              <w:bottom w:val="single" w:sz="4" w:space="0" w:color="000000"/>
              <w:right w:val="single" w:sz="4" w:space="0" w:color="000000"/>
            </w:tcBorders>
          </w:tcPr>
          <w:p w14:paraId="31B21C61"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Docking score / binding energy (Kcal/mol )</w:t>
            </w:r>
          </w:p>
        </w:tc>
        <w:tc>
          <w:tcPr>
            <w:tcW w:w="1559" w:type="dxa"/>
            <w:tcBorders>
              <w:top w:val="single" w:sz="4" w:space="0" w:color="000000"/>
              <w:left w:val="single" w:sz="4" w:space="0" w:color="000000"/>
              <w:bottom w:val="single" w:sz="4" w:space="0" w:color="000000"/>
              <w:right w:val="single" w:sz="4" w:space="0" w:color="000000"/>
            </w:tcBorders>
          </w:tcPr>
          <w:p w14:paraId="18F78E8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 Van Der waals</w:t>
            </w:r>
          </w:p>
        </w:tc>
        <w:tc>
          <w:tcPr>
            <w:tcW w:w="1418" w:type="dxa"/>
            <w:tcBorders>
              <w:top w:val="single" w:sz="4" w:space="0" w:color="000000"/>
              <w:left w:val="single" w:sz="4" w:space="0" w:color="000000"/>
              <w:bottom w:val="single" w:sz="4" w:space="0" w:color="000000"/>
              <w:right w:val="single" w:sz="4" w:space="0" w:color="000000"/>
            </w:tcBorders>
          </w:tcPr>
          <w:p w14:paraId="6C24A4D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H bond </w:t>
            </w:r>
          </w:p>
        </w:tc>
        <w:tc>
          <w:tcPr>
            <w:tcW w:w="1275" w:type="dxa"/>
            <w:tcBorders>
              <w:top w:val="single" w:sz="4" w:space="0" w:color="000000"/>
              <w:left w:val="single" w:sz="4" w:space="0" w:color="000000"/>
              <w:bottom w:val="single" w:sz="4" w:space="0" w:color="000000"/>
              <w:right w:val="single" w:sz="4" w:space="0" w:color="000000"/>
            </w:tcBorders>
          </w:tcPr>
          <w:p w14:paraId="54D4C25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Pi sulphur</w:t>
            </w:r>
          </w:p>
        </w:tc>
        <w:tc>
          <w:tcPr>
            <w:tcW w:w="1418" w:type="dxa"/>
            <w:tcBorders>
              <w:top w:val="single" w:sz="4" w:space="0" w:color="000000"/>
              <w:left w:val="single" w:sz="4" w:space="0" w:color="000000"/>
              <w:bottom w:val="single" w:sz="4" w:space="0" w:color="000000"/>
              <w:right w:val="single" w:sz="4" w:space="0" w:color="000000"/>
            </w:tcBorders>
          </w:tcPr>
          <w:p w14:paraId="013075B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Alkyl</w:t>
            </w:r>
          </w:p>
        </w:tc>
      </w:tr>
      <w:tr w:rsidR="00FE19D9" w:rsidRPr="00565953" w14:paraId="43A21774" w14:textId="77777777">
        <w:tc>
          <w:tcPr>
            <w:tcW w:w="1838" w:type="dxa"/>
            <w:tcBorders>
              <w:top w:val="single" w:sz="4" w:space="0" w:color="000000"/>
              <w:left w:val="single" w:sz="4" w:space="0" w:color="000000"/>
              <w:bottom w:val="single" w:sz="4" w:space="0" w:color="000000"/>
              <w:right w:val="single" w:sz="4" w:space="0" w:color="000000"/>
            </w:tcBorders>
          </w:tcPr>
          <w:p w14:paraId="7CF719F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65953">
              <w:rPr>
                <w:rFonts w:ascii="Times New Roman" w:eastAsia="Times New Roman" w:hAnsi="Times New Roman" w:cs="Times New Roman"/>
                <w:color w:val="000000"/>
                <w:sz w:val="24"/>
                <w:szCs w:val="24"/>
              </w:rPr>
              <w:t>Capparin</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2EABABF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-7.7979</w:t>
            </w:r>
          </w:p>
        </w:tc>
        <w:tc>
          <w:tcPr>
            <w:tcW w:w="1559" w:type="dxa"/>
            <w:tcBorders>
              <w:top w:val="single" w:sz="4" w:space="0" w:color="000000"/>
              <w:left w:val="single" w:sz="4" w:space="0" w:color="000000"/>
              <w:bottom w:val="single" w:sz="4" w:space="0" w:color="000000"/>
              <w:right w:val="single" w:sz="4" w:space="0" w:color="000000"/>
            </w:tcBorders>
          </w:tcPr>
          <w:p w14:paraId="0AF1D69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VAL A 71</w:t>
            </w:r>
          </w:p>
          <w:p w14:paraId="7AC3065F"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A 78</w:t>
            </w:r>
          </w:p>
          <w:p w14:paraId="26D8535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A 87</w:t>
            </w:r>
          </w:p>
          <w:p w14:paraId="5401E893"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A 98</w:t>
            </w:r>
          </w:p>
          <w:p w14:paraId="6844438A"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DDFF3C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A 50</w:t>
            </w:r>
          </w:p>
        </w:tc>
        <w:tc>
          <w:tcPr>
            <w:tcW w:w="1275" w:type="dxa"/>
            <w:tcBorders>
              <w:top w:val="single" w:sz="4" w:space="0" w:color="000000"/>
              <w:left w:val="single" w:sz="4" w:space="0" w:color="000000"/>
              <w:bottom w:val="single" w:sz="4" w:space="0" w:color="000000"/>
              <w:right w:val="single" w:sz="4" w:space="0" w:color="000000"/>
            </w:tcBorders>
          </w:tcPr>
          <w:p w14:paraId="3398E42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A 82</w:t>
            </w:r>
          </w:p>
        </w:tc>
        <w:tc>
          <w:tcPr>
            <w:tcW w:w="1418" w:type="dxa"/>
            <w:tcBorders>
              <w:top w:val="single" w:sz="4" w:space="0" w:color="000000"/>
              <w:left w:val="single" w:sz="4" w:space="0" w:color="000000"/>
              <w:bottom w:val="single" w:sz="4" w:space="0" w:color="000000"/>
              <w:right w:val="single" w:sz="4" w:space="0" w:color="000000"/>
            </w:tcBorders>
          </w:tcPr>
          <w:p w14:paraId="0B7670F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A 53</w:t>
            </w:r>
          </w:p>
          <w:p w14:paraId="59D936D5"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A 57</w:t>
            </w:r>
          </w:p>
          <w:p w14:paraId="7D19678F"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VAL A 89</w:t>
            </w:r>
          </w:p>
          <w:p w14:paraId="52A6E58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A 95</w:t>
            </w:r>
          </w:p>
          <w:p w14:paraId="67BFC98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A 99</w:t>
            </w:r>
          </w:p>
        </w:tc>
      </w:tr>
      <w:tr w:rsidR="00FE19D9" w:rsidRPr="00565953" w14:paraId="29FB84AC" w14:textId="77777777">
        <w:tc>
          <w:tcPr>
            <w:tcW w:w="1838" w:type="dxa"/>
            <w:tcBorders>
              <w:top w:val="single" w:sz="4" w:space="0" w:color="000000"/>
              <w:left w:val="single" w:sz="4" w:space="0" w:color="000000"/>
              <w:bottom w:val="single" w:sz="4" w:space="0" w:color="000000"/>
              <w:right w:val="single" w:sz="4" w:space="0" w:color="000000"/>
            </w:tcBorders>
          </w:tcPr>
          <w:p w14:paraId="3C6AA2D2"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6-(1-hydroxy-non-3-enyl) tetrahydropyran-2-one</w:t>
            </w:r>
          </w:p>
        </w:tc>
        <w:tc>
          <w:tcPr>
            <w:tcW w:w="1843" w:type="dxa"/>
            <w:tcBorders>
              <w:top w:val="single" w:sz="4" w:space="0" w:color="000000"/>
              <w:left w:val="single" w:sz="4" w:space="0" w:color="000000"/>
              <w:bottom w:val="single" w:sz="4" w:space="0" w:color="000000"/>
              <w:right w:val="single" w:sz="4" w:space="0" w:color="000000"/>
            </w:tcBorders>
          </w:tcPr>
          <w:p w14:paraId="61F5186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-10.1887</w:t>
            </w:r>
          </w:p>
        </w:tc>
        <w:tc>
          <w:tcPr>
            <w:tcW w:w="1559" w:type="dxa"/>
            <w:tcBorders>
              <w:top w:val="single" w:sz="4" w:space="0" w:color="000000"/>
              <w:left w:val="single" w:sz="4" w:space="0" w:color="000000"/>
              <w:bottom w:val="single" w:sz="4" w:space="0" w:color="000000"/>
              <w:right w:val="single" w:sz="4" w:space="0" w:color="000000"/>
            </w:tcBorders>
          </w:tcPr>
          <w:p w14:paraId="12B6C1A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B 130</w:t>
            </w:r>
          </w:p>
          <w:p w14:paraId="0830C68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LYS B 131</w:t>
            </w:r>
          </w:p>
          <w:p w14:paraId="523D7AE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GLY B 138</w:t>
            </w:r>
          </w:p>
          <w:p w14:paraId="1BA15A9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B 141</w:t>
            </w:r>
          </w:p>
          <w:p w14:paraId="181D4F2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B 171</w:t>
            </w:r>
          </w:p>
          <w:p w14:paraId="3772BED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VAL B 173</w:t>
            </w:r>
          </w:p>
          <w:p w14:paraId="48105456"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B 182</w:t>
            </w:r>
          </w:p>
          <w:p w14:paraId="3580485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B 183</w:t>
            </w:r>
          </w:p>
        </w:tc>
        <w:tc>
          <w:tcPr>
            <w:tcW w:w="1418" w:type="dxa"/>
            <w:tcBorders>
              <w:top w:val="single" w:sz="4" w:space="0" w:color="000000"/>
              <w:left w:val="single" w:sz="4" w:space="0" w:color="000000"/>
              <w:bottom w:val="single" w:sz="4" w:space="0" w:color="000000"/>
              <w:right w:val="single" w:sz="4" w:space="0" w:color="000000"/>
            </w:tcBorders>
          </w:tcPr>
          <w:p w14:paraId="156467C2"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TRY B 135</w:t>
            </w:r>
          </w:p>
        </w:tc>
        <w:tc>
          <w:tcPr>
            <w:tcW w:w="1275" w:type="dxa"/>
            <w:tcBorders>
              <w:top w:val="single" w:sz="4" w:space="0" w:color="000000"/>
              <w:left w:val="single" w:sz="4" w:space="0" w:color="000000"/>
              <w:bottom w:val="single" w:sz="4" w:space="0" w:color="000000"/>
              <w:right w:val="single" w:sz="4" w:space="0" w:color="000000"/>
            </w:tcBorders>
          </w:tcPr>
          <w:p w14:paraId="47ED46C2"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74C04CA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B 137</w:t>
            </w:r>
          </w:p>
          <w:p w14:paraId="104A7EA3"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B 162</w:t>
            </w:r>
          </w:p>
          <w:p w14:paraId="14E8FB6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PHE B 166</w:t>
            </w:r>
          </w:p>
          <w:p w14:paraId="4900424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B 179</w:t>
            </w:r>
          </w:p>
        </w:tc>
      </w:tr>
    </w:tbl>
    <w:p w14:paraId="311D7D06" w14:textId="6D14A567" w:rsidR="00FE19D9" w:rsidRPr="00565953" w:rsidRDefault="0031624D"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Source: DOI: https://doi.org/10.2210/pdb4JRG/pdb</w:t>
      </w:r>
    </w:p>
    <w:p w14:paraId="53520E0B" w14:textId="4AE55BBB" w:rsidR="00FE19D9" w:rsidRPr="00565953" w:rsidRDefault="00C45F0A" w:rsidP="00112EA7">
      <w:pPr>
        <w:spacing w:after="0" w:line="480" w:lineRule="auto"/>
        <w:jc w:val="both"/>
        <w:rPr>
          <w:rFonts w:ascii="Times New Roman" w:eastAsia="Times New Roman" w:hAnsi="Times New Roman" w:cs="Times New Roman"/>
          <w:bCs/>
          <w:sz w:val="24"/>
          <w:szCs w:val="24"/>
        </w:rPr>
      </w:pPr>
      <w:r w:rsidRPr="00565953">
        <w:rPr>
          <w:rFonts w:ascii="Times New Roman" w:eastAsia="Times New Roman" w:hAnsi="Times New Roman" w:cs="Times New Roman"/>
          <w:b/>
          <w:sz w:val="24"/>
          <w:szCs w:val="24"/>
        </w:rPr>
        <w:lastRenderedPageBreak/>
        <w:t xml:space="preserve">Against </w:t>
      </w:r>
      <w:proofErr w:type="spellStart"/>
      <w:r w:rsidRPr="00565953">
        <w:rPr>
          <w:rFonts w:ascii="Times New Roman" w:eastAsia="Times New Roman" w:hAnsi="Times New Roman" w:cs="Times New Roman"/>
          <w:b/>
          <w:sz w:val="24"/>
          <w:szCs w:val="24"/>
        </w:rPr>
        <w:t>Estrogen</w:t>
      </w:r>
      <w:proofErr w:type="spellEnd"/>
      <w:r w:rsidRPr="00565953">
        <w:rPr>
          <w:rFonts w:ascii="Times New Roman" w:eastAsia="Times New Roman" w:hAnsi="Times New Roman" w:cs="Times New Roman"/>
          <w:b/>
          <w:sz w:val="24"/>
          <w:szCs w:val="24"/>
        </w:rPr>
        <w:t xml:space="preserve"> Receptor (PDB ID: 1ERE, DOI: 10.2210/pdb1ERE/</w:t>
      </w:r>
      <w:proofErr w:type="spellStart"/>
      <w:r w:rsidRPr="00565953">
        <w:rPr>
          <w:rFonts w:ascii="Times New Roman" w:eastAsia="Times New Roman" w:hAnsi="Times New Roman" w:cs="Times New Roman"/>
          <w:b/>
          <w:sz w:val="24"/>
          <w:szCs w:val="24"/>
        </w:rPr>
        <w:t>pdb</w:t>
      </w:r>
      <w:proofErr w:type="spellEnd"/>
      <w:r w:rsidRPr="00565953">
        <w:rPr>
          <w:rFonts w:ascii="Times New Roman" w:eastAsia="Times New Roman" w:hAnsi="Times New Roman" w:cs="Times New Roman"/>
          <w:b/>
          <w:sz w:val="24"/>
          <w:szCs w:val="24"/>
        </w:rPr>
        <w:t xml:space="preserve">): </w:t>
      </w:r>
      <w:proofErr w:type="spellStart"/>
      <w:r w:rsidR="00003081" w:rsidRPr="00565953">
        <w:rPr>
          <w:rFonts w:ascii="Times New Roman" w:eastAsia="Times New Roman" w:hAnsi="Times New Roman" w:cs="Times New Roman"/>
          <w:bCs/>
          <w:sz w:val="24"/>
          <w:szCs w:val="24"/>
        </w:rPr>
        <w:t>Capparin</w:t>
      </w:r>
      <w:proofErr w:type="spellEnd"/>
      <w:r w:rsidR="00003081" w:rsidRPr="00565953">
        <w:rPr>
          <w:rFonts w:ascii="Times New Roman" w:eastAsia="Times New Roman" w:hAnsi="Times New Roman" w:cs="Times New Roman"/>
          <w:bCs/>
          <w:sz w:val="24"/>
          <w:szCs w:val="24"/>
        </w:rPr>
        <w:t xml:space="preserve"> displayed a docking score of −8.4043 kcal/mol, binding to residues like MET C861 and LEU C881. 6-(1-hydroxy-non-3-enyl)</w:t>
      </w:r>
      <w:r w:rsidR="00375E52" w:rsidRPr="00565953">
        <w:rPr>
          <w:rFonts w:ascii="Times New Roman" w:eastAsia="Times New Roman" w:hAnsi="Times New Roman" w:cs="Times New Roman"/>
          <w:bCs/>
          <w:sz w:val="24"/>
          <w:szCs w:val="24"/>
        </w:rPr>
        <w:t xml:space="preserve"> </w:t>
      </w:r>
      <w:r w:rsidR="00003081" w:rsidRPr="00565953">
        <w:rPr>
          <w:rFonts w:ascii="Times New Roman" w:eastAsia="Times New Roman" w:hAnsi="Times New Roman" w:cs="Times New Roman"/>
          <w:bCs/>
          <w:sz w:val="24"/>
          <w:szCs w:val="24"/>
        </w:rPr>
        <w:t>tetrahydropyran-2-one exhibited the highest docking score of −10.8640 kcal/mol, with binding at HIS D1229, LEU D1054, and PHE D1112.</w:t>
      </w:r>
    </w:p>
    <w:p w14:paraId="0DF1A50D" w14:textId="5BFCEDF2"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No. 5:  </w:t>
      </w:r>
      <w:r w:rsidRPr="00565953">
        <w:rPr>
          <w:rFonts w:ascii="Times New Roman" w:eastAsia="Times New Roman" w:hAnsi="Times New Roman" w:cs="Times New Roman"/>
          <w:sz w:val="24"/>
          <w:szCs w:val="24"/>
        </w:rPr>
        <w:t xml:space="preserve">Interaction between chemical constituents of </w:t>
      </w:r>
      <w:r w:rsidRPr="00565953">
        <w:rPr>
          <w:rFonts w:ascii="Times New Roman" w:eastAsia="Times New Roman" w:hAnsi="Times New Roman" w:cs="Times New Roman"/>
          <w:b/>
          <w:i/>
          <w:sz w:val="24"/>
          <w:szCs w:val="24"/>
        </w:rPr>
        <w:t xml:space="preserve">Capparis decidua </w:t>
      </w:r>
      <w:r w:rsidRPr="00565953">
        <w:rPr>
          <w:rFonts w:ascii="Times New Roman" w:eastAsia="Times New Roman" w:hAnsi="Times New Roman" w:cs="Times New Roman"/>
          <w:i/>
          <w:sz w:val="24"/>
          <w:szCs w:val="24"/>
        </w:rPr>
        <w:t>and</w:t>
      </w:r>
      <w:r w:rsidRPr="00565953">
        <w:rPr>
          <w:rFonts w:ascii="Times New Roman" w:eastAsia="Times New Roman" w:hAnsi="Times New Roman" w:cs="Times New Roman"/>
          <w:sz w:val="24"/>
          <w:szCs w:val="24"/>
        </w:rPr>
        <w:t xml:space="preserve"> ESTROGEN RECEPTOR</w:t>
      </w:r>
      <w:r w:rsidRPr="00565953">
        <w:rPr>
          <w:rFonts w:ascii="Times New Roman" w:eastAsia="Times New Roman" w:hAnsi="Times New Roman" w:cs="Times New Roman"/>
          <w:i/>
          <w:sz w:val="24"/>
          <w:szCs w:val="24"/>
        </w:rPr>
        <w:t xml:space="preserve"> </w:t>
      </w:r>
      <w:r w:rsidRPr="00565953">
        <w:rPr>
          <w:rFonts w:ascii="Times New Roman" w:eastAsia="Times New Roman" w:hAnsi="Times New Roman" w:cs="Times New Roman"/>
          <w:sz w:val="24"/>
          <w:szCs w:val="24"/>
        </w:rPr>
        <w:t xml:space="preserve">1ERE </w:t>
      </w:r>
    </w:p>
    <w:p w14:paraId="0A558A2A" w14:textId="58127A95" w:rsidR="00FE19D9" w:rsidRPr="008C65EA" w:rsidRDefault="00FE19D9" w:rsidP="00112EA7">
      <w:pPr>
        <w:spacing w:line="480" w:lineRule="auto"/>
        <w:rPr>
          <w:rFonts w:ascii="Times New Roman" w:eastAsia="Times New Roman" w:hAnsi="Times New Roman" w:cs="Times New Roman"/>
          <w:b/>
          <w:sz w:val="24"/>
          <w:szCs w:val="24"/>
        </w:rPr>
      </w:pPr>
    </w:p>
    <w:tbl>
      <w:tblPr>
        <w:tblStyle w:val="a4"/>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701"/>
        <w:gridCol w:w="1418"/>
        <w:gridCol w:w="1417"/>
        <w:gridCol w:w="1418"/>
        <w:gridCol w:w="1558"/>
      </w:tblGrid>
      <w:tr w:rsidR="00FE19D9" w:rsidRPr="00565953" w14:paraId="630F6960" w14:textId="77777777">
        <w:trPr>
          <w:trHeight w:val="613"/>
        </w:trPr>
        <w:tc>
          <w:tcPr>
            <w:tcW w:w="1843" w:type="dxa"/>
            <w:tcBorders>
              <w:top w:val="single" w:sz="4" w:space="0" w:color="000000"/>
              <w:left w:val="single" w:sz="4" w:space="0" w:color="000000"/>
              <w:bottom w:val="single" w:sz="4" w:space="0" w:color="000000"/>
              <w:right w:val="single" w:sz="4" w:space="0" w:color="000000"/>
            </w:tcBorders>
          </w:tcPr>
          <w:p w14:paraId="0EA227B5"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DRUG</w:t>
            </w:r>
          </w:p>
        </w:tc>
        <w:tc>
          <w:tcPr>
            <w:tcW w:w="1701" w:type="dxa"/>
            <w:tcBorders>
              <w:top w:val="single" w:sz="4" w:space="0" w:color="000000"/>
              <w:left w:val="single" w:sz="4" w:space="0" w:color="000000"/>
              <w:bottom w:val="single" w:sz="4" w:space="0" w:color="000000"/>
              <w:right w:val="single" w:sz="4" w:space="0" w:color="000000"/>
            </w:tcBorders>
          </w:tcPr>
          <w:p w14:paraId="7DD9F1F0" w14:textId="1141550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Docking score / binding energy (Kcal/mol)</w:t>
            </w:r>
          </w:p>
        </w:tc>
        <w:tc>
          <w:tcPr>
            <w:tcW w:w="1418" w:type="dxa"/>
            <w:tcBorders>
              <w:top w:val="single" w:sz="4" w:space="0" w:color="000000"/>
              <w:left w:val="single" w:sz="4" w:space="0" w:color="000000"/>
              <w:bottom w:val="single" w:sz="4" w:space="0" w:color="000000"/>
              <w:right w:val="single" w:sz="4" w:space="0" w:color="000000"/>
            </w:tcBorders>
          </w:tcPr>
          <w:p w14:paraId="2D238451"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 Van Der waals</w:t>
            </w:r>
          </w:p>
        </w:tc>
        <w:tc>
          <w:tcPr>
            <w:tcW w:w="1417" w:type="dxa"/>
            <w:tcBorders>
              <w:top w:val="single" w:sz="4" w:space="0" w:color="000000"/>
              <w:left w:val="single" w:sz="4" w:space="0" w:color="000000"/>
              <w:bottom w:val="single" w:sz="4" w:space="0" w:color="000000"/>
              <w:right w:val="single" w:sz="4" w:space="0" w:color="000000"/>
            </w:tcBorders>
          </w:tcPr>
          <w:p w14:paraId="4697E24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 xml:space="preserve">H bond </w:t>
            </w:r>
          </w:p>
        </w:tc>
        <w:tc>
          <w:tcPr>
            <w:tcW w:w="1418" w:type="dxa"/>
            <w:tcBorders>
              <w:top w:val="single" w:sz="4" w:space="0" w:color="000000"/>
              <w:left w:val="single" w:sz="4" w:space="0" w:color="000000"/>
              <w:bottom w:val="single" w:sz="4" w:space="0" w:color="000000"/>
              <w:right w:val="single" w:sz="4" w:space="0" w:color="000000"/>
            </w:tcBorders>
          </w:tcPr>
          <w:p w14:paraId="4BD0A93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Pi sulphur</w:t>
            </w:r>
          </w:p>
        </w:tc>
        <w:tc>
          <w:tcPr>
            <w:tcW w:w="1558" w:type="dxa"/>
            <w:tcBorders>
              <w:top w:val="single" w:sz="4" w:space="0" w:color="000000"/>
              <w:left w:val="single" w:sz="4" w:space="0" w:color="000000"/>
              <w:bottom w:val="single" w:sz="4" w:space="0" w:color="000000"/>
              <w:right w:val="single" w:sz="4" w:space="0" w:color="000000"/>
            </w:tcBorders>
          </w:tcPr>
          <w:p w14:paraId="1EF97522"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b/>
                <w:color w:val="000000"/>
                <w:sz w:val="24"/>
                <w:szCs w:val="24"/>
              </w:rPr>
            </w:pPr>
            <w:r w:rsidRPr="00565953">
              <w:rPr>
                <w:rFonts w:ascii="Times New Roman" w:eastAsia="Times New Roman" w:hAnsi="Times New Roman" w:cs="Times New Roman"/>
                <w:b/>
                <w:color w:val="000000"/>
                <w:sz w:val="24"/>
                <w:szCs w:val="24"/>
              </w:rPr>
              <w:t>Alkyl</w:t>
            </w:r>
          </w:p>
        </w:tc>
      </w:tr>
      <w:tr w:rsidR="00FE19D9" w:rsidRPr="00565953" w14:paraId="456DFB57" w14:textId="77777777">
        <w:tc>
          <w:tcPr>
            <w:tcW w:w="1843" w:type="dxa"/>
            <w:tcBorders>
              <w:top w:val="single" w:sz="4" w:space="0" w:color="000000"/>
              <w:left w:val="single" w:sz="4" w:space="0" w:color="000000"/>
              <w:bottom w:val="single" w:sz="4" w:space="0" w:color="000000"/>
              <w:right w:val="single" w:sz="4" w:space="0" w:color="000000"/>
            </w:tcBorders>
          </w:tcPr>
          <w:p w14:paraId="614A616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proofErr w:type="spellStart"/>
            <w:r w:rsidRPr="00565953">
              <w:rPr>
                <w:rFonts w:ascii="Times New Roman" w:eastAsia="Times New Roman" w:hAnsi="Times New Roman" w:cs="Times New Roman"/>
                <w:color w:val="000000"/>
                <w:sz w:val="24"/>
                <w:szCs w:val="24"/>
              </w:rPr>
              <w:t>Capparin</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7D87FBA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-8.4043</w:t>
            </w:r>
          </w:p>
        </w:tc>
        <w:tc>
          <w:tcPr>
            <w:tcW w:w="1418" w:type="dxa"/>
            <w:tcBorders>
              <w:top w:val="single" w:sz="4" w:space="0" w:color="000000"/>
              <w:left w:val="single" w:sz="4" w:space="0" w:color="000000"/>
              <w:bottom w:val="single" w:sz="4" w:space="0" w:color="000000"/>
              <w:right w:val="single" w:sz="4" w:space="0" w:color="000000"/>
            </w:tcBorders>
          </w:tcPr>
          <w:p w14:paraId="64CEB8F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818</w:t>
            </w:r>
          </w:p>
          <w:p w14:paraId="699BDB7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ALA C 823</w:t>
            </w:r>
          </w:p>
          <w:p w14:paraId="1B3E387F"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GLU C 826</w:t>
            </w:r>
          </w:p>
          <w:p w14:paraId="3D0A2DB0"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C 861</w:t>
            </w:r>
          </w:p>
          <w:p w14:paraId="4A8792B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C 881</w:t>
            </w:r>
          </w:p>
          <w:p w14:paraId="4E13CE18"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GLY C 991</w:t>
            </w:r>
          </w:p>
          <w:p w14:paraId="68D64C3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PHE C 898</w:t>
            </w:r>
          </w:p>
        </w:tc>
        <w:tc>
          <w:tcPr>
            <w:tcW w:w="1417" w:type="dxa"/>
            <w:tcBorders>
              <w:top w:val="single" w:sz="4" w:space="0" w:color="000000"/>
              <w:left w:val="single" w:sz="4" w:space="0" w:color="000000"/>
              <w:bottom w:val="single" w:sz="4" w:space="0" w:color="000000"/>
              <w:right w:val="single" w:sz="4" w:space="0" w:color="000000"/>
            </w:tcBorders>
          </w:tcPr>
          <w:p w14:paraId="0037414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C 826</w:t>
            </w:r>
          </w:p>
        </w:tc>
        <w:tc>
          <w:tcPr>
            <w:tcW w:w="1418" w:type="dxa"/>
            <w:tcBorders>
              <w:top w:val="single" w:sz="4" w:space="0" w:color="000000"/>
              <w:left w:val="single" w:sz="4" w:space="0" w:color="000000"/>
              <w:bottom w:val="single" w:sz="4" w:space="0" w:color="000000"/>
              <w:right w:val="single" w:sz="4" w:space="0" w:color="000000"/>
            </w:tcBorders>
          </w:tcPr>
          <w:p w14:paraId="62D05CCB"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MET C 894</w:t>
            </w:r>
          </w:p>
        </w:tc>
        <w:tc>
          <w:tcPr>
            <w:tcW w:w="1558" w:type="dxa"/>
            <w:tcBorders>
              <w:top w:val="single" w:sz="4" w:space="0" w:color="000000"/>
              <w:left w:val="single" w:sz="4" w:space="0" w:color="000000"/>
              <w:bottom w:val="single" w:sz="4" w:space="0" w:color="000000"/>
              <w:right w:val="single" w:sz="4" w:space="0" w:color="000000"/>
            </w:tcBorders>
          </w:tcPr>
          <w:p w14:paraId="6E84B854"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819</w:t>
            </w:r>
          </w:p>
          <w:p w14:paraId="74A05BE8"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822</w:t>
            </w:r>
          </w:p>
          <w:p w14:paraId="46F2DAF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C 864</w:t>
            </w:r>
          </w:p>
          <w:p w14:paraId="6DC780D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ILE C 897</w:t>
            </w:r>
          </w:p>
          <w:p w14:paraId="19A7622C"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C 901</w:t>
            </w:r>
          </w:p>
        </w:tc>
      </w:tr>
      <w:tr w:rsidR="00FE19D9" w:rsidRPr="00565953" w14:paraId="3E8D32EF" w14:textId="77777777">
        <w:tc>
          <w:tcPr>
            <w:tcW w:w="1843" w:type="dxa"/>
            <w:tcBorders>
              <w:top w:val="single" w:sz="4" w:space="0" w:color="000000"/>
              <w:left w:val="single" w:sz="4" w:space="0" w:color="000000"/>
              <w:bottom w:val="single" w:sz="4" w:space="0" w:color="000000"/>
              <w:right w:val="single" w:sz="4" w:space="0" w:color="000000"/>
            </w:tcBorders>
          </w:tcPr>
          <w:p w14:paraId="27500BC7"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6-(1-hydroxy-non-3-enyl) tetrahydropyran-2-one</w:t>
            </w:r>
          </w:p>
        </w:tc>
        <w:tc>
          <w:tcPr>
            <w:tcW w:w="1701" w:type="dxa"/>
            <w:tcBorders>
              <w:top w:val="single" w:sz="4" w:space="0" w:color="000000"/>
              <w:left w:val="single" w:sz="4" w:space="0" w:color="000000"/>
              <w:bottom w:val="single" w:sz="4" w:space="0" w:color="000000"/>
              <w:right w:val="single" w:sz="4" w:space="0" w:color="000000"/>
            </w:tcBorders>
          </w:tcPr>
          <w:p w14:paraId="44E09C9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-10.8640</w:t>
            </w:r>
          </w:p>
        </w:tc>
        <w:tc>
          <w:tcPr>
            <w:tcW w:w="1418" w:type="dxa"/>
            <w:tcBorders>
              <w:top w:val="single" w:sz="4" w:space="0" w:color="000000"/>
              <w:left w:val="single" w:sz="4" w:space="0" w:color="000000"/>
              <w:bottom w:val="single" w:sz="4" w:space="0" w:color="000000"/>
              <w:right w:val="single" w:sz="4" w:space="0" w:color="000000"/>
            </w:tcBorders>
          </w:tcPr>
          <w:p w14:paraId="77E4621C"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0F94C5C9"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HIS D 1229</w:t>
            </w:r>
          </w:p>
        </w:tc>
        <w:tc>
          <w:tcPr>
            <w:tcW w:w="1418" w:type="dxa"/>
            <w:tcBorders>
              <w:top w:val="single" w:sz="4" w:space="0" w:color="000000"/>
              <w:left w:val="single" w:sz="4" w:space="0" w:color="000000"/>
              <w:bottom w:val="single" w:sz="4" w:space="0" w:color="000000"/>
              <w:right w:val="single" w:sz="4" w:space="0" w:color="000000"/>
            </w:tcBorders>
          </w:tcPr>
          <w:p w14:paraId="59745C00" w14:textId="77777777" w:rsidR="00FE19D9" w:rsidRPr="00565953" w:rsidRDefault="00FE19D9" w:rsidP="00385E80">
            <w:pPr>
              <w:pBdr>
                <w:top w:val="nil"/>
                <w:left w:val="nil"/>
                <w:bottom w:val="nil"/>
                <w:right w:val="nil"/>
                <w:between w:val="nil"/>
              </w:pBdr>
              <w:rPr>
                <w:rFonts w:ascii="Times New Roman" w:eastAsia="Times New Roman" w:hAnsi="Times New Roman" w:cs="Times New Roman"/>
                <w:color w:val="000000"/>
                <w:sz w:val="24"/>
                <w:szCs w:val="24"/>
              </w:rPr>
            </w:pPr>
          </w:p>
        </w:tc>
        <w:tc>
          <w:tcPr>
            <w:tcW w:w="1558" w:type="dxa"/>
            <w:tcBorders>
              <w:top w:val="single" w:sz="4" w:space="0" w:color="000000"/>
              <w:left w:val="single" w:sz="4" w:space="0" w:color="000000"/>
              <w:bottom w:val="single" w:sz="4" w:space="0" w:color="000000"/>
              <w:right w:val="single" w:sz="4" w:space="0" w:color="000000"/>
            </w:tcBorders>
          </w:tcPr>
          <w:p w14:paraId="5FFA5DBD"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D 1054</w:t>
            </w:r>
          </w:p>
          <w:p w14:paraId="22EB1186"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LEU D 1099</w:t>
            </w:r>
          </w:p>
          <w:p w14:paraId="2F0C10CE"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lang w:val="de-DE"/>
              </w:rPr>
            </w:pPr>
            <w:r w:rsidRPr="00565953">
              <w:rPr>
                <w:rFonts w:ascii="Times New Roman" w:eastAsia="Times New Roman" w:hAnsi="Times New Roman" w:cs="Times New Roman"/>
                <w:color w:val="000000"/>
                <w:sz w:val="24"/>
                <w:szCs w:val="24"/>
                <w:lang w:val="de-DE"/>
              </w:rPr>
              <w:t>PHE D 1112</w:t>
            </w:r>
          </w:p>
          <w:p w14:paraId="7CED817A" w14:textId="77777777" w:rsidR="00FE19D9" w:rsidRPr="00565953" w:rsidRDefault="00C45F0A" w:rsidP="00385E80">
            <w:pPr>
              <w:pBdr>
                <w:top w:val="nil"/>
                <w:left w:val="nil"/>
                <w:bottom w:val="nil"/>
                <w:right w:val="nil"/>
                <w:between w:val="nil"/>
              </w:pBdr>
              <w:rPr>
                <w:rFonts w:ascii="Times New Roman" w:eastAsia="Times New Roman" w:hAnsi="Times New Roman" w:cs="Times New Roman"/>
                <w:color w:val="000000"/>
                <w:sz w:val="24"/>
                <w:szCs w:val="24"/>
              </w:rPr>
            </w:pPr>
            <w:r w:rsidRPr="00565953">
              <w:rPr>
                <w:rFonts w:ascii="Times New Roman" w:eastAsia="Times New Roman" w:hAnsi="Times New Roman" w:cs="Times New Roman"/>
                <w:color w:val="000000"/>
                <w:sz w:val="24"/>
                <w:szCs w:val="24"/>
              </w:rPr>
              <w:t>LEU D 1230</w:t>
            </w:r>
          </w:p>
        </w:tc>
      </w:tr>
    </w:tbl>
    <w:p w14:paraId="49E7E05A" w14:textId="093E2728" w:rsidR="00FE19D9" w:rsidRPr="00565953" w:rsidRDefault="0031624D"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Source: DOI: https://doi.org/10.2210/pdb1ERE/pdb</w:t>
      </w:r>
    </w:p>
    <w:p w14:paraId="5F96BB41" w14:textId="77777777"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These findings show promising potential for both compounds to disrupt MDM2-p53 interactions and ER-mediated mechanisms-two of the most important processes in breast cancer development. Docking images (Table 6) also depict these interactions.</w:t>
      </w:r>
    </w:p>
    <w:p w14:paraId="349A8F4B" w14:textId="7C3F0DA0" w:rsidR="00FE19D9" w:rsidRPr="00565953" w:rsidRDefault="00C45F0A" w:rsidP="00112EA7">
      <w:pPr>
        <w:spacing w:line="480" w:lineRule="auto"/>
        <w:rPr>
          <w:rFonts w:ascii="Times New Roman" w:eastAsia="Times New Roman" w:hAnsi="Times New Roman" w:cs="Times New Roman"/>
          <w:sz w:val="24"/>
          <w:szCs w:val="24"/>
        </w:rPr>
      </w:pPr>
      <w:r w:rsidRPr="00565953">
        <w:rPr>
          <w:rFonts w:ascii="Times New Roman" w:eastAsia="Times New Roman" w:hAnsi="Times New Roman" w:cs="Times New Roman"/>
          <w:b/>
          <w:sz w:val="24"/>
          <w:szCs w:val="24"/>
        </w:rPr>
        <w:t xml:space="preserve">Table 6: </w:t>
      </w:r>
      <w:r w:rsidRPr="00565953">
        <w:rPr>
          <w:rFonts w:ascii="Times New Roman" w:eastAsia="Times New Roman" w:hAnsi="Times New Roman" w:cs="Times New Roman"/>
          <w:sz w:val="24"/>
          <w:szCs w:val="24"/>
        </w:rPr>
        <w:t>Docking images</w:t>
      </w:r>
      <w:r w:rsidR="00A4007F" w:rsidRPr="00565953">
        <w:rPr>
          <w:rFonts w:ascii="Times New Roman" w:eastAsia="Times New Roman" w:hAnsi="Times New Roman" w:cs="Times New Roman"/>
          <w:sz w:val="24"/>
          <w:szCs w:val="24"/>
        </w:rPr>
        <w:t xml:space="preserve"> </w:t>
      </w:r>
    </w:p>
    <w:tbl>
      <w:tblPr>
        <w:tblStyle w:val="a5"/>
        <w:tblW w:w="9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2"/>
        <w:gridCol w:w="4642"/>
      </w:tblGrid>
      <w:tr w:rsidR="00FE19D9" w:rsidRPr="00565953" w14:paraId="5D0573CA" w14:textId="77777777">
        <w:trPr>
          <w:trHeight w:val="653"/>
        </w:trPr>
        <w:tc>
          <w:tcPr>
            <w:tcW w:w="4862" w:type="dxa"/>
            <w:tcBorders>
              <w:top w:val="single" w:sz="4" w:space="0" w:color="000000"/>
              <w:left w:val="single" w:sz="4" w:space="0" w:color="000000"/>
              <w:bottom w:val="single" w:sz="4" w:space="0" w:color="000000"/>
              <w:right w:val="single" w:sz="4" w:space="0" w:color="000000"/>
            </w:tcBorders>
          </w:tcPr>
          <w:p w14:paraId="2878128E" w14:textId="77777777" w:rsidR="00FE19D9" w:rsidRPr="00565953" w:rsidRDefault="00C45F0A" w:rsidP="00385E80">
            <w:pPr>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with MDM2</w:t>
            </w:r>
          </w:p>
        </w:tc>
        <w:tc>
          <w:tcPr>
            <w:tcW w:w="4642" w:type="dxa"/>
            <w:tcBorders>
              <w:top w:val="single" w:sz="4" w:space="0" w:color="000000"/>
              <w:left w:val="single" w:sz="4" w:space="0" w:color="000000"/>
              <w:bottom w:val="single" w:sz="4" w:space="0" w:color="000000"/>
              <w:right w:val="single" w:sz="4" w:space="0" w:color="000000"/>
            </w:tcBorders>
          </w:tcPr>
          <w:p w14:paraId="216C910D"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6-(1-hydroxy-non-3-enyl) tetrahydropyran-2-one with MDM2</w:t>
            </w:r>
          </w:p>
        </w:tc>
      </w:tr>
      <w:tr w:rsidR="00FE19D9" w:rsidRPr="00565953" w14:paraId="61FCFBCC" w14:textId="77777777">
        <w:trPr>
          <w:trHeight w:val="1811"/>
        </w:trPr>
        <w:tc>
          <w:tcPr>
            <w:tcW w:w="4862" w:type="dxa"/>
            <w:tcBorders>
              <w:top w:val="single" w:sz="4" w:space="0" w:color="000000"/>
              <w:left w:val="single" w:sz="4" w:space="0" w:color="000000"/>
              <w:bottom w:val="single" w:sz="4" w:space="0" w:color="000000"/>
              <w:right w:val="single" w:sz="4" w:space="0" w:color="000000"/>
            </w:tcBorders>
          </w:tcPr>
          <w:p w14:paraId="353804F2"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lang w:val="en-US" w:eastAsia="en-US" w:bidi="ar-SA"/>
              </w:rPr>
              <w:lastRenderedPageBreak/>
              <w:drawing>
                <wp:inline distT="0" distB="0" distL="0" distR="0" wp14:anchorId="08A149B7" wp14:editId="2E95AB1A">
                  <wp:extent cx="2885961" cy="2143640"/>
                  <wp:effectExtent l="0" t="0" r="0" b="0"/>
                  <wp:docPr id="213596769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885961" cy="2143640"/>
                          </a:xfrm>
                          <a:prstGeom prst="rect">
                            <a:avLst/>
                          </a:prstGeom>
                          <a:ln/>
                        </pic:spPr>
                      </pic:pic>
                    </a:graphicData>
                  </a:graphic>
                </wp:inline>
              </w:drawing>
            </w:r>
          </w:p>
        </w:tc>
        <w:tc>
          <w:tcPr>
            <w:tcW w:w="4642" w:type="dxa"/>
            <w:tcBorders>
              <w:top w:val="single" w:sz="4" w:space="0" w:color="000000"/>
              <w:left w:val="single" w:sz="4" w:space="0" w:color="000000"/>
              <w:bottom w:val="single" w:sz="4" w:space="0" w:color="000000"/>
              <w:right w:val="single" w:sz="4" w:space="0" w:color="000000"/>
            </w:tcBorders>
          </w:tcPr>
          <w:p w14:paraId="4122755B"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3ED1D212" wp14:editId="1274DD46">
                  <wp:extent cx="2706484" cy="2192788"/>
                  <wp:effectExtent l="0" t="0" r="0" b="0"/>
                  <wp:docPr id="21359676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706484" cy="2192788"/>
                          </a:xfrm>
                          <a:prstGeom prst="rect">
                            <a:avLst/>
                          </a:prstGeom>
                          <a:ln/>
                        </pic:spPr>
                      </pic:pic>
                    </a:graphicData>
                  </a:graphic>
                </wp:inline>
              </w:drawing>
            </w:r>
          </w:p>
        </w:tc>
      </w:tr>
      <w:tr w:rsidR="00FE19D9" w:rsidRPr="00565953" w14:paraId="16B31B6B" w14:textId="77777777">
        <w:trPr>
          <w:trHeight w:val="653"/>
        </w:trPr>
        <w:tc>
          <w:tcPr>
            <w:tcW w:w="4862" w:type="dxa"/>
            <w:tcBorders>
              <w:top w:val="single" w:sz="4" w:space="0" w:color="000000"/>
              <w:left w:val="single" w:sz="4" w:space="0" w:color="000000"/>
              <w:bottom w:val="single" w:sz="4" w:space="0" w:color="000000"/>
              <w:right w:val="single" w:sz="4" w:space="0" w:color="000000"/>
            </w:tcBorders>
          </w:tcPr>
          <w:p w14:paraId="4154B5D9" w14:textId="77777777" w:rsidR="00FE19D9" w:rsidRPr="00565953" w:rsidRDefault="00C45F0A" w:rsidP="00385E80">
            <w:pPr>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with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w:t>
            </w:r>
          </w:p>
        </w:tc>
        <w:tc>
          <w:tcPr>
            <w:tcW w:w="4642" w:type="dxa"/>
            <w:tcBorders>
              <w:top w:val="single" w:sz="4" w:space="0" w:color="000000"/>
              <w:left w:val="single" w:sz="4" w:space="0" w:color="000000"/>
              <w:bottom w:val="single" w:sz="4" w:space="0" w:color="000000"/>
              <w:right w:val="single" w:sz="4" w:space="0" w:color="000000"/>
            </w:tcBorders>
          </w:tcPr>
          <w:p w14:paraId="69D11F85"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 xml:space="preserve">6-(1-hydroxy-non-3-enyl) tetrahydropyran-2-one with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w:t>
            </w:r>
          </w:p>
        </w:tc>
      </w:tr>
      <w:tr w:rsidR="00FE19D9" w:rsidRPr="00565953" w14:paraId="060BAF89" w14:textId="77777777">
        <w:trPr>
          <w:trHeight w:val="2247"/>
        </w:trPr>
        <w:tc>
          <w:tcPr>
            <w:tcW w:w="4862" w:type="dxa"/>
            <w:tcBorders>
              <w:top w:val="single" w:sz="4" w:space="0" w:color="000000"/>
              <w:left w:val="single" w:sz="4" w:space="0" w:color="000000"/>
              <w:bottom w:val="single" w:sz="4" w:space="0" w:color="000000"/>
              <w:right w:val="single" w:sz="4" w:space="0" w:color="000000"/>
            </w:tcBorders>
          </w:tcPr>
          <w:p w14:paraId="702F9323" w14:textId="77777777" w:rsidR="00FE19D9" w:rsidRPr="00565953" w:rsidRDefault="00C45F0A" w:rsidP="00385E80">
            <w:pP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28598D04" wp14:editId="0E8389FA">
                  <wp:extent cx="2834640" cy="2560320"/>
                  <wp:effectExtent l="0" t="0" r="0" b="0"/>
                  <wp:docPr id="21359676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834640" cy="2560320"/>
                          </a:xfrm>
                          <a:prstGeom prst="rect">
                            <a:avLst/>
                          </a:prstGeom>
                          <a:ln/>
                        </pic:spPr>
                      </pic:pic>
                    </a:graphicData>
                  </a:graphic>
                </wp:inline>
              </w:drawing>
            </w:r>
          </w:p>
        </w:tc>
        <w:tc>
          <w:tcPr>
            <w:tcW w:w="4642" w:type="dxa"/>
            <w:tcBorders>
              <w:top w:val="single" w:sz="4" w:space="0" w:color="000000"/>
              <w:left w:val="single" w:sz="4" w:space="0" w:color="000000"/>
              <w:bottom w:val="single" w:sz="4" w:space="0" w:color="000000"/>
              <w:right w:val="single" w:sz="4" w:space="0" w:color="000000"/>
            </w:tcBorders>
          </w:tcPr>
          <w:p w14:paraId="6C2C998D" w14:textId="77777777" w:rsidR="00FE19D9" w:rsidRPr="00565953" w:rsidRDefault="00C45F0A" w:rsidP="00385E80">
            <w:pPr>
              <w:rPr>
                <w:rFonts w:ascii="Times New Roman" w:eastAsia="Times New Roman" w:hAnsi="Times New Roman" w:cs="Times New Roman"/>
                <w:b/>
                <w:sz w:val="24"/>
                <w:szCs w:val="24"/>
              </w:rPr>
            </w:pPr>
            <w:r w:rsidRPr="00565953">
              <w:rPr>
                <w:rFonts w:ascii="Times New Roman" w:eastAsia="Times New Roman" w:hAnsi="Times New Roman" w:cs="Times New Roman"/>
                <w:noProof/>
                <w:sz w:val="24"/>
                <w:szCs w:val="24"/>
                <w:lang w:val="en-US" w:eastAsia="en-US" w:bidi="ar-SA"/>
              </w:rPr>
              <w:drawing>
                <wp:inline distT="0" distB="0" distL="0" distR="0" wp14:anchorId="67510626" wp14:editId="2A65C0D7">
                  <wp:extent cx="2766060" cy="2522220"/>
                  <wp:effectExtent l="0" t="0" r="0" b="0"/>
                  <wp:docPr id="21359676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766060" cy="2522220"/>
                          </a:xfrm>
                          <a:prstGeom prst="rect">
                            <a:avLst/>
                          </a:prstGeom>
                          <a:ln/>
                        </pic:spPr>
                      </pic:pic>
                    </a:graphicData>
                  </a:graphic>
                </wp:inline>
              </w:drawing>
            </w:r>
          </w:p>
        </w:tc>
      </w:tr>
    </w:tbl>
    <w:p w14:paraId="0959D13F" w14:textId="77777777" w:rsidR="00FE19D9" w:rsidRPr="00565953" w:rsidRDefault="00FE19D9" w:rsidP="00112EA7">
      <w:pPr>
        <w:spacing w:line="480" w:lineRule="auto"/>
        <w:rPr>
          <w:rFonts w:ascii="Times New Roman" w:eastAsia="Times New Roman" w:hAnsi="Times New Roman" w:cs="Times New Roman"/>
          <w:b/>
          <w:sz w:val="24"/>
          <w:szCs w:val="24"/>
        </w:rPr>
      </w:pPr>
    </w:p>
    <w:p w14:paraId="55BD1362" w14:textId="0ABDCE6A" w:rsidR="00FE19D9" w:rsidRPr="00565953" w:rsidRDefault="00C45F0A" w:rsidP="00112EA7">
      <w:pPr>
        <w:spacing w:line="480" w:lineRule="auto"/>
        <w:jc w:val="both"/>
        <w:rPr>
          <w:rFonts w:ascii="Times New Roman" w:eastAsia="Times New Roman" w:hAnsi="Times New Roman" w:cs="Times New Roman"/>
          <w:color w:val="ED0000"/>
          <w:sz w:val="24"/>
          <w:szCs w:val="24"/>
        </w:rPr>
      </w:pPr>
      <w:r w:rsidRPr="00565953">
        <w:rPr>
          <w:rFonts w:ascii="Times New Roman" w:eastAsia="Times New Roman" w:hAnsi="Times New Roman" w:cs="Times New Roman"/>
          <w:sz w:val="24"/>
          <w:szCs w:val="24"/>
        </w:rPr>
        <w:t xml:space="preserve">The findings indicate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may have an ability to inhibit critical cancer-related proteins could contribute to its anticancer effects. This mechanism is believed to play a role in the anticancer properties of </w:t>
      </w:r>
      <w:r w:rsidRPr="00565953">
        <w:rPr>
          <w:rFonts w:ascii="Times New Roman" w:eastAsia="Times New Roman" w:hAnsi="Times New Roman" w:cs="Times New Roman"/>
          <w:i/>
          <w:sz w:val="24"/>
          <w:szCs w:val="24"/>
        </w:rPr>
        <w:t xml:space="preserve">Capparis decidua. </w:t>
      </w:r>
      <w:r w:rsidRPr="00565953">
        <w:rPr>
          <w:rFonts w:ascii="Times New Roman" w:eastAsia="Times New Roman" w:hAnsi="Times New Roman" w:cs="Times New Roman"/>
          <w:sz w:val="24"/>
          <w:szCs w:val="24"/>
        </w:rPr>
        <w:t xml:space="preserve">Graphically it is presented in the Figure </w:t>
      </w:r>
      <w:r w:rsidR="00DA06AB" w:rsidRPr="00565953">
        <w:rPr>
          <w:rFonts w:ascii="Times New Roman" w:eastAsia="Times New Roman" w:hAnsi="Times New Roman" w:cs="Times New Roman"/>
          <w:sz w:val="24"/>
          <w:szCs w:val="24"/>
        </w:rPr>
        <w:t>4</w:t>
      </w:r>
    </w:p>
    <w:p w14:paraId="519D8AF7" w14:textId="77777777" w:rsidR="00FE19D9" w:rsidRPr="00565953" w:rsidRDefault="00FE19D9" w:rsidP="00112EA7">
      <w:pPr>
        <w:spacing w:after="0" w:line="480" w:lineRule="auto"/>
        <w:jc w:val="both"/>
        <w:rPr>
          <w:rFonts w:ascii="Times New Roman" w:eastAsia="Times New Roman" w:hAnsi="Times New Roman" w:cs="Times New Roman"/>
          <w:sz w:val="24"/>
          <w:szCs w:val="24"/>
        </w:rPr>
      </w:pPr>
    </w:p>
    <w:p w14:paraId="23E902F1" w14:textId="77777777" w:rsidR="00FE19D9" w:rsidRPr="00565953" w:rsidRDefault="00C45F0A" w:rsidP="00112EA7">
      <w:pPr>
        <w:spacing w:line="480" w:lineRule="auto"/>
        <w:jc w:val="center"/>
        <w:rPr>
          <w:rFonts w:ascii="Times New Roman" w:eastAsia="Times New Roman" w:hAnsi="Times New Roman" w:cs="Times New Roman"/>
          <w:sz w:val="24"/>
          <w:szCs w:val="24"/>
        </w:rPr>
      </w:pPr>
      <w:r w:rsidRPr="00565953">
        <w:rPr>
          <w:rFonts w:ascii="Times New Roman" w:eastAsia="Times New Roman" w:hAnsi="Times New Roman" w:cs="Times New Roman"/>
          <w:noProof/>
          <w:sz w:val="24"/>
          <w:szCs w:val="24"/>
          <w:lang w:val="en-US" w:eastAsia="en-US" w:bidi="ar-SA"/>
        </w:rPr>
        <w:lastRenderedPageBreak/>
        <w:drawing>
          <wp:inline distT="0" distB="0" distL="0" distR="0" wp14:anchorId="1CA3B433" wp14:editId="02DF0EEB">
            <wp:extent cx="5029046" cy="3166745"/>
            <wp:effectExtent l="0" t="0" r="635" b="0"/>
            <wp:docPr id="213596768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l="2978" t="5298" r="8731" b="1800"/>
                    <a:stretch>
                      <a:fillRect/>
                    </a:stretch>
                  </pic:blipFill>
                  <pic:spPr>
                    <a:xfrm>
                      <a:off x="0" y="0"/>
                      <a:ext cx="5038866" cy="3172929"/>
                    </a:xfrm>
                    <a:prstGeom prst="rect">
                      <a:avLst/>
                    </a:prstGeom>
                    <a:ln/>
                  </pic:spPr>
                </pic:pic>
              </a:graphicData>
            </a:graphic>
          </wp:inline>
        </w:drawing>
      </w:r>
    </w:p>
    <w:p w14:paraId="3D22AFE4" w14:textId="00BBA74B" w:rsidR="00FE19D9" w:rsidRPr="00565953" w:rsidRDefault="00C45F0A" w:rsidP="00112EA7">
      <w:p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bCs/>
          <w:sz w:val="24"/>
          <w:szCs w:val="24"/>
        </w:rPr>
        <w:t xml:space="preserve">Figure </w:t>
      </w:r>
      <w:r w:rsidR="00DA06AB" w:rsidRPr="00565953">
        <w:rPr>
          <w:rFonts w:ascii="Times New Roman" w:eastAsia="Times New Roman" w:hAnsi="Times New Roman" w:cs="Times New Roman"/>
          <w:b/>
          <w:bCs/>
          <w:sz w:val="24"/>
          <w:szCs w:val="24"/>
        </w:rPr>
        <w:t>4</w:t>
      </w:r>
      <w:r w:rsidRPr="00565953">
        <w:rPr>
          <w:rFonts w:ascii="Times New Roman" w:eastAsia="Times New Roman" w:hAnsi="Times New Roman" w:cs="Times New Roman"/>
          <w:b/>
          <w:bCs/>
          <w:sz w:val="24"/>
          <w:szCs w:val="24"/>
        </w:rPr>
        <w:t>.</w:t>
      </w:r>
      <w:r w:rsidRPr="00565953">
        <w:rPr>
          <w:rFonts w:ascii="Times New Roman" w:eastAsia="Times New Roman" w:hAnsi="Times New Roman" w:cs="Times New Roman"/>
          <w:sz w:val="24"/>
          <w:szCs w:val="24"/>
        </w:rPr>
        <w:t xml:space="preserve"> The image </w:t>
      </w:r>
      <w:r w:rsidR="00375E52" w:rsidRPr="00565953">
        <w:rPr>
          <w:rFonts w:ascii="Times New Roman" w:eastAsia="Times New Roman" w:hAnsi="Times New Roman" w:cs="Times New Roman"/>
          <w:sz w:val="24"/>
          <w:szCs w:val="24"/>
        </w:rPr>
        <w:t>demonstrates</w:t>
      </w:r>
      <w:r w:rsidRPr="00565953">
        <w:rPr>
          <w:rFonts w:ascii="Times New Roman" w:eastAsia="Times New Roman" w:hAnsi="Times New Roman" w:cs="Times New Roman"/>
          <w:sz w:val="24"/>
          <w:szCs w:val="24"/>
        </w:rPr>
        <w:t xml:space="preserve"> the possible MOA of the active chemical constituents of </w:t>
      </w:r>
      <w:r w:rsidRPr="00565953">
        <w:rPr>
          <w:rFonts w:ascii="Times New Roman" w:eastAsia="Times New Roman" w:hAnsi="Times New Roman" w:cs="Times New Roman"/>
          <w:i/>
          <w:sz w:val="24"/>
          <w:szCs w:val="24"/>
        </w:rPr>
        <w:t>Capparis decidua</w:t>
      </w:r>
    </w:p>
    <w:p w14:paraId="76C29D95" w14:textId="7FE230B0" w:rsidR="00FE19D9" w:rsidRPr="00565953" w:rsidRDefault="00E901E1" w:rsidP="004866B5">
      <w:pPr>
        <w:pStyle w:val="ListParagraph"/>
        <w:numPr>
          <w:ilvl w:val="0"/>
          <w:numId w:val="5"/>
        </w:num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Discussion</w:t>
      </w:r>
    </w:p>
    <w:p w14:paraId="23246294" w14:textId="535C7E61" w:rsidR="00FE19D9" w:rsidRPr="00565953" w:rsidRDefault="00C45F0A" w:rsidP="00112EA7">
      <w:pPr>
        <w:spacing w:line="480" w:lineRule="auto"/>
        <w:jc w:val="both"/>
        <w:rPr>
          <w:rFonts w:ascii="Times New Roman" w:eastAsia="Times New Roman" w:hAnsi="Times New Roman" w:cs="Times New Roman"/>
          <w:sz w:val="24"/>
          <w:szCs w:val="24"/>
          <w:vertAlign w:val="superscript"/>
        </w:rPr>
      </w:pPr>
      <w:r w:rsidRPr="00565953">
        <w:rPr>
          <w:rFonts w:ascii="Times New Roman" w:eastAsia="Times New Roman" w:hAnsi="Times New Roman" w:cs="Times New Roman"/>
          <w:sz w:val="24"/>
          <w:szCs w:val="24"/>
        </w:rPr>
        <w:t>Breast cancer is the most prevalent cancer among women and ranks as the second leading cause of cancer-related fatalities in this population. Numerous patients seek complementary or alternative therapies alongside standard treatments like chemotherapy and radiation therapy. Herbal remedies represent a promising alternative treatment option due to their potential benefits and their capacity to alleviate side effects</w:t>
      </w:r>
      <w:r w:rsidR="00DE3A14" w:rsidRPr="00565953">
        <w:rPr>
          <w:rFonts w:ascii="Times New Roman" w:eastAsia="Times New Roman" w:hAnsi="Times New Roman" w:cs="Times New Roman"/>
          <w:sz w:val="24"/>
          <w:szCs w:val="24"/>
        </w:rPr>
        <w:t xml:space="preserve"> </w:t>
      </w:r>
      <w:r w:rsidR="00375E52" w:rsidRPr="00565953">
        <w:rPr>
          <w:rFonts w:ascii="Times New Roman" w:eastAsia="Times New Roman" w:hAnsi="Times New Roman" w:cs="Times New Roman"/>
          <w:sz w:val="24"/>
          <w:szCs w:val="24"/>
        </w:rPr>
        <w:t>[</w:t>
      </w:r>
      <w:r w:rsidR="00DE3A14" w:rsidRPr="00565953">
        <w:rPr>
          <w:rFonts w:ascii="Times New Roman" w:eastAsia="Times New Roman" w:hAnsi="Times New Roman" w:cs="Times New Roman"/>
          <w:sz w:val="24"/>
          <w:szCs w:val="24"/>
        </w:rPr>
        <w:t>2</w:t>
      </w:r>
      <w:r w:rsidR="003F3CBB">
        <w:rPr>
          <w:rFonts w:ascii="Times New Roman" w:eastAsia="Times New Roman" w:hAnsi="Times New Roman" w:cs="Times New Roman"/>
          <w:sz w:val="24"/>
          <w:szCs w:val="24"/>
        </w:rPr>
        <w:t>9</w:t>
      </w:r>
      <w:r w:rsidR="00375E52" w:rsidRPr="00565953">
        <w:rPr>
          <w:rFonts w:ascii="Times New Roman" w:eastAsia="Times New Roman" w:hAnsi="Times New Roman" w:cs="Times New Roman"/>
          <w:sz w:val="24"/>
          <w:szCs w:val="24"/>
        </w:rPr>
        <w:t xml:space="preserve">, </w:t>
      </w:r>
      <w:r w:rsidR="003F3CBB">
        <w:rPr>
          <w:rFonts w:ascii="Times New Roman" w:eastAsia="Times New Roman" w:hAnsi="Times New Roman" w:cs="Times New Roman"/>
          <w:sz w:val="24"/>
          <w:szCs w:val="24"/>
        </w:rPr>
        <w:t>30</w:t>
      </w:r>
      <w:r w:rsidR="00D338B8" w:rsidRPr="00565953">
        <w:rPr>
          <w:rFonts w:ascii="Times New Roman" w:eastAsia="Times New Roman" w:hAnsi="Times New Roman" w:cs="Times New Roman"/>
          <w:sz w:val="24"/>
          <w:szCs w:val="24"/>
        </w:rPr>
        <w:t xml:space="preserve">, </w:t>
      </w:r>
      <w:r w:rsidR="005932F9">
        <w:rPr>
          <w:rFonts w:ascii="Times New Roman" w:eastAsia="Times New Roman" w:hAnsi="Times New Roman" w:cs="Times New Roman"/>
          <w:sz w:val="24"/>
          <w:szCs w:val="24"/>
        </w:rPr>
        <w:t>3</w:t>
      </w:r>
      <w:r w:rsidR="003F3CBB">
        <w:rPr>
          <w:rFonts w:ascii="Times New Roman" w:eastAsia="Times New Roman" w:hAnsi="Times New Roman" w:cs="Times New Roman"/>
          <w:sz w:val="24"/>
          <w:szCs w:val="24"/>
        </w:rPr>
        <w:t>1</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The significant adverse effects associated with conventional therapies can notably diminish a patient’s quality of life. Herbal medicines might aid in reducing these side effects or improving the efficacy of standard treatments. The effects of various herbs can vary among individuals based on factors such as lifestyle, genetic background, and more</w:t>
      </w:r>
      <w:r w:rsidR="00DE3A14" w:rsidRPr="00565953">
        <w:rPr>
          <w:rFonts w:ascii="Times New Roman" w:eastAsia="Times New Roman" w:hAnsi="Times New Roman" w:cs="Times New Roman"/>
          <w:sz w:val="24"/>
          <w:szCs w:val="24"/>
        </w:rPr>
        <w:t xml:space="preserve"> </w:t>
      </w:r>
      <w:r w:rsidR="00375E52" w:rsidRPr="00565953">
        <w:rPr>
          <w:rFonts w:ascii="Times New Roman" w:eastAsia="Times New Roman" w:hAnsi="Times New Roman" w:cs="Times New Roman"/>
          <w:sz w:val="24"/>
          <w:szCs w:val="24"/>
        </w:rPr>
        <w:t>[</w:t>
      </w:r>
      <w:r w:rsidR="00DD53B1">
        <w:rPr>
          <w:rFonts w:ascii="Times New Roman" w:eastAsia="Times New Roman" w:hAnsi="Times New Roman" w:cs="Times New Roman"/>
          <w:sz w:val="24"/>
          <w:szCs w:val="24"/>
        </w:rPr>
        <w:t>3</w:t>
      </w:r>
      <w:r w:rsidR="003F3CBB">
        <w:rPr>
          <w:rFonts w:ascii="Times New Roman" w:eastAsia="Times New Roman" w:hAnsi="Times New Roman" w:cs="Times New Roman"/>
          <w:sz w:val="24"/>
          <w:szCs w:val="24"/>
        </w:rPr>
        <w:t>2</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vertAlign w:val="superscript"/>
        </w:rPr>
        <w:t xml:space="preserve"> </w:t>
      </w:r>
      <w:r w:rsidRPr="00565953">
        <w:rPr>
          <w:rFonts w:ascii="Times New Roman" w:eastAsia="Times New Roman" w:hAnsi="Times New Roman" w:cs="Times New Roman"/>
          <w:sz w:val="24"/>
          <w:szCs w:val="24"/>
        </w:rPr>
        <w:t xml:space="preserve">The current research explores the anti-angiogenic and cytotoxic activities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by using a mix of in vitro assays and in silico molecular docking </w:t>
      </w:r>
      <w:r w:rsidRPr="00565953">
        <w:rPr>
          <w:rFonts w:ascii="Times New Roman" w:eastAsia="Times New Roman" w:hAnsi="Times New Roman" w:cs="Times New Roman"/>
          <w:sz w:val="24"/>
          <w:szCs w:val="24"/>
        </w:rPr>
        <w:lastRenderedPageBreak/>
        <w:t xml:space="preserve">studies. The results help to shed light on the probable mechanisms through which </w:t>
      </w:r>
      <w:r w:rsidRPr="00565953">
        <w:rPr>
          <w:rFonts w:ascii="Times New Roman" w:eastAsia="Times New Roman" w:hAnsi="Times New Roman" w:cs="Times New Roman"/>
          <w:i/>
          <w:sz w:val="24"/>
          <w:szCs w:val="24"/>
        </w:rPr>
        <w:t>C. decidua</w:t>
      </w:r>
      <w:r w:rsidRPr="00565953">
        <w:rPr>
          <w:rFonts w:ascii="Times New Roman" w:eastAsia="Times New Roman" w:hAnsi="Times New Roman" w:cs="Times New Roman"/>
          <w:sz w:val="24"/>
          <w:szCs w:val="24"/>
        </w:rPr>
        <w:t xml:space="preserve"> acts to inhibit cancer, especially breast cancer. </w:t>
      </w:r>
    </w:p>
    <w:p w14:paraId="45E68E93" w14:textId="5F978FF0"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An MTT assay (3-(4,5-dimethylthiazol-2-yl)-2,5-diphenyl tetrazolium bromide) was employed to investigate the cytotoxic effects of Capparis decidua. The cell viability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was recorded at 17.26%, 24.84%, 40.97%, 43.39%, 51.61%, 70.48%, 85.81%, and 88.23% for concentrations of 5000, 4000, 3000, 2000, 1000, 500, 250, and 125 μg/mL, respectively against MCF-7 breast cancer cells. The IC50 value was noted at a concentration of 1368 µg/mL (Table 1), highlighting its potential therapeutic and nutritional benefits. The MTT assay results confirmed that the methanolic extract of </w:t>
      </w:r>
      <w:r w:rsidRPr="00565953">
        <w:rPr>
          <w:rFonts w:ascii="Times New Roman" w:eastAsia="Times New Roman" w:hAnsi="Times New Roman" w:cs="Times New Roman"/>
          <w:i/>
          <w:sz w:val="24"/>
          <w:szCs w:val="24"/>
        </w:rPr>
        <w:t xml:space="preserve">C. decidua </w:t>
      </w:r>
      <w:r w:rsidRPr="00565953">
        <w:rPr>
          <w:rFonts w:ascii="Times New Roman" w:eastAsia="Times New Roman" w:hAnsi="Times New Roman" w:cs="Times New Roman"/>
          <w:sz w:val="24"/>
          <w:szCs w:val="24"/>
        </w:rPr>
        <w:t>shows great cytotoxicity towards MCF-7 breast cancer cells, with an IC₅₀ value of ca. 2.58 µg/</w:t>
      </w:r>
      <w:proofErr w:type="spellStart"/>
      <w:r w:rsidRPr="00565953">
        <w:rPr>
          <w:rFonts w:ascii="Times New Roman" w:eastAsia="Times New Roman" w:hAnsi="Times New Roman" w:cs="Times New Roman"/>
          <w:sz w:val="24"/>
          <w:szCs w:val="24"/>
        </w:rPr>
        <w:t>mL.</w:t>
      </w:r>
      <w:proofErr w:type="spellEnd"/>
      <w:r w:rsidRPr="00565953">
        <w:rPr>
          <w:rFonts w:ascii="Times New Roman" w:eastAsia="Times New Roman" w:hAnsi="Times New Roman" w:cs="Times New Roman"/>
          <w:sz w:val="24"/>
          <w:szCs w:val="24"/>
        </w:rPr>
        <w:t xml:space="preserve"> The result is in accordance with existing research on the anticancer activity of Capparis species. For example, in a study conducted on </w:t>
      </w:r>
      <w:r w:rsidRPr="00565953">
        <w:rPr>
          <w:rFonts w:ascii="Times New Roman" w:eastAsia="Times New Roman" w:hAnsi="Times New Roman" w:cs="Times New Roman"/>
          <w:i/>
          <w:sz w:val="24"/>
          <w:szCs w:val="24"/>
        </w:rPr>
        <w:t xml:space="preserve">C. </w:t>
      </w:r>
      <w:r w:rsidR="00115A53" w:rsidRPr="00565953">
        <w:rPr>
          <w:rFonts w:ascii="Times New Roman" w:eastAsia="Times New Roman" w:hAnsi="Times New Roman" w:cs="Times New Roman"/>
          <w:i/>
          <w:sz w:val="24"/>
          <w:szCs w:val="24"/>
        </w:rPr>
        <w:t>spinosa</w:t>
      </w:r>
      <w:r w:rsidRPr="00565953">
        <w:rPr>
          <w:rFonts w:ascii="Times New Roman" w:eastAsia="Times New Roman" w:hAnsi="Times New Roman" w:cs="Times New Roman"/>
          <w:sz w:val="24"/>
          <w:szCs w:val="24"/>
        </w:rPr>
        <w:t>, high cytotoxic activity against MCF-7 cells was reported, indicating the presence of anticancer bioactive compounds</w:t>
      </w:r>
      <w:r w:rsidR="00DE3A14" w:rsidRPr="00565953">
        <w:rPr>
          <w:rFonts w:ascii="Times New Roman" w:eastAsia="Times New Roman" w:hAnsi="Times New Roman" w:cs="Times New Roman"/>
          <w:sz w:val="24"/>
          <w:szCs w:val="24"/>
        </w:rPr>
        <w:t xml:space="preserve"> </w:t>
      </w:r>
      <w:r w:rsidR="00375E52" w:rsidRPr="00565953">
        <w:rPr>
          <w:rFonts w:ascii="Times New Roman" w:eastAsia="Times New Roman" w:hAnsi="Times New Roman" w:cs="Times New Roman"/>
          <w:sz w:val="24"/>
          <w:szCs w:val="24"/>
        </w:rPr>
        <w:t>[</w:t>
      </w:r>
      <w:r w:rsidR="00C77098">
        <w:rPr>
          <w:rFonts w:ascii="Times New Roman" w:eastAsia="Times New Roman" w:hAnsi="Times New Roman" w:cs="Times New Roman"/>
          <w:sz w:val="24"/>
          <w:szCs w:val="24"/>
        </w:rPr>
        <w:t>3</w:t>
      </w:r>
      <w:r w:rsidR="003F3CBB">
        <w:rPr>
          <w:rFonts w:ascii="Times New Roman" w:eastAsia="Times New Roman" w:hAnsi="Times New Roman" w:cs="Times New Roman"/>
          <w:sz w:val="24"/>
          <w:szCs w:val="24"/>
        </w:rPr>
        <w:t>3</w:t>
      </w:r>
      <w:r w:rsidR="00DD53B1">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Likewise, other medicinal herbs have exhibited significant antiproliferative activity against MCF-7 cells, further reinforcing the therapeutic role of plant compounds in breast cancer </w:t>
      </w:r>
      <w:r w:rsidR="00375E52" w:rsidRPr="00565953">
        <w:rPr>
          <w:rFonts w:ascii="Times New Roman" w:eastAsia="Times New Roman" w:hAnsi="Times New Roman" w:cs="Times New Roman"/>
          <w:sz w:val="24"/>
          <w:szCs w:val="24"/>
        </w:rPr>
        <w:t>[</w:t>
      </w:r>
      <w:r w:rsidR="00D338B8" w:rsidRPr="00565953">
        <w:rPr>
          <w:rFonts w:ascii="Times New Roman" w:eastAsia="Times New Roman" w:hAnsi="Times New Roman" w:cs="Times New Roman"/>
          <w:sz w:val="24"/>
          <w:szCs w:val="24"/>
        </w:rPr>
        <w:t>3</w:t>
      </w:r>
      <w:r w:rsidR="003F3CBB">
        <w:rPr>
          <w:rFonts w:ascii="Times New Roman" w:eastAsia="Times New Roman" w:hAnsi="Times New Roman" w:cs="Times New Roman"/>
          <w:sz w:val="24"/>
          <w:szCs w:val="24"/>
        </w:rPr>
        <w:t>4</w:t>
      </w:r>
      <w:r w:rsidR="00375E52"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38F869D4" w14:textId="5998D299" w:rsidR="00FE19D9" w:rsidRPr="00565953"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 study in vivo was carried out to evaluate the antiangiogenic activity utilizing the </w:t>
      </w:r>
      <w:proofErr w:type="spellStart"/>
      <w:r w:rsidRPr="00565953">
        <w:rPr>
          <w:rFonts w:ascii="Times New Roman" w:eastAsia="Times New Roman" w:hAnsi="Times New Roman" w:cs="Times New Roman"/>
          <w:sz w:val="24"/>
          <w:szCs w:val="24"/>
        </w:rPr>
        <w:t>chorioallantoic</w:t>
      </w:r>
      <w:proofErr w:type="spellEnd"/>
      <w:r w:rsidRPr="00565953">
        <w:rPr>
          <w:rFonts w:ascii="Times New Roman" w:eastAsia="Times New Roman" w:hAnsi="Times New Roman" w:cs="Times New Roman"/>
          <w:sz w:val="24"/>
          <w:szCs w:val="24"/>
        </w:rPr>
        <w:t xml:space="preserve"> membrane assay technique. The antiangiogenic activity of the extract from </w:t>
      </w:r>
      <w:r w:rsidRPr="00565953">
        <w:rPr>
          <w:rFonts w:ascii="Times New Roman" w:eastAsia="Times New Roman" w:hAnsi="Times New Roman" w:cs="Times New Roman"/>
          <w:i/>
          <w:sz w:val="24"/>
          <w:szCs w:val="24"/>
        </w:rPr>
        <w:t xml:space="preserve">C. decidua </w:t>
      </w:r>
      <w:r w:rsidRPr="00565953">
        <w:rPr>
          <w:rFonts w:ascii="Times New Roman" w:eastAsia="Times New Roman" w:hAnsi="Times New Roman" w:cs="Times New Roman"/>
          <w:sz w:val="24"/>
          <w:szCs w:val="24"/>
        </w:rPr>
        <w:t xml:space="preserve">at doses of 50, 25, and 12.5 µg/egg showed antiangiogenic indices of 62.50, 61.31, and 62.50, respectively. In comparison, the positive control, 5-fluorouracil, exhibited antiangiogenic indices of 63.10, 52.98, 47.02, and 44.05 at dosages of 10, 5, 2.5, and 1.25 µg/egg, respectively. The extract revealed high inhibition of blood vessel development, which is equivalent to 5-fluorouracil, an anti-angiogenic standard compound. This result parallels findings involving other plant extracts, like the extract of </w:t>
      </w:r>
      <w:proofErr w:type="spellStart"/>
      <w:r w:rsidRPr="00565953">
        <w:rPr>
          <w:rFonts w:ascii="Times New Roman" w:eastAsia="Times New Roman" w:hAnsi="Times New Roman" w:cs="Times New Roman"/>
          <w:i/>
          <w:iCs/>
          <w:sz w:val="24"/>
          <w:szCs w:val="24"/>
        </w:rPr>
        <w:t>Tephrosia</w:t>
      </w:r>
      <w:proofErr w:type="spellEnd"/>
      <w:r w:rsidRPr="00565953">
        <w:rPr>
          <w:rFonts w:ascii="Times New Roman" w:eastAsia="Times New Roman" w:hAnsi="Times New Roman" w:cs="Times New Roman"/>
          <w:i/>
          <w:iCs/>
          <w:sz w:val="24"/>
          <w:szCs w:val="24"/>
        </w:rPr>
        <w:t xml:space="preserve"> </w:t>
      </w:r>
      <w:proofErr w:type="spellStart"/>
      <w:r w:rsidRPr="00565953">
        <w:rPr>
          <w:rFonts w:ascii="Times New Roman" w:eastAsia="Times New Roman" w:hAnsi="Times New Roman" w:cs="Times New Roman"/>
          <w:i/>
          <w:iCs/>
          <w:sz w:val="24"/>
          <w:szCs w:val="24"/>
        </w:rPr>
        <w:t>apollinea</w:t>
      </w:r>
      <w:proofErr w:type="spellEnd"/>
      <w:r w:rsidRPr="00565953">
        <w:rPr>
          <w:rFonts w:ascii="Times New Roman" w:eastAsia="Times New Roman" w:hAnsi="Times New Roman" w:cs="Times New Roman"/>
          <w:sz w:val="24"/>
          <w:szCs w:val="24"/>
        </w:rPr>
        <w:t xml:space="preserve">, which demonstrated potent anti-angiogenic action through the </w:t>
      </w:r>
      <w:r w:rsidRPr="00565953">
        <w:rPr>
          <w:rFonts w:ascii="Times New Roman" w:eastAsia="Times New Roman" w:hAnsi="Times New Roman" w:cs="Times New Roman"/>
          <w:sz w:val="24"/>
          <w:szCs w:val="24"/>
        </w:rPr>
        <w:lastRenderedPageBreak/>
        <w:t xml:space="preserve">suppression of </w:t>
      </w:r>
      <w:proofErr w:type="spellStart"/>
      <w:r w:rsidRPr="00565953">
        <w:rPr>
          <w:rFonts w:ascii="Times New Roman" w:eastAsia="Times New Roman" w:hAnsi="Times New Roman" w:cs="Times New Roman"/>
          <w:sz w:val="24"/>
          <w:szCs w:val="24"/>
        </w:rPr>
        <w:t>microvessel</w:t>
      </w:r>
      <w:proofErr w:type="spellEnd"/>
      <w:r w:rsidRPr="00565953">
        <w:rPr>
          <w:rFonts w:ascii="Times New Roman" w:eastAsia="Times New Roman" w:hAnsi="Times New Roman" w:cs="Times New Roman"/>
          <w:sz w:val="24"/>
          <w:szCs w:val="24"/>
        </w:rPr>
        <w:t xml:space="preserve"> sprouting </w:t>
      </w:r>
      <w:r w:rsidR="005B72F9" w:rsidRPr="00565953">
        <w:rPr>
          <w:rFonts w:ascii="Times New Roman" w:eastAsia="Times New Roman" w:hAnsi="Times New Roman" w:cs="Times New Roman"/>
          <w:sz w:val="24"/>
          <w:szCs w:val="24"/>
        </w:rPr>
        <w:t>[</w:t>
      </w:r>
      <w:r w:rsidR="00E33335" w:rsidRPr="00565953">
        <w:rPr>
          <w:rFonts w:ascii="Times New Roman" w:eastAsia="Times New Roman" w:hAnsi="Times New Roman" w:cs="Times New Roman"/>
          <w:sz w:val="24"/>
          <w:szCs w:val="24"/>
        </w:rPr>
        <w:t>3</w:t>
      </w:r>
      <w:r w:rsidR="003F3CBB">
        <w:rPr>
          <w:rFonts w:ascii="Times New Roman" w:eastAsia="Times New Roman" w:hAnsi="Times New Roman" w:cs="Times New Roman"/>
          <w:sz w:val="24"/>
          <w:szCs w:val="24"/>
        </w:rPr>
        <w:t>5</w:t>
      </w:r>
      <w:r w:rsidR="005B72F9"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The efficacy of CAM assay as a tool to test angiogenesis indicates its utility for screening would-be anti-angiogenic drugs </w:t>
      </w:r>
      <w:r w:rsidR="00E33335" w:rsidRPr="00565953">
        <w:rPr>
          <w:rFonts w:ascii="Times New Roman" w:eastAsia="Times New Roman" w:hAnsi="Times New Roman" w:cs="Times New Roman"/>
          <w:sz w:val="24"/>
          <w:szCs w:val="24"/>
        </w:rPr>
        <w:t>[3</w:t>
      </w:r>
      <w:r w:rsidR="003F3CBB">
        <w:rPr>
          <w:rFonts w:ascii="Times New Roman" w:eastAsia="Times New Roman" w:hAnsi="Times New Roman" w:cs="Times New Roman"/>
          <w:sz w:val="24"/>
          <w:szCs w:val="24"/>
        </w:rPr>
        <w:t>4</w:t>
      </w:r>
      <w:r w:rsidR="00D338B8" w:rsidRPr="00565953">
        <w:rPr>
          <w:rFonts w:ascii="Times New Roman" w:eastAsia="Times New Roman" w:hAnsi="Times New Roman" w:cs="Times New Roman"/>
          <w:sz w:val="24"/>
          <w:szCs w:val="24"/>
        </w:rPr>
        <w:t>, 3</w:t>
      </w:r>
      <w:r w:rsidR="003F3CBB">
        <w:rPr>
          <w:rFonts w:ascii="Times New Roman" w:eastAsia="Times New Roman" w:hAnsi="Times New Roman" w:cs="Times New Roman"/>
          <w:sz w:val="24"/>
          <w:szCs w:val="24"/>
        </w:rPr>
        <w:t>5</w:t>
      </w:r>
      <w:r w:rsidR="00E33335"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w:t>
      </w:r>
    </w:p>
    <w:p w14:paraId="2D00CE59" w14:textId="11E4C393" w:rsidR="00FE19D9" w:rsidRPr="00565953" w:rsidRDefault="00C45F0A" w:rsidP="00112EA7">
      <w:pPr>
        <w:spacing w:line="480" w:lineRule="auto"/>
        <w:jc w:val="both"/>
        <w:rPr>
          <w:rFonts w:ascii="Times New Roman" w:eastAsia="Times New Roman" w:hAnsi="Times New Roman" w:cs="Times New Roman"/>
          <w:b/>
          <w:sz w:val="24"/>
          <w:szCs w:val="24"/>
        </w:rPr>
      </w:pPr>
      <w:r w:rsidRPr="00565953">
        <w:rPr>
          <w:rFonts w:ascii="Times New Roman" w:eastAsia="Times New Roman" w:hAnsi="Times New Roman" w:cs="Times New Roman"/>
          <w:sz w:val="24"/>
          <w:szCs w:val="24"/>
        </w:rPr>
        <w:t>A molecular docking analysis was conducted using Argus</w:t>
      </w:r>
      <w:r w:rsidR="00F91441" w:rsidRPr="00565953">
        <w:rPr>
          <w:rFonts w:ascii="Times New Roman" w:eastAsia="Times New Roman" w:hAnsi="Times New Roman" w:cs="Times New Roman"/>
          <w:sz w:val="24"/>
          <w:szCs w:val="24"/>
        </w:rPr>
        <w:t>L</w:t>
      </w:r>
      <w:r w:rsidRPr="00565953">
        <w:rPr>
          <w:rFonts w:ascii="Times New Roman" w:eastAsia="Times New Roman" w:hAnsi="Times New Roman" w:cs="Times New Roman"/>
          <w:sz w:val="24"/>
          <w:szCs w:val="24"/>
        </w:rPr>
        <w:t xml:space="preserve">ab software. The key chemical constituents of </w:t>
      </w:r>
      <w:r w:rsidRPr="00565953">
        <w:rPr>
          <w:rFonts w:ascii="Times New Roman" w:eastAsia="Times New Roman" w:hAnsi="Times New Roman" w:cs="Times New Roman"/>
          <w:i/>
          <w:sz w:val="24"/>
          <w:szCs w:val="24"/>
        </w:rPr>
        <w:t xml:space="preserve">C. decidua </w:t>
      </w:r>
      <w:r w:rsidRPr="00565953">
        <w:rPr>
          <w:rFonts w:ascii="Times New Roman" w:eastAsia="Times New Roman" w:hAnsi="Times New Roman" w:cs="Times New Roman"/>
          <w:sz w:val="24"/>
          <w:szCs w:val="24"/>
        </w:rPr>
        <w:t xml:space="preserve">namely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 tetrahydropyran-2-one, were docked against the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and MDM2. In silico molecular docking experiments were performed to understand the interaction of </w:t>
      </w:r>
      <w:r w:rsidRPr="00565953">
        <w:rPr>
          <w:rFonts w:ascii="Times New Roman" w:eastAsia="Times New Roman" w:hAnsi="Times New Roman" w:cs="Times New Roman"/>
          <w:i/>
          <w:sz w:val="24"/>
          <w:szCs w:val="24"/>
        </w:rPr>
        <w:t>C. decidua</w:t>
      </w:r>
      <w:r w:rsidR="00A4007F" w:rsidRPr="00565953">
        <w:rPr>
          <w:rFonts w:ascii="Times New Roman" w:eastAsia="Times New Roman" w:hAnsi="Times New Roman" w:cs="Times New Roman"/>
          <w:i/>
          <w:sz w:val="24"/>
          <w:szCs w:val="24"/>
        </w:rPr>
        <w:t xml:space="preserve"> </w:t>
      </w:r>
      <w:r w:rsidR="00A4007F" w:rsidRPr="00565953">
        <w:rPr>
          <w:rFonts w:ascii="Times New Roman" w:eastAsia="Times New Roman" w:hAnsi="Times New Roman" w:cs="Times New Roman"/>
          <w:iCs/>
          <w:sz w:val="24"/>
          <w:szCs w:val="24"/>
        </w:rPr>
        <w:t xml:space="preserve">phytoconstituents with major proteins responsible for cancer development, namely MDM2 and </w:t>
      </w:r>
      <w:proofErr w:type="spellStart"/>
      <w:r w:rsidR="00A4007F" w:rsidRPr="00565953">
        <w:rPr>
          <w:rFonts w:ascii="Times New Roman" w:eastAsia="Times New Roman" w:hAnsi="Times New Roman" w:cs="Times New Roman"/>
          <w:iCs/>
          <w:sz w:val="24"/>
          <w:szCs w:val="24"/>
        </w:rPr>
        <w:t>estrogen</w:t>
      </w:r>
      <w:proofErr w:type="spellEnd"/>
      <w:r w:rsidR="00A4007F" w:rsidRPr="00565953">
        <w:rPr>
          <w:rFonts w:ascii="Times New Roman" w:eastAsia="Times New Roman" w:hAnsi="Times New Roman" w:cs="Times New Roman"/>
          <w:iCs/>
          <w:sz w:val="24"/>
          <w:szCs w:val="24"/>
        </w:rPr>
        <w:t xml:space="preserve"> receptors (ER). The docking results indicated that molecules like </w:t>
      </w:r>
      <w:proofErr w:type="spellStart"/>
      <w:r w:rsidR="00A4007F" w:rsidRPr="00565953">
        <w:rPr>
          <w:rFonts w:ascii="Times New Roman" w:eastAsia="Times New Roman" w:hAnsi="Times New Roman" w:cs="Times New Roman"/>
          <w:iCs/>
          <w:sz w:val="24"/>
          <w:szCs w:val="24"/>
        </w:rPr>
        <w:t>Capparin</w:t>
      </w:r>
      <w:proofErr w:type="spellEnd"/>
      <w:r w:rsidR="00A4007F" w:rsidRPr="00565953">
        <w:rPr>
          <w:rFonts w:ascii="Times New Roman" w:eastAsia="Times New Roman" w:hAnsi="Times New Roman" w:cs="Times New Roman"/>
          <w:iCs/>
          <w:sz w:val="24"/>
          <w:szCs w:val="24"/>
        </w:rPr>
        <w:t xml:space="preserve"> and 6-(1-hydroxy-non-3-enyl) tetrahydropyran-2-one have high binding affinities to these targets. Interestingly, 6-(1-hydroxy-non-3-enyl) tetrahydropyran-2-one had a binding energy of −10.1887 kcal/mol to MDM2 and −10.8640 kcal/mol to ER, indicating a potential for modulating these cancer-associated pathways. Comparable molecular docking methods have been used to screen natural compounds as possible ERα antagonists and p53-MDM2 inhibitors and justify the utility of this technique in anticancer drug research</w:t>
      </w:r>
      <w:r w:rsidR="00D418D9" w:rsidRPr="00565953">
        <w:rPr>
          <w:rFonts w:ascii="Times New Roman" w:eastAsia="Times New Roman" w:hAnsi="Times New Roman" w:cs="Times New Roman"/>
          <w:iCs/>
          <w:sz w:val="24"/>
          <w:szCs w:val="24"/>
        </w:rPr>
        <w:t xml:space="preserve"> </w:t>
      </w:r>
      <w:r w:rsidR="00E33335" w:rsidRPr="00565953">
        <w:rPr>
          <w:rFonts w:ascii="Times New Roman" w:eastAsia="Times New Roman" w:hAnsi="Times New Roman" w:cs="Times New Roman"/>
          <w:iCs/>
          <w:sz w:val="24"/>
          <w:szCs w:val="24"/>
        </w:rPr>
        <w:t>[</w:t>
      </w:r>
      <w:r w:rsidR="00D418D9" w:rsidRPr="00565953">
        <w:rPr>
          <w:rFonts w:ascii="Times New Roman" w:eastAsia="Times New Roman" w:hAnsi="Times New Roman" w:cs="Times New Roman"/>
          <w:iCs/>
          <w:sz w:val="24"/>
          <w:szCs w:val="24"/>
        </w:rPr>
        <w:t>3</w:t>
      </w:r>
      <w:r w:rsidR="003F3CBB">
        <w:rPr>
          <w:rFonts w:ascii="Times New Roman" w:eastAsia="Times New Roman" w:hAnsi="Times New Roman" w:cs="Times New Roman"/>
          <w:iCs/>
          <w:sz w:val="24"/>
          <w:szCs w:val="24"/>
        </w:rPr>
        <w:t>6</w:t>
      </w:r>
      <w:r w:rsidR="00E33335" w:rsidRPr="00565953">
        <w:rPr>
          <w:rFonts w:ascii="Times New Roman" w:eastAsia="Times New Roman" w:hAnsi="Times New Roman" w:cs="Times New Roman"/>
          <w:iCs/>
          <w:sz w:val="24"/>
          <w:szCs w:val="24"/>
        </w:rPr>
        <w:t>]</w:t>
      </w:r>
      <w:r w:rsidR="00A4007F" w:rsidRPr="00565953">
        <w:rPr>
          <w:rFonts w:ascii="Times New Roman" w:eastAsia="Times New Roman" w:hAnsi="Times New Roman" w:cs="Times New Roman"/>
          <w:iCs/>
          <w:sz w:val="24"/>
          <w:szCs w:val="24"/>
        </w:rPr>
        <w:t>.</w:t>
      </w:r>
      <w:r w:rsidR="00A4007F" w:rsidRPr="00565953">
        <w:rPr>
          <w:rFonts w:ascii="Times New Roman" w:eastAsia="Times New Roman" w:hAnsi="Times New Roman" w:cs="Times New Roman"/>
          <w:i/>
          <w:sz w:val="24"/>
          <w:szCs w:val="24"/>
        </w:rPr>
        <w:t xml:space="preserve"> </w:t>
      </w:r>
      <w:r w:rsidRPr="00565953">
        <w:rPr>
          <w:rFonts w:ascii="Times New Roman" w:eastAsia="Times New Roman" w:hAnsi="Times New Roman" w:cs="Times New Roman"/>
          <w:sz w:val="24"/>
          <w:szCs w:val="24"/>
        </w:rPr>
        <w:t xml:space="preserve">The docking scores for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interacting with MDM2 and the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were -7.7979 and -10.1887, respectively. The docking scores for 6-(1-hydroxy-non-3-enyl) tetrahydropyran-2-one with MDM2 and the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 were -8.4043 and -10.8640, respectively. From the docking analysis, it was inferred that </w:t>
      </w:r>
      <w:proofErr w:type="spellStart"/>
      <w:r w:rsidRPr="00565953">
        <w:rPr>
          <w:rFonts w:ascii="Times New Roman" w:eastAsia="Times New Roman" w:hAnsi="Times New Roman" w:cs="Times New Roman"/>
          <w:sz w:val="24"/>
          <w:szCs w:val="24"/>
        </w:rPr>
        <w:t>Capparin</w:t>
      </w:r>
      <w:proofErr w:type="spellEnd"/>
      <w:r w:rsidRPr="00565953">
        <w:rPr>
          <w:rFonts w:ascii="Times New Roman" w:eastAsia="Times New Roman" w:hAnsi="Times New Roman" w:cs="Times New Roman"/>
          <w:sz w:val="24"/>
          <w:szCs w:val="24"/>
        </w:rPr>
        <w:t xml:space="preserve"> and 6-(1-hydroxy-non-3-enyl) tetrahydropyran-2-one may bind to the MDM2 and </w:t>
      </w:r>
      <w:proofErr w:type="spellStart"/>
      <w:r w:rsidRPr="00565953">
        <w:rPr>
          <w:rFonts w:ascii="Times New Roman" w:eastAsia="Times New Roman" w:hAnsi="Times New Roman" w:cs="Times New Roman"/>
          <w:sz w:val="24"/>
          <w:szCs w:val="24"/>
        </w:rPr>
        <w:t>estrogen</w:t>
      </w:r>
      <w:proofErr w:type="spellEnd"/>
      <w:r w:rsidRPr="00565953">
        <w:rPr>
          <w:rFonts w:ascii="Times New Roman" w:eastAsia="Times New Roman" w:hAnsi="Times New Roman" w:cs="Times New Roman"/>
          <w:sz w:val="24"/>
          <w:szCs w:val="24"/>
        </w:rPr>
        <w:t xml:space="preserve"> receptors, </w:t>
      </w:r>
      <w:bookmarkStart w:id="4" w:name="_Hlk201400374"/>
      <w:r w:rsidRPr="00565953">
        <w:rPr>
          <w:rFonts w:ascii="Times New Roman" w:eastAsia="Times New Roman" w:hAnsi="Times New Roman" w:cs="Times New Roman"/>
          <w:sz w:val="24"/>
          <w:szCs w:val="24"/>
        </w:rPr>
        <w:t xml:space="preserve">potentially hindering their functions and probable mechanism given </w:t>
      </w:r>
      <w:r w:rsidRPr="00287620">
        <w:rPr>
          <w:rFonts w:ascii="Times New Roman" w:eastAsia="Times New Roman" w:hAnsi="Times New Roman" w:cs="Times New Roman"/>
          <w:sz w:val="24"/>
          <w:szCs w:val="24"/>
          <w:highlight w:val="yellow"/>
        </w:rPr>
        <w:t xml:space="preserve">Figure </w:t>
      </w:r>
      <w:r w:rsidR="00287620" w:rsidRPr="00287620">
        <w:rPr>
          <w:rFonts w:ascii="Times New Roman" w:eastAsia="Times New Roman" w:hAnsi="Times New Roman" w:cs="Times New Roman"/>
          <w:sz w:val="24"/>
          <w:szCs w:val="24"/>
          <w:highlight w:val="yellow"/>
        </w:rPr>
        <w:t>4</w:t>
      </w:r>
    </w:p>
    <w:bookmarkEnd w:id="4"/>
    <w:p w14:paraId="12F8E821" w14:textId="082055F6" w:rsidR="00FE19D9" w:rsidRPr="00565953" w:rsidRDefault="00E901E1" w:rsidP="004866B5">
      <w:pPr>
        <w:pStyle w:val="ListParagraph"/>
        <w:numPr>
          <w:ilvl w:val="0"/>
          <w:numId w:val="5"/>
        </w:numPr>
        <w:spacing w:line="480" w:lineRule="auto"/>
        <w:rPr>
          <w:rFonts w:ascii="Times New Roman" w:eastAsia="Times New Roman" w:hAnsi="Times New Roman" w:cs="Times New Roman"/>
          <w:b/>
          <w:sz w:val="24"/>
          <w:szCs w:val="24"/>
        </w:rPr>
      </w:pPr>
      <w:r w:rsidRPr="00565953">
        <w:rPr>
          <w:rFonts w:ascii="Times New Roman" w:eastAsia="Times New Roman" w:hAnsi="Times New Roman" w:cs="Times New Roman"/>
          <w:b/>
          <w:sz w:val="24"/>
          <w:szCs w:val="24"/>
        </w:rPr>
        <w:t>Conclusion</w:t>
      </w:r>
      <w:r w:rsidR="00C45F0A" w:rsidRPr="00565953">
        <w:rPr>
          <w:rFonts w:ascii="Times New Roman" w:eastAsia="Times New Roman" w:hAnsi="Times New Roman" w:cs="Times New Roman"/>
          <w:b/>
          <w:sz w:val="24"/>
          <w:szCs w:val="24"/>
        </w:rPr>
        <w:t xml:space="preserve"> </w:t>
      </w:r>
    </w:p>
    <w:p w14:paraId="71EDEB83" w14:textId="016C9F42" w:rsidR="00FE19D9" w:rsidRDefault="00C45F0A" w:rsidP="00112EA7">
      <w:p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Although these findings are quite promising, further research is necessary to clarify the specific mechanisms underlying the anticancer properties of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In this context, thorough in vivo safety and efficacy assessments in mammalian breast cancer models would be essential. </w:t>
      </w:r>
      <w:r w:rsidRPr="00565953">
        <w:rPr>
          <w:rFonts w:ascii="Times New Roman" w:eastAsia="Times New Roman" w:hAnsi="Times New Roman" w:cs="Times New Roman"/>
          <w:sz w:val="24"/>
          <w:szCs w:val="24"/>
        </w:rPr>
        <w:lastRenderedPageBreak/>
        <w:t xml:space="preserve">The development of a new anticancer drug derived from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would require additional steps, including the extraction and purification of active compounds along with subsequent molecular pharmacological </w:t>
      </w:r>
      <w:r w:rsidR="00F27317" w:rsidRPr="00565953">
        <w:rPr>
          <w:rFonts w:ascii="Times New Roman" w:eastAsia="Times New Roman" w:hAnsi="Times New Roman" w:cs="Times New Roman"/>
          <w:sz w:val="24"/>
          <w:szCs w:val="24"/>
        </w:rPr>
        <w:t>modelling</w:t>
      </w:r>
      <w:r w:rsidRPr="00565953">
        <w:rPr>
          <w:rFonts w:ascii="Times New Roman" w:eastAsia="Times New Roman" w:hAnsi="Times New Roman" w:cs="Times New Roman"/>
          <w:sz w:val="24"/>
          <w:szCs w:val="24"/>
        </w:rPr>
        <w:t xml:space="preserve">. The outcomes of this study imply that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could be a valuable addition to complementary or alternative therapies for breast cancer. In this context, thorough in vivo assessments of safety and effectiveness in mammalian breast cancer models are crucial. Creating a new anticancer drug from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would involve further steps, such as the extraction and purification of its active ingredients, along with sophisticated molecular pharmacological </w:t>
      </w:r>
      <w:r w:rsidR="0096016C" w:rsidRPr="00565953">
        <w:rPr>
          <w:rFonts w:ascii="Times New Roman" w:eastAsia="Times New Roman" w:hAnsi="Times New Roman" w:cs="Times New Roman"/>
          <w:sz w:val="24"/>
          <w:szCs w:val="24"/>
        </w:rPr>
        <w:t>modelling</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sz w:val="24"/>
          <w:szCs w:val="24"/>
        </w:rPr>
        <w:t>Capparis decidua</w:t>
      </w:r>
      <w:r w:rsidRPr="00565953">
        <w:rPr>
          <w:rFonts w:ascii="Times New Roman" w:eastAsia="Times New Roman" w:hAnsi="Times New Roman" w:cs="Times New Roman"/>
          <w:sz w:val="24"/>
          <w:szCs w:val="24"/>
        </w:rPr>
        <w:t xml:space="preserve"> may serve as a significant element in complementary or alternative treatments for breast cancer.</w:t>
      </w:r>
    </w:p>
    <w:p w14:paraId="3F265E59" w14:textId="3DFE5F17" w:rsidR="00A34CCF" w:rsidRDefault="00A34CCF" w:rsidP="00112EA7">
      <w:pPr>
        <w:spacing w:line="480" w:lineRule="auto"/>
        <w:jc w:val="both"/>
        <w:rPr>
          <w:rFonts w:ascii="Times New Roman" w:eastAsia="Times New Roman" w:hAnsi="Times New Roman" w:cs="Times New Roman"/>
          <w:sz w:val="24"/>
          <w:szCs w:val="24"/>
        </w:rPr>
      </w:pPr>
    </w:p>
    <w:p w14:paraId="336BB6A0" w14:textId="77777777" w:rsidR="00A34CCF" w:rsidRPr="0021123E" w:rsidRDefault="00A34CCF" w:rsidP="00A34CCF">
      <w:pPr>
        <w:rPr>
          <w:b/>
          <w:highlight w:val="yellow"/>
        </w:rPr>
      </w:pPr>
      <w:r w:rsidRPr="0021123E">
        <w:rPr>
          <w:b/>
          <w:highlight w:val="yellow"/>
        </w:rPr>
        <w:t>Disclaimer (Artificial intelligence)</w:t>
      </w:r>
    </w:p>
    <w:p w14:paraId="4649DBDC" w14:textId="77777777" w:rsidR="00A34CCF" w:rsidRPr="00394842" w:rsidRDefault="00A34CCF" w:rsidP="00A34CCF">
      <w:pPr>
        <w:rPr>
          <w:highlight w:val="yellow"/>
        </w:rPr>
      </w:pPr>
    </w:p>
    <w:p w14:paraId="1A84688E" w14:textId="77777777" w:rsidR="00A34CCF" w:rsidRPr="00394842" w:rsidRDefault="00A34CCF" w:rsidP="00A34CCF">
      <w:pPr>
        <w:rPr>
          <w:highlight w:val="yellow"/>
        </w:rPr>
      </w:pPr>
      <w:r w:rsidRPr="00394842">
        <w:rPr>
          <w:highlight w:val="yellow"/>
        </w:rPr>
        <w:t xml:space="preserve">Option 1: </w:t>
      </w:r>
    </w:p>
    <w:p w14:paraId="64ABDD0F" w14:textId="77777777" w:rsidR="00A34CCF" w:rsidRPr="00394842" w:rsidRDefault="00A34CCF" w:rsidP="00A34CCF">
      <w:pPr>
        <w:rPr>
          <w:highlight w:val="yellow"/>
        </w:rPr>
      </w:pPr>
    </w:p>
    <w:p w14:paraId="304C819C" w14:textId="77777777" w:rsidR="00A34CCF" w:rsidRPr="00394842" w:rsidRDefault="00A34CCF" w:rsidP="00A34CCF">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02150C80" w14:textId="77777777" w:rsidR="00A34CCF" w:rsidRPr="00394842" w:rsidRDefault="00A34CCF" w:rsidP="00A34CCF">
      <w:pPr>
        <w:rPr>
          <w:highlight w:val="yellow"/>
        </w:rPr>
      </w:pPr>
    </w:p>
    <w:p w14:paraId="7C8D4145" w14:textId="77777777" w:rsidR="00A34CCF" w:rsidRPr="00394842" w:rsidRDefault="00A34CCF" w:rsidP="00A34CCF">
      <w:pPr>
        <w:rPr>
          <w:highlight w:val="yellow"/>
        </w:rPr>
      </w:pPr>
      <w:r w:rsidRPr="00394842">
        <w:rPr>
          <w:highlight w:val="yellow"/>
        </w:rPr>
        <w:t xml:space="preserve">Option 2: </w:t>
      </w:r>
    </w:p>
    <w:p w14:paraId="520DEBCE" w14:textId="77777777" w:rsidR="00A34CCF" w:rsidRPr="00394842" w:rsidRDefault="00A34CCF" w:rsidP="00A34CCF">
      <w:pPr>
        <w:rPr>
          <w:highlight w:val="yellow"/>
        </w:rPr>
      </w:pPr>
    </w:p>
    <w:p w14:paraId="7B1C126D" w14:textId="77777777" w:rsidR="00A34CCF" w:rsidRPr="00394842" w:rsidRDefault="00A34CCF" w:rsidP="00A34CCF">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FBE292" w14:textId="77777777" w:rsidR="00A34CCF" w:rsidRPr="00394842" w:rsidRDefault="00A34CCF" w:rsidP="00A34CCF">
      <w:pPr>
        <w:rPr>
          <w:highlight w:val="yellow"/>
        </w:rPr>
      </w:pPr>
    </w:p>
    <w:p w14:paraId="202FE85D" w14:textId="77777777" w:rsidR="00A34CCF" w:rsidRPr="00394842" w:rsidRDefault="00A34CCF" w:rsidP="00A34CCF">
      <w:pPr>
        <w:rPr>
          <w:highlight w:val="yellow"/>
        </w:rPr>
      </w:pPr>
      <w:r w:rsidRPr="00394842">
        <w:rPr>
          <w:highlight w:val="yellow"/>
        </w:rPr>
        <w:t>Details of the AI usage are given below:</w:t>
      </w:r>
    </w:p>
    <w:p w14:paraId="68F1EBDC" w14:textId="77777777" w:rsidR="00A34CCF" w:rsidRPr="00394842" w:rsidRDefault="00A34CCF" w:rsidP="00A34CCF">
      <w:pPr>
        <w:rPr>
          <w:highlight w:val="yellow"/>
        </w:rPr>
      </w:pPr>
      <w:r w:rsidRPr="00394842">
        <w:rPr>
          <w:highlight w:val="yellow"/>
        </w:rPr>
        <w:t>1.</w:t>
      </w:r>
    </w:p>
    <w:p w14:paraId="23F239FB" w14:textId="77777777" w:rsidR="00A34CCF" w:rsidRPr="00394842" w:rsidRDefault="00A34CCF" w:rsidP="00A34CCF">
      <w:pPr>
        <w:rPr>
          <w:highlight w:val="yellow"/>
        </w:rPr>
      </w:pPr>
      <w:r w:rsidRPr="00394842">
        <w:rPr>
          <w:highlight w:val="yellow"/>
        </w:rPr>
        <w:t>2.</w:t>
      </w:r>
    </w:p>
    <w:p w14:paraId="1EA70A9B" w14:textId="77777777" w:rsidR="00A34CCF" w:rsidRPr="00165217" w:rsidRDefault="00A34CCF" w:rsidP="00A34CCF">
      <w:r w:rsidRPr="00394842">
        <w:rPr>
          <w:highlight w:val="yellow"/>
        </w:rPr>
        <w:lastRenderedPageBreak/>
        <w:t>3.</w:t>
      </w:r>
    </w:p>
    <w:p w14:paraId="6292C3BB" w14:textId="77777777" w:rsidR="00A34CCF" w:rsidRPr="00565953" w:rsidRDefault="00A34CCF" w:rsidP="00112EA7">
      <w:pPr>
        <w:spacing w:line="480" w:lineRule="auto"/>
        <w:jc w:val="both"/>
        <w:rPr>
          <w:rFonts w:ascii="Times New Roman" w:eastAsia="Times New Roman" w:hAnsi="Times New Roman" w:cs="Times New Roman"/>
          <w:sz w:val="24"/>
          <w:szCs w:val="24"/>
        </w:rPr>
      </w:pPr>
    </w:p>
    <w:p w14:paraId="0C9668D2" w14:textId="044D4AA7" w:rsidR="00497FB1" w:rsidRPr="00565953" w:rsidRDefault="00E901E1" w:rsidP="004866B5">
      <w:pPr>
        <w:pStyle w:val="ListParagraph"/>
        <w:numPr>
          <w:ilvl w:val="0"/>
          <w:numId w:val="5"/>
        </w:numPr>
        <w:spacing w:line="360" w:lineRule="auto"/>
        <w:jc w:val="both"/>
        <w:rPr>
          <w:rFonts w:ascii="Times New Roman" w:eastAsia="Times New Roman" w:hAnsi="Times New Roman" w:cs="Times New Roman"/>
          <w:b/>
          <w:bCs/>
          <w:sz w:val="24"/>
          <w:szCs w:val="24"/>
        </w:rPr>
      </w:pPr>
      <w:bookmarkStart w:id="5" w:name="_Hlk199840618"/>
      <w:r w:rsidRPr="00565953">
        <w:rPr>
          <w:rFonts w:ascii="Times New Roman" w:eastAsia="Times New Roman" w:hAnsi="Times New Roman" w:cs="Times New Roman"/>
          <w:b/>
          <w:bCs/>
          <w:sz w:val="24"/>
          <w:szCs w:val="24"/>
        </w:rPr>
        <w:t>References</w:t>
      </w:r>
    </w:p>
    <w:p w14:paraId="54EE5014" w14:textId="1EB3983A" w:rsidR="00BD3327" w:rsidRPr="00565953" w:rsidRDefault="00BD3327" w:rsidP="008D3B2E">
      <w:pPr>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hAnsi="Times New Roman" w:cs="Times New Roman"/>
          <w:color w:val="212121"/>
          <w:sz w:val="24"/>
          <w:szCs w:val="24"/>
          <w:shd w:val="clear" w:color="auto" w:fill="FFFFFF"/>
        </w:rPr>
        <w:t>Hatsell</w:t>
      </w:r>
      <w:proofErr w:type="spellEnd"/>
      <w:r w:rsidRPr="00565953">
        <w:rPr>
          <w:rFonts w:ascii="Times New Roman" w:hAnsi="Times New Roman" w:cs="Times New Roman"/>
          <w:color w:val="212121"/>
          <w:sz w:val="24"/>
          <w:szCs w:val="24"/>
          <w:shd w:val="clear" w:color="auto" w:fill="FFFFFF"/>
        </w:rPr>
        <w:t xml:space="preserve">, S., Rowlands, T., Hiremath, M., &amp; Cowin, P. (2003). Beta-catenin and </w:t>
      </w:r>
      <w:proofErr w:type="spellStart"/>
      <w:r w:rsidRPr="00565953">
        <w:rPr>
          <w:rFonts w:ascii="Times New Roman" w:hAnsi="Times New Roman" w:cs="Times New Roman"/>
          <w:color w:val="212121"/>
          <w:sz w:val="24"/>
          <w:szCs w:val="24"/>
          <w:shd w:val="clear" w:color="auto" w:fill="FFFFFF"/>
        </w:rPr>
        <w:t>Tcfs</w:t>
      </w:r>
      <w:proofErr w:type="spellEnd"/>
      <w:r w:rsidRPr="00565953">
        <w:rPr>
          <w:rFonts w:ascii="Times New Roman" w:hAnsi="Times New Roman" w:cs="Times New Roman"/>
          <w:color w:val="212121"/>
          <w:sz w:val="24"/>
          <w:szCs w:val="24"/>
          <w:shd w:val="clear" w:color="auto" w:fill="FFFFFF"/>
        </w:rPr>
        <w:t xml:space="preserve"> in mammary development and cancer. </w:t>
      </w:r>
      <w:r w:rsidRPr="00565953">
        <w:rPr>
          <w:rFonts w:ascii="Times New Roman" w:hAnsi="Times New Roman" w:cs="Times New Roman"/>
          <w:i/>
          <w:iCs/>
          <w:color w:val="212121"/>
          <w:sz w:val="24"/>
          <w:szCs w:val="24"/>
          <w:shd w:val="clear" w:color="auto" w:fill="FFFFFF"/>
        </w:rPr>
        <w:t>Journal of Mammary Gland Biology and Neoplasia</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8</w:t>
      </w:r>
      <w:r w:rsidRPr="00565953">
        <w:rPr>
          <w:rFonts w:ascii="Times New Roman" w:hAnsi="Times New Roman" w:cs="Times New Roman"/>
          <w:color w:val="212121"/>
          <w:sz w:val="24"/>
          <w:szCs w:val="24"/>
          <w:shd w:val="clear" w:color="auto" w:fill="FFFFFF"/>
        </w:rPr>
        <w:t xml:space="preserve">(2), 145–158. </w:t>
      </w:r>
      <w:hyperlink r:id="rId23" w:history="1">
        <w:r w:rsidRPr="00565953">
          <w:rPr>
            <w:rStyle w:val="Hyperlink"/>
            <w:rFonts w:ascii="Times New Roman" w:hAnsi="Times New Roman" w:cs="Times New Roman"/>
            <w:sz w:val="24"/>
            <w:szCs w:val="24"/>
            <w:shd w:val="clear" w:color="auto" w:fill="FFFFFF"/>
          </w:rPr>
          <w:t>https://doi.org/10.1023/a:1025944723047</w:t>
        </w:r>
      </w:hyperlink>
    </w:p>
    <w:p w14:paraId="13EF651B" w14:textId="171D2A59" w:rsidR="003B4C44" w:rsidRPr="00565953" w:rsidRDefault="003B4C44"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International Agency for Research on Cancer, World Health Organization. Global Cancer Observatory. Cancer Today. International Agency for Research on Cancer, World Health Organization; 2023. Accessed February 22, 2023. </w:t>
      </w:r>
      <w:hyperlink r:id="rId24" w:history="1">
        <w:r w:rsidRPr="00565953">
          <w:rPr>
            <w:rStyle w:val="Hyperlink"/>
            <w:rFonts w:ascii="Times New Roman" w:eastAsia="Times New Roman" w:hAnsi="Times New Roman" w:cs="Times New Roman"/>
            <w:sz w:val="24"/>
            <w:szCs w:val="24"/>
          </w:rPr>
          <w:t>https://gco.iarc.fr/</w:t>
        </w:r>
      </w:hyperlink>
      <w:r w:rsidRPr="00565953">
        <w:rPr>
          <w:rFonts w:ascii="Times New Roman" w:eastAsia="Times New Roman" w:hAnsi="Times New Roman" w:cs="Times New Roman"/>
          <w:sz w:val="24"/>
          <w:szCs w:val="24"/>
        </w:rPr>
        <w:t> </w:t>
      </w:r>
    </w:p>
    <w:p w14:paraId="63224320" w14:textId="7AAD2729"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 xml:space="preserve">Sathishkumar, K., Chaturvedi, M., Das, P., Stephen, S., &amp; Mathur, P. (2022). Cancer incidence estimates for 2022 &amp; projection for 2025: Result from National Cancer Registry </w:t>
      </w:r>
      <w:proofErr w:type="spellStart"/>
      <w:r w:rsidRPr="00565953">
        <w:rPr>
          <w:rFonts w:ascii="Times New Roman" w:hAnsi="Times New Roman" w:cs="Times New Roman"/>
          <w:color w:val="212121"/>
          <w:sz w:val="24"/>
          <w:szCs w:val="24"/>
          <w:shd w:val="clear" w:color="auto" w:fill="FFFFFF"/>
        </w:rPr>
        <w:t>Programme</w:t>
      </w:r>
      <w:proofErr w:type="spellEnd"/>
      <w:r w:rsidRPr="00565953">
        <w:rPr>
          <w:rFonts w:ascii="Times New Roman" w:hAnsi="Times New Roman" w:cs="Times New Roman"/>
          <w:color w:val="212121"/>
          <w:sz w:val="24"/>
          <w:szCs w:val="24"/>
          <w:shd w:val="clear" w:color="auto" w:fill="FFFFFF"/>
        </w:rPr>
        <w:t>, India. </w:t>
      </w:r>
      <w:r w:rsidRPr="00565953">
        <w:rPr>
          <w:rFonts w:ascii="Times New Roman" w:hAnsi="Times New Roman" w:cs="Times New Roman"/>
          <w:i/>
          <w:iCs/>
          <w:color w:val="212121"/>
          <w:sz w:val="24"/>
          <w:szCs w:val="24"/>
          <w:shd w:val="clear" w:color="auto" w:fill="FFFFFF"/>
        </w:rPr>
        <w:t>The Indian Journal of Medical Research</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156</w:t>
      </w:r>
      <w:r w:rsidRPr="00565953">
        <w:rPr>
          <w:rFonts w:ascii="Times New Roman" w:hAnsi="Times New Roman" w:cs="Times New Roman"/>
          <w:color w:val="212121"/>
          <w:sz w:val="24"/>
          <w:szCs w:val="24"/>
          <w:shd w:val="clear" w:color="auto" w:fill="FFFFFF"/>
        </w:rPr>
        <w:t xml:space="preserve">(4&amp;5), 598–607. </w:t>
      </w:r>
      <w:hyperlink r:id="rId25" w:history="1">
        <w:r w:rsidRPr="00565953">
          <w:rPr>
            <w:rStyle w:val="Hyperlink"/>
            <w:rFonts w:ascii="Times New Roman" w:hAnsi="Times New Roman" w:cs="Times New Roman"/>
            <w:sz w:val="24"/>
            <w:szCs w:val="24"/>
            <w:shd w:val="clear" w:color="auto" w:fill="FFFFFF"/>
          </w:rPr>
          <w:t>https://doi.org/10.4103/ijmr.ijmr_1821_22</w:t>
        </w:r>
      </w:hyperlink>
    </w:p>
    <w:p w14:paraId="78CFBC81" w14:textId="1736F542"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Wilding, J. L., &amp; Bodmer, W. F. (2014). Cancer cell lines for drug discovery and development. </w:t>
      </w:r>
      <w:r w:rsidRPr="00565953">
        <w:rPr>
          <w:rFonts w:ascii="Times New Roman" w:hAnsi="Times New Roman" w:cs="Times New Roman"/>
          <w:i/>
          <w:iCs/>
          <w:color w:val="212121"/>
          <w:sz w:val="24"/>
          <w:szCs w:val="24"/>
          <w:shd w:val="clear" w:color="auto" w:fill="FFFFFF"/>
        </w:rPr>
        <w:t>Cancer Research</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74</w:t>
      </w:r>
      <w:r w:rsidRPr="00565953">
        <w:rPr>
          <w:rFonts w:ascii="Times New Roman" w:hAnsi="Times New Roman" w:cs="Times New Roman"/>
          <w:color w:val="212121"/>
          <w:sz w:val="24"/>
          <w:szCs w:val="24"/>
          <w:shd w:val="clear" w:color="auto" w:fill="FFFFFF"/>
        </w:rPr>
        <w:t xml:space="preserve">(9), 2377–2384. </w:t>
      </w:r>
      <w:hyperlink r:id="rId26" w:history="1">
        <w:r w:rsidRPr="00565953">
          <w:rPr>
            <w:rStyle w:val="Hyperlink"/>
            <w:rFonts w:ascii="Times New Roman" w:hAnsi="Times New Roman" w:cs="Times New Roman"/>
            <w:sz w:val="24"/>
            <w:szCs w:val="24"/>
            <w:shd w:val="clear" w:color="auto" w:fill="FFFFFF"/>
          </w:rPr>
          <w:t>https://doi.org/10.1158/0008-5472.CAN-13-2971</w:t>
        </w:r>
      </w:hyperlink>
    </w:p>
    <w:p w14:paraId="6A696C83" w14:textId="0AF46A07"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hAnsi="Times New Roman" w:cs="Times New Roman"/>
          <w:color w:val="212121"/>
          <w:sz w:val="24"/>
          <w:szCs w:val="24"/>
          <w:shd w:val="clear" w:color="auto" w:fill="FFFFFF"/>
        </w:rPr>
        <w:t>Mahnashi</w:t>
      </w:r>
      <w:proofErr w:type="spellEnd"/>
      <w:r w:rsidRPr="00565953">
        <w:rPr>
          <w:rFonts w:ascii="Times New Roman" w:hAnsi="Times New Roman" w:cs="Times New Roman"/>
          <w:color w:val="212121"/>
          <w:sz w:val="24"/>
          <w:szCs w:val="24"/>
          <w:shd w:val="clear" w:color="auto" w:fill="FFFFFF"/>
        </w:rPr>
        <w:t xml:space="preserve">, M., </w:t>
      </w:r>
      <w:proofErr w:type="spellStart"/>
      <w:r w:rsidRPr="00565953">
        <w:rPr>
          <w:rFonts w:ascii="Times New Roman" w:hAnsi="Times New Roman" w:cs="Times New Roman"/>
          <w:color w:val="212121"/>
          <w:sz w:val="24"/>
          <w:szCs w:val="24"/>
          <w:shd w:val="clear" w:color="auto" w:fill="FFFFFF"/>
        </w:rPr>
        <w:t>Elgazwi</w:t>
      </w:r>
      <w:proofErr w:type="spellEnd"/>
      <w:r w:rsidRPr="00565953">
        <w:rPr>
          <w:rFonts w:ascii="Times New Roman" w:hAnsi="Times New Roman" w:cs="Times New Roman"/>
          <w:color w:val="212121"/>
          <w:sz w:val="24"/>
          <w:szCs w:val="24"/>
          <w:shd w:val="clear" w:color="auto" w:fill="FFFFFF"/>
        </w:rPr>
        <w:t xml:space="preserve">, S. M., Ahmed, M. S., &amp; </w:t>
      </w:r>
      <w:proofErr w:type="spellStart"/>
      <w:r w:rsidRPr="00565953">
        <w:rPr>
          <w:rFonts w:ascii="Times New Roman" w:hAnsi="Times New Roman" w:cs="Times New Roman"/>
          <w:color w:val="212121"/>
          <w:sz w:val="24"/>
          <w:szCs w:val="24"/>
          <w:shd w:val="clear" w:color="auto" w:fill="FFFFFF"/>
        </w:rPr>
        <w:t>Halaweish</w:t>
      </w:r>
      <w:proofErr w:type="spellEnd"/>
      <w:r w:rsidRPr="00565953">
        <w:rPr>
          <w:rFonts w:ascii="Times New Roman" w:hAnsi="Times New Roman" w:cs="Times New Roman"/>
          <w:color w:val="212121"/>
          <w:sz w:val="24"/>
          <w:szCs w:val="24"/>
          <w:shd w:val="clear" w:color="auto" w:fill="FFFFFF"/>
        </w:rPr>
        <w:t xml:space="preserve">, F. T. (2019). </w:t>
      </w:r>
      <w:proofErr w:type="spellStart"/>
      <w:r w:rsidRPr="00565953">
        <w:rPr>
          <w:rFonts w:ascii="Times New Roman" w:hAnsi="Times New Roman" w:cs="Times New Roman"/>
          <w:color w:val="212121"/>
          <w:sz w:val="24"/>
          <w:szCs w:val="24"/>
          <w:shd w:val="clear" w:color="auto" w:fill="FFFFFF"/>
        </w:rPr>
        <w:t>Cucurbitacins</w:t>
      </w:r>
      <w:proofErr w:type="spellEnd"/>
      <w:r w:rsidRPr="00565953">
        <w:rPr>
          <w:rFonts w:ascii="Times New Roman" w:hAnsi="Times New Roman" w:cs="Times New Roman"/>
          <w:color w:val="212121"/>
          <w:sz w:val="24"/>
          <w:szCs w:val="24"/>
          <w:shd w:val="clear" w:color="auto" w:fill="FFFFFF"/>
        </w:rPr>
        <w:t xml:space="preserve"> inspired organic synthesis: Potential dual inhibitors targeting EGFR - MAPK pathway. </w:t>
      </w:r>
      <w:r w:rsidRPr="00565953">
        <w:rPr>
          <w:rFonts w:ascii="Times New Roman" w:hAnsi="Times New Roman" w:cs="Times New Roman"/>
          <w:i/>
          <w:iCs/>
          <w:color w:val="212121"/>
          <w:sz w:val="24"/>
          <w:szCs w:val="24"/>
          <w:shd w:val="clear" w:color="auto" w:fill="FFFFFF"/>
        </w:rPr>
        <w:t>European Journal of Medicinal Chemistry</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173</w:t>
      </w:r>
      <w:r w:rsidRPr="00565953">
        <w:rPr>
          <w:rFonts w:ascii="Times New Roman" w:hAnsi="Times New Roman" w:cs="Times New Roman"/>
          <w:color w:val="212121"/>
          <w:sz w:val="24"/>
          <w:szCs w:val="24"/>
          <w:shd w:val="clear" w:color="auto" w:fill="FFFFFF"/>
        </w:rPr>
        <w:t xml:space="preserve">, 294–304. </w:t>
      </w:r>
      <w:hyperlink r:id="rId27" w:history="1">
        <w:r w:rsidRPr="00565953">
          <w:rPr>
            <w:rStyle w:val="Hyperlink"/>
            <w:rFonts w:ascii="Times New Roman" w:hAnsi="Times New Roman" w:cs="Times New Roman"/>
            <w:sz w:val="24"/>
            <w:szCs w:val="24"/>
            <w:shd w:val="clear" w:color="auto" w:fill="FFFFFF"/>
          </w:rPr>
          <w:t>https://doi.org/10.1016/j.ejmech.2019.04.018</w:t>
        </w:r>
      </w:hyperlink>
    </w:p>
    <w:p w14:paraId="45913EEB" w14:textId="77777777" w:rsidR="00BD3327" w:rsidRPr="00565953" w:rsidRDefault="00BD3327"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Levenson, A. S., &amp; Jordan, V. C. (1997). MCF-7: the first hormone-responsive breast cancer cell line. </w:t>
      </w:r>
      <w:r w:rsidRPr="00565953">
        <w:rPr>
          <w:rFonts w:ascii="Times New Roman" w:hAnsi="Times New Roman" w:cs="Times New Roman"/>
          <w:i/>
          <w:iCs/>
          <w:color w:val="212121"/>
          <w:sz w:val="24"/>
          <w:szCs w:val="24"/>
          <w:shd w:val="clear" w:color="auto" w:fill="FFFFFF"/>
        </w:rPr>
        <w:t>Cancer research</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57</w:t>
      </w:r>
      <w:r w:rsidRPr="00565953">
        <w:rPr>
          <w:rFonts w:ascii="Times New Roman" w:hAnsi="Times New Roman" w:cs="Times New Roman"/>
          <w:color w:val="212121"/>
          <w:sz w:val="24"/>
          <w:szCs w:val="24"/>
          <w:shd w:val="clear" w:color="auto" w:fill="FFFFFF"/>
        </w:rPr>
        <w:t>(15), 3071–3078.</w:t>
      </w:r>
    </w:p>
    <w:p w14:paraId="420B5E43" w14:textId="77777777" w:rsidR="00564B76" w:rsidRPr="00565953" w:rsidRDefault="00564B76" w:rsidP="008D3B2E">
      <w:pPr>
        <w:pStyle w:val="NormalWeb"/>
        <w:numPr>
          <w:ilvl w:val="0"/>
          <w:numId w:val="3"/>
        </w:numPr>
        <w:spacing w:before="0" w:beforeAutospacing="0" w:after="0" w:afterAutospacing="0" w:line="480" w:lineRule="auto"/>
        <w:jc w:val="both"/>
      </w:pPr>
      <w:r w:rsidRPr="00565953">
        <w:lastRenderedPageBreak/>
        <w:t xml:space="preserve">Welsh, J. (2013). Animal models for studying prevention and treatment of breast cancer. In </w:t>
      </w:r>
      <w:r w:rsidRPr="00565953">
        <w:rPr>
          <w:i/>
          <w:iCs/>
        </w:rPr>
        <w:t>Elsevier eBooks</w:t>
      </w:r>
      <w:r w:rsidRPr="00565953">
        <w:t xml:space="preserve"> (pp. 997–1018). </w:t>
      </w:r>
      <w:r w:rsidRPr="00565953">
        <w:rPr>
          <w:rStyle w:val="url"/>
          <w:rFonts w:eastAsia="Calibri"/>
        </w:rPr>
        <w:t>https://doi.org/10.1016/b978-0-12-415894-8.00040-3</w:t>
      </w:r>
    </w:p>
    <w:p w14:paraId="25D47021" w14:textId="292F0E42" w:rsidR="00564B76" w:rsidRPr="00565953" w:rsidRDefault="00564B76"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1B1B1B"/>
          <w:sz w:val="24"/>
          <w:szCs w:val="24"/>
          <w:shd w:val="clear" w:color="auto" w:fill="FFFFFF"/>
        </w:rPr>
        <w:t>Ayaz, M., Junaid, M., Ullah, F., Sadiq, A., Subhan, F., Khan, M. A., Ahmad, W., Ali, G., Imran, M., &amp; Ahmad, S. (2016). Molecularly Characterized Solvent Extracts and Saponins from Polygonum hydropiper L. Show High Anti-Angiogenic, Anti-Tumor, Brine Shrimp, and Fibroblast NIH/3T3 Cell Line Cytotoxicity. </w:t>
      </w:r>
      <w:r w:rsidRPr="00565953">
        <w:rPr>
          <w:rFonts w:ascii="Times New Roman" w:hAnsi="Times New Roman" w:cs="Times New Roman"/>
          <w:i/>
          <w:iCs/>
          <w:color w:val="1B1B1B"/>
          <w:sz w:val="24"/>
          <w:szCs w:val="24"/>
          <w:shd w:val="clear" w:color="auto" w:fill="FFFFFF"/>
        </w:rPr>
        <w:t>Frontiers in Pharmacology</w:t>
      </w:r>
      <w:r w:rsidRPr="00565953">
        <w:rPr>
          <w:rFonts w:ascii="Times New Roman" w:hAnsi="Times New Roman" w:cs="Times New Roman"/>
          <w:color w:val="1B1B1B"/>
          <w:sz w:val="24"/>
          <w:szCs w:val="24"/>
          <w:shd w:val="clear" w:color="auto" w:fill="FFFFFF"/>
        </w:rPr>
        <w:t>, </w:t>
      </w:r>
      <w:r w:rsidRPr="00565953">
        <w:rPr>
          <w:rFonts w:ascii="Times New Roman" w:hAnsi="Times New Roman" w:cs="Times New Roman"/>
          <w:i/>
          <w:iCs/>
          <w:color w:val="1B1B1B"/>
          <w:sz w:val="24"/>
          <w:szCs w:val="24"/>
          <w:shd w:val="clear" w:color="auto" w:fill="FFFFFF"/>
        </w:rPr>
        <w:t>7</w:t>
      </w:r>
      <w:r w:rsidRPr="00565953">
        <w:rPr>
          <w:rFonts w:ascii="Times New Roman" w:hAnsi="Times New Roman" w:cs="Times New Roman"/>
          <w:color w:val="1B1B1B"/>
          <w:sz w:val="24"/>
          <w:szCs w:val="24"/>
          <w:shd w:val="clear" w:color="auto" w:fill="FFFFFF"/>
        </w:rPr>
        <w:t xml:space="preserve">, 74. </w:t>
      </w:r>
      <w:hyperlink r:id="rId28" w:history="1">
        <w:r w:rsidRPr="00565953">
          <w:rPr>
            <w:rStyle w:val="Hyperlink"/>
            <w:rFonts w:ascii="Times New Roman" w:hAnsi="Times New Roman" w:cs="Times New Roman"/>
            <w:sz w:val="24"/>
            <w:szCs w:val="24"/>
            <w:shd w:val="clear" w:color="auto" w:fill="FFFFFF"/>
          </w:rPr>
          <w:t>https://doi.org/10.3389/fphar.2016.00074</w:t>
        </w:r>
      </w:hyperlink>
    </w:p>
    <w:p w14:paraId="2F872DB6" w14:textId="09E30532" w:rsidR="00564B76" w:rsidRPr="00565953" w:rsidRDefault="00564B76"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Hanahan, D., &amp; Folkman, J. (1996). Patterns and emerging mechanisms of the angiogenic switch during tumorigenesis. </w:t>
      </w:r>
      <w:r w:rsidRPr="00565953">
        <w:rPr>
          <w:rFonts w:ascii="Times New Roman" w:hAnsi="Times New Roman" w:cs="Times New Roman"/>
          <w:i/>
          <w:iCs/>
          <w:color w:val="212121"/>
          <w:sz w:val="24"/>
          <w:szCs w:val="24"/>
          <w:shd w:val="clear" w:color="auto" w:fill="FFFFFF"/>
        </w:rPr>
        <w:t>Cell</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86</w:t>
      </w:r>
      <w:r w:rsidRPr="00565953">
        <w:rPr>
          <w:rFonts w:ascii="Times New Roman" w:hAnsi="Times New Roman" w:cs="Times New Roman"/>
          <w:color w:val="212121"/>
          <w:sz w:val="24"/>
          <w:szCs w:val="24"/>
          <w:shd w:val="clear" w:color="auto" w:fill="FFFFFF"/>
        </w:rPr>
        <w:t xml:space="preserve">(3), 353–364. </w:t>
      </w:r>
      <w:hyperlink r:id="rId29" w:history="1">
        <w:r w:rsidRPr="00565953">
          <w:rPr>
            <w:rStyle w:val="Hyperlink"/>
            <w:rFonts w:ascii="Times New Roman" w:hAnsi="Times New Roman" w:cs="Times New Roman"/>
            <w:sz w:val="24"/>
            <w:szCs w:val="24"/>
            <w:shd w:val="clear" w:color="auto" w:fill="FFFFFF"/>
          </w:rPr>
          <w:t>https://doi.org/10.1016/s0092-8674(00)80108-7</w:t>
        </w:r>
      </w:hyperlink>
    </w:p>
    <w:p w14:paraId="1D13FCB0" w14:textId="373853AA" w:rsidR="00564B76" w:rsidRPr="00565953" w:rsidRDefault="00564B76"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lang w:val="de-DE"/>
        </w:rPr>
        <w:t>Folkman, J., &amp; Klagsbrun, M. (1987). Angiogenic factors. </w:t>
      </w:r>
      <w:r w:rsidRPr="00565953">
        <w:rPr>
          <w:rFonts w:ascii="Times New Roman" w:hAnsi="Times New Roman" w:cs="Times New Roman"/>
          <w:i/>
          <w:iCs/>
          <w:color w:val="212121"/>
          <w:sz w:val="24"/>
          <w:szCs w:val="24"/>
          <w:shd w:val="clear" w:color="auto" w:fill="FFFFFF"/>
        </w:rPr>
        <w:t>Science (New York, N.Y.)</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235</w:t>
      </w:r>
      <w:r w:rsidRPr="00565953">
        <w:rPr>
          <w:rFonts w:ascii="Times New Roman" w:hAnsi="Times New Roman" w:cs="Times New Roman"/>
          <w:color w:val="212121"/>
          <w:sz w:val="24"/>
          <w:szCs w:val="24"/>
          <w:shd w:val="clear" w:color="auto" w:fill="FFFFFF"/>
        </w:rPr>
        <w:t xml:space="preserve">(4787), 442–447. </w:t>
      </w:r>
      <w:hyperlink r:id="rId30" w:history="1">
        <w:r w:rsidRPr="00565953">
          <w:rPr>
            <w:rStyle w:val="Hyperlink"/>
            <w:rFonts w:ascii="Times New Roman" w:hAnsi="Times New Roman" w:cs="Times New Roman"/>
            <w:sz w:val="24"/>
            <w:szCs w:val="24"/>
            <w:shd w:val="clear" w:color="auto" w:fill="FFFFFF"/>
          </w:rPr>
          <w:t>https://doi.org/10.1126/science.2432664</w:t>
        </w:r>
      </w:hyperlink>
      <w:r w:rsidRPr="00565953">
        <w:rPr>
          <w:rFonts w:ascii="Times New Roman" w:hAnsi="Times New Roman" w:cs="Times New Roman"/>
          <w:color w:val="212121"/>
          <w:sz w:val="24"/>
          <w:szCs w:val="24"/>
          <w:shd w:val="clear" w:color="auto" w:fill="FFFFFF"/>
        </w:rPr>
        <w:t xml:space="preserve"> </w:t>
      </w:r>
    </w:p>
    <w:p w14:paraId="6C73BAFF" w14:textId="1EA0B793" w:rsidR="00115A53" w:rsidRPr="00565953" w:rsidRDefault="00115A53"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 xml:space="preserve">Al-Abd, A. M., Alamoudi, A. J., Abdel-Naim, A. B., </w:t>
      </w:r>
      <w:proofErr w:type="spellStart"/>
      <w:r w:rsidRPr="00565953">
        <w:rPr>
          <w:rFonts w:ascii="Times New Roman" w:hAnsi="Times New Roman" w:cs="Times New Roman"/>
          <w:color w:val="212121"/>
          <w:sz w:val="24"/>
          <w:szCs w:val="24"/>
          <w:shd w:val="clear" w:color="auto" w:fill="FFFFFF"/>
        </w:rPr>
        <w:t>Neamatallah</w:t>
      </w:r>
      <w:proofErr w:type="spellEnd"/>
      <w:r w:rsidRPr="00565953">
        <w:rPr>
          <w:rFonts w:ascii="Times New Roman" w:hAnsi="Times New Roman" w:cs="Times New Roman"/>
          <w:color w:val="212121"/>
          <w:sz w:val="24"/>
          <w:szCs w:val="24"/>
          <w:shd w:val="clear" w:color="auto" w:fill="FFFFFF"/>
        </w:rPr>
        <w:t xml:space="preserve">, T. A., &amp; Ashour, O. M. (2017). Anti-angiogenic agents for the treatment of solid tumors: Potential pathways, therapy and current strategies - A review. Journal of Advanced Research, 8(6), 591-605. </w:t>
      </w:r>
      <w:hyperlink r:id="rId31" w:history="1">
        <w:r w:rsidRPr="00565953">
          <w:rPr>
            <w:rStyle w:val="Hyperlink"/>
            <w:rFonts w:ascii="Times New Roman" w:hAnsi="Times New Roman" w:cs="Times New Roman"/>
            <w:sz w:val="24"/>
            <w:szCs w:val="24"/>
            <w:shd w:val="clear" w:color="auto" w:fill="FFFFFF"/>
          </w:rPr>
          <w:t>https://doi.org/10.1016/j.jare.2017.06.006</w:t>
        </w:r>
      </w:hyperlink>
    </w:p>
    <w:p w14:paraId="09AA6532" w14:textId="7A7EC5B5" w:rsidR="00115A53" w:rsidRPr="00565953" w:rsidRDefault="00115A53" w:rsidP="00115A53">
      <w:pPr>
        <w:pStyle w:val="ListParagraph"/>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 xml:space="preserve"> </w:t>
      </w:r>
    </w:p>
    <w:p w14:paraId="10C0BBC2" w14:textId="4DF34BA9" w:rsidR="00E368D3" w:rsidRPr="00565953" w:rsidRDefault="00E368D3" w:rsidP="008D3B2E">
      <w:pPr>
        <w:pStyle w:val="ListParagraph"/>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hAnsi="Times New Roman" w:cs="Times New Roman"/>
          <w:color w:val="212121"/>
          <w:sz w:val="24"/>
          <w:szCs w:val="24"/>
          <w:shd w:val="clear" w:color="auto" w:fill="FFFFFF"/>
        </w:rPr>
        <w:t>Ribatti</w:t>
      </w:r>
      <w:proofErr w:type="spellEnd"/>
      <w:r w:rsidRPr="00565953">
        <w:rPr>
          <w:rFonts w:ascii="Times New Roman" w:hAnsi="Times New Roman" w:cs="Times New Roman"/>
          <w:color w:val="212121"/>
          <w:sz w:val="24"/>
          <w:szCs w:val="24"/>
          <w:shd w:val="clear" w:color="auto" w:fill="FFFFFF"/>
        </w:rPr>
        <w:t xml:space="preserve">, D., Nico, B., Vacca, A., </w:t>
      </w:r>
      <w:proofErr w:type="spellStart"/>
      <w:r w:rsidRPr="00565953">
        <w:rPr>
          <w:rFonts w:ascii="Times New Roman" w:hAnsi="Times New Roman" w:cs="Times New Roman"/>
          <w:color w:val="212121"/>
          <w:sz w:val="24"/>
          <w:szCs w:val="24"/>
          <w:shd w:val="clear" w:color="auto" w:fill="FFFFFF"/>
        </w:rPr>
        <w:t>Roncali</w:t>
      </w:r>
      <w:proofErr w:type="spellEnd"/>
      <w:r w:rsidRPr="00565953">
        <w:rPr>
          <w:rFonts w:ascii="Times New Roman" w:hAnsi="Times New Roman" w:cs="Times New Roman"/>
          <w:color w:val="212121"/>
          <w:sz w:val="24"/>
          <w:szCs w:val="24"/>
          <w:shd w:val="clear" w:color="auto" w:fill="FFFFFF"/>
        </w:rPr>
        <w:t xml:space="preserve">, L., Burri, P. H., &amp; </w:t>
      </w:r>
      <w:proofErr w:type="spellStart"/>
      <w:r w:rsidRPr="00565953">
        <w:rPr>
          <w:rFonts w:ascii="Times New Roman" w:hAnsi="Times New Roman" w:cs="Times New Roman"/>
          <w:color w:val="212121"/>
          <w:sz w:val="24"/>
          <w:szCs w:val="24"/>
          <w:shd w:val="clear" w:color="auto" w:fill="FFFFFF"/>
        </w:rPr>
        <w:t>Djonov</w:t>
      </w:r>
      <w:proofErr w:type="spellEnd"/>
      <w:r w:rsidRPr="00565953">
        <w:rPr>
          <w:rFonts w:ascii="Times New Roman" w:hAnsi="Times New Roman" w:cs="Times New Roman"/>
          <w:color w:val="212121"/>
          <w:sz w:val="24"/>
          <w:szCs w:val="24"/>
          <w:shd w:val="clear" w:color="auto" w:fill="FFFFFF"/>
        </w:rPr>
        <w:t>, V. (2001). Chorioallantoic membrane capillary bed: a useful target for studying angiogenesis and anti-angiogenesis in vivo. </w:t>
      </w:r>
      <w:r w:rsidRPr="00565953">
        <w:rPr>
          <w:rFonts w:ascii="Times New Roman" w:hAnsi="Times New Roman" w:cs="Times New Roman"/>
          <w:i/>
          <w:iCs/>
          <w:color w:val="212121"/>
          <w:sz w:val="24"/>
          <w:szCs w:val="24"/>
          <w:shd w:val="clear" w:color="auto" w:fill="FFFFFF"/>
        </w:rPr>
        <w:t xml:space="preserve">The Anatomical </w:t>
      </w:r>
      <w:r w:rsidR="008D3B2E" w:rsidRPr="00565953">
        <w:rPr>
          <w:rFonts w:ascii="Times New Roman" w:hAnsi="Times New Roman" w:cs="Times New Roman"/>
          <w:i/>
          <w:iCs/>
          <w:color w:val="212121"/>
          <w:sz w:val="24"/>
          <w:szCs w:val="24"/>
          <w:shd w:val="clear" w:color="auto" w:fill="FFFFFF"/>
        </w:rPr>
        <w:t>R</w:t>
      </w:r>
      <w:r w:rsidRPr="00565953">
        <w:rPr>
          <w:rFonts w:ascii="Times New Roman" w:hAnsi="Times New Roman" w:cs="Times New Roman"/>
          <w:i/>
          <w:iCs/>
          <w:color w:val="212121"/>
          <w:sz w:val="24"/>
          <w:szCs w:val="24"/>
          <w:shd w:val="clear" w:color="auto" w:fill="FFFFFF"/>
        </w:rPr>
        <w:t>ecord</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264</w:t>
      </w:r>
      <w:r w:rsidRPr="00565953">
        <w:rPr>
          <w:rFonts w:ascii="Times New Roman" w:hAnsi="Times New Roman" w:cs="Times New Roman"/>
          <w:color w:val="212121"/>
          <w:sz w:val="24"/>
          <w:szCs w:val="24"/>
          <w:shd w:val="clear" w:color="auto" w:fill="FFFFFF"/>
        </w:rPr>
        <w:t xml:space="preserve">(4), 317–324. </w:t>
      </w:r>
      <w:hyperlink r:id="rId32" w:history="1">
        <w:r w:rsidRPr="00565953">
          <w:rPr>
            <w:rStyle w:val="Hyperlink"/>
            <w:rFonts w:ascii="Times New Roman" w:hAnsi="Times New Roman" w:cs="Times New Roman"/>
            <w:sz w:val="24"/>
            <w:szCs w:val="24"/>
            <w:shd w:val="clear" w:color="auto" w:fill="FFFFFF"/>
          </w:rPr>
          <w:t>https://doi.org/10.1002/ar.10021</w:t>
        </w:r>
      </w:hyperlink>
    </w:p>
    <w:p w14:paraId="25A7FCC9" w14:textId="25F19596" w:rsidR="00E368D3" w:rsidRPr="00565953" w:rsidRDefault="00E368D3"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lang w:val="de-DE"/>
        </w:rPr>
        <w:lastRenderedPageBreak/>
        <w:t xml:space="preserve">Wang, S., Zheng, Z., Weng, Y., Yu, Y., Zhang, D., Fan, W., Dai, R., &amp; Hu, Z. (2004). </w:t>
      </w:r>
      <w:r w:rsidRPr="00565953">
        <w:rPr>
          <w:rFonts w:ascii="Times New Roman" w:hAnsi="Times New Roman" w:cs="Times New Roman"/>
          <w:color w:val="212121"/>
          <w:sz w:val="24"/>
          <w:szCs w:val="24"/>
          <w:shd w:val="clear" w:color="auto" w:fill="FFFFFF"/>
        </w:rPr>
        <w:t>Angiogenesis and anti-angiogenesis activity of Chinese medicinal herbal extracts. </w:t>
      </w:r>
      <w:r w:rsidRPr="00565953">
        <w:rPr>
          <w:rFonts w:ascii="Times New Roman" w:hAnsi="Times New Roman" w:cs="Times New Roman"/>
          <w:i/>
          <w:iCs/>
          <w:color w:val="212121"/>
          <w:sz w:val="24"/>
          <w:szCs w:val="24"/>
          <w:shd w:val="clear" w:color="auto" w:fill="FFFFFF"/>
        </w:rPr>
        <w:t xml:space="preserve">Life </w:t>
      </w:r>
      <w:r w:rsidR="008D3B2E" w:rsidRPr="00565953">
        <w:rPr>
          <w:rFonts w:ascii="Times New Roman" w:hAnsi="Times New Roman" w:cs="Times New Roman"/>
          <w:i/>
          <w:iCs/>
          <w:color w:val="212121"/>
          <w:sz w:val="24"/>
          <w:szCs w:val="24"/>
          <w:shd w:val="clear" w:color="auto" w:fill="FFFFFF"/>
        </w:rPr>
        <w:t>S</w:t>
      </w:r>
      <w:r w:rsidRPr="00565953">
        <w:rPr>
          <w:rFonts w:ascii="Times New Roman" w:hAnsi="Times New Roman" w:cs="Times New Roman"/>
          <w:i/>
          <w:iCs/>
          <w:color w:val="212121"/>
          <w:sz w:val="24"/>
          <w:szCs w:val="24"/>
          <w:shd w:val="clear" w:color="auto" w:fill="FFFFFF"/>
        </w:rPr>
        <w:t>ciences</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74</w:t>
      </w:r>
      <w:r w:rsidRPr="00565953">
        <w:rPr>
          <w:rFonts w:ascii="Times New Roman" w:hAnsi="Times New Roman" w:cs="Times New Roman"/>
          <w:color w:val="212121"/>
          <w:sz w:val="24"/>
          <w:szCs w:val="24"/>
          <w:shd w:val="clear" w:color="auto" w:fill="FFFFFF"/>
        </w:rPr>
        <w:t xml:space="preserve">(20), 2467–2478. </w:t>
      </w:r>
      <w:hyperlink r:id="rId33" w:history="1">
        <w:r w:rsidRPr="00565953">
          <w:rPr>
            <w:rStyle w:val="Hyperlink"/>
            <w:rFonts w:ascii="Times New Roman" w:hAnsi="Times New Roman" w:cs="Times New Roman"/>
            <w:sz w:val="24"/>
            <w:szCs w:val="24"/>
            <w:shd w:val="clear" w:color="auto" w:fill="FFFFFF"/>
          </w:rPr>
          <w:t>https://doi.org/10.1016/j.lfs.2003.03.005</w:t>
        </w:r>
      </w:hyperlink>
    </w:p>
    <w:p w14:paraId="33776A2E" w14:textId="5C4A38BB" w:rsidR="003B4C44" w:rsidRPr="00565953" w:rsidRDefault="00C242F9" w:rsidP="008D3B2E">
      <w:pPr>
        <w:pStyle w:val="ListParagraph"/>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color w:val="212121"/>
          <w:sz w:val="24"/>
          <w:szCs w:val="24"/>
          <w:shd w:val="clear" w:color="auto" w:fill="FFFFFF"/>
        </w:rPr>
        <w:t>Nandi, S., Nag, A., Khatua, S., Sen, S., Chakraborty, N., Naskar, A., Acharya, K., Calina, D., &amp; Sharifi-Rad, J. (2024). Anticancer activity and other biomedical properties of β-sitosterol: Bridging phytochemistry and current pharmacological evidence for future translational approaches. </w:t>
      </w:r>
      <w:r w:rsidRPr="00565953">
        <w:rPr>
          <w:rFonts w:ascii="Times New Roman" w:hAnsi="Times New Roman" w:cs="Times New Roman"/>
          <w:i/>
          <w:iCs/>
          <w:color w:val="212121"/>
          <w:sz w:val="24"/>
          <w:szCs w:val="24"/>
          <w:shd w:val="clear" w:color="auto" w:fill="FFFFFF"/>
        </w:rPr>
        <w:t>Phytotherapy</w:t>
      </w:r>
      <w:r w:rsidR="008D3B2E" w:rsidRPr="00565953">
        <w:rPr>
          <w:rFonts w:ascii="Times New Roman" w:hAnsi="Times New Roman" w:cs="Times New Roman"/>
          <w:i/>
          <w:iCs/>
          <w:color w:val="212121"/>
          <w:sz w:val="24"/>
          <w:szCs w:val="24"/>
          <w:shd w:val="clear" w:color="auto" w:fill="FFFFFF"/>
        </w:rPr>
        <w:t xml:space="preserve"> R</w:t>
      </w:r>
      <w:r w:rsidRPr="00565953">
        <w:rPr>
          <w:rFonts w:ascii="Times New Roman" w:hAnsi="Times New Roman" w:cs="Times New Roman"/>
          <w:i/>
          <w:iCs/>
          <w:color w:val="212121"/>
          <w:sz w:val="24"/>
          <w:szCs w:val="24"/>
          <w:shd w:val="clear" w:color="auto" w:fill="FFFFFF"/>
        </w:rPr>
        <w:t>esearch: PTR</w:t>
      </w:r>
      <w:r w:rsidRPr="00565953">
        <w:rPr>
          <w:rFonts w:ascii="Times New Roman" w:hAnsi="Times New Roman" w:cs="Times New Roman"/>
          <w:color w:val="212121"/>
          <w:sz w:val="24"/>
          <w:szCs w:val="24"/>
          <w:shd w:val="clear" w:color="auto" w:fill="FFFFFF"/>
        </w:rPr>
        <w:t>, </w:t>
      </w:r>
      <w:r w:rsidRPr="00565953">
        <w:rPr>
          <w:rFonts w:ascii="Times New Roman" w:hAnsi="Times New Roman" w:cs="Times New Roman"/>
          <w:i/>
          <w:iCs/>
          <w:color w:val="212121"/>
          <w:sz w:val="24"/>
          <w:szCs w:val="24"/>
          <w:shd w:val="clear" w:color="auto" w:fill="FFFFFF"/>
        </w:rPr>
        <w:t>38</w:t>
      </w:r>
      <w:r w:rsidRPr="00565953">
        <w:rPr>
          <w:rFonts w:ascii="Times New Roman" w:hAnsi="Times New Roman" w:cs="Times New Roman"/>
          <w:color w:val="212121"/>
          <w:sz w:val="24"/>
          <w:szCs w:val="24"/>
          <w:shd w:val="clear" w:color="auto" w:fill="FFFFFF"/>
        </w:rPr>
        <w:t xml:space="preserve">(2), 592–619. </w:t>
      </w:r>
      <w:hyperlink r:id="rId34" w:history="1">
        <w:r w:rsidRPr="00565953">
          <w:rPr>
            <w:rStyle w:val="Hyperlink"/>
            <w:rFonts w:ascii="Times New Roman" w:hAnsi="Times New Roman" w:cs="Times New Roman"/>
            <w:sz w:val="24"/>
            <w:szCs w:val="24"/>
            <w:shd w:val="clear" w:color="auto" w:fill="FFFFFF"/>
          </w:rPr>
          <w:t>https://doi.org/10.1002/ptr.8061</w:t>
        </w:r>
      </w:hyperlink>
      <w:r w:rsidRPr="00565953">
        <w:rPr>
          <w:rFonts w:ascii="Times New Roman" w:hAnsi="Times New Roman" w:cs="Times New Roman"/>
          <w:color w:val="212121"/>
          <w:sz w:val="24"/>
          <w:szCs w:val="24"/>
          <w:shd w:val="clear" w:color="auto" w:fill="FFFFFF"/>
        </w:rPr>
        <w:t xml:space="preserve"> </w:t>
      </w:r>
      <w:r w:rsidR="003B4C44" w:rsidRPr="00565953">
        <w:rPr>
          <w:rFonts w:ascii="Times New Roman" w:eastAsia="Times New Roman" w:hAnsi="Times New Roman" w:cs="Times New Roman"/>
          <w:sz w:val="24"/>
          <w:szCs w:val="24"/>
        </w:rPr>
        <w:t>PMID: 37929761.</w:t>
      </w:r>
    </w:p>
    <w:p w14:paraId="7ED5BBE0" w14:textId="223F8BF5" w:rsidR="00C242F9" w:rsidRPr="00565953" w:rsidRDefault="00C242F9"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lang w:val="en-US" w:eastAsia="en-US" w:bidi="ar-SA"/>
        </w:rPr>
        <w:t>Gupta, A</w:t>
      </w:r>
      <w:r w:rsidR="008D3B2E" w:rsidRPr="00565953">
        <w:rPr>
          <w:rFonts w:ascii="Times New Roman" w:eastAsia="Times New Roman" w:hAnsi="Times New Roman" w:cs="Times New Roman"/>
          <w:sz w:val="24"/>
          <w:szCs w:val="24"/>
          <w:lang w:val="en-US" w:eastAsia="en-US" w:bidi="ar-SA"/>
        </w:rPr>
        <w:t xml:space="preserve">. </w:t>
      </w:r>
      <w:r w:rsidRPr="00565953">
        <w:rPr>
          <w:rFonts w:ascii="Times New Roman" w:eastAsia="Times New Roman" w:hAnsi="Times New Roman" w:cs="Times New Roman"/>
          <w:sz w:val="24"/>
          <w:szCs w:val="24"/>
          <w:lang w:val="en-US" w:eastAsia="en-US" w:bidi="ar-SA"/>
        </w:rPr>
        <w:t>K</w:t>
      </w:r>
      <w:r w:rsidR="008D3B2E" w:rsidRPr="00565953">
        <w:rPr>
          <w:rFonts w:ascii="Times New Roman" w:eastAsia="Times New Roman" w:hAnsi="Times New Roman" w:cs="Times New Roman"/>
          <w:sz w:val="24"/>
          <w:szCs w:val="24"/>
          <w:lang w:val="en-US" w:eastAsia="en-US" w:bidi="ar-SA"/>
        </w:rPr>
        <w:t>.</w:t>
      </w:r>
      <w:r w:rsidRPr="00565953">
        <w:rPr>
          <w:rFonts w:ascii="Times New Roman" w:eastAsia="Times New Roman" w:hAnsi="Times New Roman" w:cs="Times New Roman"/>
          <w:sz w:val="24"/>
          <w:szCs w:val="24"/>
          <w:lang w:val="en-US" w:eastAsia="en-US" w:bidi="ar-SA"/>
        </w:rPr>
        <w:t xml:space="preserve"> &amp; Tandon, Neeraj &amp; Sharma, Madhu &amp; </w:t>
      </w:r>
      <w:r w:rsidR="008D3B2E" w:rsidRPr="00565953">
        <w:rPr>
          <w:rFonts w:ascii="Times New Roman" w:eastAsia="Times New Roman" w:hAnsi="Times New Roman" w:cs="Times New Roman"/>
          <w:sz w:val="24"/>
          <w:szCs w:val="24"/>
          <w:lang w:val="en-US" w:eastAsia="en-US" w:bidi="ar-SA"/>
        </w:rPr>
        <w:t>S</w:t>
      </w:r>
      <w:r w:rsidRPr="00565953">
        <w:rPr>
          <w:rFonts w:ascii="Times New Roman" w:eastAsia="Times New Roman" w:hAnsi="Times New Roman" w:cs="Times New Roman"/>
          <w:sz w:val="24"/>
          <w:szCs w:val="24"/>
          <w:lang w:val="en-US" w:eastAsia="en-US" w:bidi="ar-SA"/>
        </w:rPr>
        <w:t>araswathy, A</w:t>
      </w:r>
      <w:r w:rsidR="008D3B2E" w:rsidRPr="00565953">
        <w:rPr>
          <w:rFonts w:ascii="Times New Roman" w:eastAsia="Times New Roman" w:hAnsi="Times New Roman" w:cs="Times New Roman"/>
          <w:sz w:val="24"/>
          <w:szCs w:val="24"/>
          <w:lang w:val="en-US" w:eastAsia="en-US" w:bidi="ar-SA"/>
        </w:rPr>
        <w:t>.</w:t>
      </w:r>
      <w:r w:rsidRPr="00565953">
        <w:rPr>
          <w:rFonts w:ascii="Times New Roman" w:eastAsia="Times New Roman" w:hAnsi="Times New Roman" w:cs="Times New Roman"/>
          <w:sz w:val="24"/>
          <w:szCs w:val="24"/>
          <w:lang w:val="en-US" w:eastAsia="en-US" w:bidi="ar-SA"/>
        </w:rPr>
        <w:t xml:space="preserve"> &amp; K</w:t>
      </w:r>
      <w:r w:rsidR="008D3B2E" w:rsidRPr="00565953">
        <w:rPr>
          <w:rFonts w:ascii="Times New Roman" w:eastAsia="Times New Roman" w:hAnsi="Times New Roman" w:cs="Times New Roman"/>
          <w:sz w:val="24"/>
          <w:szCs w:val="24"/>
          <w:lang w:val="en-US" w:eastAsia="en-US" w:bidi="ar-SA"/>
        </w:rPr>
        <w:t xml:space="preserve">. </w:t>
      </w:r>
      <w:r w:rsidRPr="00565953">
        <w:rPr>
          <w:rFonts w:ascii="Times New Roman" w:eastAsia="Times New Roman" w:hAnsi="Times New Roman" w:cs="Times New Roman"/>
          <w:sz w:val="24"/>
          <w:szCs w:val="24"/>
          <w:lang w:val="en-US" w:eastAsia="en-US" w:bidi="ar-SA"/>
        </w:rPr>
        <w:t>N</w:t>
      </w:r>
      <w:r w:rsidR="008D3B2E" w:rsidRPr="00565953">
        <w:rPr>
          <w:rFonts w:ascii="Times New Roman" w:eastAsia="Times New Roman" w:hAnsi="Times New Roman" w:cs="Times New Roman"/>
          <w:sz w:val="24"/>
          <w:szCs w:val="24"/>
          <w:lang w:val="en-US" w:eastAsia="en-US" w:bidi="ar-SA"/>
        </w:rPr>
        <w:t>.</w:t>
      </w:r>
      <w:r w:rsidRPr="00565953">
        <w:rPr>
          <w:rFonts w:ascii="Times New Roman" w:eastAsia="Times New Roman" w:hAnsi="Times New Roman" w:cs="Times New Roman"/>
          <w:sz w:val="24"/>
          <w:szCs w:val="24"/>
          <w:lang w:val="en-US" w:eastAsia="en-US" w:bidi="ar-SA"/>
        </w:rPr>
        <w:t xml:space="preserve">, Sunil Kumar &amp; Ramachandran, </w:t>
      </w:r>
      <w:proofErr w:type="spellStart"/>
      <w:r w:rsidRPr="00565953">
        <w:rPr>
          <w:rFonts w:ascii="Times New Roman" w:eastAsia="Times New Roman" w:hAnsi="Times New Roman" w:cs="Times New Roman"/>
          <w:sz w:val="24"/>
          <w:szCs w:val="24"/>
          <w:lang w:val="en-US" w:eastAsia="en-US" w:bidi="ar-SA"/>
        </w:rPr>
        <w:t>Shakila</w:t>
      </w:r>
      <w:proofErr w:type="spellEnd"/>
      <w:r w:rsidRPr="00565953">
        <w:rPr>
          <w:rFonts w:ascii="Times New Roman" w:eastAsia="Times New Roman" w:hAnsi="Times New Roman" w:cs="Times New Roman"/>
          <w:sz w:val="24"/>
          <w:szCs w:val="24"/>
          <w:lang w:val="en-US" w:eastAsia="en-US" w:bidi="ar-SA"/>
        </w:rPr>
        <w:t xml:space="preserve"> &amp; </w:t>
      </w:r>
      <w:proofErr w:type="spellStart"/>
      <w:r w:rsidRPr="00565953">
        <w:rPr>
          <w:rFonts w:ascii="Times New Roman" w:eastAsia="Times New Roman" w:hAnsi="Times New Roman" w:cs="Times New Roman"/>
          <w:sz w:val="24"/>
          <w:szCs w:val="24"/>
          <w:lang w:val="en-US" w:eastAsia="en-US" w:bidi="ar-SA"/>
        </w:rPr>
        <w:t>Amala</w:t>
      </w:r>
      <w:proofErr w:type="spellEnd"/>
      <w:r w:rsidRPr="00565953">
        <w:rPr>
          <w:rFonts w:ascii="Times New Roman" w:eastAsia="Times New Roman" w:hAnsi="Times New Roman" w:cs="Times New Roman"/>
          <w:sz w:val="24"/>
          <w:szCs w:val="24"/>
          <w:lang w:val="en-US" w:eastAsia="en-US" w:bidi="ar-SA"/>
        </w:rPr>
        <w:t xml:space="preserve">, </w:t>
      </w:r>
      <w:proofErr w:type="spellStart"/>
      <w:r w:rsidRPr="00565953">
        <w:rPr>
          <w:rFonts w:ascii="Times New Roman" w:eastAsia="Times New Roman" w:hAnsi="Times New Roman" w:cs="Times New Roman"/>
          <w:sz w:val="24"/>
          <w:szCs w:val="24"/>
          <w:lang w:val="en-US" w:eastAsia="en-US" w:bidi="ar-SA"/>
        </w:rPr>
        <w:t>Khoirun</w:t>
      </w:r>
      <w:proofErr w:type="spellEnd"/>
      <w:r w:rsidRPr="00565953">
        <w:rPr>
          <w:rFonts w:ascii="Times New Roman" w:eastAsia="Times New Roman" w:hAnsi="Times New Roman" w:cs="Times New Roman"/>
          <w:sz w:val="24"/>
          <w:szCs w:val="24"/>
          <w:lang w:val="en-US" w:eastAsia="en-US" w:bidi="ar-SA"/>
        </w:rPr>
        <w:t xml:space="preserve">. (2008). Quality </w:t>
      </w:r>
      <w:r w:rsidR="009959F1" w:rsidRPr="00565953">
        <w:rPr>
          <w:rFonts w:ascii="Times New Roman" w:eastAsia="Times New Roman" w:hAnsi="Times New Roman" w:cs="Times New Roman"/>
          <w:sz w:val="24"/>
          <w:szCs w:val="24"/>
          <w:lang w:val="en-US" w:eastAsia="en-US" w:bidi="ar-SA"/>
        </w:rPr>
        <w:t>S</w:t>
      </w:r>
      <w:r w:rsidRPr="00565953">
        <w:rPr>
          <w:rFonts w:ascii="Times New Roman" w:eastAsia="Times New Roman" w:hAnsi="Times New Roman" w:cs="Times New Roman"/>
          <w:sz w:val="24"/>
          <w:szCs w:val="24"/>
          <w:lang w:val="en-US" w:eastAsia="en-US" w:bidi="ar-SA"/>
        </w:rPr>
        <w:t xml:space="preserve">tandards of Indian Medicinal Plants Volume 7. </w:t>
      </w:r>
    </w:p>
    <w:p w14:paraId="10000A71" w14:textId="77777777" w:rsidR="00C242F9" w:rsidRPr="00565953" w:rsidRDefault="00C242F9" w:rsidP="008D3B2E">
      <w:pPr>
        <w:pStyle w:val="NormalWeb"/>
        <w:numPr>
          <w:ilvl w:val="0"/>
          <w:numId w:val="3"/>
        </w:numPr>
        <w:spacing w:before="0" w:beforeAutospacing="0" w:after="0" w:afterAutospacing="0" w:line="480" w:lineRule="auto"/>
        <w:jc w:val="both"/>
      </w:pPr>
      <w:r w:rsidRPr="00565953">
        <w:t xml:space="preserve">Nazar, S., Hussain, M. A., Khan, A., Muhammad, G., &amp; Tahir, M. N. (2018). </w:t>
      </w:r>
      <w:r w:rsidRPr="00565953">
        <w:rPr>
          <w:i/>
          <w:iCs/>
        </w:rPr>
        <w:t>Capparis decidua</w:t>
      </w:r>
      <w:r w:rsidRPr="00565953">
        <w:t xml:space="preserve"> </w:t>
      </w:r>
      <w:proofErr w:type="spellStart"/>
      <w:r w:rsidRPr="00565953">
        <w:t>Edgew</w:t>
      </w:r>
      <w:proofErr w:type="spellEnd"/>
      <w:r w:rsidRPr="00565953">
        <w:t xml:space="preserve"> (</w:t>
      </w:r>
      <w:proofErr w:type="spellStart"/>
      <w:r w:rsidRPr="00565953">
        <w:t>Forssk</w:t>
      </w:r>
      <w:proofErr w:type="spellEnd"/>
      <w:r w:rsidRPr="00565953">
        <w:t xml:space="preserve">.): A comprehensive review of its traditional uses, phytochemistry, pharmacology and </w:t>
      </w:r>
      <w:proofErr w:type="spellStart"/>
      <w:r w:rsidRPr="00565953">
        <w:t>nutrapharmaceutical</w:t>
      </w:r>
      <w:proofErr w:type="spellEnd"/>
      <w:r w:rsidRPr="00565953">
        <w:t xml:space="preserve"> potential. </w:t>
      </w:r>
      <w:r w:rsidRPr="00565953">
        <w:rPr>
          <w:i/>
          <w:iCs/>
        </w:rPr>
        <w:t>Arabian Journal of Chemistry</w:t>
      </w:r>
      <w:r w:rsidRPr="00565953">
        <w:t xml:space="preserve">, </w:t>
      </w:r>
      <w:r w:rsidRPr="00565953">
        <w:rPr>
          <w:i/>
          <w:iCs/>
        </w:rPr>
        <w:t>13</w:t>
      </w:r>
      <w:r w:rsidRPr="00565953">
        <w:t xml:space="preserve">(1), 1901–1916. </w:t>
      </w:r>
      <w:r w:rsidRPr="00565953">
        <w:rPr>
          <w:rStyle w:val="url"/>
          <w:rFonts w:eastAsia="Calibri"/>
        </w:rPr>
        <w:t>https://doi.org/10.1016/j.arabjc.2018.02.007</w:t>
      </w:r>
    </w:p>
    <w:p w14:paraId="1662E252" w14:textId="70E6BC84" w:rsidR="00C242F9" w:rsidRPr="00565953" w:rsidRDefault="00C242F9" w:rsidP="008D3B2E">
      <w:pPr>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rPr>
        <w:t>Sivanandham</w:t>
      </w:r>
      <w:proofErr w:type="spellEnd"/>
      <w:r w:rsidRPr="00565953">
        <w:rPr>
          <w:rFonts w:ascii="Times New Roman" w:eastAsia="Times New Roman" w:hAnsi="Times New Roman" w:cs="Times New Roman"/>
          <w:sz w:val="24"/>
          <w:szCs w:val="24"/>
        </w:rPr>
        <w:t xml:space="preserve">, V. (2015). Phytochemical Techniques - A Review. </w:t>
      </w:r>
      <w:r w:rsidRPr="00565953">
        <w:rPr>
          <w:rFonts w:ascii="Times New Roman" w:eastAsia="Times New Roman" w:hAnsi="Times New Roman" w:cs="Times New Roman"/>
          <w:i/>
          <w:iCs/>
          <w:sz w:val="24"/>
          <w:szCs w:val="24"/>
        </w:rPr>
        <w:t>World Journal of Science and Research</w:t>
      </w:r>
      <w:r w:rsidRPr="00565953">
        <w:rPr>
          <w:rFonts w:ascii="Times New Roman" w:eastAsia="Times New Roman" w:hAnsi="Times New Roman" w:cs="Times New Roman"/>
          <w:sz w:val="24"/>
          <w:szCs w:val="24"/>
        </w:rPr>
        <w:t xml:space="preserve">. 1. 80-91. </w:t>
      </w:r>
    </w:p>
    <w:p w14:paraId="1D95F4BA" w14:textId="77777777" w:rsidR="00C242F9" w:rsidRPr="00565953" w:rsidRDefault="00C242F9" w:rsidP="008D3B2E">
      <w:pPr>
        <w:pStyle w:val="NormalWeb"/>
        <w:numPr>
          <w:ilvl w:val="0"/>
          <w:numId w:val="3"/>
        </w:numPr>
        <w:spacing w:before="0" w:beforeAutospacing="0" w:after="0" w:afterAutospacing="0" w:line="480" w:lineRule="auto"/>
        <w:jc w:val="both"/>
      </w:pPr>
      <w:proofErr w:type="spellStart"/>
      <w:r w:rsidRPr="00565953">
        <w:t>Dhakad</w:t>
      </w:r>
      <w:proofErr w:type="spellEnd"/>
      <w:r w:rsidRPr="00565953">
        <w:t xml:space="preserve">, P. K., Sharma, P. K., &amp; Kumar, S. (2018). Evaluation of Anti-arthritic Activity of Hydroalcoholic Extract of </w:t>
      </w:r>
      <w:r w:rsidRPr="00565953">
        <w:rPr>
          <w:i/>
          <w:iCs/>
        </w:rPr>
        <w:t>Capparis decidua</w:t>
      </w:r>
      <w:r w:rsidRPr="00565953">
        <w:t xml:space="preserve"> (</w:t>
      </w:r>
      <w:proofErr w:type="spellStart"/>
      <w:r w:rsidRPr="00565953">
        <w:t>Forssk</w:t>
      </w:r>
      <w:proofErr w:type="spellEnd"/>
      <w:r w:rsidRPr="00565953">
        <w:t xml:space="preserve">.) </w:t>
      </w:r>
      <w:proofErr w:type="spellStart"/>
      <w:r w:rsidRPr="00565953">
        <w:t>Edgew</w:t>
      </w:r>
      <w:proofErr w:type="spellEnd"/>
      <w:r w:rsidRPr="00565953">
        <w:t xml:space="preserve">. on Freund’s Complete Adjuvant-induced Arthritis in Rats. </w:t>
      </w:r>
      <w:r w:rsidRPr="00565953">
        <w:rPr>
          <w:i/>
          <w:iCs/>
        </w:rPr>
        <w:t>Immunology and Infectious Diseases</w:t>
      </w:r>
      <w:r w:rsidRPr="00565953">
        <w:t xml:space="preserve">, </w:t>
      </w:r>
      <w:r w:rsidRPr="00565953">
        <w:rPr>
          <w:i/>
          <w:iCs/>
        </w:rPr>
        <w:t>6</w:t>
      </w:r>
      <w:r w:rsidRPr="00565953">
        <w:t xml:space="preserve">(1), 6–15. </w:t>
      </w:r>
      <w:r w:rsidRPr="00565953">
        <w:rPr>
          <w:rStyle w:val="url"/>
          <w:rFonts w:eastAsia="Calibri"/>
        </w:rPr>
        <w:t>https://doi.org/10.13189/iid.2018.060102</w:t>
      </w:r>
    </w:p>
    <w:p w14:paraId="1723A3A7" w14:textId="51018FD2" w:rsidR="00C242F9" w:rsidRPr="00565953" w:rsidRDefault="00C242F9" w:rsidP="008D3B2E">
      <w:pPr>
        <w:pStyle w:val="ListParagraph"/>
        <w:numPr>
          <w:ilvl w:val="0"/>
          <w:numId w:val="3"/>
        </w:numPr>
        <w:spacing w:line="480" w:lineRule="auto"/>
        <w:jc w:val="both"/>
        <w:rPr>
          <w:rFonts w:ascii="Times New Roman" w:eastAsia="Times New Roman" w:hAnsi="Times New Roman" w:cs="Times New Roman"/>
          <w:sz w:val="24"/>
          <w:szCs w:val="24"/>
        </w:rPr>
      </w:pPr>
      <w:proofErr w:type="spellStart"/>
      <w:r w:rsidRPr="00565953">
        <w:rPr>
          <w:rFonts w:ascii="Times New Roman" w:eastAsia="Times New Roman" w:hAnsi="Times New Roman" w:cs="Times New Roman"/>
          <w:sz w:val="24"/>
          <w:szCs w:val="24"/>
          <w:lang w:val="en-IN" w:eastAsia="en-IN" w:bidi="hi-IN"/>
        </w:rPr>
        <w:lastRenderedPageBreak/>
        <w:t>Rathee</w:t>
      </w:r>
      <w:proofErr w:type="spellEnd"/>
      <w:r w:rsidRPr="00565953">
        <w:rPr>
          <w:rFonts w:ascii="Times New Roman" w:eastAsia="Times New Roman" w:hAnsi="Times New Roman" w:cs="Times New Roman"/>
          <w:sz w:val="24"/>
          <w:szCs w:val="24"/>
          <w:lang w:val="en-IN" w:eastAsia="en-IN" w:bidi="hi-IN"/>
        </w:rPr>
        <w:t xml:space="preserve">, </w:t>
      </w:r>
      <w:proofErr w:type="spellStart"/>
      <w:r w:rsidRPr="00565953">
        <w:rPr>
          <w:rFonts w:ascii="Times New Roman" w:eastAsia="Times New Roman" w:hAnsi="Times New Roman" w:cs="Times New Roman"/>
          <w:sz w:val="24"/>
          <w:szCs w:val="24"/>
          <w:lang w:val="en-IN" w:eastAsia="en-IN" w:bidi="hi-IN"/>
        </w:rPr>
        <w:t>Sushila</w:t>
      </w:r>
      <w:proofErr w:type="spellEnd"/>
      <w:r w:rsidRPr="00565953">
        <w:rPr>
          <w:rFonts w:ascii="Times New Roman" w:eastAsia="Times New Roman" w:hAnsi="Times New Roman" w:cs="Times New Roman"/>
          <w:sz w:val="24"/>
          <w:szCs w:val="24"/>
          <w:lang w:val="en-IN" w:eastAsia="en-IN" w:bidi="hi-IN"/>
        </w:rPr>
        <w:t xml:space="preserve"> &amp; </w:t>
      </w: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w:t>
      </w:r>
      <w:proofErr w:type="spellStart"/>
      <w:r w:rsidRPr="00565953">
        <w:rPr>
          <w:rFonts w:ascii="Times New Roman" w:eastAsia="Times New Roman" w:hAnsi="Times New Roman" w:cs="Times New Roman"/>
          <w:sz w:val="24"/>
          <w:szCs w:val="24"/>
          <w:lang w:val="en-IN" w:eastAsia="en-IN" w:bidi="hi-IN"/>
        </w:rPr>
        <w:t>Permender</w:t>
      </w:r>
      <w:proofErr w:type="spellEnd"/>
      <w:r w:rsidRPr="00565953">
        <w:rPr>
          <w:rFonts w:ascii="Times New Roman" w:eastAsia="Times New Roman" w:hAnsi="Times New Roman" w:cs="Times New Roman"/>
          <w:sz w:val="24"/>
          <w:szCs w:val="24"/>
          <w:lang w:val="en-IN" w:eastAsia="en-IN" w:bidi="hi-IN"/>
        </w:rPr>
        <w:t xml:space="preserve"> &amp; </w:t>
      </w: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w:t>
      </w:r>
      <w:proofErr w:type="spellStart"/>
      <w:r w:rsidRPr="00565953">
        <w:rPr>
          <w:rFonts w:ascii="Times New Roman" w:eastAsia="Times New Roman" w:hAnsi="Times New Roman" w:cs="Times New Roman"/>
          <w:sz w:val="24"/>
          <w:szCs w:val="24"/>
          <w:lang w:val="en-IN" w:eastAsia="en-IN" w:bidi="hi-IN"/>
        </w:rPr>
        <w:t>Dharmender</w:t>
      </w:r>
      <w:proofErr w:type="spellEnd"/>
      <w:r w:rsidRPr="00565953">
        <w:rPr>
          <w:rFonts w:ascii="Times New Roman" w:eastAsia="Times New Roman" w:hAnsi="Times New Roman" w:cs="Times New Roman"/>
          <w:sz w:val="24"/>
          <w:szCs w:val="24"/>
          <w:lang w:val="en-IN" w:eastAsia="en-IN" w:bidi="hi-IN"/>
        </w:rPr>
        <w:t xml:space="preserve"> &amp; </w:t>
      </w:r>
      <w:proofErr w:type="spellStart"/>
      <w:r w:rsidRPr="00565953">
        <w:rPr>
          <w:rFonts w:ascii="Times New Roman" w:eastAsia="Times New Roman" w:hAnsi="Times New Roman" w:cs="Times New Roman"/>
          <w:sz w:val="24"/>
          <w:szCs w:val="24"/>
          <w:lang w:val="en-IN" w:eastAsia="en-IN" w:bidi="hi-IN"/>
        </w:rPr>
        <w:t>Rathee</w:t>
      </w:r>
      <w:proofErr w:type="spellEnd"/>
      <w:r w:rsidRPr="00565953">
        <w:rPr>
          <w:rFonts w:ascii="Times New Roman" w:eastAsia="Times New Roman" w:hAnsi="Times New Roman" w:cs="Times New Roman"/>
          <w:sz w:val="24"/>
          <w:szCs w:val="24"/>
          <w:lang w:val="en-IN" w:eastAsia="en-IN" w:bidi="hi-IN"/>
        </w:rPr>
        <w:t xml:space="preserve">, Deepti &amp; Kumar, Dr. (2010). Phytochemical and pharmacological Potential of </w:t>
      </w:r>
      <w:proofErr w:type="spellStart"/>
      <w:r w:rsidRPr="00565953">
        <w:rPr>
          <w:rFonts w:ascii="Times New Roman" w:eastAsia="Times New Roman" w:hAnsi="Times New Roman" w:cs="Times New Roman"/>
          <w:sz w:val="24"/>
          <w:szCs w:val="24"/>
          <w:lang w:val="en-IN" w:eastAsia="en-IN" w:bidi="hi-IN"/>
        </w:rPr>
        <w:t>Kair</w:t>
      </w:r>
      <w:proofErr w:type="spellEnd"/>
      <w:r w:rsidRPr="00565953">
        <w:rPr>
          <w:rFonts w:ascii="Times New Roman" w:eastAsia="Times New Roman" w:hAnsi="Times New Roman" w:cs="Times New Roman"/>
          <w:sz w:val="24"/>
          <w:szCs w:val="24"/>
          <w:lang w:val="en-IN" w:eastAsia="en-IN" w:bidi="hi-IN"/>
        </w:rPr>
        <w:t xml:space="preserve"> (</w:t>
      </w:r>
      <w:r w:rsidRPr="00565953">
        <w:rPr>
          <w:rFonts w:ascii="Times New Roman" w:eastAsia="Times New Roman" w:hAnsi="Times New Roman" w:cs="Times New Roman"/>
          <w:i/>
          <w:iCs/>
          <w:sz w:val="24"/>
          <w:szCs w:val="24"/>
          <w:lang w:val="en-IN" w:eastAsia="en-IN" w:bidi="hi-IN"/>
        </w:rPr>
        <w:t>Capparis Decidua</w:t>
      </w:r>
      <w:r w:rsidRPr="00565953">
        <w:rPr>
          <w:rFonts w:ascii="Times New Roman" w:eastAsia="Times New Roman" w:hAnsi="Times New Roman" w:cs="Times New Roman"/>
          <w:sz w:val="24"/>
          <w:szCs w:val="24"/>
          <w:lang w:val="en-IN" w:eastAsia="en-IN" w:bidi="hi-IN"/>
        </w:rPr>
        <w:t xml:space="preserve">). </w:t>
      </w:r>
      <w:r w:rsidRPr="00565953">
        <w:rPr>
          <w:rFonts w:ascii="Times New Roman" w:eastAsia="Times New Roman" w:hAnsi="Times New Roman" w:cs="Times New Roman"/>
          <w:i/>
          <w:iCs/>
          <w:sz w:val="24"/>
          <w:szCs w:val="24"/>
          <w:lang w:val="en-IN" w:eastAsia="en-IN" w:bidi="hi-IN"/>
        </w:rPr>
        <w:t>International Journal of Phytomedicine</w:t>
      </w:r>
      <w:r w:rsidRPr="00565953">
        <w:rPr>
          <w:rFonts w:ascii="Times New Roman" w:eastAsia="Times New Roman" w:hAnsi="Times New Roman" w:cs="Times New Roman"/>
          <w:sz w:val="24"/>
          <w:szCs w:val="24"/>
          <w:lang w:val="en-IN" w:eastAsia="en-IN" w:bidi="hi-IN"/>
        </w:rPr>
        <w:t xml:space="preserve">. 2. 10.5138/ijpm.v2i1.80. </w:t>
      </w:r>
    </w:p>
    <w:p w14:paraId="72F8BA5F" w14:textId="393FB122" w:rsidR="00C242F9" w:rsidRPr="00565953" w:rsidRDefault="00C242F9"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lang w:val="en-US" w:eastAsia="en-US" w:bidi="ar-SA"/>
        </w:rPr>
        <w:t xml:space="preserve">Sharma, Bindu &amp; Kumar. (2008). Extraction and Pharmacological Evaluation of Some Extracts of </w:t>
      </w:r>
      <w:proofErr w:type="spellStart"/>
      <w:r w:rsidRPr="00565953">
        <w:rPr>
          <w:rFonts w:ascii="Times New Roman" w:eastAsia="Times New Roman" w:hAnsi="Times New Roman" w:cs="Times New Roman"/>
          <w:i/>
          <w:iCs/>
          <w:sz w:val="24"/>
          <w:szCs w:val="24"/>
          <w:lang w:val="en-US" w:eastAsia="en-US" w:bidi="ar-SA"/>
        </w:rPr>
        <w:t>Tridax</w:t>
      </w:r>
      <w:proofErr w:type="spellEnd"/>
      <w:r w:rsidRPr="00565953">
        <w:rPr>
          <w:rFonts w:ascii="Times New Roman" w:eastAsia="Times New Roman" w:hAnsi="Times New Roman" w:cs="Times New Roman"/>
          <w:i/>
          <w:iCs/>
          <w:sz w:val="24"/>
          <w:szCs w:val="24"/>
          <w:lang w:val="en-US" w:eastAsia="en-US" w:bidi="ar-SA"/>
        </w:rPr>
        <w:t xml:space="preserve"> </w:t>
      </w:r>
      <w:proofErr w:type="spellStart"/>
      <w:r w:rsidRPr="00565953">
        <w:rPr>
          <w:rFonts w:ascii="Times New Roman" w:eastAsia="Times New Roman" w:hAnsi="Times New Roman" w:cs="Times New Roman"/>
          <w:i/>
          <w:iCs/>
          <w:sz w:val="24"/>
          <w:szCs w:val="24"/>
          <w:lang w:val="en-US" w:eastAsia="en-US" w:bidi="ar-SA"/>
        </w:rPr>
        <w:t>procumbens</w:t>
      </w:r>
      <w:proofErr w:type="spellEnd"/>
      <w:r w:rsidRPr="00565953">
        <w:rPr>
          <w:rFonts w:ascii="Times New Roman" w:eastAsia="Times New Roman" w:hAnsi="Times New Roman" w:cs="Times New Roman"/>
          <w:sz w:val="24"/>
          <w:szCs w:val="24"/>
          <w:lang w:val="en-US" w:eastAsia="en-US" w:bidi="ar-SA"/>
        </w:rPr>
        <w:t xml:space="preserve"> and </w:t>
      </w:r>
      <w:r w:rsidRPr="00565953">
        <w:rPr>
          <w:rFonts w:ascii="Times New Roman" w:eastAsia="Times New Roman" w:hAnsi="Times New Roman" w:cs="Times New Roman"/>
          <w:i/>
          <w:iCs/>
          <w:sz w:val="24"/>
          <w:szCs w:val="24"/>
          <w:lang w:val="en-US" w:eastAsia="en-US" w:bidi="ar-SA"/>
        </w:rPr>
        <w:t>Capparis decidua</w:t>
      </w:r>
      <w:r w:rsidRPr="00565953">
        <w:rPr>
          <w:rFonts w:ascii="Times New Roman" w:eastAsia="Times New Roman" w:hAnsi="Times New Roman" w:cs="Times New Roman"/>
          <w:sz w:val="24"/>
          <w:szCs w:val="24"/>
          <w:lang w:val="en-US" w:eastAsia="en-US" w:bidi="ar-SA"/>
        </w:rPr>
        <w:t xml:space="preserve">. </w:t>
      </w:r>
      <w:r w:rsidRPr="00565953">
        <w:rPr>
          <w:rFonts w:ascii="Times New Roman" w:eastAsia="Times New Roman" w:hAnsi="Times New Roman" w:cs="Times New Roman"/>
          <w:i/>
          <w:iCs/>
          <w:sz w:val="24"/>
          <w:szCs w:val="24"/>
          <w:lang w:val="en-US" w:eastAsia="en-US" w:bidi="ar-SA"/>
        </w:rPr>
        <w:t>International Journal of Applied Research in Natural Products</w:t>
      </w:r>
      <w:r w:rsidRPr="00565953">
        <w:rPr>
          <w:rFonts w:ascii="Times New Roman" w:eastAsia="Times New Roman" w:hAnsi="Times New Roman" w:cs="Times New Roman"/>
          <w:sz w:val="24"/>
          <w:szCs w:val="24"/>
          <w:lang w:val="en-US" w:eastAsia="en-US" w:bidi="ar-SA"/>
        </w:rPr>
        <w:t xml:space="preserve">. 1. </w:t>
      </w:r>
    </w:p>
    <w:p w14:paraId="170FC5D6" w14:textId="77777777" w:rsidR="006875EE" w:rsidRPr="00565953" w:rsidRDefault="006875EE" w:rsidP="008D3B2E">
      <w:pPr>
        <w:pStyle w:val="NormalWeb"/>
        <w:numPr>
          <w:ilvl w:val="0"/>
          <w:numId w:val="3"/>
        </w:numPr>
        <w:spacing w:before="0" w:beforeAutospacing="0" w:after="0" w:afterAutospacing="0" w:line="480" w:lineRule="auto"/>
        <w:jc w:val="both"/>
      </w:pPr>
      <w:proofErr w:type="spellStart"/>
      <w:r w:rsidRPr="00565953">
        <w:t>Rathee</w:t>
      </w:r>
      <w:proofErr w:type="spellEnd"/>
      <w:r w:rsidRPr="00565953">
        <w:t xml:space="preserve">, P., </w:t>
      </w:r>
      <w:proofErr w:type="spellStart"/>
      <w:r w:rsidRPr="00565953">
        <w:t>Rathee</w:t>
      </w:r>
      <w:proofErr w:type="spellEnd"/>
      <w:r w:rsidRPr="00565953">
        <w:t xml:space="preserve">, D., </w:t>
      </w:r>
      <w:proofErr w:type="spellStart"/>
      <w:r w:rsidRPr="00565953">
        <w:t>Rathee</w:t>
      </w:r>
      <w:proofErr w:type="spellEnd"/>
      <w:r w:rsidRPr="00565953">
        <w:t xml:space="preserve">, D., &amp; </w:t>
      </w:r>
      <w:proofErr w:type="spellStart"/>
      <w:r w:rsidRPr="00565953">
        <w:t>Rathee</w:t>
      </w:r>
      <w:proofErr w:type="spellEnd"/>
      <w:r w:rsidRPr="00565953">
        <w:t xml:space="preserve">, S. (2011). In vitro anticancer activity of </w:t>
      </w:r>
      <w:proofErr w:type="spellStart"/>
      <w:r w:rsidRPr="00565953">
        <w:t>stachydrine</w:t>
      </w:r>
      <w:proofErr w:type="spellEnd"/>
      <w:r w:rsidRPr="00565953">
        <w:t xml:space="preserve"> isolated from </w:t>
      </w:r>
      <w:r w:rsidRPr="00565953">
        <w:rPr>
          <w:i/>
          <w:iCs/>
        </w:rPr>
        <w:t>Capparis decidua</w:t>
      </w:r>
      <w:r w:rsidRPr="00565953">
        <w:t xml:space="preserve"> on prostate cancer cell lines. </w:t>
      </w:r>
      <w:r w:rsidRPr="00565953">
        <w:rPr>
          <w:i/>
          <w:iCs/>
        </w:rPr>
        <w:t>Natural Product Research</w:t>
      </w:r>
      <w:r w:rsidRPr="00565953">
        <w:t xml:space="preserve">, </w:t>
      </w:r>
      <w:r w:rsidRPr="00565953">
        <w:rPr>
          <w:i/>
          <w:iCs/>
        </w:rPr>
        <w:t>26</w:t>
      </w:r>
      <w:r w:rsidRPr="00565953">
        <w:t xml:space="preserve">(18), 1737–1740. </w:t>
      </w:r>
      <w:r w:rsidRPr="00565953">
        <w:rPr>
          <w:rStyle w:val="url"/>
          <w:rFonts w:eastAsia="Calibri"/>
        </w:rPr>
        <w:t>https://doi.org/10.1080/14786419.2011.608673</w:t>
      </w:r>
    </w:p>
    <w:p w14:paraId="7263ABCB" w14:textId="57AD2679" w:rsidR="00931CBD" w:rsidRPr="00931CBD" w:rsidRDefault="00931CBD" w:rsidP="008D3B2E">
      <w:pPr>
        <w:pStyle w:val="NormalWeb"/>
        <w:numPr>
          <w:ilvl w:val="0"/>
          <w:numId w:val="3"/>
        </w:numPr>
        <w:spacing w:before="0" w:beforeAutospacing="0" w:after="0" w:afterAutospacing="0" w:line="480" w:lineRule="auto"/>
        <w:jc w:val="both"/>
        <w:rPr>
          <w:highlight w:val="yellow"/>
        </w:rPr>
      </w:pPr>
      <w:proofErr w:type="spellStart"/>
      <w:r w:rsidRPr="00931CBD">
        <w:rPr>
          <w:highlight w:val="yellow"/>
          <w:lang w:val="en-IN"/>
        </w:rPr>
        <w:t>Mashinchian</w:t>
      </w:r>
      <w:proofErr w:type="spellEnd"/>
      <w:r w:rsidRPr="00931CBD">
        <w:rPr>
          <w:highlight w:val="yellow"/>
          <w:lang w:val="en-IN"/>
        </w:rPr>
        <w:t xml:space="preserve">, O., Johari-Ahar, M., Ghaemi, B., Rashidi, M., Barar, J., &amp; Omidi, Y. (2014). Impacts of quantum dots in molecular detection and bioimaging of cancer. </w:t>
      </w:r>
      <w:proofErr w:type="spellStart"/>
      <w:r w:rsidRPr="00931CBD">
        <w:rPr>
          <w:highlight w:val="yellow"/>
          <w:lang w:val="en-IN"/>
        </w:rPr>
        <w:t>BioImpacts</w:t>
      </w:r>
      <w:proofErr w:type="spellEnd"/>
      <w:r w:rsidRPr="00931CBD">
        <w:rPr>
          <w:highlight w:val="yellow"/>
          <w:lang w:val="en-IN"/>
        </w:rPr>
        <w:t xml:space="preserve">, 4(3), 149–160. </w:t>
      </w:r>
      <w:hyperlink r:id="rId35" w:history="1">
        <w:r w:rsidRPr="00931CBD">
          <w:rPr>
            <w:rStyle w:val="Hyperlink"/>
            <w:highlight w:val="yellow"/>
            <w:lang w:val="en-IN"/>
          </w:rPr>
          <w:t>https://doi.org/10.3791/1191</w:t>
        </w:r>
      </w:hyperlink>
    </w:p>
    <w:p w14:paraId="70BAF067" w14:textId="440441F8" w:rsidR="006875EE" w:rsidRPr="00565953" w:rsidRDefault="006875EE" w:rsidP="008D3B2E">
      <w:pPr>
        <w:pStyle w:val="NormalWeb"/>
        <w:numPr>
          <w:ilvl w:val="0"/>
          <w:numId w:val="3"/>
        </w:numPr>
        <w:spacing w:before="0" w:beforeAutospacing="0" w:after="0" w:afterAutospacing="0" w:line="480" w:lineRule="auto"/>
        <w:jc w:val="both"/>
      </w:pPr>
      <w:r w:rsidRPr="00931CBD">
        <w:rPr>
          <w:lang w:val="de-DE"/>
        </w:rPr>
        <w:t xml:space="preserve">Kumar, P., Nagarajan, A., &amp; Uchil, P. D. (2018). </w:t>
      </w:r>
      <w:r w:rsidRPr="00565953">
        <w:t xml:space="preserve">Analysis of cell viability by the MTT Assay. </w:t>
      </w:r>
      <w:r w:rsidRPr="00565953">
        <w:rPr>
          <w:i/>
          <w:iCs/>
        </w:rPr>
        <w:t>Cold Spring Harbor Protocols</w:t>
      </w:r>
      <w:r w:rsidRPr="00565953">
        <w:t xml:space="preserve">, </w:t>
      </w:r>
      <w:r w:rsidRPr="00565953">
        <w:rPr>
          <w:i/>
          <w:iCs/>
        </w:rPr>
        <w:t>2018</w:t>
      </w:r>
      <w:r w:rsidRPr="00565953">
        <w:t xml:space="preserve">(6), pdb.prot095505. </w:t>
      </w:r>
      <w:r w:rsidRPr="00565953">
        <w:rPr>
          <w:rStyle w:val="url"/>
          <w:rFonts w:eastAsia="Calibri"/>
        </w:rPr>
        <w:t>https://doi.org/10.1101/pdb.prot095505</w:t>
      </w:r>
    </w:p>
    <w:p w14:paraId="5CAF9912" w14:textId="5EDAF53F" w:rsidR="006875EE" w:rsidRPr="00565953" w:rsidRDefault="006875EE" w:rsidP="008D3B2E">
      <w:pPr>
        <w:pStyle w:val="NormalWeb"/>
        <w:numPr>
          <w:ilvl w:val="0"/>
          <w:numId w:val="3"/>
        </w:numPr>
        <w:spacing w:before="0" w:beforeAutospacing="0" w:after="0" w:afterAutospacing="0" w:line="480" w:lineRule="auto"/>
        <w:jc w:val="both"/>
      </w:pPr>
      <w:r w:rsidRPr="00565953">
        <w:t xml:space="preserve">Kamili, C., </w:t>
      </w:r>
      <w:proofErr w:type="spellStart"/>
      <w:r w:rsidRPr="00565953">
        <w:t>Kakataparthy</w:t>
      </w:r>
      <w:proofErr w:type="spellEnd"/>
      <w:r w:rsidRPr="00565953">
        <w:t xml:space="preserve">, R. S., </w:t>
      </w:r>
      <w:proofErr w:type="spellStart"/>
      <w:r w:rsidRPr="00565953">
        <w:t>Vattikutti</w:t>
      </w:r>
      <w:proofErr w:type="spellEnd"/>
      <w:r w:rsidRPr="00565953">
        <w:t xml:space="preserve">, U. M., </w:t>
      </w:r>
      <w:proofErr w:type="spellStart"/>
      <w:r w:rsidRPr="00565953">
        <w:t>Chidrawar</w:t>
      </w:r>
      <w:proofErr w:type="spellEnd"/>
      <w:r w:rsidRPr="00565953">
        <w:t xml:space="preserve">, V., &amp; </w:t>
      </w:r>
      <w:proofErr w:type="spellStart"/>
      <w:r w:rsidRPr="00565953">
        <w:t>Ammineni</w:t>
      </w:r>
      <w:proofErr w:type="spellEnd"/>
      <w:r w:rsidRPr="00565953">
        <w:t>, S. (2017). Anti-proliferative and anti-angiogenic activities of ion-channel modulators: In-</w:t>
      </w:r>
      <w:proofErr w:type="spellStart"/>
      <w:r w:rsidRPr="00565953">
        <w:t>ovo</w:t>
      </w:r>
      <w:proofErr w:type="spellEnd"/>
      <w:r w:rsidRPr="00565953">
        <w:t xml:space="preserve">, in-vitro and in-vivo study. </w:t>
      </w:r>
      <w:r w:rsidRPr="00565953">
        <w:rPr>
          <w:i/>
          <w:iCs/>
        </w:rPr>
        <w:t>Asian Pacific Journal of Tropical Biomedicine</w:t>
      </w:r>
      <w:r w:rsidRPr="00565953">
        <w:t xml:space="preserve">, </w:t>
      </w:r>
      <w:r w:rsidRPr="00565953">
        <w:rPr>
          <w:i/>
          <w:iCs/>
        </w:rPr>
        <w:t>7</w:t>
      </w:r>
      <w:r w:rsidRPr="00565953">
        <w:t xml:space="preserve">(6), 555–562. </w:t>
      </w:r>
      <w:r w:rsidRPr="00565953">
        <w:rPr>
          <w:rStyle w:val="url"/>
          <w:rFonts w:eastAsia="Calibri"/>
        </w:rPr>
        <w:t>https://doi.org/10.1016/j.apjtb.2017.05.005</w:t>
      </w:r>
    </w:p>
    <w:p w14:paraId="3937FA3B" w14:textId="445A4525" w:rsidR="00931CBD" w:rsidRDefault="00931CBD" w:rsidP="009959F1">
      <w:pPr>
        <w:numPr>
          <w:ilvl w:val="0"/>
          <w:numId w:val="3"/>
        </w:numPr>
        <w:spacing w:line="480" w:lineRule="auto"/>
        <w:jc w:val="both"/>
        <w:rPr>
          <w:rFonts w:ascii="Times New Roman" w:eastAsia="Times New Roman" w:hAnsi="Times New Roman" w:cs="Times New Roman"/>
          <w:sz w:val="24"/>
          <w:szCs w:val="24"/>
        </w:rPr>
      </w:pPr>
      <w:r w:rsidRPr="00931CBD">
        <w:rPr>
          <w:rFonts w:ascii="Times New Roman" w:eastAsia="Times New Roman" w:hAnsi="Times New Roman" w:cs="Times New Roman"/>
          <w:sz w:val="24"/>
          <w:szCs w:val="24"/>
          <w:highlight w:val="yellow"/>
          <w:lang w:val="de-DE"/>
        </w:rPr>
        <w:t xml:space="preserve">Mangir, N., Dikici, S., Claeyssens, F., &amp; MacNeil, S. (2019). </w:t>
      </w:r>
      <w:r w:rsidRPr="00931CBD">
        <w:rPr>
          <w:rFonts w:ascii="Times New Roman" w:eastAsia="Times New Roman" w:hAnsi="Times New Roman" w:cs="Times New Roman"/>
          <w:sz w:val="24"/>
          <w:szCs w:val="24"/>
          <w:highlight w:val="yellow"/>
        </w:rPr>
        <w:t xml:space="preserve">Using ex </w:t>
      </w:r>
      <w:proofErr w:type="spellStart"/>
      <w:r w:rsidRPr="00931CBD">
        <w:rPr>
          <w:rFonts w:ascii="Times New Roman" w:eastAsia="Times New Roman" w:hAnsi="Times New Roman" w:cs="Times New Roman"/>
          <w:sz w:val="24"/>
          <w:szCs w:val="24"/>
          <w:highlight w:val="yellow"/>
        </w:rPr>
        <w:t>ovo</w:t>
      </w:r>
      <w:proofErr w:type="spellEnd"/>
      <w:r w:rsidRPr="00931CBD">
        <w:rPr>
          <w:rFonts w:ascii="Times New Roman" w:eastAsia="Times New Roman" w:hAnsi="Times New Roman" w:cs="Times New Roman"/>
          <w:sz w:val="24"/>
          <w:szCs w:val="24"/>
          <w:highlight w:val="yellow"/>
        </w:rPr>
        <w:t xml:space="preserve"> chick </w:t>
      </w:r>
      <w:proofErr w:type="spellStart"/>
      <w:r w:rsidRPr="00931CBD">
        <w:rPr>
          <w:rFonts w:ascii="Times New Roman" w:eastAsia="Times New Roman" w:hAnsi="Times New Roman" w:cs="Times New Roman"/>
          <w:sz w:val="24"/>
          <w:szCs w:val="24"/>
          <w:highlight w:val="yellow"/>
        </w:rPr>
        <w:t>chorioallantoic</w:t>
      </w:r>
      <w:proofErr w:type="spellEnd"/>
      <w:r w:rsidRPr="00931CBD">
        <w:rPr>
          <w:rFonts w:ascii="Times New Roman" w:eastAsia="Times New Roman" w:hAnsi="Times New Roman" w:cs="Times New Roman"/>
          <w:sz w:val="24"/>
          <w:szCs w:val="24"/>
          <w:highlight w:val="yellow"/>
        </w:rPr>
        <w:t xml:space="preserve"> membrane (CAM) assay to evaluate the biocompatibility and </w:t>
      </w:r>
      <w:r w:rsidRPr="00931CBD">
        <w:rPr>
          <w:rFonts w:ascii="Times New Roman" w:eastAsia="Times New Roman" w:hAnsi="Times New Roman" w:cs="Times New Roman"/>
          <w:sz w:val="24"/>
          <w:szCs w:val="24"/>
          <w:highlight w:val="yellow"/>
        </w:rPr>
        <w:lastRenderedPageBreak/>
        <w:t xml:space="preserve">angiogenic response to biomaterials. </w:t>
      </w:r>
      <w:r w:rsidRPr="00931CBD">
        <w:rPr>
          <w:rFonts w:ascii="Times New Roman" w:eastAsia="Times New Roman" w:hAnsi="Times New Roman" w:cs="Times New Roman"/>
          <w:i/>
          <w:iCs/>
          <w:sz w:val="24"/>
          <w:szCs w:val="24"/>
          <w:highlight w:val="yellow"/>
        </w:rPr>
        <w:t>ACS Biomaterials Science &amp; Engineering</w:t>
      </w:r>
      <w:r w:rsidRPr="00931CBD">
        <w:rPr>
          <w:rFonts w:ascii="Times New Roman" w:eastAsia="Times New Roman" w:hAnsi="Times New Roman" w:cs="Times New Roman"/>
          <w:sz w:val="24"/>
          <w:szCs w:val="24"/>
          <w:highlight w:val="yellow"/>
        </w:rPr>
        <w:t xml:space="preserve">, </w:t>
      </w:r>
      <w:r w:rsidRPr="00931CBD">
        <w:rPr>
          <w:rFonts w:ascii="Times New Roman" w:eastAsia="Times New Roman" w:hAnsi="Times New Roman" w:cs="Times New Roman"/>
          <w:i/>
          <w:iCs/>
          <w:sz w:val="24"/>
          <w:szCs w:val="24"/>
          <w:highlight w:val="yellow"/>
        </w:rPr>
        <w:t>5</w:t>
      </w:r>
      <w:r w:rsidRPr="00931CBD">
        <w:rPr>
          <w:rFonts w:ascii="Times New Roman" w:eastAsia="Times New Roman" w:hAnsi="Times New Roman" w:cs="Times New Roman"/>
          <w:sz w:val="24"/>
          <w:szCs w:val="24"/>
          <w:highlight w:val="yellow"/>
        </w:rPr>
        <w:t xml:space="preserve">(7), 3190–3200. </w:t>
      </w:r>
      <w:hyperlink r:id="rId36" w:history="1">
        <w:r w:rsidRPr="0046460F">
          <w:rPr>
            <w:rStyle w:val="Hyperlink"/>
            <w:rFonts w:ascii="Times New Roman" w:eastAsia="Times New Roman" w:hAnsi="Times New Roman" w:cs="Times New Roman"/>
            <w:sz w:val="24"/>
            <w:szCs w:val="24"/>
            <w:highlight w:val="yellow"/>
          </w:rPr>
          <w:t>https://doi.org/10.1021/acsbiomaterials.9b00172</w:t>
        </w:r>
      </w:hyperlink>
    </w:p>
    <w:p w14:paraId="63F7033D" w14:textId="3231BD4D" w:rsidR="006875EE" w:rsidRPr="00565953" w:rsidRDefault="006875EE" w:rsidP="009959F1">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Singh, Pradeep &amp; Mishra, Garima &amp; Sangeeta, &amp; Srivastava, Shruti &amp; Jha, K. &amp; Khosa, R. (2010). Traditional uses, phytochemistry and pharmacological properties of </w:t>
      </w:r>
      <w:r w:rsidRPr="00565953">
        <w:rPr>
          <w:rFonts w:ascii="Times New Roman" w:eastAsia="Times New Roman" w:hAnsi="Times New Roman" w:cs="Times New Roman"/>
          <w:i/>
          <w:iCs/>
          <w:sz w:val="24"/>
          <w:szCs w:val="24"/>
        </w:rPr>
        <w:t>Capparis decidua</w:t>
      </w:r>
      <w:r w:rsidRPr="00565953">
        <w:rPr>
          <w:rFonts w:ascii="Times New Roman" w:eastAsia="Times New Roman" w:hAnsi="Times New Roman" w:cs="Times New Roman"/>
          <w:sz w:val="24"/>
          <w:szCs w:val="24"/>
        </w:rPr>
        <w:t xml:space="preserve">: An Overview. </w:t>
      </w:r>
      <w:r w:rsidRPr="00565953">
        <w:rPr>
          <w:rFonts w:ascii="Times New Roman" w:eastAsia="Times New Roman" w:hAnsi="Times New Roman" w:cs="Times New Roman"/>
          <w:i/>
          <w:iCs/>
          <w:sz w:val="24"/>
          <w:szCs w:val="24"/>
        </w:rPr>
        <w:t>Der Pharm</w:t>
      </w:r>
      <w:r w:rsidR="009959F1" w:rsidRPr="00565953">
        <w:rPr>
          <w:rFonts w:ascii="Times New Roman" w:eastAsia="Times New Roman" w:hAnsi="Times New Roman" w:cs="Times New Roman"/>
          <w:i/>
          <w:iCs/>
          <w:sz w:val="24"/>
          <w:szCs w:val="24"/>
        </w:rPr>
        <w:t>acia</w:t>
      </w:r>
      <w:r w:rsidRPr="00565953">
        <w:rPr>
          <w:rFonts w:ascii="Times New Roman" w:eastAsia="Times New Roman" w:hAnsi="Times New Roman" w:cs="Times New Roman"/>
          <w:i/>
          <w:iCs/>
          <w:sz w:val="24"/>
          <w:szCs w:val="24"/>
        </w:rPr>
        <w:t xml:space="preserve"> Lett</w:t>
      </w:r>
      <w:r w:rsidR="009959F1" w:rsidRPr="00565953">
        <w:rPr>
          <w:rFonts w:ascii="Times New Roman" w:eastAsia="Times New Roman" w:hAnsi="Times New Roman" w:cs="Times New Roman"/>
          <w:i/>
          <w:iCs/>
          <w:sz w:val="24"/>
          <w:szCs w:val="24"/>
        </w:rPr>
        <w:t>er</w:t>
      </w:r>
      <w:r w:rsidR="009959F1" w:rsidRPr="00565953">
        <w:rPr>
          <w:rFonts w:ascii="Times New Roman" w:eastAsia="Times New Roman" w:hAnsi="Times New Roman" w:cs="Times New Roman"/>
          <w:sz w:val="24"/>
          <w:szCs w:val="24"/>
        </w:rPr>
        <w:t>,</w:t>
      </w:r>
      <w:r w:rsidRPr="00565953">
        <w:rPr>
          <w:rFonts w:ascii="Times New Roman" w:eastAsia="Times New Roman" w:hAnsi="Times New Roman" w:cs="Times New Roman"/>
          <w:sz w:val="24"/>
          <w:szCs w:val="24"/>
        </w:rPr>
        <w:t xml:space="preserve"> 3</w:t>
      </w:r>
      <w:r w:rsidR="009959F1" w:rsidRPr="00565953">
        <w:rPr>
          <w:rFonts w:ascii="Times New Roman" w:eastAsia="Times New Roman" w:hAnsi="Times New Roman" w:cs="Times New Roman"/>
          <w:sz w:val="24"/>
          <w:szCs w:val="24"/>
        </w:rPr>
        <w:t>(2)</w:t>
      </w:r>
      <w:r w:rsidRPr="00565953">
        <w:rPr>
          <w:rFonts w:ascii="Times New Roman" w:eastAsia="Times New Roman" w:hAnsi="Times New Roman" w:cs="Times New Roman"/>
          <w:sz w:val="24"/>
          <w:szCs w:val="24"/>
        </w:rPr>
        <w:t xml:space="preserve">. </w:t>
      </w:r>
    </w:p>
    <w:p w14:paraId="1D512ED4" w14:textId="77777777" w:rsidR="00931CBD" w:rsidRPr="00931CBD" w:rsidRDefault="00931CBD" w:rsidP="008D3B2E">
      <w:pPr>
        <w:pStyle w:val="NormalWeb"/>
        <w:numPr>
          <w:ilvl w:val="0"/>
          <w:numId w:val="3"/>
        </w:numPr>
        <w:spacing w:before="0" w:beforeAutospacing="0" w:after="0" w:afterAutospacing="0" w:line="480" w:lineRule="auto"/>
        <w:jc w:val="both"/>
        <w:rPr>
          <w:highlight w:val="yellow"/>
        </w:rPr>
      </w:pPr>
      <w:proofErr w:type="spellStart"/>
      <w:r w:rsidRPr="00931CBD">
        <w:rPr>
          <w:highlight w:val="yellow"/>
          <w:lang w:val="en-IN"/>
        </w:rPr>
        <w:t>Achutha</w:t>
      </w:r>
      <w:proofErr w:type="spellEnd"/>
      <w:r w:rsidRPr="00931CBD">
        <w:rPr>
          <w:highlight w:val="yellow"/>
          <w:lang w:val="en-IN"/>
        </w:rPr>
        <w:t xml:space="preserve">, A. S., Pushpa, V. L., &amp; Manoj, K. B. (2021). Comparative molecular docking studies of phytochemicals as Jak2 inhibitors using </w:t>
      </w:r>
      <w:proofErr w:type="spellStart"/>
      <w:r w:rsidRPr="00931CBD">
        <w:rPr>
          <w:highlight w:val="yellow"/>
          <w:lang w:val="en-IN"/>
        </w:rPr>
        <w:t>AutoDock</w:t>
      </w:r>
      <w:proofErr w:type="spellEnd"/>
      <w:r w:rsidRPr="00931CBD">
        <w:rPr>
          <w:highlight w:val="yellow"/>
          <w:lang w:val="en-IN"/>
        </w:rPr>
        <w:t xml:space="preserve"> and </w:t>
      </w:r>
      <w:proofErr w:type="spellStart"/>
      <w:r w:rsidRPr="00931CBD">
        <w:rPr>
          <w:highlight w:val="yellow"/>
          <w:lang w:val="en-IN"/>
        </w:rPr>
        <w:t>ArgusLab</w:t>
      </w:r>
      <w:proofErr w:type="spellEnd"/>
      <w:r w:rsidRPr="00931CBD">
        <w:rPr>
          <w:highlight w:val="yellow"/>
          <w:lang w:val="en-IN"/>
        </w:rPr>
        <w:t>. Materials Today: Proceedings, 41, 711–716.</w:t>
      </w:r>
    </w:p>
    <w:p w14:paraId="76CA58B8" w14:textId="654B8599" w:rsidR="003F3CBB" w:rsidRPr="003F3CBB" w:rsidRDefault="003F3CBB" w:rsidP="008D3B2E">
      <w:pPr>
        <w:pStyle w:val="NormalWeb"/>
        <w:numPr>
          <w:ilvl w:val="0"/>
          <w:numId w:val="3"/>
        </w:numPr>
        <w:spacing w:before="0" w:beforeAutospacing="0" w:after="0" w:afterAutospacing="0" w:line="480" w:lineRule="auto"/>
        <w:jc w:val="both"/>
        <w:rPr>
          <w:highlight w:val="yellow"/>
        </w:rPr>
      </w:pPr>
      <w:r w:rsidRPr="003F3CBB">
        <w:rPr>
          <w:highlight w:val="yellow"/>
          <w:lang w:val="en-IN"/>
        </w:rPr>
        <w:t xml:space="preserve">Ramli I, </w:t>
      </w:r>
      <w:proofErr w:type="spellStart"/>
      <w:r w:rsidRPr="003F3CBB">
        <w:rPr>
          <w:highlight w:val="yellow"/>
          <w:lang w:val="en-IN"/>
        </w:rPr>
        <w:t>Cheriet</w:t>
      </w:r>
      <w:proofErr w:type="spellEnd"/>
      <w:r w:rsidRPr="003F3CBB">
        <w:rPr>
          <w:highlight w:val="yellow"/>
          <w:lang w:val="en-IN"/>
        </w:rPr>
        <w:t xml:space="preserve"> T, </w:t>
      </w:r>
      <w:proofErr w:type="spellStart"/>
      <w:r w:rsidRPr="003F3CBB">
        <w:rPr>
          <w:highlight w:val="yellow"/>
          <w:lang w:val="en-IN"/>
        </w:rPr>
        <w:t>Posadino</w:t>
      </w:r>
      <w:proofErr w:type="spellEnd"/>
      <w:r w:rsidRPr="003F3CBB">
        <w:rPr>
          <w:highlight w:val="yellow"/>
          <w:lang w:val="en-IN"/>
        </w:rPr>
        <w:t xml:space="preserve"> AM, </w:t>
      </w:r>
      <w:proofErr w:type="spellStart"/>
      <w:r w:rsidRPr="003F3CBB">
        <w:rPr>
          <w:highlight w:val="yellow"/>
          <w:lang w:val="en-IN"/>
        </w:rPr>
        <w:t>Giordo</w:t>
      </w:r>
      <w:proofErr w:type="spellEnd"/>
      <w:r w:rsidRPr="003F3CBB">
        <w:rPr>
          <w:highlight w:val="yellow"/>
          <w:lang w:val="en-IN"/>
        </w:rPr>
        <w:t xml:space="preserve"> R, </w:t>
      </w:r>
      <w:proofErr w:type="spellStart"/>
      <w:r w:rsidRPr="003F3CBB">
        <w:rPr>
          <w:highlight w:val="yellow"/>
          <w:lang w:val="en-IN"/>
        </w:rPr>
        <w:t>Fenu</w:t>
      </w:r>
      <w:proofErr w:type="spellEnd"/>
      <w:r w:rsidRPr="003F3CBB">
        <w:rPr>
          <w:highlight w:val="yellow"/>
          <w:lang w:val="en-IN"/>
        </w:rPr>
        <w:t xml:space="preserve"> G, Nwachukwu KC, Oyewole OA, Adetunji CO, Calina D, Sharifi-Rad J, Pintus G. Modulating the p53-MDM2 pathway: the therapeutic potential of natural compounds in cancer treatment. EXCLI journal. 2024 Nov </w:t>
      </w:r>
      <w:proofErr w:type="gramStart"/>
      <w:r w:rsidRPr="003F3CBB">
        <w:rPr>
          <w:highlight w:val="yellow"/>
          <w:lang w:val="en-IN"/>
        </w:rPr>
        <w:t>22;23:1397</w:t>
      </w:r>
      <w:proofErr w:type="gramEnd"/>
      <w:r w:rsidRPr="003F3CBB">
        <w:rPr>
          <w:highlight w:val="yellow"/>
          <w:lang w:val="en-IN"/>
        </w:rPr>
        <w:t>.</w:t>
      </w:r>
    </w:p>
    <w:p w14:paraId="69995C76" w14:textId="647BA734"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Dhillon, P. K., Mathur, P., Nandakumar, A., Fitzmaurice, C., Kumar, G. A., Mehrotra, R., et al. </w:t>
      </w:r>
      <w:r w:rsidRPr="00565953">
        <w:t xml:space="preserve">(2018). The burden of cancers and their variations across the states of India: </w:t>
      </w:r>
      <w:proofErr w:type="gramStart"/>
      <w:r w:rsidRPr="00565953">
        <w:t>the</w:t>
      </w:r>
      <w:proofErr w:type="gramEnd"/>
      <w:r w:rsidRPr="00565953">
        <w:t xml:space="preserve"> Global Burden of Disease Study 1990–2016. </w:t>
      </w:r>
      <w:r w:rsidRPr="00565953">
        <w:rPr>
          <w:i/>
          <w:iCs/>
        </w:rPr>
        <w:t>The Lancet Oncology</w:t>
      </w:r>
      <w:r w:rsidRPr="00565953">
        <w:t xml:space="preserve">, 19(10), 1289–1306. </w:t>
      </w:r>
      <w:hyperlink r:id="rId37" w:history="1">
        <w:r w:rsidR="00C07345" w:rsidRPr="00565953">
          <w:rPr>
            <w:rStyle w:val="Hyperlink"/>
            <w:rFonts w:eastAsia="Calibri"/>
          </w:rPr>
          <w:t>https://doi.org/10.1016/s1470-2045(18)30447-9</w:t>
        </w:r>
      </w:hyperlink>
      <w:r w:rsidR="00C07345" w:rsidRPr="00565953">
        <w:rPr>
          <w:rStyle w:val="url"/>
          <w:rFonts w:eastAsia="Calibri"/>
        </w:rPr>
        <w:t xml:space="preserve"> </w:t>
      </w:r>
    </w:p>
    <w:p w14:paraId="7FAD276F" w14:textId="08FAE81F"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Khuwaja, G. A., &amp; Abu-Rezq, A. N. (2004). </w:t>
      </w:r>
      <w:r w:rsidRPr="00565953">
        <w:t xml:space="preserve">Bimodal breast cancer classification system. </w:t>
      </w:r>
      <w:r w:rsidRPr="00565953">
        <w:rPr>
          <w:i/>
          <w:iCs/>
        </w:rPr>
        <w:t>Pattern Analysis and Applications</w:t>
      </w:r>
      <w:r w:rsidRPr="00565953">
        <w:t xml:space="preserve">, </w:t>
      </w:r>
      <w:r w:rsidRPr="00565953">
        <w:rPr>
          <w:i/>
          <w:iCs/>
        </w:rPr>
        <w:t>7</w:t>
      </w:r>
      <w:r w:rsidRPr="00565953">
        <w:t xml:space="preserve">(3), 235–242. </w:t>
      </w:r>
      <w:hyperlink r:id="rId38" w:history="1">
        <w:r w:rsidR="00C07345" w:rsidRPr="00565953">
          <w:rPr>
            <w:rStyle w:val="Hyperlink"/>
            <w:rFonts w:eastAsia="Calibri"/>
          </w:rPr>
          <w:t>https://doi.org/10.1007/bf02683990</w:t>
        </w:r>
      </w:hyperlink>
      <w:r w:rsidR="00C07345" w:rsidRPr="00565953">
        <w:rPr>
          <w:rStyle w:val="url"/>
          <w:rFonts w:eastAsia="Calibri"/>
        </w:rPr>
        <w:t xml:space="preserve"> </w:t>
      </w:r>
    </w:p>
    <w:p w14:paraId="3ECA8C10" w14:textId="631B3A39" w:rsidR="006875EE" w:rsidRPr="00565953" w:rsidRDefault="006875EE" w:rsidP="008D3B2E">
      <w:pPr>
        <w:pStyle w:val="NormalWeb"/>
        <w:numPr>
          <w:ilvl w:val="0"/>
          <w:numId w:val="3"/>
        </w:numPr>
        <w:spacing w:before="0" w:beforeAutospacing="0" w:after="0" w:afterAutospacing="0" w:line="480" w:lineRule="auto"/>
        <w:jc w:val="both"/>
      </w:pPr>
      <w:r w:rsidRPr="00565953">
        <w:rPr>
          <w:lang w:val="de-DE"/>
        </w:rPr>
        <w:t xml:space="preserve">Wanchai, A., Armer, J. M., &amp; Stewart, B. R. (2010). </w:t>
      </w:r>
      <w:r w:rsidRPr="00565953">
        <w:t xml:space="preserve">Complementary and Alternative medicine use among Women with breast Cancer: a systematic review. </w:t>
      </w:r>
      <w:r w:rsidRPr="00565953">
        <w:rPr>
          <w:i/>
          <w:iCs/>
        </w:rPr>
        <w:t>Clinical Journal of Oncology Nursing</w:t>
      </w:r>
      <w:r w:rsidRPr="00565953">
        <w:t xml:space="preserve">, </w:t>
      </w:r>
      <w:r w:rsidRPr="00565953">
        <w:rPr>
          <w:i/>
          <w:iCs/>
        </w:rPr>
        <w:t>14</w:t>
      </w:r>
      <w:r w:rsidRPr="00565953">
        <w:t xml:space="preserve">(4), E45–E55. </w:t>
      </w:r>
      <w:hyperlink r:id="rId39" w:history="1">
        <w:r w:rsidR="00C07345" w:rsidRPr="00565953">
          <w:rPr>
            <w:rStyle w:val="Hyperlink"/>
            <w:rFonts w:eastAsia="Calibri"/>
          </w:rPr>
          <w:t>https://doi.org/10.1188/10.cjon.e45-e55</w:t>
        </w:r>
      </w:hyperlink>
      <w:r w:rsidR="00C07345" w:rsidRPr="00565953">
        <w:rPr>
          <w:rStyle w:val="url"/>
          <w:rFonts w:eastAsia="Calibri"/>
        </w:rPr>
        <w:t xml:space="preserve"> </w:t>
      </w:r>
    </w:p>
    <w:p w14:paraId="7E9CBFE0" w14:textId="0037DC12" w:rsidR="006875EE" w:rsidRPr="00565953" w:rsidRDefault="006875EE" w:rsidP="008D3B2E">
      <w:pPr>
        <w:pStyle w:val="NormalWeb"/>
        <w:numPr>
          <w:ilvl w:val="0"/>
          <w:numId w:val="3"/>
        </w:numPr>
        <w:spacing w:before="0" w:beforeAutospacing="0" w:after="0" w:afterAutospacing="0" w:line="480" w:lineRule="auto"/>
        <w:jc w:val="both"/>
      </w:pPr>
      <w:r w:rsidRPr="00565953">
        <w:lastRenderedPageBreak/>
        <w:t xml:space="preserve">Li, S., So, T., Tang, G., Tan, H., Wang, N., Ng, B. F. L., Chan, C. K. W., Yu, E. C., &amp; Feng, Y. (2020). Chinese Herbal Medicine for Reducing Chemotherapy-Associated Side-Effects in Breast Cancer Patients: A Systematic Review and Meta-Analysis. </w:t>
      </w:r>
      <w:r w:rsidRPr="00565953">
        <w:rPr>
          <w:i/>
          <w:iCs/>
        </w:rPr>
        <w:t>Frontiers in Oncology</w:t>
      </w:r>
      <w:r w:rsidRPr="00565953">
        <w:t xml:space="preserve">, </w:t>
      </w:r>
      <w:r w:rsidRPr="00565953">
        <w:rPr>
          <w:i/>
          <w:iCs/>
        </w:rPr>
        <w:t>10</w:t>
      </w:r>
      <w:r w:rsidRPr="00565953">
        <w:t xml:space="preserve">. </w:t>
      </w:r>
      <w:hyperlink r:id="rId40" w:history="1">
        <w:r w:rsidR="00C07345" w:rsidRPr="00565953">
          <w:rPr>
            <w:rStyle w:val="Hyperlink"/>
            <w:rFonts w:eastAsia="Calibri"/>
          </w:rPr>
          <w:t>https://doi.org/10.3389/fonc.2020.599073</w:t>
        </w:r>
      </w:hyperlink>
      <w:r w:rsidR="00C07345" w:rsidRPr="00565953">
        <w:rPr>
          <w:rStyle w:val="url"/>
          <w:rFonts w:eastAsia="Calibri"/>
        </w:rPr>
        <w:t xml:space="preserve"> </w:t>
      </w:r>
    </w:p>
    <w:p w14:paraId="72F51052" w14:textId="77777777" w:rsidR="00AF264A" w:rsidRPr="00565953" w:rsidRDefault="00AF264A"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eastAsia="Times New Roman" w:hAnsi="Times New Roman" w:cs="Times New Roman"/>
          <w:sz w:val="24"/>
          <w:szCs w:val="24"/>
        </w:rPr>
        <w:t xml:space="preserve">Sherif, M.M. &amp; El-Shiekh, H.H. &amp; </w:t>
      </w:r>
      <w:proofErr w:type="spellStart"/>
      <w:r w:rsidRPr="00565953">
        <w:rPr>
          <w:rFonts w:ascii="Times New Roman" w:eastAsia="Times New Roman" w:hAnsi="Times New Roman" w:cs="Times New Roman"/>
          <w:sz w:val="24"/>
          <w:szCs w:val="24"/>
        </w:rPr>
        <w:t>Elaasser</w:t>
      </w:r>
      <w:proofErr w:type="spellEnd"/>
      <w:r w:rsidRPr="00565953">
        <w:rPr>
          <w:rFonts w:ascii="Times New Roman" w:eastAsia="Times New Roman" w:hAnsi="Times New Roman" w:cs="Times New Roman"/>
          <w:sz w:val="24"/>
          <w:szCs w:val="24"/>
        </w:rPr>
        <w:t xml:space="preserve">, Mahmoud &amp; </w:t>
      </w:r>
      <w:proofErr w:type="spellStart"/>
      <w:r w:rsidRPr="00565953">
        <w:rPr>
          <w:rFonts w:ascii="Times New Roman" w:eastAsia="Times New Roman" w:hAnsi="Times New Roman" w:cs="Times New Roman"/>
          <w:sz w:val="24"/>
          <w:szCs w:val="24"/>
        </w:rPr>
        <w:t>Elbadry</w:t>
      </w:r>
      <w:proofErr w:type="spellEnd"/>
      <w:r w:rsidRPr="00565953">
        <w:rPr>
          <w:rFonts w:ascii="Times New Roman" w:eastAsia="Times New Roman" w:hAnsi="Times New Roman" w:cs="Times New Roman"/>
          <w:sz w:val="24"/>
          <w:szCs w:val="24"/>
        </w:rPr>
        <w:t>, Mostafa. (2013). In vitro evaluation of antimicrobial and cytotoxic effects of Caper (</w:t>
      </w:r>
      <w:r w:rsidRPr="00565953">
        <w:rPr>
          <w:rFonts w:ascii="Times New Roman" w:eastAsia="Times New Roman" w:hAnsi="Times New Roman" w:cs="Times New Roman"/>
          <w:i/>
          <w:iCs/>
          <w:sz w:val="24"/>
          <w:szCs w:val="24"/>
        </w:rPr>
        <w:t>Capparis spinosa</w:t>
      </w:r>
      <w:r w:rsidRPr="00565953">
        <w:rPr>
          <w:rFonts w:ascii="Times New Roman" w:eastAsia="Times New Roman" w:hAnsi="Times New Roman" w:cs="Times New Roman"/>
          <w:sz w:val="24"/>
          <w:szCs w:val="24"/>
        </w:rPr>
        <w:t xml:space="preserve">). </w:t>
      </w:r>
      <w:r w:rsidRPr="00565953">
        <w:rPr>
          <w:rFonts w:ascii="Times New Roman" w:eastAsia="Times New Roman" w:hAnsi="Times New Roman" w:cs="Times New Roman"/>
          <w:i/>
          <w:iCs/>
          <w:sz w:val="24"/>
          <w:szCs w:val="24"/>
        </w:rPr>
        <w:t>Journal of Applied Sciences Research</w:t>
      </w:r>
      <w:r w:rsidRPr="00565953">
        <w:rPr>
          <w:rFonts w:ascii="Times New Roman" w:eastAsia="Times New Roman" w:hAnsi="Times New Roman" w:cs="Times New Roman"/>
          <w:sz w:val="24"/>
          <w:szCs w:val="24"/>
        </w:rPr>
        <w:t>. 9. 2944-2950.</w:t>
      </w:r>
    </w:p>
    <w:p w14:paraId="71EDDC3D" w14:textId="06E6B158" w:rsidR="00AF264A" w:rsidRPr="00565953" w:rsidRDefault="00AF264A" w:rsidP="008D3B2E">
      <w:pPr>
        <w:numPr>
          <w:ilvl w:val="0"/>
          <w:numId w:val="3"/>
        </w:numPr>
        <w:spacing w:line="480" w:lineRule="auto"/>
        <w:jc w:val="both"/>
        <w:rPr>
          <w:rFonts w:ascii="Times New Roman" w:eastAsia="Times New Roman" w:hAnsi="Times New Roman" w:cs="Times New Roman"/>
          <w:sz w:val="24"/>
          <w:szCs w:val="24"/>
        </w:rPr>
      </w:pPr>
      <w:r w:rsidRPr="00565953">
        <w:rPr>
          <w:rFonts w:ascii="Times New Roman" w:hAnsi="Times New Roman" w:cs="Times New Roman"/>
          <w:sz w:val="24"/>
          <w:szCs w:val="24"/>
        </w:rPr>
        <w:t xml:space="preserve">Hassan, L. E. A., Ahamed, M. B. K., Majid, A. S. A., </w:t>
      </w:r>
      <w:proofErr w:type="spellStart"/>
      <w:r w:rsidRPr="00565953">
        <w:rPr>
          <w:rFonts w:ascii="Times New Roman" w:hAnsi="Times New Roman" w:cs="Times New Roman"/>
          <w:sz w:val="24"/>
          <w:szCs w:val="24"/>
        </w:rPr>
        <w:t>Baharetha</w:t>
      </w:r>
      <w:proofErr w:type="spellEnd"/>
      <w:r w:rsidRPr="00565953">
        <w:rPr>
          <w:rFonts w:ascii="Times New Roman" w:hAnsi="Times New Roman" w:cs="Times New Roman"/>
          <w:sz w:val="24"/>
          <w:szCs w:val="24"/>
        </w:rPr>
        <w:t xml:space="preserve">, H. M., Muslim, N. S., Nassar, Z. D., &amp; Majid, A. M. A. (2014). Correlation of antiangiogenic, antioxidant and cytotoxic activities of some Sudanese medicinal plants with phenolic and flavonoid contents. </w:t>
      </w:r>
      <w:r w:rsidRPr="00565953">
        <w:rPr>
          <w:rFonts w:ascii="Times New Roman" w:hAnsi="Times New Roman" w:cs="Times New Roman"/>
          <w:i/>
          <w:iCs/>
          <w:sz w:val="24"/>
          <w:szCs w:val="24"/>
        </w:rPr>
        <w:t>BMC Complementary and Alternative Medicine</w:t>
      </w:r>
      <w:r w:rsidRPr="00565953">
        <w:rPr>
          <w:rFonts w:ascii="Times New Roman" w:hAnsi="Times New Roman" w:cs="Times New Roman"/>
          <w:sz w:val="24"/>
          <w:szCs w:val="24"/>
        </w:rPr>
        <w:t xml:space="preserve">, </w:t>
      </w:r>
      <w:r w:rsidRPr="00565953">
        <w:rPr>
          <w:rFonts w:ascii="Times New Roman" w:hAnsi="Times New Roman" w:cs="Times New Roman"/>
          <w:i/>
          <w:iCs/>
          <w:sz w:val="24"/>
          <w:szCs w:val="24"/>
        </w:rPr>
        <w:t>14</w:t>
      </w:r>
      <w:r w:rsidRPr="00565953">
        <w:rPr>
          <w:rFonts w:ascii="Times New Roman" w:hAnsi="Times New Roman" w:cs="Times New Roman"/>
          <w:sz w:val="24"/>
          <w:szCs w:val="24"/>
        </w:rPr>
        <w:t xml:space="preserve">(1). </w:t>
      </w:r>
      <w:hyperlink r:id="rId41" w:history="1">
        <w:r w:rsidR="00C07345" w:rsidRPr="00565953">
          <w:rPr>
            <w:rStyle w:val="Hyperlink"/>
            <w:rFonts w:ascii="Times New Roman" w:hAnsi="Times New Roman" w:cs="Times New Roman"/>
            <w:sz w:val="24"/>
            <w:szCs w:val="24"/>
          </w:rPr>
          <w:t>https://doi.org/10.1186/1472-6882-14-406</w:t>
        </w:r>
      </w:hyperlink>
      <w:r w:rsidR="00C07345" w:rsidRPr="00565953">
        <w:rPr>
          <w:rStyle w:val="url"/>
          <w:rFonts w:ascii="Times New Roman" w:hAnsi="Times New Roman" w:cs="Times New Roman"/>
          <w:sz w:val="24"/>
          <w:szCs w:val="24"/>
        </w:rPr>
        <w:t xml:space="preserve"> </w:t>
      </w:r>
    </w:p>
    <w:p w14:paraId="2E2CCB70" w14:textId="2142320C" w:rsidR="003F6926" w:rsidRPr="00565953" w:rsidRDefault="003B4C44" w:rsidP="0077712B">
      <w:pPr>
        <w:numPr>
          <w:ilvl w:val="0"/>
          <w:numId w:val="3"/>
        </w:numPr>
        <w:spacing w:after="0" w:line="480" w:lineRule="auto"/>
        <w:jc w:val="both"/>
        <w:rPr>
          <w:rFonts w:ascii="Times New Roman" w:hAnsi="Times New Roman" w:cs="Times New Roman"/>
          <w:sz w:val="24"/>
          <w:szCs w:val="24"/>
        </w:rPr>
      </w:pPr>
      <w:r w:rsidRPr="00565953">
        <w:rPr>
          <w:rFonts w:ascii="Times New Roman" w:eastAsia="Times New Roman" w:hAnsi="Times New Roman" w:cs="Times New Roman"/>
          <w:sz w:val="24"/>
          <w:szCs w:val="24"/>
        </w:rPr>
        <w:t xml:space="preserve"> </w:t>
      </w:r>
      <w:r w:rsidR="003F6926" w:rsidRPr="00565953">
        <w:rPr>
          <w:rFonts w:ascii="Times New Roman" w:eastAsia="Times New Roman" w:hAnsi="Times New Roman" w:cs="Times New Roman"/>
          <w:sz w:val="24"/>
          <w:szCs w:val="24"/>
        </w:rPr>
        <w:t xml:space="preserve">Kennedy DC, Coen B, Wheatley AM, McCullagh KJA. Microvascular Experimentation in the Chick Chorioallantoic Membrane as a Model for Screening Angiogenic Agents including from Gene-Modified Cells. Int J Mol Sci. 2021 Dec 31;23(1):452. </w:t>
      </w:r>
      <w:hyperlink r:id="rId42" w:history="1">
        <w:r w:rsidR="003F6926" w:rsidRPr="00565953">
          <w:rPr>
            <w:rStyle w:val="Hyperlink"/>
            <w:rFonts w:ascii="Times New Roman" w:eastAsia="Times New Roman" w:hAnsi="Times New Roman" w:cs="Times New Roman"/>
            <w:sz w:val="24"/>
            <w:szCs w:val="24"/>
          </w:rPr>
          <w:t>https://doi.org10.3390/ijms23010452</w:t>
        </w:r>
      </w:hyperlink>
      <w:r w:rsidR="003F6926" w:rsidRPr="00565953">
        <w:rPr>
          <w:rFonts w:ascii="Times New Roman" w:eastAsia="Times New Roman" w:hAnsi="Times New Roman" w:cs="Times New Roman"/>
          <w:sz w:val="24"/>
          <w:szCs w:val="24"/>
        </w:rPr>
        <w:t xml:space="preserve">  </w:t>
      </w:r>
    </w:p>
    <w:p w14:paraId="1E72E6CB" w14:textId="70FCD2B8" w:rsidR="004866B5" w:rsidRPr="00565953" w:rsidRDefault="008D3B2E" w:rsidP="0077712B">
      <w:pPr>
        <w:numPr>
          <w:ilvl w:val="0"/>
          <w:numId w:val="3"/>
        </w:numPr>
        <w:spacing w:after="0" w:line="480" w:lineRule="auto"/>
        <w:jc w:val="both"/>
        <w:rPr>
          <w:rFonts w:ascii="Times New Roman" w:hAnsi="Times New Roman" w:cs="Times New Roman"/>
          <w:sz w:val="24"/>
          <w:szCs w:val="24"/>
        </w:rPr>
      </w:pPr>
      <w:proofErr w:type="spellStart"/>
      <w:r w:rsidRPr="00565953">
        <w:rPr>
          <w:rFonts w:ascii="Times New Roman" w:hAnsi="Times New Roman" w:cs="Times New Roman"/>
          <w:sz w:val="24"/>
          <w:szCs w:val="24"/>
        </w:rPr>
        <w:t>Priatna</w:t>
      </w:r>
      <w:proofErr w:type="spellEnd"/>
      <w:r w:rsidRPr="00565953">
        <w:rPr>
          <w:rFonts w:ascii="Times New Roman" w:hAnsi="Times New Roman" w:cs="Times New Roman"/>
          <w:sz w:val="24"/>
          <w:szCs w:val="24"/>
        </w:rPr>
        <w:t xml:space="preserve">, P. A., </w:t>
      </w:r>
      <w:proofErr w:type="spellStart"/>
      <w:r w:rsidRPr="00565953">
        <w:rPr>
          <w:rFonts w:ascii="Times New Roman" w:hAnsi="Times New Roman" w:cs="Times New Roman"/>
          <w:sz w:val="24"/>
          <w:szCs w:val="24"/>
        </w:rPr>
        <w:t>Pratama</w:t>
      </w:r>
      <w:proofErr w:type="spellEnd"/>
      <w:r w:rsidRPr="00565953">
        <w:rPr>
          <w:rFonts w:ascii="Times New Roman" w:hAnsi="Times New Roman" w:cs="Times New Roman"/>
          <w:sz w:val="24"/>
          <w:szCs w:val="24"/>
        </w:rPr>
        <w:t xml:space="preserve">, R. R., </w:t>
      </w:r>
      <w:proofErr w:type="spellStart"/>
      <w:r w:rsidRPr="00565953">
        <w:rPr>
          <w:rFonts w:ascii="Times New Roman" w:hAnsi="Times New Roman" w:cs="Times New Roman"/>
          <w:sz w:val="24"/>
          <w:szCs w:val="24"/>
        </w:rPr>
        <w:t>Widyowati</w:t>
      </w:r>
      <w:proofErr w:type="spellEnd"/>
      <w:r w:rsidRPr="00565953">
        <w:rPr>
          <w:rFonts w:ascii="Times New Roman" w:hAnsi="Times New Roman" w:cs="Times New Roman"/>
          <w:sz w:val="24"/>
          <w:szCs w:val="24"/>
        </w:rPr>
        <w:t xml:space="preserve">, R., &amp; </w:t>
      </w:r>
      <w:proofErr w:type="spellStart"/>
      <w:r w:rsidRPr="00565953">
        <w:rPr>
          <w:rFonts w:ascii="Times New Roman" w:hAnsi="Times New Roman" w:cs="Times New Roman"/>
          <w:sz w:val="24"/>
          <w:szCs w:val="24"/>
        </w:rPr>
        <w:t>Sukardiman</w:t>
      </w:r>
      <w:proofErr w:type="spellEnd"/>
      <w:r w:rsidRPr="00565953">
        <w:rPr>
          <w:rFonts w:ascii="Times New Roman" w:hAnsi="Times New Roman" w:cs="Times New Roman"/>
          <w:sz w:val="24"/>
          <w:szCs w:val="24"/>
        </w:rPr>
        <w:t xml:space="preserve">, S. (2023). Molecular Docking Estrogen Receptor Alpha Antagonist and P53- MDM2 Inhibitor, ADMET Prediction of Alkaloid Compound from </w:t>
      </w:r>
      <w:proofErr w:type="spellStart"/>
      <w:r w:rsidRPr="00565953">
        <w:rPr>
          <w:rFonts w:ascii="Times New Roman" w:hAnsi="Times New Roman" w:cs="Times New Roman"/>
          <w:i/>
          <w:iCs/>
          <w:sz w:val="24"/>
          <w:szCs w:val="24"/>
        </w:rPr>
        <w:t>Mitragyna</w:t>
      </w:r>
      <w:proofErr w:type="spellEnd"/>
      <w:r w:rsidRPr="00565953">
        <w:rPr>
          <w:rFonts w:ascii="Times New Roman" w:hAnsi="Times New Roman" w:cs="Times New Roman"/>
          <w:i/>
          <w:iCs/>
          <w:sz w:val="24"/>
          <w:szCs w:val="24"/>
        </w:rPr>
        <w:t xml:space="preserve"> </w:t>
      </w:r>
      <w:proofErr w:type="spellStart"/>
      <w:r w:rsidRPr="00565953">
        <w:rPr>
          <w:rFonts w:ascii="Times New Roman" w:hAnsi="Times New Roman" w:cs="Times New Roman"/>
          <w:i/>
          <w:iCs/>
          <w:sz w:val="24"/>
          <w:szCs w:val="24"/>
        </w:rPr>
        <w:t>speciosa</w:t>
      </w:r>
      <w:proofErr w:type="spellEnd"/>
      <w:r w:rsidRPr="00565953">
        <w:rPr>
          <w:rFonts w:ascii="Times New Roman" w:hAnsi="Times New Roman" w:cs="Times New Roman"/>
          <w:sz w:val="24"/>
          <w:szCs w:val="24"/>
        </w:rPr>
        <w:t xml:space="preserve"> for Breast Cancer Therapy. </w:t>
      </w:r>
      <w:r w:rsidRPr="00565953">
        <w:rPr>
          <w:rFonts w:ascii="Times New Roman" w:hAnsi="Times New Roman" w:cs="Times New Roman"/>
          <w:i/>
          <w:iCs/>
          <w:sz w:val="24"/>
          <w:szCs w:val="24"/>
        </w:rPr>
        <w:t>Pharmacognosy Journal</w:t>
      </w:r>
      <w:r w:rsidRPr="00565953">
        <w:rPr>
          <w:rFonts w:ascii="Times New Roman" w:hAnsi="Times New Roman" w:cs="Times New Roman"/>
          <w:sz w:val="24"/>
          <w:szCs w:val="24"/>
        </w:rPr>
        <w:t xml:space="preserve">, </w:t>
      </w:r>
      <w:r w:rsidRPr="00565953">
        <w:rPr>
          <w:rFonts w:ascii="Times New Roman" w:hAnsi="Times New Roman" w:cs="Times New Roman"/>
          <w:i/>
          <w:iCs/>
          <w:sz w:val="24"/>
          <w:szCs w:val="24"/>
        </w:rPr>
        <w:t>14</w:t>
      </w:r>
      <w:r w:rsidRPr="00565953">
        <w:rPr>
          <w:rFonts w:ascii="Times New Roman" w:hAnsi="Times New Roman" w:cs="Times New Roman"/>
          <w:sz w:val="24"/>
          <w:szCs w:val="24"/>
        </w:rPr>
        <w:t xml:space="preserve">(6s), 912–916. </w:t>
      </w:r>
      <w:hyperlink r:id="rId43" w:history="1">
        <w:bookmarkStart w:id="6" w:name="_Hlk200056000"/>
        <w:r w:rsidR="00C07345" w:rsidRPr="00565953">
          <w:rPr>
            <w:rStyle w:val="Hyperlink"/>
            <w:rFonts w:ascii="Times New Roman" w:hAnsi="Times New Roman" w:cs="Times New Roman"/>
            <w:sz w:val="24"/>
            <w:szCs w:val="24"/>
          </w:rPr>
          <w:t>https://doi.org</w:t>
        </w:r>
        <w:bookmarkEnd w:id="6"/>
        <w:r w:rsidR="00C07345" w:rsidRPr="00565953">
          <w:rPr>
            <w:rStyle w:val="Hyperlink"/>
            <w:rFonts w:ascii="Times New Roman" w:hAnsi="Times New Roman" w:cs="Times New Roman"/>
            <w:sz w:val="24"/>
            <w:szCs w:val="24"/>
          </w:rPr>
          <w:t>/10.5530/pj.2022.14.188</w:t>
        </w:r>
      </w:hyperlink>
      <w:r w:rsidR="00C07345" w:rsidRPr="00565953">
        <w:rPr>
          <w:rStyle w:val="url"/>
          <w:rFonts w:ascii="Times New Roman" w:hAnsi="Times New Roman" w:cs="Times New Roman"/>
          <w:sz w:val="24"/>
          <w:szCs w:val="24"/>
        </w:rPr>
        <w:t xml:space="preserve"> </w:t>
      </w:r>
      <w:bookmarkEnd w:id="5"/>
    </w:p>
    <w:sectPr w:rsidR="004866B5" w:rsidRPr="00565953" w:rsidSect="003F7E02">
      <w:headerReference w:type="even" r:id="rId44"/>
      <w:headerReference w:type="default" r:id="rId45"/>
      <w:footerReference w:type="even" r:id="rId46"/>
      <w:footerReference w:type="default" r:id="rId47"/>
      <w:headerReference w:type="first" r:id="rId48"/>
      <w:footerReference w:type="first" r:id="rId49"/>
      <w:pgSz w:w="12240" w:h="15840"/>
      <w:pgMar w:top="1135"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29D5C" w14:textId="77777777" w:rsidR="001F0F86" w:rsidRDefault="001F0F86" w:rsidP="00464F13">
      <w:pPr>
        <w:spacing w:after="0" w:line="240" w:lineRule="auto"/>
      </w:pPr>
      <w:r>
        <w:separator/>
      </w:r>
    </w:p>
  </w:endnote>
  <w:endnote w:type="continuationSeparator" w:id="0">
    <w:p w14:paraId="0B43466D" w14:textId="77777777" w:rsidR="001F0F86" w:rsidRDefault="001F0F86" w:rsidP="00464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D71FFB-64C5-4D4D-A051-C8B2AB6E68A7}"/>
    <w:embedBold r:id="rId2" w:fontKey="{B7E510C3-97B9-40B9-AFB0-D8F8A1C7D294}"/>
    <w:embedItalic r:id="rId3" w:fontKey="{6C96030A-FEA4-4744-94A3-7FFDFCB66445}"/>
  </w:font>
  <w:font w:name="Calibri Light">
    <w:panose1 w:val="020F0302020204030204"/>
    <w:charset w:val="00"/>
    <w:family w:val="swiss"/>
    <w:pitch w:val="variable"/>
    <w:sig w:usb0="E4002EFF" w:usb1="C200247B" w:usb2="00000009" w:usb3="00000000" w:csb0="000001FF" w:csb1="00000000"/>
    <w:embedRegular r:id="rId4" w:fontKey="{771AED13-43D5-4349-973D-4242F4F7D0D7}"/>
  </w:font>
  <w:font w:name="Mangal">
    <w:panose1 w:val="00000400000000000000"/>
    <w:charset w:val="00"/>
    <w:family w:val="roman"/>
    <w:pitch w:val="variable"/>
    <w:sig w:usb0="00008003" w:usb1="00000000" w:usb2="00000000" w:usb3="00000000" w:csb0="00000001" w:csb1="00000000"/>
    <w:embedRegular r:id="rId5" w:fontKey="{50A6B58A-75E9-4BC5-A130-DA0FE0F5215D}"/>
  </w:font>
  <w:font w:name="Verdana">
    <w:panose1 w:val="020B0604030504040204"/>
    <w:charset w:val="00"/>
    <w:family w:val="swiss"/>
    <w:pitch w:val="variable"/>
    <w:sig w:usb0="A00006FF" w:usb1="4000205B" w:usb2="00000010" w:usb3="00000000" w:csb0="0000019F" w:csb1="00000000"/>
    <w:embedRegular r:id="rId6" w:fontKey="{6A28E551-4CB2-4267-A5A2-A919C6A63A7F}"/>
  </w:font>
  <w:font w:name="Georgia">
    <w:panose1 w:val="02040502050405020303"/>
    <w:charset w:val="00"/>
    <w:family w:val="roman"/>
    <w:pitch w:val="variable"/>
    <w:sig w:usb0="00000287" w:usb1="00000000" w:usb2="00000000" w:usb3="00000000" w:csb0="0000009F" w:csb1="00000000"/>
    <w:embedRegular r:id="rId7" w:fontKey="{167EA939-0834-43FE-AEE9-58E789015FCC}"/>
    <w:embedItalic r:id="rId8" w:fontKey="{5E60F2F7-E4C4-4E74-9F2E-2A2247E6B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3D136" w14:textId="77777777" w:rsidR="00464F13" w:rsidRDefault="00464F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12EBD" w14:textId="77777777" w:rsidR="00464F13" w:rsidRDefault="00464F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A42D" w14:textId="77777777" w:rsidR="00464F13" w:rsidRDefault="00464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E1BC0" w14:textId="77777777" w:rsidR="001F0F86" w:rsidRDefault="001F0F86" w:rsidP="00464F13">
      <w:pPr>
        <w:spacing w:after="0" w:line="240" w:lineRule="auto"/>
      </w:pPr>
      <w:r>
        <w:separator/>
      </w:r>
    </w:p>
  </w:footnote>
  <w:footnote w:type="continuationSeparator" w:id="0">
    <w:p w14:paraId="5689E802" w14:textId="77777777" w:rsidR="001F0F86" w:rsidRDefault="001F0F86" w:rsidP="00464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E0E5C" w14:textId="3708ED9F" w:rsidR="00464F13" w:rsidRDefault="001F0F86">
    <w:pPr>
      <w:pStyle w:val="Header"/>
    </w:pPr>
    <w:r>
      <w:rPr>
        <w:noProof/>
      </w:rPr>
      <w:pict w14:anchorId="69532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61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CCE91" w14:textId="3D6C7F63" w:rsidR="00464F13" w:rsidRDefault="001F0F86">
    <w:pPr>
      <w:pStyle w:val="Header"/>
    </w:pPr>
    <w:r>
      <w:rPr>
        <w:noProof/>
      </w:rPr>
      <w:pict w14:anchorId="5A0CF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61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C32E5" w14:textId="25A97C26" w:rsidR="00464F13" w:rsidRDefault="001F0F86">
    <w:pPr>
      <w:pStyle w:val="Header"/>
    </w:pPr>
    <w:r>
      <w:rPr>
        <w:noProof/>
      </w:rPr>
      <w:pict w14:anchorId="03030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9160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817E9"/>
    <w:multiLevelType w:val="hybridMultilevel"/>
    <w:tmpl w:val="EFCE6646"/>
    <w:lvl w:ilvl="0" w:tplc="850C9A62">
      <w:start w:val="3"/>
      <w:numFmt w:val="decimal"/>
      <w:lvlText w:val="%1.2"/>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0D0A77"/>
    <w:multiLevelType w:val="hybridMultilevel"/>
    <w:tmpl w:val="C406BB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3336E3"/>
    <w:multiLevelType w:val="multilevel"/>
    <w:tmpl w:val="D708EE76"/>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FE3083"/>
    <w:multiLevelType w:val="hybridMultilevel"/>
    <w:tmpl w:val="B036B570"/>
    <w:lvl w:ilvl="0" w:tplc="7FA41328">
      <w:start w:val="2"/>
      <w:numFmt w:val="decimal"/>
      <w:lvlText w:val="%1.6"/>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32202FC"/>
    <w:multiLevelType w:val="hybridMultilevel"/>
    <w:tmpl w:val="4678F1D4"/>
    <w:lvl w:ilvl="0" w:tplc="09F68676">
      <w:start w:val="2"/>
      <w:numFmt w:val="decimal"/>
      <w:lvlText w:val="%1.2"/>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273A1C4D"/>
    <w:multiLevelType w:val="hybridMultilevel"/>
    <w:tmpl w:val="63982D62"/>
    <w:lvl w:ilvl="0" w:tplc="63D090EA">
      <w:start w:val="1"/>
      <w:numFmt w:val="decimal"/>
      <w:lvlText w:val="%1)"/>
      <w:lvlJc w:val="left"/>
      <w:pPr>
        <w:ind w:left="81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15:restartNumberingAfterBreak="0">
    <w:nsid w:val="3C3623DB"/>
    <w:multiLevelType w:val="hybridMultilevel"/>
    <w:tmpl w:val="C53401C8"/>
    <w:lvl w:ilvl="0" w:tplc="764814A4">
      <w:start w:val="3"/>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D425555"/>
    <w:multiLevelType w:val="hybridMultilevel"/>
    <w:tmpl w:val="C07E249C"/>
    <w:lvl w:ilvl="0" w:tplc="21DA3506">
      <w:start w:val="2"/>
      <w:numFmt w:val="decimal"/>
      <w:lvlText w:val="%1.4"/>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3EC498E"/>
    <w:multiLevelType w:val="hybridMultilevel"/>
    <w:tmpl w:val="7D4C5EAE"/>
    <w:lvl w:ilvl="0" w:tplc="4E0CA3C4">
      <w:start w:val="2"/>
      <w:numFmt w:val="decimal"/>
      <w:lvlText w:val="%1.5"/>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53C1D9D"/>
    <w:multiLevelType w:val="hybridMultilevel"/>
    <w:tmpl w:val="22BAA64E"/>
    <w:lvl w:ilvl="0" w:tplc="6032EBFC">
      <w:start w:val="2"/>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B31CA4"/>
    <w:multiLevelType w:val="hybridMultilevel"/>
    <w:tmpl w:val="5C58FCB6"/>
    <w:lvl w:ilvl="0" w:tplc="1BD652C8">
      <w:start w:val="2"/>
      <w:numFmt w:val="decimal"/>
      <w:lvlText w:val="%1.2"/>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F7857B5"/>
    <w:multiLevelType w:val="hybridMultilevel"/>
    <w:tmpl w:val="A24478D2"/>
    <w:lvl w:ilvl="0" w:tplc="0450AE86">
      <w:start w:val="2"/>
      <w:numFmt w:val="decimal"/>
      <w:lvlText w:val="%1.3"/>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BB4336C"/>
    <w:multiLevelType w:val="multilevel"/>
    <w:tmpl w:val="F1BC4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1EF372C"/>
    <w:multiLevelType w:val="hybridMultilevel"/>
    <w:tmpl w:val="A0EC0B5E"/>
    <w:lvl w:ilvl="0" w:tplc="A6CED110">
      <w:start w:val="2"/>
      <w:numFmt w:val="decimal"/>
      <w:lvlText w:val="%1.7"/>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
  </w:num>
  <w:num w:numId="4">
    <w:abstractNumId w:val="5"/>
  </w:num>
  <w:num w:numId="5">
    <w:abstractNumId w:val="1"/>
  </w:num>
  <w:num w:numId="6">
    <w:abstractNumId w:val="9"/>
  </w:num>
  <w:num w:numId="7">
    <w:abstractNumId w:val="10"/>
  </w:num>
  <w:num w:numId="8">
    <w:abstractNumId w:val="11"/>
  </w:num>
  <w:num w:numId="9">
    <w:abstractNumId w:val="7"/>
  </w:num>
  <w:num w:numId="10">
    <w:abstractNumId w:val="8"/>
  </w:num>
  <w:num w:numId="11">
    <w:abstractNumId w:val="3"/>
  </w:num>
  <w:num w:numId="12">
    <w:abstractNumId w:val="13"/>
  </w:num>
  <w:num w:numId="13">
    <w:abstractNumId w:val="6"/>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0tzQ2MTY2MDcxtjBV0lEKTi0uzszPAykwrAUAL2dwOSwAAAA="/>
  </w:docVars>
  <w:rsids>
    <w:rsidRoot w:val="00FE19D9"/>
    <w:rsid w:val="0000032B"/>
    <w:rsid w:val="00003081"/>
    <w:rsid w:val="00013DE4"/>
    <w:rsid w:val="0004320B"/>
    <w:rsid w:val="000C6ED0"/>
    <w:rsid w:val="000D5313"/>
    <w:rsid w:val="00112EA7"/>
    <w:rsid w:val="00115A53"/>
    <w:rsid w:val="00142B3D"/>
    <w:rsid w:val="00152CA5"/>
    <w:rsid w:val="00167837"/>
    <w:rsid w:val="001A24B6"/>
    <w:rsid w:val="001A64C4"/>
    <w:rsid w:val="001A6C00"/>
    <w:rsid w:val="001D27F4"/>
    <w:rsid w:val="001F0F86"/>
    <w:rsid w:val="0021123E"/>
    <w:rsid w:val="00217A9A"/>
    <w:rsid w:val="00231D43"/>
    <w:rsid w:val="00256106"/>
    <w:rsid w:val="00270C3C"/>
    <w:rsid w:val="00287620"/>
    <w:rsid w:val="002D0922"/>
    <w:rsid w:val="002D43E0"/>
    <w:rsid w:val="00300D23"/>
    <w:rsid w:val="0030179A"/>
    <w:rsid w:val="0031624D"/>
    <w:rsid w:val="00375E52"/>
    <w:rsid w:val="00385E80"/>
    <w:rsid w:val="003B3444"/>
    <w:rsid w:val="003B4C44"/>
    <w:rsid w:val="003F3CBB"/>
    <w:rsid w:val="003F6926"/>
    <w:rsid w:val="003F7E02"/>
    <w:rsid w:val="0040648D"/>
    <w:rsid w:val="00464F13"/>
    <w:rsid w:val="004866B5"/>
    <w:rsid w:val="00497FB1"/>
    <w:rsid w:val="00505E99"/>
    <w:rsid w:val="0051491B"/>
    <w:rsid w:val="00564B76"/>
    <w:rsid w:val="00565953"/>
    <w:rsid w:val="0057253D"/>
    <w:rsid w:val="005879FE"/>
    <w:rsid w:val="005932F9"/>
    <w:rsid w:val="005B72F9"/>
    <w:rsid w:val="005E36E2"/>
    <w:rsid w:val="00621E09"/>
    <w:rsid w:val="006875EE"/>
    <w:rsid w:val="00687A7F"/>
    <w:rsid w:val="006D1B09"/>
    <w:rsid w:val="006E50B2"/>
    <w:rsid w:val="006E7198"/>
    <w:rsid w:val="00774823"/>
    <w:rsid w:val="0077712B"/>
    <w:rsid w:val="0080446F"/>
    <w:rsid w:val="00833CC1"/>
    <w:rsid w:val="008B0E9E"/>
    <w:rsid w:val="008B6B36"/>
    <w:rsid w:val="008C65EA"/>
    <w:rsid w:val="008D3B2E"/>
    <w:rsid w:val="008D4260"/>
    <w:rsid w:val="00931CBD"/>
    <w:rsid w:val="00943E2C"/>
    <w:rsid w:val="0096016C"/>
    <w:rsid w:val="009618C4"/>
    <w:rsid w:val="0096350F"/>
    <w:rsid w:val="00977849"/>
    <w:rsid w:val="0098588D"/>
    <w:rsid w:val="009959F1"/>
    <w:rsid w:val="009B0A59"/>
    <w:rsid w:val="009E394E"/>
    <w:rsid w:val="00A34CCF"/>
    <w:rsid w:val="00A4007F"/>
    <w:rsid w:val="00A747AC"/>
    <w:rsid w:val="00AF264A"/>
    <w:rsid w:val="00B1406F"/>
    <w:rsid w:val="00B44B56"/>
    <w:rsid w:val="00B85C62"/>
    <w:rsid w:val="00BD3327"/>
    <w:rsid w:val="00BE2685"/>
    <w:rsid w:val="00BF19A0"/>
    <w:rsid w:val="00C07345"/>
    <w:rsid w:val="00C242F9"/>
    <w:rsid w:val="00C400CC"/>
    <w:rsid w:val="00C45F0A"/>
    <w:rsid w:val="00C64B34"/>
    <w:rsid w:val="00C67640"/>
    <w:rsid w:val="00C77098"/>
    <w:rsid w:val="00D338B8"/>
    <w:rsid w:val="00D418D9"/>
    <w:rsid w:val="00D42526"/>
    <w:rsid w:val="00D47E1F"/>
    <w:rsid w:val="00D50014"/>
    <w:rsid w:val="00D7397B"/>
    <w:rsid w:val="00D87C41"/>
    <w:rsid w:val="00DA06AB"/>
    <w:rsid w:val="00DA50F9"/>
    <w:rsid w:val="00DA6D9C"/>
    <w:rsid w:val="00DD53B1"/>
    <w:rsid w:val="00DE3A14"/>
    <w:rsid w:val="00DF072C"/>
    <w:rsid w:val="00E27D55"/>
    <w:rsid w:val="00E3095F"/>
    <w:rsid w:val="00E33335"/>
    <w:rsid w:val="00E368D3"/>
    <w:rsid w:val="00E901E1"/>
    <w:rsid w:val="00EA02DF"/>
    <w:rsid w:val="00EA7FB9"/>
    <w:rsid w:val="00EC440B"/>
    <w:rsid w:val="00F066E4"/>
    <w:rsid w:val="00F27317"/>
    <w:rsid w:val="00F51D0B"/>
    <w:rsid w:val="00F74A9A"/>
    <w:rsid w:val="00F85915"/>
    <w:rsid w:val="00F91441"/>
    <w:rsid w:val="00F9311F"/>
    <w:rsid w:val="00FB0CFF"/>
    <w:rsid w:val="00FB1224"/>
    <w:rsid w:val="00FE19D9"/>
    <w:rsid w:val="00FF7DB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194831"/>
  <w15:docId w15:val="{FDE7FE1A-1F4D-46B2-BB3C-19F32BDF7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E4C0E"/>
    <w:pPr>
      <w:widowControl w:val="0"/>
      <w:autoSpaceDE w:val="0"/>
      <w:autoSpaceDN w:val="0"/>
      <w:spacing w:after="0" w:line="240" w:lineRule="auto"/>
      <w:ind w:left="1891"/>
      <w:outlineLvl w:val="0"/>
    </w:pPr>
    <w:rPr>
      <w:b/>
      <w:bCs/>
      <w:sz w:val="24"/>
      <w:szCs w:val="24"/>
      <w:lang w:val="en-US" w:eastAsia="en-US" w:bidi="ar-SA"/>
    </w:rPr>
  </w:style>
  <w:style w:type="paragraph" w:styleId="Heading2">
    <w:name w:val="heading 2"/>
    <w:basedOn w:val="Normal"/>
    <w:next w:val="Normal"/>
    <w:link w:val="Heading2Char"/>
    <w:uiPriority w:val="9"/>
    <w:unhideWhenUsed/>
    <w:qFormat/>
    <w:rsid w:val="00B22B9D"/>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rsid w:val="001F1849"/>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FE4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4C0E"/>
    <w:rPr>
      <w:rFonts w:ascii="Calibri" w:eastAsia="Calibri" w:hAnsi="Calibri" w:cs="Calibri"/>
      <w:b/>
      <w:bCs/>
      <w:kern w:val="0"/>
      <w:sz w:val="24"/>
      <w:szCs w:val="24"/>
      <w:lang w:val="en-US" w:eastAsia="en-US" w:bidi="ar-SA"/>
    </w:rPr>
  </w:style>
  <w:style w:type="character" w:styleId="Hyperlink">
    <w:name w:val="Hyperlink"/>
    <w:basedOn w:val="DefaultParagraphFont"/>
    <w:uiPriority w:val="99"/>
    <w:unhideWhenUsed/>
    <w:rsid w:val="00FE4C0E"/>
    <w:rPr>
      <w:color w:val="0563C1" w:themeColor="hyperlink"/>
      <w:u w:val="single"/>
    </w:rPr>
  </w:style>
  <w:style w:type="character" w:styleId="FollowedHyperlink">
    <w:name w:val="FollowedHyperlink"/>
    <w:basedOn w:val="DefaultParagraphFont"/>
    <w:uiPriority w:val="99"/>
    <w:semiHidden/>
    <w:unhideWhenUsed/>
    <w:rsid w:val="00FE4C0E"/>
    <w:rPr>
      <w:color w:val="954F72" w:themeColor="followedHyperlink"/>
      <w:u w:val="single"/>
    </w:rPr>
  </w:style>
  <w:style w:type="paragraph" w:customStyle="1" w:styleId="msonormal0">
    <w:name w:val="msonormal"/>
    <w:basedOn w:val="Normal"/>
    <w:rsid w:val="00FE4C0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E4C0E"/>
    <w:pPr>
      <w:spacing w:after="0" w:line="240" w:lineRule="auto"/>
    </w:pPr>
    <w:rPr>
      <w:rFonts w:eastAsiaTheme="minorHAnsi"/>
      <w:lang w:eastAsia="en-US" w:bidi="ar-SA"/>
    </w:rPr>
  </w:style>
  <w:style w:type="paragraph" w:styleId="ListParagraph">
    <w:name w:val="List Paragraph"/>
    <w:basedOn w:val="Normal"/>
    <w:uiPriority w:val="34"/>
    <w:qFormat/>
    <w:rsid w:val="00FE4C0E"/>
    <w:pPr>
      <w:spacing w:line="254" w:lineRule="auto"/>
      <w:ind w:left="720"/>
      <w:contextualSpacing/>
    </w:pPr>
    <w:rPr>
      <w:rFonts w:eastAsiaTheme="minorHAnsi"/>
      <w:lang w:val="en-US" w:eastAsia="en-US" w:bidi="ar-SA"/>
    </w:rPr>
  </w:style>
  <w:style w:type="paragraph" w:customStyle="1" w:styleId="TableParagraph">
    <w:name w:val="Table Paragraph"/>
    <w:basedOn w:val="Normal"/>
    <w:uiPriority w:val="1"/>
    <w:qFormat/>
    <w:rsid w:val="00FE4C0E"/>
    <w:pPr>
      <w:widowControl w:val="0"/>
      <w:autoSpaceDE w:val="0"/>
      <w:autoSpaceDN w:val="0"/>
      <w:spacing w:after="0" w:line="240" w:lineRule="auto"/>
    </w:pPr>
    <w:rPr>
      <w:rFonts w:ascii="Verdana" w:eastAsia="Verdana" w:hAnsi="Verdana" w:cs="Verdana"/>
      <w:lang w:val="en-US" w:eastAsia="en-US" w:bidi="ar-SA"/>
    </w:rPr>
  </w:style>
  <w:style w:type="table" w:customStyle="1" w:styleId="TableGrid2">
    <w:name w:val="Table Grid2"/>
    <w:basedOn w:val="TableNormal"/>
    <w:uiPriority w:val="59"/>
    <w:rsid w:val="00FE4C0E"/>
    <w:pPr>
      <w:spacing w:after="0" w:line="240" w:lineRule="auto"/>
    </w:pPr>
    <w:rPr>
      <w:rFonts w:eastAsia="Times New Roman"/>
      <w:lang w:val="en-US"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FE4C0E"/>
    <w:rPr>
      <w:b/>
      <w:bCs/>
    </w:rPr>
  </w:style>
  <w:style w:type="character" w:customStyle="1" w:styleId="UnresolvedMention1">
    <w:name w:val="Unresolved Mention1"/>
    <w:basedOn w:val="DefaultParagraphFont"/>
    <w:uiPriority w:val="99"/>
    <w:semiHidden/>
    <w:unhideWhenUsed/>
    <w:rsid w:val="00FE4C0E"/>
    <w:rPr>
      <w:color w:val="605E5C"/>
      <w:shd w:val="clear" w:color="auto" w:fill="E1DFDD"/>
    </w:rPr>
  </w:style>
  <w:style w:type="character" w:customStyle="1" w:styleId="Heading2Char">
    <w:name w:val="Heading 2 Char"/>
    <w:basedOn w:val="DefaultParagraphFont"/>
    <w:link w:val="Heading2"/>
    <w:uiPriority w:val="9"/>
    <w:semiHidden/>
    <w:rsid w:val="00B22B9D"/>
    <w:rPr>
      <w:rFonts w:asciiTheme="majorHAnsi" w:eastAsiaTheme="majorEastAsia" w:hAnsiTheme="majorHAnsi" w:cstheme="majorBidi"/>
      <w:color w:val="2F5496" w:themeColor="accent1" w:themeShade="BF"/>
      <w:sz w:val="26"/>
      <w:szCs w:val="23"/>
    </w:rPr>
  </w:style>
  <w:style w:type="paragraph" w:styleId="Header">
    <w:name w:val="header"/>
    <w:basedOn w:val="Normal"/>
    <w:link w:val="HeaderChar"/>
    <w:uiPriority w:val="99"/>
    <w:unhideWhenUsed/>
    <w:rsid w:val="00CB3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E95"/>
  </w:style>
  <w:style w:type="paragraph" w:styleId="Footer">
    <w:name w:val="footer"/>
    <w:basedOn w:val="Normal"/>
    <w:link w:val="FooterChar"/>
    <w:uiPriority w:val="99"/>
    <w:unhideWhenUsed/>
    <w:rsid w:val="00CB3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E95"/>
  </w:style>
  <w:style w:type="character" w:customStyle="1" w:styleId="Heading3Char">
    <w:name w:val="Heading 3 Char"/>
    <w:basedOn w:val="DefaultParagraphFont"/>
    <w:link w:val="Heading3"/>
    <w:uiPriority w:val="9"/>
    <w:rsid w:val="001F1849"/>
    <w:rPr>
      <w:rFonts w:asciiTheme="majorHAnsi" w:eastAsiaTheme="majorEastAsia" w:hAnsiTheme="majorHAnsi" w:cstheme="majorBidi"/>
      <w:color w:val="1F3763" w:themeColor="accent1" w:themeShade="7F"/>
      <w:sz w:val="24"/>
      <w:szCs w:val="21"/>
    </w:rPr>
  </w:style>
  <w:style w:type="paragraph" w:styleId="NormalWeb">
    <w:name w:val="Normal (Web)"/>
    <w:basedOn w:val="Normal"/>
    <w:uiPriority w:val="99"/>
    <w:unhideWhenUsed/>
    <w:rsid w:val="001F1849"/>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character" w:styleId="Emphasis">
    <w:name w:val="Emphasis"/>
    <w:basedOn w:val="DefaultParagraphFont"/>
    <w:uiPriority w:val="20"/>
    <w:qFormat/>
    <w:rsid w:val="001F1849"/>
    <w:rPr>
      <w:i/>
      <w:iCs/>
    </w:rPr>
  </w:style>
  <w:style w:type="character" w:styleId="CommentReference">
    <w:name w:val="annotation reference"/>
    <w:basedOn w:val="DefaultParagraphFont"/>
    <w:uiPriority w:val="99"/>
    <w:semiHidden/>
    <w:unhideWhenUsed/>
    <w:rsid w:val="00461BF9"/>
    <w:rPr>
      <w:sz w:val="16"/>
      <w:szCs w:val="16"/>
    </w:rPr>
  </w:style>
  <w:style w:type="paragraph" w:styleId="CommentText">
    <w:name w:val="annotation text"/>
    <w:basedOn w:val="Normal"/>
    <w:link w:val="CommentTextChar"/>
    <w:uiPriority w:val="99"/>
    <w:unhideWhenUsed/>
    <w:rsid w:val="00461BF9"/>
    <w:pPr>
      <w:spacing w:line="240" w:lineRule="auto"/>
    </w:pPr>
    <w:rPr>
      <w:sz w:val="20"/>
      <w:szCs w:val="18"/>
    </w:rPr>
  </w:style>
  <w:style w:type="character" w:customStyle="1" w:styleId="CommentTextChar">
    <w:name w:val="Comment Text Char"/>
    <w:basedOn w:val="DefaultParagraphFont"/>
    <w:link w:val="CommentText"/>
    <w:uiPriority w:val="99"/>
    <w:rsid w:val="00461BF9"/>
    <w:rPr>
      <w:sz w:val="20"/>
      <w:szCs w:val="18"/>
    </w:rPr>
  </w:style>
  <w:style w:type="paragraph" w:styleId="CommentSubject">
    <w:name w:val="annotation subject"/>
    <w:basedOn w:val="CommentText"/>
    <w:next w:val="CommentText"/>
    <w:link w:val="CommentSubjectChar"/>
    <w:uiPriority w:val="99"/>
    <w:semiHidden/>
    <w:unhideWhenUsed/>
    <w:rsid w:val="00461BF9"/>
    <w:rPr>
      <w:b/>
      <w:bCs/>
    </w:rPr>
  </w:style>
  <w:style w:type="character" w:customStyle="1" w:styleId="CommentSubjectChar">
    <w:name w:val="Comment Subject Char"/>
    <w:basedOn w:val="CommentTextChar"/>
    <w:link w:val="CommentSubject"/>
    <w:uiPriority w:val="99"/>
    <w:semiHidden/>
    <w:rsid w:val="00461BF9"/>
    <w:rPr>
      <w:b/>
      <w:bCs/>
      <w:sz w:val="20"/>
      <w:szCs w:val="18"/>
    </w:rPr>
  </w:style>
  <w:style w:type="character" w:customStyle="1" w:styleId="UnresolvedMention2">
    <w:name w:val="Unresolved Mention2"/>
    <w:basedOn w:val="DefaultParagraphFont"/>
    <w:uiPriority w:val="99"/>
    <w:semiHidden/>
    <w:unhideWhenUsed/>
    <w:rsid w:val="002644E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customStyle="1" w:styleId="url">
    <w:name w:val="url"/>
    <w:basedOn w:val="DefaultParagraphFont"/>
    <w:rsid w:val="00564B76"/>
  </w:style>
  <w:style w:type="character" w:styleId="UnresolvedMention">
    <w:name w:val="Unresolved Mention"/>
    <w:basedOn w:val="DefaultParagraphFont"/>
    <w:uiPriority w:val="99"/>
    <w:semiHidden/>
    <w:unhideWhenUsed/>
    <w:rsid w:val="009635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0340">
      <w:bodyDiv w:val="1"/>
      <w:marLeft w:val="0"/>
      <w:marRight w:val="0"/>
      <w:marTop w:val="0"/>
      <w:marBottom w:val="0"/>
      <w:divBdr>
        <w:top w:val="none" w:sz="0" w:space="0" w:color="auto"/>
        <w:left w:val="none" w:sz="0" w:space="0" w:color="auto"/>
        <w:bottom w:val="none" w:sz="0" w:space="0" w:color="auto"/>
        <w:right w:val="none" w:sz="0" w:space="0" w:color="auto"/>
      </w:divBdr>
    </w:div>
    <w:div w:id="22748269">
      <w:bodyDiv w:val="1"/>
      <w:marLeft w:val="0"/>
      <w:marRight w:val="0"/>
      <w:marTop w:val="0"/>
      <w:marBottom w:val="0"/>
      <w:divBdr>
        <w:top w:val="none" w:sz="0" w:space="0" w:color="auto"/>
        <w:left w:val="none" w:sz="0" w:space="0" w:color="auto"/>
        <w:bottom w:val="none" w:sz="0" w:space="0" w:color="auto"/>
        <w:right w:val="none" w:sz="0" w:space="0" w:color="auto"/>
      </w:divBdr>
      <w:divsChild>
        <w:div w:id="1156149239">
          <w:marLeft w:val="-720"/>
          <w:marRight w:val="0"/>
          <w:marTop w:val="0"/>
          <w:marBottom w:val="0"/>
          <w:divBdr>
            <w:top w:val="none" w:sz="0" w:space="0" w:color="auto"/>
            <w:left w:val="none" w:sz="0" w:space="0" w:color="auto"/>
            <w:bottom w:val="none" w:sz="0" w:space="0" w:color="auto"/>
            <w:right w:val="none" w:sz="0" w:space="0" w:color="auto"/>
          </w:divBdr>
        </w:div>
      </w:divsChild>
    </w:div>
    <w:div w:id="82608085">
      <w:bodyDiv w:val="1"/>
      <w:marLeft w:val="0"/>
      <w:marRight w:val="0"/>
      <w:marTop w:val="0"/>
      <w:marBottom w:val="0"/>
      <w:divBdr>
        <w:top w:val="none" w:sz="0" w:space="0" w:color="auto"/>
        <w:left w:val="none" w:sz="0" w:space="0" w:color="auto"/>
        <w:bottom w:val="none" w:sz="0" w:space="0" w:color="auto"/>
        <w:right w:val="none" w:sz="0" w:space="0" w:color="auto"/>
      </w:divBdr>
    </w:div>
    <w:div w:id="203056993">
      <w:bodyDiv w:val="1"/>
      <w:marLeft w:val="0"/>
      <w:marRight w:val="0"/>
      <w:marTop w:val="0"/>
      <w:marBottom w:val="0"/>
      <w:divBdr>
        <w:top w:val="none" w:sz="0" w:space="0" w:color="auto"/>
        <w:left w:val="none" w:sz="0" w:space="0" w:color="auto"/>
        <w:bottom w:val="none" w:sz="0" w:space="0" w:color="auto"/>
        <w:right w:val="none" w:sz="0" w:space="0" w:color="auto"/>
      </w:divBdr>
      <w:divsChild>
        <w:div w:id="1452437105">
          <w:marLeft w:val="-720"/>
          <w:marRight w:val="0"/>
          <w:marTop w:val="0"/>
          <w:marBottom w:val="0"/>
          <w:divBdr>
            <w:top w:val="none" w:sz="0" w:space="0" w:color="auto"/>
            <w:left w:val="none" w:sz="0" w:space="0" w:color="auto"/>
            <w:bottom w:val="none" w:sz="0" w:space="0" w:color="auto"/>
            <w:right w:val="none" w:sz="0" w:space="0" w:color="auto"/>
          </w:divBdr>
        </w:div>
      </w:divsChild>
    </w:div>
    <w:div w:id="508443558">
      <w:bodyDiv w:val="1"/>
      <w:marLeft w:val="0"/>
      <w:marRight w:val="0"/>
      <w:marTop w:val="0"/>
      <w:marBottom w:val="0"/>
      <w:divBdr>
        <w:top w:val="none" w:sz="0" w:space="0" w:color="auto"/>
        <w:left w:val="none" w:sz="0" w:space="0" w:color="auto"/>
        <w:bottom w:val="none" w:sz="0" w:space="0" w:color="auto"/>
        <w:right w:val="none" w:sz="0" w:space="0" w:color="auto"/>
      </w:divBdr>
    </w:div>
    <w:div w:id="530798443">
      <w:bodyDiv w:val="1"/>
      <w:marLeft w:val="0"/>
      <w:marRight w:val="0"/>
      <w:marTop w:val="0"/>
      <w:marBottom w:val="0"/>
      <w:divBdr>
        <w:top w:val="none" w:sz="0" w:space="0" w:color="auto"/>
        <w:left w:val="none" w:sz="0" w:space="0" w:color="auto"/>
        <w:bottom w:val="none" w:sz="0" w:space="0" w:color="auto"/>
        <w:right w:val="none" w:sz="0" w:space="0" w:color="auto"/>
      </w:divBdr>
    </w:div>
    <w:div w:id="564726050">
      <w:bodyDiv w:val="1"/>
      <w:marLeft w:val="0"/>
      <w:marRight w:val="0"/>
      <w:marTop w:val="0"/>
      <w:marBottom w:val="0"/>
      <w:divBdr>
        <w:top w:val="none" w:sz="0" w:space="0" w:color="auto"/>
        <w:left w:val="none" w:sz="0" w:space="0" w:color="auto"/>
        <w:bottom w:val="none" w:sz="0" w:space="0" w:color="auto"/>
        <w:right w:val="none" w:sz="0" w:space="0" w:color="auto"/>
      </w:divBdr>
      <w:divsChild>
        <w:div w:id="1937205026">
          <w:marLeft w:val="-720"/>
          <w:marRight w:val="0"/>
          <w:marTop w:val="0"/>
          <w:marBottom w:val="0"/>
          <w:divBdr>
            <w:top w:val="none" w:sz="0" w:space="0" w:color="auto"/>
            <w:left w:val="none" w:sz="0" w:space="0" w:color="auto"/>
            <w:bottom w:val="none" w:sz="0" w:space="0" w:color="auto"/>
            <w:right w:val="none" w:sz="0" w:space="0" w:color="auto"/>
          </w:divBdr>
        </w:div>
      </w:divsChild>
    </w:div>
    <w:div w:id="587007528">
      <w:bodyDiv w:val="1"/>
      <w:marLeft w:val="0"/>
      <w:marRight w:val="0"/>
      <w:marTop w:val="0"/>
      <w:marBottom w:val="0"/>
      <w:divBdr>
        <w:top w:val="none" w:sz="0" w:space="0" w:color="auto"/>
        <w:left w:val="none" w:sz="0" w:space="0" w:color="auto"/>
        <w:bottom w:val="none" w:sz="0" w:space="0" w:color="auto"/>
        <w:right w:val="none" w:sz="0" w:space="0" w:color="auto"/>
      </w:divBdr>
      <w:divsChild>
        <w:div w:id="1871604217">
          <w:marLeft w:val="-720"/>
          <w:marRight w:val="0"/>
          <w:marTop w:val="0"/>
          <w:marBottom w:val="0"/>
          <w:divBdr>
            <w:top w:val="none" w:sz="0" w:space="0" w:color="auto"/>
            <w:left w:val="none" w:sz="0" w:space="0" w:color="auto"/>
            <w:bottom w:val="none" w:sz="0" w:space="0" w:color="auto"/>
            <w:right w:val="none" w:sz="0" w:space="0" w:color="auto"/>
          </w:divBdr>
        </w:div>
      </w:divsChild>
    </w:div>
    <w:div w:id="617032518">
      <w:bodyDiv w:val="1"/>
      <w:marLeft w:val="0"/>
      <w:marRight w:val="0"/>
      <w:marTop w:val="0"/>
      <w:marBottom w:val="0"/>
      <w:divBdr>
        <w:top w:val="none" w:sz="0" w:space="0" w:color="auto"/>
        <w:left w:val="none" w:sz="0" w:space="0" w:color="auto"/>
        <w:bottom w:val="none" w:sz="0" w:space="0" w:color="auto"/>
        <w:right w:val="none" w:sz="0" w:space="0" w:color="auto"/>
      </w:divBdr>
    </w:div>
    <w:div w:id="664477301">
      <w:bodyDiv w:val="1"/>
      <w:marLeft w:val="0"/>
      <w:marRight w:val="0"/>
      <w:marTop w:val="0"/>
      <w:marBottom w:val="0"/>
      <w:divBdr>
        <w:top w:val="none" w:sz="0" w:space="0" w:color="auto"/>
        <w:left w:val="none" w:sz="0" w:space="0" w:color="auto"/>
        <w:bottom w:val="none" w:sz="0" w:space="0" w:color="auto"/>
        <w:right w:val="none" w:sz="0" w:space="0" w:color="auto"/>
      </w:divBdr>
      <w:divsChild>
        <w:div w:id="2016687419">
          <w:marLeft w:val="-720"/>
          <w:marRight w:val="0"/>
          <w:marTop w:val="0"/>
          <w:marBottom w:val="0"/>
          <w:divBdr>
            <w:top w:val="none" w:sz="0" w:space="0" w:color="auto"/>
            <w:left w:val="none" w:sz="0" w:space="0" w:color="auto"/>
            <w:bottom w:val="none" w:sz="0" w:space="0" w:color="auto"/>
            <w:right w:val="none" w:sz="0" w:space="0" w:color="auto"/>
          </w:divBdr>
        </w:div>
      </w:divsChild>
    </w:div>
    <w:div w:id="665941899">
      <w:bodyDiv w:val="1"/>
      <w:marLeft w:val="0"/>
      <w:marRight w:val="0"/>
      <w:marTop w:val="0"/>
      <w:marBottom w:val="0"/>
      <w:divBdr>
        <w:top w:val="none" w:sz="0" w:space="0" w:color="auto"/>
        <w:left w:val="none" w:sz="0" w:space="0" w:color="auto"/>
        <w:bottom w:val="none" w:sz="0" w:space="0" w:color="auto"/>
        <w:right w:val="none" w:sz="0" w:space="0" w:color="auto"/>
      </w:divBdr>
      <w:divsChild>
        <w:div w:id="1869877250">
          <w:marLeft w:val="-720"/>
          <w:marRight w:val="0"/>
          <w:marTop w:val="0"/>
          <w:marBottom w:val="0"/>
          <w:divBdr>
            <w:top w:val="none" w:sz="0" w:space="0" w:color="auto"/>
            <w:left w:val="none" w:sz="0" w:space="0" w:color="auto"/>
            <w:bottom w:val="none" w:sz="0" w:space="0" w:color="auto"/>
            <w:right w:val="none" w:sz="0" w:space="0" w:color="auto"/>
          </w:divBdr>
        </w:div>
      </w:divsChild>
    </w:div>
    <w:div w:id="712189765">
      <w:bodyDiv w:val="1"/>
      <w:marLeft w:val="0"/>
      <w:marRight w:val="0"/>
      <w:marTop w:val="0"/>
      <w:marBottom w:val="0"/>
      <w:divBdr>
        <w:top w:val="none" w:sz="0" w:space="0" w:color="auto"/>
        <w:left w:val="none" w:sz="0" w:space="0" w:color="auto"/>
        <w:bottom w:val="none" w:sz="0" w:space="0" w:color="auto"/>
        <w:right w:val="none" w:sz="0" w:space="0" w:color="auto"/>
      </w:divBdr>
    </w:div>
    <w:div w:id="713509206">
      <w:bodyDiv w:val="1"/>
      <w:marLeft w:val="0"/>
      <w:marRight w:val="0"/>
      <w:marTop w:val="0"/>
      <w:marBottom w:val="0"/>
      <w:divBdr>
        <w:top w:val="none" w:sz="0" w:space="0" w:color="auto"/>
        <w:left w:val="none" w:sz="0" w:space="0" w:color="auto"/>
        <w:bottom w:val="none" w:sz="0" w:space="0" w:color="auto"/>
        <w:right w:val="none" w:sz="0" w:space="0" w:color="auto"/>
      </w:divBdr>
    </w:div>
    <w:div w:id="761143344">
      <w:bodyDiv w:val="1"/>
      <w:marLeft w:val="0"/>
      <w:marRight w:val="0"/>
      <w:marTop w:val="0"/>
      <w:marBottom w:val="0"/>
      <w:divBdr>
        <w:top w:val="none" w:sz="0" w:space="0" w:color="auto"/>
        <w:left w:val="none" w:sz="0" w:space="0" w:color="auto"/>
        <w:bottom w:val="none" w:sz="0" w:space="0" w:color="auto"/>
        <w:right w:val="none" w:sz="0" w:space="0" w:color="auto"/>
      </w:divBdr>
      <w:divsChild>
        <w:div w:id="478113040">
          <w:marLeft w:val="-720"/>
          <w:marRight w:val="0"/>
          <w:marTop w:val="0"/>
          <w:marBottom w:val="0"/>
          <w:divBdr>
            <w:top w:val="none" w:sz="0" w:space="0" w:color="auto"/>
            <w:left w:val="none" w:sz="0" w:space="0" w:color="auto"/>
            <w:bottom w:val="none" w:sz="0" w:space="0" w:color="auto"/>
            <w:right w:val="none" w:sz="0" w:space="0" w:color="auto"/>
          </w:divBdr>
        </w:div>
      </w:divsChild>
    </w:div>
    <w:div w:id="852651027">
      <w:bodyDiv w:val="1"/>
      <w:marLeft w:val="0"/>
      <w:marRight w:val="0"/>
      <w:marTop w:val="0"/>
      <w:marBottom w:val="0"/>
      <w:divBdr>
        <w:top w:val="none" w:sz="0" w:space="0" w:color="auto"/>
        <w:left w:val="none" w:sz="0" w:space="0" w:color="auto"/>
        <w:bottom w:val="none" w:sz="0" w:space="0" w:color="auto"/>
        <w:right w:val="none" w:sz="0" w:space="0" w:color="auto"/>
      </w:divBdr>
      <w:divsChild>
        <w:div w:id="384989294">
          <w:marLeft w:val="-720"/>
          <w:marRight w:val="0"/>
          <w:marTop w:val="0"/>
          <w:marBottom w:val="0"/>
          <w:divBdr>
            <w:top w:val="none" w:sz="0" w:space="0" w:color="auto"/>
            <w:left w:val="none" w:sz="0" w:space="0" w:color="auto"/>
            <w:bottom w:val="none" w:sz="0" w:space="0" w:color="auto"/>
            <w:right w:val="none" w:sz="0" w:space="0" w:color="auto"/>
          </w:divBdr>
        </w:div>
      </w:divsChild>
    </w:div>
    <w:div w:id="899906108">
      <w:bodyDiv w:val="1"/>
      <w:marLeft w:val="0"/>
      <w:marRight w:val="0"/>
      <w:marTop w:val="0"/>
      <w:marBottom w:val="0"/>
      <w:divBdr>
        <w:top w:val="none" w:sz="0" w:space="0" w:color="auto"/>
        <w:left w:val="none" w:sz="0" w:space="0" w:color="auto"/>
        <w:bottom w:val="none" w:sz="0" w:space="0" w:color="auto"/>
        <w:right w:val="none" w:sz="0" w:space="0" w:color="auto"/>
      </w:divBdr>
      <w:divsChild>
        <w:div w:id="486745349">
          <w:marLeft w:val="-720"/>
          <w:marRight w:val="0"/>
          <w:marTop w:val="0"/>
          <w:marBottom w:val="0"/>
          <w:divBdr>
            <w:top w:val="none" w:sz="0" w:space="0" w:color="auto"/>
            <w:left w:val="none" w:sz="0" w:space="0" w:color="auto"/>
            <w:bottom w:val="none" w:sz="0" w:space="0" w:color="auto"/>
            <w:right w:val="none" w:sz="0" w:space="0" w:color="auto"/>
          </w:divBdr>
        </w:div>
      </w:divsChild>
    </w:div>
    <w:div w:id="1327053805">
      <w:bodyDiv w:val="1"/>
      <w:marLeft w:val="0"/>
      <w:marRight w:val="0"/>
      <w:marTop w:val="0"/>
      <w:marBottom w:val="0"/>
      <w:divBdr>
        <w:top w:val="none" w:sz="0" w:space="0" w:color="auto"/>
        <w:left w:val="none" w:sz="0" w:space="0" w:color="auto"/>
        <w:bottom w:val="none" w:sz="0" w:space="0" w:color="auto"/>
        <w:right w:val="none" w:sz="0" w:space="0" w:color="auto"/>
      </w:divBdr>
    </w:div>
    <w:div w:id="1356612436">
      <w:bodyDiv w:val="1"/>
      <w:marLeft w:val="0"/>
      <w:marRight w:val="0"/>
      <w:marTop w:val="0"/>
      <w:marBottom w:val="0"/>
      <w:divBdr>
        <w:top w:val="none" w:sz="0" w:space="0" w:color="auto"/>
        <w:left w:val="none" w:sz="0" w:space="0" w:color="auto"/>
        <w:bottom w:val="none" w:sz="0" w:space="0" w:color="auto"/>
        <w:right w:val="none" w:sz="0" w:space="0" w:color="auto"/>
      </w:divBdr>
      <w:divsChild>
        <w:div w:id="653606832">
          <w:marLeft w:val="-720"/>
          <w:marRight w:val="0"/>
          <w:marTop w:val="0"/>
          <w:marBottom w:val="0"/>
          <w:divBdr>
            <w:top w:val="none" w:sz="0" w:space="0" w:color="auto"/>
            <w:left w:val="none" w:sz="0" w:space="0" w:color="auto"/>
            <w:bottom w:val="none" w:sz="0" w:space="0" w:color="auto"/>
            <w:right w:val="none" w:sz="0" w:space="0" w:color="auto"/>
          </w:divBdr>
        </w:div>
      </w:divsChild>
    </w:div>
    <w:div w:id="1374694895">
      <w:bodyDiv w:val="1"/>
      <w:marLeft w:val="0"/>
      <w:marRight w:val="0"/>
      <w:marTop w:val="0"/>
      <w:marBottom w:val="0"/>
      <w:divBdr>
        <w:top w:val="none" w:sz="0" w:space="0" w:color="auto"/>
        <w:left w:val="none" w:sz="0" w:space="0" w:color="auto"/>
        <w:bottom w:val="none" w:sz="0" w:space="0" w:color="auto"/>
        <w:right w:val="none" w:sz="0" w:space="0" w:color="auto"/>
      </w:divBdr>
    </w:div>
    <w:div w:id="1751343592">
      <w:bodyDiv w:val="1"/>
      <w:marLeft w:val="0"/>
      <w:marRight w:val="0"/>
      <w:marTop w:val="0"/>
      <w:marBottom w:val="0"/>
      <w:divBdr>
        <w:top w:val="none" w:sz="0" w:space="0" w:color="auto"/>
        <w:left w:val="none" w:sz="0" w:space="0" w:color="auto"/>
        <w:bottom w:val="none" w:sz="0" w:space="0" w:color="auto"/>
        <w:right w:val="none" w:sz="0" w:space="0" w:color="auto"/>
      </w:divBdr>
      <w:divsChild>
        <w:div w:id="250893080">
          <w:marLeft w:val="-720"/>
          <w:marRight w:val="0"/>
          <w:marTop w:val="0"/>
          <w:marBottom w:val="0"/>
          <w:divBdr>
            <w:top w:val="none" w:sz="0" w:space="0" w:color="auto"/>
            <w:left w:val="none" w:sz="0" w:space="0" w:color="auto"/>
            <w:bottom w:val="none" w:sz="0" w:space="0" w:color="auto"/>
            <w:right w:val="none" w:sz="0" w:space="0" w:color="auto"/>
          </w:divBdr>
        </w:div>
      </w:divsChild>
    </w:div>
    <w:div w:id="1775205848">
      <w:bodyDiv w:val="1"/>
      <w:marLeft w:val="0"/>
      <w:marRight w:val="0"/>
      <w:marTop w:val="0"/>
      <w:marBottom w:val="0"/>
      <w:divBdr>
        <w:top w:val="none" w:sz="0" w:space="0" w:color="auto"/>
        <w:left w:val="none" w:sz="0" w:space="0" w:color="auto"/>
        <w:bottom w:val="none" w:sz="0" w:space="0" w:color="auto"/>
        <w:right w:val="none" w:sz="0" w:space="0" w:color="auto"/>
      </w:divBdr>
    </w:div>
    <w:div w:id="1872063490">
      <w:bodyDiv w:val="1"/>
      <w:marLeft w:val="0"/>
      <w:marRight w:val="0"/>
      <w:marTop w:val="0"/>
      <w:marBottom w:val="0"/>
      <w:divBdr>
        <w:top w:val="none" w:sz="0" w:space="0" w:color="auto"/>
        <w:left w:val="none" w:sz="0" w:space="0" w:color="auto"/>
        <w:bottom w:val="none" w:sz="0" w:space="0" w:color="auto"/>
        <w:right w:val="none" w:sz="0" w:space="0" w:color="auto"/>
      </w:divBdr>
    </w:div>
    <w:div w:id="1895658268">
      <w:bodyDiv w:val="1"/>
      <w:marLeft w:val="0"/>
      <w:marRight w:val="0"/>
      <w:marTop w:val="0"/>
      <w:marBottom w:val="0"/>
      <w:divBdr>
        <w:top w:val="none" w:sz="0" w:space="0" w:color="auto"/>
        <w:left w:val="none" w:sz="0" w:space="0" w:color="auto"/>
        <w:bottom w:val="none" w:sz="0" w:space="0" w:color="auto"/>
        <w:right w:val="none" w:sz="0" w:space="0" w:color="auto"/>
      </w:divBdr>
    </w:div>
    <w:div w:id="1899513281">
      <w:bodyDiv w:val="1"/>
      <w:marLeft w:val="0"/>
      <w:marRight w:val="0"/>
      <w:marTop w:val="0"/>
      <w:marBottom w:val="0"/>
      <w:divBdr>
        <w:top w:val="none" w:sz="0" w:space="0" w:color="auto"/>
        <w:left w:val="none" w:sz="0" w:space="0" w:color="auto"/>
        <w:bottom w:val="none" w:sz="0" w:space="0" w:color="auto"/>
        <w:right w:val="none" w:sz="0" w:space="0" w:color="auto"/>
      </w:divBdr>
    </w:div>
    <w:div w:id="1916822277">
      <w:bodyDiv w:val="1"/>
      <w:marLeft w:val="0"/>
      <w:marRight w:val="0"/>
      <w:marTop w:val="0"/>
      <w:marBottom w:val="0"/>
      <w:divBdr>
        <w:top w:val="none" w:sz="0" w:space="0" w:color="auto"/>
        <w:left w:val="none" w:sz="0" w:space="0" w:color="auto"/>
        <w:bottom w:val="none" w:sz="0" w:space="0" w:color="auto"/>
        <w:right w:val="none" w:sz="0" w:space="0" w:color="auto"/>
      </w:divBdr>
      <w:divsChild>
        <w:div w:id="1584604432">
          <w:marLeft w:val="-720"/>
          <w:marRight w:val="0"/>
          <w:marTop w:val="0"/>
          <w:marBottom w:val="0"/>
          <w:divBdr>
            <w:top w:val="none" w:sz="0" w:space="0" w:color="auto"/>
            <w:left w:val="none" w:sz="0" w:space="0" w:color="auto"/>
            <w:bottom w:val="none" w:sz="0" w:space="0" w:color="auto"/>
            <w:right w:val="none" w:sz="0" w:space="0" w:color="auto"/>
          </w:divBdr>
        </w:div>
      </w:divsChild>
    </w:div>
    <w:div w:id="1982344732">
      <w:bodyDiv w:val="1"/>
      <w:marLeft w:val="0"/>
      <w:marRight w:val="0"/>
      <w:marTop w:val="0"/>
      <w:marBottom w:val="0"/>
      <w:divBdr>
        <w:top w:val="none" w:sz="0" w:space="0" w:color="auto"/>
        <w:left w:val="none" w:sz="0" w:space="0" w:color="auto"/>
        <w:bottom w:val="none" w:sz="0" w:space="0" w:color="auto"/>
        <w:right w:val="none" w:sz="0" w:space="0" w:color="auto"/>
      </w:divBdr>
    </w:div>
    <w:div w:id="2146117110">
      <w:bodyDiv w:val="1"/>
      <w:marLeft w:val="0"/>
      <w:marRight w:val="0"/>
      <w:marTop w:val="0"/>
      <w:marBottom w:val="0"/>
      <w:divBdr>
        <w:top w:val="none" w:sz="0" w:space="0" w:color="auto"/>
        <w:left w:val="none" w:sz="0" w:space="0" w:color="auto"/>
        <w:bottom w:val="none" w:sz="0" w:space="0" w:color="auto"/>
        <w:right w:val="none" w:sz="0" w:space="0" w:color="auto"/>
      </w:divBdr>
      <w:divsChild>
        <w:div w:id="54470292">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s://doi.org/10.1158/0008-5472.CAN-13-2971" TargetMode="External"/><Relationship Id="rId39" Type="http://schemas.openxmlformats.org/officeDocument/2006/relationships/hyperlink" Target="https://doi.org/10.1188/10.cjon.e45-e55" TargetMode="External"/><Relationship Id="rId21" Type="http://schemas.openxmlformats.org/officeDocument/2006/relationships/image" Target="media/image14.png"/><Relationship Id="rId34" Type="http://schemas.openxmlformats.org/officeDocument/2006/relationships/hyperlink" Target="https://doi.org/10.1002/ptr.8061" TargetMode="External"/><Relationship Id="rId42" Type="http://schemas.openxmlformats.org/officeDocument/2006/relationships/hyperlink" Target="https://doi.org10.3390/ijms23010452"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doi.org/10.1016/s0092-8674(00)80108-7" TargetMode="External"/><Relationship Id="rId11" Type="http://schemas.openxmlformats.org/officeDocument/2006/relationships/image" Target="media/image4.jpg"/><Relationship Id="rId24" Type="http://schemas.openxmlformats.org/officeDocument/2006/relationships/hyperlink" Target="https://gco.iarc.fr/" TargetMode="External"/><Relationship Id="rId32" Type="http://schemas.openxmlformats.org/officeDocument/2006/relationships/hyperlink" Target="https://doi.org/10.1002/ar.10021" TargetMode="External"/><Relationship Id="rId37" Type="http://schemas.openxmlformats.org/officeDocument/2006/relationships/hyperlink" Target="https://doi.org/10.1016/s1470-2045(18)30447-9" TargetMode="External"/><Relationship Id="rId40" Type="http://schemas.openxmlformats.org/officeDocument/2006/relationships/hyperlink" Target="https://doi.org/10.3389/fonc.2020.599073"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doi.org/10.1023/a:1025944723047" TargetMode="External"/><Relationship Id="rId28" Type="http://schemas.openxmlformats.org/officeDocument/2006/relationships/hyperlink" Target="https://doi.org/10.3389/fphar.2016.00074" TargetMode="External"/><Relationship Id="rId36" Type="http://schemas.openxmlformats.org/officeDocument/2006/relationships/hyperlink" Target="https://doi.org/10.1021/acsbiomaterials.9b00172" TargetMode="External"/><Relationship Id="rId49"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doi.org/10.1016/j.jare.2017.06.006"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doi.org/10.1016/j.ejmech.2019.04.018" TargetMode="External"/><Relationship Id="rId30" Type="http://schemas.openxmlformats.org/officeDocument/2006/relationships/hyperlink" Target="https://doi.org/10.1126/science.2432664" TargetMode="External"/><Relationship Id="rId35" Type="http://schemas.openxmlformats.org/officeDocument/2006/relationships/hyperlink" Target="https://doi.org/10.3791/1191" TargetMode="External"/><Relationship Id="rId43" Type="http://schemas.openxmlformats.org/officeDocument/2006/relationships/hyperlink" Target="https://doi.org/10.5530/pj.2022.14.188" TargetMode="External"/><Relationship Id="rId48"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s://doi.org/10.4103/ijmr.ijmr_1821_22" TargetMode="External"/><Relationship Id="rId33" Type="http://schemas.openxmlformats.org/officeDocument/2006/relationships/hyperlink" Target="https://doi.org/10.1016/j.lfs.2003.03.005" TargetMode="External"/><Relationship Id="rId38" Type="http://schemas.openxmlformats.org/officeDocument/2006/relationships/hyperlink" Target="https://doi.org/10.1007/bf02683990"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doi.org/10.1186/1472-6882-14-406"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ctSjHIEVUkpHbh/0Sl5XVL34TA==">CgMxLjAaJQoBMBIgCh4IB0IaCg9UaW1lcyBOZXcgUm9tYW4SB0d1bmdzdWgaJQoBMRIgCh4IB0IaCg9UaW1lcyBOZXcgUm9tYW4SB0d1bmdzdWgaJQoBMhIgCh4IB0IaCg9UaW1lcyBOZXcgUm9tYW4SB0d1bmdzdWgaJQoBMxIgCh4IB0IaCg9UaW1lcyBOZXcgUm9tYW4SB0d1bmdzdWgaJQoBNBIgCh4IB0IaCg9UaW1lcyBOZXcgUm9tYW4SB0d1bmdzdWgyDmguNzBoZ2JkNzhueTQ0Mg5oLjJlZzdxNngyNHJnMjgAciExWEkxYXo2MnM1RHBTWXlPd25qakEzWWZ4b1MwYjJHM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6357</Words>
  <Characters>36241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SAURABH KUDALE</dc:creator>
  <cp:lastModifiedBy>SDI 1183</cp:lastModifiedBy>
  <cp:revision>4</cp:revision>
  <dcterms:created xsi:type="dcterms:W3CDTF">2025-06-23T05:16:00Z</dcterms:created>
  <dcterms:modified xsi:type="dcterms:W3CDTF">2025-06-30T07:01:00Z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c9eeea48590d96be445424f007d2cbc1e103af06e907525037e81b3b8ff9c7eb</vt:lpwstr>
  </property>
</Properties>
</file>