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E830" w14:textId="14AEE5C7" w:rsidR="00D07E1F" w:rsidRDefault="004E532C" w:rsidP="005A6A25">
      <w:pPr>
        <w:spacing w:after="80" w:line="240" w:lineRule="auto"/>
        <w:ind w:right="288"/>
        <w:contextualSpacing/>
        <w:jc w:val="right"/>
        <w:rPr>
          <w:rFonts w:ascii="Arial" w:eastAsiaTheme="majorEastAsia" w:hAnsi="Arial" w:cs="Arial"/>
          <w:b/>
          <w:bCs/>
          <w:spacing w:val="-10"/>
          <w:kern w:val="28"/>
          <w:sz w:val="36"/>
          <w:szCs w:val="36"/>
          <w:lang w:val="en-US"/>
        </w:rPr>
      </w:pPr>
      <w:r w:rsidRPr="000620C4">
        <w:rPr>
          <w:rFonts w:ascii="Arial" w:eastAsiaTheme="majorEastAsia" w:hAnsi="Arial" w:cs="Arial"/>
          <w:b/>
          <w:bCs/>
          <w:spacing w:val="-10"/>
          <w:kern w:val="28"/>
          <w:sz w:val="36"/>
          <w:szCs w:val="36"/>
          <w:lang w:val="en-US"/>
        </w:rPr>
        <w:t xml:space="preserve">Macro and </w:t>
      </w:r>
      <w:r w:rsidR="007743BD" w:rsidRPr="000620C4">
        <w:rPr>
          <w:rFonts w:ascii="Arial" w:eastAsiaTheme="majorEastAsia" w:hAnsi="Arial" w:cs="Arial"/>
          <w:b/>
          <w:bCs/>
          <w:spacing w:val="-10"/>
          <w:kern w:val="28"/>
          <w:sz w:val="36"/>
          <w:szCs w:val="36"/>
          <w:lang w:val="en-US"/>
        </w:rPr>
        <w:t>micro</w:t>
      </w:r>
      <w:r w:rsidRPr="000620C4">
        <w:rPr>
          <w:rFonts w:ascii="Arial" w:eastAsiaTheme="majorEastAsia" w:hAnsi="Arial" w:cs="Arial"/>
          <w:b/>
          <w:bCs/>
          <w:spacing w:val="-10"/>
          <w:kern w:val="28"/>
          <w:sz w:val="36"/>
          <w:szCs w:val="36"/>
          <w:lang w:val="en-US"/>
        </w:rPr>
        <w:t xml:space="preserve"> elements in sweet potatoes cultivated in Senegal and risk assessment</w:t>
      </w:r>
    </w:p>
    <w:p w14:paraId="7955D760" w14:textId="77777777" w:rsidR="00B313BA" w:rsidRPr="000620C4" w:rsidRDefault="00B313BA" w:rsidP="005A6A25">
      <w:pPr>
        <w:spacing w:after="80" w:line="240" w:lineRule="auto"/>
        <w:ind w:right="288"/>
        <w:contextualSpacing/>
        <w:jc w:val="right"/>
        <w:rPr>
          <w:rFonts w:ascii="Arial" w:eastAsiaTheme="majorEastAsia" w:hAnsi="Arial" w:cs="Arial"/>
          <w:b/>
          <w:bCs/>
          <w:spacing w:val="-10"/>
          <w:kern w:val="28"/>
          <w:sz w:val="36"/>
          <w:szCs w:val="36"/>
          <w:lang w:val="en-US"/>
        </w:rPr>
      </w:pPr>
    </w:p>
    <w:p w14:paraId="3205E6F9" w14:textId="77777777" w:rsidR="00577C42" w:rsidRPr="000620C4" w:rsidRDefault="00577C42" w:rsidP="005A6A25">
      <w:pPr>
        <w:spacing w:line="240" w:lineRule="auto"/>
        <w:ind w:right="288"/>
        <w:jc w:val="right"/>
        <w:rPr>
          <w:rFonts w:ascii="Arial" w:hAnsi="Arial" w:cs="Arial"/>
          <w:i/>
          <w:iCs/>
          <w:sz w:val="20"/>
          <w:szCs w:val="20"/>
          <w:lang w:val="en-US"/>
        </w:rPr>
      </w:pPr>
    </w:p>
    <w:p w14:paraId="4A2B4201" w14:textId="77777777" w:rsidR="00D07E1F" w:rsidRPr="000620C4" w:rsidRDefault="00D07E1F" w:rsidP="005A6A25">
      <w:pPr>
        <w:spacing w:line="240" w:lineRule="auto"/>
        <w:rPr>
          <w:rFonts w:ascii="Arial" w:hAnsi="Arial" w:cs="Arial"/>
          <w:b/>
          <w:bCs/>
          <w:sz w:val="20"/>
          <w:szCs w:val="20"/>
          <w:lang w:val="en-US"/>
        </w:rPr>
      </w:pPr>
    </w:p>
    <w:p w14:paraId="4AB4CC85" w14:textId="5C9E3A67" w:rsidR="00955907" w:rsidRPr="000620C4" w:rsidRDefault="00F321EE" w:rsidP="00B313BA">
      <w:pPr>
        <w:spacing w:after="240" w:line="240" w:lineRule="auto"/>
        <w:rPr>
          <w:rFonts w:ascii="Arial" w:hAnsi="Arial" w:cs="Arial"/>
          <w:b/>
          <w:bCs/>
          <w:sz w:val="22"/>
          <w:lang w:val="en-US"/>
        </w:rPr>
      </w:pPr>
      <w:r w:rsidRPr="000620C4">
        <w:rPr>
          <w:rFonts w:ascii="Arial" w:hAnsi="Arial" w:cs="Arial"/>
          <w:b/>
          <w:bCs/>
          <w:sz w:val="22"/>
          <w:lang w:val="en-US"/>
        </w:rPr>
        <w:t>ABSTRACT</w:t>
      </w:r>
    </w:p>
    <w:tbl>
      <w:tblPr>
        <w:tblStyle w:val="TableGrid"/>
        <w:tblW w:w="0" w:type="auto"/>
        <w:shd w:val="clear" w:color="auto" w:fill="E8E8E8" w:themeFill="background2"/>
        <w:tblLook w:val="04A0" w:firstRow="1" w:lastRow="0" w:firstColumn="1" w:lastColumn="0" w:noHBand="0" w:noVBand="1"/>
      </w:tblPr>
      <w:tblGrid>
        <w:gridCol w:w="9350"/>
      </w:tblGrid>
      <w:tr w:rsidR="00F321EE" w:rsidRPr="006C7406" w14:paraId="4325C6FA" w14:textId="77777777" w:rsidTr="004D54F6">
        <w:tc>
          <w:tcPr>
            <w:tcW w:w="9350" w:type="dxa"/>
            <w:shd w:val="clear" w:color="auto" w:fill="E8E8E8" w:themeFill="background2"/>
          </w:tcPr>
          <w:p w14:paraId="78287537" w14:textId="6473C557" w:rsidR="00F321EE" w:rsidRPr="000620C4" w:rsidRDefault="00904089" w:rsidP="00904089">
            <w:pPr>
              <w:rPr>
                <w:rFonts w:ascii="Arial" w:hAnsi="Arial" w:cs="Arial"/>
                <w:b/>
                <w:bCs/>
                <w:sz w:val="22"/>
                <w:lang w:val="en-US"/>
              </w:rPr>
            </w:pPr>
            <w:r w:rsidRPr="00085D33">
              <w:rPr>
                <w:rFonts w:ascii="Arial" w:hAnsi="Arial" w:cs="Arial"/>
                <w:sz w:val="20"/>
                <w:szCs w:val="20"/>
                <w:highlight w:val="green"/>
                <w:lang w:val="en-US"/>
              </w:rPr>
              <w:t>Once relegated to the background, sweet potatoes are a staple food crop that is gaining increasing popularity in Senegal to combat malnutrition in both rural and urban areas. Given its increasingly widespread use, it is essential to establish scientific foundations for its safe use for the population.</w:t>
            </w:r>
            <w:r>
              <w:rPr>
                <w:lang w:val="en-US"/>
              </w:rPr>
              <w:t xml:space="preserve"> </w:t>
            </w:r>
            <w:r w:rsidR="004D54F6" w:rsidRPr="000620C4">
              <w:rPr>
                <w:rFonts w:ascii="Arial" w:hAnsi="Arial" w:cs="Arial"/>
                <w:color w:val="000000" w:themeColor="text1"/>
                <w:sz w:val="20"/>
                <w:szCs w:val="20"/>
                <w:lang w:val="en-US"/>
              </w:rPr>
              <w:t xml:space="preserve">Leaves and tubers </w:t>
            </w:r>
            <w:r w:rsidRPr="00904089">
              <w:rPr>
                <w:rFonts w:ascii="Arial" w:hAnsi="Arial" w:cs="Arial"/>
                <w:color w:val="000000" w:themeColor="text1"/>
                <w:sz w:val="20"/>
                <w:szCs w:val="20"/>
                <w:highlight w:val="green"/>
                <w:lang w:val="en-US"/>
              </w:rPr>
              <w:t xml:space="preserve">of </w:t>
            </w:r>
            <w:r w:rsidRPr="00904089">
              <w:rPr>
                <w:highlight w:val="green"/>
                <w:lang w:val="en-US"/>
              </w:rPr>
              <w:t>s</w:t>
            </w:r>
            <w:r w:rsidRPr="0005079D">
              <w:rPr>
                <w:highlight w:val="green"/>
                <w:lang w:val="en-US"/>
              </w:rPr>
              <w:t xml:space="preserve">weet potatoes </w:t>
            </w:r>
            <w:r w:rsidR="004D54F6" w:rsidRPr="000620C4">
              <w:rPr>
                <w:rFonts w:ascii="Arial" w:hAnsi="Arial" w:cs="Arial"/>
                <w:color w:val="000000" w:themeColor="text1"/>
                <w:sz w:val="20"/>
                <w:szCs w:val="20"/>
                <w:lang w:val="en-US"/>
              </w:rPr>
              <w:t>were harvested from a white sweet potato plantation located in a rural area</w:t>
            </w:r>
            <w:r w:rsidR="001C0520">
              <w:rPr>
                <w:rFonts w:ascii="Arial" w:hAnsi="Arial" w:cs="Arial"/>
                <w:color w:val="000000" w:themeColor="text1"/>
                <w:sz w:val="20"/>
                <w:szCs w:val="20"/>
                <w:lang w:val="en-US"/>
              </w:rPr>
              <w:t xml:space="preserve"> in Senegal</w:t>
            </w:r>
            <w:r w:rsidR="004D54F6" w:rsidRPr="000620C4">
              <w:rPr>
                <w:rFonts w:ascii="Arial" w:hAnsi="Arial" w:cs="Arial"/>
                <w:color w:val="000000" w:themeColor="text1"/>
                <w:sz w:val="20"/>
                <w:szCs w:val="20"/>
                <w:lang w:val="en-US"/>
              </w:rPr>
              <w:t>. The macro (Na, K, Mg, Ca) and micro (Fe, Ni, Cu, Zn</w:t>
            </w:r>
            <w:r w:rsidR="002D3D30">
              <w:rPr>
                <w:rFonts w:ascii="Arial" w:hAnsi="Arial" w:cs="Arial"/>
                <w:color w:val="000000" w:themeColor="text1"/>
                <w:sz w:val="20"/>
                <w:szCs w:val="20"/>
                <w:lang w:val="en-US"/>
              </w:rPr>
              <w:t xml:space="preserve"> and </w:t>
            </w:r>
            <w:r w:rsidR="004D54F6" w:rsidRPr="000620C4">
              <w:rPr>
                <w:rFonts w:ascii="Arial" w:hAnsi="Arial" w:cs="Arial"/>
                <w:color w:val="000000" w:themeColor="text1"/>
                <w:sz w:val="20"/>
                <w:szCs w:val="20"/>
                <w:lang w:val="en-US"/>
              </w:rPr>
              <w:t xml:space="preserve">Cd) elements contents in the leaves, peels, and flesh of sweet potatoes were analyzed. The samples were wet digested, and the metals were analyzed by atomic absorption spectroscopy. </w:t>
            </w:r>
            <w:r w:rsidR="00085D33" w:rsidRPr="00085D33">
              <w:rPr>
                <w:rFonts w:ascii="Arial" w:hAnsi="Arial" w:cs="Arial"/>
                <w:color w:val="000000" w:themeColor="text1"/>
                <w:sz w:val="20"/>
                <w:szCs w:val="20"/>
                <w:highlight w:val="green"/>
                <w:lang w:val="en-US"/>
              </w:rPr>
              <w:t>The results showed that macro element concentrations were highest in leaves (I), followed by peels (II). Sweet potato flesh (III) was less rich in macro elements. It was also found that potassium content was higher than all macro elements in all samples, with values ​​of 19682</w:t>
            </w:r>
            <w:r w:rsidR="00085D33" w:rsidRPr="00BB4455">
              <w:rPr>
                <w:rFonts w:ascii="Arial" w:hAnsi="Arial" w:cs="Arial"/>
                <w:color w:val="000000" w:themeColor="text1"/>
                <w:sz w:val="20"/>
                <w:szCs w:val="20"/>
                <w:highlight w:val="green"/>
                <w:lang w:val="en-US"/>
              </w:rPr>
              <w:t>.14</w:t>
            </w:r>
            <w:r w:rsidR="005752AC" w:rsidRPr="00BB4455">
              <w:rPr>
                <w:rFonts w:ascii="Arial" w:hAnsi="Arial" w:cs="Arial"/>
                <w:color w:val="000000" w:themeColor="text1"/>
                <w:sz w:val="20"/>
                <w:szCs w:val="20"/>
                <w:highlight w:val="green"/>
                <w:lang w:val="en-US"/>
              </w:rPr>
              <w:t xml:space="preserve"> </w:t>
            </w:r>
            <w:r w:rsidR="005752AC" w:rsidRPr="00BB4455">
              <w:rPr>
                <w:rFonts w:ascii="Arial" w:hAnsi="Arial" w:cs="Arial"/>
                <w:color w:val="000000"/>
                <w:sz w:val="20"/>
                <w:szCs w:val="20"/>
                <w:highlight w:val="green"/>
                <w:lang w:val="en-US"/>
              </w:rPr>
              <w:t>± 0.72</w:t>
            </w:r>
            <w:r w:rsidR="00472A02">
              <w:rPr>
                <w:rFonts w:ascii="Arial" w:hAnsi="Arial" w:cs="Arial"/>
                <w:color w:val="000000"/>
                <w:sz w:val="20"/>
                <w:szCs w:val="20"/>
                <w:highlight w:val="green"/>
                <w:lang w:val="en-US"/>
              </w:rPr>
              <w:t xml:space="preserve"> (I)</w:t>
            </w:r>
            <w:r w:rsidR="00085D33" w:rsidRPr="00BB4455">
              <w:rPr>
                <w:rFonts w:ascii="Arial" w:hAnsi="Arial" w:cs="Arial"/>
                <w:color w:val="000000" w:themeColor="text1"/>
                <w:sz w:val="20"/>
                <w:szCs w:val="20"/>
                <w:highlight w:val="green"/>
                <w:lang w:val="en-US"/>
              </w:rPr>
              <w:t>, 12876.53</w:t>
            </w:r>
            <w:r w:rsidR="005752AC" w:rsidRPr="00BB4455">
              <w:rPr>
                <w:rFonts w:ascii="Arial" w:hAnsi="Arial" w:cs="Arial"/>
                <w:color w:val="000000" w:themeColor="text1"/>
                <w:sz w:val="20"/>
                <w:szCs w:val="20"/>
                <w:highlight w:val="green"/>
                <w:lang w:val="en-US"/>
              </w:rPr>
              <w:t xml:space="preserve"> </w:t>
            </w:r>
            <w:r w:rsidR="005752AC" w:rsidRPr="00BB4455">
              <w:rPr>
                <w:rFonts w:ascii="Arial" w:hAnsi="Arial" w:cs="Arial"/>
                <w:color w:val="000000"/>
                <w:sz w:val="20"/>
                <w:szCs w:val="20"/>
                <w:highlight w:val="green"/>
                <w:lang w:val="en-US"/>
              </w:rPr>
              <w:t>± 0.17</w:t>
            </w:r>
            <w:r w:rsidR="00472A02">
              <w:rPr>
                <w:rFonts w:ascii="Arial" w:hAnsi="Arial" w:cs="Arial"/>
                <w:color w:val="000000"/>
                <w:sz w:val="20"/>
                <w:szCs w:val="20"/>
                <w:highlight w:val="green"/>
                <w:lang w:val="en-US"/>
              </w:rPr>
              <w:t xml:space="preserve"> (II)</w:t>
            </w:r>
            <w:r w:rsidR="00085D33" w:rsidRPr="00BB4455">
              <w:rPr>
                <w:rFonts w:ascii="Arial" w:hAnsi="Arial" w:cs="Arial"/>
                <w:color w:val="000000" w:themeColor="text1"/>
                <w:sz w:val="20"/>
                <w:szCs w:val="20"/>
                <w:highlight w:val="green"/>
                <w:lang w:val="en-US"/>
              </w:rPr>
              <w:t>, and 10326.44</w:t>
            </w:r>
            <w:r w:rsidR="005752AC" w:rsidRPr="00BB4455">
              <w:rPr>
                <w:rFonts w:ascii="Arial" w:hAnsi="Arial" w:cs="Arial"/>
                <w:color w:val="000000" w:themeColor="text1"/>
                <w:sz w:val="20"/>
                <w:szCs w:val="20"/>
                <w:highlight w:val="green"/>
                <w:lang w:val="en-US"/>
              </w:rPr>
              <w:t xml:space="preserve"> </w:t>
            </w:r>
            <w:r w:rsidR="005752AC" w:rsidRPr="00BB4455">
              <w:rPr>
                <w:rFonts w:ascii="Arial" w:hAnsi="Arial" w:cs="Arial"/>
                <w:color w:val="000000"/>
                <w:sz w:val="20"/>
                <w:szCs w:val="20"/>
                <w:highlight w:val="green"/>
                <w:lang w:val="en-US"/>
              </w:rPr>
              <w:t>± 0.10</w:t>
            </w:r>
            <w:r w:rsidR="00085D33" w:rsidRPr="00BB4455">
              <w:rPr>
                <w:rFonts w:ascii="Arial" w:hAnsi="Arial" w:cs="Arial"/>
                <w:color w:val="000000" w:themeColor="text1"/>
                <w:sz w:val="20"/>
                <w:szCs w:val="20"/>
                <w:highlight w:val="green"/>
                <w:lang w:val="en-US"/>
              </w:rPr>
              <w:t xml:space="preserve"> mg/kg </w:t>
            </w:r>
            <w:r w:rsidR="00472A02">
              <w:rPr>
                <w:rFonts w:ascii="Arial" w:hAnsi="Arial" w:cs="Arial"/>
                <w:color w:val="000000"/>
                <w:sz w:val="20"/>
                <w:szCs w:val="20"/>
                <w:highlight w:val="green"/>
                <w:lang w:val="en-US"/>
              </w:rPr>
              <w:t>(III)</w:t>
            </w:r>
            <w:r w:rsidR="00085D33" w:rsidRPr="00BB4455">
              <w:rPr>
                <w:rFonts w:ascii="Arial" w:hAnsi="Arial" w:cs="Arial"/>
                <w:color w:val="000000" w:themeColor="text1"/>
                <w:sz w:val="20"/>
                <w:szCs w:val="20"/>
                <w:highlight w:val="green"/>
                <w:lang w:val="en-US"/>
              </w:rPr>
              <w:t>.</w:t>
            </w:r>
            <w:r w:rsidR="004D54F6" w:rsidRPr="00BB4455">
              <w:rPr>
                <w:rFonts w:ascii="Arial" w:hAnsi="Arial" w:cs="Arial"/>
                <w:color w:val="000000" w:themeColor="text1"/>
                <w:sz w:val="20"/>
                <w:szCs w:val="20"/>
                <w:highlight w:val="green"/>
                <w:lang w:val="en-US"/>
              </w:rPr>
              <w:t xml:space="preserve"> The iron concentrations were 126.5</w:t>
            </w:r>
            <w:r w:rsidR="00AE4EAB" w:rsidRPr="00BB4455">
              <w:rPr>
                <w:rFonts w:ascii="Arial" w:hAnsi="Arial" w:cs="Arial"/>
                <w:color w:val="000000" w:themeColor="text1"/>
                <w:sz w:val="20"/>
                <w:szCs w:val="20"/>
                <w:highlight w:val="green"/>
                <w:lang w:val="en-US"/>
              </w:rPr>
              <w:t>3</w:t>
            </w:r>
            <w:r w:rsidR="005752AC" w:rsidRPr="00BB4455">
              <w:rPr>
                <w:rFonts w:ascii="Arial" w:hAnsi="Arial" w:cs="Arial"/>
                <w:color w:val="000000" w:themeColor="text1"/>
                <w:sz w:val="20"/>
                <w:szCs w:val="20"/>
                <w:highlight w:val="green"/>
                <w:lang w:val="en-US"/>
              </w:rPr>
              <w:t xml:space="preserve"> </w:t>
            </w:r>
            <w:r w:rsidR="005752AC" w:rsidRPr="00BB4455">
              <w:rPr>
                <w:rFonts w:ascii="Arial" w:hAnsi="Arial" w:cs="Arial"/>
                <w:color w:val="000000"/>
                <w:sz w:val="20"/>
                <w:szCs w:val="20"/>
                <w:highlight w:val="green"/>
                <w:lang w:val="en-US"/>
              </w:rPr>
              <w:t>± 0.</w:t>
            </w:r>
            <w:r w:rsidR="008144F1" w:rsidRPr="00BB4455">
              <w:rPr>
                <w:rFonts w:ascii="Arial" w:hAnsi="Arial" w:cs="Arial"/>
                <w:color w:val="000000"/>
                <w:sz w:val="20"/>
                <w:szCs w:val="20"/>
                <w:highlight w:val="green"/>
                <w:lang w:val="en-US"/>
              </w:rPr>
              <w:t>09</w:t>
            </w:r>
            <w:r w:rsidR="00472A02">
              <w:rPr>
                <w:rFonts w:ascii="Arial" w:hAnsi="Arial" w:cs="Arial"/>
                <w:color w:val="000000"/>
                <w:sz w:val="20"/>
                <w:szCs w:val="20"/>
                <w:highlight w:val="green"/>
                <w:lang w:val="en-US"/>
              </w:rPr>
              <w:t xml:space="preserve"> (I)</w:t>
            </w:r>
            <w:r w:rsidR="004D54F6" w:rsidRPr="00BB4455">
              <w:rPr>
                <w:rFonts w:ascii="Arial" w:hAnsi="Arial" w:cs="Arial"/>
                <w:color w:val="000000" w:themeColor="text1"/>
                <w:sz w:val="20"/>
                <w:szCs w:val="20"/>
                <w:highlight w:val="green"/>
                <w:lang w:val="en-US"/>
              </w:rPr>
              <w:t>, 21.9</w:t>
            </w:r>
            <w:r w:rsidR="00AE4EAB" w:rsidRPr="00BB4455">
              <w:rPr>
                <w:rFonts w:ascii="Arial" w:hAnsi="Arial" w:cs="Arial"/>
                <w:color w:val="000000" w:themeColor="text1"/>
                <w:sz w:val="20"/>
                <w:szCs w:val="20"/>
                <w:highlight w:val="green"/>
                <w:lang w:val="en-US"/>
              </w:rPr>
              <w:t>4</w:t>
            </w:r>
            <w:r w:rsidR="005752AC" w:rsidRPr="00BB4455">
              <w:rPr>
                <w:rFonts w:ascii="Arial" w:hAnsi="Arial" w:cs="Arial"/>
                <w:color w:val="000000" w:themeColor="text1"/>
                <w:sz w:val="20"/>
                <w:szCs w:val="20"/>
                <w:highlight w:val="green"/>
                <w:lang w:val="en-US"/>
              </w:rPr>
              <w:t xml:space="preserve"> </w:t>
            </w:r>
            <w:r w:rsidR="005752AC" w:rsidRPr="00BB4455">
              <w:rPr>
                <w:rFonts w:ascii="Arial" w:hAnsi="Arial" w:cs="Arial"/>
                <w:color w:val="000000"/>
                <w:sz w:val="20"/>
                <w:szCs w:val="20"/>
                <w:highlight w:val="green"/>
                <w:lang w:val="en-US"/>
              </w:rPr>
              <w:t>± 0.</w:t>
            </w:r>
            <w:r w:rsidR="008144F1" w:rsidRPr="00BB4455">
              <w:rPr>
                <w:rFonts w:ascii="Arial" w:hAnsi="Arial" w:cs="Arial"/>
                <w:color w:val="000000"/>
                <w:sz w:val="20"/>
                <w:szCs w:val="20"/>
                <w:highlight w:val="green"/>
                <w:lang w:val="en-US"/>
              </w:rPr>
              <w:t>04</w:t>
            </w:r>
            <w:r w:rsidR="005752AC" w:rsidRPr="00BB4455">
              <w:rPr>
                <w:rFonts w:ascii="Arial" w:hAnsi="Arial" w:cs="Arial"/>
                <w:color w:val="000000"/>
                <w:sz w:val="20"/>
                <w:szCs w:val="20"/>
                <w:highlight w:val="green"/>
                <w:lang w:val="en-US"/>
              </w:rPr>
              <w:t>2</w:t>
            </w:r>
            <w:r w:rsidR="004D54F6" w:rsidRPr="00BB4455">
              <w:rPr>
                <w:rFonts w:ascii="Arial" w:hAnsi="Arial" w:cs="Arial"/>
                <w:color w:val="000000" w:themeColor="text1"/>
                <w:sz w:val="20"/>
                <w:szCs w:val="20"/>
                <w:highlight w:val="green"/>
                <w:lang w:val="en-US"/>
              </w:rPr>
              <w:t xml:space="preserve"> </w:t>
            </w:r>
            <w:r w:rsidR="00472A02">
              <w:rPr>
                <w:rFonts w:ascii="Arial" w:hAnsi="Arial" w:cs="Arial"/>
                <w:color w:val="000000"/>
                <w:sz w:val="20"/>
                <w:szCs w:val="20"/>
                <w:highlight w:val="green"/>
                <w:lang w:val="en-US"/>
              </w:rPr>
              <w:t>(I</w:t>
            </w:r>
            <w:r w:rsidR="00F50D31">
              <w:rPr>
                <w:rFonts w:ascii="Arial" w:hAnsi="Arial" w:cs="Arial"/>
                <w:color w:val="000000"/>
                <w:sz w:val="20"/>
                <w:szCs w:val="20"/>
                <w:highlight w:val="green"/>
                <w:lang w:val="en-US"/>
              </w:rPr>
              <w:t>I</w:t>
            </w:r>
            <w:r w:rsidR="00472A02">
              <w:rPr>
                <w:rFonts w:ascii="Arial" w:hAnsi="Arial" w:cs="Arial"/>
                <w:color w:val="000000"/>
                <w:sz w:val="20"/>
                <w:szCs w:val="20"/>
                <w:highlight w:val="green"/>
                <w:lang w:val="en-US"/>
              </w:rPr>
              <w:t xml:space="preserve">) </w:t>
            </w:r>
            <w:r w:rsidR="004D54F6" w:rsidRPr="00BB4455">
              <w:rPr>
                <w:rFonts w:ascii="Arial" w:hAnsi="Arial" w:cs="Arial"/>
                <w:color w:val="000000" w:themeColor="text1"/>
                <w:sz w:val="20"/>
                <w:szCs w:val="20"/>
                <w:highlight w:val="green"/>
                <w:lang w:val="en-US"/>
              </w:rPr>
              <w:t>and 91.3</w:t>
            </w:r>
            <w:r w:rsidR="00AE4EAB" w:rsidRPr="00BB4455">
              <w:rPr>
                <w:rFonts w:ascii="Arial" w:hAnsi="Arial" w:cs="Arial"/>
                <w:color w:val="000000" w:themeColor="text1"/>
                <w:sz w:val="20"/>
                <w:szCs w:val="20"/>
                <w:highlight w:val="green"/>
                <w:lang w:val="en-US"/>
              </w:rPr>
              <w:t>1</w:t>
            </w:r>
            <w:r w:rsidR="005752AC" w:rsidRPr="00BB4455">
              <w:rPr>
                <w:rFonts w:ascii="Arial" w:hAnsi="Arial" w:cs="Arial"/>
                <w:color w:val="000000" w:themeColor="text1"/>
                <w:sz w:val="20"/>
                <w:szCs w:val="20"/>
                <w:highlight w:val="green"/>
                <w:lang w:val="en-US"/>
              </w:rPr>
              <w:t xml:space="preserve"> </w:t>
            </w:r>
            <w:r w:rsidR="005752AC" w:rsidRPr="00BB4455">
              <w:rPr>
                <w:rFonts w:ascii="Arial" w:hAnsi="Arial" w:cs="Arial"/>
                <w:color w:val="000000"/>
                <w:sz w:val="20"/>
                <w:szCs w:val="20"/>
                <w:highlight w:val="green"/>
                <w:lang w:val="en-US"/>
              </w:rPr>
              <w:t>± 0.</w:t>
            </w:r>
            <w:r w:rsidR="008144F1" w:rsidRPr="00BB4455">
              <w:rPr>
                <w:rFonts w:ascii="Arial" w:hAnsi="Arial" w:cs="Arial"/>
                <w:color w:val="000000"/>
                <w:sz w:val="20"/>
                <w:szCs w:val="20"/>
                <w:highlight w:val="green"/>
                <w:lang w:val="en-US"/>
              </w:rPr>
              <w:t>04</w:t>
            </w:r>
            <w:r w:rsidR="004D54F6" w:rsidRPr="00BB4455">
              <w:rPr>
                <w:rFonts w:ascii="Arial" w:hAnsi="Arial" w:cs="Arial"/>
                <w:color w:val="000000" w:themeColor="text1"/>
                <w:sz w:val="20"/>
                <w:szCs w:val="20"/>
                <w:highlight w:val="green"/>
                <w:lang w:val="en-US"/>
              </w:rPr>
              <w:t xml:space="preserve"> </w:t>
            </w:r>
            <w:r w:rsidR="0036491F" w:rsidRPr="00BB4455">
              <w:rPr>
                <w:rFonts w:ascii="Arial" w:hAnsi="Arial" w:cs="Arial"/>
                <w:color w:val="000000" w:themeColor="text1"/>
                <w:sz w:val="20"/>
                <w:szCs w:val="20"/>
                <w:highlight w:val="green"/>
                <w:lang w:val="en-US"/>
              </w:rPr>
              <w:t>m</w:t>
            </w:r>
            <w:r w:rsidR="004D54F6" w:rsidRPr="00BB4455">
              <w:rPr>
                <w:rFonts w:ascii="Arial" w:hAnsi="Arial" w:cs="Arial"/>
                <w:color w:val="000000" w:themeColor="text1"/>
                <w:sz w:val="20"/>
                <w:szCs w:val="20"/>
                <w:highlight w:val="green"/>
                <w:lang w:val="en-US"/>
              </w:rPr>
              <w:t xml:space="preserve">g/kg </w:t>
            </w:r>
            <w:r w:rsidR="00472A02">
              <w:rPr>
                <w:rFonts w:ascii="Arial" w:hAnsi="Arial" w:cs="Arial"/>
                <w:color w:val="000000"/>
                <w:sz w:val="20"/>
                <w:szCs w:val="20"/>
                <w:highlight w:val="green"/>
                <w:lang w:val="en-US"/>
              </w:rPr>
              <w:t>(</w:t>
            </w:r>
            <w:r w:rsidR="00F50D31">
              <w:rPr>
                <w:rFonts w:ascii="Arial" w:hAnsi="Arial" w:cs="Arial"/>
                <w:color w:val="000000"/>
                <w:sz w:val="20"/>
                <w:szCs w:val="20"/>
                <w:highlight w:val="green"/>
                <w:lang w:val="en-US"/>
              </w:rPr>
              <w:t>II</w:t>
            </w:r>
            <w:r w:rsidR="00472A02">
              <w:rPr>
                <w:rFonts w:ascii="Arial" w:hAnsi="Arial" w:cs="Arial"/>
                <w:color w:val="000000"/>
                <w:sz w:val="20"/>
                <w:szCs w:val="20"/>
                <w:highlight w:val="green"/>
                <w:lang w:val="en-US"/>
              </w:rPr>
              <w:t>I)</w:t>
            </w:r>
            <w:r w:rsidR="004D54F6" w:rsidRPr="00BB4455">
              <w:rPr>
                <w:rFonts w:ascii="Arial" w:hAnsi="Arial" w:cs="Arial"/>
                <w:color w:val="000000" w:themeColor="text1"/>
                <w:sz w:val="20"/>
                <w:szCs w:val="20"/>
                <w:highlight w:val="green"/>
                <w:lang w:val="en-US"/>
              </w:rPr>
              <w:t xml:space="preserve">. </w:t>
            </w:r>
            <w:r w:rsidR="00546326" w:rsidRPr="00BB4455">
              <w:rPr>
                <w:rFonts w:ascii="Arial" w:hAnsi="Arial" w:cs="Arial"/>
                <w:color w:val="000000" w:themeColor="text1"/>
                <w:sz w:val="20"/>
                <w:szCs w:val="20"/>
                <w:highlight w:val="green"/>
                <w:lang w:val="en-US"/>
              </w:rPr>
              <w:t>Nickel contents are 6.13</w:t>
            </w:r>
            <w:r w:rsidR="008144F1" w:rsidRPr="00BB4455">
              <w:rPr>
                <w:rFonts w:ascii="Arial" w:hAnsi="Arial" w:cs="Arial"/>
                <w:color w:val="000000" w:themeColor="text1"/>
                <w:sz w:val="20"/>
                <w:szCs w:val="20"/>
                <w:highlight w:val="green"/>
                <w:lang w:val="en-US"/>
              </w:rPr>
              <w:t xml:space="preserve"> </w:t>
            </w:r>
            <w:r w:rsidR="008144F1" w:rsidRPr="00BB4455">
              <w:rPr>
                <w:rFonts w:ascii="Arial" w:hAnsi="Arial" w:cs="Arial"/>
                <w:color w:val="000000"/>
                <w:sz w:val="20"/>
                <w:szCs w:val="20"/>
                <w:highlight w:val="green"/>
                <w:lang w:val="en-US"/>
              </w:rPr>
              <w:t>± 0.</w:t>
            </w:r>
            <w:r w:rsidR="00FE7B8A" w:rsidRPr="00BB4455">
              <w:rPr>
                <w:rFonts w:ascii="Arial" w:hAnsi="Arial" w:cs="Arial"/>
                <w:color w:val="000000"/>
                <w:sz w:val="20"/>
                <w:szCs w:val="20"/>
                <w:highlight w:val="green"/>
                <w:lang w:val="en-US"/>
              </w:rPr>
              <w:t>08</w:t>
            </w:r>
            <w:r w:rsidR="00546326" w:rsidRPr="00BB4455">
              <w:rPr>
                <w:rFonts w:ascii="Arial" w:hAnsi="Arial" w:cs="Arial"/>
                <w:color w:val="000000" w:themeColor="text1"/>
                <w:sz w:val="20"/>
                <w:szCs w:val="20"/>
                <w:highlight w:val="green"/>
                <w:lang w:val="en-US"/>
              </w:rPr>
              <w:t xml:space="preserve"> (I), 3.74</w:t>
            </w:r>
            <w:r w:rsidR="008144F1" w:rsidRPr="00BB4455">
              <w:rPr>
                <w:rFonts w:ascii="Arial" w:hAnsi="Arial" w:cs="Arial"/>
                <w:color w:val="000000" w:themeColor="text1"/>
                <w:sz w:val="20"/>
                <w:szCs w:val="20"/>
                <w:highlight w:val="green"/>
                <w:lang w:val="en-US"/>
              </w:rPr>
              <w:t xml:space="preserve"> </w:t>
            </w:r>
            <w:r w:rsidR="008144F1" w:rsidRPr="00BB4455">
              <w:rPr>
                <w:rFonts w:ascii="Arial" w:hAnsi="Arial" w:cs="Arial"/>
                <w:color w:val="000000"/>
                <w:sz w:val="20"/>
                <w:szCs w:val="20"/>
                <w:highlight w:val="green"/>
                <w:lang w:val="en-US"/>
              </w:rPr>
              <w:t>± 0.</w:t>
            </w:r>
            <w:r w:rsidR="00FE7B8A" w:rsidRPr="00BB4455">
              <w:rPr>
                <w:rFonts w:ascii="Arial" w:hAnsi="Arial" w:cs="Arial"/>
                <w:color w:val="000000"/>
                <w:sz w:val="20"/>
                <w:szCs w:val="20"/>
                <w:highlight w:val="green"/>
                <w:lang w:val="en-US"/>
              </w:rPr>
              <w:t>07</w:t>
            </w:r>
            <w:r w:rsidR="008144F1" w:rsidRPr="00BB4455">
              <w:rPr>
                <w:rFonts w:ascii="Arial" w:hAnsi="Arial" w:cs="Arial"/>
                <w:color w:val="000000" w:themeColor="text1"/>
                <w:sz w:val="20"/>
                <w:szCs w:val="20"/>
                <w:highlight w:val="green"/>
                <w:lang w:val="en-US"/>
              </w:rPr>
              <w:t xml:space="preserve"> </w:t>
            </w:r>
            <w:r w:rsidR="00546326" w:rsidRPr="00BB4455">
              <w:rPr>
                <w:rFonts w:ascii="Arial" w:hAnsi="Arial" w:cs="Arial"/>
                <w:color w:val="000000" w:themeColor="text1"/>
                <w:sz w:val="20"/>
                <w:szCs w:val="20"/>
                <w:highlight w:val="green"/>
                <w:lang w:val="en-US"/>
              </w:rPr>
              <w:t>(II) and 9.09</w:t>
            </w:r>
            <w:r w:rsidR="00FE7B8A" w:rsidRPr="00BB4455">
              <w:rPr>
                <w:rFonts w:ascii="Arial" w:hAnsi="Arial" w:cs="Arial"/>
                <w:color w:val="000000" w:themeColor="text1"/>
                <w:sz w:val="20"/>
                <w:szCs w:val="20"/>
                <w:highlight w:val="green"/>
                <w:lang w:val="en-US"/>
              </w:rPr>
              <w:t xml:space="preserve"> </w:t>
            </w:r>
            <w:r w:rsidR="00FE7B8A" w:rsidRPr="00BB4455">
              <w:rPr>
                <w:rFonts w:ascii="Arial" w:hAnsi="Arial" w:cs="Arial"/>
                <w:color w:val="000000"/>
                <w:sz w:val="20"/>
                <w:szCs w:val="20"/>
                <w:highlight w:val="green"/>
                <w:lang w:val="en-US"/>
              </w:rPr>
              <w:t>± 0.07</w:t>
            </w:r>
            <w:r w:rsidR="00546326" w:rsidRPr="00BB4455">
              <w:rPr>
                <w:rFonts w:ascii="Arial" w:hAnsi="Arial" w:cs="Arial"/>
                <w:color w:val="000000" w:themeColor="text1"/>
                <w:sz w:val="20"/>
                <w:szCs w:val="20"/>
                <w:highlight w:val="green"/>
                <w:lang w:val="en-US"/>
              </w:rPr>
              <w:t xml:space="preserve"> mg/kg (III). </w:t>
            </w:r>
            <w:r w:rsidR="004D54F6" w:rsidRPr="00BB4455">
              <w:rPr>
                <w:rFonts w:ascii="Arial" w:hAnsi="Arial" w:cs="Arial"/>
                <w:color w:val="000000" w:themeColor="text1"/>
                <w:sz w:val="20"/>
                <w:szCs w:val="20"/>
                <w:highlight w:val="green"/>
                <w:lang w:val="en-US"/>
              </w:rPr>
              <w:t>Copper</w:t>
            </w:r>
            <w:r w:rsidR="003500A1">
              <w:rPr>
                <w:rFonts w:ascii="Arial" w:hAnsi="Arial" w:cs="Arial"/>
                <w:color w:val="000000" w:themeColor="text1"/>
                <w:sz w:val="20"/>
                <w:szCs w:val="20"/>
                <w:highlight w:val="green"/>
                <w:lang w:val="en-US"/>
              </w:rPr>
              <w:t xml:space="preserve"> </w:t>
            </w:r>
            <w:r w:rsidR="00BC0E14">
              <w:rPr>
                <w:rFonts w:ascii="Arial" w:hAnsi="Arial" w:cs="Arial"/>
                <w:color w:val="000000" w:themeColor="text1"/>
                <w:sz w:val="20"/>
                <w:szCs w:val="20"/>
                <w:highlight w:val="green"/>
                <w:lang w:val="en-US"/>
              </w:rPr>
              <w:t xml:space="preserve">and zinc </w:t>
            </w:r>
            <w:proofErr w:type="gramStart"/>
            <w:r w:rsidR="003500A1">
              <w:rPr>
                <w:rFonts w:ascii="Arial" w:hAnsi="Arial" w:cs="Arial"/>
                <w:color w:val="000000" w:themeColor="text1"/>
                <w:sz w:val="20"/>
                <w:szCs w:val="20"/>
                <w:highlight w:val="green"/>
                <w:lang w:val="en-US"/>
              </w:rPr>
              <w:t xml:space="preserve">concentrations </w:t>
            </w:r>
            <w:r w:rsidR="004D54F6" w:rsidRPr="00BB4455">
              <w:rPr>
                <w:rFonts w:ascii="Arial" w:hAnsi="Arial" w:cs="Arial"/>
                <w:color w:val="000000" w:themeColor="text1"/>
                <w:sz w:val="20"/>
                <w:szCs w:val="20"/>
                <w:highlight w:val="green"/>
                <w:lang w:val="en-US"/>
              </w:rPr>
              <w:t xml:space="preserve"> were</w:t>
            </w:r>
            <w:proofErr w:type="gramEnd"/>
            <w:r w:rsidR="004D54F6" w:rsidRPr="00BB4455">
              <w:rPr>
                <w:rFonts w:ascii="Arial" w:hAnsi="Arial" w:cs="Arial"/>
                <w:color w:val="000000" w:themeColor="text1"/>
                <w:sz w:val="20"/>
                <w:szCs w:val="20"/>
                <w:highlight w:val="green"/>
                <w:lang w:val="en-US"/>
              </w:rPr>
              <w:t xml:space="preserve"> found be</w:t>
            </w:r>
            <w:r w:rsidR="00983B2A" w:rsidRPr="00BB4455">
              <w:rPr>
                <w:rFonts w:ascii="Arial" w:hAnsi="Arial" w:cs="Arial"/>
                <w:color w:val="000000" w:themeColor="text1"/>
                <w:sz w:val="20"/>
                <w:szCs w:val="20"/>
                <w:highlight w:val="green"/>
                <w:lang w:val="en-US"/>
              </w:rPr>
              <w:t>tween</w:t>
            </w:r>
            <w:r w:rsidR="004D54F6" w:rsidRPr="00BB4455">
              <w:rPr>
                <w:rFonts w:ascii="Arial" w:hAnsi="Arial" w:cs="Arial"/>
                <w:color w:val="000000" w:themeColor="text1"/>
                <w:sz w:val="20"/>
                <w:szCs w:val="20"/>
                <w:highlight w:val="green"/>
                <w:lang w:val="en-US"/>
              </w:rPr>
              <w:t xml:space="preserve"> 5.</w:t>
            </w:r>
            <w:r w:rsidR="00AE4EAB" w:rsidRPr="00BB4455">
              <w:rPr>
                <w:rFonts w:ascii="Arial" w:hAnsi="Arial" w:cs="Arial"/>
                <w:color w:val="000000" w:themeColor="text1"/>
                <w:sz w:val="20"/>
                <w:szCs w:val="20"/>
                <w:highlight w:val="green"/>
                <w:lang w:val="en-US"/>
              </w:rPr>
              <w:t>38</w:t>
            </w:r>
            <w:r w:rsidR="004D54F6" w:rsidRPr="00BB4455">
              <w:rPr>
                <w:rFonts w:ascii="Arial" w:hAnsi="Arial" w:cs="Arial"/>
                <w:color w:val="000000" w:themeColor="text1"/>
                <w:sz w:val="20"/>
                <w:szCs w:val="20"/>
                <w:highlight w:val="green"/>
                <w:lang w:val="en-US"/>
              </w:rPr>
              <w:t xml:space="preserve"> </w:t>
            </w:r>
            <w:r w:rsidR="00983B2A" w:rsidRPr="00BB4455">
              <w:rPr>
                <w:rFonts w:ascii="Arial" w:hAnsi="Arial" w:cs="Arial"/>
                <w:color w:val="000000"/>
                <w:sz w:val="20"/>
                <w:szCs w:val="20"/>
                <w:highlight w:val="green"/>
                <w:lang w:val="en-US"/>
              </w:rPr>
              <w:t>± 0.02</w:t>
            </w:r>
            <w:r w:rsidR="004D54F6" w:rsidRPr="00BB4455">
              <w:rPr>
                <w:rFonts w:ascii="Arial" w:hAnsi="Arial" w:cs="Arial"/>
                <w:color w:val="000000" w:themeColor="text1"/>
                <w:sz w:val="20"/>
                <w:szCs w:val="20"/>
                <w:highlight w:val="green"/>
                <w:lang w:val="en-US"/>
              </w:rPr>
              <w:t xml:space="preserve"> and 2.</w:t>
            </w:r>
            <w:r w:rsidR="00702478" w:rsidRPr="00BB4455">
              <w:rPr>
                <w:rFonts w:ascii="Arial" w:hAnsi="Arial" w:cs="Arial"/>
                <w:color w:val="000000" w:themeColor="text1"/>
                <w:sz w:val="20"/>
                <w:szCs w:val="20"/>
                <w:highlight w:val="green"/>
                <w:lang w:val="en-US"/>
              </w:rPr>
              <w:t>1</w:t>
            </w:r>
            <w:r w:rsidR="004D54F6" w:rsidRPr="00BB4455">
              <w:rPr>
                <w:rFonts w:ascii="Arial" w:hAnsi="Arial" w:cs="Arial"/>
                <w:color w:val="000000" w:themeColor="text1"/>
                <w:sz w:val="20"/>
                <w:szCs w:val="20"/>
                <w:highlight w:val="green"/>
                <w:lang w:val="en-US"/>
              </w:rPr>
              <w:t>1</w:t>
            </w:r>
            <w:r w:rsidR="00983B2A" w:rsidRPr="00BB4455">
              <w:rPr>
                <w:rFonts w:ascii="Arial" w:hAnsi="Arial" w:cs="Arial"/>
                <w:color w:val="000000" w:themeColor="text1"/>
                <w:sz w:val="20"/>
                <w:szCs w:val="20"/>
                <w:highlight w:val="green"/>
                <w:lang w:val="en-US"/>
              </w:rPr>
              <w:t xml:space="preserve"> </w:t>
            </w:r>
            <w:r w:rsidR="00983B2A" w:rsidRPr="00BB4455">
              <w:rPr>
                <w:rFonts w:ascii="Arial" w:hAnsi="Arial" w:cs="Arial"/>
                <w:color w:val="000000"/>
                <w:sz w:val="20"/>
                <w:szCs w:val="20"/>
                <w:highlight w:val="green"/>
                <w:lang w:val="en-US"/>
              </w:rPr>
              <w:t>± 0.01</w:t>
            </w:r>
            <w:r w:rsidR="004D54F6" w:rsidRPr="00BB4455">
              <w:rPr>
                <w:rFonts w:ascii="Arial" w:hAnsi="Arial" w:cs="Arial"/>
                <w:color w:val="000000" w:themeColor="text1"/>
                <w:sz w:val="20"/>
                <w:szCs w:val="20"/>
                <w:highlight w:val="green"/>
                <w:lang w:val="en-US"/>
              </w:rPr>
              <w:t xml:space="preserve"> </w:t>
            </w:r>
            <w:r w:rsidR="0036491F" w:rsidRPr="00BB4455">
              <w:rPr>
                <w:rFonts w:ascii="Arial" w:hAnsi="Arial" w:cs="Arial"/>
                <w:color w:val="000000" w:themeColor="text1"/>
                <w:sz w:val="20"/>
                <w:szCs w:val="20"/>
                <w:highlight w:val="green"/>
                <w:lang w:val="en-US"/>
              </w:rPr>
              <w:t>m</w:t>
            </w:r>
            <w:r w:rsidR="004D54F6" w:rsidRPr="00BB4455">
              <w:rPr>
                <w:rFonts w:ascii="Arial" w:hAnsi="Arial" w:cs="Arial"/>
                <w:color w:val="000000" w:themeColor="text1"/>
                <w:sz w:val="20"/>
                <w:szCs w:val="20"/>
                <w:highlight w:val="green"/>
                <w:lang w:val="en-US"/>
              </w:rPr>
              <w:t xml:space="preserve">g/kg (II) </w:t>
            </w:r>
            <w:r w:rsidR="003500A1" w:rsidRPr="00BB4455">
              <w:rPr>
                <w:rFonts w:ascii="Arial" w:hAnsi="Arial" w:cs="Arial"/>
                <w:color w:val="000000" w:themeColor="text1"/>
                <w:sz w:val="20"/>
                <w:szCs w:val="20"/>
                <w:highlight w:val="green"/>
                <w:lang w:val="en-US"/>
              </w:rPr>
              <w:t xml:space="preserve">and </w:t>
            </w:r>
            <w:r w:rsidR="004D54F6" w:rsidRPr="00BB4455">
              <w:rPr>
                <w:rFonts w:ascii="Arial" w:hAnsi="Arial" w:cs="Arial"/>
                <w:color w:val="000000" w:themeColor="text1"/>
                <w:sz w:val="20"/>
                <w:szCs w:val="20"/>
                <w:highlight w:val="green"/>
                <w:lang w:val="en-US"/>
              </w:rPr>
              <w:t>15.8</w:t>
            </w:r>
            <w:r w:rsidR="00702478" w:rsidRPr="00BB4455">
              <w:rPr>
                <w:rFonts w:ascii="Arial" w:hAnsi="Arial" w:cs="Arial"/>
                <w:color w:val="000000" w:themeColor="text1"/>
                <w:sz w:val="20"/>
                <w:szCs w:val="20"/>
                <w:highlight w:val="green"/>
                <w:lang w:val="en-US"/>
              </w:rPr>
              <w:t>0</w:t>
            </w:r>
            <w:r w:rsidR="004D54F6" w:rsidRPr="00BB4455">
              <w:rPr>
                <w:rFonts w:ascii="Arial" w:hAnsi="Arial" w:cs="Arial"/>
                <w:color w:val="000000" w:themeColor="text1"/>
                <w:sz w:val="20"/>
                <w:szCs w:val="20"/>
                <w:highlight w:val="green"/>
                <w:lang w:val="en-US"/>
              </w:rPr>
              <w:t xml:space="preserve"> </w:t>
            </w:r>
            <w:r w:rsidR="00586F91" w:rsidRPr="00BB4455">
              <w:rPr>
                <w:rFonts w:ascii="Arial" w:hAnsi="Arial" w:cs="Arial"/>
                <w:color w:val="000000"/>
                <w:sz w:val="20"/>
                <w:szCs w:val="20"/>
                <w:highlight w:val="green"/>
                <w:lang w:val="en-US"/>
              </w:rPr>
              <w:t xml:space="preserve">± 0.02 </w:t>
            </w:r>
            <w:r w:rsidR="004D54F6" w:rsidRPr="00BB4455">
              <w:rPr>
                <w:rFonts w:ascii="Arial" w:hAnsi="Arial" w:cs="Arial"/>
                <w:color w:val="000000" w:themeColor="text1"/>
                <w:sz w:val="20"/>
                <w:szCs w:val="20"/>
                <w:highlight w:val="green"/>
                <w:lang w:val="en-US"/>
              </w:rPr>
              <w:t>and 6.0</w:t>
            </w:r>
            <w:r w:rsidR="00702478" w:rsidRPr="00BB4455">
              <w:rPr>
                <w:rFonts w:ascii="Arial" w:hAnsi="Arial" w:cs="Arial"/>
                <w:color w:val="000000" w:themeColor="text1"/>
                <w:sz w:val="20"/>
                <w:szCs w:val="20"/>
                <w:highlight w:val="green"/>
                <w:lang w:val="en-US"/>
              </w:rPr>
              <w:t>1</w:t>
            </w:r>
            <w:r w:rsidR="004D54F6" w:rsidRPr="00BB4455">
              <w:rPr>
                <w:rFonts w:ascii="Arial" w:hAnsi="Arial" w:cs="Arial"/>
                <w:color w:val="000000" w:themeColor="text1"/>
                <w:sz w:val="20"/>
                <w:szCs w:val="20"/>
                <w:highlight w:val="green"/>
                <w:lang w:val="en-US"/>
              </w:rPr>
              <w:t xml:space="preserve"> </w:t>
            </w:r>
            <w:r w:rsidR="00586F91" w:rsidRPr="00BB4455">
              <w:rPr>
                <w:rFonts w:ascii="Arial" w:hAnsi="Arial" w:cs="Arial"/>
                <w:color w:val="000000"/>
                <w:sz w:val="20"/>
                <w:szCs w:val="20"/>
                <w:highlight w:val="green"/>
                <w:lang w:val="en-US"/>
              </w:rPr>
              <w:t>± 0.01 0.72</w:t>
            </w:r>
            <w:r w:rsidR="0036491F" w:rsidRPr="00BB4455">
              <w:rPr>
                <w:rFonts w:ascii="Arial" w:hAnsi="Arial" w:cs="Arial"/>
                <w:color w:val="000000" w:themeColor="text1"/>
                <w:sz w:val="20"/>
                <w:szCs w:val="20"/>
                <w:highlight w:val="green"/>
                <w:lang w:val="en-US"/>
              </w:rPr>
              <w:t>m</w:t>
            </w:r>
            <w:r w:rsidR="004D54F6" w:rsidRPr="00BB4455">
              <w:rPr>
                <w:rFonts w:ascii="Arial" w:hAnsi="Arial" w:cs="Arial"/>
                <w:color w:val="000000" w:themeColor="text1"/>
                <w:sz w:val="20"/>
                <w:szCs w:val="20"/>
                <w:highlight w:val="green"/>
                <w:lang w:val="en-US"/>
              </w:rPr>
              <w:t>g/kg (II) for Zn. Cadmium contents are 2.</w:t>
            </w:r>
            <w:r w:rsidR="005D7FA8" w:rsidRPr="00BB4455">
              <w:rPr>
                <w:rFonts w:ascii="Arial" w:hAnsi="Arial" w:cs="Arial"/>
                <w:color w:val="000000" w:themeColor="text1"/>
                <w:sz w:val="20"/>
                <w:szCs w:val="20"/>
                <w:highlight w:val="green"/>
                <w:lang w:val="en-US"/>
              </w:rPr>
              <w:t>48</w:t>
            </w:r>
            <w:r w:rsidR="004D54F6" w:rsidRPr="00BB4455">
              <w:rPr>
                <w:rFonts w:ascii="Arial" w:hAnsi="Arial" w:cs="Arial"/>
                <w:color w:val="000000" w:themeColor="text1"/>
                <w:sz w:val="20"/>
                <w:szCs w:val="20"/>
                <w:highlight w:val="green"/>
                <w:lang w:val="en-US"/>
              </w:rPr>
              <w:t xml:space="preserve"> </w:t>
            </w:r>
            <w:r w:rsidR="00BB4455" w:rsidRPr="00BB4455">
              <w:rPr>
                <w:rFonts w:ascii="Arial" w:hAnsi="Arial" w:cs="Arial"/>
                <w:color w:val="000000"/>
                <w:sz w:val="20"/>
                <w:szCs w:val="20"/>
                <w:highlight w:val="green"/>
                <w:lang w:val="en-US"/>
              </w:rPr>
              <w:t>± 0.01</w:t>
            </w:r>
            <w:r w:rsidR="00BB4455" w:rsidRPr="00BB4455">
              <w:rPr>
                <w:rFonts w:ascii="Arial" w:hAnsi="Arial" w:cs="Arial"/>
                <w:color w:val="000000" w:themeColor="text1"/>
                <w:sz w:val="20"/>
                <w:szCs w:val="20"/>
                <w:highlight w:val="green"/>
                <w:lang w:val="en-US"/>
              </w:rPr>
              <w:t xml:space="preserve"> </w:t>
            </w:r>
            <w:r w:rsidR="004D54F6" w:rsidRPr="00BB4455">
              <w:rPr>
                <w:rFonts w:ascii="Arial" w:hAnsi="Arial" w:cs="Arial"/>
                <w:color w:val="000000" w:themeColor="text1"/>
                <w:sz w:val="20"/>
                <w:szCs w:val="20"/>
                <w:highlight w:val="green"/>
                <w:lang w:val="en-US"/>
              </w:rPr>
              <w:t>(I), 1.8</w:t>
            </w:r>
            <w:r w:rsidR="005D7FA8" w:rsidRPr="00BB4455">
              <w:rPr>
                <w:rFonts w:ascii="Arial" w:hAnsi="Arial" w:cs="Arial"/>
                <w:color w:val="000000" w:themeColor="text1"/>
                <w:sz w:val="20"/>
                <w:szCs w:val="20"/>
                <w:highlight w:val="green"/>
                <w:lang w:val="en-US"/>
              </w:rPr>
              <w:t>0</w:t>
            </w:r>
            <w:r w:rsidR="004D54F6" w:rsidRPr="00BB4455">
              <w:rPr>
                <w:rFonts w:ascii="Arial" w:hAnsi="Arial" w:cs="Arial"/>
                <w:color w:val="000000" w:themeColor="text1"/>
                <w:sz w:val="20"/>
                <w:szCs w:val="20"/>
                <w:highlight w:val="green"/>
                <w:lang w:val="en-US"/>
              </w:rPr>
              <w:t xml:space="preserve"> </w:t>
            </w:r>
            <w:r w:rsidR="00BB4455" w:rsidRPr="00BB4455">
              <w:rPr>
                <w:rFonts w:ascii="Arial" w:hAnsi="Arial" w:cs="Arial"/>
                <w:color w:val="000000"/>
                <w:sz w:val="20"/>
                <w:szCs w:val="20"/>
                <w:highlight w:val="green"/>
                <w:lang w:val="en-US"/>
              </w:rPr>
              <w:t>± 0.02</w:t>
            </w:r>
            <w:r w:rsidR="00BB4455" w:rsidRPr="00BB4455">
              <w:rPr>
                <w:rFonts w:ascii="Arial" w:hAnsi="Arial" w:cs="Arial"/>
                <w:color w:val="000000" w:themeColor="text1"/>
                <w:sz w:val="20"/>
                <w:szCs w:val="20"/>
                <w:highlight w:val="green"/>
                <w:lang w:val="en-US"/>
              </w:rPr>
              <w:t xml:space="preserve"> </w:t>
            </w:r>
            <w:r w:rsidR="004D54F6" w:rsidRPr="00BB4455">
              <w:rPr>
                <w:rFonts w:ascii="Arial" w:hAnsi="Arial" w:cs="Arial"/>
                <w:color w:val="000000" w:themeColor="text1"/>
                <w:sz w:val="20"/>
                <w:szCs w:val="20"/>
                <w:highlight w:val="green"/>
                <w:lang w:val="en-US"/>
              </w:rPr>
              <w:t>(II) and 1.9</w:t>
            </w:r>
            <w:r w:rsidR="0078329B" w:rsidRPr="00BB4455">
              <w:rPr>
                <w:rFonts w:ascii="Arial" w:hAnsi="Arial" w:cs="Arial"/>
                <w:color w:val="000000" w:themeColor="text1"/>
                <w:sz w:val="20"/>
                <w:szCs w:val="20"/>
                <w:highlight w:val="green"/>
                <w:lang w:val="en-US"/>
              </w:rPr>
              <w:t>0</w:t>
            </w:r>
            <w:r w:rsidR="004D54F6" w:rsidRPr="00BB4455">
              <w:rPr>
                <w:rFonts w:ascii="Arial" w:hAnsi="Arial" w:cs="Arial"/>
                <w:color w:val="000000" w:themeColor="text1"/>
                <w:sz w:val="20"/>
                <w:szCs w:val="20"/>
                <w:highlight w:val="green"/>
                <w:lang w:val="en-US"/>
              </w:rPr>
              <w:t xml:space="preserve"> </w:t>
            </w:r>
            <w:r w:rsidR="00BB4455" w:rsidRPr="00BB4455">
              <w:rPr>
                <w:rFonts w:ascii="Arial" w:hAnsi="Arial" w:cs="Arial"/>
                <w:color w:val="000000"/>
                <w:sz w:val="20"/>
                <w:szCs w:val="20"/>
                <w:highlight w:val="green"/>
                <w:lang w:val="en-US"/>
              </w:rPr>
              <w:t xml:space="preserve">± 0.01 </w:t>
            </w:r>
            <w:r w:rsidR="0036491F" w:rsidRPr="00BB4455">
              <w:rPr>
                <w:rFonts w:ascii="Arial" w:hAnsi="Arial" w:cs="Arial"/>
                <w:color w:val="000000" w:themeColor="text1"/>
                <w:sz w:val="20"/>
                <w:szCs w:val="20"/>
                <w:highlight w:val="green"/>
                <w:lang w:val="en-US"/>
              </w:rPr>
              <w:t>m</w:t>
            </w:r>
            <w:r w:rsidR="004D54F6" w:rsidRPr="00BB4455">
              <w:rPr>
                <w:rFonts w:ascii="Arial" w:hAnsi="Arial" w:cs="Arial"/>
                <w:color w:val="000000" w:themeColor="text1"/>
                <w:sz w:val="20"/>
                <w:szCs w:val="20"/>
                <w:highlight w:val="green"/>
                <w:lang w:val="en-US"/>
              </w:rPr>
              <w:t>g/kg (III).</w:t>
            </w:r>
            <w:r w:rsidR="004D54F6" w:rsidRPr="000620C4">
              <w:rPr>
                <w:rFonts w:ascii="Arial" w:hAnsi="Arial" w:cs="Arial"/>
                <w:color w:val="000000" w:themeColor="text1"/>
                <w:sz w:val="20"/>
                <w:szCs w:val="20"/>
                <w:lang w:val="en-US"/>
              </w:rPr>
              <w:t xml:space="preserve"> According to this study, sweet potato leaves have higher contents of all elements than peels and flesh. Na/K being less than 1</w:t>
            </w:r>
            <w:r w:rsidR="00921F13">
              <w:rPr>
                <w:rFonts w:ascii="Arial" w:hAnsi="Arial" w:cs="Arial"/>
                <w:color w:val="000000" w:themeColor="text1"/>
                <w:sz w:val="20"/>
                <w:szCs w:val="20"/>
                <w:lang w:val="en-US"/>
              </w:rPr>
              <w:t>,</w:t>
            </w:r>
            <w:r w:rsidR="004D54F6" w:rsidRPr="000620C4">
              <w:rPr>
                <w:rFonts w:ascii="Arial" w:hAnsi="Arial" w:cs="Arial"/>
                <w:color w:val="000000" w:themeColor="text1"/>
                <w:sz w:val="20"/>
                <w:szCs w:val="20"/>
                <w:lang w:val="en-US"/>
              </w:rPr>
              <w:t xml:space="preserve"> </w:t>
            </w:r>
            <w:r w:rsidR="00921F13" w:rsidRPr="000620C4">
              <w:rPr>
                <w:rFonts w:ascii="Arial" w:hAnsi="Arial" w:cs="Arial"/>
                <w:color w:val="000000" w:themeColor="text1"/>
                <w:sz w:val="20"/>
                <w:szCs w:val="20"/>
                <w:lang w:val="en-US"/>
              </w:rPr>
              <w:t xml:space="preserve">which is the recommended value </w:t>
            </w:r>
            <w:r w:rsidR="000020A6">
              <w:rPr>
                <w:rFonts w:ascii="Arial" w:hAnsi="Arial" w:cs="Arial"/>
                <w:color w:val="000000" w:themeColor="text1"/>
                <w:sz w:val="20"/>
                <w:szCs w:val="20"/>
                <w:lang w:val="en-US"/>
              </w:rPr>
              <w:t>in</w:t>
            </w:r>
            <w:r w:rsidR="004D54F6" w:rsidRPr="000620C4">
              <w:rPr>
                <w:rFonts w:ascii="Arial" w:hAnsi="Arial" w:cs="Arial"/>
                <w:color w:val="000000" w:themeColor="text1"/>
                <w:sz w:val="20"/>
                <w:szCs w:val="20"/>
                <w:lang w:val="en-US"/>
              </w:rPr>
              <w:t xml:space="preserve"> the three parts of the plant studied (0.129 (I), 0.084 (II) and 0.070 (III))</w:t>
            </w:r>
            <w:r w:rsidR="000020A6">
              <w:rPr>
                <w:rFonts w:ascii="Arial" w:hAnsi="Arial" w:cs="Arial"/>
                <w:color w:val="000000" w:themeColor="text1"/>
                <w:sz w:val="20"/>
                <w:szCs w:val="20"/>
                <w:lang w:val="en-US"/>
              </w:rPr>
              <w:t xml:space="preserve">. </w:t>
            </w:r>
            <w:proofErr w:type="gramStart"/>
            <w:r w:rsidR="000020A6">
              <w:rPr>
                <w:rFonts w:ascii="Arial" w:hAnsi="Arial" w:cs="Arial"/>
                <w:color w:val="000000" w:themeColor="text1"/>
                <w:sz w:val="20"/>
                <w:szCs w:val="20"/>
                <w:lang w:val="en-US"/>
              </w:rPr>
              <w:t>T</w:t>
            </w:r>
            <w:r w:rsidR="004D54F6" w:rsidRPr="000620C4">
              <w:rPr>
                <w:rFonts w:ascii="Arial" w:hAnsi="Arial" w:cs="Arial"/>
                <w:color w:val="000000" w:themeColor="text1"/>
                <w:sz w:val="20"/>
                <w:szCs w:val="20"/>
                <w:lang w:val="en-US"/>
              </w:rPr>
              <w:t>hus</w:t>
            </w:r>
            <w:proofErr w:type="gramEnd"/>
            <w:r w:rsidR="004D54F6" w:rsidRPr="000620C4">
              <w:rPr>
                <w:rFonts w:ascii="Arial" w:hAnsi="Arial" w:cs="Arial"/>
                <w:color w:val="000000" w:themeColor="text1"/>
                <w:sz w:val="20"/>
                <w:szCs w:val="20"/>
                <w:lang w:val="en-US"/>
              </w:rPr>
              <w:t xml:space="preserve"> the consumption of sweet potato and its leaves and peels could prevent high blood pressure. The Ca/Mg ratios for leaves</w:t>
            </w:r>
            <w:r w:rsidR="000479EA">
              <w:rPr>
                <w:rFonts w:ascii="Arial" w:hAnsi="Arial" w:cs="Arial"/>
                <w:color w:val="000000" w:themeColor="text1"/>
                <w:sz w:val="20"/>
                <w:szCs w:val="20"/>
                <w:lang w:val="en-US"/>
              </w:rPr>
              <w:t xml:space="preserve"> and peels</w:t>
            </w:r>
            <w:r w:rsidR="004D54F6" w:rsidRPr="000620C4">
              <w:rPr>
                <w:rFonts w:ascii="Arial" w:hAnsi="Arial" w:cs="Arial"/>
                <w:color w:val="000000" w:themeColor="text1"/>
                <w:sz w:val="20"/>
                <w:szCs w:val="20"/>
                <w:lang w:val="en-US"/>
              </w:rPr>
              <w:t>, which are 1.01 and 1.84, are within the recommended values ​</w:t>
            </w:r>
            <w:proofErr w:type="gramStart"/>
            <w:r w:rsidR="004D54F6" w:rsidRPr="000620C4">
              <w:rPr>
                <w:rFonts w:ascii="Arial" w:hAnsi="Arial" w:cs="Arial"/>
                <w:color w:val="000000" w:themeColor="text1"/>
                <w:sz w:val="20"/>
                <w:szCs w:val="20"/>
                <w:lang w:val="en-US"/>
              </w:rPr>
              <w:t>​(</w:t>
            </w:r>
            <w:proofErr w:type="gramEnd"/>
            <w:r w:rsidR="004D54F6" w:rsidRPr="000620C4">
              <w:rPr>
                <w:rFonts w:ascii="Arial" w:hAnsi="Arial" w:cs="Arial"/>
                <w:color w:val="000000" w:themeColor="text1"/>
                <w:sz w:val="20"/>
                <w:szCs w:val="20"/>
                <w:lang w:val="en-US"/>
              </w:rPr>
              <w:t>between 1 and 2) to be beneficial for consumers. For the flesh, the Ca/Mg ratio value is 2.25</w:t>
            </w:r>
            <w:r w:rsidR="00602C09">
              <w:rPr>
                <w:rFonts w:ascii="Arial" w:hAnsi="Arial" w:cs="Arial"/>
                <w:color w:val="000000" w:themeColor="text1"/>
                <w:sz w:val="20"/>
                <w:szCs w:val="20"/>
                <w:lang w:val="en-US"/>
              </w:rPr>
              <w:t xml:space="preserve"> </w:t>
            </w:r>
            <w:r w:rsidR="004D54F6" w:rsidRPr="000620C4">
              <w:rPr>
                <w:rFonts w:ascii="Arial" w:hAnsi="Arial" w:cs="Arial"/>
                <w:color w:val="000000" w:themeColor="text1"/>
                <w:sz w:val="20"/>
                <w:szCs w:val="20"/>
                <w:lang w:val="en-US"/>
              </w:rPr>
              <w:t>and is outside the recommended limits.</w:t>
            </w:r>
            <w:r w:rsidR="00045F8A">
              <w:rPr>
                <w:rFonts w:ascii="Arial" w:hAnsi="Arial" w:cs="Arial"/>
                <w:color w:val="000000" w:themeColor="text1"/>
                <w:sz w:val="20"/>
                <w:szCs w:val="20"/>
                <w:lang w:val="en-US"/>
              </w:rPr>
              <w:t xml:space="preserve"> </w:t>
            </w:r>
            <w:r w:rsidR="00045F8A" w:rsidRPr="00045F8A">
              <w:rPr>
                <w:rFonts w:ascii="Arial" w:hAnsi="Arial" w:cs="Arial"/>
                <w:color w:val="000000" w:themeColor="text1"/>
                <w:sz w:val="20"/>
                <w:szCs w:val="20"/>
                <w:highlight w:val="green"/>
                <w:lang w:val="en-US"/>
              </w:rPr>
              <w:t xml:space="preserve">For all heavy metals, </w:t>
            </w:r>
            <w:r w:rsidR="009C4F2C">
              <w:rPr>
                <w:rFonts w:ascii="Arial" w:hAnsi="Arial" w:cs="Arial"/>
                <w:color w:val="000000" w:themeColor="text1"/>
                <w:sz w:val="20"/>
                <w:szCs w:val="20"/>
                <w:highlight w:val="green"/>
                <w:lang w:val="en-US"/>
              </w:rPr>
              <w:t>the hazard quotient (</w:t>
            </w:r>
            <w:r w:rsidR="00045F8A" w:rsidRPr="00045F8A">
              <w:rPr>
                <w:rFonts w:ascii="Arial" w:hAnsi="Arial" w:cs="Arial"/>
                <w:color w:val="000000" w:themeColor="text1"/>
                <w:sz w:val="20"/>
                <w:szCs w:val="20"/>
                <w:highlight w:val="green"/>
                <w:lang w:val="en-US"/>
              </w:rPr>
              <w:t>THQ</w:t>
            </w:r>
            <w:r w:rsidR="009C4F2C">
              <w:rPr>
                <w:rFonts w:ascii="Arial" w:hAnsi="Arial" w:cs="Arial"/>
                <w:color w:val="000000" w:themeColor="text1"/>
                <w:sz w:val="20"/>
                <w:szCs w:val="20"/>
                <w:highlight w:val="green"/>
                <w:lang w:val="en-US"/>
              </w:rPr>
              <w:t>)</w:t>
            </w:r>
            <w:r w:rsidR="00045F8A" w:rsidRPr="00045F8A">
              <w:rPr>
                <w:rFonts w:ascii="Arial" w:hAnsi="Arial" w:cs="Arial"/>
                <w:color w:val="000000" w:themeColor="text1"/>
                <w:sz w:val="20"/>
                <w:szCs w:val="20"/>
                <w:highlight w:val="green"/>
                <w:lang w:val="en-US"/>
              </w:rPr>
              <w:t xml:space="preserve"> values ​​are less than 1</w:t>
            </w:r>
            <w:r w:rsidR="009C4F2C">
              <w:rPr>
                <w:rFonts w:ascii="Arial" w:hAnsi="Arial" w:cs="Arial"/>
                <w:color w:val="000000" w:themeColor="text1"/>
                <w:sz w:val="20"/>
                <w:szCs w:val="20"/>
                <w:highlight w:val="green"/>
                <w:lang w:val="en-US"/>
              </w:rPr>
              <w:t xml:space="preserve">, suggesting that there </w:t>
            </w:r>
            <w:r w:rsidR="002B418C">
              <w:rPr>
                <w:rFonts w:ascii="Arial" w:hAnsi="Arial" w:cs="Arial"/>
                <w:color w:val="000000" w:themeColor="text1"/>
                <w:sz w:val="20"/>
                <w:szCs w:val="20"/>
                <w:highlight w:val="green"/>
                <w:lang w:val="en-US"/>
              </w:rPr>
              <w:t xml:space="preserve">are no health </w:t>
            </w:r>
            <w:r w:rsidR="00DB1619">
              <w:rPr>
                <w:rFonts w:ascii="Arial" w:hAnsi="Arial" w:cs="Arial"/>
                <w:color w:val="000000" w:themeColor="text1"/>
                <w:sz w:val="20"/>
                <w:szCs w:val="20"/>
                <w:highlight w:val="green"/>
                <w:lang w:val="en-US"/>
              </w:rPr>
              <w:t>risks</w:t>
            </w:r>
            <w:r w:rsidR="002B418C">
              <w:rPr>
                <w:rFonts w:ascii="Arial" w:hAnsi="Arial" w:cs="Arial"/>
                <w:color w:val="000000" w:themeColor="text1"/>
                <w:sz w:val="20"/>
                <w:szCs w:val="20"/>
                <w:highlight w:val="green"/>
                <w:lang w:val="en-US"/>
              </w:rPr>
              <w:t xml:space="preserve"> associated to the consumption of </w:t>
            </w:r>
            <w:r w:rsidR="000C1FFA">
              <w:rPr>
                <w:rFonts w:ascii="Arial" w:hAnsi="Arial" w:cs="Arial"/>
                <w:color w:val="000000" w:themeColor="text1"/>
                <w:sz w:val="20"/>
                <w:szCs w:val="20"/>
                <w:highlight w:val="green"/>
                <w:lang w:val="en-US"/>
              </w:rPr>
              <w:t xml:space="preserve">leaves, peels or flesh of </w:t>
            </w:r>
            <w:r w:rsidR="002B418C">
              <w:rPr>
                <w:rFonts w:ascii="Arial" w:hAnsi="Arial" w:cs="Arial"/>
                <w:color w:val="000000" w:themeColor="text1"/>
                <w:sz w:val="20"/>
                <w:szCs w:val="20"/>
                <w:highlight w:val="green"/>
                <w:lang w:val="en-US"/>
              </w:rPr>
              <w:t>sweet potato</w:t>
            </w:r>
            <w:r w:rsidR="00045F8A" w:rsidRPr="00045F8A">
              <w:rPr>
                <w:rFonts w:ascii="Arial" w:hAnsi="Arial" w:cs="Arial"/>
                <w:color w:val="000000" w:themeColor="text1"/>
                <w:sz w:val="20"/>
                <w:szCs w:val="20"/>
                <w:highlight w:val="green"/>
                <w:lang w:val="en-US"/>
              </w:rPr>
              <w:t xml:space="preserve">. In addition, </w:t>
            </w:r>
            <w:r w:rsidR="000C1FFA">
              <w:rPr>
                <w:rFonts w:ascii="Arial" w:hAnsi="Arial" w:cs="Arial"/>
                <w:color w:val="000000" w:themeColor="text1"/>
                <w:sz w:val="20"/>
                <w:szCs w:val="20"/>
                <w:highlight w:val="green"/>
                <w:lang w:val="en-US"/>
              </w:rPr>
              <w:t>the health index (</w:t>
            </w:r>
            <w:r w:rsidR="00045F8A" w:rsidRPr="00045F8A">
              <w:rPr>
                <w:rFonts w:ascii="Arial" w:hAnsi="Arial" w:cs="Arial"/>
                <w:color w:val="000000" w:themeColor="text1"/>
                <w:sz w:val="20"/>
                <w:szCs w:val="20"/>
                <w:highlight w:val="green"/>
                <w:lang w:val="en-US"/>
              </w:rPr>
              <w:t>HI</w:t>
            </w:r>
            <w:r w:rsidR="000C1FFA">
              <w:rPr>
                <w:rFonts w:ascii="Arial" w:hAnsi="Arial" w:cs="Arial"/>
                <w:color w:val="000000" w:themeColor="text1"/>
                <w:sz w:val="20"/>
                <w:szCs w:val="20"/>
                <w:highlight w:val="green"/>
                <w:lang w:val="en-US"/>
              </w:rPr>
              <w:t>)</w:t>
            </w:r>
            <w:r w:rsidR="00045F8A" w:rsidRPr="00045F8A">
              <w:rPr>
                <w:rFonts w:ascii="Arial" w:hAnsi="Arial" w:cs="Arial"/>
                <w:color w:val="000000" w:themeColor="text1"/>
                <w:sz w:val="20"/>
                <w:szCs w:val="20"/>
                <w:highlight w:val="green"/>
                <w:lang w:val="en-US"/>
              </w:rPr>
              <w:t xml:space="preserve"> values ​​for all samples are less than 1</w:t>
            </w:r>
            <w:r w:rsidR="000C1FFA">
              <w:rPr>
                <w:rFonts w:ascii="Arial" w:hAnsi="Arial" w:cs="Arial"/>
                <w:color w:val="000000" w:themeColor="text1"/>
                <w:sz w:val="20"/>
                <w:szCs w:val="20"/>
                <w:highlight w:val="green"/>
                <w:lang w:val="en-US"/>
              </w:rPr>
              <w:t xml:space="preserve">, </w:t>
            </w:r>
            <w:r w:rsidR="00F51444">
              <w:rPr>
                <w:rFonts w:ascii="Arial" w:hAnsi="Arial" w:cs="Arial"/>
                <w:color w:val="000000" w:themeColor="text1"/>
                <w:sz w:val="20"/>
                <w:szCs w:val="20"/>
                <w:highlight w:val="green"/>
                <w:lang w:val="en-US"/>
              </w:rPr>
              <w:t>indicat</w:t>
            </w:r>
            <w:r w:rsidR="000C1FFA">
              <w:rPr>
                <w:rFonts w:ascii="Arial" w:hAnsi="Arial" w:cs="Arial"/>
                <w:color w:val="000000" w:themeColor="text1"/>
                <w:sz w:val="20"/>
                <w:szCs w:val="20"/>
                <w:highlight w:val="green"/>
                <w:lang w:val="en-US"/>
              </w:rPr>
              <w:t xml:space="preserve">ing that the combined </w:t>
            </w:r>
            <w:r w:rsidR="00A470FD">
              <w:rPr>
                <w:rFonts w:ascii="Arial" w:hAnsi="Arial" w:cs="Arial"/>
                <w:color w:val="000000" w:themeColor="text1"/>
                <w:sz w:val="20"/>
                <w:szCs w:val="20"/>
                <w:highlight w:val="green"/>
                <w:lang w:val="en-US"/>
              </w:rPr>
              <w:t>effects of the heavy metal contaminants pose no health risk in long terms for</w:t>
            </w:r>
            <w:r w:rsidR="00045F8A" w:rsidRPr="00045F8A">
              <w:rPr>
                <w:rFonts w:ascii="Arial" w:hAnsi="Arial" w:cs="Arial"/>
                <w:color w:val="000000" w:themeColor="text1"/>
                <w:sz w:val="20"/>
                <w:szCs w:val="20"/>
                <w:highlight w:val="green"/>
                <w:lang w:val="en-US"/>
              </w:rPr>
              <w:t xml:space="preserve"> consumers.</w:t>
            </w:r>
          </w:p>
        </w:tc>
      </w:tr>
    </w:tbl>
    <w:p w14:paraId="78DBA6A4" w14:textId="77777777" w:rsidR="00F321EE" w:rsidRPr="000620C4" w:rsidRDefault="00F321EE" w:rsidP="005A6A25">
      <w:pPr>
        <w:spacing w:line="240" w:lineRule="auto"/>
        <w:rPr>
          <w:rFonts w:ascii="Arial" w:hAnsi="Arial" w:cs="Arial"/>
          <w:b/>
          <w:bCs/>
          <w:sz w:val="22"/>
          <w:lang w:val="en-US"/>
        </w:rPr>
      </w:pPr>
    </w:p>
    <w:p w14:paraId="6902F24A" w14:textId="0C3E8AB0" w:rsidR="00E36238" w:rsidRPr="000620C4" w:rsidRDefault="00E36238" w:rsidP="005A6A25">
      <w:pPr>
        <w:spacing w:line="240" w:lineRule="auto"/>
        <w:rPr>
          <w:rFonts w:ascii="Arial" w:hAnsi="Arial" w:cs="Arial"/>
          <w:i/>
          <w:iCs/>
          <w:color w:val="000000" w:themeColor="text1"/>
          <w:sz w:val="20"/>
          <w:szCs w:val="20"/>
          <w:lang w:val="en-US"/>
        </w:rPr>
      </w:pPr>
      <w:r w:rsidRPr="000620C4">
        <w:rPr>
          <w:rFonts w:ascii="Arial" w:hAnsi="Arial" w:cs="Arial"/>
          <w:i/>
          <w:iCs/>
          <w:color w:val="000000" w:themeColor="text1"/>
          <w:sz w:val="20"/>
          <w:szCs w:val="20"/>
          <w:lang w:val="en-US"/>
        </w:rPr>
        <w:t xml:space="preserve">Keywords: Sweet potato, leaves, peel, </w:t>
      </w:r>
      <w:r w:rsidR="00420A29" w:rsidRPr="000620C4">
        <w:rPr>
          <w:rFonts w:ascii="Arial" w:hAnsi="Arial" w:cs="Arial"/>
          <w:i/>
          <w:iCs/>
          <w:color w:val="000000" w:themeColor="text1"/>
          <w:sz w:val="20"/>
          <w:szCs w:val="20"/>
          <w:lang w:val="en-US"/>
        </w:rPr>
        <w:t xml:space="preserve">heavy metal, atomic absorption spectroscopy, health </w:t>
      </w:r>
      <w:r w:rsidRPr="000620C4">
        <w:rPr>
          <w:rFonts w:ascii="Arial" w:hAnsi="Arial" w:cs="Arial"/>
          <w:i/>
          <w:iCs/>
          <w:color w:val="000000" w:themeColor="text1"/>
          <w:sz w:val="20"/>
          <w:szCs w:val="20"/>
          <w:lang w:val="en-US"/>
        </w:rPr>
        <w:t>risk</w:t>
      </w:r>
      <w:r w:rsidR="00420A29" w:rsidRPr="000620C4">
        <w:rPr>
          <w:rFonts w:ascii="Arial" w:hAnsi="Arial" w:cs="Arial"/>
          <w:i/>
          <w:iCs/>
          <w:color w:val="000000" w:themeColor="text1"/>
          <w:sz w:val="20"/>
          <w:szCs w:val="20"/>
          <w:lang w:val="en-US"/>
        </w:rPr>
        <w:t>.</w:t>
      </w:r>
      <w:r w:rsidRPr="000620C4">
        <w:rPr>
          <w:rFonts w:ascii="Arial" w:hAnsi="Arial" w:cs="Arial"/>
          <w:i/>
          <w:iCs/>
          <w:color w:val="000000" w:themeColor="text1"/>
          <w:sz w:val="20"/>
          <w:szCs w:val="20"/>
          <w:lang w:val="en-US"/>
        </w:rPr>
        <w:t xml:space="preserve"> </w:t>
      </w:r>
    </w:p>
    <w:p w14:paraId="1DC31EF1" w14:textId="77777777" w:rsidR="00420A29" w:rsidRPr="000620C4" w:rsidRDefault="00420A29" w:rsidP="005A6A25">
      <w:pPr>
        <w:spacing w:line="240" w:lineRule="auto"/>
        <w:rPr>
          <w:rFonts w:ascii="Arial" w:hAnsi="Arial" w:cs="Arial"/>
          <w:b/>
          <w:bCs/>
          <w:color w:val="000000" w:themeColor="text1"/>
          <w:sz w:val="20"/>
          <w:szCs w:val="20"/>
          <w:lang w:val="en-US"/>
        </w:rPr>
      </w:pPr>
    </w:p>
    <w:p w14:paraId="6D882F5D" w14:textId="1516EA61" w:rsidR="007120D2" w:rsidRPr="000620C4" w:rsidRDefault="00EA6A73" w:rsidP="00C948D8">
      <w:pPr>
        <w:pStyle w:val="Heading1"/>
      </w:pPr>
      <w:r w:rsidRPr="000620C4">
        <w:t xml:space="preserve">Introduction </w:t>
      </w:r>
    </w:p>
    <w:p w14:paraId="15EDE4F3" w14:textId="463EA12C" w:rsidR="00870E69" w:rsidRPr="000620C4" w:rsidRDefault="0066199C" w:rsidP="00F45EE0">
      <w:pPr>
        <w:spacing w:after="240" w:line="240" w:lineRule="auto"/>
        <w:rPr>
          <w:rFonts w:ascii="Arial" w:hAnsi="Arial" w:cs="Arial"/>
          <w:color w:val="000000" w:themeColor="text1"/>
          <w:sz w:val="20"/>
          <w:szCs w:val="20"/>
          <w:lang w:val="en-US"/>
        </w:rPr>
      </w:pPr>
      <w:r w:rsidRPr="000620C4">
        <w:rPr>
          <w:rFonts w:ascii="Arial" w:hAnsi="Arial" w:cs="Arial"/>
          <w:color w:val="000000" w:themeColor="text1"/>
          <w:sz w:val="20"/>
          <w:szCs w:val="20"/>
          <w:lang w:val="en-US"/>
        </w:rPr>
        <w:t>Sweet potato (</w:t>
      </w:r>
      <w:r w:rsidRPr="000620C4">
        <w:rPr>
          <w:rFonts w:ascii="Arial" w:hAnsi="Arial" w:cs="Arial"/>
          <w:i/>
          <w:iCs/>
          <w:color w:val="000000" w:themeColor="text1"/>
          <w:sz w:val="20"/>
          <w:szCs w:val="20"/>
          <w:lang w:val="en-US"/>
        </w:rPr>
        <w:t>Ipomoea batatas L.</w:t>
      </w:r>
      <w:r w:rsidRPr="000620C4">
        <w:rPr>
          <w:rFonts w:ascii="Arial" w:hAnsi="Arial" w:cs="Arial"/>
          <w:color w:val="000000" w:themeColor="text1"/>
          <w:sz w:val="20"/>
          <w:szCs w:val="20"/>
          <w:lang w:val="en-US"/>
        </w:rPr>
        <w:t xml:space="preserve">) is a vegetable belonging to the Convolvulaceae family, which is widely cultivated throughout the world and particularly in West Africa. The area sown worldwide is around 7.4 million hectares for an annual global production of 89.5 million </w:t>
      </w:r>
      <w:r w:rsidR="00923678" w:rsidRPr="000620C4">
        <w:rPr>
          <w:rFonts w:ascii="Arial" w:hAnsi="Arial" w:cs="Arial"/>
          <w:color w:val="000000" w:themeColor="text1"/>
          <w:sz w:val="20"/>
          <w:szCs w:val="20"/>
          <w:lang w:val="en-US"/>
        </w:rPr>
        <w:t>tons</w:t>
      </w:r>
      <w:r w:rsidRPr="000620C4">
        <w:rPr>
          <w:rFonts w:ascii="Arial" w:hAnsi="Arial" w:cs="Arial"/>
          <w:color w:val="000000" w:themeColor="text1"/>
          <w:sz w:val="20"/>
          <w:szCs w:val="20"/>
          <w:lang w:val="en-US"/>
        </w:rPr>
        <w:t xml:space="preserve"> in 2020 </w:t>
      </w:r>
      <w:r w:rsidR="00570699" w:rsidRPr="000620C4">
        <w:rPr>
          <w:rFonts w:ascii="Arial" w:hAnsi="Arial" w:cs="Arial"/>
          <w:color w:val="000000" w:themeColor="text1"/>
          <w:sz w:val="20"/>
          <w:szCs w:val="20"/>
          <w:lang w:val="en-US"/>
        </w:rPr>
        <w:fldChar w:fldCharType="begin"/>
      </w:r>
      <w:r w:rsidR="00F8493E" w:rsidRPr="000620C4">
        <w:rPr>
          <w:rFonts w:ascii="Arial" w:hAnsi="Arial" w:cs="Arial"/>
          <w:color w:val="000000" w:themeColor="text1"/>
          <w:sz w:val="20"/>
          <w:szCs w:val="20"/>
          <w:lang w:val="en-US"/>
        </w:rPr>
        <w:instrText xml:space="preserve"> ADDIN ZOTERO_ITEM CSL_CITATION {"citationID":"Fqai3FF4","properties":{"formattedCitation":"(FAO, 2020)","plainCitation":"(FAO, 2020)","noteIndex":0},"citationItems":[{"id":3409,"uris":["http://zotero.org/users/local/JzcqJHT8/items/BVEPJY2L"],"itemData":{"id":3409,"type":"document","title":"FAO, Crop Production Statistics, 2020. http://faostat.fao.org/ (Accessed June 20, 2025).","author":[{"family":"FAO","given":""}],"issued":{"date-parts":[["2020"]]}}}],"schema":"https://github.com/citation-style-language/schema/raw/master/csl-citation.json"} </w:instrText>
      </w:r>
      <w:r w:rsidR="00570699" w:rsidRPr="000620C4">
        <w:rPr>
          <w:rFonts w:ascii="Arial" w:hAnsi="Arial" w:cs="Arial"/>
          <w:color w:val="000000" w:themeColor="text1"/>
          <w:sz w:val="20"/>
          <w:szCs w:val="20"/>
          <w:lang w:val="en-US"/>
        </w:rPr>
        <w:fldChar w:fldCharType="separate"/>
      </w:r>
      <w:r w:rsidR="00F8493E" w:rsidRPr="000620C4">
        <w:rPr>
          <w:rFonts w:ascii="Arial" w:hAnsi="Arial" w:cs="Arial"/>
          <w:sz w:val="20"/>
          <w:szCs w:val="20"/>
          <w:lang w:val="en-US"/>
        </w:rPr>
        <w:t>(FAO, 2020)</w:t>
      </w:r>
      <w:r w:rsidR="00570699" w:rsidRPr="000620C4">
        <w:rPr>
          <w:rFonts w:ascii="Arial" w:hAnsi="Arial" w:cs="Arial"/>
          <w:color w:val="000000" w:themeColor="text1"/>
          <w:sz w:val="20"/>
          <w:szCs w:val="20"/>
          <w:lang w:val="en-US"/>
        </w:rPr>
        <w:fldChar w:fldCharType="end"/>
      </w:r>
      <w:r w:rsidR="00570699" w:rsidRPr="000620C4">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 xml:space="preserve"> In Senegal, production, which was 70,000 </w:t>
      </w:r>
      <w:r w:rsidR="00F8493E" w:rsidRPr="000620C4">
        <w:rPr>
          <w:rFonts w:ascii="Arial" w:hAnsi="Arial" w:cs="Arial"/>
          <w:color w:val="000000" w:themeColor="text1"/>
          <w:sz w:val="20"/>
          <w:szCs w:val="20"/>
          <w:lang w:val="en-US"/>
        </w:rPr>
        <w:t>tons</w:t>
      </w:r>
      <w:r w:rsidRPr="000620C4">
        <w:rPr>
          <w:rFonts w:ascii="Arial" w:hAnsi="Arial" w:cs="Arial"/>
          <w:color w:val="000000" w:themeColor="text1"/>
          <w:sz w:val="20"/>
          <w:szCs w:val="20"/>
          <w:lang w:val="en-US"/>
        </w:rPr>
        <w:t xml:space="preserve"> in 2016, has steadily increased to reach 110,600 </w:t>
      </w:r>
      <w:r w:rsidR="00706008" w:rsidRPr="000620C4">
        <w:rPr>
          <w:rFonts w:ascii="Arial" w:hAnsi="Arial" w:cs="Arial"/>
          <w:color w:val="000000" w:themeColor="text1"/>
          <w:sz w:val="20"/>
          <w:szCs w:val="20"/>
          <w:lang w:val="en-US"/>
        </w:rPr>
        <w:t>tons</w:t>
      </w:r>
      <w:r w:rsidRPr="000620C4">
        <w:rPr>
          <w:rFonts w:ascii="Arial" w:hAnsi="Arial" w:cs="Arial"/>
          <w:color w:val="000000" w:themeColor="text1"/>
          <w:sz w:val="20"/>
          <w:szCs w:val="20"/>
          <w:lang w:val="en-US"/>
        </w:rPr>
        <w:t xml:space="preserve"> in 2022 </w:t>
      </w:r>
      <w:r w:rsidR="00F52A09" w:rsidRPr="000620C4">
        <w:rPr>
          <w:rFonts w:ascii="Arial" w:hAnsi="Arial" w:cs="Arial"/>
          <w:color w:val="000000" w:themeColor="text1"/>
          <w:sz w:val="20"/>
          <w:szCs w:val="20"/>
          <w:lang w:val="en-US"/>
        </w:rPr>
        <w:fldChar w:fldCharType="begin"/>
      </w:r>
      <w:r w:rsidR="00046E8B" w:rsidRPr="000620C4">
        <w:rPr>
          <w:rFonts w:ascii="Arial" w:hAnsi="Arial" w:cs="Arial"/>
          <w:color w:val="000000" w:themeColor="text1"/>
          <w:sz w:val="20"/>
          <w:szCs w:val="20"/>
          <w:lang w:val="en-US"/>
        </w:rPr>
        <w:instrText xml:space="preserve"> ADDIN ZOTERO_ITEM CSL_CITATION {"citationID":"Le6yXSgq","properties":{"formattedCitation":"(ANSD, 2023)","plainCitation":"(ANSD, 2023)","noteIndex":0},"citationItems":[{"id":3410,"uris":["http://zotero.org/users/local/JzcqJHT8/items/F8T3LMIH"],"itemData":{"id":3410,"type":"document","title":"Bulletin Mensuel des Statistiques Economiques et Financières d'avril 2023. Agence Nationale de la Statistique et de la Démographie du Sénégal.","author":[{"family":"ANSD","given":""}],"issued":{"date-parts":[["2023"]]}}}],"schema":"https://github.com/citation-style-language/schema/raw/master/csl-citation.json"} </w:instrText>
      </w:r>
      <w:r w:rsidR="00F52A09" w:rsidRPr="000620C4">
        <w:rPr>
          <w:rFonts w:ascii="Arial" w:hAnsi="Arial" w:cs="Arial"/>
          <w:color w:val="000000" w:themeColor="text1"/>
          <w:sz w:val="20"/>
          <w:szCs w:val="20"/>
          <w:lang w:val="en-US"/>
        </w:rPr>
        <w:fldChar w:fldCharType="separate"/>
      </w:r>
      <w:r w:rsidR="00F52A09" w:rsidRPr="000620C4">
        <w:rPr>
          <w:rFonts w:ascii="Arial" w:hAnsi="Arial" w:cs="Arial"/>
          <w:color w:val="000000" w:themeColor="text1"/>
          <w:sz w:val="20"/>
          <w:szCs w:val="20"/>
          <w:lang w:val="en-US"/>
        </w:rPr>
        <w:t>(ANSD, 2023)</w:t>
      </w:r>
      <w:r w:rsidR="00F52A09"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It is a food plant widely used in community nutrition improvement programs due to its high caloric value of 123 calories/100 grams. The tuber contains carbohydrates, minerals and various vitamins important for good nutrition </w:t>
      </w:r>
      <w:r w:rsidR="00AC6C27" w:rsidRPr="000620C4">
        <w:rPr>
          <w:rFonts w:ascii="Arial" w:hAnsi="Arial" w:cs="Arial"/>
          <w:color w:val="000000" w:themeColor="text1"/>
          <w:sz w:val="20"/>
          <w:szCs w:val="20"/>
          <w:lang w:val="en-US"/>
        </w:rPr>
        <w:fldChar w:fldCharType="begin"/>
      </w:r>
      <w:r w:rsidR="00CB3937" w:rsidRPr="000620C4">
        <w:rPr>
          <w:rFonts w:ascii="Arial" w:hAnsi="Arial" w:cs="Arial"/>
          <w:color w:val="000000" w:themeColor="text1"/>
          <w:sz w:val="20"/>
          <w:szCs w:val="20"/>
          <w:lang w:val="en-US"/>
        </w:rPr>
        <w:instrText xml:space="preserve"> ADDIN ZOTERO_ITEM CSL_CITATION {"citationID":"sOgJ3sld","properties":{"formattedCitation":"(Guclu et al., 2023; Kp et al., 2012)","plainCitation":"(Guclu et al., 2023; Kp et al., 2012)","noteIndex":0},"citationItems":[{"id":3411,"uris":["http://zotero.org/users/local/JzcqJHT8/items/DGJ3FXUY"],"itemData":{"id":3411,"type":"article-journal","abstract":"In this study, three cooking methods (baking, boiling, sous vide (SV)) were applied to Turkish sweet potatoes with three flesh colors (white, orange, purple) to examine the effects of the product color and cooking methods on the total phenolics, antioxidant activity, sugars, phenolic acids, and anthocyanins. LC-MS-MS was employed in the characterization of these compounds. It was observed that the product color and cooking method significantly affected the concentrations of bioactive compounds like polyphenols. Both the highest total phenolic content (11.36 mg/g) and antioxidant activity (DPPH (50.3 μM TE/g) and ABTS (63.53 μM TE/g)) were determined in the purple sweet potato cooked with the SV method. 10 phenolic acids were quantified in all samples which were in the highest amounts in the orange colored samples followed by the purple samples. Baking resulted in the highest total phenolic acids in all samples. 13 anthocyanins were detected in the purple-colored samples, while the SV cooking best preserved the anthocyanins. In sum, purple sweet potatoes cooked by SV are recommended for higher phenolic contents, antioxidant capacity and anthocyanins.","container-title":"Heliyon","DOI":"https://doi.org/10.1016/j.heliyon.2023.e18684","ISSN":"2405-8440","issue":"8","page":"e18684","title":"Comparative elucidation on the phenolic fingerprint, sugars and antioxidant activity of white, orange and purple-fleshed sweet potatoes (Ipomoea batatas L.) as affected by different cooking methods","volume":"9","author":[{"family":"Guclu","given":"Gamze"},{"family":"Dagli","given":"Mumine Melike"},{"literal":"Ozge Aksay"},{"family":"Keskin","given":"Muharrem"},{"family":"Kelebek","given":"Hasim"},{"family":"Selli","given":"Serkan"}],"issued":{"date-parts":[["2023"]]}},"label":"page"},{"id":3412,"uris":["http://zotero.org/users/local/JzcqJHT8/items/FJCQYNC9"],"itemData":{"id":3412,"type":"article-journal","abstract":"Potentially valuable proteins can be extracted from sweet potato peel, a waste product of sweet potato processing.","container-title":"Journal of food science","DOI":"10.1111/j.1750-3841.2012.02921.x","ISSN":"1750-3841","issue":"11","language":"en","note":"publisher: J Food Sci\nPMID: 23163903","source":"pubmed.ncbi.nlm.nih.gov","title":"Chemical optimization of protein extraction from sweet potato (Ipomoea batatas) peel","URL":"https://pubmed.ncbi.nlm.nih.gov/23163903/","volume":"77","author":[{"family":"Kp","given":"Maloney"},{"family":"Vd","given":"Truong"},{"family":"Jc","given":"Allen"}],"accessed":{"date-parts":[["2025",6,16]]},"issued":{"date-parts":[["2012",11]]}},"label":"page"}],"schema":"https://github.com/citation-style-language/schema/raw/master/csl-citation.json"} </w:instrText>
      </w:r>
      <w:r w:rsidR="00AC6C27" w:rsidRPr="000620C4">
        <w:rPr>
          <w:rFonts w:ascii="Arial" w:hAnsi="Arial" w:cs="Arial"/>
          <w:color w:val="000000" w:themeColor="text1"/>
          <w:sz w:val="20"/>
          <w:szCs w:val="20"/>
          <w:lang w:val="en-US"/>
        </w:rPr>
        <w:fldChar w:fldCharType="separate"/>
      </w:r>
      <w:r w:rsidR="00CB3937" w:rsidRPr="000620C4">
        <w:rPr>
          <w:rFonts w:ascii="Arial" w:hAnsi="Arial" w:cs="Arial"/>
          <w:color w:val="000000" w:themeColor="text1"/>
          <w:sz w:val="20"/>
          <w:szCs w:val="20"/>
          <w:lang w:val="en-US"/>
        </w:rPr>
        <w:t>(Guclu et al., 2023; Kp et al., 2012)</w:t>
      </w:r>
      <w:r w:rsidR="00AC6C27"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Sweet potato leaves are used in several culinary specialties and are consumed in large quantities in Africa </w:t>
      </w:r>
      <w:r w:rsidR="00637CDB" w:rsidRPr="000620C4">
        <w:rPr>
          <w:rFonts w:ascii="Arial" w:hAnsi="Arial" w:cs="Arial"/>
          <w:color w:val="000000" w:themeColor="text1"/>
          <w:sz w:val="20"/>
          <w:szCs w:val="20"/>
          <w:lang w:val="en-US"/>
        </w:rPr>
        <w:fldChar w:fldCharType="begin"/>
      </w:r>
      <w:r w:rsidR="0092587D" w:rsidRPr="000620C4">
        <w:rPr>
          <w:rFonts w:ascii="Arial" w:hAnsi="Arial" w:cs="Arial"/>
          <w:color w:val="000000" w:themeColor="text1"/>
          <w:sz w:val="20"/>
          <w:szCs w:val="20"/>
          <w:lang w:val="en-US"/>
        </w:rPr>
        <w:instrText xml:space="preserve"> ADDIN ZOTERO_ITEM CSL_CITATION {"citationID":"hWPx2itM","properties":{"formattedCitation":"(Ayeleso et al., 2024; S. Laurie et al., 2015; Ngcobo et al., 2024)","plainCitation":"(Ayeleso et al., 2024; S. Laurie et al., 2015; Ngcobo et al., 2024)","noteIndex":0},"citationItems":[{"id":3418,"uris":["http://zotero.org/users/local/JzcqJHT8/items/E8P5LG3Y"],"itemData":{"id":3418,"type":"article-journal","abstract":"Sweet potato is one of the most important crops being promoted for food security and nutrition in South Africa. This study investigated the nutritional and chemical compositions of four white-fleshed (Blesbok, Ndou, Monate, and Mvuvhelo) and three orange-fleshed (Bophelo, Impilo, and 199062.1) cultivars. The protein, ash, and crude fibre contents were analysed using standard AOAC procedures. The detection of fatty acids, sugar, and metabolites was carried out using Gas Chromatography–Mass Spectrometry (GC-MS). Carbohydrate and energy values were determined using standard methods. The results showed that Bophelo had the highest protein content (12.00%), with Blesbok having the lowest protein content (4.56%). The study also revealed that Impilo had the highest fibre (7.11%) and total sugar (22.21 %) contents. The highest ash content was found in 199062.1 (5.81 %) and the lowest was observed in Monate (4.50 %). Bophelo had the highest total fat content (0.650 %), with saturated, mono-saturated, and poly-saturated fats of 0.270 %, 0.050 %, and 0.270 %, respectively, while the lowest fat content was observed in Impilo (0.380 %), with saturated, mono-saturated, and poly-saturated fats of 0.225 %, 0.020 % and 0.135 %, respectively. The highest total carbohydrate content was found in Blesbok (76.72 %). Different fatty acids, including palmitic acid (C16), stearic acid (C18), arachidic acid (C20), oleic acid (C18:1), and linoleic acid (C18:2) were also found in the sweet potato cultivars. This study demonstrated significant variations in the chemical composition of the cultivars, providing valuable insights for informed dietary decisions on consumption.","container-title":"Tropical Journal of Natural Product Research","ISSN":"2616-0692","issue":"2","journalAbbreviation":"Trop J Nat Prod Res","language":"en","license":"Copyright (c) 2024 Tropical Journal of Natural Product Research","note":"number: 2","page":"6100-6107","source":"www.ajol.info","title":"Nutritional and chemical constituents of different cultivars of sweet potato (Ipomoea batatas L.) grown in South Africa","volume":"8","author":[{"family":"Ayeleso","given":"Taiwo B."},{"family":"Ayeni","given":"Peluola O."},{"family":"Ayeleso","given":"Ademola O."},{"family":"Ramachela","given":"Khosi"},{"family":"Mukwevho","given":"Emmanuel"}],"issued":{"date-parts":[["2024",6,21]]}},"label":"page"},{"id":3416,"uris":["http://zotero.org/users/local/JzcqJHT8/items/PXTMCYE8"],"itemData":{"id":3416,"type":"article-journal","abstract":"South Africa has a diverse population, with some pockets of society being in a first world setup and other pockets in a third world impoverished setup. Food provision in impoverished societies is particularly crucial. Sweet potato (Ipomoea batatas (L.) Lam.) is a hardy crop and prominent in ensuring household food security; through its rich supply of energy, high yield potential and market value. In addition, orange-fleshed cultivars in particular are prominent in combating vitamin A deficiency due to high content of naturally bio-available β-carotene. This paper reviews interventions with regard to biofortification of sweet potato in South Africa towards addressing food and nutrition security. The focus was on the development of biofortified (high β-carotene content) cultivars and screening procedures for desired varietal traits; assessment of β-carotene, anti-oxidant and mineral content and the processing potential of orange-fleshed cultivars. Efficacy of orange fleshed sweet potato to improve vitamin A status was shown and positive effects of household production of orange-fleshed sweet potato, in conjunction with other β-carotene rich vegetables, on dietary intake, vitamin A status and food security were recorded. Dissemination efforts were initially focused on home gardens, which gradually expanded to subsistence production and enterprises. During 2014/15, over 1 million cuttings were disseminated and 5 to 40 small-scale commercial farmers in six provinces planted 0.25 to 1ha of orange-fleshed sweet potato as means for income generation. In order to exploit the nutritional benefits of sweet potato and its potential to reduce vitamin A malnutrition and food insecurity, it is recommended that policy makers set directives to incorporate orange-fleshed sweet potato in government programs related to health, rural development, social development and agricultural production. There is a great need for investment in promotion of orange-fleshed sweet potato, particularly to consumers and retailers. Private–public partnerships and investment by private companies will be crucial for upscaling the impact of orange-fleshed sweet potato on food and nutrition security.","container-title":"Food Research International","DOI":"https://doi.org/10.1016/j.foodres.2015.06.001","ISSN":"0963-9969","page":"962-970","title":"Biofortification of sweet potato for food and nutrition security in South Africa","volume":"76","author":[{"family":"Laurie","given":"Sunette"},{"family":"Faber","given":"Mieke"},{"family":"Adebola","given":"Patrick"},{"family":"Belete","given":"Abenet"}],"issued":{"date-parts":[["2015"]]}},"label":"page"},{"id":3420,"uris":["http://zotero.org/users/local/JzcqJHT8/items/PRMMMJ3U"],"itemData":{"id":3420,"type":"article-journal","abstract":"Purple sweet potatoes (Ipomoea batatas (L.) genotype) in Southern Africa have a phytonutritional composition and antioxidant properties that can increase incomes and improve nutrition. This study compared the phytonutrient composition and antioxidant properties of four purple-colour sweet potato genotypes (local Purple-purple, ‘2019-1-1’, and USA genotypes, ‘08-21P’ and ‘16-283P’). These purple sweet potato genotypes were characterised by UPLC/QTOF/MS and 16 phenolic compounds were identified. Purple-purple (very dark purple) showed the highest concentration of cyanidins and peonidin derivatives. Chlorogenic acid derivatives were highest in the genotype ‘16-283P’. ‘Puple-purple’ and ‘16-283P’ displayed the strongest antioxidant power and scavenging activities. Diaffeoylquinic acid isomer 1 was identified as the marker candidate for distinguishing the four purple sweet potato genotypes. Southern Africa’s highest-protein sweet potato genotypes are Purple-purple (28.81 g/100 g) and ‘08-21 P’ (24.31 g/100 g). A 13.65 g portion of ‘2019-1-1′ would meet the Recommended Dietary Allowance (RDA) for iron for men, while 25.59 g would meet the RDA for children, and 30.72 g would meet the RDA for women. The sweet potato root of genotype ‘2019-1-1′ provides 31.43 g of Zn per day for children and 22.86 g for adults. The roots of local cultivar Purple-purple can be used as functional food ingredients.","container-title":"Antioxidants","DOI":"10.3390/antiox13030338","ISSN":"2076-3921","issue":"3","title":"Phytonutritional Composition and Antioxidant Properties of Southern African, Purple-Fleshed Sweet Potato (Ipomoea batatas (L.) Lam.) Storage Roots","URL":"https://www.mdpi.com/2076-3921/13/3/338","volume":"13","author":[{"family":"Ngcobo","given":"Ayanda"},{"family":"Mianda","given":"Sephora Mutombo"},{"family":"Seke","given":"Faith"},{"family":"Sunette","given":"Laurie M."},{"family":"Sivakumar","given":"Dharini"}],"issued":{"date-parts":[["2024"]]}},"label":"page"}],"schema":"https://github.com/citation-style-language/schema/raw/master/csl-citation.json"} </w:instrText>
      </w:r>
      <w:r w:rsidR="00637CDB" w:rsidRPr="000620C4">
        <w:rPr>
          <w:rFonts w:ascii="Arial" w:hAnsi="Arial" w:cs="Arial"/>
          <w:color w:val="000000" w:themeColor="text1"/>
          <w:sz w:val="20"/>
          <w:szCs w:val="20"/>
          <w:lang w:val="en-US"/>
        </w:rPr>
        <w:fldChar w:fldCharType="separate"/>
      </w:r>
      <w:r w:rsidR="0092587D" w:rsidRPr="000620C4">
        <w:rPr>
          <w:rFonts w:ascii="Arial" w:hAnsi="Arial" w:cs="Arial"/>
          <w:sz w:val="20"/>
          <w:szCs w:val="20"/>
          <w:lang w:val="en-US"/>
        </w:rPr>
        <w:t>(Ayeleso et al., 2024; Laurie et al., 2015; Ngcobo et al., 2024)</w:t>
      </w:r>
      <w:r w:rsidR="00637CDB"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particularly in Tanzania and Malawi, which are among the largest producers in the world </w:t>
      </w:r>
      <w:r w:rsidR="00612A7E" w:rsidRPr="000620C4">
        <w:rPr>
          <w:rFonts w:ascii="Arial" w:hAnsi="Arial" w:cs="Arial"/>
          <w:color w:val="000000" w:themeColor="text1"/>
          <w:sz w:val="20"/>
          <w:szCs w:val="20"/>
          <w:lang w:val="en-US"/>
        </w:rPr>
        <w:fldChar w:fldCharType="begin"/>
      </w:r>
      <w:r w:rsidR="00612A7E" w:rsidRPr="000620C4">
        <w:rPr>
          <w:rFonts w:ascii="Arial" w:hAnsi="Arial" w:cs="Arial"/>
          <w:color w:val="000000" w:themeColor="text1"/>
          <w:sz w:val="20"/>
          <w:szCs w:val="20"/>
          <w:lang w:val="en-US"/>
        </w:rPr>
        <w:instrText xml:space="preserve"> ADDIN ZOTERO_ITEM CSL_CITATION {"citationID":"Kti1J6dj","properties":{"formattedCitation":"(Adam et al., 2015; Chambukira et al., 2025; Feukeng et al., 2024; Malley et al., 2025)","plainCitation":"(Adam et al., 2015; Chambukira et al., 2025; Feukeng et al., 2024; Malley et al., 2025)","noteIndex":0},"citationItems":[{"id":3423,"uris":["http://zotero.org/users/local/JzcqJHT8/items/32F4HDK6"],"itemData":{"id":3423,"type":"article-journal","abstract":"The purpose of this study was to assess farmers' knowledge, perception and management of sweet potato (SP) diseases, and to determine factors associated with farmers' satisfaction with sweet potato planting material in Mwanza and Mara sites within the Lake Victoria Zone region of Tanzania. We used multiple methods and data sources, principally a survey of 621 households spread across nine districts, and in-depth interviews with farmers in three villages located in three different districts. Our study revealed four main findings. Firstly, we found that although farmers were able to identify unhealthy SP plants, they were unable to tell the specific type of disease affecting the plants both from direct and photographic observations. Secondly, there exists considerable heterogeneity in the way farmers manage unhealthy plants in the field; some farmers were observed to follow management methods prescribed by plant pathologists, while others used traditional methods of managing a diseased plant. Thirdly, the following three factors were found to be the determinants of farmers' knowledge and management of SP diseases and plant root damage: (i) farmers' training in SP production and management; (ii) the number of plots which the woman of the household has control over; and (iii) household membership to a crop production association. Lastly, the location of farms is a strong determinant of farmers' satisfaction with SP vines; residing in areas in which sweet potato vines are widely available and in a village that is accessible by a primary road or tarmac road increases a farmer's satisfaction with sweet potato vines that are available in the farmers' farm during planting time.","container-title":"Crop Protection","DOI":"https://doi.org/10.1016/j.cropro.2015.02.010","ISSN":"0261-2194","page":"97-107","title":"Farmers' knowledge, perceptions and management of diseases affecting sweet potatoes in the Lake Victoria Zone region, Tanzania","volume":"72","author":[{"family":"Adam","given":"Rahma Isaack"},{"family":"Sindi","given":"Kirimi"},{"family":"Badstue","given":"Lone"}],"issued":{"date-parts":[["2015"]]}},"label":"page"},{"id":3424,"uris":["http://zotero.org/users/local/JzcqJHT8/items/FLIC8DFB"],"itemData":{"id":3424,"type":"article-journal","abstract":"Biofortified crops have been identified as a vital remedy for hunger and micronutrient deficiencies among rural agro-based populations in developing countries. Nevertheless, the adoption of these crops remains limited due to farmers’ lack of knowledge about their benefits. In Malawi, biofortified Orange-Fleshed Sweet Potato (BOFSP) is a prominent example. The study therefore surveyed 711 agricultural households and utilized a Conditional Mixed Process estimator to determine whether the Farmer-to-Farmer Extension (F2FE) approach could increase awareness and the uptake of BOFSP. Additionally, the study employed the Endogenous Switching Regression model to determine the impact of BOFSP adoption on farm yields. The study found that the F2FE approach was effective in raising awareness of BOFSP, and adoption was influenced by factors such as land size, access to clean planting vines, soil fertility, age of the household head, frequency of contact with government extension workers, access to agricultural information through mobile phones, group membership, awareness of the benefits of BOFSP, and farmers' perception of its nutritional benefits and improved yields. The findings also revealed an improvement in farmers' yields through the adoption of BOFSP cultivars. Therefore, stakeholders should collaborate in delivering agricultural extension services to promote the uptake of BOFSP, and farmers should be encouraged to adopt BOFSP to benefit from its positive impact on productivity.","container-title":"World Development Sustainability","DOI":"https://doi.org/10.1016/j.wds.2025.100202","ISSN":"2772-655X","page":"100202","title":"Does the adoption of pro-nutritional technologies spur farmers’ yields? Evidence from biofortified Orange-Fleshed Sweet Potato crop in rural Malawi","volume":"6","author":[{"family":"Chambukira","given":"Madalitso"},{"family":"Edriss","given":"Abdi Khalil"},{"family":"Pangapanga-Phiri","given":"Innocent"},{"family":"Kaphaika","given":"Chrispin"}],"issued":{"date-parts":[["2025"]]}},"label":"page"},{"id":3425,"uris":["http://zotero.org/users/local/JzcqJHT8/items/EKV9X7SW"],"itemData":{"id":3425,"type":"article-journal","abstract":"It is crucial to comprehend the effects of adopting improved potato varieties on farmers' welfare in Sub-Saharan Africa, especially given the growing demand for food arising from rapid urbanization. This study examines the adoption of improved potato varieties in Malawi and its effects on farmer outcomes, overall welfare and poverty. Data from a multistage sample of 277 smallholder potato growers were analyzed using the probit, endogenous switching regression and economic surplus models. Results showed that years of formal schooling, distance to closest input source, access to credit, number of adopters known by the farmer, confidence in the extension worker's skills and group membership positively affected the adoption of improved potato varieties. In contrast, the perceived soil fertility level negatively influenced the adoption of the improved varieties. Additionally, results revealed a significant relationship between adoption and yield and a significant negative relationship between adoption and cost of production. Similarly, adopting improved varieties leads to a total surplus between US 108 million to US 178.7 million. Furthermore, adopting improved varieties could lead to a poverty reduction of 1.61 %–2.7 %. The adoption of improved varieties also decreases poverty and boosts overall economic surplus. The study recommends enhanced availability of the improved potato varieties to the public through a decentralized seed production system, seed quality monitoring and traceability. Furthermore, strengthening extension workers' skills and farmer-to-farmer extension approaches, cooperatives, provision of microcredit, and the promotion of crop rotation and use of organic fertilizers can be implemented to facilitate potato varieties adoption and increase farmers' yield while reducing their production costs.","container-title":"Journal of Agriculture and Food Research","DOI":"https://doi.org/10.1016/j.jafr.2024.101389","ISSN":"2666-1543","page":"101389","title":"Determinants and effects of adopting improved potato varieties in Malawi","volume":"18","author":[{"family":"Feukeng","given":"Florette Tsuanyo"},{"family":"Otieno","given":"David Jakinda"},{"family":"Rajendran","given":"Srinivasul</w:instrText>
      </w:r>
      <w:r w:rsidR="00612A7E" w:rsidRPr="00CC2177">
        <w:rPr>
          <w:rFonts w:ascii="Arial" w:hAnsi="Arial" w:cs="Arial"/>
          <w:color w:val="000000" w:themeColor="text1"/>
          <w:sz w:val="20"/>
          <w:szCs w:val="20"/>
          <w:lang w:val="fr-CA"/>
        </w:rPr>
        <w:instrText xml:space="preserve">u"},{"family":"Kapalasa","given":"Eliya"},{"family":"Mwenye","given":"Obed"},{"family":"Demo","given":"Paul"},{"family":"Parker","given":"Monica L."}],"issued":{"date-parts":[["2024"]]}},"label":"page"},{"id":3421,"uris":["http://zotero.org/users/local/JzcqJHT8/items/Q494X8SC"],"itemData":{"id":3421,"type":"webpage","abstract":"Discover this 2025 paper in Current Research in Nutrition &amp; Food Science by MALLEY, ZUWENA ABBAS; SAULI, ELINGARAMI; and, MARTIN, HAIKAEL DAVID focusing on: TANZANIA; ANEMIA prevention; FOOD consumption; HEMOGLOBINS; QUESTIONNAIRES; INTERVIEWING; DESCRIPTIVE statistics; HYGIENE; VEGETABLES; RESEARCH methodology; NUTRITIONAL status; DATA analysis software; SOCIODEMOGRAPHIC factors; PREGNANCY","language":"fr","note":"ISSN: 2347-467X\nissue: 1\npage: 494\nvolume: 13\nDOI: 10.12944/CRNFSJ.13.1.34","title":"Consumption of Mixed Indigenous Vegetables: A Solution to Low Hemoglobin Levels among Pregnant Women in Babati, Tanzania. | EBSCOhost","title-short":"Consumption of Mixed Indigenous Vegetables","URL":"https://openurl.ebsco.com/contentitem/doi:10.12944%2FCRNFSJ.13.1.34?sid=ebsco:plink:crawler&amp;id=ebsco:doi:10.12944%2FCRNFSJ.13.1.34","author":[{"family":"Malley","given":"Zuwena Abbas"},{"family":"Sauli","given":"Elingarami"},{"family":"Martin","given":"Haikael David"}],"accessed":{"date-parts":[["2025",6,16]]},"issued":{"date-parts":[["2025",4,1]]}},"label":"page"}],"schema":"https://github.com/citation-style-language/schema/raw/master/csl-citation.json"} </w:instrText>
      </w:r>
      <w:r w:rsidR="00612A7E" w:rsidRPr="000620C4">
        <w:rPr>
          <w:rFonts w:ascii="Arial" w:hAnsi="Arial" w:cs="Arial"/>
          <w:color w:val="000000" w:themeColor="text1"/>
          <w:sz w:val="20"/>
          <w:szCs w:val="20"/>
          <w:lang w:val="en-US"/>
        </w:rPr>
        <w:fldChar w:fldCharType="separate"/>
      </w:r>
      <w:r w:rsidR="00612A7E" w:rsidRPr="00CC2177">
        <w:rPr>
          <w:rFonts w:ascii="Arial" w:hAnsi="Arial" w:cs="Arial"/>
          <w:color w:val="000000" w:themeColor="text1"/>
          <w:sz w:val="20"/>
          <w:szCs w:val="20"/>
          <w:lang w:val="fr-CA"/>
        </w:rPr>
        <w:t>(Adam et al., 2015; Chambukira et al., 2025; Feukeng et al., 2024; Malley et al., 2025)</w:t>
      </w:r>
      <w:r w:rsidR="00612A7E" w:rsidRPr="000620C4">
        <w:rPr>
          <w:rFonts w:ascii="Arial" w:hAnsi="Arial" w:cs="Arial"/>
          <w:color w:val="000000" w:themeColor="text1"/>
          <w:sz w:val="20"/>
          <w:szCs w:val="20"/>
          <w:lang w:val="en-US"/>
        </w:rPr>
        <w:fldChar w:fldCharType="end"/>
      </w:r>
      <w:r w:rsidRPr="00CC2177">
        <w:rPr>
          <w:rFonts w:ascii="Arial" w:hAnsi="Arial" w:cs="Arial"/>
          <w:color w:val="000000" w:themeColor="text1"/>
          <w:sz w:val="20"/>
          <w:szCs w:val="20"/>
          <w:lang w:val="fr-CA"/>
        </w:rPr>
        <w:t xml:space="preserve">. </w:t>
      </w:r>
      <w:r w:rsidRPr="000620C4">
        <w:rPr>
          <w:rFonts w:ascii="Arial" w:hAnsi="Arial" w:cs="Arial"/>
          <w:color w:val="000000" w:themeColor="text1"/>
          <w:sz w:val="20"/>
          <w:szCs w:val="20"/>
          <w:lang w:val="en-US"/>
        </w:rPr>
        <w:t xml:space="preserve">Sweet potato is ranked among the most beneficial agricultural products for human consumption </w:t>
      </w:r>
      <w:r w:rsidR="00183E17" w:rsidRPr="000620C4">
        <w:rPr>
          <w:rFonts w:ascii="Arial" w:hAnsi="Arial" w:cs="Arial"/>
          <w:color w:val="000000" w:themeColor="text1"/>
          <w:sz w:val="20"/>
          <w:szCs w:val="20"/>
          <w:lang w:val="en-US"/>
        </w:rPr>
        <w:fldChar w:fldCharType="begin"/>
      </w:r>
      <w:r w:rsidR="000C1DBB" w:rsidRPr="000620C4">
        <w:rPr>
          <w:rFonts w:ascii="Arial" w:hAnsi="Arial" w:cs="Arial"/>
          <w:color w:val="000000" w:themeColor="text1"/>
          <w:sz w:val="20"/>
          <w:szCs w:val="20"/>
          <w:lang w:val="en-US"/>
        </w:rPr>
        <w:instrText xml:space="preserve"> ADDIN ZOTERO_ITEM CSL_CITATION {"citationID":"NTxYG5mU","properties":{"formattedCitation":"(Amoanimaa-Dede et al., 2019; Przyby\\uc0\\u322{} et al., 2022)","plainCitation":"(Amoanimaa-Dede et al., 2019; Przybył et al., 2022)","noteIndex":0},"citationItems":[{"id":3426,"uris":["http://zotero.org/users/local/JzcqJHT8/items/BIBG8JEQ"],"itemData":{"id":3426,"type":"article-journal","abstract":"Sweet potato (Ipomoea batatas (L.) Lam.) has several phytochemicals including anthocyanin that provide many special health-promoting functions as well as other functional components. Sweet potato is thought to be a healthgiving food owing to the numerous diversities of natural products, especially antioxidants. Anthocyanins are natural hydro-soluble pigments which give the purple, blue and red colouration evident in fruits, leaves, flowers, and storage organs. Anthocyanins are beneficial to human health due to their potent antioxidative properties which protect against several chronic disorders, thus a valuable constituent in the human diet. The pathway for biosynthesis of anthocyanin has been clearly defined with its key regulatory genes identified and segregated in diverse species. Cyanidin or Peonidin 3-sophoroside-5-glucoside with associated acylated derivate are the two primary anthocyanins identified in purple-fleshed sweet potato. Anthocyanins in sweet potato are of great importance to plants, animals, humans and possess scientific benefits as well. This article provides a summary of current findings on the function, structure, and biosynthesis of anthocyanin in sweet potato.","container-title":"Journal of Plant Biochemistry &amp; Physiology","DOI":"10.35248/2329-9029.19.7.234","ISSN":"2329-9029","issue":"2","language":"en","note":"publisher: Longdom Publishing S.L","page":"1-9","source":"www.longdom.org","title":"Structure, Functions and Biosynthetic Pathway of Naturally Occurring Anthocyanin in Sweet Potato - A Review","volume":"7","author":[{"family":"Amoanimaa-Dede","given":"Hanna"},{"family":"Hongbo","given":"Zhu"},{"family":"Kyereko","given":"Winifred Tawiah"},{"family":"Yeboah","given":"Akwasi"},{"family":"Agyenim-Boateng","given":"Kwadwo Gyapong"},{"family":"Sakyi","given":"Michael Essien"},{"family":"Asiamah","given":"Collins Amponsah"}],"issued":{"date-parts":[["2019",5,15]]}},"label":"page"},{"id":3427,"uris":["http://zotero.org/users/local/JzcqJHT8/items/UBCIFUNX"],"itemData":{"id":3427,"type":"article-journal","abstract":"This paper discusses the use of various methods to distinguish between slices of sweet potato dried in different conditions. The drying conditions varied in terms of temperature, the values were: 60 °C, 70 °C, 80 °C, and 90 °C. Examination methods included instrumental texture analysis using a texturometer and digital texture analysis based on macroscopic images. Classification of acquired data involved the use of machine learning techniques using various types of artificial neural networks, such as convolutional neural networks (CNNs) and multi-layer perceptron (MLP). As a result, in the convective drying, changes in color darkening were found in products with the following temperature values: 60 °C (L = 83.41), 70 °C (L = 81.11), 80 °C (L = 79.02), and 90 °C (L = 75.53). The best-generated model achieved an overall classification efficiency of 77%. Sweet potato dried at 90 °C proved to be completely distinguishable from other classes, among which classification efficiency varied between 61–83% depending on the class. This means that image analysis using deep convolutional artificial neural networks is a valuable tool in the context of assessing the quality of convective-dried sweet potato slices.","container-title":"Applied Sciences","DOI":"10.3390/app12157840","ISSN":"2076-3417","issue":"15","title":"Machine and Deep Learning in the Evaluation of Selected Qualitative Characteristics of Sweet Potatoes Obtained under Different Convective Drying Conditions","URL":"https://www.mdpi.com/2076-3417/12/15/7840","volume":"12","author":[{"family":"Przybył","given":"Krzysztof"},{"family":"Adamski","given":"Franciszek"},{"family":"Wawrzyniak","given":"Jolanta"},{"family":"Gawrysiak-Witulska","given":"Marzena"},{"family":"Stangierski","given":"Jerzy"},{"family":"Kmiecik","given":"Dominik"}],"issued":{"date-parts":[["2022"]]}},"label":"page"}],"schema":"https://github.com/citation-style-language/schema/raw/master/csl-citation.json"} </w:instrText>
      </w:r>
      <w:r w:rsidR="00183E17" w:rsidRPr="000620C4">
        <w:rPr>
          <w:rFonts w:ascii="Arial" w:hAnsi="Arial" w:cs="Arial"/>
          <w:color w:val="000000" w:themeColor="text1"/>
          <w:sz w:val="20"/>
          <w:szCs w:val="20"/>
          <w:lang w:val="en-US"/>
        </w:rPr>
        <w:fldChar w:fldCharType="separate"/>
      </w:r>
      <w:r w:rsidR="000C1DBB" w:rsidRPr="000620C4">
        <w:rPr>
          <w:rFonts w:ascii="Arial" w:hAnsi="Arial" w:cs="Arial"/>
          <w:color w:val="000000" w:themeColor="text1"/>
          <w:kern w:val="0"/>
          <w:sz w:val="20"/>
          <w:szCs w:val="20"/>
          <w:lang w:val="en-US"/>
        </w:rPr>
        <w:t>(Amoanimaa-Dede et al., 2019; Przybył et al., 2022)</w:t>
      </w:r>
      <w:r w:rsidR="00183E17"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Both the consumption of its tubers and its leaves offer health benefits to consumers </w:t>
      </w:r>
      <w:r w:rsidR="002D1B13" w:rsidRPr="000620C4">
        <w:rPr>
          <w:rFonts w:ascii="Arial" w:hAnsi="Arial" w:cs="Arial"/>
          <w:color w:val="000000" w:themeColor="text1"/>
          <w:sz w:val="20"/>
          <w:szCs w:val="20"/>
          <w:lang w:val="en-US"/>
        </w:rPr>
        <w:fldChar w:fldCharType="begin"/>
      </w:r>
      <w:r w:rsidR="002D1B13" w:rsidRPr="000620C4">
        <w:rPr>
          <w:rFonts w:ascii="Arial" w:hAnsi="Arial" w:cs="Arial"/>
          <w:color w:val="000000" w:themeColor="text1"/>
          <w:sz w:val="20"/>
          <w:szCs w:val="20"/>
          <w:lang w:val="en-US"/>
        </w:rPr>
        <w:instrText xml:space="preserve"> ADDIN ZOTERO_ITEM CSL_CITATION {"citationID":"CHpqzzTj","properties":{"formattedCitation":"(Rivera-Espejel et al., 2019)","plainCitation":"(Rivera-Espejel et al., 2019)","noteIndex":0},"citationItems":[{"id":3428,"uris":["http://zotero.org/users/local/JzcqJHT8/items/938VDXG5"],"itemData":{"id":3428,"type":"article-journal","container-title":"Notulae Botanicae Horti Agrobotanici Cluj-Napoca","DOI":"10.15835/nbha47311552","ISSN":"1842-4309","issue":"3","journalAbbreviation":"Not Bot Horti Agrobo","language":"en","page":"813-820","source":"www.notulaebotanicae.ro","title":"Physicochemical Quality, Antioxidant Capacity and Nutritional Value in Tuberous Roots of Some Wild Dahlia Species","volume":"47","author":[{"family":"Rivera-Espejel","given":"Esteban A."},{"family":"Cruz-Alvarez","given":"Oscar"},{"family":"Mejía-Muñoz","given":"José M."},{"family":"García-Mateos","given":"María R."},{"family":"Colinas-León","given":"María T. B."},{"family":"Martínez-Damián","given":"María Teresa"}],"issued":{"date-parts":[["2019",5,31]]}}}],"schema":"https://github.com/citation-style-language/schema/raw/master/csl-citation.json"} </w:instrText>
      </w:r>
      <w:r w:rsidR="002D1B13" w:rsidRPr="000620C4">
        <w:rPr>
          <w:rFonts w:ascii="Arial" w:hAnsi="Arial" w:cs="Arial"/>
          <w:color w:val="000000" w:themeColor="text1"/>
          <w:sz w:val="20"/>
          <w:szCs w:val="20"/>
          <w:lang w:val="en-US"/>
        </w:rPr>
        <w:fldChar w:fldCharType="separate"/>
      </w:r>
      <w:r w:rsidR="002D1B13" w:rsidRPr="000620C4">
        <w:rPr>
          <w:rFonts w:ascii="Arial" w:hAnsi="Arial" w:cs="Arial"/>
          <w:color w:val="000000" w:themeColor="text1"/>
          <w:sz w:val="20"/>
          <w:szCs w:val="20"/>
          <w:lang w:val="en-US"/>
        </w:rPr>
        <w:t>(Rivera-Espejel et al., 2019)</w:t>
      </w:r>
      <w:r w:rsidR="002D1B13"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There are several varieties that produce tubers whose flesh can be white, yellow, red, purple or orange </w:t>
      </w:r>
      <w:r w:rsidR="00506AC9" w:rsidRPr="000620C4">
        <w:rPr>
          <w:rFonts w:ascii="Arial" w:hAnsi="Arial" w:cs="Arial"/>
          <w:color w:val="000000" w:themeColor="text1"/>
          <w:sz w:val="20"/>
          <w:szCs w:val="20"/>
          <w:lang w:val="en-US"/>
        </w:rPr>
        <w:fldChar w:fldCharType="begin"/>
      </w:r>
      <w:r w:rsidR="00C75B4C" w:rsidRPr="000620C4">
        <w:rPr>
          <w:rFonts w:ascii="Arial" w:hAnsi="Arial" w:cs="Arial"/>
          <w:color w:val="000000" w:themeColor="text1"/>
          <w:sz w:val="20"/>
          <w:szCs w:val="20"/>
          <w:lang w:val="en-US"/>
        </w:rPr>
        <w:instrText xml:space="preserve"> ADDIN ZOTERO_ITEM CSL_CITATION {"citationID":"eeXdFnmv","properties":{"formattedCitation":"(Ivane et al., 2024; Putri et al., 2024; X. Wang et al., 2024)","plainCitation":"(Ivane et al., 2024; Putri et al., 2024; X. Wang et al., 2024)","noteIndex":0},"citationItems":[{"id":3431,"uris":["http://zotero.org/users/local/JzcqJHT8/items/WQ3D4RJL"],"itemData":{"id":3431,"type":"article-journal","abstract":"Purple-fleshed sweet potato (PFSP) and yellow-fleshed sweet potato (YFSP) are crops highly valued for their nutritional benefits and rich bioactive compounds. These compounds include carotenoids, flavonoids (including anthocyanins), and phenolic acids etc. which are present in both the leaves and roots of these sweet potatoes. PFSP and YFSP offer numerous health benefits, such as antioxidant, anti-inflammatory, anti-cancer, and neuroprotective properties. The antioxidant activity of these sweet potatoes holds significant potential for various industries, including food, pharmaceutical, and cosmetics. However, a challenge in utilizing PFSP and YFSP is their susceptibility to rapid oxidation and color fading during processing and storage. To address this issue and enhance the nutritional value and shelf life of food products, researchers have explored preservation methods such as co-pigmentation and encapsulation. While YFSP has not been extensively studied, this review provides a comprehensive summary of the nutritional value, phytochemical composition, health benefits, stabilization techniques for phytochemical, and industrial applications of both PFSP and YFSP in the food industry. Additionally, the comparison between PFSP and YFSP highlights their similarities and differences, shedding light on their potential uses and benefits in various food products.","container-title":"Food Chemistry: X","DOI":"https://doi.org/10.1016/j.fochx.2024.101462","ISSN":"2590-1575","page":"101462","title":"Harnessing the health benefits of purple and yellow-fleshed sweet potatoes: Phytochemical composition, stabilization methods, and industrial utilization- A review","volume":"23","author":[{"family":"Ivane","given":"Ngouana Moffo A."},{"family":"Wang","given":"Wenxiu"},{"family":"Ma","given":"Qianyun"},{"family":"Wang","given":"Jie"},{"family":"Sun","given":"Jianfeng"}],"issued":{"date-parts":[["2024"]]}},"label":"page"},{"id":3432,"uris":["http://zotero.org/users/local/JzcqJHT8/items/AHWKVDB9"],"itemData":{"id":3432,"type":"article-journal","container-title":"FITOFARMAKA: JURNAL ILMIAH FARMASI","DOI":"10.33751/jf.v14i2.8","issue":"2","page":"77–86","title":"Formulation and Evaluation of Red Sweet Potato (Ipomoea batatas L.) Leaf Antidiabetic Capsules","volume":"14","author":[{"family":"Putri","given":"Lucienne Agatha Larasati Nugraha"},{"family":"Arisanti","given":"Cokorda Istri Sri"},{"family":"Dewi","given":"Ni Kadek Santi Maha"},{"family":"Wirasuta","given":"I Made Agus Gelgel"}],"issued":{"date-parts":[["2024",12]]}},"label":"page"},{"id":3430,"uris":["http://zotero.org/users/local/JzcqJHT8/items/EUWCIDJP"],"itemData":{"id":3430,"type":"article-journal","abstract":"We employed LC-MS/MS to investigate the metabolic profiles of polysaccharide compounds in white, orange, and purple sweet potato flesh. Comparisons between Orange vs White, Purple vs Orange, and Purple vs White identified 69 pol</w:instrText>
      </w:r>
      <w:r w:rsidR="00C75B4C" w:rsidRPr="009C4F2C">
        <w:rPr>
          <w:rFonts w:ascii="Arial" w:hAnsi="Arial" w:cs="Arial"/>
          <w:color w:val="000000" w:themeColor="text1"/>
          <w:sz w:val="20"/>
          <w:szCs w:val="20"/>
          <w:lang w:val="en-US"/>
        </w:rPr>
        <w:instrText>ysaccharide metabolites, including 23, 36, and 44 differential metabolites, respectively, with distinct differentiation. Among the three sample groups, 14 polysaccharide compounds and 2 anthocyanins exhibited significant differences. Our further analysis indicated that anthocyanins occupy a central position in the related network diagram and are interconnected with polysaccharides. In metabolic pathways, sucrose and the anthocyanin precursor UDP-glucose were upregulated in purple sweet potatoes, along with elevated levels of pelargonidin 3-O-</w:instrText>
      </w:r>
      <w:r w:rsidR="00C75B4C" w:rsidRPr="000620C4">
        <w:rPr>
          <w:rFonts w:ascii="Arial" w:hAnsi="Arial" w:cs="Arial"/>
          <w:color w:val="000000" w:themeColor="text1"/>
          <w:sz w:val="20"/>
          <w:szCs w:val="20"/>
          <w:lang w:val="en-US"/>
        </w:rPr>
        <w:instrText>β</w:instrText>
      </w:r>
      <w:r w:rsidR="00C75B4C" w:rsidRPr="009C4F2C">
        <w:rPr>
          <w:rFonts w:ascii="Arial" w:hAnsi="Arial" w:cs="Arial"/>
          <w:color w:val="000000" w:themeColor="text1"/>
          <w:sz w:val="20"/>
          <w:szCs w:val="20"/>
          <w:lang w:val="en-US"/>
        </w:rPr>
        <w:instrText xml:space="preserve">-D-sambubioside and delphinidin 3,5-diglucoside. Conversely, sucrose was downregulated in purple sweet potatoes while increasing in white and orange varieties. Therefore, we hypothesize that the competition between sugars and anthocyanins for shared biosynthesis precursors is attributed to differential polysaccharide metabolites among sweet potato tubers of three colors.","container-title":"Food Chemistry: X","DOI":"https://doi.org/10.1016/j.fochx.2024.101855","ISSN":"2590-1575","page":"101855","title":"Comparative study of polysaccharide metabolites in purple, orange, and white Ipomoea batatas tubers","volume":"24","author":[{"family":"Wang","given":"Xiuzhi"},{"family":"Wan","given":"Xiaolin"},{"family":"Wu","given":"Jiaqi"},{"family":"Cui","given":"Lingjun"},{"family":"Xiao","given":"Qiang"}],"issued":{"date-parts":[["2024"]]}},"label":"page"}],"schema":"https://github.com/citation-style-language/schema/raw/master/csl-citation.json"} </w:instrText>
      </w:r>
      <w:r w:rsidR="00506AC9" w:rsidRPr="000620C4">
        <w:rPr>
          <w:rFonts w:ascii="Arial" w:hAnsi="Arial" w:cs="Arial"/>
          <w:color w:val="000000" w:themeColor="text1"/>
          <w:sz w:val="20"/>
          <w:szCs w:val="20"/>
          <w:lang w:val="en-US"/>
        </w:rPr>
        <w:fldChar w:fldCharType="separate"/>
      </w:r>
      <w:r w:rsidR="00C75B4C" w:rsidRPr="009C4F2C">
        <w:rPr>
          <w:rFonts w:ascii="Arial" w:hAnsi="Arial" w:cs="Arial"/>
          <w:color w:val="000000" w:themeColor="text1"/>
          <w:sz w:val="20"/>
          <w:szCs w:val="20"/>
          <w:lang w:val="en-US"/>
        </w:rPr>
        <w:t>(Ivane et al., 2024; Putri et al., 2024; Wang et al., 2024)</w:t>
      </w:r>
      <w:r w:rsidR="00506AC9" w:rsidRPr="000620C4">
        <w:rPr>
          <w:rFonts w:ascii="Arial" w:hAnsi="Arial" w:cs="Arial"/>
          <w:color w:val="000000" w:themeColor="text1"/>
          <w:sz w:val="20"/>
          <w:szCs w:val="20"/>
          <w:lang w:val="en-US"/>
        </w:rPr>
        <w:fldChar w:fldCharType="end"/>
      </w:r>
      <w:r w:rsidRPr="009C4F2C">
        <w:rPr>
          <w:rFonts w:ascii="Arial" w:hAnsi="Arial" w:cs="Arial"/>
          <w:color w:val="000000" w:themeColor="text1"/>
          <w:sz w:val="20"/>
          <w:szCs w:val="20"/>
          <w:lang w:val="en-US"/>
        </w:rPr>
        <w:t xml:space="preserve">. </w:t>
      </w:r>
      <w:r w:rsidRPr="000620C4">
        <w:rPr>
          <w:rFonts w:ascii="Arial" w:hAnsi="Arial" w:cs="Arial"/>
          <w:color w:val="000000" w:themeColor="text1"/>
          <w:sz w:val="20"/>
          <w:szCs w:val="20"/>
          <w:lang w:val="en-US"/>
        </w:rPr>
        <w:t xml:space="preserve">The colorful flesh of the sweet potato, which contains high levels of carotene and anthocyanin, explains its use as an important food in human nutrition. Although the roots, </w:t>
      </w:r>
      <w:r w:rsidR="00BA7059">
        <w:rPr>
          <w:rFonts w:ascii="Arial" w:hAnsi="Arial" w:cs="Arial"/>
          <w:color w:val="000000" w:themeColor="text1"/>
          <w:sz w:val="20"/>
          <w:szCs w:val="20"/>
          <w:lang w:val="en-US"/>
        </w:rPr>
        <w:t>peel</w:t>
      </w:r>
      <w:r w:rsidRPr="000620C4">
        <w:rPr>
          <w:rFonts w:ascii="Arial" w:hAnsi="Arial" w:cs="Arial"/>
          <w:color w:val="000000" w:themeColor="text1"/>
          <w:sz w:val="20"/>
          <w:szCs w:val="20"/>
          <w:lang w:val="en-US"/>
        </w:rPr>
        <w:t xml:space="preserve">s, and leaves of sweet potatoes have different chemical compositions, they are edible due to their content of bioactive substances and nutrients </w:t>
      </w:r>
      <w:r w:rsidR="00506AC9" w:rsidRPr="000620C4">
        <w:rPr>
          <w:rFonts w:ascii="Arial" w:hAnsi="Arial" w:cs="Arial"/>
          <w:color w:val="000000" w:themeColor="text1"/>
          <w:sz w:val="20"/>
          <w:szCs w:val="20"/>
          <w:lang w:val="en-US"/>
        </w:rPr>
        <w:fldChar w:fldCharType="begin"/>
      </w:r>
      <w:r w:rsidR="00C75B4C" w:rsidRPr="000620C4">
        <w:rPr>
          <w:rFonts w:ascii="Arial" w:hAnsi="Arial" w:cs="Arial"/>
          <w:color w:val="000000" w:themeColor="text1"/>
          <w:sz w:val="20"/>
          <w:szCs w:val="20"/>
          <w:lang w:val="en-US"/>
        </w:rPr>
        <w:instrText xml:space="preserve"> ADDIN ZOTERO_ITEM CSL_CITATION {"citationID":"cASWqbLS","properties":{"formattedCitation":"(S. Wang et al., 2016)","plainCitation":"(S. Wang et al., 2016)","noteIndex":0},"citationItems":[{"id":3433,"uris":["http://zotero.org/users/local/JzcqJHT8/items/MJJMM2FJ"],"itemData":{"id":3433,"type":"article-journal","abstract":"Sweet potatoes are becoming a research focus in recent years due to their unique nutritional and functional properties. Bioactive carbohydrates, proteins, lipids, carotenoids, anthocyanins, conjugated phenolic acids, and minerals represent versatile nutrients in different parts (tubers, leaves, stems, and stalks) of sweet potato. The unique composition of sweet potato contributes to their various health benefits, such as antioxidative, hepatoprotective, antiinflammatory, antitumor, antidiabetic, antimicrobial, antiobesity, antiaging effects. Factors affecting the nutritional composition and bio-functions of sweet potato include the varieties, plant parts, extraction time and solvents, postharvest storage, and processing. The assays for bio-function evaluation also contribute to the variations among different studies. This review summarizes the current knowledge of the chemical composition of sweet potato, and their bio-functions studied in vitro and in vivo. Leaves, stems, and stalks of sweet potato remain much underutilized on commercial levels. Sweet potato can be further developed as a sustainable crop for diverse nutritionally enhanced and value-added food products to promote human health.","container-title":"Food Research International","DOI":"https://doi.org/10.1016/j.foodres.2016.08.032","ISSN":"0963-9969","page":"90-116","title":"Chemical constituents and health effects of sweet potato","volume":"89","author":[{"family":"Wang","given":"Sunan"},{"family":"Nie","given":"Shaoping"},{"family":"Zhu","given":"Fan"}],"issued":{"date-parts":[["2016"]]}}}],"schema":"https://github.com/citation-style-language/schema/raw/master/csl-citation.json"} </w:instrText>
      </w:r>
      <w:r w:rsidR="00506AC9" w:rsidRPr="000620C4">
        <w:rPr>
          <w:rFonts w:ascii="Arial" w:hAnsi="Arial" w:cs="Arial"/>
          <w:color w:val="000000" w:themeColor="text1"/>
          <w:sz w:val="20"/>
          <w:szCs w:val="20"/>
          <w:lang w:val="en-US"/>
        </w:rPr>
        <w:fldChar w:fldCharType="separate"/>
      </w:r>
      <w:r w:rsidR="00C75B4C" w:rsidRPr="000620C4">
        <w:rPr>
          <w:rFonts w:ascii="Arial" w:hAnsi="Arial" w:cs="Arial"/>
          <w:color w:val="000000" w:themeColor="text1"/>
          <w:sz w:val="20"/>
          <w:szCs w:val="20"/>
          <w:lang w:val="en-US"/>
        </w:rPr>
        <w:t>(Wang et al., 2016)</w:t>
      </w:r>
      <w:r w:rsidR="00506AC9"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Sweet potato production and consumption vary considerably depending on the region.</w:t>
      </w:r>
      <w:r w:rsidR="00955907" w:rsidRPr="000620C4">
        <w:rPr>
          <w:rFonts w:ascii="Arial" w:hAnsi="Arial" w:cs="Arial"/>
          <w:color w:val="000000" w:themeColor="text1"/>
          <w:sz w:val="20"/>
          <w:szCs w:val="20"/>
          <w:lang w:val="en-US"/>
        </w:rPr>
        <w:t xml:space="preserve"> </w:t>
      </w:r>
      <w:r w:rsidRPr="000620C4">
        <w:rPr>
          <w:rFonts w:ascii="Arial" w:hAnsi="Arial" w:cs="Arial"/>
          <w:color w:val="000000" w:themeColor="text1"/>
          <w:sz w:val="20"/>
          <w:szCs w:val="20"/>
          <w:lang w:val="en-US"/>
        </w:rPr>
        <w:t xml:space="preserve">Soil </w:t>
      </w:r>
      <w:r w:rsidRPr="000620C4">
        <w:rPr>
          <w:rFonts w:ascii="Arial" w:hAnsi="Arial" w:cs="Arial"/>
          <w:color w:val="000000" w:themeColor="text1"/>
          <w:sz w:val="20"/>
          <w:szCs w:val="20"/>
          <w:lang w:val="en-US"/>
        </w:rPr>
        <w:lastRenderedPageBreak/>
        <w:t xml:space="preserve">conditions, fertilizer use, and manure use can impact harvest quality. Indeed, the use of manure helps improve soil quality by reducing heavy metal levels, which can inhibit the photosynthesis process essential for plant growth </w:t>
      </w:r>
      <w:r w:rsidR="00C75B4C" w:rsidRPr="000620C4">
        <w:rPr>
          <w:rFonts w:ascii="Arial" w:hAnsi="Arial" w:cs="Arial"/>
          <w:color w:val="000000" w:themeColor="text1"/>
          <w:sz w:val="20"/>
          <w:szCs w:val="20"/>
          <w:lang w:val="en-US"/>
        </w:rPr>
        <w:fldChar w:fldCharType="begin"/>
      </w:r>
      <w:r w:rsidR="00421DE2" w:rsidRPr="000620C4">
        <w:rPr>
          <w:rFonts w:ascii="Arial" w:hAnsi="Arial" w:cs="Arial"/>
          <w:color w:val="000000" w:themeColor="text1"/>
          <w:sz w:val="20"/>
          <w:szCs w:val="20"/>
          <w:lang w:val="en-US"/>
        </w:rPr>
        <w:instrText xml:space="preserve"> ADDIN ZOTERO_ITEM CSL_CITATION {"citationID":"1Kuns5jQ","properties":{"formattedCitation":"(Yassen et al., 2007)","plainCitation":"(Yassen et al., 2007)","noteIndex":0},"citationItems":[{"id":3132,"uris":["http://zotero.org/users/local/JzcqJHT8/items/DEQT8K8N"],"itemData":{"id":3132,"type":"article-journal","container-title":"World Journal of Agricultural Sciences","issue":"2","page":"204-209","title":"Role of some organic residues as tools for reducing heavy metals hazards in plant.","volume":"3","author":[{"family":"Yassen","given":"A. A."},{"family":"Nadia","given":"B.M."},{"family":"Zaghloul","given":"S. M."}],"issued":{"date-parts":[["2007"]]}}}],"schema":"https://github.com/citation-style-language/schema/raw/master/csl-citation.json"} </w:instrText>
      </w:r>
      <w:r w:rsidR="00C75B4C" w:rsidRPr="000620C4">
        <w:rPr>
          <w:rFonts w:ascii="Arial" w:hAnsi="Arial" w:cs="Arial"/>
          <w:color w:val="000000" w:themeColor="text1"/>
          <w:sz w:val="20"/>
          <w:szCs w:val="20"/>
          <w:lang w:val="en-US"/>
        </w:rPr>
        <w:fldChar w:fldCharType="separate"/>
      </w:r>
      <w:r w:rsidR="00421DE2" w:rsidRPr="000620C4">
        <w:rPr>
          <w:rFonts w:ascii="Arial" w:hAnsi="Arial" w:cs="Arial"/>
          <w:color w:val="000000" w:themeColor="text1"/>
          <w:sz w:val="20"/>
          <w:szCs w:val="20"/>
          <w:lang w:val="en-US"/>
        </w:rPr>
        <w:t>(</w:t>
      </w:r>
      <w:r w:rsidR="007F45D6" w:rsidRPr="000620C4">
        <w:rPr>
          <w:rFonts w:ascii="Arial" w:hAnsi="Arial" w:cs="Arial"/>
          <w:color w:val="000000" w:themeColor="text1"/>
          <w:sz w:val="20"/>
          <w:szCs w:val="20"/>
          <w:lang w:val="en-US"/>
        </w:rPr>
        <w:t>Singh</w:t>
      </w:r>
      <w:r w:rsidR="00421DE2" w:rsidRPr="000620C4">
        <w:rPr>
          <w:rFonts w:ascii="Arial" w:hAnsi="Arial" w:cs="Arial"/>
          <w:color w:val="000000" w:themeColor="text1"/>
          <w:sz w:val="20"/>
          <w:szCs w:val="20"/>
          <w:lang w:val="en-US"/>
        </w:rPr>
        <w:t xml:space="preserve"> et al., 20</w:t>
      </w:r>
      <w:r w:rsidR="007F45D6" w:rsidRPr="000620C4">
        <w:rPr>
          <w:rFonts w:ascii="Arial" w:hAnsi="Arial" w:cs="Arial"/>
          <w:color w:val="000000" w:themeColor="text1"/>
          <w:sz w:val="20"/>
          <w:szCs w:val="20"/>
          <w:lang w:val="en-US"/>
        </w:rPr>
        <w:t>10</w:t>
      </w:r>
      <w:r w:rsidR="00421DE2" w:rsidRPr="000620C4">
        <w:rPr>
          <w:rFonts w:ascii="Arial" w:hAnsi="Arial" w:cs="Arial"/>
          <w:color w:val="000000" w:themeColor="text1"/>
          <w:sz w:val="20"/>
          <w:szCs w:val="20"/>
          <w:lang w:val="en-US"/>
        </w:rPr>
        <w:t>)</w:t>
      </w:r>
      <w:r w:rsidR="00C75B4C"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In this process, chlorophyll can be destroyed by the replacement of the magnesium atom with a heavy metal atom, preventing this complex from playing its fundamental role in plant growth. In these cases, crops can be contaminated by heavy metals </w:t>
      </w:r>
      <w:r w:rsidR="00421DE2" w:rsidRPr="000620C4">
        <w:rPr>
          <w:rFonts w:ascii="Arial" w:hAnsi="Arial" w:cs="Arial"/>
          <w:color w:val="000000" w:themeColor="text1"/>
          <w:sz w:val="20"/>
          <w:szCs w:val="20"/>
          <w:lang w:val="en-US"/>
        </w:rPr>
        <w:fldChar w:fldCharType="begin"/>
      </w:r>
      <w:r w:rsidR="009557CA" w:rsidRPr="000620C4">
        <w:rPr>
          <w:rFonts w:ascii="Arial" w:hAnsi="Arial" w:cs="Arial"/>
          <w:color w:val="000000" w:themeColor="text1"/>
          <w:sz w:val="20"/>
          <w:szCs w:val="20"/>
          <w:lang w:val="en-US"/>
        </w:rPr>
        <w:instrText xml:space="preserve"> ADDIN ZOTERO_ITEM CSL_CITATION {"citationID":"1PT2uQfI","properties":{"formattedCitation":"(Gzik et al., 2003; Shen et al., 2022)","plainCitation":"(Gzik et al., 2003; Shen et al., 2022)","noteIndex":0},"citationItems":[{"id":3133,"uris":["http://zotero.org/users/local/JzcqJHT8/items/7FUCMPU7"],"itemData":{"id":3133,"type":"article-journal","abstract":"In soils, animals and plants from selected sites in the Rustenburg mining area, a part of the South African ore belt, the heavy metal burden was examined. These sites belong to different soil types and are characterized by different land-use (agriculture, grassland). The heavy metal contamination of the soil samples is relatively high and is dominated by chromium and nickel, metals, which are extracted in the mine near the sampling sites. These high heavy metal concentrations had no clear inhibitory influence on micro-organisms or the enzyme activity of soils. It appears that the high clay content of the soils may counteract the influence of heavy metals. On the other hand, tolerant microbial populations may have been established. In addition, the investigated culture plants there was no correlation between the heavy metal content of the soils and the concentrations in roots and shoots. The dangerous, potential contamination of organs in humans seems to be modest, with the exception of tobacco leaves. The heavy metal content of tissues in the examined animals reflect the environmental habitat in situ with no obvious influence on the health of the animals.","container-title":"Journal of Soils and Sediments","DOI":"10.1007/BF02989466","ISSN":"1614-7480","issue":"1","journalAbbreviation":"J Soils &amp; Sediments","language":"en","page":"29-34","source":"Springer Link","title":"Heavy metal contamination of soils in a mining area in South Africa and its impact on some biotic systems","volume":"3","author":[{"family":"Gzik","given":"Axel"},{"family":"Kuehling","given":"Matthias"},{"family":"Schneider","given":"Ingo"},{"family":"Tschochner","given":"Bernd"}],"issued":{"date-parts":[["2003",3,1]]}},"label":"page"},{"id":3134,"uris":["http://zotero.org/users/local/JzcqJHT8/items/3IPAG4TP"],"itemData":{"id":3134,"type":"article-journal","abstract":"Shanxi is a large coal-producing province, and it also produces a lot of solid waste. Solid waste can leach heavy metals, which can harm soil and affect food security at the beginning of the food chain. To investigate the impacts of solid waste-based soil conditioner (SWSC) and arbuscular mycorrhizal fungi (AMF) on millet safety and crop production, a field experiment with foxtail millet (Setaria italica) was conducted in Tunliu. The results of this study demonstrate that SWSC + AMF, SWSC and AMF can increase millet yield by 28.0%, 27.1% and 19.5%, respectively, compared with CK. This is mainly due to increased mycorrhizal infection. Besides, the pollution index (Pi) and the Nemerow-integrated pollution index (PN) of the soil with SWSC and AMF were both below 0.7, indicating safe pollution levels. The application of AMF and SWSC inhibits plants from absorbing heavy metals from the soil and reduces the TFroot/soil of the millet. SWSC + AMF application inhibited the transfer of heavy metals from the roots to the upper part of the ground and reduced the TFshoot/root of the millet. The TFgrain/soil of the millet was below 1. The HQ and HI of the millet grains did not exceed 1, indicating the absence of a potential health risk. Therefore, SWSC combined with AMF is applicable for millet production in Tunliu, and the combined treatment can decrease heavy metal phytoavailability and post-harvest transfer risks. This work provides a way to utilize solid waste while also improving millet yields in dry farming. Based on the review, we suggested future researches to better understand the mechanisms of SWSC + AMF long-term application to promote awareness on its role over time through alterations in its surface chemistry, soil microbial community and environmental implications.","container-title":"Journal of Environmental Management","DOI":"10.1016/j.jenvman.2022.114974","ISSN":"0301-4797","journalAbbreviation":"Journal of Environmental Management","page":"114974","source":"ScienceDirect","title":"Effects of solid waste-based soil conditioner and arbuscular mycorrhizal fungi on crop productivity and heavy metal distribution in foxtail millet (&lt;i&gt;Setaria italica&lt;/i&gt;)","volume":"313","author":[{"family":"Shen","given":"Wuyan"},{"family":"Feng","given":"Zhengjun"},{"family":"Song","given":"Huiping"},{"family":"Jin","given":"Dapeng"},{"family":"Fu","given":"Yuanhong"},{"family":"Cheng","given":"Fangqin"}],"issued":{"date-parts":[["2022",7,1]]}},"label":"page"}],"schema":"https://github.com/citation-style-language/schema/raw/master/csl-citation.json"} </w:instrText>
      </w:r>
      <w:r w:rsidR="00421DE2" w:rsidRPr="000620C4">
        <w:rPr>
          <w:rFonts w:ascii="Arial" w:hAnsi="Arial" w:cs="Arial"/>
          <w:color w:val="000000" w:themeColor="text1"/>
          <w:sz w:val="20"/>
          <w:szCs w:val="20"/>
          <w:lang w:val="en-US"/>
        </w:rPr>
        <w:fldChar w:fldCharType="separate"/>
      </w:r>
      <w:r w:rsidR="009557CA" w:rsidRPr="000620C4">
        <w:rPr>
          <w:rFonts w:ascii="Arial" w:hAnsi="Arial" w:cs="Arial"/>
          <w:color w:val="000000" w:themeColor="text1"/>
          <w:sz w:val="20"/>
          <w:szCs w:val="20"/>
          <w:lang w:val="en-US"/>
        </w:rPr>
        <w:t>(Gzik et al., 2003; Shen et al., 2022)</w:t>
      </w:r>
      <w:r w:rsidR="00421DE2"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In this work we seek to study the quality of sweet potato harvests and by-products of this plant with regard to contamination by heavy metals and the risk to consumer health of the presence of these contaminants and the presence of micronutrients useful for nutrition.</w:t>
      </w:r>
    </w:p>
    <w:p w14:paraId="070F0353" w14:textId="77777777" w:rsidR="00081CA4" w:rsidRPr="000620C4" w:rsidRDefault="00081CA4" w:rsidP="00C948D8">
      <w:pPr>
        <w:pStyle w:val="Heading1"/>
      </w:pPr>
      <w:r w:rsidRPr="000620C4">
        <w:t>Materials and methods</w:t>
      </w:r>
    </w:p>
    <w:p w14:paraId="65FF4172" w14:textId="77777777" w:rsidR="00081CA4" w:rsidRPr="000620C4" w:rsidRDefault="00081CA4" w:rsidP="00F92486">
      <w:pPr>
        <w:pStyle w:val="Heading2"/>
      </w:pPr>
      <w:r w:rsidRPr="000620C4">
        <w:t>Instrumentation</w:t>
      </w:r>
    </w:p>
    <w:p w14:paraId="6FA91655" w14:textId="4984DD77" w:rsidR="00081CA4" w:rsidRPr="000620C4" w:rsidRDefault="00081CA4" w:rsidP="005A6A25">
      <w:pPr>
        <w:autoSpaceDE w:val="0"/>
        <w:autoSpaceDN w:val="0"/>
        <w:adjustRightInd w:val="0"/>
        <w:spacing w:line="240" w:lineRule="auto"/>
        <w:rPr>
          <w:rFonts w:ascii="Arial" w:eastAsia="CharisSIL" w:hAnsi="Arial" w:cs="Arial"/>
          <w:color w:val="000000" w:themeColor="text1"/>
          <w:kern w:val="0"/>
          <w:sz w:val="20"/>
          <w:szCs w:val="20"/>
          <w:lang w:val="en-US"/>
        </w:rPr>
      </w:pPr>
      <w:r w:rsidRPr="000620C4">
        <w:rPr>
          <w:rFonts w:ascii="Arial" w:eastAsia="CharisSIL" w:hAnsi="Arial" w:cs="Arial"/>
          <w:color w:val="000000" w:themeColor="text1"/>
          <w:kern w:val="0"/>
          <w:sz w:val="20"/>
          <w:szCs w:val="20"/>
          <w:lang w:val="en-US"/>
        </w:rPr>
        <w:t>All experiments were carried out using a Thermo Fischer Atomic Absorption 3000. The samples were run in triplicates and the values reported are mean of triplicates.</w:t>
      </w:r>
      <w:r w:rsidR="00447137" w:rsidRPr="000620C4">
        <w:rPr>
          <w:rFonts w:ascii="Arial" w:eastAsia="CharisSIL" w:hAnsi="Arial" w:cs="Arial"/>
          <w:color w:val="000000" w:themeColor="text1"/>
          <w:kern w:val="0"/>
          <w:sz w:val="20"/>
          <w:szCs w:val="20"/>
          <w:lang w:val="en-US"/>
        </w:rPr>
        <w:t xml:space="preserve"> Analytical conditions, limits of detection and the calibration variables obtained for the studied elements are given in Table 1.</w:t>
      </w:r>
    </w:p>
    <w:p w14:paraId="2E1681CB" w14:textId="77777777" w:rsidR="00081CA4" w:rsidRPr="000620C4" w:rsidRDefault="00081CA4" w:rsidP="00F92486">
      <w:pPr>
        <w:pStyle w:val="Heading2"/>
      </w:pPr>
      <w:r w:rsidRPr="000620C4">
        <w:t>Reagents and standards</w:t>
      </w:r>
    </w:p>
    <w:p w14:paraId="71AE49E9" w14:textId="50A1412D" w:rsidR="00081CA4" w:rsidRPr="000620C4" w:rsidRDefault="00081CA4" w:rsidP="005A6A25">
      <w:pPr>
        <w:autoSpaceDE w:val="0"/>
        <w:autoSpaceDN w:val="0"/>
        <w:adjustRightInd w:val="0"/>
        <w:spacing w:line="240" w:lineRule="auto"/>
        <w:rPr>
          <w:rFonts w:ascii="Arial" w:hAnsi="Arial" w:cs="Arial"/>
          <w:color w:val="000000" w:themeColor="text1"/>
          <w:sz w:val="20"/>
          <w:szCs w:val="20"/>
          <w:lang w:val="en-US"/>
        </w:rPr>
      </w:pPr>
      <w:r w:rsidRPr="000620C4">
        <w:rPr>
          <w:rFonts w:ascii="Arial" w:eastAsia="CharisSIL" w:hAnsi="Arial" w:cs="Arial"/>
          <w:color w:val="000000" w:themeColor="text1"/>
          <w:kern w:val="0"/>
          <w:sz w:val="20"/>
          <w:szCs w:val="20"/>
          <w:lang w:val="en-US"/>
        </w:rPr>
        <w:t>All solutions were prepared with distilled-deionized water (18MΩcm, Milli-Q, Millipore, Bedford, MA, USA). Sulfuric acid (H</w:t>
      </w:r>
      <w:r w:rsidRPr="000620C4">
        <w:rPr>
          <w:rFonts w:ascii="Arial" w:eastAsia="CharisSIL" w:hAnsi="Arial" w:cs="Arial"/>
          <w:color w:val="000000" w:themeColor="text1"/>
          <w:kern w:val="0"/>
          <w:sz w:val="20"/>
          <w:szCs w:val="20"/>
          <w:vertAlign w:val="subscript"/>
          <w:lang w:val="en-US"/>
        </w:rPr>
        <w:t>2</w:t>
      </w:r>
      <w:r w:rsidRPr="000620C4">
        <w:rPr>
          <w:rFonts w:ascii="Arial" w:eastAsia="CharisSIL" w:hAnsi="Arial" w:cs="Arial"/>
          <w:color w:val="000000" w:themeColor="text1"/>
          <w:kern w:val="0"/>
          <w:sz w:val="20"/>
          <w:szCs w:val="20"/>
          <w:lang w:val="en-US"/>
        </w:rPr>
        <w:t>SO</w:t>
      </w:r>
      <w:proofErr w:type="gramStart"/>
      <w:r w:rsidRPr="000620C4">
        <w:rPr>
          <w:rFonts w:ascii="Arial" w:eastAsia="CharisSIL" w:hAnsi="Arial" w:cs="Arial"/>
          <w:color w:val="000000" w:themeColor="text1"/>
          <w:kern w:val="0"/>
          <w:sz w:val="20"/>
          <w:szCs w:val="20"/>
          <w:vertAlign w:val="subscript"/>
          <w:lang w:val="en-US"/>
        </w:rPr>
        <w:t xml:space="preserve">4 </w:t>
      </w:r>
      <w:r w:rsidRPr="000620C4">
        <w:rPr>
          <w:rFonts w:ascii="Arial" w:eastAsia="CharisSIL" w:hAnsi="Arial" w:cs="Arial"/>
          <w:color w:val="000000" w:themeColor="text1"/>
          <w:kern w:val="0"/>
          <w:sz w:val="20"/>
          <w:szCs w:val="20"/>
          <w:lang w:val="en-US"/>
        </w:rPr>
        <w:t>,</w:t>
      </w:r>
      <w:proofErr w:type="gramEnd"/>
      <w:r w:rsidRPr="000620C4">
        <w:rPr>
          <w:rFonts w:ascii="Arial" w:eastAsia="CharisSIL" w:hAnsi="Arial" w:cs="Arial"/>
          <w:color w:val="000000" w:themeColor="text1"/>
          <w:kern w:val="0"/>
          <w:sz w:val="20"/>
          <w:szCs w:val="20"/>
          <w:lang w:val="en-US"/>
        </w:rPr>
        <w:t xml:space="preserve"> 98%), perchloric acid (HClO</w:t>
      </w:r>
      <w:r w:rsidRPr="000620C4">
        <w:rPr>
          <w:rFonts w:ascii="Arial" w:eastAsia="CharisSIL" w:hAnsi="Arial" w:cs="Arial"/>
          <w:color w:val="000000" w:themeColor="text1"/>
          <w:kern w:val="0"/>
          <w:sz w:val="20"/>
          <w:szCs w:val="20"/>
          <w:vertAlign w:val="subscript"/>
          <w:lang w:val="en-US"/>
        </w:rPr>
        <w:t>4</w:t>
      </w:r>
      <w:r w:rsidRPr="000620C4">
        <w:rPr>
          <w:rFonts w:ascii="Arial" w:eastAsia="CharisSIL" w:hAnsi="Arial" w:cs="Arial"/>
          <w:color w:val="000000" w:themeColor="text1"/>
          <w:kern w:val="0"/>
          <w:sz w:val="20"/>
          <w:szCs w:val="20"/>
          <w:lang w:val="en-US"/>
        </w:rPr>
        <w:t>, 70%) and nitric acid (HNO</w:t>
      </w:r>
      <w:r w:rsidRPr="000620C4">
        <w:rPr>
          <w:rFonts w:ascii="Arial" w:eastAsia="CharisSIL" w:hAnsi="Arial" w:cs="Arial"/>
          <w:color w:val="000000" w:themeColor="text1"/>
          <w:kern w:val="0"/>
          <w:sz w:val="20"/>
          <w:szCs w:val="20"/>
          <w:vertAlign w:val="subscript"/>
          <w:lang w:val="en-US"/>
        </w:rPr>
        <w:t xml:space="preserve">3 </w:t>
      </w:r>
      <w:r w:rsidRPr="000620C4">
        <w:rPr>
          <w:rFonts w:ascii="Arial" w:eastAsia="CharisSIL" w:hAnsi="Arial" w:cs="Arial"/>
          <w:color w:val="000000" w:themeColor="text1"/>
          <w:kern w:val="0"/>
          <w:sz w:val="20"/>
          <w:szCs w:val="20"/>
          <w:lang w:val="en-US"/>
        </w:rPr>
        <w:t xml:space="preserve">65%), from Sigma-Aldrich France, were used in the procedure of digestion of the samples. The analytical solutions were prepared from standard solution dilutions 1000 </w:t>
      </w:r>
      <w:r w:rsidRPr="000620C4">
        <w:rPr>
          <w:rFonts w:ascii="Arial" w:eastAsia="CharisSIL" w:hAnsi="Arial" w:cs="Arial"/>
          <w:color w:val="000000" w:themeColor="text1"/>
          <w:kern w:val="0"/>
          <w:sz w:val="20"/>
          <w:szCs w:val="20"/>
          <w:lang w:val="en-US"/>
        </w:rPr>
        <w:sym w:font="Symbol" w:char="F06D"/>
      </w:r>
      <w:r w:rsidRPr="000620C4">
        <w:rPr>
          <w:rFonts w:ascii="Arial" w:eastAsia="CharisSIL" w:hAnsi="Arial" w:cs="Arial"/>
          <w:color w:val="000000" w:themeColor="text1"/>
          <w:kern w:val="0"/>
          <w:sz w:val="20"/>
          <w:szCs w:val="20"/>
          <w:lang w:val="en-US"/>
        </w:rPr>
        <w:t>gmL</w:t>
      </w:r>
      <w:r w:rsidRPr="000620C4">
        <w:rPr>
          <w:rFonts w:ascii="Arial" w:eastAsia="CharisSIL" w:hAnsi="Arial" w:cs="Arial"/>
          <w:color w:val="000000" w:themeColor="text1"/>
          <w:kern w:val="0"/>
          <w:sz w:val="20"/>
          <w:szCs w:val="20"/>
          <w:vertAlign w:val="superscript"/>
          <w:lang w:val="en-US"/>
        </w:rPr>
        <w:t xml:space="preserve">-1 </w:t>
      </w:r>
      <w:r w:rsidRPr="000620C4">
        <w:rPr>
          <w:rFonts w:ascii="Arial" w:eastAsia="CharisSIL" w:hAnsi="Arial" w:cs="Arial"/>
          <w:color w:val="000000" w:themeColor="text1"/>
          <w:kern w:val="0"/>
          <w:sz w:val="20"/>
          <w:szCs w:val="20"/>
          <w:lang w:val="en-US"/>
        </w:rPr>
        <w:t xml:space="preserve">of Na, </w:t>
      </w:r>
      <w:proofErr w:type="gramStart"/>
      <w:r w:rsidRPr="000620C4">
        <w:rPr>
          <w:rFonts w:ascii="Arial" w:eastAsia="CharisSIL" w:hAnsi="Arial" w:cs="Arial"/>
          <w:color w:val="000000" w:themeColor="text1"/>
          <w:kern w:val="0"/>
          <w:sz w:val="20"/>
          <w:szCs w:val="20"/>
          <w:lang w:val="en-US"/>
        </w:rPr>
        <w:t xml:space="preserve">K </w:t>
      </w:r>
      <w:r w:rsidRPr="000620C4">
        <w:rPr>
          <w:rFonts w:ascii="Arial" w:hAnsi="Arial" w:cs="Arial"/>
          <w:color w:val="000000" w:themeColor="text1"/>
          <w:sz w:val="20"/>
          <w:szCs w:val="20"/>
          <w:lang w:val="en-US"/>
        </w:rPr>
        <w:t>,</w:t>
      </w:r>
      <w:proofErr w:type="gramEnd"/>
      <w:r w:rsidRPr="000620C4">
        <w:rPr>
          <w:rFonts w:ascii="Arial" w:hAnsi="Arial" w:cs="Arial"/>
          <w:color w:val="000000" w:themeColor="text1"/>
          <w:sz w:val="20"/>
          <w:szCs w:val="20"/>
          <w:lang w:val="en-US"/>
        </w:rPr>
        <w:t xml:space="preserve"> Mg, Ca, Fe, Ni, Cu, Zn</w:t>
      </w:r>
      <w:r w:rsidR="00106CDC" w:rsidRPr="000620C4">
        <w:rPr>
          <w:rFonts w:ascii="Arial" w:hAnsi="Arial" w:cs="Arial"/>
          <w:color w:val="000000" w:themeColor="text1"/>
          <w:sz w:val="20"/>
          <w:szCs w:val="20"/>
          <w:lang w:val="en-US"/>
        </w:rPr>
        <w:t xml:space="preserve"> and</w:t>
      </w:r>
      <w:r w:rsidRPr="000620C4">
        <w:rPr>
          <w:rFonts w:ascii="Arial" w:hAnsi="Arial" w:cs="Arial"/>
          <w:color w:val="000000" w:themeColor="text1"/>
          <w:sz w:val="20"/>
          <w:szCs w:val="20"/>
          <w:lang w:val="en-US"/>
        </w:rPr>
        <w:t xml:space="preserve"> Cd </w:t>
      </w:r>
      <w:r w:rsidRPr="000620C4">
        <w:rPr>
          <w:rFonts w:ascii="Arial" w:eastAsia="CharisSIL" w:hAnsi="Arial" w:cs="Arial"/>
          <w:color w:val="000000" w:themeColor="text1"/>
          <w:kern w:val="0"/>
          <w:sz w:val="20"/>
          <w:szCs w:val="20"/>
          <w:lang w:val="en-US"/>
        </w:rPr>
        <w:t xml:space="preserve">(Aldrich, France). All materials used were decontaminated in nitric acid solution 10% v/v by 24 h. </w:t>
      </w:r>
      <w:r w:rsidR="008751BC" w:rsidRPr="000620C4">
        <w:rPr>
          <w:rFonts w:ascii="Arial" w:hAnsi="Arial" w:cs="Arial"/>
          <w:color w:val="000000" w:themeColor="text1"/>
          <w:sz w:val="20"/>
          <w:szCs w:val="20"/>
          <w:lang w:val="en-US"/>
        </w:rPr>
        <w:t>Leaves and tubers were harvested from a white sweet potato plantation located in a rural area</w:t>
      </w:r>
      <w:r w:rsidR="00917440">
        <w:rPr>
          <w:rFonts w:ascii="Arial" w:hAnsi="Arial" w:cs="Arial"/>
          <w:color w:val="000000" w:themeColor="text1"/>
          <w:sz w:val="20"/>
          <w:szCs w:val="20"/>
          <w:lang w:val="en-US"/>
        </w:rPr>
        <w:t xml:space="preserve"> in Senegal</w:t>
      </w:r>
      <w:r w:rsidR="008751BC" w:rsidRPr="000620C4">
        <w:rPr>
          <w:rFonts w:ascii="Arial" w:hAnsi="Arial" w:cs="Arial"/>
          <w:color w:val="000000" w:themeColor="text1"/>
          <w:sz w:val="20"/>
          <w:szCs w:val="20"/>
          <w:lang w:val="en-US"/>
        </w:rPr>
        <w:t>.</w:t>
      </w:r>
    </w:p>
    <w:p w14:paraId="0AB7DF09" w14:textId="755C3DE7" w:rsidR="000F297C" w:rsidRPr="000620C4" w:rsidRDefault="000F297C" w:rsidP="00F92486">
      <w:pPr>
        <w:pStyle w:val="Heading2"/>
      </w:pPr>
      <w:r w:rsidRPr="000620C4">
        <w:t xml:space="preserve">Extraction of heavy metals from </w:t>
      </w:r>
      <w:r w:rsidR="00EC1083" w:rsidRPr="000620C4">
        <w:t>leaves, peels and flesh of sweet potatoes</w:t>
      </w:r>
    </w:p>
    <w:p w14:paraId="11A231D4" w14:textId="6AFFF635" w:rsidR="000F297C" w:rsidRPr="000620C4" w:rsidRDefault="000F297C" w:rsidP="005A6A25">
      <w:pPr>
        <w:spacing w:line="240" w:lineRule="auto"/>
        <w:rPr>
          <w:rFonts w:ascii="Arial" w:hAnsi="Arial" w:cs="Arial"/>
          <w:sz w:val="20"/>
          <w:szCs w:val="20"/>
          <w:lang w:val="en-US"/>
        </w:rPr>
      </w:pPr>
      <w:r w:rsidRPr="000620C4">
        <w:rPr>
          <w:rFonts w:ascii="Arial" w:hAnsi="Arial" w:cs="Arial"/>
          <w:sz w:val="20"/>
          <w:szCs w:val="20"/>
          <w:lang w:val="en-US"/>
        </w:rPr>
        <w:t xml:space="preserve">Five grams of leaves, peels </w:t>
      </w:r>
      <w:r w:rsidR="00917440">
        <w:rPr>
          <w:rFonts w:ascii="Arial" w:hAnsi="Arial" w:cs="Arial"/>
          <w:sz w:val="20"/>
          <w:szCs w:val="20"/>
          <w:lang w:val="en-US"/>
        </w:rPr>
        <w:t>or</w:t>
      </w:r>
      <w:r w:rsidRPr="000620C4">
        <w:rPr>
          <w:rFonts w:ascii="Arial" w:hAnsi="Arial" w:cs="Arial"/>
          <w:sz w:val="20"/>
          <w:szCs w:val="20"/>
          <w:lang w:val="en-US"/>
        </w:rPr>
        <w:t xml:space="preserve"> </w:t>
      </w:r>
      <w:r w:rsidR="00DA5BC1" w:rsidRPr="000620C4">
        <w:rPr>
          <w:rFonts w:ascii="Arial" w:hAnsi="Arial" w:cs="Arial"/>
          <w:color w:val="000000" w:themeColor="text1"/>
          <w:sz w:val="20"/>
          <w:szCs w:val="20"/>
          <w:lang w:val="en-US"/>
        </w:rPr>
        <w:t xml:space="preserve">flesh of sweet potatoes </w:t>
      </w:r>
      <w:r w:rsidRPr="000620C4">
        <w:rPr>
          <w:rFonts w:ascii="Arial" w:hAnsi="Arial" w:cs="Arial"/>
          <w:sz w:val="20"/>
          <w:szCs w:val="20"/>
          <w:lang w:val="en-US"/>
        </w:rPr>
        <w:t>were weighed and collected in a Kjeldahl flask. Wet digestion was carried out with an acid mixture (3:2:1 nitric acid, perchloric acid and sulfuric acid) for 4 hours to obtain a clear solution. The samples were cooled to room temperature and the volume was made up to 100 mL with ultra-pure water</w:t>
      </w:r>
      <w:r w:rsidR="00500340" w:rsidRPr="000620C4">
        <w:rPr>
          <w:rFonts w:ascii="Arial" w:hAnsi="Arial" w:cs="Arial"/>
          <w:sz w:val="20"/>
          <w:szCs w:val="20"/>
          <w:lang w:val="en-US"/>
        </w:rPr>
        <w:t xml:space="preserve"> </w:t>
      </w:r>
      <w:r w:rsidR="00500340" w:rsidRPr="000620C4">
        <w:rPr>
          <w:rFonts w:ascii="Arial" w:hAnsi="Arial" w:cs="Arial"/>
          <w:sz w:val="20"/>
          <w:szCs w:val="20"/>
          <w:lang w:val="en-US"/>
        </w:rPr>
        <w:fldChar w:fldCharType="begin"/>
      </w:r>
      <w:r w:rsidR="00500340" w:rsidRPr="000620C4">
        <w:rPr>
          <w:rFonts w:ascii="Arial" w:hAnsi="Arial" w:cs="Arial"/>
          <w:sz w:val="20"/>
          <w:szCs w:val="20"/>
          <w:lang w:val="en-US"/>
        </w:rPr>
        <w:instrText xml:space="preserve"> ADDIN ZOTERO_ITEM CSL_CITATION {"citationID":"yzQCBi0R","properties":{"formattedCitation":"(Manrique et al., 2023)","plainCitation":"(Manrique et al., 2023)","noteIndex":0},"citationItems":[{"id":2620,"uris":["http://zotero.org/users/local/JzcqJHT8/items/NAFJVXT5"],"itemData":{"id":2620,"type":"article-journal","abstract":"This research was designed to investigate the metabolite profiling, phenolics, and flavonoids content as well as the potential nematicidal properties of decoction (ZpDe), orange-yellow resin (ZpRe) and essential oil (ZpEO) from Argentinean medicinal plant Zuccagnia punctata Cav. Additionally, the antioxidant and antibacterial properties of ZpDe and ZpEO were determined. Metabolite profiling was obtained by an ultrahigh-resolution liquid chromatography MS analysis (UHPLC-ESI-QTOF/OT-MS-MS) and GCMS. The nematicidal activity was assayed by a standardized method against Meloidogyne incognita. The antioxidant properties were screened by four methods: (2,2-diphenyl-1-picrylhydrazyl assay (DPPH), Trolox equivalent antioxidant activity assay (TEAC), ferric-reducing antioxidant power assay (FRAP), and lipid peroxidation in erythrocytes (ILP). The antibacterial activity was evaluated according to the Clinical and Laboratory Standards Institute (CLSI) rules. The ZpDe, ZpRe and ZpEO displayed a strong nematicidal activity with an LC50 of 0.208, 0.017 and 0.142 mg/mL, respectively. On the other hand, the ZpDe showed a strong DPPH scavenging activity (IC50 = 28.54 µg/mL); ILP of 87.75% at 250 µg ZpDe/mL and moderated antimicrobial activity. The ZpEO showed promising activity against a panel of yeasts Candida albicans and non-albicans (ATCC and clinically isolated) with MIC values from 750 to 1500 µg/mL. The ZpDe showed a content of phenolics and flavonoid compounds of 241 mg GAE/g and 10 mg EQ/g, respectively. Fifty phenolic compounds were identified in ZpDe by ultrahigh-resolution liquid chromatography (UHPLC–PDA– Q-TOF-MS) analysis, while forty-six phenolic compounds were identified in ZpRe by UHPLC-ESI-Q-OT-MS-MS and twenty-nine in ZpEO using a GC-MS analysis, updating the knowledge on the chemical profile of this species. The results support and standardize this medicinal plant mainly as a potential environmentally friendly and sustainable bionematicide for the control of Argentinean horticultural crops including tomatoes and peppers and as a source of antimicrobial and antioxidant compounds which could be further explored and exploited for potential applications.","container-title":"Plants","DOI":"10.3390/plants12244104","ISSN":"2223-7747","issue":"24","title":"Zuccagnia punctata Cav., a Potential Environmentally Friendly and Sustainable Bionematicide for the Control of Argentinean Horticultural Crops","URL":"https://www.mdpi.com/2223-7747/12/24/4104","volume":"12","author":[{"family":"Manrique","given":"Sofía"},{"family":"Gómez","given":"Jessica"},{"family":"Piñeiro","given":"Mauricio"},{"family":"Sampietro","given":"Belén Ariza"},{"family":"Peschiutta","given":"Maria L."},{"family":"Tapia","given":"Alejandro"},{"family":"Simirgiotis","given":"Mario J."},{"family":"Lima","given":"Beatriz"}],"issued":{"date-parts":[["2023"]]}}}],"schema":"https://github.com/citation-style-language/schema/raw/master/csl-citation.json"} </w:instrText>
      </w:r>
      <w:r w:rsidR="00500340" w:rsidRPr="000620C4">
        <w:rPr>
          <w:rFonts w:ascii="Arial" w:hAnsi="Arial" w:cs="Arial"/>
          <w:sz w:val="20"/>
          <w:szCs w:val="20"/>
          <w:lang w:val="en-US"/>
        </w:rPr>
        <w:fldChar w:fldCharType="separate"/>
      </w:r>
      <w:r w:rsidR="00500340" w:rsidRPr="000620C4">
        <w:rPr>
          <w:rFonts w:ascii="Arial" w:hAnsi="Arial" w:cs="Arial"/>
          <w:sz w:val="20"/>
          <w:szCs w:val="20"/>
          <w:lang w:val="en-US"/>
        </w:rPr>
        <w:t>(Manrique et al., 2023)</w:t>
      </w:r>
      <w:r w:rsidR="00500340" w:rsidRPr="000620C4">
        <w:rPr>
          <w:rFonts w:ascii="Arial" w:hAnsi="Arial" w:cs="Arial"/>
          <w:sz w:val="20"/>
          <w:szCs w:val="20"/>
          <w:lang w:val="en-US"/>
        </w:rPr>
        <w:fldChar w:fldCharType="end"/>
      </w:r>
      <w:r w:rsidRPr="000620C4">
        <w:rPr>
          <w:rFonts w:ascii="Arial" w:hAnsi="Arial" w:cs="Arial"/>
          <w:sz w:val="20"/>
          <w:szCs w:val="20"/>
          <w:lang w:val="en-US"/>
        </w:rPr>
        <w:t>. They are stored in the refrigerator in food grade polyethylene bottles previously washed with a 6N nitric acid solution.</w:t>
      </w:r>
    </w:p>
    <w:p w14:paraId="5294CDD5" w14:textId="77777777" w:rsidR="00EA6A73" w:rsidRPr="000620C4" w:rsidRDefault="00EA6A73" w:rsidP="005A6A25">
      <w:pPr>
        <w:spacing w:line="240" w:lineRule="auto"/>
        <w:rPr>
          <w:rFonts w:ascii="Arial" w:hAnsi="Arial" w:cs="Arial"/>
          <w:b/>
          <w:bCs/>
          <w:color w:val="000000" w:themeColor="text1"/>
          <w:sz w:val="20"/>
          <w:szCs w:val="20"/>
          <w:lang w:val="en-US"/>
        </w:rPr>
      </w:pPr>
    </w:p>
    <w:p w14:paraId="382E1F8A" w14:textId="6BD6EFA4" w:rsidR="00B137C2" w:rsidRPr="000620C4" w:rsidRDefault="00B137C2" w:rsidP="005A6A25">
      <w:pPr>
        <w:spacing w:after="240" w:line="240" w:lineRule="auto"/>
        <w:rPr>
          <w:rFonts w:ascii="Arial" w:hAnsi="Arial" w:cs="Arial"/>
          <w:b/>
          <w:bCs/>
          <w:sz w:val="20"/>
          <w:szCs w:val="20"/>
          <w:lang w:val="en-US"/>
        </w:rPr>
      </w:pPr>
      <w:bookmarkStart w:id="0" w:name="_Hlk201510927"/>
      <w:r w:rsidRPr="000620C4">
        <w:rPr>
          <w:rFonts w:ascii="Arial" w:hAnsi="Arial" w:cs="Arial"/>
          <w:b/>
          <w:bCs/>
          <w:sz w:val="20"/>
          <w:szCs w:val="20"/>
          <w:lang w:val="en-US"/>
        </w:rPr>
        <w:t xml:space="preserve">Table </w:t>
      </w:r>
      <w:proofErr w:type="gramStart"/>
      <w:r w:rsidRPr="000620C4">
        <w:rPr>
          <w:rFonts w:ascii="Arial" w:hAnsi="Arial" w:cs="Arial"/>
          <w:b/>
          <w:bCs/>
          <w:sz w:val="20"/>
          <w:szCs w:val="20"/>
          <w:lang w:val="en-US"/>
        </w:rPr>
        <w:t>1 :</w:t>
      </w:r>
      <w:proofErr w:type="gramEnd"/>
      <w:r w:rsidRPr="000620C4">
        <w:rPr>
          <w:rFonts w:ascii="Arial" w:hAnsi="Arial" w:cs="Arial"/>
          <w:b/>
          <w:bCs/>
          <w:sz w:val="20"/>
          <w:szCs w:val="20"/>
          <w:lang w:val="en-US"/>
        </w:rPr>
        <w:t xml:space="preserve"> Analytical conditions and calibration curves for Na, K, Mg, Ca, Fe, Ni, Cu, Zn </w:t>
      </w:r>
      <w:r w:rsidR="008A0162" w:rsidRPr="000620C4">
        <w:rPr>
          <w:rFonts w:ascii="Arial" w:hAnsi="Arial" w:cs="Arial"/>
          <w:b/>
          <w:bCs/>
          <w:sz w:val="20"/>
          <w:szCs w:val="20"/>
          <w:lang w:val="en-US"/>
        </w:rPr>
        <w:t xml:space="preserve">and </w:t>
      </w:r>
      <w:r w:rsidRPr="000620C4">
        <w:rPr>
          <w:rFonts w:ascii="Arial" w:hAnsi="Arial" w:cs="Arial"/>
          <w:b/>
          <w:bCs/>
          <w:sz w:val="20"/>
          <w:szCs w:val="20"/>
          <w:lang w:val="en-US"/>
        </w:rPr>
        <w:t>Cd analysis by Atomic Absorption Spectroscopy.</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25"/>
        <w:gridCol w:w="1276"/>
        <w:gridCol w:w="425"/>
        <w:gridCol w:w="1560"/>
        <w:gridCol w:w="1701"/>
        <w:gridCol w:w="2552"/>
      </w:tblGrid>
      <w:tr w:rsidR="00B137C2" w:rsidRPr="000620C4" w14:paraId="76B62E7A" w14:textId="77777777" w:rsidTr="004A2CB4">
        <w:trPr>
          <w:trHeight w:val="854"/>
        </w:trPr>
        <w:tc>
          <w:tcPr>
            <w:tcW w:w="1275" w:type="dxa"/>
            <w:tcBorders>
              <w:top w:val="single" w:sz="12" w:space="0" w:color="auto"/>
              <w:bottom w:val="single" w:sz="12" w:space="0" w:color="auto"/>
            </w:tcBorders>
            <w:vAlign w:val="center"/>
          </w:tcPr>
          <w:p w14:paraId="5C7CBA30"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sz w:val="20"/>
                <w:szCs w:val="20"/>
                <w:lang w:val="en-US"/>
              </w:rPr>
              <w:t>Mineral</w:t>
            </w:r>
          </w:p>
        </w:tc>
        <w:tc>
          <w:tcPr>
            <w:tcW w:w="1701" w:type="dxa"/>
            <w:gridSpan w:val="2"/>
            <w:tcBorders>
              <w:top w:val="single" w:sz="12" w:space="0" w:color="auto"/>
              <w:bottom w:val="single" w:sz="12" w:space="0" w:color="auto"/>
            </w:tcBorders>
            <w:vAlign w:val="center"/>
          </w:tcPr>
          <w:p w14:paraId="37FFA119" w14:textId="77777777" w:rsidR="00B137C2" w:rsidRPr="000620C4" w:rsidRDefault="00B137C2" w:rsidP="00F23BF4">
            <w:pPr>
              <w:autoSpaceDE w:val="0"/>
              <w:autoSpaceDN w:val="0"/>
              <w:adjustRightInd w:val="0"/>
              <w:ind w:left="-111" w:right="-111"/>
              <w:rPr>
                <w:rFonts w:ascii="Arial" w:hAnsi="Arial" w:cs="Arial"/>
                <w:iCs/>
                <w:sz w:val="20"/>
                <w:szCs w:val="20"/>
                <w:lang w:val="en-US"/>
              </w:rPr>
            </w:pPr>
            <w:r w:rsidRPr="000620C4">
              <w:rPr>
                <w:rFonts w:ascii="Arial" w:hAnsi="Arial" w:cs="Arial"/>
                <w:iCs/>
                <w:sz w:val="20"/>
                <w:szCs w:val="20"/>
                <w:lang w:val="en-US"/>
              </w:rPr>
              <w:t>Wavelength (nm)</w:t>
            </w:r>
          </w:p>
        </w:tc>
        <w:tc>
          <w:tcPr>
            <w:tcW w:w="1985" w:type="dxa"/>
            <w:gridSpan w:val="2"/>
            <w:tcBorders>
              <w:top w:val="single" w:sz="12" w:space="0" w:color="auto"/>
              <w:bottom w:val="single" w:sz="12" w:space="0" w:color="auto"/>
            </w:tcBorders>
            <w:vAlign w:val="center"/>
          </w:tcPr>
          <w:p w14:paraId="64D417DE" w14:textId="77777777" w:rsidR="00B137C2" w:rsidRPr="000620C4" w:rsidRDefault="00B137C2" w:rsidP="00F23BF4">
            <w:pPr>
              <w:autoSpaceDE w:val="0"/>
              <w:autoSpaceDN w:val="0"/>
              <w:adjustRightInd w:val="0"/>
              <w:jc w:val="center"/>
              <w:rPr>
                <w:rFonts w:ascii="Arial" w:hAnsi="Arial" w:cs="Arial"/>
                <w:iCs/>
                <w:sz w:val="20"/>
                <w:szCs w:val="20"/>
                <w:lang w:val="en-US"/>
              </w:rPr>
            </w:pPr>
            <w:r w:rsidRPr="000620C4">
              <w:rPr>
                <w:rFonts w:ascii="Arial" w:hAnsi="Arial" w:cs="Arial"/>
                <w:iCs/>
                <w:sz w:val="20"/>
                <w:szCs w:val="20"/>
                <w:lang w:val="en-US"/>
              </w:rPr>
              <w:t>Range of detection (mg/L)</w:t>
            </w:r>
          </w:p>
        </w:tc>
        <w:tc>
          <w:tcPr>
            <w:tcW w:w="1701" w:type="dxa"/>
            <w:tcBorders>
              <w:top w:val="single" w:sz="12" w:space="0" w:color="auto"/>
              <w:bottom w:val="single" w:sz="12" w:space="0" w:color="auto"/>
            </w:tcBorders>
            <w:vAlign w:val="center"/>
          </w:tcPr>
          <w:p w14:paraId="37A48D0B" w14:textId="77777777" w:rsidR="00B137C2" w:rsidRPr="000620C4" w:rsidRDefault="00B137C2" w:rsidP="00F23BF4">
            <w:pPr>
              <w:autoSpaceDE w:val="0"/>
              <w:autoSpaceDN w:val="0"/>
              <w:adjustRightInd w:val="0"/>
              <w:ind w:right="-108"/>
              <w:rPr>
                <w:rFonts w:ascii="Arial" w:hAnsi="Arial" w:cs="Arial"/>
                <w:iCs/>
                <w:sz w:val="20"/>
                <w:szCs w:val="20"/>
                <w:lang w:val="en-US"/>
              </w:rPr>
            </w:pPr>
            <w:r w:rsidRPr="000620C4">
              <w:rPr>
                <w:rFonts w:ascii="Arial" w:hAnsi="Arial" w:cs="Arial"/>
                <w:iCs/>
                <w:sz w:val="20"/>
                <w:szCs w:val="20"/>
                <w:lang w:val="en-US"/>
              </w:rPr>
              <w:t>Correlation coefficient (R</w:t>
            </w:r>
            <w:r w:rsidRPr="000620C4">
              <w:rPr>
                <w:rFonts w:ascii="Arial" w:hAnsi="Arial" w:cs="Arial"/>
                <w:iCs/>
                <w:sz w:val="20"/>
                <w:szCs w:val="20"/>
                <w:vertAlign w:val="superscript"/>
                <w:lang w:val="en-US"/>
              </w:rPr>
              <w:t>2</w:t>
            </w:r>
            <w:r w:rsidRPr="000620C4">
              <w:rPr>
                <w:rFonts w:ascii="Arial" w:hAnsi="Arial" w:cs="Arial"/>
                <w:iCs/>
                <w:sz w:val="20"/>
                <w:szCs w:val="20"/>
                <w:lang w:val="en-US"/>
              </w:rPr>
              <w:t>)</w:t>
            </w:r>
          </w:p>
        </w:tc>
        <w:tc>
          <w:tcPr>
            <w:tcW w:w="2552" w:type="dxa"/>
            <w:tcBorders>
              <w:top w:val="single" w:sz="12" w:space="0" w:color="auto"/>
              <w:bottom w:val="single" w:sz="12" w:space="0" w:color="auto"/>
            </w:tcBorders>
            <w:vAlign w:val="center"/>
          </w:tcPr>
          <w:p w14:paraId="3EC3C054"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Calibration curve equation</w:t>
            </w:r>
          </w:p>
        </w:tc>
      </w:tr>
      <w:tr w:rsidR="00B137C2" w:rsidRPr="000620C4" w14:paraId="6FC8C4A3" w14:textId="77777777" w:rsidTr="004A2CB4">
        <w:trPr>
          <w:trHeight w:val="321"/>
        </w:trPr>
        <w:tc>
          <w:tcPr>
            <w:tcW w:w="1700" w:type="dxa"/>
            <w:gridSpan w:val="2"/>
            <w:tcBorders>
              <w:top w:val="single" w:sz="12" w:space="0" w:color="auto"/>
            </w:tcBorders>
          </w:tcPr>
          <w:p w14:paraId="462207F7"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Sodium</w:t>
            </w:r>
          </w:p>
        </w:tc>
        <w:tc>
          <w:tcPr>
            <w:tcW w:w="1701" w:type="dxa"/>
            <w:gridSpan w:val="2"/>
            <w:tcBorders>
              <w:top w:val="single" w:sz="12" w:space="0" w:color="auto"/>
            </w:tcBorders>
          </w:tcPr>
          <w:p w14:paraId="22985C22" w14:textId="77777777" w:rsidR="00B137C2" w:rsidRPr="000620C4" w:rsidRDefault="00B137C2"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598</w:t>
            </w:r>
          </w:p>
        </w:tc>
        <w:tc>
          <w:tcPr>
            <w:tcW w:w="1560" w:type="dxa"/>
            <w:tcBorders>
              <w:top w:val="single" w:sz="12" w:space="0" w:color="auto"/>
            </w:tcBorders>
          </w:tcPr>
          <w:p w14:paraId="4A13502E" w14:textId="77777777" w:rsidR="00B137C2" w:rsidRPr="000620C4" w:rsidRDefault="00B137C2" w:rsidP="00F23BF4">
            <w:pPr>
              <w:autoSpaceDE w:val="0"/>
              <w:autoSpaceDN w:val="0"/>
              <w:adjustRightInd w:val="0"/>
              <w:rPr>
                <w:rFonts w:ascii="Arial" w:hAnsi="Arial" w:cs="Arial"/>
                <w:sz w:val="20"/>
                <w:szCs w:val="20"/>
                <w:lang w:val="en-US"/>
              </w:rPr>
            </w:pPr>
            <w:r w:rsidRPr="000620C4">
              <w:rPr>
                <w:rFonts w:ascii="Arial" w:hAnsi="Arial" w:cs="Arial"/>
                <w:sz w:val="20"/>
                <w:szCs w:val="20"/>
                <w:lang w:val="en-US"/>
              </w:rPr>
              <w:t>0.02-0.8</w:t>
            </w:r>
          </w:p>
        </w:tc>
        <w:tc>
          <w:tcPr>
            <w:tcW w:w="1701" w:type="dxa"/>
            <w:tcBorders>
              <w:top w:val="single" w:sz="12" w:space="0" w:color="auto"/>
            </w:tcBorders>
          </w:tcPr>
          <w:p w14:paraId="61F7C7A8" w14:textId="77777777" w:rsidR="00B137C2" w:rsidRPr="000620C4" w:rsidRDefault="00B137C2" w:rsidP="00F23BF4">
            <w:pPr>
              <w:autoSpaceDE w:val="0"/>
              <w:autoSpaceDN w:val="0"/>
              <w:adjustRightInd w:val="0"/>
              <w:ind w:left="-107" w:right="-250"/>
              <w:rPr>
                <w:rFonts w:ascii="Arial" w:hAnsi="Arial" w:cs="Arial"/>
                <w:iCs/>
                <w:sz w:val="20"/>
                <w:szCs w:val="20"/>
                <w:lang w:val="en-US"/>
              </w:rPr>
            </w:pPr>
            <w:r w:rsidRPr="000620C4">
              <w:rPr>
                <w:rFonts w:ascii="Arial" w:hAnsi="Arial" w:cs="Arial"/>
                <w:sz w:val="20"/>
                <w:szCs w:val="20"/>
                <w:lang w:val="en-US"/>
              </w:rPr>
              <w:t>0.9902</w:t>
            </w:r>
          </w:p>
        </w:tc>
        <w:tc>
          <w:tcPr>
            <w:tcW w:w="2552" w:type="dxa"/>
            <w:tcBorders>
              <w:top w:val="single" w:sz="12" w:space="0" w:color="auto"/>
            </w:tcBorders>
          </w:tcPr>
          <w:p w14:paraId="79B354CA" w14:textId="77777777" w:rsidR="00B137C2" w:rsidRPr="000620C4" w:rsidRDefault="00B137C2"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117.82x +11.405</w:t>
            </w:r>
          </w:p>
        </w:tc>
      </w:tr>
      <w:tr w:rsidR="00B137C2" w:rsidRPr="000620C4" w14:paraId="10D42821" w14:textId="77777777" w:rsidTr="004A2CB4">
        <w:trPr>
          <w:trHeight w:val="278"/>
        </w:trPr>
        <w:tc>
          <w:tcPr>
            <w:tcW w:w="1700" w:type="dxa"/>
            <w:gridSpan w:val="2"/>
          </w:tcPr>
          <w:p w14:paraId="042C99C7"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Potassium</w:t>
            </w:r>
          </w:p>
        </w:tc>
        <w:tc>
          <w:tcPr>
            <w:tcW w:w="1701" w:type="dxa"/>
            <w:gridSpan w:val="2"/>
          </w:tcPr>
          <w:p w14:paraId="3E1424CF" w14:textId="77777777" w:rsidR="00B137C2" w:rsidRPr="000620C4" w:rsidRDefault="00B137C2"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766.5</w:t>
            </w:r>
          </w:p>
        </w:tc>
        <w:tc>
          <w:tcPr>
            <w:tcW w:w="1560" w:type="dxa"/>
          </w:tcPr>
          <w:p w14:paraId="25D4F7E9"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0.03-1.6</w:t>
            </w:r>
          </w:p>
        </w:tc>
        <w:tc>
          <w:tcPr>
            <w:tcW w:w="1701" w:type="dxa"/>
          </w:tcPr>
          <w:p w14:paraId="76376FE5" w14:textId="77777777" w:rsidR="00B137C2" w:rsidRPr="000620C4" w:rsidRDefault="00B137C2"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0.9910</w:t>
            </w:r>
          </w:p>
        </w:tc>
        <w:tc>
          <w:tcPr>
            <w:tcW w:w="2552" w:type="dxa"/>
          </w:tcPr>
          <w:p w14:paraId="47CCA49E" w14:textId="77777777" w:rsidR="00B137C2" w:rsidRPr="000620C4" w:rsidRDefault="00B137C2"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0.0479x - 0.0112</w:t>
            </w:r>
          </w:p>
        </w:tc>
      </w:tr>
      <w:tr w:rsidR="00B137C2" w:rsidRPr="000620C4" w14:paraId="1B4D5BC6" w14:textId="77777777" w:rsidTr="004A2CB4">
        <w:trPr>
          <w:trHeight w:val="109"/>
        </w:trPr>
        <w:tc>
          <w:tcPr>
            <w:tcW w:w="1700" w:type="dxa"/>
            <w:gridSpan w:val="2"/>
          </w:tcPr>
          <w:p w14:paraId="36142E97"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Magnesium</w:t>
            </w:r>
          </w:p>
        </w:tc>
        <w:tc>
          <w:tcPr>
            <w:tcW w:w="1701" w:type="dxa"/>
            <w:gridSpan w:val="2"/>
          </w:tcPr>
          <w:p w14:paraId="3F4C1DF6" w14:textId="77777777" w:rsidR="00B137C2" w:rsidRPr="000620C4" w:rsidRDefault="00B137C2"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285.2</w:t>
            </w:r>
          </w:p>
        </w:tc>
        <w:tc>
          <w:tcPr>
            <w:tcW w:w="1560" w:type="dxa"/>
          </w:tcPr>
          <w:p w14:paraId="66264EAA"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0.003-0.6</w:t>
            </w:r>
          </w:p>
        </w:tc>
        <w:tc>
          <w:tcPr>
            <w:tcW w:w="1701" w:type="dxa"/>
          </w:tcPr>
          <w:p w14:paraId="66A4C9F7" w14:textId="77777777" w:rsidR="00B137C2" w:rsidRPr="000620C4" w:rsidRDefault="00B137C2"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0.9914</w:t>
            </w:r>
          </w:p>
        </w:tc>
        <w:tc>
          <w:tcPr>
            <w:tcW w:w="2552" w:type="dxa"/>
          </w:tcPr>
          <w:p w14:paraId="5AE4EC62" w14:textId="77777777" w:rsidR="00B137C2" w:rsidRPr="000620C4" w:rsidRDefault="00B137C2"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0.4757x + 0.0033</w:t>
            </w:r>
          </w:p>
        </w:tc>
      </w:tr>
      <w:tr w:rsidR="00B137C2" w:rsidRPr="000620C4" w14:paraId="43184ABE" w14:textId="77777777" w:rsidTr="004A2CB4">
        <w:trPr>
          <w:trHeight w:val="256"/>
        </w:trPr>
        <w:tc>
          <w:tcPr>
            <w:tcW w:w="1700" w:type="dxa"/>
            <w:gridSpan w:val="2"/>
          </w:tcPr>
          <w:p w14:paraId="01C66B30"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Calcium</w:t>
            </w:r>
          </w:p>
        </w:tc>
        <w:tc>
          <w:tcPr>
            <w:tcW w:w="1701" w:type="dxa"/>
            <w:gridSpan w:val="2"/>
          </w:tcPr>
          <w:p w14:paraId="340AC304" w14:textId="77777777" w:rsidR="00B137C2" w:rsidRPr="000620C4" w:rsidRDefault="00B137C2"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422.7</w:t>
            </w:r>
          </w:p>
        </w:tc>
        <w:tc>
          <w:tcPr>
            <w:tcW w:w="1560" w:type="dxa"/>
          </w:tcPr>
          <w:p w14:paraId="1BE83B3D"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0.005-4</w:t>
            </w:r>
          </w:p>
        </w:tc>
        <w:tc>
          <w:tcPr>
            <w:tcW w:w="1701" w:type="dxa"/>
          </w:tcPr>
          <w:p w14:paraId="373541EB" w14:textId="77777777" w:rsidR="00B137C2" w:rsidRPr="000620C4" w:rsidRDefault="00B137C2"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0.9976</w:t>
            </w:r>
          </w:p>
        </w:tc>
        <w:tc>
          <w:tcPr>
            <w:tcW w:w="2552" w:type="dxa"/>
          </w:tcPr>
          <w:p w14:paraId="112E950A" w14:textId="77777777" w:rsidR="00B137C2" w:rsidRPr="000620C4" w:rsidRDefault="00B137C2"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0.0064x - 0.0026</w:t>
            </w:r>
          </w:p>
        </w:tc>
      </w:tr>
      <w:tr w:rsidR="002A0D14" w:rsidRPr="000620C4" w14:paraId="553A9590" w14:textId="77777777" w:rsidTr="004A2CB4">
        <w:trPr>
          <w:trHeight w:val="97"/>
        </w:trPr>
        <w:tc>
          <w:tcPr>
            <w:tcW w:w="1700" w:type="dxa"/>
            <w:gridSpan w:val="2"/>
          </w:tcPr>
          <w:p w14:paraId="15F83803"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Iron</w:t>
            </w:r>
          </w:p>
        </w:tc>
        <w:tc>
          <w:tcPr>
            <w:tcW w:w="1701" w:type="dxa"/>
            <w:gridSpan w:val="2"/>
          </w:tcPr>
          <w:p w14:paraId="6E898E86"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248.3</w:t>
            </w:r>
          </w:p>
        </w:tc>
        <w:tc>
          <w:tcPr>
            <w:tcW w:w="1560" w:type="dxa"/>
          </w:tcPr>
          <w:p w14:paraId="2E2D96CD"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0.05-0.8</w:t>
            </w:r>
          </w:p>
        </w:tc>
        <w:tc>
          <w:tcPr>
            <w:tcW w:w="1701" w:type="dxa"/>
          </w:tcPr>
          <w:p w14:paraId="25FF1482"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0.9965</w:t>
            </w:r>
          </w:p>
        </w:tc>
        <w:tc>
          <w:tcPr>
            <w:tcW w:w="2552" w:type="dxa"/>
          </w:tcPr>
          <w:p w14:paraId="45C2977E"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0.0268x + 0.0069</w:t>
            </w:r>
          </w:p>
        </w:tc>
      </w:tr>
      <w:tr w:rsidR="002A0D14" w:rsidRPr="000620C4" w14:paraId="3959CB6A" w14:textId="77777777" w:rsidTr="004A2CB4">
        <w:trPr>
          <w:trHeight w:val="97"/>
        </w:trPr>
        <w:tc>
          <w:tcPr>
            <w:tcW w:w="1700" w:type="dxa"/>
            <w:gridSpan w:val="2"/>
          </w:tcPr>
          <w:p w14:paraId="43889885"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Nickel</w:t>
            </w:r>
          </w:p>
        </w:tc>
        <w:tc>
          <w:tcPr>
            <w:tcW w:w="1701" w:type="dxa"/>
            <w:gridSpan w:val="2"/>
          </w:tcPr>
          <w:p w14:paraId="6A4FECAC"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232</w:t>
            </w:r>
          </w:p>
        </w:tc>
        <w:tc>
          <w:tcPr>
            <w:tcW w:w="1560" w:type="dxa"/>
          </w:tcPr>
          <w:p w14:paraId="173771D5"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0.09-8</w:t>
            </w:r>
          </w:p>
        </w:tc>
        <w:tc>
          <w:tcPr>
            <w:tcW w:w="1701" w:type="dxa"/>
          </w:tcPr>
          <w:p w14:paraId="4516A8B5"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0.9983</w:t>
            </w:r>
          </w:p>
        </w:tc>
        <w:tc>
          <w:tcPr>
            <w:tcW w:w="2552" w:type="dxa"/>
          </w:tcPr>
          <w:p w14:paraId="115307AA"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0.0162x + 0.0053</w:t>
            </w:r>
          </w:p>
        </w:tc>
      </w:tr>
      <w:tr w:rsidR="002A0D14" w:rsidRPr="000620C4" w14:paraId="48EC12E7" w14:textId="77777777" w:rsidTr="004A2CB4">
        <w:trPr>
          <w:trHeight w:val="85"/>
        </w:trPr>
        <w:tc>
          <w:tcPr>
            <w:tcW w:w="1700" w:type="dxa"/>
            <w:gridSpan w:val="2"/>
          </w:tcPr>
          <w:p w14:paraId="44DD865C"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Copper</w:t>
            </w:r>
          </w:p>
        </w:tc>
        <w:tc>
          <w:tcPr>
            <w:tcW w:w="1701" w:type="dxa"/>
            <w:gridSpan w:val="2"/>
          </w:tcPr>
          <w:p w14:paraId="017863FF"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324</w:t>
            </w:r>
            <w:r w:rsidRPr="000620C4">
              <w:rPr>
                <w:rFonts w:ascii="Arial" w:hAnsi="Arial" w:cs="Arial"/>
                <w:iCs/>
                <w:color w:val="000000" w:themeColor="text1"/>
                <w:sz w:val="20"/>
                <w:szCs w:val="20"/>
                <w:lang w:val="en-US"/>
              </w:rPr>
              <w:t>.8</w:t>
            </w:r>
          </w:p>
        </w:tc>
        <w:tc>
          <w:tcPr>
            <w:tcW w:w="1560" w:type="dxa"/>
          </w:tcPr>
          <w:p w14:paraId="02A0E8AF"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0.01-4</w:t>
            </w:r>
          </w:p>
        </w:tc>
        <w:tc>
          <w:tcPr>
            <w:tcW w:w="1701" w:type="dxa"/>
          </w:tcPr>
          <w:p w14:paraId="720B3A25"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0.9983</w:t>
            </w:r>
          </w:p>
        </w:tc>
        <w:tc>
          <w:tcPr>
            <w:tcW w:w="2552" w:type="dxa"/>
          </w:tcPr>
          <w:p w14:paraId="33C2881A"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0.1081x + 0.0029</w:t>
            </w:r>
          </w:p>
        </w:tc>
      </w:tr>
      <w:tr w:rsidR="002A0D14" w:rsidRPr="000620C4" w14:paraId="7D217CA8" w14:textId="77777777" w:rsidTr="004A2CB4">
        <w:trPr>
          <w:trHeight w:val="85"/>
        </w:trPr>
        <w:tc>
          <w:tcPr>
            <w:tcW w:w="1700" w:type="dxa"/>
            <w:gridSpan w:val="2"/>
            <w:tcBorders>
              <w:bottom w:val="nil"/>
            </w:tcBorders>
          </w:tcPr>
          <w:p w14:paraId="239E105F"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Zinc</w:t>
            </w:r>
          </w:p>
        </w:tc>
        <w:tc>
          <w:tcPr>
            <w:tcW w:w="1701" w:type="dxa"/>
            <w:gridSpan w:val="2"/>
            <w:tcBorders>
              <w:bottom w:val="nil"/>
            </w:tcBorders>
          </w:tcPr>
          <w:p w14:paraId="01E6C7EF"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213.9</w:t>
            </w:r>
          </w:p>
        </w:tc>
        <w:tc>
          <w:tcPr>
            <w:tcW w:w="1560" w:type="dxa"/>
            <w:tcBorders>
              <w:bottom w:val="nil"/>
            </w:tcBorders>
          </w:tcPr>
          <w:p w14:paraId="0D90D0E0"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0.005-1.6</w:t>
            </w:r>
          </w:p>
        </w:tc>
        <w:tc>
          <w:tcPr>
            <w:tcW w:w="1701" w:type="dxa"/>
            <w:tcBorders>
              <w:bottom w:val="nil"/>
            </w:tcBorders>
          </w:tcPr>
          <w:p w14:paraId="07A9EBEF"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0.9935</w:t>
            </w:r>
          </w:p>
        </w:tc>
        <w:tc>
          <w:tcPr>
            <w:tcW w:w="2552" w:type="dxa"/>
            <w:tcBorders>
              <w:bottom w:val="nil"/>
            </w:tcBorders>
          </w:tcPr>
          <w:p w14:paraId="1CCCF00A"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0.1638x + 0.0048</w:t>
            </w:r>
          </w:p>
        </w:tc>
      </w:tr>
      <w:tr w:rsidR="002A0D14" w:rsidRPr="000620C4" w14:paraId="4B6D4205" w14:textId="77777777" w:rsidTr="004A2CB4">
        <w:trPr>
          <w:trHeight w:val="85"/>
        </w:trPr>
        <w:tc>
          <w:tcPr>
            <w:tcW w:w="1700" w:type="dxa"/>
            <w:gridSpan w:val="2"/>
            <w:tcBorders>
              <w:top w:val="nil"/>
              <w:bottom w:val="single" w:sz="12" w:space="0" w:color="auto"/>
            </w:tcBorders>
          </w:tcPr>
          <w:p w14:paraId="08B82EBF"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Cadmium</w:t>
            </w:r>
          </w:p>
        </w:tc>
        <w:tc>
          <w:tcPr>
            <w:tcW w:w="1701" w:type="dxa"/>
            <w:gridSpan w:val="2"/>
            <w:tcBorders>
              <w:top w:val="nil"/>
              <w:bottom w:val="single" w:sz="12" w:space="0" w:color="auto"/>
            </w:tcBorders>
          </w:tcPr>
          <w:p w14:paraId="1CE616A7"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228.8</w:t>
            </w:r>
          </w:p>
        </w:tc>
        <w:tc>
          <w:tcPr>
            <w:tcW w:w="1560" w:type="dxa"/>
            <w:tcBorders>
              <w:top w:val="nil"/>
              <w:bottom w:val="single" w:sz="12" w:space="0" w:color="auto"/>
            </w:tcBorders>
          </w:tcPr>
          <w:p w14:paraId="41FFC029"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0.004-1.8</w:t>
            </w:r>
          </w:p>
        </w:tc>
        <w:tc>
          <w:tcPr>
            <w:tcW w:w="1701" w:type="dxa"/>
            <w:tcBorders>
              <w:top w:val="nil"/>
              <w:bottom w:val="single" w:sz="12" w:space="0" w:color="auto"/>
            </w:tcBorders>
          </w:tcPr>
          <w:p w14:paraId="0B7BC747"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0.9974</w:t>
            </w:r>
          </w:p>
        </w:tc>
        <w:tc>
          <w:tcPr>
            <w:tcW w:w="2552" w:type="dxa"/>
            <w:tcBorders>
              <w:top w:val="nil"/>
              <w:bottom w:val="single" w:sz="12" w:space="0" w:color="auto"/>
            </w:tcBorders>
          </w:tcPr>
          <w:p w14:paraId="2698B53A"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0.0685x +0.0015</w:t>
            </w:r>
          </w:p>
        </w:tc>
      </w:tr>
    </w:tbl>
    <w:p w14:paraId="44058E8F" w14:textId="77777777" w:rsidR="00B137C2" w:rsidRPr="000620C4" w:rsidRDefault="00B137C2" w:rsidP="005A6A25">
      <w:pPr>
        <w:spacing w:line="240" w:lineRule="auto"/>
        <w:rPr>
          <w:rFonts w:ascii="Arial" w:hAnsi="Arial" w:cs="Arial"/>
          <w:sz w:val="20"/>
          <w:szCs w:val="20"/>
          <w:lang w:val="en-US"/>
        </w:rPr>
      </w:pPr>
    </w:p>
    <w:bookmarkEnd w:id="0"/>
    <w:p w14:paraId="395F435C" w14:textId="77777777" w:rsidR="00F66B08" w:rsidRPr="000620C4" w:rsidRDefault="00F66B08" w:rsidP="00F92486">
      <w:pPr>
        <w:pStyle w:val="Heading2"/>
      </w:pPr>
      <w:r w:rsidRPr="000620C4">
        <w:lastRenderedPageBreak/>
        <w:t>Human Health Risk Assessment</w:t>
      </w:r>
    </w:p>
    <w:p w14:paraId="16A7FB2A" w14:textId="4CA17746" w:rsidR="00F66B08" w:rsidRPr="000620C4" w:rsidRDefault="00F66B08" w:rsidP="005A6A25">
      <w:pPr>
        <w:spacing w:line="240" w:lineRule="auto"/>
        <w:rPr>
          <w:rFonts w:ascii="Arial" w:hAnsi="Arial" w:cs="Arial"/>
          <w:sz w:val="20"/>
          <w:szCs w:val="20"/>
          <w:lang w:val="en-US"/>
        </w:rPr>
      </w:pPr>
      <w:r w:rsidRPr="000620C4">
        <w:rPr>
          <w:rFonts w:ascii="Arial" w:hAnsi="Arial" w:cs="Arial"/>
          <w:sz w:val="20"/>
          <w:szCs w:val="20"/>
          <w:lang w:val="en-US"/>
        </w:rPr>
        <w:t xml:space="preserve">Consumption of </w:t>
      </w:r>
      <w:r w:rsidR="005E2A66" w:rsidRPr="000620C4">
        <w:rPr>
          <w:rFonts w:ascii="Arial" w:hAnsi="Arial" w:cs="Arial"/>
          <w:sz w:val="20"/>
          <w:szCs w:val="20"/>
          <w:lang w:val="en-US"/>
        </w:rPr>
        <w:t xml:space="preserve">leaves, </w:t>
      </w:r>
      <w:r w:rsidR="007D4717" w:rsidRPr="000620C4">
        <w:rPr>
          <w:rFonts w:ascii="Arial" w:hAnsi="Arial" w:cs="Arial"/>
          <w:sz w:val="20"/>
          <w:szCs w:val="20"/>
          <w:lang w:val="en-US"/>
        </w:rPr>
        <w:t>peels</w:t>
      </w:r>
      <w:r w:rsidR="005E2A66" w:rsidRPr="000620C4">
        <w:rPr>
          <w:rFonts w:ascii="Arial" w:hAnsi="Arial" w:cs="Arial"/>
          <w:sz w:val="20"/>
          <w:szCs w:val="20"/>
          <w:lang w:val="en-US"/>
        </w:rPr>
        <w:t xml:space="preserve"> and flesh of sweet potatoes </w:t>
      </w:r>
      <w:r w:rsidRPr="000620C4">
        <w:rPr>
          <w:rFonts w:ascii="Arial" w:hAnsi="Arial" w:cs="Arial"/>
          <w:sz w:val="20"/>
          <w:szCs w:val="20"/>
          <w:lang w:val="en-US"/>
        </w:rPr>
        <w:t xml:space="preserve">containing heavy metals may pose a risk to human health. This risk can be assessed based on the estimated daily intake (EDI) (equation 1) of heavy metals, the target hazard quotient (THQ) (equation 2) and the hazard index (HI) (equation 3). To estimate the daily metal burden in the body of a consumer of a given body weight, the estimated daily intake (EDI) was calculated using the following equation 1 </w:t>
      </w:r>
      <w:r w:rsidR="00470393" w:rsidRPr="000620C4">
        <w:rPr>
          <w:rFonts w:ascii="Arial" w:hAnsi="Arial" w:cs="Arial"/>
          <w:sz w:val="20"/>
          <w:szCs w:val="20"/>
          <w:lang w:val="en-US"/>
        </w:rPr>
        <w:fldChar w:fldCharType="begin"/>
      </w:r>
      <w:r w:rsidR="00632C01" w:rsidRPr="000620C4">
        <w:rPr>
          <w:rFonts w:ascii="Arial" w:hAnsi="Arial" w:cs="Arial"/>
          <w:sz w:val="20"/>
          <w:szCs w:val="20"/>
          <w:lang w:val="en-US"/>
        </w:rPr>
        <w:instrText xml:space="preserve"> ADDIN ZOTERO_ITEM CSL_CITATION {"citationID":"WU5yWv1Z","properties":{"formattedCitation":"(Adefa &amp; Tefera, 2020; Oladeji et al., 2024)","plainCitation":"(Adefa &amp; Tefera, 2020; Oladeji et al., 2024)","noteIndex":0},"citationItems":[{"id":3223,"uris":["http://zotero.org/users/local/JzcqJHT8/items/9X6T9VFA"],"itemData":{"id":3223,"type":"article-journal","abstract":"Moringa oleifera is rich in minerals and medicinally important tree species of family Moringaceae. In this study the concentration of selected heavy metals (cadmium, copper, chromium, lead and zinc) in Moringa oleifera leaves collected from Guangua and Zigem woredas in Awi Zone, Ethiopia using ICP-OES. The concentrations of metals in Moringa oleifera at Guangua and Zigem were found to be 9.0 and 4.35 mg/kg for Cr, 8.7 and 7.1 mg/kg for Cu and 56.7 and 28.8 mg/kg for Zn, respectively. However, the concentrations of Pb and Cd in all samples were below the detection limit. The concentration of Cu in Guangua and Zigem; and Zn in Zigem were below the permissible limit recommended by WHO. However, the concentration of Cr in both Guangua and Zigem; and Zn in Guangua were found above the permissible limit set by WHO. The validity of the optimized digested procedure was evaluated by spiking the digested samples with standard solution of metals and the percentage recoveries were found in the range 95.8 to 110.0%. The THQ values of Cr were found &gt; 1, indicating that the consumption of Moringa oleifera may cause possible non-carcinogenic health risk. The values health index (HI) were of 9.866 and 4.882 at Guangua and Zigem, respectively, clearly suggests the possible adverse health effect to adult population from the consumption of Moringa oleifera the study areas.","container-title":"Chemistry Africa","DOI":"10.1007/s42250-020-00181-0","ISSN":"2522-5766","issue":"4","journalAbbreviation":"Chemistry Africa","page":"1073-1079","title":"Heavy Metal Accumulation and Health Risk Assessment in Moringa Oleifera from Awi Zone, Ethiopia","volume":"3","author":[{"family":"Adefa","given":"Tewodros"},{"family":"Tefera","given":"Molla"}],"issued":{"date-parts":[["2020",12,1]]}},"label":"page"},{"id":3222,"uris":["http://zotero.org/users/local/JzcqJHT8/items/96KDMR4E"],"itemData":{"id":3222,"type":"article-journal","abstract":"The use of medicinal plants for the treatment of diseases, including cancer, is acknowledged and accepted in many African nations. Heavy metal contamination of plant materials poses a potential health risk, particularly for populations that are already vulnerable. This study determines the levels of heavy metals in medicinal plant samples used for treatment of skin cancer and evaluate the health risk caused by heavy metals to the adult population in Pretoria, South Africa using inductively coupled plasma mass spectrometry (ICP-MS). The concentrations of metals were as follows; As (&lt;0.2 – 1.04±0.026), Cd (0.02 ±0.00026 – 0.167±0.006), Pb (0.38 ±0.01 – 2.27±0.05), Cr (5.31±0.21– 26.9 ±3.96) mg/kg, and Hg which were lesser than 0.02 mg/kg. The mean concentrations of all analyzed heavy metals are above permissible limit except for Hg which are lower than the permissible limit. The Hazard Quotient (THQ) was less than 1 for all the heavy metals, suggesting that there are no obvious non-carcinogenic health risks associated with the consumption of these medicinal plants for now even though the prolonged use may result in health risks. The ingestion route was identified as the primary contributor to the overall risk by the health index (HI) values in the present study, which were more than 1, indicating that the combined effects of the heavy metal contaminants present in a particular herbal preparation pose health risk in the long term. Our findings support the need for close monitoring of potential heavy metal concentrations in medicinal plants given to patients from herbal shops.","container-title":"Biological Trace Element Research","DOI":"10.1007/s12011-023-03701-4","ISSN":"1559-0720","issue":"2","journalAbbreviation":"Biological Trace Element Research","page":"778-786","title":"Investigation of Heavy Metal Analysis on Medicinal Plants Used for the Treatment of Skin Cancer by Traditional Practitioners in Pretoria","volume":"202","author":[{"family":"Oladeji","given":"Oluwaseun Mary"},{"family":"Kopaopa","given":"Boikanyo Genneyrolter"},{"family":"Mugivhisa","given":"Liziwe Lizbeth"},{"family":"Olowoyo","given":"Joshua Oluwole"}],"issued":{"date-parts":[["2024",2,1]]}},"label":"page"}],"schema":"https://github.com/citation-style-language/schema/raw/master/csl-citation.json"} </w:instrText>
      </w:r>
      <w:r w:rsidR="00470393" w:rsidRPr="000620C4">
        <w:rPr>
          <w:rFonts w:ascii="Arial" w:hAnsi="Arial" w:cs="Arial"/>
          <w:sz w:val="20"/>
          <w:szCs w:val="20"/>
          <w:lang w:val="en-US"/>
        </w:rPr>
        <w:fldChar w:fldCharType="separate"/>
      </w:r>
      <w:r w:rsidR="00632C01" w:rsidRPr="000620C4">
        <w:rPr>
          <w:rFonts w:ascii="Arial" w:hAnsi="Arial" w:cs="Arial"/>
          <w:sz w:val="20"/>
          <w:szCs w:val="20"/>
          <w:lang w:val="en-US"/>
        </w:rPr>
        <w:t>(Adefa &amp; Tefera, 2020; Oladeji et al., 2024)</w:t>
      </w:r>
      <w:r w:rsidR="00470393" w:rsidRPr="000620C4">
        <w:rPr>
          <w:rFonts w:ascii="Arial" w:hAnsi="Arial" w:cs="Arial"/>
          <w:sz w:val="20"/>
          <w:szCs w:val="20"/>
          <w:lang w:val="en-US"/>
        </w:rPr>
        <w:fldChar w:fldCharType="end"/>
      </w:r>
      <w:r w:rsidRPr="000620C4">
        <w:rPr>
          <w:rFonts w:ascii="Arial" w:hAnsi="Arial" w:cs="Arial"/>
          <w:sz w:val="20"/>
          <w:szCs w:val="20"/>
          <w:lang w:val="en-US"/>
        </w:rPr>
        <w:t>.</w:t>
      </w:r>
    </w:p>
    <w:p w14:paraId="5A1D8509" w14:textId="77777777" w:rsidR="00DE2A71" w:rsidRPr="000620C4" w:rsidRDefault="00DE2A71" w:rsidP="005A6A25">
      <w:pPr>
        <w:spacing w:line="240" w:lineRule="auto"/>
        <w:rPr>
          <w:rFonts w:ascii="Arial" w:hAnsi="Arial" w:cs="Arial"/>
          <w:sz w:val="20"/>
          <w:szCs w:val="20"/>
          <w:lang w:val="en-US"/>
        </w:rPr>
      </w:pPr>
    </w:p>
    <w:p w14:paraId="455B2C76" w14:textId="77777777" w:rsidR="00F66B08" w:rsidRPr="000620C4" w:rsidRDefault="00F66B08" w:rsidP="005A6A25">
      <w:pPr>
        <w:spacing w:line="240" w:lineRule="auto"/>
        <w:jc w:val="center"/>
        <w:rPr>
          <w:rFonts w:ascii="Arial" w:eastAsiaTheme="minorEastAsia" w:hAnsi="Arial" w:cs="Arial"/>
          <w:sz w:val="20"/>
          <w:szCs w:val="20"/>
          <w:lang w:val="en-US"/>
        </w:rPr>
      </w:pPr>
      <w:r w:rsidRPr="000620C4">
        <w:rPr>
          <w:rFonts w:ascii="Arial" w:eastAsiaTheme="minorEastAsia" w:hAnsi="Arial" w:cs="Arial"/>
          <w:i/>
          <w:iCs/>
          <w:sz w:val="20"/>
          <w:szCs w:val="20"/>
          <w:lang w:val="en-US"/>
        </w:rPr>
        <w:t>EDI</w:t>
      </w:r>
      <w:r w:rsidRPr="000620C4">
        <w:rPr>
          <w:rFonts w:ascii="Arial" w:eastAsiaTheme="minorEastAsia" w:hAnsi="Arial" w:cs="Arial"/>
          <w:sz w:val="20"/>
          <w:szCs w:val="20"/>
          <w:lang w:val="en-US"/>
        </w:rPr>
        <w:t xml:space="preserve"> = </w:t>
      </w:r>
      <m:oMath>
        <m:f>
          <m:fPr>
            <m:ctrlPr>
              <w:rPr>
                <w:rFonts w:ascii="Cambria Math" w:hAnsi="Cambria Math" w:cs="Arial"/>
                <w:i/>
                <w:sz w:val="20"/>
                <w:szCs w:val="20"/>
                <w:lang w:val="en-US"/>
              </w:rPr>
            </m:ctrlPr>
          </m:fPr>
          <m:num>
            <m:r>
              <w:rPr>
                <w:rFonts w:ascii="Cambria Math" w:hAnsi="Cambria Math" w:cs="Arial"/>
                <w:sz w:val="20"/>
                <w:szCs w:val="20"/>
                <w:lang w:val="en-US"/>
              </w:rPr>
              <m:t>Cn*IR*EF*ED</m:t>
            </m:r>
          </m:num>
          <m:den>
            <m:r>
              <w:rPr>
                <w:rFonts w:ascii="Cambria Math" w:hAnsi="Cambria Math" w:cs="Arial"/>
                <w:sz w:val="20"/>
                <w:szCs w:val="20"/>
                <w:lang w:val="en-US"/>
              </w:rPr>
              <m:t>BW*AT*1000</m:t>
            </m:r>
          </m:den>
        </m:f>
      </m:oMath>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t>equation 1</w:t>
      </w:r>
    </w:p>
    <w:p w14:paraId="55C5792B" w14:textId="77777777" w:rsidR="00F66B08" w:rsidRPr="000620C4" w:rsidRDefault="00F66B08" w:rsidP="005A6A25">
      <w:pPr>
        <w:spacing w:line="240" w:lineRule="auto"/>
        <w:jc w:val="center"/>
        <w:rPr>
          <w:rFonts w:ascii="Arial" w:eastAsiaTheme="minorEastAsia" w:hAnsi="Arial" w:cs="Arial"/>
          <w:sz w:val="20"/>
          <w:szCs w:val="20"/>
          <w:lang w:val="en-US"/>
        </w:rPr>
      </w:pPr>
    </w:p>
    <w:p w14:paraId="13C63958" w14:textId="30E36C33" w:rsidR="00F66B08" w:rsidRPr="000620C4" w:rsidRDefault="00F66B08" w:rsidP="005A6A25">
      <w:pPr>
        <w:spacing w:line="240" w:lineRule="auto"/>
        <w:rPr>
          <w:rFonts w:ascii="Arial" w:hAnsi="Arial" w:cs="Arial"/>
          <w:sz w:val="20"/>
          <w:szCs w:val="20"/>
          <w:lang w:val="en-US"/>
        </w:rPr>
      </w:pPr>
      <w:r w:rsidRPr="000620C4">
        <w:rPr>
          <w:rFonts w:ascii="Arial" w:hAnsi="Arial" w:cs="Arial"/>
          <w:sz w:val="20"/>
          <w:szCs w:val="20"/>
          <w:lang w:val="en-US"/>
        </w:rPr>
        <w:t>(</w:t>
      </w:r>
      <w:r w:rsidRPr="000620C4">
        <w:rPr>
          <w:rFonts w:ascii="Arial" w:hAnsi="Arial" w:cs="Arial"/>
          <w:i/>
          <w:iCs/>
          <w:sz w:val="20"/>
          <w:szCs w:val="20"/>
          <w:lang w:val="en-US"/>
        </w:rPr>
        <w:t>EDI</w:t>
      </w:r>
      <w:r w:rsidRPr="000620C4">
        <w:rPr>
          <w:rFonts w:ascii="Arial" w:hAnsi="Arial" w:cs="Arial"/>
          <w:sz w:val="20"/>
          <w:szCs w:val="20"/>
          <w:lang w:val="en-US"/>
        </w:rPr>
        <w:t xml:space="preserve"> is the estimated daily intake of heavy metals ingested from a</w:t>
      </w:r>
      <w:r w:rsidR="00F80AC3">
        <w:rPr>
          <w:rFonts w:ascii="Arial" w:hAnsi="Arial" w:cs="Arial"/>
          <w:sz w:val="20"/>
          <w:szCs w:val="20"/>
          <w:lang w:val="en-US"/>
        </w:rPr>
        <w:t>n</w:t>
      </w:r>
      <w:r w:rsidRPr="000620C4">
        <w:rPr>
          <w:rFonts w:ascii="Arial" w:hAnsi="Arial" w:cs="Arial"/>
          <w:sz w:val="20"/>
          <w:szCs w:val="20"/>
          <w:lang w:val="en-US"/>
        </w:rPr>
        <w:t xml:space="preserve"> </w:t>
      </w:r>
      <w:r w:rsidR="00F80AC3">
        <w:rPr>
          <w:rFonts w:ascii="Arial" w:hAnsi="Arial" w:cs="Arial"/>
          <w:sz w:val="20"/>
          <w:szCs w:val="20"/>
          <w:lang w:val="en-US"/>
        </w:rPr>
        <w:t>agricultural crop</w:t>
      </w:r>
      <w:r w:rsidRPr="000620C4">
        <w:rPr>
          <w:rFonts w:ascii="Arial" w:hAnsi="Arial" w:cs="Arial"/>
          <w:sz w:val="20"/>
          <w:szCs w:val="20"/>
          <w:lang w:val="en-US"/>
        </w:rPr>
        <w:t xml:space="preserve"> in mg/kg day, </w:t>
      </w:r>
      <w:r w:rsidRPr="000620C4">
        <w:rPr>
          <w:rFonts w:ascii="Arial" w:hAnsi="Arial" w:cs="Arial"/>
          <w:i/>
          <w:iCs/>
          <w:sz w:val="20"/>
          <w:szCs w:val="20"/>
          <w:lang w:val="en-US"/>
        </w:rPr>
        <w:t>Cn</w:t>
      </w:r>
      <w:r w:rsidRPr="000620C4">
        <w:rPr>
          <w:rFonts w:ascii="Arial" w:hAnsi="Arial" w:cs="Arial"/>
          <w:sz w:val="20"/>
          <w:szCs w:val="20"/>
          <w:lang w:val="en-US"/>
        </w:rPr>
        <w:t xml:space="preserve"> is the concentration of heavy metal in </w:t>
      </w:r>
      <w:r w:rsidR="00F80AC3">
        <w:rPr>
          <w:rFonts w:ascii="Arial" w:hAnsi="Arial" w:cs="Arial"/>
          <w:sz w:val="20"/>
          <w:szCs w:val="20"/>
          <w:lang w:val="en-US"/>
        </w:rPr>
        <w:t>agricultural crop</w:t>
      </w:r>
      <w:r w:rsidRPr="000620C4">
        <w:rPr>
          <w:rFonts w:ascii="Arial" w:hAnsi="Arial" w:cs="Arial"/>
          <w:sz w:val="20"/>
          <w:szCs w:val="20"/>
          <w:lang w:val="en-US"/>
        </w:rPr>
        <w:t xml:space="preserve"> measured in mg/kg, </w:t>
      </w:r>
      <w:r w:rsidRPr="000620C4">
        <w:rPr>
          <w:rFonts w:ascii="Arial" w:hAnsi="Arial" w:cs="Arial"/>
          <w:i/>
          <w:iCs/>
          <w:sz w:val="20"/>
          <w:szCs w:val="20"/>
          <w:lang w:val="en-US"/>
        </w:rPr>
        <w:t>IR</w:t>
      </w:r>
      <w:r w:rsidRPr="000620C4">
        <w:rPr>
          <w:rFonts w:ascii="Arial" w:hAnsi="Arial" w:cs="Arial"/>
          <w:sz w:val="20"/>
          <w:szCs w:val="20"/>
          <w:lang w:val="en-US"/>
        </w:rPr>
        <w:t xml:space="preserve"> is the ingestion rate which is measured in mg/day, </w:t>
      </w:r>
      <w:r w:rsidRPr="000620C4">
        <w:rPr>
          <w:rFonts w:ascii="Arial" w:hAnsi="Arial" w:cs="Arial"/>
          <w:i/>
          <w:iCs/>
          <w:sz w:val="20"/>
          <w:szCs w:val="20"/>
          <w:lang w:val="en-US"/>
        </w:rPr>
        <w:t xml:space="preserve">EF </w:t>
      </w:r>
      <w:r w:rsidRPr="000620C4">
        <w:rPr>
          <w:rFonts w:ascii="Arial" w:hAnsi="Arial" w:cs="Arial"/>
          <w:sz w:val="20"/>
          <w:szCs w:val="20"/>
          <w:lang w:val="en-US"/>
        </w:rPr>
        <w:t xml:space="preserve">is the exposure frequency in days/year, </w:t>
      </w:r>
      <w:r w:rsidRPr="000620C4">
        <w:rPr>
          <w:rFonts w:ascii="Arial" w:hAnsi="Arial" w:cs="Arial"/>
          <w:i/>
          <w:iCs/>
          <w:sz w:val="20"/>
          <w:szCs w:val="20"/>
          <w:lang w:val="en-US"/>
        </w:rPr>
        <w:t>ED</w:t>
      </w:r>
      <w:r w:rsidRPr="000620C4">
        <w:rPr>
          <w:rFonts w:ascii="Arial" w:hAnsi="Arial" w:cs="Arial"/>
          <w:sz w:val="20"/>
          <w:szCs w:val="20"/>
          <w:lang w:val="en-US"/>
        </w:rPr>
        <w:t xml:space="preserve"> is the exposure duration over years, </w:t>
      </w:r>
      <w:r w:rsidRPr="000620C4">
        <w:rPr>
          <w:rFonts w:ascii="Arial" w:hAnsi="Arial" w:cs="Arial"/>
          <w:i/>
          <w:iCs/>
          <w:sz w:val="20"/>
          <w:szCs w:val="20"/>
          <w:lang w:val="en-US"/>
        </w:rPr>
        <w:t>BW</w:t>
      </w:r>
      <w:r w:rsidRPr="000620C4">
        <w:rPr>
          <w:rFonts w:ascii="Arial" w:hAnsi="Arial" w:cs="Arial"/>
          <w:sz w:val="20"/>
          <w:szCs w:val="20"/>
          <w:lang w:val="en-US"/>
        </w:rPr>
        <w:t xml:space="preserve"> is the body weight of the exposed individual in kg, </w:t>
      </w:r>
      <w:r w:rsidRPr="000620C4">
        <w:rPr>
          <w:rFonts w:ascii="Arial" w:hAnsi="Arial" w:cs="Arial"/>
          <w:i/>
          <w:iCs/>
          <w:sz w:val="20"/>
          <w:szCs w:val="20"/>
          <w:lang w:val="en-US"/>
        </w:rPr>
        <w:t>AT</w:t>
      </w:r>
      <w:r w:rsidRPr="000620C4">
        <w:rPr>
          <w:rFonts w:ascii="Arial" w:hAnsi="Arial" w:cs="Arial"/>
          <w:sz w:val="20"/>
          <w:szCs w:val="20"/>
          <w:lang w:val="en-US"/>
        </w:rPr>
        <w:t xml:space="preserve"> is the time period over which the dose is averaged in days as seen in Table 2).</w:t>
      </w:r>
    </w:p>
    <w:p w14:paraId="3692ACD3" w14:textId="77777777" w:rsidR="00F66B08" w:rsidRPr="000620C4" w:rsidRDefault="00F66B08" w:rsidP="005A6A25">
      <w:pPr>
        <w:spacing w:line="240" w:lineRule="auto"/>
        <w:rPr>
          <w:rFonts w:ascii="Arial" w:hAnsi="Arial" w:cs="Arial"/>
          <w:sz w:val="20"/>
          <w:szCs w:val="20"/>
          <w:lang w:val="en-US"/>
        </w:rPr>
      </w:pPr>
    </w:p>
    <w:p w14:paraId="0F7CF101" w14:textId="77777777" w:rsidR="007120D2" w:rsidRPr="000620C4" w:rsidRDefault="007120D2" w:rsidP="005A6A25">
      <w:pPr>
        <w:spacing w:line="240" w:lineRule="auto"/>
        <w:rPr>
          <w:rFonts w:ascii="Arial" w:hAnsi="Arial" w:cs="Arial"/>
          <w:b/>
          <w:bCs/>
          <w:sz w:val="20"/>
          <w:szCs w:val="20"/>
          <w:lang w:val="en-US"/>
        </w:rPr>
      </w:pPr>
    </w:p>
    <w:p w14:paraId="069EE0D0" w14:textId="75B4BFE3" w:rsidR="00F15FD9" w:rsidRPr="000620C4" w:rsidRDefault="00F15FD9" w:rsidP="005A6A25">
      <w:pPr>
        <w:spacing w:after="240" w:line="240" w:lineRule="auto"/>
        <w:rPr>
          <w:rFonts w:ascii="Arial" w:hAnsi="Arial" w:cs="Arial"/>
          <w:b/>
          <w:bCs/>
          <w:sz w:val="20"/>
          <w:szCs w:val="20"/>
          <w:lang w:val="en-US"/>
        </w:rPr>
      </w:pPr>
      <w:bookmarkStart w:id="1" w:name="_Hlk201510889"/>
      <w:r w:rsidRPr="000620C4">
        <w:rPr>
          <w:rFonts w:ascii="Arial" w:hAnsi="Arial" w:cs="Arial"/>
          <w:b/>
          <w:bCs/>
          <w:sz w:val="20"/>
          <w:szCs w:val="20"/>
          <w:lang w:val="en-US"/>
        </w:rPr>
        <w:t xml:space="preserve">Table 2. Exposure parameters for health risk assessment through various exposure pathways for plants </w:t>
      </w:r>
      <w:r w:rsidR="00706981" w:rsidRPr="000620C4">
        <w:rPr>
          <w:rFonts w:ascii="Arial" w:hAnsi="Arial" w:cs="Arial"/>
          <w:b/>
          <w:bCs/>
          <w:sz w:val="20"/>
          <w:szCs w:val="20"/>
          <w:lang w:val="en-US"/>
        </w:rPr>
        <w:fldChar w:fldCharType="begin"/>
      </w:r>
      <w:r w:rsidR="009B4C58" w:rsidRPr="000620C4">
        <w:rPr>
          <w:rFonts w:ascii="Arial" w:hAnsi="Arial" w:cs="Arial"/>
          <w:b/>
          <w:bCs/>
          <w:sz w:val="20"/>
          <w:szCs w:val="20"/>
          <w:lang w:val="en-US"/>
        </w:rPr>
        <w:instrText xml:space="preserve"> ADDIN ZOTERO_ITEM CSL_CITATION {"citationID":"WYZ2dwdq","properties":{"formattedCitation":"(US Environmental Protection Agency, 2004)","plainCitation":"(US Environmental Protection Agency, 2004)","noteIndex":0},"citationItems":[{"id":3314,"uris":["http://zotero.org/users/local/JzcqJHT8/items/AAUTZ4LV"],"itemData":{"id":3314,"type":"document","title":"United States Environmental Protection Agency (USEPA). (2004). Guidelines for water reuse","URL":"https://www.epa.gov/sites/default/files/2019-08/documents/2004-guidelines-water-reuse.pdf. Accessed May 10, 2025","author":[{"family":"US Environmental Protection Agency","given":""}],"accessed":{"date-parts":[["2025",5,10]]},"issued":{"date-parts":[["2004"]]}}}],"schema":"https://github.com/citation-style-language/schema/raw/master/csl-citation.json"} </w:instrText>
      </w:r>
      <w:r w:rsidR="00706981" w:rsidRPr="000620C4">
        <w:rPr>
          <w:rFonts w:ascii="Arial" w:hAnsi="Arial" w:cs="Arial"/>
          <w:b/>
          <w:bCs/>
          <w:sz w:val="20"/>
          <w:szCs w:val="20"/>
          <w:lang w:val="en-US"/>
        </w:rPr>
        <w:fldChar w:fldCharType="separate"/>
      </w:r>
      <w:r w:rsidR="009B4C58" w:rsidRPr="000620C4">
        <w:rPr>
          <w:rFonts w:ascii="Arial" w:hAnsi="Arial" w:cs="Arial"/>
          <w:sz w:val="20"/>
          <w:szCs w:val="20"/>
          <w:lang w:val="en-US"/>
        </w:rPr>
        <w:t>(US Environmental Protection Agency, 2004)</w:t>
      </w:r>
      <w:r w:rsidR="00706981" w:rsidRPr="000620C4">
        <w:rPr>
          <w:rFonts w:ascii="Arial" w:hAnsi="Arial" w:cs="Arial"/>
          <w:b/>
          <w:bCs/>
          <w:sz w:val="20"/>
          <w:szCs w:val="20"/>
          <w:lang w:val="en-US"/>
        </w:rPr>
        <w:fldChar w:fldCharType="end"/>
      </w:r>
      <w:r w:rsidRPr="000620C4">
        <w:rPr>
          <w:rFonts w:ascii="Arial" w:hAnsi="Arial" w:cs="Arial"/>
          <w:b/>
          <w:bCs/>
          <w:sz w:val="20"/>
          <w:szCs w:val="20"/>
          <w:lang w:val="en-US"/>
        </w:rPr>
        <w:t xml:space="preserve"> </w:t>
      </w: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984"/>
        <w:gridCol w:w="1559"/>
      </w:tblGrid>
      <w:tr w:rsidR="00F15FD9" w:rsidRPr="000620C4" w14:paraId="0D1EBAB0" w14:textId="77777777" w:rsidTr="00FF5211">
        <w:tc>
          <w:tcPr>
            <w:tcW w:w="5387" w:type="dxa"/>
            <w:tcBorders>
              <w:top w:val="single" w:sz="12" w:space="0" w:color="auto"/>
              <w:bottom w:val="single" w:sz="12" w:space="0" w:color="auto"/>
            </w:tcBorders>
          </w:tcPr>
          <w:p w14:paraId="18234C4E"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Parameter</w:t>
            </w:r>
          </w:p>
        </w:tc>
        <w:tc>
          <w:tcPr>
            <w:tcW w:w="1984" w:type="dxa"/>
            <w:tcBorders>
              <w:top w:val="single" w:sz="12" w:space="0" w:color="auto"/>
              <w:bottom w:val="single" w:sz="12" w:space="0" w:color="auto"/>
            </w:tcBorders>
          </w:tcPr>
          <w:p w14:paraId="1D32FD6B"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Unit</w:t>
            </w:r>
          </w:p>
        </w:tc>
        <w:tc>
          <w:tcPr>
            <w:tcW w:w="1559" w:type="dxa"/>
            <w:tcBorders>
              <w:top w:val="single" w:sz="12" w:space="0" w:color="auto"/>
              <w:bottom w:val="single" w:sz="12" w:space="0" w:color="auto"/>
            </w:tcBorders>
          </w:tcPr>
          <w:p w14:paraId="4830A45F"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Adult</w:t>
            </w:r>
          </w:p>
        </w:tc>
      </w:tr>
      <w:tr w:rsidR="00F15FD9" w:rsidRPr="000620C4" w14:paraId="3A21DE7D" w14:textId="77777777" w:rsidTr="00FF5211">
        <w:tc>
          <w:tcPr>
            <w:tcW w:w="5387" w:type="dxa"/>
            <w:tcBorders>
              <w:top w:val="single" w:sz="12" w:space="0" w:color="auto"/>
            </w:tcBorders>
          </w:tcPr>
          <w:p w14:paraId="6EECB42C"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Body weight</w:t>
            </w:r>
          </w:p>
        </w:tc>
        <w:tc>
          <w:tcPr>
            <w:tcW w:w="1984" w:type="dxa"/>
            <w:tcBorders>
              <w:top w:val="single" w:sz="12" w:space="0" w:color="auto"/>
            </w:tcBorders>
          </w:tcPr>
          <w:p w14:paraId="09C8EBB5"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Kg</w:t>
            </w:r>
          </w:p>
        </w:tc>
        <w:tc>
          <w:tcPr>
            <w:tcW w:w="1559" w:type="dxa"/>
            <w:tcBorders>
              <w:top w:val="single" w:sz="12" w:space="0" w:color="auto"/>
            </w:tcBorders>
          </w:tcPr>
          <w:p w14:paraId="7C072BA2"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70</w:t>
            </w:r>
          </w:p>
        </w:tc>
      </w:tr>
      <w:tr w:rsidR="00F15FD9" w:rsidRPr="000620C4" w14:paraId="3B746A44" w14:textId="77777777" w:rsidTr="00FF5211">
        <w:tc>
          <w:tcPr>
            <w:tcW w:w="5387" w:type="dxa"/>
          </w:tcPr>
          <w:p w14:paraId="406125F8"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 xml:space="preserve">Exposure frequency (EF) </w:t>
            </w:r>
          </w:p>
        </w:tc>
        <w:tc>
          <w:tcPr>
            <w:tcW w:w="1984" w:type="dxa"/>
          </w:tcPr>
          <w:p w14:paraId="69FA7CA6"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days/year</w:t>
            </w:r>
          </w:p>
        </w:tc>
        <w:tc>
          <w:tcPr>
            <w:tcW w:w="1559" w:type="dxa"/>
          </w:tcPr>
          <w:p w14:paraId="498CD92D"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350</w:t>
            </w:r>
          </w:p>
        </w:tc>
      </w:tr>
      <w:tr w:rsidR="00F15FD9" w:rsidRPr="000620C4" w14:paraId="3DD4B33C" w14:textId="77777777" w:rsidTr="00FF5211">
        <w:tc>
          <w:tcPr>
            <w:tcW w:w="5387" w:type="dxa"/>
          </w:tcPr>
          <w:p w14:paraId="7C1D8126"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Exposure duration (ED)</w:t>
            </w:r>
          </w:p>
        </w:tc>
        <w:tc>
          <w:tcPr>
            <w:tcW w:w="1984" w:type="dxa"/>
          </w:tcPr>
          <w:p w14:paraId="12F095D4"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year</w:t>
            </w:r>
          </w:p>
        </w:tc>
        <w:tc>
          <w:tcPr>
            <w:tcW w:w="1559" w:type="dxa"/>
          </w:tcPr>
          <w:p w14:paraId="32B0A5C8"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30</w:t>
            </w:r>
          </w:p>
        </w:tc>
      </w:tr>
      <w:tr w:rsidR="00F15FD9" w:rsidRPr="000620C4" w14:paraId="2EB97350" w14:textId="77777777" w:rsidTr="00FF5211">
        <w:tc>
          <w:tcPr>
            <w:tcW w:w="5387" w:type="dxa"/>
          </w:tcPr>
          <w:p w14:paraId="23ECECE0"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Ingestion rate (IR)</w:t>
            </w:r>
          </w:p>
        </w:tc>
        <w:tc>
          <w:tcPr>
            <w:tcW w:w="1984" w:type="dxa"/>
          </w:tcPr>
          <w:p w14:paraId="53480C50"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mg/day</w:t>
            </w:r>
          </w:p>
        </w:tc>
        <w:tc>
          <w:tcPr>
            <w:tcW w:w="1559" w:type="dxa"/>
          </w:tcPr>
          <w:p w14:paraId="0E0D4915"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100</w:t>
            </w:r>
          </w:p>
        </w:tc>
      </w:tr>
      <w:tr w:rsidR="00F15FD9" w:rsidRPr="000620C4" w14:paraId="0735152C" w14:textId="77777777" w:rsidTr="00FF5211">
        <w:tc>
          <w:tcPr>
            <w:tcW w:w="5387" w:type="dxa"/>
          </w:tcPr>
          <w:p w14:paraId="1B897EE2"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Plant adherence factor (AF)</w:t>
            </w:r>
          </w:p>
        </w:tc>
        <w:tc>
          <w:tcPr>
            <w:tcW w:w="1984" w:type="dxa"/>
          </w:tcPr>
          <w:p w14:paraId="04D56E22"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mg/cm</w:t>
            </w:r>
            <w:r w:rsidRPr="000620C4">
              <w:rPr>
                <w:rFonts w:ascii="Arial" w:hAnsi="Arial" w:cs="Arial"/>
                <w:sz w:val="20"/>
                <w:szCs w:val="20"/>
                <w:vertAlign w:val="superscript"/>
                <w:lang w:val="en-US"/>
              </w:rPr>
              <w:t>2</w:t>
            </w:r>
          </w:p>
        </w:tc>
        <w:tc>
          <w:tcPr>
            <w:tcW w:w="1559" w:type="dxa"/>
          </w:tcPr>
          <w:p w14:paraId="0AEED384"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0.07</w:t>
            </w:r>
          </w:p>
        </w:tc>
      </w:tr>
      <w:tr w:rsidR="00F15FD9" w:rsidRPr="000620C4" w14:paraId="231AC431" w14:textId="77777777" w:rsidTr="00FF5211">
        <w:tc>
          <w:tcPr>
            <w:tcW w:w="5387" w:type="dxa"/>
          </w:tcPr>
          <w:p w14:paraId="1A79DE87"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Dermal absorption factor (ABS)</w:t>
            </w:r>
          </w:p>
        </w:tc>
        <w:tc>
          <w:tcPr>
            <w:tcW w:w="1984" w:type="dxa"/>
          </w:tcPr>
          <w:p w14:paraId="505A9498"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None</w:t>
            </w:r>
          </w:p>
        </w:tc>
        <w:tc>
          <w:tcPr>
            <w:tcW w:w="1559" w:type="dxa"/>
          </w:tcPr>
          <w:p w14:paraId="3E0363DC"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0.1</w:t>
            </w:r>
          </w:p>
        </w:tc>
      </w:tr>
      <w:tr w:rsidR="00F15FD9" w:rsidRPr="000620C4" w14:paraId="3D855977" w14:textId="77777777" w:rsidTr="00FF5211">
        <w:tc>
          <w:tcPr>
            <w:tcW w:w="5387" w:type="dxa"/>
          </w:tcPr>
          <w:p w14:paraId="54E55A66"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Dermal exposure ratio (FE)</w:t>
            </w:r>
          </w:p>
        </w:tc>
        <w:tc>
          <w:tcPr>
            <w:tcW w:w="1984" w:type="dxa"/>
          </w:tcPr>
          <w:p w14:paraId="7DC9E9A5"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None</w:t>
            </w:r>
          </w:p>
        </w:tc>
        <w:tc>
          <w:tcPr>
            <w:tcW w:w="1559" w:type="dxa"/>
          </w:tcPr>
          <w:p w14:paraId="4615630A"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0.61</w:t>
            </w:r>
          </w:p>
        </w:tc>
      </w:tr>
      <w:tr w:rsidR="00F15FD9" w:rsidRPr="000620C4" w14:paraId="3C90A4C3" w14:textId="77777777" w:rsidTr="00FF5211">
        <w:tc>
          <w:tcPr>
            <w:tcW w:w="5387" w:type="dxa"/>
          </w:tcPr>
          <w:p w14:paraId="3FC5F41C"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 xml:space="preserve">Average time (AT): For carcinogens </w:t>
            </w:r>
          </w:p>
        </w:tc>
        <w:tc>
          <w:tcPr>
            <w:tcW w:w="1984" w:type="dxa"/>
          </w:tcPr>
          <w:p w14:paraId="2832B3C2"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Days</w:t>
            </w:r>
          </w:p>
        </w:tc>
        <w:tc>
          <w:tcPr>
            <w:tcW w:w="1559" w:type="dxa"/>
          </w:tcPr>
          <w:p w14:paraId="3C26EE4C"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365 x 70</w:t>
            </w:r>
          </w:p>
        </w:tc>
      </w:tr>
      <w:tr w:rsidR="00F15FD9" w:rsidRPr="000620C4" w14:paraId="27653043" w14:textId="77777777" w:rsidTr="00FF5211">
        <w:tc>
          <w:tcPr>
            <w:tcW w:w="5387" w:type="dxa"/>
            <w:tcBorders>
              <w:bottom w:val="single" w:sz="12" w:space="0" w:color="auto"/>
            </w:tcBorders>
          </w:tcPr>
          <w:p w14:paraId="140DADCD"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For Non-carcinogens</w:t>
            </w:r>
          </w:p>
        </w:tc>
        <w:tc>
          <w:tcPr>
            <w:tcW w:w="1984" w:type="dxa"/>
            <w:tcBorders>
              <w:bottom w:val="single" w:sz="12" w:space="0" w:color="auto"/>
            </w:tcBorders>
          </w:tcPr>
          <w:p w14:paraId="6BD14698"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Days</w:t>
            </w:r>
          </w:p>
        </w:tc>
        <w:tc>
          <w:tcPr>
            <w:tcW w:w="1559" w:type="dxa"/>
            <w:tcBorders>
              <w:bottom w:val="single" w:sz="12" w:space="0" w:color="auto"/>
            </w:tcBorders>
          </w:tcPr>
          <w:p w14:paraId="568E2D1A"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365 x ED</w:t>
            </w:r>
          </w:p>
        </w:tc>
      </w:tr>
    </w:tbl>
    <w:bookmarkEnd w:id="1"/>
    <w:p w14:paraId="2DD6E0A5" w14:textId="77777777" w:rsidR="003F3133" w:rsidRPr="000620C4" w:rsidRDefault="003F3133" w:rsidP="00F92486">
      <w:pPr>
        <w:pStyle w:val="Heading2"/>
      </w:pPr>
      <w:r w:rsidRPr="000620C4">
        <w:t>Target Hazard Quotient (THQ)</w:t>
      </w:r>
    </w:p>
    <w:p w14:paraId="2774E03A" w14:textId="797F0EB0" w:rsidR="003F3133" w:rsidRPr="000620C4" w:rsidRDefault="003F3133" w:rsidP="005A6A25">
      <w:pPr>
        <w:spacing w:line="240" w:lineRule="auto"/>
        <w:rPr>
          <w:rFonts w:ascii="Arial" w:hAnsi="Arial" w:cs="Arial"/>
          <w:sz w:val="20"/>
          <w:szCs w:val="20"/>
          <w:lang w:val="en-US"/>
        </w:rPr>
      </w:pPr>
      <w:r w:rsidRPr="000620C4">
        <w:rPr>
          <w:rFonts w:ascii="Arial" w:hAnsi="Arial" w:cs="Arial"/>
          <w:sz w:val="20"/>
          <w:szCs w:val="20"/>
          <w:lang w:val="en-US"/>
        </w:rPr>
        <w:t xml:space="preserve">Prolonged exposure to heavy metals from </w:t>
      </w:r>
      <w:r w:rsidR="00F80AC3">
        <w:rPr>
          <w:rFonts w:ascii="Arial" w:hAnsi="Arial" w:cs="Arial"/>
          <w:sz w:val="20"/>
          <w:szCs w:val="20"/>
          <w:lang w:val="en-US"/>
        </w:rPr>
        <w:t>agricultural crop</w:t>
      </w:r>
      <w:r w:rsidRPr="000620C4">
        <w:rPr>
          <w:rFonts w:ascii="Arial" w:hAnsi="Arial" w:cs="Arial"/>
          <w:sz w:val="20"/>
          <w:szCs w:val="20"/>
          <w:lang w:val="en-US"/>
        </w:rPr>
        <w:t xml:space="preserve"> may pose a carcinogenic risk to consumers. This risk is assessed using the target hazard quotient (THQ) method calculated, according to equation 2, as a percentage of the determined dose relative to the reference dose (RFD) </w:t>
      </w:r>
      <w:r w:rsidR="00D269F9" w:rsidRPr="000620C4">
        <w:rPr>
          <w:rFonts w:ascii="Arial" w:hAnsi="Arial" w:cs="Arial"/>
          <w:sz w:val="20"/>
          <w:szCs w:val="20"/>
          <w:lang w:val="en-US"/>
        </w:rPr>
        <w:fldChar w:fldCharType="begin"/>
      </w:r>
      <w:r w:rsidR="00D269F9" w:rsidRPr="000620C4">
        <w:rPr>
          <w:rFonts w:ascii="Arial" w:hAnsi="Arial" w:cs="Arial"/>
          <w:sz w:val="20"/>
          <w:szCs w:val="20"/>
          <w:lang w:val="en-US"/>
        </w:rPr>
        <w:instrText xml:space="preserve"> ADDIN ZOTERO_ITEM CSL_CITATION {"citationID":"sPFjVwLQ","properties":{"formattedCitation":"(USEPA, 2013)","plainCitation":"(USEPA, 2013)","noteIndex":0},"citationItems":[{"id":3226,"uris":["http://zotero.org/users/local/JzcqJHT8/items/3JEJELQE"],"itemData":{"id":3226,"type":"document","title":"USEPA (2013) Regional Screening Level (RSL) Summary table (TR=1E− 6, HQ= 1). United States Environmental Protection Agency. Regional Screening Levels (RSLs). https://www.epa.gov/risk/regional-screening-levels-rsls-generic-tables. Accessed 10 May 2025","author":[{"family":"USEPA","given":""}],"issued":{"date-parts":[["2013"]]}}}],"schema":"https://github.com/citation-style-language/schema/raw/master/csl-citation.json"} </w:instrText>
      </w:r>
      <w:r w:rsidR="00D269F9" w:rsidRPr="000620C4">
        <w:rPr>
          <w:rFonts w:ascii="Arial" w:hAnsi="Arial" w:cs="Arial"/>
          <w:sz w:val="20"/>
          <w:szCs w:val="20"/>
          <w:lang w:val="en-US"/>
        </w:rPr>
        <w:fldChar w:fldCharType="separate"/>
      </w:r>
      <w:r w:rsidR="00D269F9" w:rsidRPr="000620C4">
        <w:rPr>
          <w:rFonts w:ascii="Arial" w:hAnsi="Arial" w:cs="Arial"/>
          <w:sz w:val="20"/>
          <w:szCs w:val="20"/>
          <w:lang w:val="en-US"/>
        </w:rPr>
        <w:t>(USEPA, 2013)</w:t>
      </w:r>
      <w:r w:rsidR="00D269F9" w:rsidRPr="000620C4">
        <w:rPr>
          <w:rFonts w:ascii="Arial" w:hAnsi="Arial" w:cs="Arial"/>
          <w:sz w:val="20"/>
          <w:szCs w:val="20"/>
          <w:lang w:val="en-US"/>
        </w:rPr>
        <w:fldChar w:fldCharType="end"/>
      </w:r>
      <w:r w:rsidRPr="000620C4">
        <w:rPr>
          <w:rFonts w:ascii="Arial" w:hAnsi="Arial" w:cs="Arial"/>
          <w:sz w:val="20"/>
          <w:szCs w:val="20"/>
          <w:lang w:val="en-US"/>
        </w:rPr>
        <w:t>. If the THQ is less than 1, no risk to human health is expected; if the THQ is greater than 1, adverse health effects could occur. The THQ is calculated as the ratio of the average daily intake (EDI) to the reference dose (RFD, Table 3) (equation 2</w:t>
      </w:r>
      <w:proofErr w:type="gramStart"/>
      <w:r w:rsidRPr="000620C4">
        <w:rPr>
          <w:rFonts w:ascii="Arial" w:hAnsi="Arial" w:cs="Arial"/>
          <w:sz w:val="20"/>
          <w:szCs w:val="20"/>
          <w:lang w:val="en-US"/>
        </w:rPr>
        <w:t>) :</w:t>
      </w:r>
      <w:proofErr w:type="gramEnd"/>
    </w:p>
    <w:p w14:paraId="49CAD315" w14:textId="77777777" w:rsidR="003F3133" w:rsidRPr="000620C4" w:rsidRDefault="003F3133" w:rsidP="005A6A25">
      <w:pPr>
        <w:spacing w:line="240" w:lineRule="auto"/>
        <w:rPr>
          <w:rFonts w:ascii="Arial" w:hAnsi="Arial" w:cs="Arial"/>
          <w:sz w:val="20"/>
          <w:szCs w:val="20"/>
          <w:lang w:val="en-US"/>
        </w:rPr>
      </w:pPr>
    </w:p>
    <w:p w14:paraId="0510A772" w14:textId="77777777" w:rsidR="003F3133" w:rsidRPr="000620C4" w:rsidRDefault="003F3133" w:rsidP="005A6A25">
      <w:pPr>
        <w:spacing w:line="240" w:lineRule="auto"/>
        <w:jc w:val="center"/>
        <w:rPr>
          <w:rFonts w:ascii="Arial" w:eastAsiaTheme="minorEastAsia" w:hAnsi="Arial" w:cs="Arial"/>
          <w:sz w:val="20"/>
          <w:szCs w:val="20"/>
          <w:lang w:val="en-US"/>
        </w:rPr>
      </w:pPr>
      <m:oMath>
        <m:r>
          <w:rPr>
            <w:rFonts w:ascii="Cambria Math" w:hAnsi="Cambria Math" w:cs="Arial"/>
            <w:sz w:val="20"/>
            <w:szCs w:val="20"/>
            <w:lang w:val="en-US"/>
          </w:rPr>
          <m:t xml:space="preserve">THQ= </m:t>
        </m:r>
        <m:f>
          <m:fPr>
            <m:ctrlPr>
              <w:rPr>
                <w:rFonts w:ascii="Cambria Math" w:hAnsi="Cambria Math" w:cs="Arial"/>
                <w:i/>
                <w:sz w:val="20"/>
                <w:szCs w:val="20"/>
                <w:lang w:val="en-US"/>
              </w:rPr>
            </m:ctrlPr>
          </m:fPr>
          <m:num>
            <m:r>
              <w:rPr>
                <w:rFonts w:ascii="Cambria Math" w:hAnsi="Cambria Math" w:cs="Arial"/>
                <w:sz w:val="20"/>
                <w:szCs w:val="20"/>
                <w:lang w:val="en-US"/>
              </w:rPr>
              <m:t>EDI</m:t>
            </m:r>
          </m:num>
          <m:den>
            <m:r>
              <w:rPr>
                <w:rFonts w:ascii="Cambria Math" w:hAnsi="Cambria Math" w:cs="Arial"/>
                <w:sz w:val="20"/>
                <w:szCs w:val="20"/>
                <w:lang w:val="en-US"/>
              </w:rPr>
              <m:t>RFD</m:t>
            </m:r>
          </m:den>
        </m:f>
      </m:oMath>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t>equation 2</w:t>
      </w:r>
    </w:p>
    <w:p w14:paraId="6AF47995" w14:textId="77777777" w:rsidR="003F3133" w:rsidRPr="000620C4" w:rsidRDefault="003F3133" w:rsidP="005A6A25">
      <w:pPr>
        <w:spacing w:line="240" w:lineRule="auto"/>
        <w:rPr>
          <w:rFonts w:ascii="Arial" w:hAnsi="Arial" w:cs="Arial"/>
          <w:b/>
          <w:bCs/>
          <w:sz w:val="20"/>
          <w:szCs w:val="20"/>
          <w:lang w:val="en-US"/>
        </w:rPr>
      </w:pPr>
    </w:p>
    <w:p w14:paraId="5397EE54" w14:textId="77777777" w:rsidR="00F15FD9" w:rsidRPr="000620C4" w:rsidRDefault="00F15FD9" w:rsidP="005A6A25">
      <w:pPr>
        <w:spacing w:line="240" w:lineRule="auto"/>
        <w:rPr>
          <w:rFonts w:ascii="Arial" w:hAnsi="Arial" w:cs="Arial"/>
          <w:b/>
          <w:bCs/>
          <w:sz w:val="20"/>
          <w:szCs w:val="20"/>
          <w:lang w:val="en-US"/>
        </w:rPr>
      </w:pPr>
    </w:p>
    <w:p w14:paraId="0BD1FAC5" w14:textId="5A8CC05E" w:rsidR="00E40993" w:rsidRPr="000620C4" w:rsidRDefault="00E74603" w:rsidP="00CC75E9">
      <w:pPr>
        <w:spacing w:after="240" w:line="240" w:lineRule="auto"/>
        <w:rPr>
          <w:rFonts w:ascii="Arial" w:hAnsi="Arial" w:cs="Arial"/>
          <w:b/>
          <w:bCs/>
          <w:sz w:val="20"/>
          <w:szCs w:val="20"/>
          <w:lang w:val="en-US"/>
        </w:rPr>
      </w:pPr>
      <w:r w:rsidRPr="000620C4">
        <w:rPr>
          <w:rFonts w:ascii="Arial" w:hAnsi="Arial" w:cs="Arial"/>
          <w:b/>
          <w:bCs/>
          <w:sz w:val="20"/>
          <w:szCs w:val="20"/>
          <w:lang w:val="en-US"/>
        </w:rPr>
        <w:t xml:space="preserve">Table 3. Reference doses (RFD) used for </w:t>
      </w:r>
      <w:r w:rsidR="0022232B" w:rsidRPr="000620C4">
        <w:rPr>
          <w:rFonts w:ascii="Arial" w:hAnsi="Arial" w:cs="Arial"/>
          <w:b/>
          <w:bCs/>
          <w:sz w:val="20"/>
          <w:szCs w:val="20"/>
          <w:lang w:val="en-US"/>
        </w:rPr>
        <w:t>Fe</w:t>
      </w:r>
      <w:r w:rsidRPr="000620C4">
        <w:rPr>
          <w:rFonts w:ascii="Arial" w:hAnsi="Arial" w:cs="Arial"/>
          <w:b/>
          <w:bCs/>
          <w:sz w:val="20"/>
          <w:szCs w:val="20"/>
          <w:lang w:val="en-US"/>
        </w:rPr>
        <w:t xml:space="preserve">, Ni, Cu, Zn and </w:t>
      </w:r>
      <w:r w:rsidR="00DF4A66">
        <w:rPr>
          <w:rFonts w:ascii="Arial" w:hAnsi="Arial" w:cs="Arial"/>
          <w:b/>
          <w:bCs/>
          <w:sz w:val="20"/>
          <w:szCs w:val="20"/>
          <w:lang w:val="en-US"/>
        </w:rPr>
        <w:t>Cd</w:t>
      </w:r>
      <w:r w:rsidR="00D94182" w:rsidRPr="000620C4">
        <w:rPr>
          <w:rFonts w:ascii="Arial" w:hAnsi="Arial" w:cs="Arial"/>
          <w:b/>
          <w:bCs/>
          <w:sz w:val="20"/>
          <w:szCs w:val="20"/>
          <w:lang w:val="en-US"/>
        </w:rPr>
        <w:t>.</w:t>
      </w:r>
    </w:p>
    <w:tbl>
      <w:tblPr>
        <w:tblStyle w:val="TableGrid"/>
        <w:tblW w:w="0" w:type="auto"/>
        <w:tblLook w:val="04A0" w:firstRow="1" w:lastRow="0" w:firstColumn="1" w:lastColumn="0" w:noHBand="0" w:noVBand="1"/>
      </w:tblPr>
      <w:tblGrid>
        <w:gridCol w:w="1129"/>
        <w:gridCol w:w="1327"/>
        <w:gridCol w:w="1335"/>
        <w:gridCol w:w="1335"/>
        <w:gridCol w:w="1330"/>
        <w:gridCol w:w="1341"/>
      </w:tblGrid>
      <w:tr w:rsidR="00DF4A66" w:rsidRPr="000620C4" w14:paraId="4D4A0617" w14:textId="77777777" w:rsidTr="002E7D23">
        <w:tc>
          <w:tcPr>
            <w:tcW w:w="1129" w:type="dxa"/>
          </w:tcPr>
          <w:p w14:paraId="377B6B9F" w14:textId="77777777" w:rsidR="00DF4A66" w:rsidRPr="000620C4" w:rsidRDefault="00DF4A66" w:rsidP="005A6A25">
            <w:pPr>
              <w:rPr>
                <w:rFonts w:ascii="Arial" w:hAnsi="Arial" w:cs="Arial"/>
                <w:b/>
                <w:bCs/>
                <w:sz w:val="20"/>
                <w:szCs w:val="20"/>
                <w:lang w:val="en-US"/>
              </w:rPr>
            </w:pPr>
            <w:r w:rsidRPr="000620C4">
              <w:rPr>
                <w:rFonts w:ascii="Arial" w:hAnsi="Arial" w:cs="Arial"/>
                <w:b/>
                <w:bCs/>
                <w:sz w:val="20"/>
                <w:szCs w:val="20"/>
                <w:lang w:val="en-US"/>
              </w:rPr>
              <w:t>Metal</w:t>
            </w:r>
          </w:p>
        </w:tc>
        <w:tc>
          <w:tcPr>
            <w:tcW w:w="1327" w:type="dxa"/>
          </w:tcPr>
          <w:p w14:paraId="14DC7E71" w14:textId="1A472256"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Fe</w:t>
            </w:r>
          </w:p>
        </w:tc>
        <w:tc>
          <w:tcPr>
            <w:tcW w:w="1335" w:type="dxa"/>
          </w:tcPr>
          <w:p w14:paraId="69EB7A0F"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Ni</w:t>
            </w:r>
          </w:p>
        </w:tc>
        <w:tc>
          <w:tcPr>
            <w:tcW w:w="1335" w:type="dxa"/>
          </w:tcPr>
          <w:p w14:paraId="09B67675"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Cu</w:t>
            </w:r>
          </w:p>
        </w:tc>
        <w:tc>
          <w:tcPr>
            <w:tcW w:w="1330" w:type="dxa"/>
          </w:tcPr>
          <w:p w14:paraId="37EB1449"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Zn</w:t>
            </w:r>
          </w:p>
        </w:tc>
        <w:tc>
          <w:tcPr>
            <w:tcW w:w="1341" w:type="dxa"/>
          </w:tcPr>
          <w:p w14:paraId="50760DAF" w14:textId="77777777" w:rsidR="00DF4A66" w:rsidRPr="006B2CAB" w:rsidRDefault="00DF4A66" w:rsidP="005A6A25">
            <w:pPr>
              <w:rPr>
                <w:rFonts w:ascii="Arial" w:hAnsi="Arial" w:cs="Arial"/>
                <w:sz w:val="20"/>
                <w:szCs w:val="20"/>
                <w:lang w:val="en-US"/>
              </w:rPr>
            </w:pPr>
            <w:r w:rsidRPr="006B2CAB">
              <w:rPr>
                <w:rFonts w:ascii="Arial" w:hAnsi="Arial" w:cs="Arial"/>
                <w:sz w:val="20"/>
                <w:szCs w:val="20"/>
                <w:lang w:val="en-US"/>
              </w:rPr>
              <w:t xml:space="preserve">Cd </w:t>
            </w:r>
          </w:p>
        </w:tc>
      </w:tr>
      <w:tr w:rsidR="00DF4A66" w:rsidRPr="000620C4" w14:paraId="56826197" w14:textId="77777777" w:rsidTr="002E7D23">
        <w:tc>
          <w:tcPr>
            <w:tcW w:w="1129" w:type="dxa"/>
          </w:tcPr>
          <w:p w14:paraId="2BD89193" w14:textId="44F040D9" w:rsidR="00DF4A66" w:rsidRPr="000620C4" w:rsidRDefault="00DF4A66" w:rsidP="005A6A25">
            <w:pPr>
              <w:rPr>
                <w:rFonts w:ascii="Arial" w:hAnsi="Arial" w:cs="Arial"/>
                <w:b/>
                <w:bCs/>
                <w:sz w:val="20"/>
                <w:szCs w:val="20"/>
                <w:lang w:val="en-US"/>
              </w:rPr>
            </w:pPr>
            <w:r w:rsidRPr="000620C4">
              <w:rPr>
                <w:rFonts w:ascii="Arial" w:hAnsi="Arial" w:cs="Arial"/>
                <w:b/>
                <w:bCs/>
                <w:sz w:val="20"/>
                <w:szCs w:val="20"/>
                <w:lang w:val="en-US"/>
              </w:rPr>
              <w:t>RFD (mg)</w:t>
            </w:r>
          </w:p>
        </w:tc>
        <w:tc>
          <w:tcPr>
            <w:tcW w:w="1327" w:type="dxa"/>
          </w:tcPr>
          <w:p w14:paraId="2E55797D" w14:textId="10C3F692"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3</w:t>
            </w:r>
          </w:p>
        </w:tc>
        <w:tc>
          <w:tcPr>
            <w:tcW w:w="1335" w:type="dxa"/>
          </w:tcPr>
          <w:p w14:paraId="20227605"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0.02</w:t>
            </w:r>
          </w:p>
        </w:tc>
        <w:tc>
          <w:tcPr>
            <w:tcW w:w="1335" w:type="dxa"/>
          </w:tcPr>
          <w:p w14:paraId="65166DD6"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0.04</w:t>
            </w:r>
          </w:p>
        </w:tc>
        <w:tc>
          <w:tcPr>
            <w:tcW w:w="1330" w:type="dxa"/>
          </w:tcPr>
          <w:p w14:paraId="2880AAA6"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0.3</w:t>
            </w:r>
          </w:p>
        </w:tc>
        <w:tc>
          <w:tcPr>
            <w:tcW w:w="1341" w:type="dxa"/>
          </w:tcPr>
          <w:p w14:paraId="6B1F581A" w14:textId="77777777" w:rsidR="00DF4A66" w:rsidRPr="006B2CAB" w:rsidRDefault="00DF4A66" w:rsidP="005A6A25">
            <w:pPr>
              <w:rPr>
                <w:rFonts w:ascii="Arial" w:hAnsi="Arial" w:cs="Arial"/>
                <w:sz w:val="20"/>
                <w:szCs w:val="20"/>
                <w:lang w:val="en-US"/>
              </w:rPr>
            </w:pPr>
            <w:r w:rsidRPr="006B2CAB">
              <w:rPr>
                <w:rFonts w:ascii="Arial" w:hAnsi="Arial" w:cs="Arial"/>
                <w:sz w:val="20"/>
                <w:szCs w:val="20"/>
                <w:lang w:val="en-US"/>
              </w:rPr>
              <w:t>0.001</w:t>
            </w:r>
          </w:p>
        </w:tc>
      </w:tr>
    </w:tbl>
    <w:p w14:paraId="04364F3C" w14:textId="77777777" w:rsidR="003F3133" w:rsidRPr="000620C4" w:rsidRDefault="003F3133" w:rsidP="00F92486">
      <w:pPr>
        <w:pStyle w:val="Heading2"/>
      </w:pPr>
      <w:r w:rsidRPr="000620C4">
        <w:t>Hazard Index</w:t>
      </w:r>
    </w:p>
    <w:p w14:paraId="328A6BFE" w14:textId="33344BD3" w:rsidR="003F3133" w:rsidRPr="000620C4" w:rsidRDefault="00D3424C" w:rsidP="005A6A25">
      <w:pPr>
        <w:spacing w:line="240" w:lineRule="auto"/>
        <w:rPr>
          <w:rFonts w:ascii="Arial" w:hAnsi="Arial" w:cs="Arial"/>
          <w:sz w:val="20"/>
          <w:szCs w:val="20"/>
          <w:lang w:val="en-US"/>
        </w:rPr>
      </w:pPr>
      <w:r w:rsidRPr="000620C4">
        <w:rPr>
          <w:rFonts w:ascii="Arial" w:hAnsi="Arial" w:cs="Arial"/>
          <w:sz w:val="20"/>
          <w:szCs w:val="20"/>
          <w:lang w:val="en-US"/>
        </w:rPr>
        <w:t xml:space="preserve">Consumption of leaves, peels and flesh of sweet potatoes </w:t>
      </w:r>
      <w:r w:rsidR="003F3133" w:rsidRPr="000620C4">
        <w:rPr>
          <w:rFonts w:ascii="Arial" w:hAnsi="Arial" w:cs="Arial"/>
          <w:sz w:val="20"/>
          <w:szCs w:val="20"/>
          <w:lang w:val="en-US"/>
        </w:rPr>
        <w:t xml:space="preserve">containing several heavy metals can pose a significant risk to the consumer's health. Indeed, the effects of these different toxic metals can be additive. The hazard index (HI) is a tool for assessing the total non-carcinogenic risk induced by these metals on human health. The HI is calculated according to equation 3 using the sum of the individual THQ of each </w:t>
      </w:r>
      <w:r w:rsidR="003F3133" w:rsidRPr="000620C4">
        <w:rPr>
          <w:rFonts w:ascii="Arial" w:hAnsi="Arial" w:cs="Arial"/>
          <w:sz w:val="20"/>
          <w:szCs w:val="20"/>
          <w:lang w:val="en-US"/>
        </w:rPr>
        <w:lastRenderedPageBreak/>
        <w:t>metal hazardous to human health. The health risk level is low if HI &lt; 1, while the health risk is high if HI &gt; 1.</w:t>
      </w:r>
    </w:p>
    <w:p w14:paraId="035DB5C9" w14:textId="77777777" w:rsidR="003F3133" w:rsidRPr="000620C4" w:rsidRDefault="003F3133" w:rsidP="005A6A25">
      <w:pPr>
        <w:spacing w:line="240" w:lineRule="auto"/>
        <w:rPr>
          <w:rFonts w:ascii="Arial" w:hAnsi="Arial" w:cs="Arial"/>
          <w:sz w:val="20"/>
          <w:szCs w:val="20"/>
          <w:lang w:val="en-US"/>
        </w:rPr>
      </w:pPr>
    </w:p>
    <w:p w14:paraId="3D139093" w14:textId="77777777" w:rsidR="003F3133" w:rsidRPr="000620C4" w:rsidRDefault="003F3133" w:rsidP="005A6A25">
      <w:pPr>
        <w:spacing w:line="240" w:lineRule="auto"/>
        <w:jc w:val="center"/>
        <w:rPr>
          <w:rFonts w:ascii="Arial" w:eastAsiaTheme="minorEastAsia" w:hAnsi="Arial" w:cs="Arial"/>
          <w:sz w:val="20"/>
          <w:szCs w:val="20"/>
          <w:lang w:val="en-US"/>
        </w:rPr>
      </w:pPr>
      <m:oMath>
        <m:r>
          <w:rPr>
            <w:rFonts w:ascii="Cambria Math" w:eastAsiaTheme="minorEastAsia" w:hAnsi="Cambria Math" w:cs="Arial"/>
            <w:sz w:val="20"/>
            <w:szCs w:val="20"/>
            <w:lang w:val="en-US"/>
          </w:rPr>
          <m:t>HI=</m:t>
        </m:r>
        <m:nary>
          <m:naryPr>
            <m:chr m:val="∑"/>
            <m:limLoc m:val="undOvr"/>
            <m:subHide m:val="1"/>
            <m:supHide m:val="1"/>
            <m:ctrlPr>
              <w:rPr>
                <w:rFonts w:ascii="Cambria Math" w:eastAsiaTheme="minorEastAsia" w:hAnsi="Cambria Math" w:cs="Arial"/>
                <w:i/>
                <w:sz w:val="20"/>
                <w:szCs w:val="20"/>
                <w:lang w:val="en-US"/>
              </w:rPr>
            </m:ctrlPr>
          </m:naryPr>
          <m:sub/>
          <m:sup/>
          <m:e>
            <m:r>
              <w:rPr>
                <w:rFonts w:ascii="Cambria Math" w:eastAsiaTheme="minorEastAsia" w:hAnsi="Cambria Math" w:cs="Arial"/>
                <w:sz w:val="20"/>
                <w:szCs w:val="20"/>
                <w:lang w:val="en-US"/>
              </w:rPr>
              <m:t>THQ</m:t>
            </m:r>
          </m:e>
        </m:nary>
      </m:oMath>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t>equation 3</w:t>
      </w:r>
    </w:p>
    <w:p w14:paraId="329E25DA" w14:textId="77777777" w:rsidR="003F3133" w:rsidRPr="000620C4" w:rsidRDefault="003F3133" w:rsidP="005A6A25">
      <w:pPr>
        <w:spacing w:line="240" w:lineRule="auto"/>
        <w:rPr>
          <w:rFonts w:ascii="Arial" w:hAnsi="Arial" w:cs="Arial"/>
          <w:sz w:val="20"/>
          <w:szCs w:val="20"/>
          <w:lang w:val="en-US"/>
        </w:rPr>
      </w:pPr>
    </w:p>
    <w:p w14:paraId="3763E6AC" w14:textId="5E806BB4" w:rsidR="00E546A4" w:rsidRPr="000620C4" w:rsidRDefault="00E546A4" w:rsidP="006A1477">
      <w:pPr>
        <w:spacing w:after="240" w:line="240" w:lineRule="auto"/>
        <w:rPr>
          <w:rFonts w:ascii="Arial" w:hAnsi="Arial" w:cs="Arial"/>
          <w:b/>
          <w:bCs/>
          <w:sz w:val="20"/>
          <w:szCs w:val="20"/>
          <w:lang w:val="en-US"/>
        </w:rPr>
      </w:pPr>
      <w:r w:rsidRPr="000620C4">
        <w:rPr>
          <w:rFonts w:ascii="Arial" w:hAnsi="Arial" w:cs="Arial"/>
          <w:b/>
          <w:bCs/>
          <w:sz w:val="20"/>
          <w:szCs w:val="20"/>
          <w:lang w:val="en-US"/>
        </w:rPr>
        <w:t>Table 4. Metal level</w:t>
      </w:r>
      <w:r w:rsidR="00B24C25" w:rsidRPr="000620C4">
        <w:rPr>
          <w:rFonts w:ascii="Arial" w:hAnsi="Arial" w:cs="Arial"/>
          <w:b/>
          <w:bCs/>
          <w:sz w:val="20"/>
          <w:szCs w:val="20"/>
          <w:lang w:val="en-US"/>
        </w:rPr>
        <w:t>s</w:t>
      </w:r>
      <w:r w:rsidRPr="000620C4">
        <w:rPr>
          <w:rFonts w:ascii="Arial" w:hAnsi="Arial" w:cs="Arial"/>
          <w:b/>
          <w:bCs/>
          <w:sz w:val="20"/>
          <w:szCs w:val="20"/>
          <w:lang w:val="en-US"/>
        </w:rPr>
        <w:t xml:space="preserve"> in triplicate (</w:t>
      </w:r>
      <w:r w:rsidR="006A29A2" w:rsidRPr="000620C4">
        <w:rPr>
          <w:rFonts w:ascii="Arial" w:hAnsi="Arial" w:cs="Arial"/>
          <w:b/>
          <w:bCs/>
          <w:sz w:val="20"/>
          <w:szCs w:val="20"/>
          <w:lang w:val="en-US"/>
        </w:rPr>
        <w:t>m</w:t>
      </w:r>
      <w:r w:rsidRPr="000620C4">
        <w:rPr>
          <w:rFonts w:ascii="Arial" w:hAnsi="Arial" w:cs="Arial"/>
          <w:b/>
          <w:bCs/>
          <w:sz w:val="20"/>
          <w:szCs w:val="20"/>
          <w:lang w:val="en-US"/>
        </w:rPr>
        <w:t xml:space="preserve">g/Kg) and Provisional Tolerable Weekly Intake (PTWI) values for metals </w:t>
      </w:r>
      <w:r w:rsidR="00C51558" w:rsidRPr="000620C4">
        <w:rPr>
          <w:rFonts w:ascii="Arial" w:hAnsi="Arial" w:cs="Arial"/>
          <w:b/>
          <w:bCs/>
          <w:sz w:val="20"/>
          <w:szCs w:val="20"/>
          <w:lang w:val="en-US"/>
        </w:rPr>
        <w:fldChar w:fldCharType="begin"/>
      </w:r>
      <w:r w:rsidR="009673E9" w:rsidRPr="000620C4">
        <w:rPr>
          <w:rFonts w:ascii="Arial" w:hAnsi="Arial" w:cs="Arial"/>
          <w:b/>
          <w:bCs/>
          <w:sz w:val="20"/>
          <w:szCs w:val="20"/>
          <w:lang w:val="en-US"/>
        </w:rPr>
        <w:instrText xml:space="preserve"> ADDIN ZOTERO_ITEM CSL_CITATION {"citationID":"esV3guTj","properties":{"formattedCitation":"(Agency for Toxic Substances and Disease Registry (ATSDR), 1994; Martin &amp; Griswold, 2009)","plainCitation":"(Agency for Toxic Substances and Disease Registry (ATSDR), 1994; Martin &amp; Griswold, 2009)","noteIndex":0},"citationItems":[{"id":3319,"uris":["http://zotero.org/users/local/JzcqJHT8/items/RH4HRTX2"],"itemData":{"id":3319,"type":"chapter","page":"88-0608","title":"Toxicological profile for Nickel and Iron. Agency for toxic substances and disease registry. US Department of Health and Human Services, Public Health Service","volume":"205","author":[{"family":"Agency for Toxic Substances and Disease Registry (ATSDR)","given":""}],"issued":{"date-parts":[["1994"]]}},"label":"page"},{"id":3241,"uris":["http://zotero.org/users/local/JzcqJHT8/items/P54KTH3T"],"itemData":{"id":3241,"type":"article-journal","container-title":"Environmental Science and Technology Briefs from Citizens","page":"1-6","title":"Human Health Effects of Heavy Metals.","volume":"15","author":[{"family":"Martin","given":"S."},{"family":"Griswold","given":"W."}],"issued":{"date-parts":[["2009"]]}},"label":"page"}],"schema":"https://github.com/citation-style-language/schema/raw/master/csl-citation.json"} </w:instrText>
      </w:r>
      <w:r w:rsidR="00C51558" w:rsidRPr="000620C4">
        <w:rPr>
          <w:rFonts w:ascii="Arial" w:hAnsi="Arial" w:cs="Arial"/>
          <w:b/>
          <w:bCs/>
          <w:sz w:val="20"/>
          <w:szCs w:val="20"/>
          <w:lang w:val="en-US"/>
        </w:rPr>
        <w:fldChar w:fldCharType="separate"/>
      </w:r>
      <w:r w:rsidR="009673E9" w:rsidRPr="000620C4">
        <w:rPr>
          <w:rFonts w:ascii="Arial" w:hAnsi="Arial" w:cs="Arial"/>
          <w:sz w:val="20"/>
          <w:szCs w:val="20"/>
          <w:lang w:val="en-US"/>
        </w:rPr>
        <w:t xml:space="preserve">(Agency for Toxic Substances and Disease Registry (ATSDR), 1994; </w:t>
      </w:r>
      <w:r w:rsidR="00FE3694" w:rsidRPr="00AD4F33">
        <w:rPr>
          <w:rFonts w:ascii="Arial" w:hAnsi="Arial" w:cs="Arial"/>
          <w:sz w:val="20"/>
          <w:szCs w:val="20"/>
          <w:lang w:val="en-US"/>
        </w:rPr>
        <w:t>Abd-Elghany</w:t>
      </w:r>
      <w:r w:rsidR="00FE3694" w:rsidRPr="000620C4">
        <w:rPr>
          <w:rFonts w:ascii="Arial" w:hAnsi="Arial" w:cs="Arial"/>
          <w:sz w:val="20"/>
          <w:szCs w:val="20"/>
          <w:lang w:val="en-US"/>
        </w:rPr>
        <w:t xml:space="preserve"> et al., 202</w:t>
      </w:r>
      <w:r w:rsidR="009673E9" w:rsidRPr="000620C4">
        <w:rPr>
          <w:rFonts w:ascii="Arial" w:hAnsi="Arial" w:cs="Arial"/>
          <w:sz w:val="20"/>
          <w:szCs w:val="20"/>
          <w:lang w:val="en-US"/>
        </w:rPr>
        <w:t>0)</w:t>
      </w:r>
      <w:r w:rsidR="00C51558" w:rsidRPr="000620C4">
        <w:rPr>
          <w:rFonts w:ascii="Arial" w:hAnsi="Arial" w:cs="Arial"/>
          <w:b/>
          <w:bCs/>
          <w:sz w:val="20"/>
          <w:szCs w:val="20"/>
          <w:lang w:val="en-US"/>
        </w:rPr>
        <w:fldChar w:fldCharType="end"/>
      </w:r>
    </w:p>
    <w:tbl>
      <w:tblPr>
        <w:tblW w:w="9338" w:type="dxa"/>
        <w:tblLook w:val="04A0" w:firstRow="1" w:lastRow="0" w:firstColumn="1" w:lastColumn="0" w:noHBand="0" w:noVBand="1"/>
      </w:tblPr>
      <w:tblGrid>
        <w:gridCol w:w="1200"/>
        <w:gridCol w:w="1772"/>
        <w:gridCol w:w="1766"/>
        <w:gridCol w:w="1765"/>
        <w:gridCol w:w="1985"/>
        <w:gridCol w:w="850"/>
      </w:tblGrid>
      <w:tr w:rsidR="001422CB" w:rsidRPr="000620C4" w14:paraId="35E767CC" w14:textId="759B2ACC" w:rsidTr="006A1477">
        <w:trPr>
          <w:trHeight w:val="300"/>
        </w:trPr>
        <w:tc>
          <w:tcPr>
            <w:tcW w:w="1200" w:type="dxa"/>
            <w:tcBorders>
              <w:top w:val="single" w:sz="12" w:space="0" w:color="auto"/>
              <w:bottom w:val="single" w:sz="12" w:space="0" w:color="auto"/>
            </w:tcBorders>
            <w:noWrap/>
            <w:vAlign w:val="center"/>
          </w:tcPr>
          <w:p w14:paraId="428ED96C" w14:textId="34577CCF"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Element</w:t>
            </w:r>
            <w:r w:rsidR="00E546A4" w:rsidRPr="000620C4">
              <w:rPr>
                <w:rFonts w:ascii="Arial" w:eastAsia="Times New Roman" w:hAnsi="Arial" w:cs="Arial"/>
                <w:color w:val="000000"/>
                <w:kern w:val="0"/>
                <w:sz w:val="20"/>
                <w:szCs w:val="20"/>
                <w:lang w:val="en-US"/>
                <w14:ligatures w14:val="none"/>
              </w:rPr>
              <w:t xml:space="preserve"> </w:t>
            </w:r>
            <w:r w:rsidR="00E546A4" w:rsidRPr="000620C4">
              <w:rPr>
                <w:rFonts w:ascii="Arial" w:hAnsi="Arial" w:cs="Arial"/>
                <w:sz w:val="20"/>
                <w:szCs w:val="20"/>
                <w:lang w:val="en-US"/>
              </w:rPr>
              <w:t>(</w:t>
            </w:r>
            <w:r w:rsidR="00E546A4" w:rsidRPr="000620C4">
              <w:rPr>
                <w:rFonts w:ascii="Arial" w:hAnsi="Arial" w:cs="Arial"/>
                <w:sz w:val="20"/>
                <w:szCs w:val="20"/>
                <w:lang w:val="en-US"/>
              </w:rPr>
              <w:sym w:font="Symbol" w:char="F06D"/>
            </w:r>
            <w:r w:rsidR="00E546A4" w:rsidRPr="000620C4">
              <w:rPr>
                <w:rFonts w:ascii="Arial" w:hAnsi="Arial" w:cs="Arial"/>
                <w:sz w:val="20"/>
                <w:szCs w:val="20"/>
                <w:lang w:val="en-US"/>
              </w:rPr>
              <w:t>g/Kg)</w:t>
            </w:r>
          </w:p>
        </w:tc>
        <w:tc>
          <w:tcPr>
            <w:tcW w:w="1772" w:type="dxa"/>
            <w:tcBorders>
              <w:top w:val="single" w:sz="12" w:space="0" w:color="auto"/>
              <w:bottom w:val="single" w:sz="12" w:space="0" w:color="auto"/>
            </w:tcBorders>
            <w:noWrap/>
            <w:vAlign w:val="center"/>
          </w:tcPr>
          <w:p w14:paraId="7D37D767" w14:textId="27C375A9"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Leaves</w:t>
            </w:r>
          </w:p>
        </w:tc>
        <w:tc>
          <w:tcPr>
            <w:tcW w:w="1766" w:type="dxa"/>
            <w:tcBorders>
              <w:top w:val="single" w:sz="12" w:space="0" w:color="auto"/>
              <w:bottom w:val="single" w:sz="12" w:space="0" w:color="auto"/>
            </w:tcBorders>
            <w:noWrap/>
            <w:vAlign w:val="center"/>
          </w:tcPr>
          <w:p w14:paraId="624F7C15" w14:textId="1216702A"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Peels</w:t>
            </w:r>
          </w:p>
        </w:tc>
        <w:tc>
          <w:tcPr>
            <w:tcW w:w="1765" w:type="dxa"/>
            <w:tcBorders>
              <w:top w:val="single" w:sz="12" w:space="0" w:color="auto"/>
              <w:bottom w:val="single" w:sz="12" w:space="0" w:color="auto"/>
            </w:tcBorders>
            <w:noWrap/>
            <w:vAlign w:val="center"/>
          </w:tcPr>
          <w:p w14:paraId="1E58209A" w14:textId="4DA9AB49"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Tubers</w:t>
            </w:r>
          </w:p>
        </w:tc>
        <w:tc>
          <w:tcPr>
            <w:tcW w:w="1985" w:type="dxa"/>
            <w:tcBorders>
              <w:top w:val="single" w:sz="12" w:space="0" w:color="auto"/>
              <w:bottom w:val="single" w:sz="12" w:space="0" w:color="auto"/>
            </w:tcBorders>
            <w:vAlign w:val="center"/>
          </w:tcPr>
          <w:p w14:paraId="5CC5BA76" w14:textId="133A9A6E"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PTWI for a 70-kg Individual (mg/week)</w:t>
            </w:r>
          </w:p>
        </w:tc>
        <w:tc>
          <w:tcPr>
            <w:tcW w:w="850" w:type="dxa"/>
            <w:tcBorders>
              <w:top w:val="single" w:sz="12" w:space="0" w:color="auto"/>
              <w:bottom w:val="single" w:sz="12" w:space="0" w:color="auto"/>
            </w:tcBorders>
            <w:vAlign w:val="center"/>
          </w:tcPr>
          <w:p w14:paraId="288F1F81" w14:textId="4A43245C" w:rsidR="001422CB" w:rsidRPr="0018194B" w:rsidRDefault="001422CB" w:rsidP="005A6A25">
            <w:pPr>
              <w:spacing w:line="240" w:lineRule="auto"/>
              <w:jc w:val="left"/>
              <w:rPr>
                <w:rFonts w:ascii="Arial" w:eastAsia="Times New Roman" w:hAnsi="Arial" w:cs="Arial"/>
                <w:color w:val="000000"/>
                <w:kern w:val="0"/>
                <w:sz w:val="20"/>
                <w:szCs w:val="20"/>
                <w:highlight w:val="green"/>
                <w:lang w:val="en-US"/>
                <w14:ligatures w14:val="none"/>
              </w:rPr>
            </w:pPr>
            <w:r w:rsidRPr="0018194B">
              <w:rPr>
                <w:rFonts w:ascii="Arial" w:hAnsi="Arial" w:cs="Arial"/>
                <w:sz w:val="20"/>
                <w:szCs w:val="20"/>
                <w:highlight w:val="green"/>
                <w:lang w:val="en-US"/>
              </w:rPr>
              <w:t>LOD (mg/l)</w:t>
            </w:r>
          </w:p>
        </w:tc>
      </w:tr>
      <w:tr w:rsidR="001422CB" w:rsidRPr="000620C4" w14:paraId="505A69E5" w14:textId="15B85B27" w:rsidTr="006A1477">
        <w:trPr>
          <w:trHeight w:val="300"/>
        </w:trPr>
        <w:tc>
          <w:tcPr>
            <w:tcW w:w="1200" w:type="dxa"/>
            <w:tcBorders>
              <w:top w:val="single" w:sz="12" w:space="0" w:color="auto"/>
            </w:tcBorders>
            <w:noWrap/>
            <w:vAlign w:val="bottom"/>
            <w:hideMark/>
          </w:tcPr>
          <w:p w14:paraId="1E1B55E5"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Na</w:t>
            </w:r>
          </w:p>
        </w:tc>
        <w:tc>
          <w:tcPr>
            <w:tcW w:w="1772" w:type="dxa"/>
            <w:tcBorders>
              <w:top w:val="single" w:sz="12" w:space="0" w:color="auto"/>
            </w:tcBorders>
            <w:noWrap/>
            <w:vAlign w:val="bottom"/>
            <w:hideMark/>
          </w:tcPr>
          <w:p w14:paraId="19BAEF43" w14:textId="18DD9DD9" w:rsidR="001422CB" w:rsidRPr="000620C4" w:rsidRDefault="001422CB" w:rsidP="005A6A25">
            <w:pPr>
              <w:spacing w:line="240" w:lineRule="auto"/>
              <w:ind w:left="-39" w:right="-105"/>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2547.30</w:t>
            </w:r>
            <w:r w:rsidR="008001B6" w:rsidRPr="000620C4">
              <w:rPr>
                <w:rFonts w:ascii="Arial" w:hAnsi="Arial" w:cs="Arial"/>
                <w:color w:val="000000"/>
                <w:sz w:val="20"/>
                <w:szCs w:val="20"/>
                <w:lang w:val="en-US"/>
              </w:rPr>
              <w:t xml:space="preserve"> ± </w:t>
            </w:r>
            <w:r w:rsidR="00370CA3" w:rsidRPr="000620C4">
              <w:rPr>
                <w:rFonts w:ascii="Arial" w:hAnsi="Arial" w:cs="Arial"/>
                <w:color w:val="000000"/>
                <w:sz w:val="20"/>
                <w:szCs w:val="20"/>
                <w:lang w:val="en-US"/>
              </w:rPr>
              <w:t>0.008</w:t>
            </w:r>
          </w:p>
        </w:tc>
        <w:tc>
          <w:tcPr>
            <w:tcW w:w="1766" w:type="dxa"/>
            <w:tcBorders>
              <w:top w:val="single" w:sz="12" w:space="0" w:color="auto"/>
            </w:tcBorders>
            <w:noWrap/>
            <w:vAlign w:val="bottom"/>
            <w:hideMark/>
          </w:tcPr>
          <w:p w14:paraId="3379923E" w14:textId="1237E16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1079.15</w:t>
            </w:r>
            <w:r w:rsidR="008001B6" w:rsidRPr="000620C4">
              <w:rPr>
                <w:rFonts w:ascii="Arial" w:hAnsi="Arial" w:cs="Arial"/>
                <w:color w:val="000000"/>
                <w:sz w:val="20"/>
                <w:szCs w:val="20"/>
                <w:lang w:val="en-US"/>
              </w:rPr>
              <w:t xml:space="preserve"> ±</w:t>
            </w:r>
            <w:r w:rsidR="00370CA3" w:rsidRPr="000620C4">
              <w:rPr>
                <w:rFonts w:ascii="Arial" w:hAnsi="Arial" w:cs="Arial"/>
                <w:color w:val="000000"/>
                <w:sz w:val="20"/>
                <w:szCs w:val="20"/>
                <w:lang w:val="en-US"/>
              </w:rPr>
              <w:t xml:space="preserve"> 0.02</w:t>
            </w:r>
          </w:p>
        </w:tc>
        <w:tc>
          <w:tcPr>
            <w:tcW w:w="1765" w:type="dxa"/>
            <w:tcBorders>
              <w:top w:val="single" w:sz="12" w:space="0" w:color="auto"/>
            </w:tcBorders>
            <w:noWrap/>
            <w:vAlign w:val="bottom"/>
            <w:hideMark/>
          </w:tcPr>
          <w:p w14:paraId="59EC1124" w14:textId="0219FCFA"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754.20</w:t>
            </w:r>
            <w:r w:rsidR="008001B6" w:rsidRPr="000620C4">
              <w:rPr>
                <w:rFonts w:ascii="Arial" w:hAnsi="Arial" w:cs="Arial"/>
                <w:color w:val="000000"/>
                <w:sz w:val="20"/>
                <w:szCs w:val="20"/>
                <w:lang w:val="en-US"/>
              </w:rPr>
              <w:t xml:space="preserve"> ±</w:t>
            </w:r>
            <w:r w:rsidR="00370CA3" w:rsidRPr="000620C4">
              <w:rPr>
                <w:rFonts w:ascii="Arial" w:hAnsi="Arial" w:cs="Arial"/>
                <w:color w:val="000000"/>
                <w:sz w:val="20"/>
                <w:szCs w:val="20"/>
                <w:lang w:val="en-US"/>
              </w:rPr>
              <w:t xml:space="preserve"> 0.02</w:t>
            </w:r>
          </w:p>
        </w:tc>
        <w:tc>
          <w:tcPr>
            <w:tcW w:w="1985" w:type="dxa"/>
            <w:tcBorders>
              <w:top w:val="single" w:sz="12" w:space="0" w:color="auto"/>
            </w:tcBorders>
          </w:tcPr>
          <w:p w14:paraId="5C8D9EFD" w14:textId="0CD6B252" w:rsidR="001422CB" w:rsidRPr="000620C4" w:rsidRDefault="001422CB" w:rsidP="005A6A25">
            <w:pPr>
              <w:spacing w:line="240" w:lineRule="auto"/>
              <w:ind w:right="-111"/>
              <w:jc w:val="left"/>
              <w:rPr>
                <w:rFonts w:ascii="Arial" w:hAnsi="Arial" w:cs="Arial"/>
                <w:color w:val="000000"/>
                <w:sz w:val="20"/>
                <w:szCs w:val="20"/>
                <w:lang w:val="en-US"/>
              </w:rPr>
            </w:pPr>
            <w:r w:rsidRPr="000620C4">
              <w:rPr>
                <w:rFonts w:ascii="Arial" w:hAnsi="Arial" w:cs="Arial"/>
                <w:sz w:val="20"/>
                <w:szCs w:val="20"/>
                <w:lang w:val="en-US"/>
              </w:rPr>
              <w:t xml:space="preserve">14000 </w:t>
            </w:r>
          </w:p>
        </w:tc>
        <w:tc>
          <w:tcPr>
            <w:tcW w:w="850" w:type="dxa"/>
            <w:tcBorders>
              <w:top w:val="single" w:sz="12" w:space="0" w:color="auto"/>
            </w:tcBorders>
          </w:tcPr>
          <w:p w14:paraId="4019361D" w14:textId="23839F8D" w:rsidR="001422CB" w:rsidRPr="0018194B" w:rsidRDefault="001422CB" w:rsidP="005A6A25">
            <w:pPr>
              <w:spacing w:line="240" w:lineRule="auto"/>
              <w:jc w:val="left"/>
              <w:rPr>
                <w:rFonts w:ascii="Arial" w:hAnsi="Arial" w:cs="Arial"/>
                <w:color w:val="000000"/>
                <w:sz w:val="20"/>
                <w:szCs w:val="20"/>
                <w:highlight w:val="green"/>
                <w:lang w:val="en-US"/>
              </w:rPr>
            </w:pPr>
            <w:r w:rsidRPr="0018194B">
              <w:rPr>
                <w:rFonts w:ascii="Arial" w:hAnsi="Arial" w:cs="Arial"/>
                <w:sz w:val="20"/>
                <w:szCs w:val="20"/>
                <w:highlight w:val="green"/>
                <w:lang w:val="en-US"/>
              </w:rPr>
              <w:t>0.030</w:t>
            </w:r>
          </w:p>
        </w:tc>
      </w:tr>
      <w:tr w:rsidR="001422CB" w:rsidRPr="000620C4" w14:paraId="0A436318" w14:textId="223DC716" w:rsidTr="006A1477">
        <w:trPr>
          <w:trHeight w:val="300"/>
        </w:trPr>
        <w:tc>
          <w:tcPr>
            <w:tcW w:w="1200" w:type="dxa"/>
            <w:noWrap/>
            <w:vAlign w:val="bottom"/>
            <w:hideMark/>
          </w:tcPr>
          <w:p w14:paraId="379D4B89"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K</w:t>
            </w:r>
          </w:p>
        </w:tc>
        <w:tc>
          <w:tcPr>
            <w:tcW w:w="1772" w:type="dxa"/>
            <w:noWrap/>
            <w:vAlign w:val="bottom"/>
            <w:hideMark/>
          </w:tcPr>
          <w:p w14:paraId="28679C57" w14:textId="7F016FAE"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19682.1</w:t>
            </w:r>
            <w:r w:rsidR="00183B8D" w:rsidRPr="000620C4">
              <w:rPr>
                <w:rFonts w:ascii="Arial" w:hAnsi="Arial" w:cs="Arial"/>
                <w:color w:val="000000"/>
                <w:sz w:val="20"/>
                <w:szCs w:val="20"/>
                <w:lang w:val="en-US"/>
              </w:rPr>
              <w:t>4</w:t>
            </w:r>
            <w:r w:rsidR="008001B6" w:rsidRPr="000620C4">
              <w:rPr>
                <w:rFonts w:ascii="Arial" w:hAnsi="Arial" w:cs="Arial"/>
                <w:color w:val="000000"/>
                <w:sz w:val="20"/>
                <w:szCs w:val="20"/>
                <w:lang w:val="en-US"/>
              </w:rPr>
              <w:t xml:space="preserve"> ±</w:t>
            </w:r>
            <w:r w:rsidR="003F560F" w:rsidRPr="000620C4">
              <w:rPr>
                <w:rFonts w:ascii="Arial" w:hAnsi="Arial" w:cs="Arial"/>
                <w:color w:val="000000"/>
                <w:sz w:val="20"/>
                <w:szCs w:val="20"/>
                <w:lang w:val="en-US"/>
              </w:rPr>
              <w:t xml:space="preserve"> 0.72</w:t>
            </w:r>
          </w:p>
        </w:tc>
        <w:tc>
          <w:tcPr>
            <w:tcW w:w="1766" w:type="dxa"/>
            <w:noWrap/>
            <w:vAlign w:val="bottom"/>
            <w:hideMark/>
          </w:tcPr>
          <w:p w14:paraId="29E579B8" w14:textId="588B4AD6"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12876.53</w:t>
            </w:r>
            <w:r w:rsidR="008001B6" w:rsidRPr="000620C4">
              <w:rPr>
                <w:rFonts w:ascii="Arial" w:hAnsi="Arial" w:cs="Arial"/>
                <w:color w:val="000000"/>
                <w:sz w:val="20"/>
                <w:szCs w:val="20"/>
                <w:lang w:val="en-US"/>
              </w:rPr>
              <w:t xml:space="preserve"> ±</w:t>
            </w:r>
            <w:r w:rsidR="003F560F" w:rsidRPr="000620C4">
              <w:rPr>
                <w:rFonts w:ascii="Arial" w:hAnsi="Arial" w:cs="Arial"/>
                <w:color w:val="000000"/>
                <w:sz w:val="20"/>
                <w:szCs w:val="20"/>
                <w:lang w:val="en-US"/>
              </w:rPr>
              <w:t xml:space="preserve"> 0.17</w:t>
            </w:r>
          </w:p>
        </w:tc>
        <w:tc>
          <w:tcPr>
            <w:tcW w:w="1765" w:type="dxa"/>
            <w:noWrap/>
            <w:vAlign w:val="bottom"/>
            <w:hideMark/>
          </w:tcPr>
          <w:p w14:paraId="637B3F97" w14:textId="2A3F9F25"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10326.44</w:t>
            </w:r>
            <w:r w:rsidR="008001B6" w:rsidRPr="000620C4">
              <w:rPr>
                <w:rFonts w:ascii="Arial" w:hAnsi="Arial" w:cs="Arial"/>
                <w:color w:val="000000"/>
                <w:sz w:val="20"/>
                <w:szCs w:val="20"/>
                <w:lang w:val="en-US"/>
              </w:rPr>
              <w:t xml:space="preserve"> ±</w:t>
            </w:r>
            <w:r w:rsidR="003F560F" w:rsidRPr="000620C4">
              <w:rPr>
                <w:rFonts w:ascii="Arial" w:hAnsi="Arial" w:cs="Arial"/>
                <w:color w:val="000000"/>
                <w:sz w:val="20"/>
                <w:szCs w:val="20"/>
                <w:lang w:val="en-US"/>
              </w:rPr>
              <w:t xml:space="preserve"> 0.10</w:t>
            </w:r>
          </w:p>
        </w:tc>
        <w:tc>
          <w:tcPr>
            <w:tcW w:w="1985" w:type="dxa"/>
          </w:tcPr>
          <w:p w14:paraId="370B5496" w14:textId="0B8C9AB3" w:rsidR="001422CB" w:rsidRPr="000620C4" w:rsidRDefault="001422CB" w:rsidP="005A6A25">
            <w:pPr>
              <w:spacing w:line="240" w:lineRule="auto"/>
              <w:ind w:right="-111"/>
              <w:jc w:val="left"/>
              <w:rPr>
                <w:rFonts w:ascii="Arial" w:hAnsi="Arial" w:cs="Arial"/>
                <w:color w:val="000000"/>
                <w:sz w:val="20"/>
                <w:szCs w:val="20"/>
                <w:lang w:val="en-US"/>
              </w:rPr>
            </w:pPr>
            <w:r w:rsidRPr="000620C4">
              <w:rPr>
                <w:rFonts w:ascii="Arial" w:hAnsi="Arial" w:cs="Arial"/>
                <w:sz w:val="20"/>
                <w:szCs w:val="20"/>
                <w:lang w:val="en-US"/>
              </w:rPr>
              <w:t>24500</w:t>
            </w:r>
          </w:p>
        </w:tc>
        <w:tc>
          <w:tcPr>
            <w:tcW w:w="850" w:type="dxa"/>
          </w:tcPr>
          <w:p w14:paraId="48B8BDCE" w14:textId="2C177A87" w:rsidR="001422CB" w:rsidRPr="0018194B" w:rsidRDefault="001422CB" w:rsidP="005A6A25">
            <w:pPr>
              <w:spacing w:line="240" w:lineRule="auto"/>
              <w:jc w:val="left"/>
              <w:rPr>
                <w:rFonts w:ascii="Arial" w:hAnsi="Arial" w:cs="Arial"/>
                <w:color w:val="000000"/>
                <w:sz w:val="20"/>
                <w:szCs w:val="20"/>
                <w:highlight w:val="green"/>
                <w:lang w:val="en-US"/>
              </w:rPr>
            </w:pPr>
            <w:r w:rsidRPr="0018194B">
              <w:rPr>
                <w:rFonts w:ascii="Arial" w:hAnsi="Arial" w:cs="Arial"/>
                <w:sz w:val="20"/>
                <w:szCs w:val="20"/>
                <w:highlight w:val="green"/>
                <w:lang w:val="en-US"/>
              </w:rPr>
              <w:t>0.2</w:t>
            </w:r>
          </w:p>
        </w:tc>
      </w:tr>
      <w:tr w:rsidR="001422CB" w:rsidRPr="000620C4" w14:paraId="14473C0F" w14:textId="72567454" w:rsidTr="006A1477">
        <w:trPr>
          <w:trHeight w:val="300"/>
        </w:trPr>
        <w:tc>
          <w:tcPr>
            <w:tcW w:w="1200" w:type="dxa"/>
            <w:noWrap/>
            <w:vAlign w:val="bottom"/>
            <w:hideMark/>
          </w:tcPr>
          <w:p w14:paraId="563D3E06"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Mg</w:t>
            </w:r>
          </w:p>
        </w:tc>
        <w:tc>
          <w:tcPr>
            <w:tcW w:w="1772" w:type="dxa"/>
            <w:noWrap/>
            <w:vAlign w:val="bottom"/>
            <w:hideMark/>
          </w:tcPr>
          <w:p w14:paraId="06814FC3" w14:textId="2520CEA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7601.3</w:t>
            </w:r>
            <w:r w:rsidR="00183B8D" w:rsidRPr="000620C4">
              <w:rPr>
                <w:rFonts w:ascii="Arial" w:hAnsi="Arial" w:cs="Arial"/>
                <w:color w:val="000000"/>
                <w:sz w:val="20"/>
                <w:szCs w:val="20"/>
                <w:lang w:val="en-US"/>
              </w:rPr>
              <w:t>6</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0.02</w:t>
            </w:r>
          </w:p>
        </w:tc>
        <w:tc>
          <w:tcPr>
            <w:tcW w:w="1766" w:type="dxa"/>
            <w:noWrap/>
            <w:vAlign w:val="bottom"/>
            <w:hideMark/>
          </w:tcPr>
          <w:p w14:paraId="29DDAEAD" w14:textId="23FF22C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1458.6</w:t>
            </w:r>
            <w:r w:rsidR="0075745E" w:rsidRPr="000620C4">
              <w:rPr>
                <w:rFonts w:ascii="Arial" w:hAnsi="Arial" w:cs="Arial"/>
                <w:color w:val="000000"/>
                <w:sz w:val="20"/>
                <w:szCs w:val="20"/>
                <w:lang w:val="en-US"/>
              </w:rPr>
              <w:t>6</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0.0</w:t>
            </w:r>
            <w:r w:rsidR="000E05A0" w:rsidRPr="000620C4">
              <w:rPr>
                <w:rFonts w:ascii="Arial" w:hAnsi="Arial" w:cs="Arial"/>
                <w:color w:val="000000"/>
                <w:sz w:val="20"/>
                <w:szCs w:val="20"/>
                <w:lang w:val="en-US"/>
              </w:rPr>
              <w:t>9</w:t>
            </w:r>
          </w:p>
        </w:tc>
        <w:tc>
          <w:tcPr>
            <w:tcW w:w="1765" w:type="dxa"/>
            <w:noWrap/>
            <w:vAlign w:val="bottom"/>
            <w:hideMark/>
          </w:tcPr>
          <w:p w14:paraId="3882FD96" w14:textId="745D8331"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729.85</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0.01</w:t>
            </w:r>
          </w:p>
        </w:tc>
        <w:tc>
          <w:tcPr>
            <w:tcW w:w="1985" w:type="dxa"/>
          </w:tcPr>
          <w:p w14:paraId="79B9BB50" w14:textId="1BC45B0C" w:rsidR="001422CB" w:rsidRPr="000620C4" w:rsidRDefault="001422CB" w:rsidP="005A6A25">
            <w:pPr>
              <w:spacing w:line="240" w:lineRule="auto"/>
              <w:ind w:right="-111"/>
              <w:jc w:val="left"/>
              <w:rPr>
                <w:rFonts w:ascii="Arial" w:hAnsi="Arial" w:cs="Arial"/>
                <w:color w:val="000000"/>
                <w:sz w:val="20"/>
                <w:szCs w:val="20"/>
                <w:lang w:val="en-US"/>
              </w:rPr>
            </w:pPr>
            <w:r w:rsidRPr="000620C4">
              <w:rPr>
                <w:rFonts w:ascii="Arial" w:hAnsi="Arial" w:cs="Arial"/>
                <w:sz w:val="20"/>
                <w:szCs w:val="20"/>
                <w:lang w:val="en-US"/>
              </w:rPr>
              <w:t>2940</w:t>
            </w:r>
          </w:p>
        </w:tc>
        <w:tc>
          <w:tcPr>
            <w:tcW w:w="850" w:type="dxa"/>
          </w:tcPr>
          <w:p w14:paraId="6553F58E" w14:textId="56E59235" w:rsidR="001422CB" w:rsidRPr="0018194B" w:rsidRDefault="001422CB" w:rsidP="005A6A25">
            <w:pPr>
              <w:spacing w:line="240" w:lineRule="auto"/>
              <w:jc w:val="left"/>
              <w:rPr>
                <w:rFonts w:ascii="Arial" w:hAnsi="Arial" w:cs="Arial"/>
                <w:color w:val="000000"/>
                <w:sz w:val="20"/>
                <w:szCs w:val="20"/>
                <w:highlight w:val="green"/>
                <w:lang w:val="en-US"/>
              </w:rPr>
            </w:pPr>
            <w:r w:rsidRPr="0018194B">
              <w:rPr>
                <w:rFonts w:ascii="Arial" w:hAnsi="Arial" w:cs="Arial"/>
                <w:sz w:val="20"/>
                <w:szCs w:val="20"/>
                <w:highlight w:val="green"/>
                <w:lang w:val="en-US"/>
              </w:rPr>
              <w:t>0.0008</w:t>
            </w:r>
          </w:p>
        </w:tc>
      </w:tr>
      <w:tr w:rsidR="001422CB" w:rsidRPr="000620C4" w14:paraId="6A589728" w14:textId="61002E69" w:rsidTr="006A1477">
        <w:trPr>
          <w:trHeight w:val="300"/>
        </w:trPr>
        <w:tc>
          <w:tcPr>
            <w:tcW w:w="1200" w:type="dxa"/>
            <w:noWrap/>
            <w:vAlign w:val="bottom"/>
            <w:hideMark/>
          </w:tcPr>
          <w:p w14:paraId="0BD7D9C1"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Ca</w:t>
            </w:r>
          </w:p>
        </w:tc>
        <w:tc>
          <w:tcPr>
            <w:tcW w:w="1772" w:type="dxa"/>
            <w:noWrap/>
            <w:vAlign w:val="bottom"/>
            <w:hideMark/>
          </w:tcPr>
          <w:p w14:paraId="72C96D78" w14:textId="15CEA36C"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7677.51</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w:t>
            </w:r>
            <w:r w:rsidR="000E05A0" w:rsidRPr="000620C4">
              <w:rPr>
                <w:rFonts w:ascii="Arial" w:hAnsi="Arial" w:cs="Arial"/>
                <w:color w:val="000000"/>
                <w:sz w:val="20"/>
                <w:szCs w:val="20"/>
                <w:lang w:val="en-US"/>
              </w:rPr>
              <w:t>11</w:t>
            </w:r>
          </w:p>
        </w:tc>
        <w:tc>
          <w:tcPr>
            <w:tcW w:w="1766" w:type="dxa"/>
            <w:noWrap/>
            <w:vAlign w:val="bottom"/>
            <w:hideMark/>
          </w:tcPr>
          <w:p w14:paraId="347982D0" w14:textId="359D25CC"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2683.9</w:t>
            </w:r>
            <w:r w:rsidR="0075745E" w:rsidRPr="000620C4">
              <w:rPr>
                <w:rFonts w:ascii="Arial" w:hAnsi="Arial" w:cs="Arial"/>
                <w:color w:val="000000"/>
                <w:sz w:val="20"/>
                <w:szCs w:val="20"/>
                <w:lang w:val="en-US"/>
              </w:rPr>
              <w:t>6</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0.0</w:t>
            </w:r>
            <w:r w:rsidR="000E05A0" w:rsidRPr="000620C4">
              <w:rPr>
                <w:rFonts w:ascii="Arial" w:hAnsi="Arial" w:cs="Arial"/>
                <w:color w:val="000000"/>
                <w:sz w:val="20"/>
                <w:szCs w:val="20"/>
                <w:lang w:val="en-US"/>
              </w:rPr>
              <w:t>9</w:t>
            </w:r>
          </w:p>
        </w:tc>
        <w:tc>
          <w:tcPr>
            <w:tcW w:w="1765" w:type="dxa"/>
            <w:noWrap/>
            <w:vAlign w:val="bottom"/>
            <w:hideMark/>
          </w:tcPr>
          <w:p w14:paraId="349C46E5" w14:textId="42BA3DD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1644.8</w:t>
            </w:r>
            <w:r w:rsidR="0075745E" w:rsidRPr="000620C4">
              <w:rPr>
                <w:rFonts w:ascii="Arial" w:hAnsi="Arial" w:cs="Arial"/>
                <w:color w:val="000000"/>
                <w:sz w:val="20"/>
                <w:szCs w:val="20"/>
                <w:lang w:val="en-US"/>
              </w:rPr>
              <w:t>5</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0.18</w:t>
            </w:r>
          </w:p>
        </w:tc>
        <w:tc>
          <w:tcPr>
            <w:tcW w:w="1985" w:type="dxa"/>
          </w:tcPr>
          <w:p w14:paraId="5F016C93" w14:textId="4026D398" w:rsidR="001422CB" w:rsidRPr="000620C4" w:rsidRDefault="001422CB" w:rsidP="005A6A25">
            <w:pPr>
              <w:spacing w:line="240" w:lineRule="auto"/>
              <w:ind w:right="-111"/>
              <w:jc w:val="left"/>
              <w:rPr>
                <w:rFonts w:ascii="Arial" w:hAnsi="Arial" w:cs="Arial"/>
                <w:color w:val="000000"/>
                <w:sz w:val="20"/>
                <w:szCs w:val="20"/>
                <w:lang w:val="en-US"/>
              </w:rPr>
            </w:pPr>
            <w:r w:rsidRPr="000620C4">
              <w:rPr>
                <w:rFonts w:ascii="Arial" w:hAnsi="Arial" w:cs="Arial"/>
                <w:sz w:val="20"/>
                <w:szCs w:val="20"/>
                <w:lang w:val="en-US"/>
              </w:rPr>
              <w:t>8400</w:t>
            </w:r>
          </w:p>
        </w:tc>
        <w:tc>
          <w:tcPr>
            <w:tcW w:w="850" w:type="dxa"/>
          </w:tcPr>
          <w:p w14:paraId="54AF3BF6" w14:textId="2C904DFB" w:rsidR="001422CB" w:rsidRPr="0018194B" w:rsidRDefault="001422CB" w:rsidP="005A6A25">
            <w:pPr>
              <w:spacing w:line="240" w:lineRule="auto"/>
              <w:jc w:val="left"/>
              <w:rPr>
                <w:rFonts w:ascii="Arial" w:hAnsi="Arial" w:cs="Arial"/>
                <w:color w:val="000000"/>
                <w:sz w:val="20"/>
                <w:szCs w:val="20"/>
                <w:highlight w:val="green"/>
                <w:lang w:val="en-US"/>
              </w:rPr>
            </w:pPr>
            <w:r w:rsidRPr="0018194B">
              <w:rPr>
                <w:rFonts w:ascii="Arial" w:hAnsi="Arial" w:cs="Arial"/>
                <w:sz w:val="20"/>
                <w:szCs w:val="20"/>
                <w:highlight w:val="green"/>
                <w:lang w:val="en-US"/>
              </w:rPr>
              <w:t>0.0007</w:t>
            </w:r>
          </w:p>
        </w:tc>
      </w:tr>
      <w:tr w:rsidR="001422CB" w:rsidRPr="000620C4" w14:paraId="54F8F5F7" w14:textId="619C302C" w:rsidTr="006A1477">
        <w:trPr>
          <w:trHeight w:val="300"/>
        </w:trPr>
        <w:tc>
          <w:tcPr>
            <w:tcW w:w="1200" w:type="dxa"/>
            <w:noWrap/>
            <w:vAlign w:val="bottom"/>
            <w:hideMark/>
          </w:tcPr>
          <w:p w14:paraId="66F1B62A"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Fe</w:t>
            </w:r>
          </w:p>
        </w:tc>
        <w:tc>
          <w:tcPr>
            <w:tcW w:w="1772" w:type="dxa"/>
            <w:noWrap/>
            <w:vAlign w:val="bottom"/>
            <w:hideMark/>
          </w:tcPr>
          <w:p w14:paraId="61E64FFC" w14:textId="34DCD7A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126.5</w:t>
            </w:r>
            <w:r w:rsidR="00183B8D" w:rsidRPr="000620C4">
              <w:rPr>
                <w:rFonts w:ascii="Arial" w:eastAsia="Times New Roman" w:hAnsi="Arial" w:cs="Arial"/>
                <w:color w:val="000000"/>
                <w:kern w:val="0"/>
                <w:sz w:val="20"/>
                <w:szCs w:val="20"/>
                <w:lang w:val="en-US"/>
                <w14:ligatures w14:val="none"/>
              </w:rPr>
              <w:t>3</w:t>
            </w:r>
            <w:r w:rsidR="008001B6" w:rsidRPr="000620C4">
              <w:rPr>
                <w:rFonts w:ascii="Arial" w:hAnsi="Arial" w:cs="Arial"/>
                <w:color w:val="000000"/>
                <w:sz w:val="20"/>
                <w:szCs w:val="20"/>
                <w:lang w:val="en-US"/>
              </w:rPr>
              <w:t xml:space="preserve"> ±</w:t>
            </w:r>
            <w:r w:rsidR="003F560F" w:rsidRPr="000620C4">
              <w:rPr>
                <w:rFonts w:ascii="Arial" w:hAnsi="Arial" w:cs="Arial"/>
                <w:color w:val="000000"/>
                <w:sz w:val="20"/>
                <w:szCs w:val="20"/>
                <w:lang w:val="en-US"/>
              </w:rPr>
              <w:t xml:space="preserve"> 0.0</w:t>
            </w:r>
            <w:r w:rsidR="00ED203F" w:rsidRPr="000620C4">
              <w:rPr>
                <w:rFonts w:ascii="Arial" w:hAnsi="Arial" w:cs="Arial"/>
                <w:color w:val="000000"/>
                <w:sz w:val="20"/>
                <w:szCs w:val="20"/>
                <w:lang w:val="en-US"/>
              </w:rPr>
              <w:t>9</w:t>
            </w:r>
          </w:p>
        </w:tc>
        <w:tc>
          <w:tcPr>
            <w:tcW w:w="1766" w:type="dxa"/>
            <w:noWrap/>
            <w:vAlign w:val="bottom"/>
            <w:hideMark/>
          </w:tcPr>
          <w:p w14:paraId="5B975182" w14:textId="078A491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21.9</w:t>
            </w:r>
            <w:r w:rsidR="00056096" w:rsidRPr="000620C4">
              <w:rPr>
                <w:rFonts w:ascii="Arial" w:eastAsia="Times New Roman" w:hAnsi="Arial" w:cs="Arial"/>
                <w:color w:val="000000"/>
                <w:kern w:val="0"/>
                <w:sz w:val="20"/>
                <w:szCs w:val="20"/>
                <w:lang w:val="en-US"/>
                <w14:ligatures w14:val="none"/>
              </w:rPr>
              <w:t>4</w:t>
            </w:r>
            <w:r w:rsidR="0075745E" w:rsidRPr="000620C4">
              <w:rPr>
                <w:rFonts w:ascii="Arial" w:eastAsia="Times New Roman" w:hAnsi="Arial" w:cs="Arial"/>
                <w:color w:val="000000"/>
                <w:kern w:val="0"/>
                <w:sz w:val="20"/>
                <w:szCs w:val="20"/>
                <w:lang w:val="en-US"/>
                <w14:ligatures w14:val="none"/>
              </w:rPr>
              <w:t xml:space="preserve"> </w:t>
            </w:r>
            <w:r w:rsidR="008001B6" w:rsidRPr="000620C4">
              <w:rPr>
                <w:rFonts w:ascii="Arial" w:hAnsi="Arial" w:cs="Arial"/>
                <w:color w:val="000000"/>
                <w:sz w:val="20"/>
                <w:szCs w:val="20"/>
                <w:lang w:val="en-US"/>
              </w:rPr>
              <w:t>±</w:t>
            </w:r>
            <w:r w:rsidR="003F560F" w:rsidRPr="000620C4">
              <w:rPr>
                <w:rFonts w:ascii="Arial" w:hAnsi="Arial" w:cs="Arial"/>
                <w:color w:val="000000"/>
                <w:sz w:val="20"/>
                <w:szCs w:val="20"/>
                <w:lang w:val="en-US"/>
              </w:rPr>
              <w:t xml:space="preserve"> 0.0</w:t>
            </w:r>
            <w:r w:rsidR="00ED203F" w:rsidRPr="000620C4">
              <w:rPr>
                <w:rFonts w:ascii="Arial" w:hAnsi="Arial" w:cs="Arial"/>
                <w:color w:val="000000"/>
                <w:sz w:val="20"/>
                <w:szCs w:val="20"/>
                <w:lang w:val="en-US"/>
              </w:rPr>
              <w:t>4</w:t>
            </w:r>
          </w:p>
        </w:tc>
        <w:tc>
          <w:tcPr>
            <w:tcW w:w="1765" w:type="dxa"/>
            <w:noWrap/>
            <w:vAlign w:val="bottom"/>
            <w:hideMark/>
          </w:tcPr>
          <w:p w14:paraId="571ED5B2" w14:textId="0EC75178"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91.3</w:t>
            </w:r>
            <w:r w:rsidR="0075745E" w:rsidRPr="000620C4">
              <w:rPr>
                <w:rFonts w:ascii="Arial" w:eastAsia="Times New Roman" w:hAnsi="Arial" w:cs="Arial"/>
                <w:color w:val="000000"/>
                <w:kern w:val="0"/>
                <w:sz w:val="20"/>
                <w:szCs w:val="20"/>
                <w:lang w:val="en-US"/>
                <w14:ligatures w14:val="none"/>
              </w:rPr>
              <w:t>1</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0.04</w:t>
            </w:r>
          </w:p>
        </w:tc>
        <w:tc>
          <w:tcPr>
            <w:tcW w:w="1985" w:type="dxa"/>
          </w:tcPr>
          <w:p w14:paraId="3FF0DFBA" w14:textId="507A5BF8"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392</w:t>
            </w:r>
          </w:p>
        </w:tc>
        <w:tc>
          <w:tcPr>
            <w:tcW w:w="850" w:type="dxa"/>
          </w:tcPr>
          <w:p w14:paraId="16C3B0F3" w14:textId="01271256" w:rsidR="001422CB" w:rsidRPr="0018194B" w:rsidRDefault="001422CB" w:rsidP="005A6A25">
            <w:pPr>
              <w:spacing w:line="240" w:lineRule="auto"/>
              <w:jc w:val="left"/>
              <w:rPr>
                <w:rFonts w:ascii="Arial" w:eastAsia="Times New Roman" w:hAnsi="Arial" w:cs="Arial"/>
                <w:color w:val="000000"/>
                <w:kern w:val="0"/>
                <w:sz w:val="20"/>
                <w:szCs w:val="20"/>
                <w:highlight w:val="green"/>
                <w:lang w:val="en-US"/>
                <w14:ligatures w14:val="none"/>
              </w:rPr>
            </w:pPr>
            <w:r w:rsidRPr="0018194B">
              <w:rPr>
                <w:rFonts w:ascii="Arial" w:hAnsi="Arial" w:cs="Arial"/>
                <w:sz w:val="20"/>
                <w:szCs w:val="20"/>
                <w:highlight w:val="green"/>
                <w:lang w:val="en-US"/>
              </w:rPr>
              <w:t>0.001</w:t>
            </w:r>
          </w:p>
        </w:tc>
      </w:tr>
      <w:tr w:rsidR="001422CB" w:rsidRPr="000620C4" w14:paraId="5E204827" w14:textId="6C680D9A" w:rsidTr="006A1477">
        <w:trPr>
          <w:trHeight w:val="300"/>
        </w:trPr>
        <w:tc>
          <w:tcPr>
            <w:tcW w:w="1200" w:type="dxa"/>
            <w:noWrap/>
            <w:vAlign w:val="bottom"/>
            <w:hideMark/>
          </w:tcPr>
          <w:p w14:paraId="6E00D893"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Ni</w:t>
            </w:r>
          </w:p>
        </w:tc>
        <w:tc>
          <w:tcPr>
            <w:tcW w:w="1772" w:type="dxa"/>
            <w:noWrap/>
            <w:vAlign w:val="bottom"/>
            <w:hideMark/>
          </w:tcPr>
          <w:p w14:paraId="3181630F" w14:textId="7BD8839B"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6.1</w:t>
            </w:r>
            <w:r w:rsidR="00183B8D" w:rsidRPr="000620C4">
              <w:rPr>
                <w:rFonts w:ascii="Arial" w:eastAsia="Times New Roman" w:hAnsi="Arial" w:cs="Arial"/>
                <w:color w:val="000000"/>
                <w:kern w:val="0"/>
                <w:sz w:val="20"/>
                <w:szCs w:val="20"/>
                <w:lang w:val="en-US"/>
                <w14:ligatures w14:val="none"/>
              </w:rPr>
              <w:t>3</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0.08</w:t>
            </w:r>
          </w:p>
        </w:tc>
        <w:tc>
          <w:tcPr>
            <w:tcW w:w="1766" w:type="dxa"/>
            <w:noWrap/>
            <w:vAlign w:val="bottom"/>
            <w:hideMark/>
          </w:tcPr>
          <w:p w14:paraId="4BC20067" w14:textId="3409ABE4"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3.7</w:t>
            </w:r>
            <w:r w:rsidR="00056096" w:rsidRPr="000620C4">
              <w:rPr>
                <w:rFonts w:ascii="Arial" w:eastAsia="Times New Roman" w:hAnsi="Arial" w:cs="Arial"/>
                <w:color w:val="000000"/>
                <w:kern w:val="0"/>
                <w:sz w:val="20"/>
                <w:szCs w:val="20"/>
                <w:lang w:val="en-US"/>
                <w14:ligatures w14:val="none"/>
              </w:rPr>
              <w:t>4</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0.07</w:t>
            </w:r>
          </w:p>
        </w:tc>
        <w:tc>
          <w:tcPr>
            <w:tcW w:w="1765" w:type="dxa"/>
            <w:noWrap/>
            <w:vAlign w:val="bottom"/>
            <w:hideMark/>
          </w:tcPr>
          <w:p w14:paraId="6C9653F8" w14:textId="0C6178ED"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9.09</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0.07</w:t>
            </w:r>
          </w:p>
        </w:tc>
        <w:tc>
          <w:tcPr>
            <w:tcW w:w="1985" w:type="dxa"/>
          </w:tcPr>
          <w:p w14:paraId="6EDEB70B" w14:textId="52F72D88"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2.450</w:t>
            </w:r>
          </w:p>
        </w:tc>
        <w:tc>
          <w:tcPr>
            <w:tcW w:w="850" w:type="dxa"/>
          </w:tcPr>
          <w:p w14:paraId="712102A0" w14:textId="6F9A8E66" w:rsidR="001422CB" w:rsidRPr="0018194B" w:rsidRDefault="001422CB" w:rsidP="005A6A25">
            <w:pPr>
              <w:spacing w:line="240" w:lineRule="auto"/>
              <w:jc w:val="left"/>
              <w:rPr>
                <w:rFonts w:ascii="Arial" w:eastAsia="Times New Roman" w:hAnsi="Arial" w:cs="Arial"/>
                <w:color w:val="000000"/>
                <w:kern w:val="0"/>
                <w:sz w:val="20"/>
                <w:szCs w:val="20"/>
                <w:highlight w:val="green"/>
                <w:lang w:val="en-US"/>
                <w14:ligatures w14:val="none"/>
              </w:rPr>
            </w:pPr>
            <w:r w:rsidRPr="0018194B">
              <w:rPr>
                <w:rFonts w:ascii="Arial" w:hAnsi="Arial" w:cs="Arial"/>
                <w:sz w:val="20"/>
                <w:szCs w:val="20"/>
                <w:highlight w:val="green"/>
                <w:lang w:val="en-US"/>
              </w:rPr>
              <w:t>0.0012</w:t>
            </w:r>
          </w:p>
        </w:tc>
      </w:tr>
      <w:tr w:rsidR="001422CB" w:rsidRPr="000620C4" w14:paraId="5087FD26" w14:textId="1A6EA80B" w:rsidTr="006A1477">
        <w:trPr>
          <w:trHeight w:val="300"/>
        </w:trPr>
        <w:tc>
          <w:tcPr>
            <w:tcW w:w="1200" w:type="dxa"/>
            <w:noWrap/>
            <w:vAlign w:val="bottom"/>
            <w:hideMark/>
          </w:tcPr>
          <w:p w14:paraId="177CF223"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Cu</w:t>
            </w:r>
          </w:p>
        </w:tc>
        <w:tc>
          <w:tcPr>
            <w:tcW w:w="1772" w:type="dxa"/>
            <w:noWrap/>
            <w:vAlign w:val="bottom"/>
            <w:hideMark/>
          </w:tcPr>
          <w:p w14:paraId="2F61E6C2" w14:textId="573596FB"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5.3</w:t>
            </w:r>
            <w:r w:rsidR="00183B8D" w:rsidRPr="000620C4">
              <w:rPr>
                <w:rFonts w:ascii="Arial" w:eastAsia="Times New Roman" w:hAnsi="Arial" w:cs="Arial"/>
                <w:color w:val="000000"/>
                <w:kern w:val="0"/>
                <w:sz w:val="20"/>
                <w:szCs w:val="20"/>
                <w:lang w:val="en-US"/>
                <w14:ligatures w14:val="none"/>
              </w:rPr>
              <w:t>8</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0.02</w:t>
            </w:r>
          </w:p>
        </w:tc>
        <w:tc>
          <w:tcPr>
            <w:tcW w:w="1766" w:type="dxa"/>
            <w:noWrap/>
            <w:vAlign w:val="bottom"/>
            <w:hideMark/>
          </w:tcPr>
          <w:p w14:paraId="59DE633D" w14:textId="786C1498"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3.28</w:t>
            </w:r>
            <w:r w:rsidR="008001B6"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 xml:space="preserve"> 0.01</w:t>
            </w:r>
          </w:p>
        </w:tc>
        <w:tc>
          <w:tcPr>
            <w:tcW w:w="1765" w:type="dxa"/>
            <w:noWrap/>
            <w:vAlign w:val="bottom"/>
            <w:hideMark/>
          </w:tcPr>
          <w:p w14:paraId="4391EEEE" w14:textId="0B6735B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2.11</w:t>
            </w:r>
            <w:r w:rsidR="008001B6"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 xml:space="preserve"> 0.01</w:t>
            </w:r>
          </w:p>
        </w:tc>
        <w:tc>
          <w:tcPr>
            <w:tcW w:w="1985" w:type="dxa"/>
          </w:tcPr>
          <w:p w14:paraId="22316179" w14:textId="1755DC1D"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245</w:t>
            </w:r>
          </w:p>
        </w:tc>
        <w:tc>
          <w:tcPr>
            <w:tcW w:w="850" w:type="dxa"/>
          </w:tcPr>
          <w:p w14:paraId="5B7530A1" w14:textId="53E9FE27" w:rsidR="001422CB" w:rsidRPr="0018194B" w:rsidRDefault="001422CB" w:rsidP="005A6A25">
            <w:pPr>
              <w:spacing w:line="240" w:lineRule="auto"/>
              <w:jc w:val="left"/>
              <w:rPr>
                <w:rFonts w:ascii="Arial" w:eastAsia="Times New Roman" w:hAnsi="Arial" w:cs="Arial"/>
                <w:color w:val="000000"/>
                <w:kern w:val="0"/>
                <w:sz w:val="20"/>
                <w:szCs w:val="20"/>
                <w:highlight w:val="green"/>
                <w:lang w:val="en-US"/>
                <w14:ligatures w14:val="none"/>
              </w:rPr>
            </w:pPr>
            <w:r w:rsidRPr="0018194B">
              <w:rPr>
                <w:rFonts w:ascii="Arial" w:hAnsi="Arial" w:cs="Arial"/>
                <w:sz w:val="20"/>
                <w:szCs w:val="20"/>
                <w:highlight w:val="green"/>
                <w:lang w:val="en-US"/>
              </w:rPr>
              <w:t>0.001</w:t>
            </w:r>
          </w:p>
        </w:tc>
      </w:tr>
      <w:tr w:rsidR="001422CB" w:rsidRPr="000620C4" w14:paraId="339328BC" w14:textId="39D769E1" w:rsidTr="006A1477">
        <w:trPr>
          <w:trHeight w:val="300"/>
        </w:trPr>
        <w:tc>
          <w:tcPr>
            <w:tcW w:w="1200" w:type="dxa"/>
            <w:noWrap/>
            <w:vAlign w:val="bottom"/>
            <w:hideMark/>
          </w:tcPr>
          <w:p w14:paraId="0C0768BC"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Zn</w:t>
            </w:r>
          </w:p>
        </w:tc>
        <w:tc>
          <w:tcPr>
            <w:tcW w:w="1772" w:type="dxa"/>
            <w:noWrap/>
            <w:vAlign w:val="bottom"/>
            <w:hideMark/>
          </w:tcPr>
          <w:p w14:paraId="1349A42E" w14:textId="18E366B4"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15.</w:t>
            </w:r>
            <w:r w:rsidR="00183B8D" w:rsidRPr="000620C4">
              <w:rPr>
                <w:rFonts w:ascii="Arial" w:eastAsia="Times New Roman" w:hAnsi="Arial" w:cs="Arial"/>
                <w:color w:val="000000"/>
                <w:kern w:val="0"/>
                <w:sz w:val="20"/>
                <w:szCs w:val="20"/>
                <w:lang w:val="en-US"/>
                <w14:ligatures w14:val="none"/>
              </w:rPr>
              <w:t>80</w:t>
            </w:r>
            <w:r w:rsidR="008001B6"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 xml:space="preserve"> 0.01</w:t>
            </w:r>
          </w:p>
        </w:tc>
        <w:tc>
          <w:tcPr>
            <w:tcW w:w="1766" w:type="dxa"/>
            <w:noWrap/>
            <w:vAlign w:val="bottom"/>
            <w:hideMark/>
          </w:tcPr>
          <w:p w14:paraId="0B2C2ED0" w14:textId="025D7690"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6.81</w:t>
            </w:r>
            <w:r w:rsidR="00DF18B5" w:rsidRPr="000620C4">
              <w:rPr>
                <w:rFonts w:ascii="Arial" w:eastAsia="Times New Roman" w:hAnsi="Arial" w:cs="Arial"/>
                <w:color w:val="000000"/>
                <w:kern w:val="0"/>
                <w:sz w:val="20"/>
                <w:szCs w:val="20"/>
                <w:lang w:val="en-US"/>
                <w14:ligatures w14:val="none"/>
              </w:rPr>
              <w:t xml:space="preserve"> </w:t>
            </w:r>
            <w:r w:rsidR="008001B6" w:rsidRPr="000620C4">
              <w:rPr>
                <w:rFonts w:ascii="Arial" w:hAnsi="Arial" w:cs="Arial"/>
                <w:color w:val="000000"/>
                <w:sz w:val="20"/>
                <w:szCs w:val="20"/>
                <w:lang w:val="en-US"/>
              </w:rPr>
              <w:t>±</w:t>
            </w:r>
            <w:r w:rsidR="00DF18B5" w:rsidRPr="000620C4">
              <w:rPr>
                <w:rFonts w:ascii="Arial" w:hAnsi="Arial" w:cs="Arial"/>
                <w:color w:val="000000"/>
                <w:sz w:val="20"/>
                <w:szCs w:val="20"/>
                <w:lang w:val="en-US"/>
              </w:rPr>
              <w:t xml:space="preserve"> 0.01</w:t>
            </w:r>
          </w:p>
        </w:tc>
        <w:tc>
          <w:tcPr>
            <w:tcW w:w="1765" w:type="dxa"/>
            <w:noWrap/>
            <w:vAlign w:val="bottom"/>
            <w:hideMark/>
          </w:tcPr>
          <w:p w14:paraId="390C9A95" w14:textId="6EF967C9"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6.0</w:t>
            </w:r>
            <w:r w:rsidR="00DF18B5" w:rsidRPr="000620C4">
              <w:rPr>
                <w:rFonts w:ascii="Arial" w:eastAsia="Times New Roman" w:hAnsi="Arial" w:cs="Arial"/>
                <w:color w:val="000000"/>
                <w:kern w:val="0"/>
                <w:sz w:val="20"/>
                <w:szCs w:val="20"/>
                <w:lang w:val="en-US"/>
                <w14:ligatures w14:val="none"/>
              </w:rPr>
              <w:t>1</w:t>
            </w:r>
            <w:r w:rsidR="008001B6"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 xml:space="preserve"> 0.0</w:t>
            </w:r>
            <w:r w:rsidR="0031758D">
              <w:rPr>
                <w:rFonts w:ascii="Arial" w:hAnsi="Arial" w:cs="Arial"/>
                <w:color w:val="000000"/>
                <w:sz w:val="20"/>
                <w:szCs w:val="20"/>
                <w:lang w:val="en-US"/>
              </w:rPr>
              <w:t>1</w:t>
            </w:r>
          </w:p>
        </w:tc>
        <w:tc>
          <w:tcPr>
            <w:tcW w:w="1985" w:type="dxa"/>
          </w:tcPr>
          <w:p w14:paraId="1805AAF7" w14:textId="52C81228"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490</w:t>
            </w:r>
          </w:p>
        </w:tc>
        <w:tc>
          <w:tcPr>
            <w:tcW w:w="850" w:type="dxa"/>
          </w:tcPr>
          <w:p w14:paraId="2C7C917C" w14:textId="606D6943" w:rsidR="001422CB" w:rsidRPr="0018194B" w:rsidRDefault="001422CB" w:rsidP="005A6A25">
            <w:pPr>
              <w:spacing w:line="240" w:lineRule="auto"/>
              <w:jc w:val="left"/>
              <w:rPr>
                <w:rFonts w:ascii="Arial" w:eastAsia="Times New Roman" w:hAnsi="Arial" w:cs="Arial"/>
                <w:color w:val="000000"/>
                <w:kern w:val="0"/>
                <w:sz w:val="20"/>
                <w:szCs w:val="20"/>
                <w:highlight w:val="green"/>
                <w:lang w:val="en-US"/>
                <w14:ligatures w14:val="none"/>
              </w:rPr>
            </w:pPr>
            <w:r w:rsidRPr="0018194B">
              <w:rPr>
                <w:rFonts w:ascii="Arial" w:hAnsi="Arial" w:cs="Arial"/>
                <w:sz w:val="20"/>
                <w:szCs w:val="20"/>
                <w:highlight w:val="green"/>
                <w:lang w:val="en-US"/>
              </w:rPr>
              <w:t>0.001</w:t>
            </w:r>
          </w:p>
        </w:tc>
      </w:tr>
      <w:tr w:rsidR="00AA7F36" w:rsidRPr="000620C4" w14:paraId="5FA9DD6B" w14:textId="23682986" w:rsidTr="003A09DF">
        <w:trPr>
          <w:trHeight w:val="300"/>
        </w:trPr>
        <w:tc>
          <w:tcPr>
            <w:tcW w:w="1200" w:type="dxa"/>
            <w:tcBorders>
              <w:bottom w:val="single" w:sz="12" w:space="0" w:color="auto"/>
            </w:tcBorders>
            <w:noWrap/>
            <w:vAlign w:val="bottom"/>
          </w:tcPr>
          <w:p w14:paraId="3B7E7989" w14:textId="660A0BBD" w:rsidR="00AA7F36" w:rsidRPr="00CE7628" w:rsidRDefault="00AA7F36" w:rsidP="00AA7F36">
            <w:pPr>
              <w:spacing w:line="240" w:lineRule="auto"/>
              <w:jc w:val="left"/>
              <w:rPr>
                <w:rFonts w:ascii="Arial" w:eastAsia="Times New Roman" w:hAnsi="Arial" w:cs="Arial"/>
                <w:color w:val="000000"/>
                <w:kern w:val="0"/>
                <w:sz w:val="20"/>
                <w:szCs w:val="20"/>
                <w:highlight w:val="yellow"/>
                <w:lang w:val="en-US"/>
                <w14:ligatures w14:val="none"/>
              </w:rPr>
            </w:pPr>
            <w:r w:rsidRPr="000620C4">
              <w:rPr>
                <w:rFonts w:ascii="Arial" w:eastAsia="Times New Roman" w:hAnsi="Arial" w:cs="Arial"/>
                <w:color w:val="000000"/>
                <w:kern w:val="0"/>
                <w:sz w:val="20"/>
                <w:szCs w:val="20"/>
                <w:lang w:val="en-US"/>
                <w14:ligatures w14:val="none"/>
              </w:rPr>
              <w:t>Cd</w:t>
            </w:r>
          </w:p>
        </w:tc>
        <w:tc>
          <w:tcPr>
            <w:tcW w:w="1772" w:type="dxa"/>
            <w:tcBorders>
              <w:bottom w:val="single" w:sz="12" w:space="0" w:color="auto"/>
            </w:tcBorders>
            <w:noWrap/>
            <w:vAlign w:val="bottom"/>
          </w:tcPr>
          <w:p w14:paraId="7E095CE6" w14:textId="2A714F64" w:rsidR="00AA7F36" w:rsidRPr="00CE7628" w:rsidRDefault="00AA7F36" w:rsidP="00AA7F36">
            <w:pPr>
              <w:spacing w:line="240" w:lineRule="auto"/>
              <w:jc w:val="left"/>
              <w:rPr>
                <w:rFonts w:ascii="Arial" w:eastAsia="Times New Roman" w:hAnsi="Arial" w:cs="Arial"/>
                <w:color w:val="000000"/>
                <w:kern w:val="0"/>
                <w:sz w:val="20"/>
                <w:szCs w:val="20"/>
                <w:highlight w:val="yellow"/>
                <w:lang w:val="en-US"/>
                <w14:ligatures w14:val="none"/>
              </w:rPr>
            </w:pPr>
            <w:r w:rsidRPr="000620C4">
              <w:rPr>
                <w:rFonts w:ascii="Arial" w:eastAsia="Times New Roman" w:hAnsi="Arial" w:cs="Arial"/>
                <w:color w:val="000000"/>
                <w:kern w:val="0"/>
                <w:sz w:val="20"/>
                <w:szCs w:val="20"/>
                <w:lang w:val="en-US"/>
                <w14:ligatures w14:val="none"/>
              </w:rPr>
              <w:t>0.248</w:t>
            </w:r>
            <w:r w:rsidRPr="000620C4">
              <w:rPr>
                <w:rFonts w:ascii="Arial" w:hAnsi="Arial" w:cs="Arial"/>
                <w:color w:val="000000"/>
                <w:sz w:val="20"/>
                <w:szCs w:val="20"/>
                <w:lang w:val="en-US"/>
              </w:rPr>
              <w:t xml:space="preserve"> ± 0.01</w:t>
            </w:r>
          </w:p>
        </w:tc>
        <w:tc>
          <w:tcPr>
            <w:tcW w:w="1766" w:type="dxa"/>
            <w:tcBorders>
              <w:bottom w:val="single" w:sz="12" w:space="0" w:color="auto"/>
            </w:tcBorders>
            <w:noWrap/>
            <w:vAlign w:val="bottom"/>
          </w:tcPr>
          <w:p w14:paraId="483DE57B" w14:textId="57FF8139" w:rsidR="00AA7F36" w:rsidRPr="00CE7628" w:rsidRDefault="00AA7F36" w:rsidP="00AA7F36">
            <w:pPr>
              <w:spacing w:line="240" w:lineRule="auto"/>
              <w:jc w:val="left"/>
              <w:rPr>
                <w:rFonts w:ascii="Arial" w:eastAsia="Times New Roman" w:hAnsi="Arial" w:cs="Arial"/>
                <w:color w:val="000000"/>
                <w:kern w:val="0"/>
                <w:sz w:val="20"/>
                <w:szCs w:val="20"/>
                <w:highlight w:val="yellow"/>
                <w:lang w:val="en-US"/>
                <w14:ligatures w14:val="none"/>
              </w:rPr>
            </w:pPr>
            <w:r w:rsidRPr="000620C4">
              <w:rPr>
                <w:rFonts w:ascii="Arial" w:eastAsia="Times New Roman" w:hAnsi="Arial" w:cs="Arial"/>
                <w:color w:val="000000"/>
                <w:kern w:val="0"/>
                <w:sz w:val="20"/>
                <w:szCs w:val="20"/>
                <w:lang w:val="en-US"/>
                <w14:ligatures w14:val="none"/>
              </w:rPr>
              <w:t xml:space="preserve">0.180 </w:t>
            </w:r>
            <w:r w:rsidRPr="000620C4">
              <w:rPr>
                <w:rFonts w:ascii="Arial" w:hAnsi="Arial" w:cs="Arial"/>
                <w:color w:val="000000"/>
                <w:sz w:val="20"/>
                <w:szCs w:val="20"/>
                <w:lang w:val="en-US"/>
              </w:rPr>
              <w:t>± 0.02</w:t>
            </w:r>
          </w:p>
        </w:tc>
        <w:tc>
          <w:tcPr>
            <w:tcW w:w="1765" w:type="dxa"/>
            <w:tcBorders>
              <w:bottom w:val="single" w:sz="12" w:space="0" w:color="auto"/>
            </w:tcBorders>
            <w:noWrap/>
            <w:vAlign w:val="bottom"/>
          </w:tcPr>
          <w:p w14:paraId="09997854" w14:textId="000D5601" w:rsidR="00AA7F36" w:rsidRPr="00CE7628" w:rsidRDefault="00AA7F36" w:rsidP="00AA7F36">
            <w:pPr>
              <w:spacing w:line="240" w:lineRule="auto"/>
              <w:jc w:val="left"/>
              <w:rPr>
                <w:rFonts w:ascii="Arial" w:eastAsia="Times New Roman" w:hAnsi="Arial" w:cs="Arial"/>
                <w:color w:val="000000"/>
                <w:kern w:val="0"/>
                <w:sz w:val="20"/>
                <w:szCs w:val="20"/>
                <w:highlight w:val="yellow"/>
                <w:lang w:val="en-US"/>
                <w14:ligatures w14:val="none"/>
              </w:rPr>
            </w:pPr>
            <w:r w:rsidRPr="000620C4">
              <w:rPr>
                <w:rFonts w:ascii="Arial" w:eastAsia="Times New Roman" w:hAnsi="Arial" w:cs="Arial"/>
                <w:color w:val="000000"/>
                <w:kern w:val="0"/>
                <w:sz w:val="20"/>
                <w:szCs w:val="20"/>
                <w:lang w:val="en-US"/>
                <w14:ligatures w14:val="none"/>
              </w:rPr>
              <w:t>0.190</w:t>
            </w:r>
            <w:r w:rsidRPr="000620C4">
              <w:rPr>
                <w:rFonts w:ascii="Arial" w:hAnsi="Arial" w:cs="Arial"/>
                <w:color w:val="000000"/>
                <w:sz w:val="20"/>
                <w:szCs w:val="20"/>
                <w:lang w:val="en-US"/>
              </w:rPr>
              <w:t xml:space="preserve"> ± 0.01</w:t>
            </w:r>
          </w:p>
        </w:tc>
        <w:tc>
          <w:tcPr>
            <w:tcW w:w="1985" w:type="dxa"/>
            <w:tcBorders>
              <w:bottom w:val="single" w:sz="12" w:space="0" w:color="auto"/>
            </w:tcBorders>
          </w:tcPr>
          <w:p w14:paraId="6E0DC4C2" w14:textId="1AA9263A" w:rsidR="00AA7F36" w:rsidRPr="00CE7628" w:rsidRDefault="00AA7F36" w:rsidP="00AA7F36">
            <w:pPr>
              <w:spacing w:line="240" w:lineRule="auto"/>
              <w:ind w:right="-111"/>
              <w:jc w:val="left"/>
              <w:rPr>
                <w:rFonts w:ascii="Arial" w:eastAsia="Times New Roman" w:hAnsi="Arial" w:cs="Arial"/>
                <w:color w:val="000000"/>
                <w:kern w:val="0"/>
                <w:sz w:val="20"/>
                <w:szCs w:val="20"/>
                <w:highlight w:val="yellow"/>
                <w:lang w:val="en-US"/>
                <w14:ligatures w14:val="none"/>
              </w:rPr>
            </w:pPr>
            <w:r w:rsidRPr="000620C4">
              <w:rPr>
                <w:rFonts w:ascii="Arial" w:hAnsi="Arial" w:cs="Arial"/>
                <w:sz w:val="20"/>
                <w:szCs w:val="20"/>
                <w:lang w:val="en-US"/>
              </w:rPr>
              <w:t>0.490</w:t>
            </w:r>
          </w:p>
        </w:tc>
        <w:tc>
          <w:tcPr>
            <w:tcW w:w="850" w:type="dxa"/>
            <w:tcBorders>
              <w:bottom w:val="single" w:sz="12" w:space="0" w:color="auto"/>
            </w:tcBorders>
          </w:tcPr>
          <w:p w14:paraId="21423778" w14:textId="662C4BF2" w:rsidR="00AA7F36" w:rsidRPr="0018194B" w:rsidRDefault="00AA7F36" w:rsidP="00AA7F36">
            <w:pPr>
              <w:spacing w:line="240" w:lineRule="auto"/>
              <w:jc w:val="left"/>
              <w:rPr>
                <w:rFonts w:ascii="Arial" w:eastAsia="Times New Roman" w:hAnsi="Arial" w:cs="Arial"/>
                <w:color w:val="000000"/>
                <w:kern w:val="0"/>
                <w:sz w:val="20"/>
                <w:szCs w:val="20"/>
                <w:highlight w:val="green"/>
                <w:lang w:val="en-US"/>
                <w14:ligatures w14:val="none"/>
              </w:rPr>
            </w:pPr>
            <w:r w:rsidRPr="0018194B">
              <w:rPr>
                <w:rFonts w:ascii="Arial" w:hAnsi="Arial" w:cs="Arial"/>
                <w:sz w:val="20"/>
                <w:szCs w:val="20"/>
                <w:highlight w:val="green"/>
                <w:lang w:val="en-US"/>
              </w:rPr>
              <w:t>0.0004</w:t>
            </w:r>
          </w:p>
        </w:tc>
      </w:tr>
    </w:tbl>
    <w:p w14:paraId="013EE1BD" w14:textId="77777777" w:rsidR="001422CB" w:rsidRPr="000620C4" w:rsidRDefault="001422CB" w:rsidP="005A6A25">
      <w:pPr>
        <w:spacing w:line="240" w:lineRule="auto"/>
        <w:rPr>
          <w:rFonts w:ascii="Arial" w:hAnsi="Arial" w:cs="Arial"/>
          <w:sz w:val="20"/>
          <w:szCs w:val="20"/>
          <w:lang w:val="en-US"/>
        </w:rPr>
      </w:pPr>
      <w:r w:rsidRPr="000620C4">
        <w:rPr>
          <w:rFonts w:ascii="Arial" w:hAnsi="Arial" w:cs="Arial"/>
          <w:sz w:val="20"/>
          <w:szCs w:val="20"/>
          <w:lang w:val="en-US"/>
        </w:rPr>
        <w:t xml:space="preserve">PTWI: Provisional Tolerable Weekly </w:t>
      </w:r>
      <w:proofErr w:type="gramStart"/>
      <w:r w:rsidRPr="000620C4">
        <w:rPr>
          <w:rFonts w:ascii="Arial" w:hAnsi="Arial" w:cs="Arial"/>
          <w:sz w:val="20"/>
          <w:szCs w:val="20"/>
          <w:lang w:val="en-US"/>
        </w:rPr>
        <w:t>Intake</w:t>
      </w:r>
      <w:r w:rsidRPr="000620C4">
        <w:rPr>
          <w:rFonts w:ascii="Arial" w:hAnsi="Arial" w:cs="Arial"/>
          <w:b/>
          <w:bCs/>
          <w:sz w:val="20"/>
          <w:szCs w:val="20"/>
          <w:lang w:val="en-US"/>
        </w:rPr>
        <w:t xml:space="preserve">, </w:t>
      </w:r>
      <w:r w:rsidRPr="000620C4">
        <w:rPr>
          <w:rFonts w:ascii="Arial" w:hAnsi="Arial" w:cs="Arial"/>
          <w:sz w:val="20"/>
          <w:szCs w:val="20"/>
          <w:lang w:val="en-US"/>
        </w:rPr>
        <w:t xml:space="preserve"> LOD</w:t>
      </w:r>
      <w:proofErr w:type="gramEnd"/>
      <w:r w:rsidRPr="000620C4">
        <w:rPr>
          <w:rFonts w:ascii="Arial" w:hAnsi="Arial" w:cs="Arial"/>
          <w:sz w:val="20"/>
          <w:szCs w:val="20"/>
          <w:lang w:val="en-US"/>
        </w:rPr>
        <w:t>: Limit Of Detection.</w:t>
      </w:r>
    </w:p>
    <w:p w14:paraId="53423F71" w14:textId="77777777" w:rsidR="001422CB" w:rsidRPr="000620C4" w:rsidRDefault="001422CB" w:rsidP="005A6A25">
      <w:pPr>
        <w:spacing w:line="240" w:lineRule="auto"/>
        <w:rPr>
          <w:rFonts w:ascii="Arial" w:hAnsi="Arial" w:cs="Arial"/>
          <w:sz w:val="20"/>
          <w:szCs w:val="20"/>
          <w:lang w:val="en-US"/>
        </w:rPr>
      </w:pPr>
    </w:p>
    <w:p w14:paraId="04A3F5B5" w14:textId="77777777" w:rsidR="00A446A1" w:rsidRPr="000620C4" w:rsidRDefault="00A446A1" w:rsidP="00C948D8">
      <w:pPr>
        <w:pStyle w:val="Heading1"/>
      </w:pPr>
      <w:r w:rsidRPr="000620C4">
        <w:t>Results and Discussion</w:t>
      </w:r>
    </w:p>
    <w:p w14:paraId="2115DBE0" w14:textId="695A1F08" w:rsidR="00A446A1" w:rsidRPr="000620C4" w:rsidRDefault="00A446A1" w:rsidP="00F92486">
      <w:pPr>
        <w:pStyle w:val="Heading3"/>
        <w:rPr>
          <w:lang w:val="en-US"/>
        </w:rPr>
      </w:pPr>
      <w:r w:rsidRPr="000620C4">
        <w:rPr>
          <w:lang w:val="en-US"/>
        </w:rPr>
        <w:t xml:space="preserve">Levels of </w:t>
      </w:r>
      <w:r w:rsidR="002D319B" w:rsidRPr="000620C4">
        <w:rPr>
          <w:lang w:val="en-US"/>
        </w:rPr>
        <w:t>minerals</w:t>
      </w:r>
      <w:r w:rsidRPr="000620C4">
        <w:rPr>
          <w:lang w:val="en-US"/>
        </w:rPr>
        <w:t xml:space="preserve"> in leaves, peels and flesh of sweet potatoes.</w:t>
      </w:r>
    </w:p>
    <w:p w14:paraId="21100F47" w14:textId="71805297" w:rsidR="001E6AAA" w:rsidRPr="000620C4" w:rsidRDefault="007D2654" w:rsidP="009C38C8">
      <w:pPr>
        <w:spacing w:line="240" w:lineRule="auto"/>
        <w:rPr>
          <w:rFonts w:ascii="Arial" w:eastAsia="Times New Roman" w:hAnsi="Arial" w:cs="Arial"/>
          <w:color w:val="000000" w:themeColor="text1"/>
          <w:kern w:val="0"/>
          <w:sz w:val="20"/>
          <w:szCs w:val="20"/>
          <w:lang w:val="en-US"/>
          <w14:ligatures w14:val="none"/>
        </w:rPr>
      </w:pPr>
      <w:r w:rsidRPr="007D2654">
        <w:rPr>
          <w:rFonts w:ascii="Arial" w:eastAsia="Times New Roman" w:hAnsi="Arial" w:cs="Arial"/>
          <w:color w:val="000000" w:themeColor="text1"/>
          <w:kern w:val="0"/>
          <w:sz w:val="20"/>
          <w:szCs w:val="20"/>
          <w:highlight w:val="green"/>
          <w:lang w:val="en-US"/>
          <w14:ligatures w14:val="none"/>
        </w:rPr>
        <w:t>In this study, we propose to investigate the mineral content of the sweet potato plant, its peel, and its leaves. The precision of the analytical results is assessed by the standard deviation of triplicate measurements of each metal in solution. The limit of detection (LOD) value, which is an important characteristic for method validation, is calculated as the concentration corresponding to three times the standard deviation of the blank solution signal</w:t>
      </w:r>
      <w:r>
        <w:rPr>
          <w:rFonts w:ascii="Arial" w:eastAsia="Times New Roman" w:hAnsi="Arial" w:cs="Arial"/>
          <w:color w:val="000000" w:themeColor="text1"/>
          <w:kern w:val="0"/>
          <w:sz w:val="20"/>
          <w:szCs w:val="20"/>
          <w:highlight w:val="green"/>
          <w:lang w:val="en-US"/>
          <w14:ligatures w14:val="none"/>
        </w:rPr>
        <w:t xml:space="preserve"> (Table 4)</w:t>
      </w:r>
      <w:r w:rsidRPr="007D2654">
        <w:rPr>
          <w:rFonts w:ascii="Arial" w:eastAsia="Times New Roman" w:hAnsi="Arial" w:cs="Arial"/>
          <w:color w:val="000000" w:themeColor="text1"/>
          <w:kern w:val="0"/>
          <w:sz w:val="20"/>
          <w:szCs w:val="20"/>
          <w:highlight w:val="green"/>
          <w:lang w:val="en-US"/>
          <w14:ligatures w14:val="none"/>
        </w:rPr>
        <w:t>.</w:t>
      </w:r>
      <w:r>
        <w:rPr>
          <w:rFonts w:ascii="Arial" w:eastAsia="Times New Roman" w:hAnsi="Arial" w:cs="Arial"/>
          <w:color w:val="000000" w:themeColor="text1"/>
          <w:kern w:val="0"/>
          <w:sz w:val="20"/>
          <w:szCs w:val="20"/>
          <w:lang w:val="en-US"/>
          <w14:ligatures w14:val="none"/>
        </w:rPr>
        <w:t xml:space="preserve"> </w:t>
      </w:r>
      <w:r w:rsidR="001E6AAA" w:rsidRPr="000620C4">
        <w:rPr>
          <w:rFonts w:ascii="Arial" w:eastAsia="Times New Roman" w:hAnsi="Arial" w:cs="Arial"/>
          <w:color w:val="000000" w:themeColor="text1"/>
          <w:kern w:val="0"/>
          <w:sz w:val="20"/>
          <w:szCs w:val="20"/>
          <w:lang w:val="en-US"/>
          <w14:ligatures w14:val="none"/>
        </w:rPr>
        <w:t xml:space="preserve">Sweet potato leaves, peels and flesh contain minerals with varying contents (Table 4). Leaves are richest in sodium (2547.30 </w:t>
      </w:r>
      <w:r w:rsidR="00DD1578" w:rsidRPr="000620C4">
        <w:rPr>
          <w:rFonts w:ascii="Arial" w:hAnsi="Arial" w:cs="Arial"/>
          <w:color w:val="000000"/>
          <w:sz w:val="20"/>
          <w:szCs w:val="20"/>
          <w:lang w:val="en-US"/>
        </w:rPr>
        <w:t>±</w:t>
      </w:r>
      <w:r w:rsidR="00DD1578">
        <w:rPr>
          <w:rFonts w:ascii="Arial" w:hAnsi="Arial" w:cs="Arial"/>
          <w:color w:val="000000"/>
          <w:sz w:val="20"/>
          <w:szCs w:val="20"/>
          <w:lang w:val="en-US"/>
        </w:rPr>
        <w:t xml:space="preserve"> 0.008 </w:t>
      </w:r>
      <w:r w:rsidR="001E6AAA" w:rsidRPr="000620C4">
        <w:rPr>
          <w:rFonts w:ascii="Arial" w:eastAsia="Times New Roman" w:hAnsi="Arial" w:cs="Arial"/>
          <w:color w:val="000000" w:themeColor="text1"/>
          <w:kern w:val="0"/>
          <w:sz w:val="20"/>
          <w:szCs w:val="20"/>
          <w:lang w:val="en-US"/>
          <w14:ligatures w14:val="none"/>
        </w:rPr>
        <w:t xml:space="preserve">mg/kg), followed by peels (1079.15 </w:t>
      </w:r>
      <w:r w:rsidR="00DD1578" w:rsidRPr="000620C4">
        <w:rPr>
          <w:rFonts w:ascii="Arial" w:hAnsi="Arial" w:cs="Arial"/>
          <w:color w:val="000000"/>
          <w:sz w:val="20"/>
          <w:szCs w:val="20"/>
          <w:lang w:val="en-US"/>
        </w:rPr>
        <w:t>±</w:t>
      </w:r>
      <w:r w:rsidR="00DD1578">
        <w:rPr>
          <w:rFonts w:ascii="Arial" w:hAnsi="Arial" w:cs="Arial"/>
          <w:color w:val="000000"/>
          <w:sz w:val="20"/>
          <w:szCs w:val="20"/>
          <w:lang w:val="en-US"/>
        </w:rPr>
        <w:t xml:space="preserve"> 0.02 </w:t>
      </w:r>
      <w:r w:rsidR="001E6AAA" w:rsidRPr="000620C4">
        <w:rPr>
          <w:rFonts w:ascii="Arial" w:eastAsia="Times New Roman" w:hAnsi="Arial" w:cs="Arial"/>
          <w:color w:val="000000" w:themeColor="text1"/>
          <w:kern w:val="0"/>
          <w:sz w:val="20"/>
          <w:szCs w:val="20"/>
          <w:lang w:val="en-US"/>
          <w14:ligatures w14:val="none"/>
        </w:rPr>
        <w:t>mg/kg), with flesh being the least rich in sodium (754.20</w:t>
      </w:r>
      <w:r w:rsidR="00DD1578">
        <w:rPr>
          <w:rFonts w:ascii="Arial" w:eastAsia="Times New Roman" w:hAnsi="Arial" w:cs="Arial"/>
          <w:color w:val="000000" w:themeColor="text1"/>
          <w:kern w:val="0"/>
          <w:sz w:val="20"/>
          <w:szCs w:val="20"/>
          <w:lang w:val="en-US"/>
          <w14:ligatures w14:val="none"/>
        </w:rPr>
        <w:t xml:space="preserve"> </w:t>
      </w:r>
      <w:r w:rsidR="00DD1578" w:rsidRPr="000620C4">
        <w:rPr>
          <w:rFonts w:ascii="Arial" w:hAnsi="Arial" w:cs="Arial"/>
          <w:color w:val="000000"/>
          <w:sz w:val="20"/>
          <w:szCs w:val="20"/>
          <w:lang w:val="en-US"/>
        </w:rPr>
        <w:t>±</w:t>
      </w:r>
      <w:r w:rsidR="001E6AAA" w:rsidRPr="000620C4">
        <w:rPr>
          <w:rFonts w:ascii="Arial" w:eastAsia="Times New Roman" w:hAnsi="Arial" w:cs="Arial"/>
          <w:color w:val="000000" w:themeColor="text1"/>
          <w:kern w:val="0"/>
          <w:sz w:val="20"/>
          <w:szCs w:val="20"/>
          <w:lang w:val="en-US"/>
          <w14:ligatures w14:val="none"/>
        </w:rPr>
        <w:t xml:space="preserve"> </w:t>
      </w:r>
      <w:r w:rsidR="006164F5">
        <w:rPr>
          <w:rFonts w:ascii="Arial" w:eastAsia="Times New Roman" w:hAnsi="Arial" w:cs="Arial"/>
          <w:color w:val="000000" w:themeColor="text1"/>
          <w:kern w:val="0"/>
          <w:sz w:val="20"/>
          <w:szCs w:val="20"/>
          <w:lang w:val="en-US"/>
          <w14:ligatures w14:val="none"/>
        </w:rPr>
        <w:t xml:space="preserve">0.02 </w:t>
      </w:r>
      <w:r w:rsidR="001E6AAA" w:rsidRPr="000620C4">
        <w:rPr>
          <w:rFonts w:ascii="Arial" w:eastAsia="Times New Roman" w:hAnsi="Arial" w:cs="Arial"/>
          <w:color w:val="000000" w:themeColor="text1"/>
          <w:kern w:val="0"/>
          <w:sz w:val="20"/>
          <w:szCs w:val="20"/>
          <w:lang w:val="en-US"/>
          <w14:ligatures w14:val="none"/>
        </w:rPr>
        <w:t>mg/kg). Potassium is the most abundant element in all parts of the plant as observed in agricultural products</w:t>
      </w:r>
      <w:r w:rsidR="00BA3053" w:rsidRPr="000620C4">
        <w:rPr>
          <w:rFonts w:ascii="Arial" w:eastAsia="Times New Roman" w:hAnsi="Arial" w:cs="Arial"/>
          <w:color w:val="000000" w:themeColor="text1"/>
          <w:kern w:val="0"/>
          <w:sz w:val="20"/>
          <w:szCs w:val="20"/>
          <w:lang w:val="en-US"/>
          <w14:ligatures w14:val="none"/>
        </w:rPr>
        <w:t xml:space="preserve"> </w:t>
      </w:r>
      <w:r w:rsidR="00661A8E" w:rsidRPr="000620C4">
        <w:rPr>
          <w:rFonts w:ascii="Arial" w:eastAsia="Times New Roman" w:hAnsi="Arial" w:cs="Arial"/>
          <w:color w:val="000000" w:themeColor="text1"/>
          <w:kern w:val="0"/>
          <w:sz w:val="20"/>
          <w:szCs w:val="20"/>
          <w:lang w:val="en-US"/>
          <w14:ligatures w14:val="none"/>
        </w:rPr>
        <w:fldChar w:fldCharType="begin"/>
      </w:r>
      <w:r w:rsidR="0092587D" w:rsidRPr="000620C4">
        <w:rPr>
          <w:rFonts w:ascii="Arial" w:eastAsia="Times New Roman" w:hAnsi="Arial" w:cs="Arial"/>
          <w:color w:val="000000" w:themeColor="text1"/>
          <w:kern w:val="0"/>
          <w:sz w:val="20"/>
          <w:szCs w:val="20"/>
          <w:lang w:val="en-US"/>
          <w14:ligatures w14:val="none"/>
        </w:rPr>
        <w:instrText xml:space="preserve"> ADDIN ZOTERO_ITEM CSL_CITATION {"citationID":"y78N1wBw","properties":{"formattedCitation":"(Audu &amp; Aremu, 2012)","plainCitation":"(Audu &amp; Aremu, 2012)","noteIndex":0},"citationItems":[{"id":3144,"uris":["http://zotero.org/users/local/JzcqJHT8/items/LETQCI93","http://zotero.org/users/local/JzcqJHT8/items/75GZVUUX"],"itemData":{"id":3144,"type":"article-journal","abstract":"Proximate, mineral and amino acid compositions of raw and processed red kidney bean (Phaseolus vulgaris L.) flour were investigated on dry weight bases with a view to finding alternative and cheaper sources of protein to solve the problem of malnutrition due to inadequate protein in nutrition which is a prevalent problem in developing world, especially in Nigeria. Processing methods (cooking, boiling, roasting, sprouting and fermenting) were adopted using the standard analytical techniques. The processing methods showed deviations in nutrient content from the raw seeds. Crude fat was reduced by some processing methods particularly cooking and boiling while crude protein was enhanced in this order: Roasting &gt; fermenting &gt; boiling &gt; sprouting &gt; cooking. Processing significantly affected the mineral content of the red kidney bean flour (p&lt;0.05). Boiling and roasting reduced the content of magnesium by 4.7 and 10.3%, respectively. All the processing methods reduced calcium content. Processed red kidney bean seed flour was found to be a good source of essential minerals, while harmful heavy metals such as lead and cadmium were not detected. The amino acid profile revealed cooking, roasting, sprouting and fermenting to have enhanced Total Amino Acid (TAA), while Total Essential Amino Acid (TEAA) and Total Sulphur Amino Acid (TSAA) were reduced by all the processing methods. After processing of the red kidney bean seed sufficient amount of essential amino acids were retained to meet FAO dietary requirement, but supplementation may be done for raw in Ile, Met + Cys, Thr and Val; boiled (Ile, Met + Cys and Thr); cooked (Met Cys and Val); roasted (Ile, Met + Cys and Val); sprouted and fermented (Met + Cys, Thr and Val).","container-title":"Pakistan Journal of Nutrition","DOI":"10.3923/pjn.2011.1069.1075","issue":"11","language":"en-gb","page":"1069-1075","source":"scialert.net","title":"Effect of Processing on Chemical Composition of Red Kidney Bean (Phaseolus vulgaris L.) Flour","volume":"10","author":[{"family":"Audu","given":"S. S."},{"family":"Aremu","given":"M. O."}],"issued":{"date-parts":[["2012",5,2]]}}}],"schema":"https://github.com/citation-style-language/schema/raw/master/csl-citation.json"} </w:instrText>
      </w:r>
      <w:r w:rsidR="00661A8E" w:rsidRPr="000620C4">
        <w:rPr>
          <w:rFonts w:ascii="Arial" w:eastAsia="Times New Roman" w:hAnsi="Arial" w:cs="Arial"/>
          <w:color w:val="000000" w:themeColor="text1"/>
          <w:kern w:val="0"/>
          <w:sz w:val="20"/>
          <w:szCs w:val="20"/>
          <w:lang w:val="en-US"/>
          <w14:ligatures w14:val="none"/>
        </w:rPr>
        <w:fldChar w:fldCharType="separate"/>
      </w:r>
      <w:r w:rsidR="0092587D" w:rsidRPr="000620C4">
        <w:rPr>
          <w:rFonts w:ascii="Arial" w:hAnsi="Arial" w:cs="Arial"/>
          <w:sz w:val="20"/>
          <w:szCs w:val="20"/>
          <w:lang w:val="en-US"/>
        </w:rPr>
        <w:t>(Audu &amp; Aremu, 2012)</w:t>
      </w:r>
      <w:r w:rsidR="00661A8E" w:rsidRPr="000620C4">
        <w:rPr>
          <w:rFonts w:ascii="Arial" w:eastAsia="Times New Roman" w:hAnsi="Arial" w:cs="Arial"/>
          <w:color w:val="000000" w:themeColor="text1"/>
          <w:kern w:val="0"/>
          <w:sz w:val="20"/>
          <w:szCs w:val="20"/>
          <w:lang w:val="en-US"/>
          <w14:ligatures w14:val="none"/>
        </w:rPr>
        <w:fldChar w:fldCharType="end"/>
      </w:r>
      <w:r w:rsidR="001E6AAA" w:rsidRPr="000620C4">
        <w:rPr>
          <w:rFonts w:ascii="Arial" w:eastAsia="Times New Roman" w:hAnsi="Arial" w:cs="Arial"/>
          <w:color w:val="000000" w:themeColor="text1"/>
          <w:kern w:val="0"/>
          <w:sz w:val="20"/>
          <w:szCs w:val="20"/>
          <w:lang w:val="en-US"/>
          <w14:ligatures w14:val="none"/>
        </w:rPr>
        <w:t xml:space="preserve">. Leaves are richer (19682.14 </w:t>
      </w:r>
      <w:r w:rsidR="006164F5" w:rsidRPr="000620C4">
        <w:rPr>
          <w:rFonts w:ascii="Arial" w:hAnsi="Arial" w:cs="Arial"/>
          <w:color w:val="000000"/>
          <w:sz w:val="20"/>
          <w:szCs w:val="20"/>
          <w:lang w:val="en-US"/>
        </w:rPr>
        <w:t>±</w:t>
      </w:r>
      <w:r w:rsidR="006164F5">
        <w:rPr>
          <w:rFonts w:ascii="Arial" w:hAnsi="Arial" w:cs="Arial"/>
          <w:color w:val="000000"/>
          <w:sz w:val="20"/>
          <w:szCs w:val="20"/>
          <w:lang w:val="en-US"/>
        </w:rPr>
        <w:t xml:space="preserve"> 0.72 </w:t>
      </w:r>
      <w:r w:rsidR="001E6AAA" w:rsidRPr="000620C4">
        <w:rPr>
          <w:rFonts w:ascii="Arial" w:eastAsia="Times New Roman" w:hAnsi="Arial" w:cs="Arial"/>
          <w:color w:val="000000" w:themeColor="text1"/>
          <w:kern w:val="0"/>
          <w:sz w:val="20"/>
          <w:szCs w:val="20"/>
          <w:lang w:val="en-US"/>
          <w14:ligatures w14:val="none"/>
        </w:rPr>
        <w:t xml:space="preserve">mg/Kg) than peels (12876.53 </w:t>
      </w:r>
      <w:r w:rsidR="006164F5" w:rsidRPr="000620C4">
        <w:rPr>
          <w:rFonts w:ascii="Arial" w:hAnsi="Arial" w:cs="Arial"/>
          <w:color w:val="000000"/>
          <w:sz w:val="20"/>
          <w:szCs w:val="20"/>
          <w:lang w:val="en-US"/>
        </w:rPr>
        <w:t>±</w:t>
      </w:r>
      <w:r w:rsidR="006164F5">
        <w:rPr>
          <w:rFonts w:ascii="Arial" w:hAnsi="Arial" w:cs="Arial"/>
          <w:color w:val="000000"/>
          <w:sz w:val="20"/>
          <w:szCs w:val="20"/>
          <w:lang w:val="en-US"/>
        </w:rPr>
        <w:t xml:space="preserve">0.17 </w:t>
      </w:r>
      <w:r w:rsidR="001E6AAA" w:rsidRPr="000620C4">
        <w:rPr>
          <w:rFonts w:ascii="Arial" w:eastAsia="Times New Roman" w:hAnsi="Arial" w:cs="Arial"/>
          <w:color w:val="000000" w:themeColor="text1"/>
          <w:kern w:val="0"/>
          <w:sz w:val="20"/>
          <w:szCs w:val="20"/>
          <w:lang w:val="en-US"/>
          <w14:ligatures w14:val="none"/>
        </w:rPr>
        <w:t xml:space="preserve">mg/Kg) which are richer than sweet potato flesh (10326.44 </w:t>
      </w:r>
      <w:r w:rsidR="006164F5" w:rsidRPr="000620C4">
        <w:rPr>
          <w:rFonts w:ascii="Arial" w:hAnsi="Arial" w:cs="Arial"/>
          <w:color w:val="000000"/>
          <w:sz w:val="20"/>
          <w:szCs w:val="20"/>
          <w:lang w:val="en-US"/>
        </w:rPr>
        <w:t>±</w:t>
      </w:r>
      <w:r w:rsidR="006164F5">
        <w:rPr>
          <w:rFonts w:ascii="Arial" w:hAnsi="Arial" w:cs="Arial"/>
          <w:color w:val="000000"/>
          <w:sz w:val="20"/>
          <w:szCs w:val="20"/>
          <w:lang w:val="en-US"/>
        </w:rPr>
        <w:t xml:space="preserve"> 0.10 </w:t>
      </w:r>
      <w:r w:rsidR="001E6AAA" w:rsidRPr="000620C4">
        <w:rPr>
          <w:rFonts w:ascii="Arial" w:eastAsia="Times New Roman" w:hAnsi="Arial" w:cs="Arial"/>
          <w:color w:val="000000" w:themeColor="text1"/>
          <w:kern w:val="0"/>
          <w:sz w:val="20"/>
          <w:szCs w:val="20"/>
          <w:lang w:val="en-US"/>
          <w14:ligatures w14:val="none"/>
        </w:rPr>
        <w:t xml:space="preserve">mg/Kg). These values ​​are consistent with the levels reported in a study of several sweet potato varieties grown in China </w:t>
      </w:r>
      <w:r w:rsidR="00661A8E" w:rsidRPr="000620C4">
        <w:rPr>
          <w:rFonts w:ascii="Arial" w:eastAsia="Times New Roman" w:hAnsi="Arial" w:cs="Arial"/>
          <w:color w:val="000000" w:themeColor="text1"/>
          <w:kern w:val="0"/>
          <w:sz w:val="20"/>
          <w:szCs w:val="20"/>
          <w:lang w:val="en-US"/>
          <w14:ligatures w14:val="none"/>
        </w:rPr>
        <w:fldChar w:fldCharType="begin"/>
      </w:r>
      <w:r w:rsidR="00D404D5" w:rsidRPr="000620C4">
        <w:rPr>
          <w:rFonts w:ascii="Arial" w:eastAsia="Times New Roman" w:hAnsi="Arial" w:cs="Arial"/>
          <w:color w:val="000000" w:themeColor="text1"/>
          <w:kern w:val="0"/>
          <w:sz w:val="20"/>
          <w:szCs w:val="20"/>
          <w:lang w:val="en-US"/>
          <w14:ligatures w14:val="none"/>
        </w:rPr>
        <w:instrText xml:space="preserve"> ADDIN ZOTERO_ITEM CSL_CITATION {"citationID":"FLJ8wJvL","properties":{"formattedCitation":"(Zhao et al., 2024)","plainCitation":"(Zhao et al., 2024)","noteIndex":0},"citationItems":[{"id":3441,"uris":["http://zotero.org/users/local/JzcqJHT8/items/NVZ2MUK8"],"itemData":{"id":3441,"type":"article-journal","abstract":"Sweet potato (Ipomoea batatas (L.) is regarded among the most crucial crops globally because it is abundant in essential nutrients vital for human health. However, limited comprehensive information is available regarding the nutritional composition of sweet potato, which hinders its optimal utilization. This study investigated the nutritional and chemical composition of sweet potato roots and explored their interrelationships. In total, 86 sweet potato accessions, comprising white, yellow, orange, and purple flesh-colored varieties, were used. A total of 34 components, including nutrients, phytochemicals, and minerals, were identified. Multivariate analysis was performed to assess the relationships among these components. The sweet potato roots were rich in carbohydrates, polyphenols, and minerals. Carbohydrates were primarily composed of total starch (22.6–69.7 g/100 g DW), total soluble sugar (TSS) (10.3–40.0 g/100 g DW), and total dietary fiber (TDF) (7.99–26.0 g/100 g DW). Polyphenols included total caffeoylquinic acids (CQAs) (0.478–14.2 g/kg DW), total anthocyanins (0–2003 mg/kg DW), and β-carotene (0–133 mg/kg DW). The mineral content followed the order: potassium &gt; calcium &gt; phosphorus &gt; sodium &gt; magnesium &gt; iron &gt; manganese &gt; zinc &gt; copper &gt; selenium. White-fleshed sweet potato exhibited high total starch levels (50.4 g/100 g DW) but low TSS levels (21.1 g/100 g DW). Orange-fleshed sweet potato contained high levels of TSS (26.5 g/100 g DW), TDF (17.9 g/100 g DW), and β-carotene (61.4 mg/100 g DW) but low levels of protein (2.99 g/100 g DW) and total starch (43.0 g/100 g DW). Purple-fleshed sweet potato had high levels of phytochemicals, particularly total CQAs (8.17 g/kg DW) and anthocyanins (904 mg/kg DW). Cluster analysis categorized sweet potato accessions into six clusters with unique characteristics. Furthermore, principal component analysis identified accessions with exceptionally high nutritional content. The correlation analysis indicated that starch was negatively correlated with soluble sugar and TDF, whereas CQAs and anthocyanins were highly positively correlated. These findings offer a solid theoretical foundation for sweet potato breeding and utilization.","container-title":"Foods","DOI":"10.3390/foods13223636","ISSN":"2304-8158","issue":"22","title":"Comparative Analysis of Nutrients, Phytochemicals, and Minerals in Colored Sweet Potato (Ipomoea batatas L.) Roots","URL":"https://www.mdpi.com/2304-8158/13/22/3636","volume":"13","author":[{"family":"Zhao","given":"Shan"},{"family":"Zhong","given":"Lingli"},{"family":"Li","given":"Xi"},{"family":"Qin","given":"Lin"},{"family":"Zhou","given":"Ya"},{"family":"Lei","given":"Xinyu"},{"family":"Zheng","given":"Xingguo"},{"family":"Jin","given":"Keting"},{"family":"Pu","given":"Zhigang"},{"family":"Hou","given":"Xue"},{"family":"Song","given":"Jun"},{"family":"Lang","given":"Tao"},{"family":"Zhang","given":"Cong"},{"family":"Feng","given":"Junyan"}],"issued":{"date-parts":[["2024"]]}}}],"schema":"https://github.com/citation-style-language/schema/raw/master/csl-citation.json"} </w:instrText>
      </w:r>
      <w:r w:rsidR="00661A8E" w:rsidRPr="000620C4">
        <w:rPr>
          <w:rFonts w:ascii="Arial" w:eastAsia="Times New Roman" w:hAnsi="Arial" w:cs="Arial"/>
          <w:color w:val="000000" w:themeColor="text1"/>
          <w:kern w:val="0"/>
          <w:sz w:val="20"/>
          <w:szCs w:val="20"/>
          <w:lang w:val="en-US"/>
          <w14:ligatures w14:val="none"/>
        </w:rPr>
        <w:fldChar w:fldCharType="separate"/>
      </w:r>
      <w:r w:rsidR="00D404D5" w:rsidRPr="000620C4">
        <w:rPr>
          <w:rFonts w:ascii="Arial" w:hAnsi="Arial" w:cs="Arial"/>
          <w:sz w:val="20"/>
          <w:szCs w:val="20"/>
          <w:lang w:val="en-US"/>
        </w:rPr>
        <w:t>(Zhao et al., 2024)</w:t>
      </w:r>
      <w:r w:rsidR="00661A8E" w:rsidRPr="000620C4">
        <w:rPr>
          <w:rFonts w:ascii="Arial" w:eastAsia="Times New Roman" w:hAnsi="Arial" w:cs="Arial"/>
          <w:color w:val="000000" w:themeColor="text1"/>
          <w:kern w:val="0"/>
          <w:sz w:val="20"/>
          <w:szCs w:val="20"/>
          <w:lang w:val="en-US"/>
          <w14:ligatures w14:val="none"/>
        </w:rPr>
        <w:fldChar w:fldCharType="end"/>
      </w:r>
      <w:r w:rsidR="001E6AAA" w:rsidRPr="000620C4">
        <w:rPr>
          <w:rFonts w:ascii="Arial" w:eastAsia="Times New Roman" w:hAnsi="Arial" w:cs="Arial"/>
          <w:color w:val="000000" w:themeColor="text1"/>
          <w:kern w:val="0"/>
          <w:sz w:val="20"/>
          <w:szCs w:val="20"/>
          <w:lang w:val="en-US"/>
          <w14:ligatures w14:val="none"/>
        </w:rPr>
        <w:t xml:space="preserve">. The potassium-sodium ratios calculated for the different parts of the plant: leaves (0.129), peel (0.084), and flesh (0.073) are lower than the recommended value (1) for nutritional ratios. Indeed, a K/Na ratio lower than 1 is beneficial for the prevention of high blood pressure. Consuming different parts of this plant may be beneficial for consumers' cardiovascular health. Magnesium and calcium concentrations are higher in the leaves, which have levels of 7601.36 </w:t>
      </w:r>
      <w:r w:rsidR="006164F5" w:rsidRPr="000620C4">
        <w:rPr>
          <w:rFonts w:ascii="Arial" w:hAnsi="Arial" w:cs="Arial"/>
          <w:color w:val="000000"/>
          <w:sz w:val="20"/>
          <w:szCs w:val="20"/>
          <w:lang w:val="en-US"/>
        </w:rPr>
        <w:t>±</w:t>
      </w:r>
      <w:r w:rsidR="00111C23">
        <w:rPr>
          <w:rFonts w:ascii="Arial" w:hAnsi="Arial" w:cs="Arial"/>
          <w:color w:val="000000"/>
          <w:sz w:val="20"/>
          <w:szCs w:val="20"/>
          <w:lang w:val="en-US"/>
        </w:rPr>
        <w:t xml:space="preserve"> 0.02 </w:t>
      </w:r>
      <w:r w:rsidR="001E6AAA" w:rsidRPr="000620C4">
        <w:rPr>
          <w:rFonts w:ascii="Arial" w:eastAsia="Times New Roman" w:hAnsi="Arial" w:cs="Arial"/>
          <w:color w:val="000000" w:themeColor="text1"/>
          <w:kern w:val="0"/>
          <w:sz w:val="20"/>
          <w:szCs w:val="20"/>
          <w:lang w:val="en-US"/>
          <w14:ligatures w14:val="none"/>
        </w:rPr>
        <w:t xml:space="preserve">mg/kg and 7677.51 </w:t>
      </w:r>
      <w:r w:rsidR="006164F5" w:rsidRPr="000620C4">
        <w:rPr>
          <w:rFonts w:ascii="Arial" w:hAnsi="Arial" w:cs="Arial"/>
          <w:color w:val="000000"/>
          <w:sz w:val="20"/>
          <w:szCs w:val="20"/>
          <w:lang w:val="en-US"/>
        </w:rPr>
        <w:t>±</w:t>
      </w:r>
      <w:r w:rsidR="00111C23">
        <w:rPr>
          <w:rFonts w:ascii="Arial" w:hAnsi="Arial" w:cs="Arial"/>
          <w:color w:val="000000"/>
          <w:sz w:val="20"/>
          <w:szCs w:val="20"/>
          <w:lang w:val="en-US"/>
        </w:rPr>
        <w:t xml:space="preserve"> 0.11 </w:t>
      </w:r>
      <w:r w:rsidR="001E6AAA" w:rsidRPr="000620C4">
        <w:rPr>
          <w:rFonts w:ascii="Arial" w:eastAsia="Times New Roman" w:hAnsi="Arial" w:cs="Arial"/>
          <w:color w:val="000000" w:themeColor="text1"/>
          <w:kern w:val="0"/>
          <w:sz w:val="20"/>
          <w:szCs w:val="20"/>
          <w:lang w:val="en-US"/>
          <w14:ligatures w14:val="none"/>
        </w:rPr>
        <w:t xml:space="preserve">mg/kg, respectively. The peels revealed a lower presence of magnesium and calcium with respective contents of 1458.66 </w:t>
      </w:r>
      <w:r w:rsidR="006164F5" w:rsidRPr="000620C4">
        <w:rPr>
          <w:rFonts w:ascii="Arial" w:hAnsi="Arial" w:cs="Arial"/>
          <w:color w:val="000000"/>
          <w:sz w:val="20"/>
          <w:szCs w:val="20"/>
          <w:lang w:val="en-US"/>
        </w:rPr>
        <w:t>±</w:t>
      </w:r>
      <w:r w:rsidR="00111C23">
        <w:rPr>
          <w:rFonts w:ascii="Arial" w:hAnsi="Arial" w:cs="Arial"/>
          <w:color w:val="000000"/>
          <w:sz w:val="20"/>
          <w:szCs w:val="20"/>
          <w:lang w:val="en-US"/>
        </w:rPr>
        <w:t xml:space="preserve"> 0.09 </w:t>
      </w:r>
      <w:r w:rsidR="001E6AAA" w:rsidRPr="000620C4">
        <w:rPr>
          <w:rFonts w:ascii="Arial" w:eastAsia="Times New Roman" w:hAnsi="Arial" w:cs="Arial"/>
          <w:color w:val="000000" w:themeColor="text1"/>
          <w:kern w:val="0"/>
          <w:sz w:val="20"/>
          <w:szCs w:val="20"/>
          <w:lang w:val="en-US"/>
          <w14:ligatures w14:val="none"/>
        </w:rPr>
        <w:t xml:space="preserve">mg/Kg and 2683.96 </w:t>
      </w:r>
      <w:r w:rsidR="006164F5" w:rsidRPr="000620C4">
        <w:rPr>
          <w:rFonts w:ascii="Arial" w:hAnsi="Arial" w:cs="Arial"/>
          <w:color w:val="000000"/>
          <w:sz w:val="20"/>
          <w:szCs w:val="20"/>
          <w:lang w:val="en-US"/>
        </w:rPr>
        <w:t>±</w:t>
      </w:r>
      <w:r w:rsidR="00111C23">
        <w:rPr>
          <w:rFonts w:ascii="Arial" w:hAnsi="Arial" w:cs="Arial"/>
          <w:color w:val="000000"/>
          <w:sz w:val="20"/>
          <w:szCs w:val="20"/>
          <w:lang w:val="en-US"/>
        </w:rPr>
        <w:t xml:space="preserve"> 0.09 </w:t>
      </w:r>
      <w:r w:rsidR="001E6AAA" w:rsidRPr="000620C4">
        <w:rPr>
          <w:rFonts w:ascii="Arial" w:eastAsia="Times New Roman" w:hAnsi="Arial" w:cs="Arial"/>
          <w:color w:val="000000" w:themeColor="text1"/>
          <w:kern w:val="0"/>
          <w:sz w:val="20"/>
          <w:szCs w:val="20"/>
          <w:lang w:val="en-US"/>
          <w14:ligatures w14:val="none"/>
        </w:rPr>
        <w:t xml:space="preserve">mg/Kg. The sweet potato flesh was poorer in magnesium (729.85 </w:t>
      </w:r>
      <w:r w:rsidR="006164F5" w:rsidRPr="000620C4">
        <w:rPr>
          <w:rFonts w:ascii="Arial" w:hAnsi="Arial" w:cs="Arial"/>
          <w:color w:val="000000"/>
          <w:sz w:val="20"/>
          <w:szCs w:val="20"/>
          <w:lang w:val="en-US"/>
        </w:rPr>
        <w:t>±</w:t>
      </w:r>
      <w:r w:rsidR="00F260D0">
        <w:rPr>
          <w:rFonts w:ascii="Arial" w:hAnsi="Arial" w:cs="Arial"/>
          <w:color w:val="000000"/>
          <w:sz w:val="20"/>
          <w:szCs w:val="20"/>
          <w:lang w:val="en-US"/>
        </w:rPr>
        <w:t xml:space="preserve"> 0.01 </w:t>
      </w:r>
      <w:r w:rsidR="001E6AAA" w:rsidRPr="000620C4">
        <w:rPr>
          <w:rFonts w:ascii="Arial" w:eastAsia="Times New Roman" w:hAnsi="Arial" w:cs="Arial"/>
          <w:color w:val="000000" w:themeColor="text1"/>
          <w:kern w:val="0"/>
          <w:sz w:val="20"/>
          <w:szCs w:val="20"/>
          <w:lang w:val="en-US"/>
          <w14:ligatures w14:val="none"/>
        </w:rPr>
        <w:t xml:space="preserve">mg/Kg) and calcium (1644.85 </w:t>
      </w:r>
      <w:r w:rsidR="006164F5" w:rsidRPr="000620C4">
        <w:rPr>
          <w:rFonts w:ascii="Arial" w:hAnsi="Arial" w:cs="Arial"/>
          <w:color w:val="000000"/>
          <w:sz w:val="20"/>
          <w:szCs w:val="20"/>
          <w:lang w:val="en-US"/>
        </w:rPr>
        <w:t>±</w:t>
      </w:r>
      <w:r w:rsidR="00F260D0">
        <w:rPr>
          <w:rFonts w:ascii="Arial" w:hAnsi="Arial" w:cs="Arial"/>
          <w:color w:val="000000"/>
          <w:sz w:val="20"/>
          <w:szCs w:val="20"/>
          <w:lang w:val="en-US"/>
        </w:rPr>
        <w:t xml:space="preserve"> 0.18 </w:t>
      </w:r>
      <w:r w:rsidR="001E6AAA" w:rsidRPr="000620C4">
        <w:rPr>
          <w:rFonts w:ascii="Arial" w:eastAsia="Times New Roman" w:hAnsi="Arial" w:cs="Arial"/>
          <w:color w:val="000000" w:themeColor="text1"/>
          <w:kern w:val="0"/>
          <w:sz w:val="20"/>
          <w:szCs w:val="20"/>
          <w:lang w:val="en-US"/>
          <w14:ligatures w14:val="none"/>
        </w:rPr>
        <w:t>mg/Kg). These values ​​are in the range of values ​​reported for several varieties of sweet potatoes</w:t>
      </w:r>
      <w:r w:rsidR="007533BE" w:rsidRPr="000620C4">
        <w:rPr>
          <w:rFonts w:ascii="Arial" w:eastAsia="Times New Roman" w:hAnsi="Arial" w:cs="Arial"/>
          <w:color w:val="000000" w:themeColor="text1"/>
          <w:kern w:val="0"/>
          <w:sz w:val="20"/>
          <w:szCs w:val="20"/>
          <w:lang w:val="en-US"/>
          <w14:ligatures w14:val="none"/>
        </w:rPr>
        <w:t xml:space="preserve"> </w:t>
      </w:r>
      <w:r w:rsidR="007533BE" w:rsidRPr="000620C4">
        <w:rPr>
          <w:rFonts w:ascii="Arial" w:eastAsia="Times New Roman" w:hAnsi="Arial" w:cs="Arial"/>
          <w:color w:val="000000" w:themeColor="text1"/>
          <w:kern w:val="0"/>
          <w:sz w:val="20"/>
          <w:szCs w:val="20"/>
          <w:lang w:val="en-US"/>
          <w14:ligatures w14:val="none"/>
        </w:rPr>
        <w:fldChar w:fldCharType="begin"/>
      </w:r>
      <w:r w:rsidR="005603F5" w:rsidRPr="000620C4">
        <w:rPr>
          <w:rFonts w:ascii="Arial" w:eastAsia="Times New Roman" w:hAnsi="Arial" w:cs="Arial"/>
          <w:color w:val="000000" w:themeColor="text1"/>
          <w:kern w:val="0"/>
          <w:sz w:val="20"/>
          <w:szCs w:val="20"/>
          <w:lang w:val="en-US"/>
          <w14:ligatures w14:val="none"/>
        </w:rPr>
        <w:instrText xml:space="preserve"> ADDIN ZOTERO_ITEM CSL_CITATION {"citationID":"iBfxbU9c","properties":{"formattedCitation":"(Awol, 2014; Lamaro et al., 2023; Zhao et al., 2024)","plainCitation":"(Awol, 2014; Lamaro et al., 2023; Zhao et al., 2024)","noteIndex":0},"citationItems":[{"id":3442,"uris":["http://zotero.org/users/local/JzcqJHT8/items/NZQBZAYS"],"itemData":{"id":3442,"type":"article-journal","abstract":"Leaves of sweet potato (Ipomoea batatas) grown in Tepi area was studied for their class of phytochemicals, mineral and proximate composition using standard analytical methods. The phytochemical screening revealed the presence of alkaloids, flavonoid, terpenoids, saponins, quinones, phenol, tannins, amino acid and proteins in the leaves. The proximate composition revealed the presence of ash (13.74±0.54 % dry weight, DW), crude lipid (3.8±0.52%, DW), crude fiber (12.62±0.39%, DW), crude protein (6.37± 0.13%, DW) and carbohydrate (69.62±0.69%). The minerals composition revealed potassium (3608.854mg/100g), sodium (32.079±0.12mg/100g), calcium (320.125±0.36 mg/100g), magnesium (118.75±0.02mg /100g), copper (1.828±0.11mg/100g), zinc (5.647±0.14mg/100g), iron (73.881±0.03mg/100g) and manganese (9.590±0.06mg/100g). These results revealed that the leaves of sweet potato (Ipomoea batatas) contained essential nutrients which compare favorably well with those of wild edible leaves in literatures.Keywords: Mineral composition Proximate composition Phytochemicals Sweet potato Ipomoea batatas","container-title":"Science, Technology and Arts Research Journal","DOI":"10.4314/star.v3i3.19","ISSN":"2305-3372","issue":"3","journalAbbreviation":"Sci. Technol. Arts Res. J.","language":"en","license":"Copyright (c)","note":"number: 3","page":"112-115","source":"www.ajol.info","title":"Phytochemical Screening, Proximate and Mineral Composition of Sweet Potato Leaves Grown in Tepi Provision, South- west of Ethiopia","volume":"3","author":[{"family":"Awol","given":"A."}],"issued":{"date-parts":[["2014",11,17]]}},"label":"page"},{"id":3444,"uris":["http://zotero.org/users/local/JzcqJHT8/items/HG5TS3VT"],"itemData":{"id":3444,"type":"article-journal","abstract":"This study investigated the influence of the agro-climatic environment of Northern Ethiopia on the content of essential mineral elements of selected orange-fleshed sweetpotato genotypes, the potential contribution of each genotype’s essential mineral elements to the recommended dietary allowance, and the potential risk to human health from the accumulation of potentially toxic elements in the tuberous roots of the studied genotypes. The results showed consistent interspecific variations in the content of essential mineral elements among the studied orange-fleshed sweetpotato genotypes, as well as important intraspecific differences, which could depend on the variations in soil mineral and organic matter content, rainfall, temperature, as well as interactions between genotype and environment. The investigated genotypes, especially Kulfo, Ininda, Gloria, and Amelia, can provide an amount of several essential mineral elements high enough to meet 100% of the recommended dietary allowance for all age groups ≤8 years. The mean content of potentially toxic elements in tuberous roots and their daily intake values were within the recommended permissible levels; likewise, no health risk was associated with the consumption of these genotypes for Cr, As, and Pb. However, Al, Cd, Cu, Fe, Mn, and Ni is &gt; 1, consumption imposes health risks based on daily accumulation.","container-title":"Biology","DOI":"10.3390/biology12020266","ISSN":"2079-7737","issue":"2","title":"Essential Mineral Elements and Potentially Toxic Elements in Orange-Fleshed Sweet Potato Cultivated in Northern Ethiopia","URL":"https://www.mdpi.com/2079-7737/12/2/266","volume":"12","author":[{"family":"Lamaro","given":"Gloria Peace"},{"family":"Tsehaye","given":"Yemane"},{"family":"Girma","given":"Atkilt"},{"family":"Vannini","given":"Andrea"},{"family":"Fedeli","given":"Riccardo"},{"family":"Loppi","given":"Stefano"}],"issued":{"date-parts":[["2023"]]}},"label":"page"},{"id":3441,"uris":["http://zotero.org/users/local/JzcqJHT8/items/NVZ2MUK8"],"itemData":{"id":3441,"type":"article-journal","abstract":"Sweet potato (Ipomoea batatas (L.) is regarded among the most crucial crops globally because it is abundant in essential nutrients vital for human health. However, limited comprehensive information is available regarding the nutritional composition of sweet potato, which hinders its optimal utilization. This study investigated the nutritional and chemical composition of sweet potato roots and explored their interrelationships. In total, 86 sweet potato accessions, comprising white, yellow, orange, and purple flesh-colored varieties, were used. A total of 34 components, including nutrients, phytochemicals, and minerals, were identified. Multivariate analysis was performed to assess the relationships among these components. The sweet potato roots were rich in carbohydrates, polyphenols, and minerals. Carbohydrates were primarily composed of total starch (22.6–69.7 g/100 g DW), total soluble sugar (TSS) (10.3–40.0 g/100 g DW), and total dietary fiber (TDF) (7.99–26.0 g/100 g DW). Polyphenols included total caffeoylquinic acids (CQAs) (0.478–14.2 g/kg DW), total anthocyanins (0–2003 mg/kg DW), and β-carotene (0–133 mg/kg DW). The mineral content followed the order: potassium &gt; calcium &gt; phosphorus &gt; sodium &gt; magnesium &gt; iron &gt; manganese &gt; zinc &gt; copper &gt; selenium. White-fleshed sweet potato exhibited high total starch levels (50.4 g/100 g DW) but low TSS levels (21.1 g/100 g DW). Orange-fleshed sweet potato contained high levels of TSS (26.5 g/100 g DW), TDF (17.9 g/100 g DW), and β-carotene (61.4 mg/100 g DW) but low levels of protein (2.99 g/100 g DW) and total starch (43.0 g/100 g DW). Purple-fleshed sweet potato had high levels of phytochemicals, particularly total CQAs (8.17 g/kg DW) and anthocyanins (904 mg/kg DW). Cluster analysis categorized sweet potato accessions into six clusters with unique characteristics. Furthermore, principal component analysis identified accessions with exceptionally high nutritional content. The correlation analysis indicated that starch was negatively correlated with soluble sugar and TDF, whereas CQAs and anthocyanins were highly positively correlated. These findings offer a solid theoretical foundation for sweet potato breeding and utilization.","container-title":"Foods","DOI":"10.3390/foods13223636","ISSN":"2304-8158","issue":"22","title":"Comparative Analysis of Nutrients, Phytochemicals, and Minerals in Colored Sweet Potato (Ipomoea batatas L.) Roots","URL":"https://www.mdpi.com/2304-8158/13/22/3636","volume":"13","author":[{"family":"Zhao","given":"Shan"},{"family":"Zhong","given":"Lingli"},{"family":"Li","given":"Xi"},{"family":"Qin","given":"Lin"},{"family":"Zhou","given":"Ya"},{"family":"Lei","given":"Xinyu"},{"family":"Zheng","given":"Xingguo"},{"family":"Jin","given":"Keting"},{"family":"Pu","given":"Zhigang"},{"family":"Hou","given":"Xue"},{"family":"Song","given":"Jun"},{"family":"Lang","given":"Tao"},{"family":"Zhang","given":"Cong"},{"family":"Feng","given":"Junyan"}],"issued":{"date-parts":[["2024"]]}},"label":"page"}],"schema":"https://github.com/citation-style-language/schema/raw/master/csl-citation.json"} </w:instrText>
      </w:r>
      <w:r w:rsidR="007533BE" w:rsidRPr="000620C4">
        <w:rPr>
          <w:rFonts w:ascii="Arial" w:eastAsia="Times New Roman" w:hAnsi="Arial" w:cs="Arial"/>
          <w:color w:val="000000" w:themeColor="text1"/>
          <w:kern w:val="0"/>
          <w:sz w:val="20"/>
          <w:szCs w:val="20"/>
          <w:lang w:val="en-US"/>
          <w14:ligatures w14:val="none"/>
        </w:rPr>
        <w:fldChar w:fldCharType="separate"/>
      </w:r>
      <w:r w:rsidR="005603F5" w:rsidRPr="000620C4">
        <w:rPr>
          <w:rFonts w:ascii="Arial" w:hAnsi="Arial" w:cs="Arial"/>
          <w:sz w:val="20"/>
          <w:szCs w:val="20"/>
          <w:lang w:val="en-US"/>
        </w:rPr>
        <w:t>(Awol, 2014; Lamaro et al., 2023; Zhao et al., 2024)</w:t>
      </w:r>
      <w:r w:rsidR="007533BE" w:rsidRPr="000620C4">
        <w:rPr>
          <w:rFonts w:ascii="Arial" w:eastAsia="Times New Roman" w:hAnsi="Arial" w:cs="Arial"/>
          <w:color w:val="000000" w:themeColor="text1"/>
          <w:kern w:val="0"/>
          <w:sz w:val="20"/>
          <w:szCs w:val="20"/>
          <w:lang w:val="en-US"/>
          <w14:ligatures w14:val="none"/>
        </w:rPr>
        <w:fldChar w:fldCharType="end"/>
      </w:r>
      <w:r w:rsidR="001E6AAA" w:rsidRPr="000620C4">
        <w:rPr>
          <w:rFonts w:ascii="Arial" w:eastAsia="Times New Roman" w:hAnsi="Arial" w:cs="Arial"/>
          <w:color w:val="000000" w:themeColor="text1"/>
          <w:kern w:val="0"/>
          <w:sz w:val="20"/>
          <w:szCs w:val="20"/>
          <w:lang w:val="en-US"/>
          <w14:ligatures w14:val="none"/>
        </w:rPr>
        <w:t>. The recommended calcium-magnesium ratio is between 1 and 2. The calcium-magnesium ratio values ​​calculated for the leaves (1.01) and peels (1.84) are consistent with the guideline value and confirm that the consumption of leaves and sweet potatoes is beneficial to consumers' health. The flesh of the sweet potato studied has a Ca/Mg ratio of 2.25, which is outside the recommended limits. The amounts of sodium, potassium, magnesium, and calcium present in the different parts of the plant can help ensure the necessary daily intake of these m</w:t>
      </w:r>
      <w:r w:rsidR="00602C09">
        <w:rPr>
          <w:rFonts w:ascii="Arial" w:eastAsia="Times New Roman" w:hAnsi="Arial" w:cs="Arial"/>
          <w:color w:val="000000" w:themeColor="text1"/>
          <w:kern w:val="0"/>
          <w:sz w:val="20"/>
          <w:szCs w:val="20"/>
          <w:lang w:val="en-US"/>
          <w14:ligatures w14:val="none"/>
        </w:rPr>
        <w:t>a</w:t>
      </w:r>
      <w:r w:rsidR="001E6AAA" w:rsidRPr="000620C4">
        <w:rPr>
          <w:rFonts w:ascii="Arial" w:eastAsia="Times New Roman" w:hAnsi="Arial" w:cs="Arial"/>
          <w:color w:val="000000" w:themeColor="text1"/>
          <w:kern w:val="0"/>
          <w:sz w:val="20"/>
          <w:szCs w:val="20"/>
          <w:lang w:val="en-US"/>
          <w14:ligatures w14:val="none"/>
        </w:rPr>
        <w:t>cronutrients.</w:t>
      </w:r>
    </w:p>
    <w:p w14:paraId="6BC2E3E2" w14:textId="15AFC60E" w:rsidR="001E6AAA" w:rsidRPr="000620C4" w:rsidRDefault="001E6AAA" w:rsidP="009C38C8">
      <w:pPr>
        <w:spacing w:line="240" w:lineRule="auto"/>
        <w:rPr>
          <w:rFonts w:ascii="Arial" w:eastAsia="Times New Roman" w:hAnsi="Arial" w:cs="Arial"/>
          <w:color w:val="000000" w:themeColor="text1"/>
          <w:kern w:val="0"/>
          <w:sz w:val="20"/>
          <w:szCs w:val="20"/>
          <w:lang w:val="en-US"/>
          <w14:ligatures w14:val="none"/>
        </w:rPr>
      </w:pPr>
      <w:r w:rsidRPr="000620C4">
        <w:rPr>
          <w:rFonts w:ascii="Arial" w:eastAsia="Times New Roman" w:hAnsi="Arial" w:cs="Arial"/>
          <w:color w:val="000000" w:themeColor="text1"/>
          <w:kern w:val="0"/>
          <w:sz w:val="20"/>
          <w:szCs w:val="20"/>
          <w:lang w:val="en-US"/>
          <w14:ligatures w14:val="none"/>
        </w:rPr>
        <w:t xml:space="preserve">The WHO has not defined a guideline value for iron in foods. However, it recommends intakes adapted according to the age and sex of the consumer. It sometimes recommends supplementation for certain </w:t>
      </w:r>
      <w:r w:rsidRPr="000620C4">
        <w:rPr>
          <w:rFonts w:ascii="Arial" w:eastAsia="Times New Roman" w:hAnsi="Arial" w:cs="Arial"/>
          <w:color w:val="000000" w:themeColor="text1"/>
          <w:kern w:val="0"/>
          <w:sz w:val="20"/>
          <w:szCs w:val="20"/>
          <w:lang w:val="en-US"/>
          <w14:ligatures w14:val="none"/>
        </w:rPr>
        <w:lastRenderedPageBreak/>
        <w:t xml:space="preserve">categories of consumers such as pregnant women, children and the sick to avoid the effects of iron deficiency </w:t>
      </w:r>
      <w:r w:rsidR="007A060E" w:rsidRPr="000620C4">
        <w:rPr>
          <w:rFonts w:ascii="Arial" w:eastAsia="Times New Roman" w:hAnsi="Arial" w:cs="Arial"/>
          <w:color w:val="000000" w:themeColor="text1"/>
          <w:kern w:val="0"/>
          <w:sz w:val="20"/>
          <w:szCs w:val="20"/>
          <w:lang w:val="en-US"/>
          <w14:ligatures w14:val="none"/>
        </w:rPr>
        <w:fldChar w:fldCharType="begin"/>
      </w:r>
      <w:r w:rsidR="00C87A67" w:rsidRPr="000620C4">
        <w:rPr>
          <w:rFonts w:ascii="Arial" w:eastAsia="Times New Roman" w:hAnsi="Arial" w:cs="Arial"/>
          <w:color w:val="000000" w:themeColor="text1"/>
          <w:kern w:val="0"/>
          <w:sz w:val="20"/>
          <w:szCs w:val="20"/>
          <w:lang w:val="en-US"/>
          <w14:ligatures w14:val="none"/>
        </w:rPr>
        <w:instrText xml:space="preserve"> ADDIN ZOTERO_ITEM CSL_CITATION {"citationID":"q82O5Utr","properties":{"formattedCitation":"(Stoffel et al., 2020)","plainCitation":"(Stoffel et al., 2020)","noteIndex":0},"citationItems":[{"id":3445,"uris":["http://zotero.org/users/local/JzcqJHT8/items/3TTNDTL4"],"itemData":{"id":3445,"type":"article-journal","abstract":"Iron deficiency and iron deficiency anemia (IDA) are major public health problems worldwide, especially in young women. Oral iron supplementation can be an effective strategy to treat and prevent IDA, but guidelines vary. Some experts recommend doses of 150–200 mg elemental iron per day, with the dose split through the day. However, recent studies suggest this may not be an optimal regimen. The fraction of iron absorbed from high doses of oral iron is low, and unabsorbed iron can cause gut irritation, inflammation and dysbiosis, and these reduce compliance. In recent studies using serum hepcidin profiles and stable iron isotopes to quantify iron absorption in young women, we have shown that: (a) oral iron doses ≥60 mg in iron-deficient women, and doses ≥100 mg in women with IDA, stimulate an acute increase in hepcidin that persists 24 h after the dose, but subsides by 48 h; (b) therefore, to maximize fractional iron absorption, oral doses ≥60 mg should be given on alternate days; (c) the circadian increase in plasma hepcidin is augmented by a morning iron dose; therefore, iron doses should not be given in the afternoon or evening after a morning dose. If rate of Hb response is important, a pooled analysis of our data done for this review indicates that total iron absorption is also higher if twice the target daily iron dose is given on alternate days. In summary, these studies suggest changing from daily to alternate-day schedules and from divided to morning single doses increases iron absorption and may reduce side effects. Thus, providing morning doses of 60–120 mg iron as a ferrous salt given with ascorbic acid on alternate days may be an optimal oral dosing regimen for women with iron-deficiency and mild IDA.","container-title":"Molecular Aspects of Medicine","DOI":"https://doi.org/10.1016/j.mam.2020.100865","ISSN":"0098-2997","page":"100865","title":"Oral iron supplementation in iron-deficient women: How much and how often?","volume":"75","author":[{"family":"Stoffel","given":"Nicole U."},{"family":"Siebenthal","given":"Hanna K.","dropping-particle":"von"},{"family":"Moretti","given":"Diego"},{"family":"Zimmermann","given":"Michael B."}],"issued":{"date-parts":[["2020"]]}}}],"schema":"https://github.com/citation-style-language/schema/raw/master/csl-citation.json"} </w:instrText>
      </w:r>
      <w:r w:rsidR="007A060E" w:rsidRPr="000620C4">
        <w:rPr>
          <w:rFonts w:ascii="Arial" w:eastAsia="Times New Roman" w:hAnsi="Arial" w:cs="Arial"/>
          <w:color w:val="000000" w:themeColor="text1"/>
          <w:kern w:val="0"/>
          <w:sz w:val="20"/>
          <w:szCs w:val="20"/>
          <w:lang w:val="en-US"/>
          <w14:ligatures w14:val="none"/>
        </w:rPr>
        <w:fldChar w:fldCharType="separate"/>
      </w:r>
      <w:r w:rsidR="00C87A67" w:rsidRPr="000620C4">
        <w:rPr>
          <w:rFonts w:ascii="Arial" w:hAnsi="Arial" w:cs="Arial"/>
          <w:sz w:val="20"/>
          <w:szCs w:val="20"/>
          <w:lang w:val="en-US"/>
        </w:rPr>
        <w:t>(Stoffel et al., 2020)</w:t>
      </w:r>
      <w:r w:rsidR="007A060E" w:rsidRPr="000620C4">
        <w:rPr>
          <w:rFonts w:ascii="Arial" w:eastAsia="Times New Roman" w:hAnsi="Arial" w:cs="Arial"/>
          <w:color w:val="000000" w:themeColor="text1"/>
          <w:kern w:val="0"/>
          <w:sz w:val="20"/>
          <w:szCs w:val="20"/>
          <w:lang w:val="en-US"/>
          <w14:ligatures w14:val="none"/>
        </w:rPr>
        <w:fldChar w:fldCharType="end"/>
      </w:r>
      <w:r w:rsidRPr="000620C4">
        <w:rPr>
          <w:rFonts w:ascii="Arial" w:eastAsia="Times New Roman" w:hAnsi="Arial" w:cs="Arial"/>
          <w:color w:val="000000" w:themeColor="text1"/>
          <w:kern w:val="0"/>
          <w:sz w:val="20"/>
          <w:szCs w:val="20"/>
          <w:lang w:val="en-US"/>
          <w14:ligatures w14:val="none"/>
        </w:rPr>
        <w:t>. Consuming sweet potato leaves is a good way to improve iron intake with a content of 126.53</w:t>
      </w:r>
      <w:r w:rsidR="00F260D0">
        <w:rPr>
          <w:rFonts w:ascii="Arial" w:eastAsia="Times New Roman" w:hAnsi="Arial" w:cs="Arial"/>
          <w:color w:val="000000" w:themeColor="text1"/>
          <w:kern w:val="0"/>
          <w:sz w:val="20"/>
          <w:szCs w:val="20"/>
          <w:lang w:val="en-US"/>
          <w14:ligatures w14:val="none"/>
        </w:rPr>
        <w:t xml:space="preserve"> </w:t>
      </w:r>
      <w:r w:rsidR="00F260D0" w:rsidRPr="000620C4">
        <w:rPr>
          <w:rFonts w:ascii="Arial" w:hAnsi="Arial" w:cs="Arial"/>
          <w:color w:val="000000"/>
          <w:sz w:val="20"/>
          <w:szCs w:val="20"/>
          <w:lang w:val="en-US"/>
        </w:rPr>
        <w:t>±</w:t>
      </w:r>
      <w:r w:rsidR="00F260D0">
        <w:rPr>
          <w:rFonts w:ascii="Arial" w:hAnsi="Arial" w:cs="Arial"/>
          <w:color w:val="000000"/>
          <w:sz w:val="20"/>
          <w:szCs w:val="20"/>
          <w:lang w:val="en-US"/>
        </w:rPr>
        <w:t xml:space="preserve"> 0.09</w:t>
      </w:r>
      <w:r w:rsidRPr="000620C4">
        <w:rPr>
          <w:rFonts w:ascii="Arial" w:eastAsia="Times New Roman" w:hAnsi="Arial" w:cs="Arial"/>
          <w:color w:val="000000" w:themeColor="text1"/>
          <w:kern w:val="0"/>
          <w:sz w:val="20"/>
          <w:szCs w:val="20"/>
          <w:lang w:val="en-US"/>
          <w14:ligatures w14:val="none"/>
        </w:rPr>
        <w:t xml:space="preserve"> mg/Kg. The iron contents of the peels (21.94</w:t>
      </w:r>
      <w:r w:rsidR="007631AB">
        <w:rPr>
          <w:rFonts w:ascii="Arial" w:eastAsia="Times New Roman" w:hAnsi="Arial" w:cs="Arial"/>
          <w:color w:val="000000" w:themeColor="text1"/>
          <w:kern w:val="0"/>
          <w:sz w:val="20"/>
          <w:szCs w:val="20"/>
          <w:lang w:val="en-US"/>
          <w14:ligatures w14:val="none"/>
        </w:rPr>
        <w:t xml:space="preserve"> </w:t>
      </w:r>
      <w:r w:rsidR="007631AB" w:rsidRPr="000620C4">
        <w:rPr>
          <w:rFonts w:ascii="Arial" w:hAnsi="Arial" w:cs="Arial"/>
          <w:color w:val="000000"/>
          <w:sz w:val="20"/>
          <w:szCs w:val="20"/>
          <w:lang w:val="en-US"/>
        </w:rPr>
        <w:t>±</w:t>
      </w:r>
      <w:r w:rsidR="007631AB">
        <w:rPr>
          <w:rFonts w:ascii="Arial" w:hAnsi="Arial" w:cs="Arial"/>
          <w:color w:val="000000"/>
          <w:sz w:val="20"/>
          <w:szCs w:val="20"/>
          <w:lang w:val="en-US"/>
        </w:rPr>
        <w:t xml:space="preserve"> 0.04</w:t>
      </w:r>
      <w:r w:rsidRPr="000620C4">
        <w:rPr>
          <w:rFonts w:ascii="Arial" w:eastAsia="Times New Roman" w:hAnsi="Arial" w:cs="Arial"/>
          <w:color w:val="000000" w:themeColor="text1"/>
          <w:kern w:val="0"/>
          <w:sz w:val="20"/>
          <w:szCs w:val="20"/>
          <w:lang w:val="en-US"/>
          <w14:ligatures w14:val="none"/>
        </w:rPr>
        <w:t xml:space="preserve"> mg/Kg) and sweet potato flesh (91.31 </w:t>
      </w:r>
      <w:r w:rsidR="007631AB" w:rsidRPr="000620C4">
        <w:rPr>
          <w:rFonts w:ascii="Arial" w:hAnsi="Arial" w:cs="Arial"/>
          <w:color w:val="000000"/>
          <w:sz w:val="20"/>
          <w:szCs w:val="20"/>
          <w:lang w:val="en-US"/>
        </w:rPr>
        <w:t>±</w:t>
      </w:r>
      <w:r w:rsidR="007631AB">
        <w:rPr>
          <w:rFonts w:ascii="Arial" w:hAnsi="Arial" w:cs="Arial"/>
          <w:color w:val="000000"/>
          <w:sz w:val="20"/>
          <w:szCs w:val="20"/>
          <w:lang w:val="en-US"/>
        </w:rPr>
        <w:t xml:space="preserve"> 0.04 </w:t>
      </w:r>
      <w:r w:rsidRPr="000620C4">
        <w:rPr>
          <w:rFonts w:ascii="Arial" w:eastAsia="Times New Roman" w:hAnsi="Arial" w:cs="Arial"/>
          <w:color w:val="000000" w:themeColor="text1"/>
          <w:kern w:val="0"/>
          <w:sz w:val="20"/>
          <w:szCs w:val="20"/>
          <w:lang w:val="en-US"/>
          <w14:ligatures w14:val="none"/>
        </w:rPr>
        <w:t xml:space="preserve">mg/Kg) are </w:t>
      </w:r>
      <w:r w:rsidR="007A060E" w:rsidRPr="000620C4">
        <w:rPr>
          <w:rFonts w:ascii="Arial" w:eastAsia="Times New Roman" w:hAnsi="Arial" w:cs="Arial"/>
          <w:color w:val="000000" w:themeColor="text1"/>
          <w:kern w:val="0"/>
          <w:sz w:val="20"/>
          <w:szCs w:val="20"/>
          <w:lang w:val="en-US"/>
          <w14:ligatures w14:val="none"/>
        </w:rPr>
        <w:t>lower,</w:t>
      </w:r>
      <w:r w:rsidRPr="000620C4">
        <w:rPr>
          <w:rFonts w:ascii="Arial" w:eastAsia="Times New Roman" w:hAnsi="Arial" w:cs="Arial"/>
          <w:color w:val="000000" w:themeColor="text1"/>
          <w:kern w:val="0"/>
          <w:sz w:val="20"/>
          <w:szCs w:val="20"/>
          <w:lang w:val="en-US"/>
          <w14:ligatures w14:val="none"/>
        </w:rPr>
        <w:t xml:space="preserve"> but these parts can also be consumed to contribute to the daily iron intake. These levels are comparable to values ​​reported for sweet potato varieties </w:t>
      </w:r>
      <w:r w:rsidR="00782A79" w:rsidRPr="000620C4">
        <w:rPr>
          <w:rFonts w:ascii="Arial" w:eastAsia="Times New Roman" w:hAnsi="Arial" w:cs="Arial"/>
          <w:color w:val="000000" w:themeColor="text1"/>
          <w:kern w:val="0"/>
          <w:sz w:val="20"/>
          <w:szCs w:val="20"/>
          <w:lang w:val="en-US"/>
          <w14:ligatures w14:val="none"/>
        </w:rPr>
        <w:fldChar w:fldCharType="begin"/>
      </w:r>
      <w:r w:rsidR="005603F5" w:rsidRPr="000620C4">
        <w:rPr>
          <w:rFonts w:ascii="Arial" w:eastAsia="Times New Roman" w:hAnsi="Arial" w:cs="Arial"/>
          <w:color w:val="000000" w:themeColor="text1"/>
          <w:kern w:val="0"/>
          <w:sz w:val="20"/>
          <w:szCs w:val="20"/>
          <w:lang w:val="en-US"/>
          <w14:ligatures w14:val="none"/>
        </w:rPr>
        <w:instrText xml:space="preserve"> ADDIN ZOTERO_ITEM CSL_CITATION {"citationID":"z9EfETDk","properties":{"formattedCitation":"(Awol, 2014; Kambabazi et al., 2021)","plainCitation":"(Awol, 2014; Kambabazi et al., 2021)","noteIndex":0},"citationItems":[{"id":3442,"uris":["http://zotero.org/users/local/JzcqJHT8/items/NZQBZAYS"],"itemData":{"id":3442,"type":"article-journal","abstract":"Leaves of sweet potato (Ipomoea batatas) grown in Tepi area was studied for their class of phytochemicals, mineral and proximate composition using standard analytical methods. The phytochemical screening revealed the presence of alkaloids, flavonoid, terpenoids, saponins, quinones, phenol, tannins, amino acid and proteins in the leaves. The proximate composition revealed the presence of ash (13.74±0.54 % dry weight, DW), crude lipid (3.8±0.52%, DW), crude fiber (12.62±0.39%, DW), crude protein (6.37± 0.13%, DW) and carbohydrate (69.62±0.69%). The minerals composition revealed potassium (3608.854mg/100g), sodium (32.079±0.12mg/100g), calcium (320.125±0.36 mg/100g), magnesium (118.75±0.02mg /100g), copper (1.828±0.11mg/100g), zinc (5.647±0.14mg/100g), iron (73.881±0.03mg/100g) and manganese (9.590±0.06mg/100g). These results revealed that the leaves of sweet potato (Ipomoea batatas) contained essential nutrients which compare favorably well with those of wild edible leaves in literatures.Keywords: Mineral composition Proximate composition Phytochemicals Sweet potato Ipomoea batatas","container-title":"Science, Technology and Arts Research Journal","DOI":"10.4314/star.v3i3.19","ISSN":"2305-3372","issue":"3","journalAbbreviation":"Sci. Technol. Arts Res. J.","language":"en","license":"Copyright (c)","note":"number: 3","page":"112-115","source":"www.ajol.info","title":"Phytochemical Screening, Proximate and Mineral Composition of Sweet Potato Leaves Grown in Tepi Provision, South- west of Ethiopia","volume":"3","author":[{"family":"Awol","given":"A."}],"issued":{"date-parts":[["2014",11,17]]}},"label":"page"},{"id":3436,"uris":["http://zotero.org/users/local/JzcqJHT8/items/DGDNPCFM"],"itemData":{"id":3436,"type":"article-journal","abstract":"No data exist on the nutrient composition of some important Rwandan staples. The aim of this study was to evaluate the nutrient content of red kidney beans, sweet potato roots, amaranth leaves and carrot roots. About 6 kg of each raw material were cleaned and conditioned prior to mechanical drying, ground and sieved [60-mesh] into flour and then subjected to quantitative analysis for proximate content, energy, calcium (Ca), iron (Fe), zinc (Zn), vitamin A and vitamin C. Proximate composition determination was done using Near Infrared Spectroscopy (NIRS), carbohydrates were determined by difference, energy was calculated, mineral analysis was done by Atomic Absorption Spectroscopy (AAS) and vitamin analysis was performed by High Performance Liquid Chromatography (HPLC) methods. The results showed that red kidney beans, sweet potato roots, amaranth leaves and carrots contain 21.48, 6.66, 29.46 and 13.8% of protein; 2.58, 1.68, 7.89 and 2.08% of fat; 60.86, 79.13, 19.29 and 57.38% of carbohydrate; 2.33, 2.68, 8.98 and 9.63% of fiber; 8.82, 8.74, 10.08 and 8.88% of moisture content; 3.94, 1.11, 24.30 and 5.16% of ash; 357.2, 363.7, 284.0, 322.9 kcal/100 g of energy; and 146.4, 182.7, 26,290 and 1,247 mg/kg of calcium, respectively. Red kidney beans, amaranth leaves and carrots contained 8.54, 30.48, and 15.55 mg/kg of zinc; and 21.36, 219.1 and 8.81 mg/kg of iron, respectively. Zinc and iron were, however, not detected in sweet potato samples analysed. Red kidney beans, sweet potato roots, amaranth leaves and carrot contained 768.0, 10,880, 399.4, and 6,413 IU/100 g of vitamin A; and 2.67, 30.99, 330.3 and 6.76 mg/100g of vitamin C, respectively. In conclusion, the staples analysed contained appreciable amounts of nutrients and could be used to overcome malnutrition and allow dietary diversity. It could be recommended to prepare a Rwandan food composition database in order to improve awareness on local grown crops’ quality.","container-title":"African Journal of Food, Agriculture, Nutrition and Development","ISSN":"1684-5374","issue":"4","journalAbbreviation":"ajfand","language":"en","license":"Copyright (c) 0","note":"number: 4","page":"17801-17814","source":"www.ajol.info","title":"Evaluation of nutrient content in red kidney beans, amaranth leaves, sweet potato roots and carrots cultivated in Rwanda","volume":"21","author":[{"family":"Kambabazi","given":"M. R."},{"family":"Okoth","given":"M. W."},{"family":"Ngala","given":"S."},{"family":"Njue","given":"L."},{"family":"Vasanthakaalam","given":"H."}],"issued":{"date-parts":[["2021",6,27]]}},"label":"page"}],"schema":"https://github.com/citation-style-language/schema/raw/master/csl-citation.json"} </w:instrText>
      </w:r>
      <w:r w:rsidR="00782A79" w:rsidRPr="000620C4">
        <w:rPr>
          <w:rFonts w:ascii="Arial" w:eastAsia="Times New Roman" w:hAnsi="Arial" w:cs="Arial"/>
          <w:color w:val="000000" w:themeColor="text1"/>
          <w:kern w:val="0"/>
          <w:sz w:val="20"/>
          <w:szCs w:val="20"/>
          <w:lang w:val="en-US"/>
          <w14:ligatures w14:val="none"/>
        </w:rPr>
        <w:fldChar w:fldCharType="separate"/>
      </w:r>
      <w:r w:rsidR="005603F5" w:rsidRPr="000620C4">
        <w:rPr>
          <w:rFonts w:ascii="Arial" w:eastAsia="Times New Roman" w:hAnsi="Arial" w:cs="Arial"/>
          <w:color w:val="000000" w:themeColor="text1"/>
          <w:kern w:val="0"/>
          <w:sz w:val="20"/>
          <w:szCs w:val="20"/>
          <w:lang w:val="en-US"/>
          <w14:ligatures w14:val="none"/>
        </w:rPr>
        <w:t>(Awol, 2014; Kambabazi et al., 2021)</w:t>
      </w:r>
      <w:r w:rsidR="00782A79" w:rsidRPr="000620C4">
        <w:rPr>
          <w:rFonts w:ascii="Arial" w:eastAsia="Times New Roman" w:hAnsi="Arial" w:cs="Arial"/>
          <w:color w:val="000000" w:themeColor="text1"/>
          <w:kern w:val="0"/>
          <w:sz w:val="20"/>
          <w:szCs w:val="20"/>
          <w:lang w:val="en-US"/>
          <w14:ligatures w14:val="none"/>
        </w:rPr>
        <w:fldChar w:fldCharType="end"/>
      </w:r>
      <w:r w:rsidR="00A467E6" w:rsidRPr="000620C4">
        <w:rPr>
          <w:rFonts w:ascii="Arial" w:eastAsia="Times New Roman" w:hAnsi="Arial" w:cs="Arial"/>
          <w:color w:val="000000" w:themeColor="text1"/>
          <w:kern w:val="0"/>
          <w:sz w:val="20"/>
          <w:szCs w:val="20"/>
          <w:lang w:val="en-US"/>
          <w14:ligatures w14:val="none"/>
        </w:rPr>
        <w:t>.</w:t>
      </w:r>
    </w:p>
    <w:p w14:paraId="34F2E123" w14:textId="7263711C" w:rsidR="001E6AAA" w:rsidRPr="000620C4" w:rsidRDefault="001E6AAA" w:rsidP="009C38C8">
      <w:pPr>
        <w:spacing w:line="240" w:lineRule="auto"/>
        <w:rPr>
          <w:rFonts w:ascii="Arial" w:hAnsi="Arial" w:cs="Arial"/>
          <w:sz w:val="20"/>
          <w:szCs w:val="20"/>
          <w:lang w:val="en-US"/>
        </w:rPr>
      </w:pPr>
      <w:r w:rsidRPr="000620C4">
        <w:rPr>
          <w:rFonts w:ascii="Arial" w:eastAsia="Times New Roman" w:hAnsi="Arial" w:cs="Arial"/>
          <w:color w:val="000000" w:themeColor="text1"/>
          <w:kern w:val="0"/>
          <w:sz w:val="20"/>
          <w:szCs w:val="20"/>
          <w:lang w:val="en-US"/>
          <w14:ligatures w14:val="none"/>
        </w:rPr>
        <w:t>Nickel</w:t>
      </w:r>
      <w:r w:rsidR="00375023" w:rsidRPr="000620C4">
        <w:rPr>
          <w:rFonts w:ascii="Arial" w:eastAsia="Times New Roman" w:hAnsi="Arial" w:cs="Arial"/>
          <w:color w:val="000000" w:themeColor="text1"/>
          <w:kern w:val="0"/>
          <w:sz w:val="20"/>
          <w:szCs w:val="20"/>
          <w:lang w:val="en-US"/>
          <w14:ligatures w14:val="none"/>
        </w:rPr>
        <w:t xml:space="preserve"> element</w:t>
      </w:r>
      <w:r w:rsidRPr="000620C4">
        <w:rPr>
          <w:rFonts w:ascii="Arial" w:eastAsia="Times New Roman" w:hAnsi="Arial" w:cs="Arial"/>
          <w:color w:val="000000" w:themeColor="text1"/>
          <w:kern w:val="0"/>
          <w:sz w:val="20"/>
          <w:szCs w:val="20"/>
          <w:lang w:val="en-US"/>
          <w14:ligatures w14:val="none"/>
        </w:rPr>
        <w:t xml:space="preserve"> is toxic at low concentrations. Prolonged exposure can lead to various pathologies such as high blood pressure, cardiovascular disease, neurological deficits, and developmental disorders in children</w:t>
      </w:r>
      <w:r w:rsidR="00375023" w:rsidRPr="000620C4">
        <w:rPr>
          <w:rFonts w:ascii="Arial" w:eastAsia="Times New Roman" w:hAnsi="Arial" w:cs="Arial"/>
          <w:color w:val="000000" w:themeColor="text1"/>
          <w:kern w:val="0"/>
          <w:sz w:val="20"/>
          <w:szCs w:val="20"/>
          <w:lang w:val="en-US"/>
          <w14:ligatures w14:val="none"/>
        </w:rPr>
        <w:t xml:space="preserve"> </w:t>
      </w:r>
      <w:r w:rsidR="00EC646C" w:rsidRPr="000620C4">
        <w:rPr>
          <w:rFonts w:ascii="Arial" w:eastAsia="Times New Roman" w:hAnsi="Arial" w:cs="Arial"/>
          <w:color w:val="000000" w:themeColor="text1"/>
          <w:kern w:val="0"/>
          <w:sz w:val="20"/>
          <w:szCs w:val="20"/>
          <w:lang w:val="en-US"/>
          <w14:ligatures w14:val="none"/>
        </w:rPr>
        <w:fldChar w:fldCharType="begin"/>
      </w:r>
      <w:r w:rsidR="00EC646C" w:rsidRPr="000620C4">
        <w:rPr>
          <w:rFonts w:ascii="Arial" w:eastAsia="Times New Roman" w:hAnsi="Arial" w:cs="Arial"/>
          <w:color w:val="000000" w:themeColor="text1"/>
          <w:kern w:val="0"/>
          <w:sz w:val="20"/>
          <w:szCs w:val="20"/>
          <w:lang w:val="en-US"/>
          <w14:ligatures w14:val="none"/>
        </w:rPr>
        <w:instrText xml:space="preserve"> ADDIN ZOTERO_ITEM CSL_CITATION {"citationID":"LQJmzPMu","properties":{"formattedCitation":"(Coogan et al., 1989; Ssempijja et al., 2020)","plainCitation":"(Coogan et al., 1989; Ssempijja et al., 2020)","noteIndex":0},"citationItems":[{"id":3246,"uris":["http://zotero.org/users/local/JzcqJHT8/items/5F5ZVWXG"],"itemData":{"id":3246,"type":"article-journal","container-title":"CRC Critical Reviews in Toxicology","DOI":"10.3109/10408448909029327","issue":"4","note":"publisher: Taylor &amp; Francis\n_eprint: https://doi.org/10.3109/10408448909029327","page":"341–384","title":"Toxicity and Carcinogenicity of Nickel Compounds","volume":"19","author":[{"family":"Coogan","given":"Timothy P."},{"family":"Latta","given":"Dorothy M."},{"family":"Snow","given":"Elizabeth T."},{"family":"Costa","given":"Max"},{"family":"and","given":"A. Lawrence"}],"issued":{"date-parts":[["1989"]]}},"label":"page"},{"id":3245,"uris":["http://zotero.org/users/local/JzcqJHT8/items/ZZG5Z58H"],"itemData":{"id":3245,"type":"article-journal","abstract":"Background. Community consumption of herbal plants in developing countries is a common practice, however, scarcity of information on their physiochemical composition is a major public health concern. In Uganda, Vernonia amygdalina is of interest in rural communities due to its therapeutical action on both bacterial and protozoal parasites, however no studies have been conducted to assess the heavy metal concentrations in traditional plants used in alternative medicine. The aim of the study was to establish concentrations of heavy metals in Vernonia amygdalina, model the estimated daily intake (EDI), and assess both the non-cancer-related health risk using the target hazard quotient (THQ), and the risk related to cancer through the incremental lifetime cancer risk (ILCR) for the Ugandan population. Methods. Leaves of Vernonia amygdalina were collected from 20 georeferenced villages and processed into powder in the laboratory using standard methods. These were then analyzed in the laboratory using an atomic absorption spectrometer for lead (Pb), chromium (Cr), copper (Cu), zinc (Zn), cobalt (Co), iron (Fe), cadmium (Cd), and nickel (Ni). Concentrations were compared against the World Health Organization (WHO) limits. The EDI, THQ, and ILCR were modelled and significance was measured at 95% confidence. Results. The study showed that mean ± SEM concentrations of heavy metals were highest in the order of Cr, 121.8 ± 4.291 ppm &gt; Ni, 84.09 ± 2.725 ppm &gt; Zn, 53.87 ± 2.277 ppm &gt; Pb, 40.61 ± 3.891 ppm &gt; Cu, 28.75 ± 2.202 ppm &gt; Fe, 14.15 ± 0.7271 ppm &gt; Co, 7.923 ± 0.7674 ppm &gt; Cd, 0.1163 ± 0.005714 ppm. Concentrations of Pb, Cr, Zn, Co, and Ni were significantly higher than the WHO limits. The EDI was significantly higher in children than in adults, demonstrating an increased risk of toxicity in children. The THQ and ILCR were over 1000 times higher in all Ugandans, demonstrating the undesirable health risks following oral consumption of Vernonia amygdalina due to very high Cr and Ni toxicities, respectively. Conclusion. Consumption of raw Vernonia amygdalina was associated with a high carcinogenic risk, demonstrating a need to enact policies to promote physiochemical screening of herbal medicines used in developing countries against toxic compounds.","container-title":"Journal of Environmental and Public Health","DOI":"https://doi.org/10.1155/2020/8516105","issue":"1","note":"_eprint: https://onlinelibrary.wiley.com/doi/pdf/10.1155/2020/8516105","page":"8516105","title":"Consumption of Raw Herbal Medicines Is Associated with Major Public Health Risks amongst Ugandans","volume":"2020","author":[{"family":"Ssempijja","given":"Fred"},{"family":"Iceland Kasozi","given":"Keneth"},{"family":"Daniel Eze","given":"Ejike"},{"family":"Tamale","given":"Andrew"},{"family":"Ewuzie","given":"Sylvia Anurika"},{"family":"Matama","given":"Kevin"},{"family":"Ekou","given":"Justine"},{"family":"Bogere","given":"Paul"},{"family":"Mujinya","given":"Regan"},{"family":"Musoke","given":"Grace Henry"},{"family":"Atusiimirwe","given":"Jovile Kasande"},{"family":"Zirintunda","given":"Gerald"},{"family":"Kalange","given":"Muhamudu"},{"family":"Lyada","given":"Joel"},{"family":"Kiconco","given":"Ritah"},{"family":"Pius","given":"Theophilus"},{"family":"Nandala","given":"Christopher"},{"family":"Kamugisha","given":"Roland Mugisha"},{"family":"Hamira","given":"Yunusu"},{"family":"Fernandez","given":"Edgar Mario"},{"family":"Musinguzi","given":"Simon Peter"}],"issued":{"date-parts":[["2020"]]}},"label":"page"}],"schema":"https://github.com/citation-style-language/schema/raw/master/csl-citation.json"} </w:instrText>
      </w:r>
      <w:r w:rsidR="00EC646C" w:rsidRPr="000620C4">
        <w:rPr>
          <w:rFonts w:ascii="Arial" w:eastAsia="Times New Roman" w:hAnsi="Arial" w:cs="Arial"/>
          <w:color w:val="000000" w:themeColor="text1"/>
          <w:kern w:val="0"/>
          <w:sz w:val="20"/>
          <w:szCs w:val="20"/>
          <w:lang w:val="en-US"/>
          <w14:ligatures w14:val="none"/>
        </w:rPr>
        <w:fldChar w:fldCharType="separate"/>
      </w:r>
      <w:r w:rsidR="00EC646C" w:rsidRPr="000620C4">
        <w:rPr>
          <w:rFonts w:ascii="Arial" w:hAnsi="Arial" w:cs="Arial"/>
          <w:sz w:val="20"/>
          <w:szCs w:val="20"/>
          <w:lang w:val="en-US"/>
        </w:rPr>
        <w:t>(Coogan et al., 1989; Ssempijja et al., 2020)</w:t>
      </w:r>
      <w:r w:rsidR="00EC646C" w:rsidRPr="000620C4">
        <w:rPr>
          <w:rFonts w:ascii="Arial" w:eastAsia="Times New Roman" w:hAnsi="Arial" w:cs="Arial"/>
          <w:color w:val="000000" w:themeColor="text1"/>
          <w:kern w:val="0"/>
          <w:sz w:val="20"/>
          <w:szCs w:val="20"/>
          <w:lang w:val="en-US"/>
          <w14:ligatures w14:val="none"/>
        </w:rPr>
        <w:fldChar w:fldCharType="end"/>
      </w:r>
      <w:r w:rsidRPr="000620C4">
        <w:rPr>
          <w:rFonts w:ascii="Arial" w:eastAsia="Times New Roman" w:hAnsi="Arial" w:cs="Arial"/>
          <w:color w:val="000000" w:themeColor="text1"/>
          <w:kern w:val="0"/>
          <w:sz w:val="20"/>
          <w:szCs w:val="20"/>
          <w:lang w:val="en-US"/>
          <w14:ligatures w14:val="none"/>
        </w:rPr>
        <w:t>.</w:t>
      </w:r>
      <w:r w:rsidR="00973D57" w:rsidRPr="000620C4">
        <w:rPr>
          <w:rFonts w:ascii="Arial" w:eastAsia="Times New Roman" w:hAnsi="Arial" w:cs="Arial"/>
          <w:color w:val="000000" w:themeColor="text1"/>
          <w:kern w:val="0"/>
          <w:sz w:val="20"/>
          <w:szCs w:val="20"/>
          <w:lang w:val="en-US"/>
          <w14:ligatures w14:val="none"/>
        </w:rPr>
        <w:t xml:space="preserve"> </w:t>
      </w:r>
      <w:r w:rsidR="001D7E4F" w:rsidRPr="000620C4">
        <w:rPr>
          <w:rFonts w:ascii="Arial" w:hAnsi="Arial" w:cs="Arial"/>
          <w:sz w:val="20"/>
          <w:szCs w:val="20"/>
          <w:lang w:val="en-US"/>
        </w:rPr>
        <w:t>The WHO has not established any standards for nickel. However, some authors have estimated the daily dietary intake of nickel to be between 70 μg and 400 μg</w:t>
      </w:r>
      <w:r w:rsidR="0077230A" w:rsidRPr="000620C4">
        <w:rPr>
          <w:rFonts w:ascii="Arial" w:hAnsi="Arial" w:cs="Arial"/>
          <w:sz w:val="20"/>
          <w:szCs w:val="20"/>
          <w:lang w:val="en-US"/>
        </w:rPr>
        <w:t xml:space="preserve"> </w:t>
      </w:r>
      <w:r w:rsidR="0077230A" w:rsidRPr="000620C4">
        <w:rPr>
          <w:rFonts w:ascii="Arial" w:hAnsi="Arial" w:cs="Arial"/>
          <w:sz w:val="20"/>
          <w:szCs w:val="20"/>
          <w:lang w:val="en-US"/>
        </w:rPr>
        <w:fldChar w:fldCharType="begin"/>
      </w:r>
      <w:r w:rsidR="0077230A" w:rsidRPr="000620C4">
        <w:rPr>
          <w:rFonts w:ascii="Arial" w:hAnsi="Arial" w:cs="Arial"/>
          <w:sz w:val="20"/>
          <w:szCs w:val="20"/>
          <w:lang w:val="en-US"/>
        </w:rPr>
        <w:instrText xml:space="preserve"> ADDIN ZOTERO_ITEM CSL_CITATION {"citationID":"3HUwTGDg","properties":{"formattedCitation":"(Nielsen, 2021)","plainCitation":"(Nielsen, 2021)","noteIndex":0},"citationItems":[{"id":3247,"uris":["http://zotero.org/users/local/JzcqJHT8/items/U5D7MK7M"],"itemData":{"id":3247,"type":"article-journal","container-title":"Advances in Nutrition","DOI":"https://doi.org/10.1093/advances/nmaa154","ISSN":"2161-8313","issue":"1","page":"281-282","title":"Nickel","volume":"12","author":[{"family":"Nielsen","given":"Forrest"}],"issued":{"date-parts":[["2021"]]}}}],"schema":"https://github.com/citation-style-language/schema/raw/master/csl-citation.json"} </w:instrText>
      </w:r>
      <w:r w:rsidR="0077230A" w:rsidRPr="000620C4">
        <w:rPr>
          <w:rFonts w:ascii="Arial" w:hAnsi="Arial" w:cs="Arial"/>
          <w:sz w:val="20"/>
          <w:szCs w:val="20"/>
          <w:lang w:val="en-US"/>
        </w:rPr>
        <w:fldChar w:fldCharType="separate"/>
      </w:r>
      <w:r w:rsidR="0077230A" w:rsidRPr="000620C4">
        <w:rPr>
          <w:rFonts w:ascii="Arial" w:hAnsi="Arial" w:cs="Arial"/>
          <w:sz w:val="20"/>
          <w:szCs w:val="20"/>
          <w:lang w:val="en-US"/>
        </w:rPr>
        <w:t>(Nielsen, 2021)</w:t>
      </w:r>
      <w:r w:rsidR="0077230A" w:rsidRPr="000620C4">
        <w:rPr>
          <w:rFonts w:ascii="Arial" w:hAnsi="Arial" w:cs="Arial"/>
          <w:sz w:val="20"/>
          <w:szCs w:val="20"/>
          <w:lang w:val="en-US"/>
        </w:rPr>
        <w:fldChar w:fldCharType="end"/>
      </w:r>
      <w:r w:rsidR="001D7E4F" w:rsidRPr="000620C4">
        <w:rPr>
          <w:rFonts w:ascii="Arial" w:hAnsi="Arial" w:cs="Arial"/>
          <w:sz w:val="20"/>
          <w:szCs w:val="20"/>
          <w:lang w:val="en-US"/>
        </w:rPr>
        <w:t>.</w:t>
      </w:r>
      <w:r w:rsidR="0077230A" w:rsidRPr="000620C4">
        <w:rPr>
          <w:rFonts w:ascii="Arial" w:hAnsi="Arial" w:cs="Arial"/>
          <w:sz w:val="20"/>
          <w:szCs w:val="20"/>
          <w:lang w:val="en-US"/>
        </w:rPr>
        <w:t xml:space="preserve"> </w:t>
      </w:r>
      <w:r w:rsidR="006F2744" w:rsidRPr="000620C4">
        <w:rPr>
          <w:rFonts w:ascii="Arial" w:hAnsi="Arial" w:cs="Arial"/>
          <w:sz w:val="20"/>
          <w:szCs w:val="20"/>
          <w:lang w:val="en-US"/>
        </w:rPr>
        <w:t xml:space="preserve">Ni content is higher in sweet potato flesh (9.09 </w:t>
      </w:r>
      <w:r w:rsidR="007631AB" w:rsidRPr="000620C4">
        <w:rPr>
          <w:rFonts w:ascii="Arial" w:hAnsi="Arial" w:cs="Arial"/>
          <w:color w:val="000000"/>
          <w:sz w:val="20"/>
          <w:szCs w:val="20"/>
          <w:lang w:val="en-US"/>
        </w:rPr>
        <w:t>±</w:t>
      </w:r>
      <w:r w:rsidR="007631AB">
        <w:rPr>
          <w:rFonts w:ascii="Arial" w:hAnsi="Arial" w:cs="Arial"/>
          <w:color w:val="000000"/>
          <w:sz w:val="20"/>
          <w:szCs w:val="20"/>
          <w:lang w:val="en-US"/>
        </w:rPr>
        <w:t xml:space="preserve"> 0.08 </w:t>
      </w:r>
      <w:r w:rsidR="006F2744" w:rsidRPr="000620C4">
        <w:rPr>
          <w:rFonts w:ascii="Arial" w:hAnsi="Arial" w:cs="Arial"/>
          <w:sz w:val="20"/>
          <w:szCs w:val="20"/>
          <w:lang w:val="en-US"/>
        </w:rPr>
        <w:t xml:space="preserve">mg/kg) than in leaves (6.13 </w:t>
      </w:r>
      <w:r w:rsidR="002313BB" w:rsidRPr="000620C4">
        <w:rPr>
          <w:rFonts w:ascii="Arial" w:hAnsi="Arial" w:cs="Arial"/>
          <w:color w:val="000000"/>
          <w:sz w:val="20"/>
          <w:szCs w:val="20"/>
          <w:lang w:val="en-US"/>
        </w:rPr>
        <w:t>±</w:t>
      </w:r>
      <w:r w:rsidR="002313BB">
        <w:rPr>
          <w:rFonts w:ascii="Arial" w:hAnsi="Arial" w:cs="Arial"/>
          <w:color w:val="000000"/>
          <w:sz w:val="20"/>
          <w:szCs w:val="20"/>
          <w:lang w:val="en-US"/>
        </w:rPr>
        <w:t xml:space="preserve"> </w:t>
      </w:r>
      <w:r w:rsidR="00E043C9">
        <w:rPr>
          <w:rFonts w:ascii="Arial" w:hAnsi="Arial" w:cs="Arial"/>
          <w:sz w:val="20"/>
          <w:szCs w:val="20"/>
          <w:lang w:val="en-US"/>
        </w:rPr>
        <w:t xml:space="preserve">0.08 </w:t>
      </w:r>
      <w:r w:rsidR="006F2744" w:rsidRPr="000620C4">
        <w:rPr>
          <w:rFonts w:ascii="Arial" w:hAnsi="Arial" w:cs="Arial"/>
          <w:sz w:val="20"/>
          <w:szCs w:val="20"/>
          <w:lang w:val="en-US"/>
        </w:rPr>
        <w:t>mg/kg) and peels (3.74</w:t>
      </w:r>
      <w:r w:rsidR="00E043C9">
        <w:rPr>
          <w:rFonts w:ascii="Arial" w:hAnsi="Arial" w:cs="Arial"/>
          <w:sz w:val="20"/>
          <w:szCs w:val="20"/>
          <w:lang w:val="en-US"/>
        </w:rPr>
        <w:t xml:space="preserve"> </w:t>
      </w:r>
      <w:r w:rsidR="00E043C9" w:rsidRPr="000620C4">
        <w:rPr>
          <w:rFonts w:ascii="Arial" w:hAnsi="Arial" w:cs="Arial"/>
          <w:color w:val="000000"/>
          <w:sz w:val="20"/>
          <w:szCs w:val="20"/>
          <w:lang w:val="en-US"/>
        </w:rPr>
        <w:t>±</w:t>
      </w:r>
      <w:r w:rsidR="00E043C9">
        <w:rPr>
          <w:rFonts w:ascii="Arial" w:hAnsi="Arial" w:cs="Arial"/>
          <w:color w:val="000000"/>
          <w:sz w:val="20"/>
          <w:szCs w:val="20"/>
          <w:lang w:val="en-US"/>
        </w:rPr>
        <w:t xml:space="preserve"> 0.07</w:t>
      </w:r>
      <w:r w:rsidR="006F2744" w:rsidRPr="000620C4">
        <w:rPr>
          <w:rFonts w:ascii="Arial" w:hAnsi="Arial" w:cs="Arial"/>
          <w:sz w:val="20"/>
          <w:szCs w:val="20"/>
          <w:lang w:val="en-US"/>
        </w:rPr>
        <w:t xml:space="preserve"> mg/kg). These values ​​are higher than those reported for several sweet potato varieties grown in Asia </w:t>
      </w:r>
      <w:r w:rsidR="00E17083" w:rsidRPr="000620C4">
        <w:rPr>
          <w:rFonts w:ascii="Arial" w:hAnsi="Arial" w:cs="Arial"/>
          <w:sz w:val="20"/>
          <w:szCs w:val="20"/>
          <w:lang w:val="en-US"/>
        </w:rPr>
        <w:fldChar w:fldCharType="begin"/>
      </w:r>
      <w:r w:rsidR="0092587D" w:rsidRPr="000620C4">
        <w:rPr>
          <w:rFonts w:ascii="Arial" w:hAnsi="Arial" w:cs="Arial"/>
          <w:sz w:val="20"/>
          <w:szCs w:val="20"/>
          <w:lang w:val="en-US"/>
        </w:rPr>
        <w:instrText xml:space="preserve"> ADDIN ZOTERO_ITEM CSL_CITATION {"citationID":"wq1MzOvP","properties":{"formattedCitation":"(Moura et al., 2021)","plainCitation":"(Moura et al., 2021)","noteIndex":0},"citationItems":[{"id":3449,"uris":["http://zotero.org/users/local/JzcqJHT8/items/5U7CHX8Y","http://zotero.org/users/local/JzcqJHT8/items/JK28IFFS"],"itemData":{"id":3449,"type":"article-journal","abstract":"Unconventional food plants (UFPs), many of them popularly known as \"weeds\", are edible species with nutritional and socioeconomic potential that need to be rescued from intensive farming. The aims of this study were: to accomplish an ethnobotanical survey of UFPs consumed on Mem de Sá Island, Sergipe, Brazil and then to characterize the three most commonly used UFPs. The physicochemical parameters and bioactive compounds were assessed, and the in vitro antioxidant activity of the aqueous extracts of the plants was evaluated using DPPH radical assay, ABTS radical cation, and the β-carotene/linoleic acid cooxidation method. The cytotoxicity of the compounds was also analyzed using MTT assay in L929 fibroblasts. The survey identified 31 species of UFPs distributed in 22 families, and revealed that knowledge about the plants was concentrated in older individuals. The three most commonly used were Talinum paniculatum (Jacq.) Gaertn. (29.03%), Ipomoea batatas (L.) Lam. (purple and white) leaf (25.81%) and Amaranthus deflexus L. (16.13%). Ipomoea batatas (L.) Lam. had the highest total carbohydrate content, the purple variety the highest protein and total carotenoids content, and the white variety the highest copper (Cu), while its aqueous extract had the highest phenolic compounds and total flavonoids; Talinum paniculatum (Jacq.) Gaertn. had the highest iron (Fe) content, and, with Amaranthus deflexus L., the highest calcium (Ca); and Amaranthus deflexus L. had the highest vitamin C. The extracts of the analyzed plants showed antioxidant potential. Therefore, these UFPs are alternative nutritional sources for food diversification in modern society.","container-title":"Waste and Biomass Valorization","DOI":"10.1007/s12649-020-01186-z","ISSN":"1877-265X","issue":"5","journalAbbreviation":"Waste and Biomass Valorization","page":"2407-2431","title":"Chemical Characterization, Antioxidant Activity and Cytotoxicity of the Unconventional Food Plants: Sweet Potato (Ipomoea batatas (L.) Lam.) Leaf, Major Gomes (Talinum paniculatum (Jacq.) Gaertn.) and Caruru (Amaranthus deflexus L.)","volume":"12","author":[{"family":"Moura","given":"Iraê Oliveira"},{"family":"Santana","given":"Cláudio Carvalho"},{"family":"Lourenço","given":"Yeseong Robert Familia"},{"family":"Souza","given":"Mariana Freitas"},{"family":"Silva","given":"Audrey Rouse Soares Tavares"},{"family":"Dolabella","given":"Silvio Santana"},{"family":"Oliveira e Silva","given":"Ana Mara","non-dropping-particle":"de"},{"family":"Oliveira","given":"Tiago Branquinho"},{"family":"Duarte","given":"Marcelo Cavalcante"},{"family":"Faraoni","given":"Aurélia Santos"}],"issued":{"date-parts":[["2021",5,1]]}}}],"schema":"https://github.com/citation-style-language/schema/raw/master/csl-citation.json"} </w:instrText>
      </w:r>
      <w:r w:rsidR="00E17083" w:rsidRPr="000620C4">
        <w:rPr>
          <w:rFonts w:ascii="Arial" w:hAnsi="Arial" w:cs="Arial"/>
          <w:sz w:val="20"/>
          <w:szCs w:val="20"/>
          <w:lang w:val="en-US"/>
        </w:rPr>
        <w:fldChar w:fldCharType="separate"/>
      </w:r>
      <w:r w:rsidR="00E17083" w:rsidRPr="000620C4">
        <w:rPr>
          <w:rFonts w:ascii="Arial" w:hAnsi="Arial" w:cs="Arial"/>
          <w:sz w:val="20"/>
          <w:szCs w:val="20"/>
          <w:lang w:val="en-US"/>
        </w:rPr>
        <w:t>(Moura et al., 2021)</w:t>
      </w:r>
      <w:r w:rsidR="00E17083" w:rsidRPr="000620C4">
        <w:rPr>
          <w:rFonts w:ascii="Arial" w:hAnsi="Arial" w:cs="Arial"/>
          <w:sz w:val="20"/>
          <w:szCs w:val="20"/>
          <w:lang w:val="en-US"/>
        </w:rPr>
        <w:fldChar w:fldCharType="end"/>
      </w:r>
      <w:r w:rsidR="006F2744" w:rsidRPr="000620C4">
        <w:rPr>
          <w:rFonts w:ascii="Arial" w:hAnsi="Arial" w:cs="Arial"/>
          <w:sz w:val="20"/>
          <w:szCs w:val="20"/>
          <w:lang w:val="en-US"/>
        </w:rPr>
        <w:t>.</w:t>
      </w:r>
      <w:r w:rsidR="00267E11">
        <w:rPr>
          <w:rFonts w:ascii="Arial" w:hAnsi="Arial" w:cs="Arial"/>
          <w:sz w:val="20"/>
          <w:szCs w:val="20"/>
          <w:lang w:val="en-US"/>
        </w:rPr>
        <w:t xml:space="preserve"> </w:t>
      </w:r>
      <w:r w:rsidR="00267E11" w:rsidRPr="00C621E9">
        <w:rPr>
          <w:rFonts w:ascii="Arial" w:hAnsi="Arial" w:cs="Arial"/>
          <w:sz w:val="20"/>
          <w:szCs w:val="20"/>
          <w:highlight w:val="green"/>
          <w:lang w:val="en-US"/>
        </w:rPr>
        <w:t>In fact, the high concentration of heavy metals can be attributed to the deposition of dust containing heavy metals from air pollution near industrial areas or traffic routes, as reported by some authors</w:t>
      </w:r>
      <w:r w:rsidR="00267E11">
        <w:rPr>
          <w:rFonts w:ascii="Arial" w:hAnsi="Arial" w:cs="Arial"/>
          <w:sz w:val="20"/>
          <w:szCs w:val="20"/>
          <w:highlight w:val="green"/>
          <w:lang w:val="en-US"/>
        </w:rPr>
        <w:t xml:space="preserve"> </w:t>
      </w:r>
      <w:r w:rsidR="00267E11">
        <w:rPr>
          <w:rFonts w:ascii="Arial" w:hAnsi="Arial" w:cs="Arial"/>
          <w:sz w:val="20"/>
          <w:szCs w:val="20"/>
          <w:highlight w:val="green"/>
          <w:lang w:val="en-US"/>
        </w:rPr>
        <w:fldChar w:fldCharType="begin"/>
      </w:r>
      <w:r w:rsidR="00267E11">
        <w:rPr>
          <w:rFonts w:ascii="Arial" w:hAnsi="Arial" w:cs="Arial"/>
          <w:sz w:val="20"/>
          <w:szCs w:val="20"/>
          <w:highlight w:val="green"/>
          <w:lang w:val="en-US"/>
        </w:rPr>
        <w:instrText xml:space="preserve"> ADDIN ZOTERO_ITEM CSL_CITATION {"citationID":"3Vqoxyyo","properties":{"formattedCitation":"(Fischer et al., 2023; Mandal &amp; Kaur, 2019)","plainCitation":"(Fischer et al., 2023; Mandal &amp; Kaur, 2019)","noteIndex":0},"citationItems":[{"id":3534,"uris":["http://zotero.org/users/local/JzcqJHT8/items/IPSC823D"],"itemData":{"id":3534,"type":"article-journal","container-title":"Revista Colombiana de Ciencias Hortícolas","DOI":"10.17584/rcch.2023v17i2.16099","ISSN":"2011-2173","issue":"2","language":"en","note":"publisher: Sociedad Colombiana de Ciencias Hotícolas, Universidad Pedagógica y Tecnológica de Colombia","source":"www.scielo.org.co","title":"Heavy metal contamination of vegetables in urban and peri-urban areas. An overview","URL":"http://www.scielo.org.co/scielo.php?script=sci_abstract&amp;pid=S2011-21732023000200008&amp;lng=en&amp;nrm=iso&amp;tlng=en","volume":"17","author":[{"family":"Fischer","given":"Gerhard"},{"family":"Fischer-García","given":"Franz Leonard"},{"family":"Fischer","given":"Gerhard"},{"family":"Fischer-García","given":"Franz Leonard"}],"accessed":{"date-parts":[["2025",6,28]]},"issued":{"date-parts":[["2023",8]]}},"label":"page"},{"id":3536,"uris":["http://zotero.org/users/local/JzcqJHT8/items/GGUKR3BQ"],"itemData":{"id":3536,"type":"article-journal","abstract":"Present study was chosen to elucidate the role of Environmental Pollution in the contamination of vegetables with trace elements in Mandi-gobindgarh (India) and associated potential risk to human health. Total 14 vegetable types including leafy vegetables (Brassica, Metha, Coriander, Spinach, Cabbage), fruit vegetables (Brinjal, Cauliflower, Bottle-gourd, Tomato, Green chilli) and root vegetables (Radish, Carrot, Turnip, Potato) were collected from Mandi-gobindgarh and analyzed for Zn, Cu, Mn, Mo, Ni, Se and Fe on WD-XRF. Results showed more than permissible limits of Zn (23.60–137.60 mg/kg), Cu (20.30–251.60 mg/kg), Mo (5.50–213.60 mg/kg), Se (8.33–11.20 mg/kg) and Fe (21.60–452.70 mg/kg) whereas lower contents of Mn (10.70–112.30 mg/kg) and Ni (6.50–12.00 mg/kg) in the vegetables. Daily intakes calculated for Zn, Mn, Ni and Fe in children and adults were less than their RDA/AI/UL (except Mn and Fe in leafy vegetables). However, daily intakes of Cu, Mo and Se were found higher than their RDA except Cu in few vegetables. Hazard quotients (HQs) calculated in children and adults were more than 1 (HQ &gt; 1) for Cu, Mo and Se whereas less than 1 (HQ &lt; 1) for Zn, Mn, Ni and Fe. Hazard Index (HI) in children and adults was observed more than one in 11 vegetable types with maximum contamination in Tomato and minimum in Coriander except Radish and Carrot (uncontaminated vegetables). It was concluded that Environmental Pollution in Mandi-gobindgarh has increased the metal contents of Zn, Cu, Mo, Se and Fe in the vegetables but health risks in children and adults were evaluated due to higher Cu, Mo and Se contents in the vegetables.","container-title":"Chemosphere","DOI":"https://doi.org/10.1016/j.chemosphere.2018.12.034","ISSN":"0045-6535","page":"574-587","title":"Impact of environmental pollution on trace elements in vegetables and associated potential risk to human health in industrial town Mandi-gobindgarh (India)","volume":"219","author":[{"family":"Mandal","given":"Reshu"},{"family":"Kaur","given":"Sukhbir"}],"issued":{"date-parts":[["2019"]]}},"label":"page"}],"schema":"https://github.com/citation-style-language/schema/raw/master/csl-citation.json"} </w:instrText>
      </w:r>
      <w:r w:rsidR="00267E11">
        <w:rPr>
          <w:rFonts w:ascii="Arial" w:hAnsi="Arial" w:cs="Arial"/>
          <w:sz w:val="20"/>
          <w:szCs w:val="20"/>
          <w:highlight w:val="green"/>
          <w:lang w:val="en-US"/>
        </w:rPr>
        <w:fldChar w:fldCharType="separate"/>
      </w:r>
      <w:r w:rsidR="00267E11" w:rsidRPr="001905A8">
        <w:rPr>
          <w:rFonts w:ascii="Arial" w:hAnsi="Arial" w:cs="Arial"/>
          <w:sz w:val="20"/>
          <w:highlight w:val="green"/>
          <w:lang w:val="en-US"/>
        </w:rPr>
        <w:t>(Fischer et al., 2023; Mandal &amp; Kaur, 2019)</w:t>
      </w:r>
      <w:r w:rsidR="00267E11">
        <w:rPr>
          <w:rFonts w:ascii="Arial" w:hAnsi="Arial" w:cs="Arial"/>
          <w:sz w:val="20"/>
          <w:szCs w:val="20"/>
          <w:highlight w:val="green"/>
          <w:lang w:val="en-US"/>
        </w:rPr>
        <w:fldChar w:fldCharType="end"/>
      </w:r>
      <w:r w:rsidR="00267E11" w:rsidRPr="0030549F">
        <w:rPr>
          <w:rFonts w:ascii="Arial" w:hAnsi="Arial" w:cs="Arial"/>
          <w:sz w:val="20"/>
          <w:szCs w:val="20"/>
          <w:highlight w:val="green"/>
          <w:lang w:val="en-US"/>
        </w:rPr>
        <w:t>. It can also be attributed to soil</w:t>
      </w:r>
      <w:r w:rsidR="0035676C">
        <w:rPr>
          <w:rFonts w:ascii="Arial" w:hAnsi="Arial" w:cs="Arial"/>
          <w:sz w:val="20"/>
          <w:szCs w:val="20"/>
          <w:highlight w:val="green"/>
          <w:lang w:val="en-US"/>
        </w:rPr>
        <w:t xml:space="preserve"> and </w:t>
      </w:r>
      <w:r w:rsidR="00203DA3">
        <w:rPr>
          <w:rFonts w:ascii="Arial" w:hAnsi="Arial" w:cs="Arial"/>
          <w:sz w:val="20"/>
          <w:szCs w:val="20"/>
          <w:highlight w:val="green"/>
          <w:lang w:val="en-US"/>
        </w:rPr>
        <w:t xml:space="preserve">irrigation </w:t>
      </w:r>
      <w:r w:rsidR="0035676C">
        <w:rPr>
          <w:rFonts w:ascii="Arial" w:hAnsi="Arial" w:cs="Arial"/>
          <w:sz w:val="20"/>
          <w:szCs w:val="20"/>
          <w:highlight w:val="green"/>
          <w:lang w:val="en-US"/>
        </w:rPr>
        <w:t>water</w:t>
      </w:r>
      <w:r w:rsidR="00267E11" w:rsidRPr="0030549F">
        <w:rPr>
          <w:rFonts w:ascii="Arial" w:hAnsi="Arial" w:cs="Arial"/>
          <w:sz w:val="20"/>
          <w:szCs w:val="20"/>
          <w:highlight w:val="green"/>
          <w:lang w:val="en-US"/>
        </w:rPr>
        <w:t xml:space="preserve"> pollution from which heavy metals can be absorbed by the roots</w:t>
      </w:r>
      <w:r w:rsidR="00267E11">
        <w:rPr>
          <w:rFonts w:ascii="Arial" w:hAnsi="Arial" w:cs="Arial"/>
          <w:sz w:val="20"/>
          <w:szCs w:val="20"/>
          <w:highlight w:val="green"/>
          <w:lang w:val="en-US"/>
        </w:rPr>
        <w:t xml:space="preserve"> </w:t>
      </w:r>
      <w:r w:rsidR="00267E11">
        <w:rPr>
          <w:rFonts w:ascii="Arial" w:hAnsi="Arial" w:cs="Arial"/>
          <w:sz w:val="20"/>
          <w:szCs w:val="20"/>
          <w:highlight w:val="green"/>
          <w:lang w:val="en-US"/>
        </w:rPr>
        <w:fldChar w:fldCharType="begin"/>
      </w:r>
      <w:r w:rsidR="00267E11">
        <w:rPr>
          <w:rFonts w:ascii="Arial" w:hAnsi="Arial" w:cs="Arial"/>
          <w:sz w:val="20"/>
          <w:szCs w:val="20"/>
          <w:highlight w:val="green"/>
          <w:lang w:val="en-US"/>
        </w:rPr>
        <w:instrText xml:space="preserve"> ADDIN ZOTERO_ITEM CSL_CITATION {"citationID":"9NbTJQOu","properties":{"formattedCitation":"(C. Liu et al., 2023; Zhang et al., 2023)","plainCitation":"(C. Liu et al., 2023; Zhang et al., 2023)","noteIndex":0},"citationItems":[{"id":3533,"uris":["http://zotero.org/users/local/JzcqJHT8/items/I4I3ANKV"],"itemData":{"id":3533,"type":"article-journal","abstract":"This paper studies the effect of heavy metal-contaminated soil on the breeding of new potato varieties in view of the problems of low yield and high content of heavy metals in potatoes cultivated by traditional analysis methods. The growth indexes of new potato varieties were measured by various techniques, and the influencing factors of heavy metal-polluted soil were detected by the geographical detector. The soil index of heavy metal pollution was determined by Nemero comprehensive pollution index method. The index parameters and pollution index were taken as the parameters of the neural network, and the effect of heavy metal pollution on potato breeding was analyzed by the neural network. Compared with the traditional analysis methods, the results showed that the new potato variety cultivated by the applied analysis method has a higher yield (60–130%) and lower heavy metal content, which can better cultivate the offspring. Therefore, the analysis method of the effect of heavy metal-polluted soil on the new potato breeding has superiority.","container-title":"Iranian Journal of Science and Technology, Transactions of Civil Engineering","DOI":"10.1007/s40996-022-01024-3","ISSN":"2364-1843","issue":"3","journalAbbreviation":"Iranian Journal of Science and Technology, Transactions of Civil Engineering","page":"1861-1870","title":"Analysis on the Effect of Heavy Metal-Polluted Soil on Potato Breeding","volume":"47","author":[{"family":"Liu","given":"Chang"},{"family":"Wang","given":"Lei"},{"family":"Qi","given":"Lipan"},{"family":"Luo","given":"Yating"},{"family":"Wang","given":"Kuan"},{"family":"Ji","given":"Yihong"},{"family":"Feng","given":"Yan"},{"family":"Yin","given":"Jiang"}],"issued":{"date-parts":[["2023",6,1]]}},"label":"page"},{"id":3531,"uris":["http://zotero.org/users/local/JzcqJHT8/items/FDGLSSGK"],"itemData":{"id":3531,"type":"article-journal","abstract":"A total of 89 soil samples were collected from four potato-producing areas (Libo, Chishui, Panxian and Weining) in Guizhou Province, China, the concentrations of Cr, Mn, Ni, Cu, Zn, As, Cd, Sb and Pb were analyzed and determined to study the risk of heavy metals in the soil. The evaluation of heavy metal pollution in the soil was based on the geo-accumulation index, pollution load index, and health risk evaluation methods. Libo and Chishui were generally non-pollution, and some elements in Panxian and Weining were polluted. In terms of carcinogenesis, the risk of human carcinogenesis in each study area under the hand mouth pathway was Cr &gt; As &gt; Cd; Under the skin route, Cr and As would be produced certain carcinogenic risk to human; Under the respiratory route, Cr had a strong carcinogenic risk to adults; In terms of non-carcinogenesis, children in each study area had a strong non-carcinogenic risk under the three pathways; The risk of adults under the respiratory route of carcinogenic evaluation was greater than that of children, and the risk of children under the hand, mouth, skin route and non carcinogenic evaluation was greater than that of adults. Panxian and Weining were heavily polluted by heavy metals, while Libo and Chishui were less polluted. Heavy metals in the soil of the four study areas would be posed health risks to human beings. Attention should be paid to the remediation and treatment of heavy metals in the soil of polluted areas to ensure human health.","container-title":"Frontiers in Environmental Science","DOI":"10.3389/fenvs.2023.1071353","ISSN":"2296-665X","journalAbbreviation":"Front. Environ. Sci.","language":"English","note":"publisher: Frontiers","page":"1071353","source":"www.frontiersin.org","title":"Evaluation of heavy metal contamination of soil and the health risks in four potato-producing areas","volume":"11","author":[{"family":"Zhang","given":"Jie"},{"family":"Liu","given":"Ke"},{"family":"He","given":"Xue"},{"family":"Li","given":"Wei"},{"family":"Zhang","given":"Meng"},{"family":"Cai","given":"Quan"}],"issued":{"date-parts":[["2023",2,9]]}},"label":"page"}],"schema":"https://github.com/citation-style-language/schema/raw/master/csl-citation.json"} </w:instrText>
      </w:r>
      <w:r w:rsidR="00267E11">
        <w:rPr>
          <w:rFonts w:ascii="Arial" w:hAnsi="Arial" w:cs="Arial"/>
          <w:sz w:val="20"/>
          <w:szCs w:val="20"/>
          <w:highlight w:val="green"/>
          <w:lang w:val="en-US"/>
        </w:rPr>
        <w:fldChar w:fldCharType="separate"/>
      </w:r>
      <w:r w:rsidR="00267E11" w:rsidRPr="009C4F2C">
        <w:rPr>
          <w:rFonts w:ascii="Arial" w:hAnsi="Arial" w:cs="Arial"/>
          <w:sz w:val="20"/>
          <w:highlight w:val="green"/>
          <w:lang w:val="en-US"/>
        </w:rPr>
        <w:t>(C. Liu et al., 2023; Zhang et al., 2023)</w:t>
      </w:r>
      <w:r w:rsidR="00267E11">
        <w:rPr>
          <w:rFonts w:ascii="Arial" w:hAnsi="Arial" w:cs="Arial"/>
          <w:sz w:val="20"/>
          <w:szCs w:val="20"/>
          <w:highlight w:val="green"/>
          <w:lang w:val="en-US"/>
        </w:rPr>
        <w:fldChar w:fldCharType="end"/>
      </w:r>
      <w:r w:rsidR="00267E11" w:rsidRPr="0030549F">
        <w:rPr>
          <w:rFonts w:ascii="Arial" w:hAnsi="Arial" w:cs="Arial"/>
          <w:sz w:val="20"/>
          <w:szCs w:val="20"/>
          <w:highlight w:val="green"/>
          <w:lang w:val="en-US"/>
        </w:rPr>
        <w:t>.</w:t>
      </w:r>
    </w:p>
    <w:p w14:paraId="5905DB76" w14:textId="1CD6A718" w:rsidR="00E17083" w:rsidRPr="000620C4" w:rsidRDefault="00F43CDF" w:rsidP="009C38C8">
      <w:pPr>
        <w:spacing w:line="240" w:lineRule="auto"/>
        <w:rPr>
          <w:rFonts w:ascii="Arial" w:eastAsia="Times New Roman" w:hAnsi="Arial" w:cs="Arial"/>
          <w:color w:val="000000" w:themeColor="text1"/>
          <w:kern w:val="0"/>
          <w:sz w:val="20"/>
          <w:szCs w:val="20"/>
          <w:lang w:val="en-US"/>
          <w14:ligatures w14:val="none"/>
        </w:rPr>
      </w:pPr>
      <w:r w:rsidRPr="000620C4">
        <w:rPr>
          <w:rFonts w:ascii="Arial" w:eastAsia="Times New Roman" w:hAnsi="Arial" w:cs="Arial"/>
          <w:color w:val="000000" w:themeColor="text1"/>
          <w:kern w:val="0"/>
          <w:sz w:val="20"/>
          <w:szCs w:val="20"/>
          <w:lang w:val="en-US"/>
          <w14:ligatures w14:val="none"/>
        </w:rPr>
        <w:t>The concentration of copper i</w:t>
      </w:r>
      <w:r w:rsidR="00AB3770">
        <w:rPr>
          <w:rFonts w:ascii="Arial" w:eastAsia="Times New Roman" w:hAnsi="Arial" w:cs="Arial"/>
          <w:color w:val="000000" w:themeColor="text1"/>
          <w:kern w:val="0"/>
          <w:sz w:val="20"/>
          <w:szCs w:val="20"/>
          <w:lang w:val="en-US"/>
          <w14:ligatures w14:val="none"/>
        </w:rPr>
        <w:t>s</w:t>
      </w:r>
      <w:r w:rsidRPr="000620C4">
        <w:rPr>
          <w:rFonts w:ascii="Arial" w:eastAsia="Times New Roman" w:hAnsi="Arial" w:cs="Arial"/>
          <w:color w:val="000000" w:themeColor="text1"/>
          <w:kern w:val="0"/>
          <w:sz w:val="20"/>
          <w:szCs w:val="20"/>
          <w:lang w:val="en-US"/>
          <w14:ligatures w14:val="none"/>
        </w:rPr>
        <w:t xml:space="preserve"> higher in leaves </w:t>
      </w:r>
      <w:r w:rsidR="004850A3" w:rsidRPr="000620C4">
        <w:rPr>
          <w:rFonts w:ascii="Arial" w:eastAsia="Times New Roman" w:hAnsi="Arial" w:cs="Arial"/>
          <w:color w:val="000000" w:themeColor="text1"/>
          <w:kern w:val="0"/>
          <w:sz w:val="20"/>
          <w:szCs w:val="20"/>
          <w:lang w:val="en-US"/>
          <w14:ligatures w14:val="none"/>
        </w:rPr>
        <w:t xml:space="preserve">with a value of 5.38 </w:t>
      </w:r>
      <w:r w:rsidR="00CD03BC" w:rsidRPr="000620C4">
        <w:rPr>
          <w:rFonts w:ascii="Arial" w:hAnsi="Arial" w:cs="Arial"/>
          <w:color w:val="000000"/>
          <w:sz w:val="20"/>
          <w:szCs w:val="20"/>
          <w:lang w:val="en-US"/>
        </w:rPr>
        <w:t>±</w:t>
      </w:r>
      <w:r w:rsidR="00CD03BC">
        <w:rPr>
          <w:rFonts w:ascii="Arial" w:hAnsi="Arial" w:cs="Arial"/>
          <w:color w:val="000000"/>
          <w:sz w:val="20"/>
          <w:szCs w:val="20"/>
          <w:lang w:val="en-US"/>
        </w:rPr>
        <w:t xml:space="preserve"> 0.02 </w:t>
      </w:r>
      <w:r w:rsidR="004850A3" w:rsidRPr="000620C4">
        <w:rPr>
          <w:rFonts w:ascii="Arial" w:eastAsia="Times New Roman" w:hAnsi="Arial" w:cs="Arial"/>
          <w:color w:val="000000" w:themeColor="text1"/>
          <w:kern w:val="0"/>
          <w:sz w:val="20"/>
          <w:szCs w:val="20"/>
          <w:lang w:val="en-US"/>
          <w14:ligatures w14:val="none"/>
        </w:rPr>
        <w:t>mg/Kg. The peels present a concentration of 3.28</w:t>
      </w:r>
      <w:r w:rsidR="00E043C9">
        <w:rPr>
          <w:rFonts w:ascii="Arial" w:eastAsia="Times New Roman" w:hAnsi="Arial" w:cs="Arial"/>
          <w:color w:val="000000" w:themeColor="text1"/>
          <w:kern w:val="0"/>
          <w:sz w:val="20"/>
          <w:szCs w:val="20"/>
          <w:lang w:val="en-US"/>
          <w14:ligatures w14:val="none"/>
        </w:rPr>
        <w:t xml:space="preserve"> </w:t>
      </w:r>
      <w:r w:rsidR="00E043C9" w:rsidRPr="000620C4">
        <w:rPr>
          <w:rFonts w:ascii="Arial" w:hAnsi="Arial" w:cs="Arial"/>
          <w:color w:val="000000"/>
          <w:sz w:val="20"/>
          <w:szCs w:val="20"/>
          <w:lang w:val="en-US"/>
        </w:rPr>
        <w:t>±</w:t>
      </w:r>
      <w:r w:rsidR="00CD03BC">
        <w:rPr>
          <w:rFonts w:ascii="Arial" w:hAnsi="Arial" w:cs="Arial"/>
          <w:color w:val="000000"/>
          <w:sz w:val="20"/>
          <w:szCs w:val="20"/>
          <w:lang w:val="en-US"/>
        </w:rPr>
        <w:t xml:space="preserve"> </w:t>
      </w:r>
      <w:r w:rsidR="00E043C9">
        <w:rPr>
          <w:rFonts w:ascii="Arial" w:hAnsi="Arial" w:cs="Arial"/>
          <w:color w:val="000000"/>
          <w:sz w:val="20"/>
          <w:szCs w:val="20"/>
          <w:lang w:val="en-US"/>
        </w:rPr>
        <w:t xml:space="preserve">0.01 </w:t>
      </w:r>
      <w:r w:rsidR="004850A3" w:rsidRPr="000620C4">
        <w:rPr>
          <w:rFonts w:ascii="Arial" w:eastAsia="Times New Roman" w:hAnsi="Arial" w:cs="Arial"/>
          <w:color w:val="000000" w:themeColor="text1"/>
          <w:kern w:val="0"/>
          <w:sz w:val="20"/>
          <w:szCs w:val="20"/>
          <w:lang w:val="en-US"/>
          <w14:ligatures w14:val="none"/>
        </w:rPr>
        <w:t xml:space="preserve">mg/Kg, while the flesh of </w:t>
      </w:r>
      <w:r w:rsidR="00BA6329" w:rsidRPr="000620C4">
        <w:rPr>
          <w:rFonts w:ascii="Arial" w:eastAsia="Times New Roman" w:hAnsi="Arial" w:cs="Arial"/>
          <w:color w:val="000000" w:themeColor="text1"/>
          <w:kern w:val="0"/>
          <w:sz w:val="20"/>
          <w:szCs w:val="20"/>
          <w:lang w:val="en-US"/>
          <w14:ligatures w14:val="none"/>
        </w:rPr>
        <w:t xml:space="preserve">sweet potato contains copper at 2.11 </w:t>
      </w:r>
      <w:r w:rsidR="00E043C9" w:rsidRPr="000620C4">
        <w:rPr>
          <w:rFonts w:ascii="Arial" w:hAnsi="Arial" w:cs="Arial"/>
          <w:color w:val="000000"/>
          <w:sz w:val="20"/>
          <w:szCs w:val="20"/>
          <w:lang w:val="en-US"/>
        </w:rPr>
        <w:t>±</w:t>
      </w:r>
      <w:r w:rsidR="00E043C9">
        <w:rPr>
          <w:rFonts w:ascii="Arial" w:hAnsi="Arial" w:cs="Arial"/>
          <w:color w:val="000000"/>
          <w:sz w:val="20"/>
          <w:szCs w:val="20"/>
          <w:lang w:val="en-US"/>
        </w:rPr>
        <w:t xml:space="preserve"> 0.01 </w:t>
      </w:r>
      <w:r w:rsidR="00BA6329" w:rsidRPr="000620C4">
        <w:rPr>
          <w:rFonts w:ascii="Arial" w:eastAsia="Times New Roman" w:hAnsi="Arial" w:cs="Arial"/>
          <w:color w:val="000000" w:themeColor="text1"/>
          <w:kern w:val="0"/>
          <w:sz w:val="20"/>
          <w:szCs w:val="20"/>
          <w:lang w:val="en-US"/>
          <w14:ligatures w14:val="none"/>
        </w:rPr>
        <w:t xml:space="preserve">mg/Kg. </w:t>
      </w:r>
      <w:r w:rsidR="00557183" w:rsidRPr="000620C4">
        <w:rPr>
          <w:rFonts w:ascii="Arial" w:eastAsia="Times New Roman" w:hAnsi="Arial" w:cs="Arial"/>
          <w:color w:val="000000" w:themeColor="text1"/>
          <w:kern w:val="0"/>
          <w:sz w:val="20"/>
          <w:szCs w:val="20"/>
          <w:lang w:val="en-US"/>
          <w14:ligatures w14:val="none"/>
        </w:rPr>
        <w:t>These values ​​are lower than the limit value of 20 mg/kg, defined by WHO/</w:t>
      </w:r>
      <w:r w:rsidR="00557183" w:rsidRPr="00921A58">
        <w:rPr>
          <w:rFonts w:ascii="Arial" w:eastAsia="Times New Roman" w:hAnsi="Arial" w:cs="Arial"/>
          <w:color w:val="000000" w:themeColor="text1"/>
          <w:kern w:val="0"/>
          <w:sz w:val="20"/>
          <w:szCs w:val="20"/>
          <w:lang w:val="en-US"/>
          <w14:ligatures w14:val="none"/>
        </w:rPr>
        <w:t>FAO</w:t>
      </w:r>
      <w:r w:rsidR="00641D8C" w:rsidRPr="00921A58">
        <w:rPr>
          <w:rFonts w:ascii="Arial" w:eastAsia="Times New Roman" w:hAnsi="Arial" w:cs="Arial"/>
          <w:color w:val="000000" w:themeColor="text1"/>
          <w:kern w:val="0"/>
          <w:sz w:val="20"/>
          <w:szCs w:val="20"/>
          <w:lang w:val="en-US"/>
          <w14:ligatures w14:val="none"/>
        </w:rPr>
        <w:t xml:space="preserve"> </w:t>
      </w:r>
      <w:r w:rsidR="00641D8C" w:rsidRPr="00921A58">
        <w:rPr>
          <w:rFonts w:ascii="Arial" w:eastAsia="Times New Roman" w:hAnsi="Arial" w:cs="Arial"/>
          <w:color w:val="000000" w:themeColor="text1"/>
          <w:kern w:val="0"/>
          <w:sz w:val="20"/>
          <w:szCs w:val="20"/>
          <w:lang w:val="en-US"/>
          <w14:ligatures w14:val="none"/>
        </w:rPr>
        <w:fldChar w:fldCharType="begin"/>
      </w:r>
      <w:r w:rsidR="009C1685" w:rsidRPr="00921A58">
        <w:rPr>
          <w:rFonts w:ascii="Arial" w:eastAsia="Times New Roman" w:hAnsi="Arial" w:cs="Arial"/>
          <w:color w:val="000000" w:themeColor="text1"/>
          <w:kern w:val="0"/>
          <w:sz w:val="20"/>
          <w:szCs w:val="20"/>
          <w:lang w:val="en-US"/>
          <w14:ligatures w14:val="none"/>
        </w:rPr>
        <w:instrText xml:space="preserve"> ADDIN ZOTERO_ITEM CSL_CITATION {"citationID":"GLbu7Zc0","properties":{"formattedCitation":"(Li et al., 2013)","plainCitation":"(Li et al., 2013)","noteIndex":0},"citationItems":[{"id":3180,"uris":["http://zotero.org/users/local/JzcqJHT8/items/JWCH2VK4"],"itemData":{"id":3180,"type":"article-journal","abstract":"Journal of the Chemical Society of Pakistan (JCSP) is a bimonthly Journal which publishes results of original, unpublished research work and review articles in all fields of Chemistry.","container-title":"Journal of The Chemical Society of Pakistan","issue":"6","journalAbbreviation":"JCSP","page":"1091","source":"jcsp.org.pk","title":"Heavy Metals in Chinese Therapeutic Foods and Herbs","volume":"34","author":[{"family":"Li","given":"Shu-Mei"},{"family":"Fang","given":"Yang"},{"family":"Wu","given":"Hong-Mei Ning and Ying Xia"}],"issued":{"date-parts":[["2013",1,30]]}}}],"schema":"https://github.com/citation-style-language/schema/raw/master/csl-citation.json"} </w:instrText>
      </w:r>
      <w:r w:rsidR="00641D8C" w:rsidRPr="00921A58">
        <w:rPr>
          <w:rFonts w:ascii="Arial" w:eastAsia="Times New Roman" w:hAnsi="Arial" w:cs="Arial"/>
          <w:color w:val="000000" w:themeColor="text1"/>
          <w:kern w:val="0"/>
          <w:sz w:val="20"/>
          <w:szCs w:val="20"/>
          <w:lang w:val="en-US"/>
          <w14:ligatures w14:val="none"/>
        </w:rPr>
        <w:fldChar w:fldCharType="separate"/>
      </w:r>
      <w:r w:rsidR="009C1685" w:rsidRPr="00921A58">
        <w:rPr>
          <w:rFonts w:ascii="Arial" w:hAnsi="Arial" w:cs="Arial"/>
          <w:sz w:val="20"/>
          <w:szCs w:val="20"/>
          <w:lang w:val="en-US"/>
        </w:rPr>
        <w:t>(</w:t>
      </w:r>
      <w:r w:rsidR="00921A58" w:rsidRPr="00921A58">
        <w:rPr>
          <w:rFonts w:ascii="Arial" w:hAnsi="Arial" w:cs="Arial"/>
          <w:sz w:val="20"/>
          <w:szCs w:val="20"/>
          <w:lang w:val="en-US"/>
        </w:rPr>
        <w:t>Mutune</w:t>
      </w:r>
      <w:r w:rsidR="009C1685" w:rsidRPr="00921A58">
        <w:rPr>
          <w:rFonts w:ascii="Arial" w:hAnsi="Arial" w:cs="Arial"/>
          <w:sz w:val="20"/>
          <w:szCs w:val="20"/>
          <w:lang w:val="en-US"/>
        </w:rPr>
        <w:t xml:space="preserve"> et al., 201</w:t>
      </w:r>
      <w:r w:rsidR="00921A58" w:rsidRPr="00921A58">
        <w:rPr>
          <w:rFonts w:ascii="Arial" w:hAnsi="Arial" w:cs="Arial"/>
          <w:sz w:val="20"/>
          <w:szCs w:val="20"/>
          <w:lang w:val="en-US"/>
        </w:rPr>
        <w:t>4</w:t>
      </w:r>
      <w:r w:rsidR="009C1685" w:rsidRPr="00921A58">
        <w:rPr>
          <w:rFonts w:ascii="Arial" w:hAnsi="Arial" w:cs="Arial"/>
          <w:sz w:val="20"/>
          <w:szCs w:val="20"/>
          <w:lang w:val="en-US"/>
        </w:rPr>
        <w:t>)</w:t>
      </w:r>
      <w:r w:rsidR="00641D8C" w:rsidRPr="00921A58">
        <w:rPr>
          <w:rFonts w:ascii="Arial" w:eastAsia="Times New Roman" w:hAnsi="Arial" w:cs="Arial"/>
          <w:color w:val="000000" w:themeColor="text1"/>
          <w:kern w:val="0"/>
          <w:sz w:val="20"/>
          <w:szCs w:val="20"/>
          <w:lang w:val="en-US"/>
          <w14:ligatures w14:val="none"/>
        </w:rPr>
        <w:fldChar w:fldCharType="end"/>
      </w:r>
      <w:r w:rsidR="00557183" w:rsidRPr="00921A58">
        <w:rPr>
          <w:rFonts w:ascii="Arial" w:eastAsia="Times New Roman" w:hAnsi="Arial" w:cs="Arial"/>
          <w:color w:val="000000" w:themeColor="text1"/>
          <w:kern w:val="0"/>
          <w:sz w:val="20"/>
          <w:szCs w:val="20"/>
          <w:lang w:val="en-US"/>
          <w14:ligatures w14:val="none"/>
        </w:rPr>
        <w:t>.</w:t>
      </w:r>
      <w:r w:rsidR="00557183" w:rsidRPr="000620C4">
        <w:rPr>
          <w:rFonts w:ascii="Arial" w:eastAsia="Times New Roman" w:hAnsi="Arial" w:cs="Arial"/>
          <w:color w:val="000000" w:themeColor="text1"/>
          <w:kern w:val="0"/>
          <w:sz w:val="20"/>
          <w:szCs w:val="20"/>
          <w:lang w:val="en-US"/>
          <w14:ligatures w14:val="none"/>
        </w:rPr>
        <w:t xml:space="preserve"> Consumption of the different parts of the plant studied is safe from the point of view of the presence of copper.</w:t>
      </w:r>
    </w:p>
    <w:p w14:paraId="3C7FDAB8" w14:textId="654C27A0" w:rsidR="001C547F" w:rsidRPr="000620C4" w:rsidRDefault="00B81BCC" w:rsidP="009C38C8">
      <w:pPr>
        <w:spacing w:line="240" w:lineRule="auto"/>
        <w:rPr>
          <w:rFonts w:ascii="Arial" w:hAnsi="Arial" w:cs="Arial"/>
          <w:color w:val="EE0000"/>
          <w:sz w:val="20"/>
          <w:szCs w:val="20"/>
          <w:lang w:val="en-US"/>
        </w:rPr>
      </w:pPr>
      <w:r w:rsidRPr="00B81BCC">
        <w:rPr>
          <w:rFonts w:ascii="Arial" w:eastAsia="Times New Roman" w:hAnsi="Arial" w:cs="Arial"/>
          <w:color w:val="000000" w:themeColor="text1"/>
          <w:kern w:val="0"/>
          <w:sz w:val="20"/>
          <w:szCs w:val="20"/>
          <w:lang w:val="en-US"/>
          <w14:ligatures w14:val="none"/>
        </w:rPr>
        <w:t xml:space="preserve">The zinc content of sweet potato leaves (15.80 </w:t>
      </w:r>
      <w:r w:rsidR="00CD03BC" w:rsidRPr="000620C4">
        <w:rPr>
          <w:rFonts w:ascii="Arial" w:hAnsi="Arial" w:cs="Arial"/>
          <w:color w:val="000000"/>
          <w:sz w:val="20"/>
          <w:szCs w:val="20"/>
          <w:lang w:val="en-US"/>
        </w:rPr>
        <w:t>±</w:t>
      </w:r>
      <w:r w:rsidR="00CD03BC">
        <w:rPr>
          <w:rFonts w:ascii="Arial" w:hAnsi="Arial" w:cs="Arial"/>
          <w:color w:val="000000"/>
          <w:sz w:val="20"/>
          <w:szCs w:val="20"/>
          <w:lang w:val="en-US"/>
        </w:rPr>
        <w:t xml:space="preserve"> 0.01 </w:t>
      </w:r>
      <w:r w:rsidRPr="00B81BCC">
        <w:rPr>
          <w:rFonts w:ascii="Arial" w:eastAsia="Times New Roman" w:hAnsi="Arial" w:cs="Arial"/>
          <w:color w:val="000000" w:themeColor="text1"/>
          <w:kern w:val="0"/>
          <w:sz w:val="20"/>
          <w:szCs w:val="20"/>
          <w:lang w:val="en-US"/>
          <w14:ligatures w14:val="none"/>
        </w:rPr>
        <w:t xml:space="preserve">mg/Kg) differs significantly from the content in the peel (6.81 </w:t>
      </w:r>
      <w:r w:rsidR="00CD03BC" w:rsidRPr="000620C4">
        <w:rPr>
          <w:rFonts w:ascii="Arial" w:hAnsi="Arial" w:cs="Arial"/>
          <w:color w:val="000000"/>
          <w:sz w:val="20"/>
          <w:szCs w:val="20"/>
          <w:lang w:val="en-US"/>
        </w:rPr>
        <w:t>±</w:t>
      </w:r>
      <w:r w:rsidR="00CD03BC">
        <w:rPr>
          <w:rFonts w:ascii="Arial" w:hAnsi="Arial" w:cs="Arial"/>
          <w:color w:val="000000"/>
          <w:sz w:val="20"/>
          <w:szCs w:val="20"/>
          <w:lang w:val="en-US"/>
        </w:rPr>
        <w:t xml:space="preserve"> 0.01 </w:t>
      </w:r>
      <w:r w:rsidRPr="00B81BCC">
        <w:rPr>
          <w:rFonts w:ascii="Arial" w:eastAsia="Times New Roman" w:hAnsi="Arial" w:cs="Arial"/>
          <w:color w:val="000000" w:themeColor="text1"/>
          <w:kern w:val="0"/>
          <w:sz w:val="20"/>
          <w:szCs w:val="20"/>
          <w:lang w:val="en-US"/>
          <w14:ligatures w14:val="none"/>
        </w:rPr>
        <w:t xml:space="preserve">mg/Kg) and in the flesh of sweet potato (6.01 </w:t>
      </w:r>
      <w:r w:rsidR="002313BB" w:rsidRPr="000620C4">
        <w:rPr>
          <w:rFonts w:ascii="Arial" w:hAnsi="Arial" w:cs="Arial"/>
          <w:color w:val="000000"/>
          <w:sz w:val="20"/>
          <w:szCs w:val="20"/>
          <w:lang w:val="en-US"/>
        </w:rPr>
        <w:t>±</w:t>
      </w:r>
      <w:r w:rsidR="002313BB">
        <w:rPr>
          <w:rFonts w:ascii="Arial" w:hAnsi="Arial" w:cs="Arial"/>
          <w:color w:val="000000"/>
          <w:sz w:val="20"/>
          <w:szCs w:val="20"/>
          <w:lang w:val="en-US"/>
        </w:rPr>
        <w:t xml:space="preserve"> 0.01 </w:t>
      </w:r>
      <w:r w:rsidRPr="00B81BCC">
        <w:rPr>
          <w:rFonts w:ascii="Arial" w:eastAsia="Times New Roman" w:hAnsi="Arial" w:cs="Arial"/>
          <w:color w:val="000000" w:themeColor="text1"/>
          <w:kern w:val="0"/>
          <w:sz w:val="20"/>
          <w:szCs w:val="20"/>
          <w:lang w:val="en-US"/>
          <w14:ligatures w14:val="none"/>
        </w:rPr>
        <w:t>mg/Kg).</w:t>
      </w:r>
      <w:r w:rsidR="0093571F" w:rsidRPr="000620C4">
        <w:rPr>
          <w:rFonts w:ascii="Arial" w:hAnsi="Arial" w:cs="Arial"/>
          <w:sz w:val="20"/>
          <w:szCs w:val="20"/>
          <w:lang w:val="en-US"/>
        </w:rPr>
        <w:t xml:space="preserve">These values ​​are </w:t>
      </w:r>
      <w:r w:rsidR="009C72EA" w:rsidRPr="000620C4">
        <w:rPr>
          <w:rFonts w:ascii="Arial" w:hAnsi="Arial" w:cs="Arial"/>
          <w:sz w:val="20"/>
          <w:szCs w:val="20"/>
          <w:lang w:val="en-US"/>
        </w:rPr>
        <w:t>comparable to th</w:t>
      </w:r>
      <w:r w:rsidR="00C42DA5">
        <w:rPr>
          <w:rFonts w:ascii="Arial" w:hAnsi="Arial" w:cs="Arial"/>
          <w:sz w:val="20"/>
          <w:szCs w:val="20"/>
          <w:lang w:val="en-US"/>
        </w:rPr>
        <w:t>os</w:t>
      </w:r>
      <w:r w:rsidR="009C72EA" w:rsidRPr="000620C4">
        <w:rPr>
          <w:rFonts w:ascii="Arial" w:hAnsi="Arial" w:cs="Arial"/>
          <w:sz w:val="20"/>
          <w:szCs w:val="20"/>
          <w:lang w:val="en-US"/>
        </w:rPr>
        <w:t>e</w:t>
      </w:r>
      <w:r w:rsidR="0093571F" w:rsidRPr="000620C4">
        <w:rPr>
          <w:rFonts w:ascii="Arial" w:hAnsi="Arial" w:cs="Arial"/>
          <w:sz w:val="20"/>
          <w:szCs w:val="20"/>
          <w:lang w:val="en-US"/>
        </w:rPr>
        <w:t xml:space="preserve"> reported </w:t>
      </w:r>
      <w:r w:rsidR="00530E3A" w:rsidRPr="000620C4">
        <w:rPr>
          <w:rFonts w:ascii="Arial" w:hAnsi="Arial" w:cs="Arial"/>
          <w:sz w:val="20"/>
          <w:szCs w:val="20"/>
          <w:lang w:val="en-US"/>
        </w:rPr>
        <w:t xml:space="preserve">in the literature </w:t>
      </w:r>
      <w:r w:rsidR="0093571F" w:rsidRPr="000620C4">
        <w:rPr>
          <w:rFonts w:ascii="Arial" w:hAnsi="Arial" w:cs="Arial"/>
          <w:sz w:val="20"/>
          <w:szCs w:val="20"/>
          <w:lang w:val="en-US"/>
        </w:rPr>
        <w:t xml:space="preserve"> </w:t>
      </w:r>
      <w:r w:rsidR="0092587D" w:rsidRPr="000620C4">
        <w:rPr>
          <w:rFonts w:ascii="Arial" w:hAnsi="Arial" w:cs="Arial"/>
          <w:sz w:val="20"/>
          <w:szCs w:val="20"/>
          <w:lang w:val="en-US"/>
        </w:rPr>
        <w:fldChar w:fldCharType="begin"/>
      </w:r>
      <w:r w:rsidR="0092587D" w:rsidRPr="000620C4">
        <w:rPr>
          <w:rFonts w:ascii="Arial" w:hAnsi="Arial" w:cs="Arial"/>
          <w:sz w:val="20"/>
          <w:szCs w:val="20"/>
          <w:lang w:val="en-US"/>
        </w:rPr>
        <w:instrText xml:space="preserve"> ADDIN ZOTERO_ITEM CSL_CITATION {"citationID":"BH2d9f70","properties":{"formattedCitation":"(S. M. Laurie et al., 2012)","plainCitation":"(S. M. Laurie et al., 2012)","noteIndex":0},"citationItems":[{"id":3451,"uris":["http://zotero.org/users/local/JzcqJHT8/items/LZFKWTVE"],"itemData":{"id":3451,"type":"article-journal","abstract":"The content of trans-β-carotene and selected minerals was determined in 12 sweetpotato (Ipomoea batatas) varieties produced at 4 agro-geographical production sites in South Africa. All 9 orange-fleshed varieties have the potential to contribute ≥100% of the recommended dietary allowance of 4–8 year-old children for vitamin A, 27% for magnesium, 15% for zinc and 11% for iron. Orange-fleshed varieties were superior to cream-fleshed ones in calcium and magnesium content. The trans-β-carotene content of the varieties varied over the geographical sites. The mean content in the 9 orange-fleshed varieties was between 5091 and 16,456μg/100g fresh weight. The mineral content in fresh roots of the 12 varieties ranged from 34 to 63mg/100g for calcium, 15 to 37mg/100g for magnesium, 28 to 51mg/100g for phosphorus, 191 to 334mg/100g for potassium, 0.73 to 1.26mg/100g for iron, and 0.51 to 0.69mg/100g for zinc. Variation within varieties over geographical sites could be ascribed to differences in soil mineral content, soil pH and the interaction of these. The variation in nutritional content of sweetpotato indicated here, needs to be considered in varietal selection for different production sites and in calculating nutrient contribution of sweetpotato toward dietary intake.","container-title":"Journal of Food Composition and Analysis","DOI":"https://doi.org/10.1016/j.jfca.2012.05.005","ISSN":"0889-1575","issue":"2","page":"151-159","title":"Trans-β-carotene, selected mineral content and potential nutritional contribution of 12 sweetpotato varieties","volume":"27","author":[{"family":"Laurie","given":"S. M."},{"family":"Jaarsveld","given":"P. J.","dropping-particle":"van"},{"family":"Faber","given":"M."},{"family":"Philpott","given":"M. F."},{"family":"Labuschagne","given":"M. T."}],"issued":{"date-parts":[["2012"]]}}}],"schema":"https://github.com/citation-style-language/schema/raw/master/csl-citation.json"} </w:instrText>
      </w:r>
      <w:r w:rsidR="0092587D" w:rsidRPr="000620C4">
        <w:rPr>
          <w:rFonts w:ascii="Arial" w:hAnsi="Arial" w:cs="Arial"/>
          <w:sz w:val="20"/>
          <w:szCs w:val="20"/>
          <w:lang w:val="en-US"/>
        </w:rPr>
        <w:fldChar w:fldCharType="separate"/>
      </w:r>
      <w:r w:rsidR="0092587D" w:rsidRPr="000620C4">
        <w:rPr>
          <w:rFonts w:ascii="Arial" w:hAnsi="Arial" w:cs="Arial"/>
          <w:sz w:val="20"/>
          <w:szCs w:val="20"/>
          <w:lang w:val="en-US"/>
        </w:rPr>
        <w:t>(</w:t>
      </w:r>
      <w:r w:rsidR="00E02F9A" w:rsidRPr="00E02F9A">
        <w:rPr>
          <w:rFonts w:ascii="Arial" w:hAnsi="Arial" w:cs="Arial"/>
          <w:sz w:val="20"/>
          <w:highlight w:val="green"/>
          <w:lang w:val="en-US"/>
        </w:rPr>
        <w:t xml:space="preserve"> Asogwa et al., 2020</w:t>
      </w:r>
      <w:r w:rsidR="00E02F9A" w:rsidRPr="00E02F9A">
        <w:rPr>
          <w:rFonts w:ascii="Arial" w:hAnsi="Arial" w:cs="Arial"/>
          <w:sz w:val="20"/>
          <w:lang w:val="en-US"/>
        </w:rPr>
        <w:t>;</w:t>
      </w:r>
      <w:r w:rsidR="00E02F9A">
        <w:rPr>
          <w:rFonts w:ascii="Arial" w:hAnsi="Arial" w:cs="Arial"/>
          <w:sz w:val="20"/>
          <w:szCs w:val="20"/>
          <w:lang w:val="en-US"/>
        </w:rPr>
        <w:t xml:space="preserve"> </w:t>
      </w:r>
      <w:r w:rsidR="0092587D" w:rsidRPr="000620C4">
        <w:rPr>
          <w:rFonts w:ascii="Arial" w:hAnsi="Arial" w:cs="Arial"/>
          <w:sz w:val="20"/>
          <w:szCs w:val="20"/>
          <w:lang w:val="en-US"/>
        </w:rPr>
        <w:t>Laurie et al., 2012)</w:t>
      </w:r>
      <w:r w:rsidR="0092587D" w:rsidRPr="000620C4">
        <w:rPr>
          <w:rFonts w:ascii="Arial" w:hAnsi="Arial" w:cs="Arial"/>
          <w:sz w:val="20"/>
          <w:szCs w:val="20"/>
          <w:lang w:val="en-US"/>
        </w:rPr>
        <w:fldChar w:fldCharType="end"/>
      </w:r>
      <w:r w:rsidR="0092587D" w:rsidRPr="000620C4">
        <w:rPr>
          <w:rFonts w:ascii="Arial" w:hAnsi="Arial" w:cs="Arial"/>
          <w:sz w:val="20"/>
          <w:szCs w:val="20"/>
          <w:lang w:val="en-US"/>
        </w:rPr>
        <w:t>.</w:t>
      </w:r>
      <w:r w:rsidR="00EE5FF3" w:rsidRPr="000620C4">
        <w:rPr>
          <w:rFonts w:ascii="Arial" w:hAnsi="Arial" w:cs="Arial"/>
          <w:sz w:val="20"/>
          <w:szCs w:val="20"/>
          <w:lang w:val="en-US"/>
        </w:rPr>
        <w:t xml:space="preserve"> These</w:t>
      </w:r>
      <w:r w:rsidR="00CC7F5D" w:rsidRPr="000620C4">
        <w:rPr>
          <w:rFonts w:ascii="Arial" w:hAnsi="Arial" w:cs="Arial"/>
          <w:sz w:val="20"/>
          <w:szCs w:val="20"/>
          <w:lang w:val="en-US"/>
        </w:rPr>
        <w:t xml:space="preserve"> Zn</w:t>
      </w:r>
      <w:r w:rsidR="00EE5FF3" w:rsidRPr="000620C4">
        <w:rPr>
          <w:rFonts w:ascii="Arial" w:hAnsi="Arial" w:cs="Arial"/>
          <w:sz w:val="20"/>
          <w:szCs w:val="20"/>
          <w:lang w:val="en-US"/>
        </w:rPr>
        <w:t xml:space="preserve"> levels</w:t>
      </w:r>
      <w:r w:rsidR="00CC7F5D" w:rsidRPr="000620C4">
        <w:rPr>
          <w:rFonts w:ascii="Arial" w:hAnsi="Arial" w:cs="Arial"/>
          <w:sz w:val="20"/>
          <w:szCs w:val="20"/>
          <w:lang w:val="en-US"/>
        </w:rPr>
        <w:t xml:space="preserve"> in the different parts of the sweet potato plant</w:t>
      </w:r>
      <w:r w:rsidR="00EE5FF3" w:rsidRPr="000620C4">
        <w:rPr>
          <w:rFonts w:ascii="Arial" w:hAnsi="Arial" w:cs="Arial"/>
          <w:sz w:val="20"/>
          <w:szCs w:val="20"/>
          <w:lang w:val="en-US"/>
        </w:rPr>
        <w:t xml:space="preserve"> are well below the limit of 50 mg/kg recommended by the WHO</w:t>
      </w:r>
      <w:r w:rsidR="002B554C" w:rsidRPr="000620C4">
        <w:rPr>
          <w:rFonts w:ascii="Arial" w:hAnsi="Arial" w:cs="Arial"/>
          <w:sz w:val="20"/>
          <w:szCs w:val="20"/>
          <w:lang w:val="en-US"/>
        </w:rPr>
        <w:t xml:space="preserve"> </w:t>
      </w:r>
      <w:r w:rsidR="00F7205D" w:rsidRPr="000620C4">
        <w:rPr>
          <w:rFonts w:ascii="Arial" w:hAnsi="Arial" w:cs="Arial"/>
          <w:sz w:val="20"/>
          <w:szCs w:val="20"/>
          <w:lang w:val="en-US"/>
        </w:rPr>
        <w:fldChar w:fldCharType="begin"/>
      </w:r>
      <w:r w:rsidR="00F7205D" w:rsidRPr="000620C4">
        <w:rPr>
          <w:rFonts w:ascii="Arial" w:hAnsi="Arial" w:cs="Arial"/>
          <w:sz w:val="20"/>
          <w:szCs w:val="20"/>
          <w:lang w:val="en-US"/>
        </w:rPr>
        <w:instrText xml:space="preserve"> ADDIN ZOTERO_ITEM CSL_CITATION {"citationID":"A5W0Y5TT","properties":{"formattedCitation":"(FAO/WHO, 2002)","plainCitation":"(FAO/WHO, 2002)","noteIndex":0},"citationItems":[{"id":3256,"uris":["http://zotero.org/users/local/JzcqJHT8/items/24A75S24"],"itemData":{"id":3256,"type":"document","title":"Report of A Joint FAO/WHO expert consultation, Bangkok, Thailand, World Health Organization/Food and Agriculture Organization of The United Nations, Rome, 2002","author":[{"family":"FAO/WHO","given":"WHO"}],"issued":{"date-parts":[["2002"]]}}}],"schema":"https://github.com/citation-style-language/schema/raw/master/csl-citation.json"} </w:instrText>
      </w:r>
      <w:r w:rsidR="00F7205D" w:rsidRPr="000620C4">
        <w:rPr>
          <w:rFonts w:ascii="Arial" w:hAnsi="Arial" w:cs="Arial"/>
          <w:sz w:val="20"/>
          <w:szCs w:val="20"/>
          <w:lang w:val="en-US"/>
        </w:rPr>
        <w:fldChar w:fldCharType="separate"/>
      </w:r>
      <w:r w:rsidR="00F7205D" w:rsidRPr="000620C4">
        <w:rPr>
          <w:rFonts w:ascii="Arial" w:hAnsi="Arial" w:cs="Arial"/>
          <w:sz w:val="20"/>
          <w:szCs w:val="20"/>
          <w:lang w:val="en-US"/>
        </w:rPr>
        <w:t>(FAO/WHO, 2002)</w:t>
      </w:r>
      <w:r w:rsidR="00F7205D" w:rsidRPr="000620C4">
        <w:rPr>
          <w:rFonts w:ascii="Arial" w:hAnsi="Arial" w:cs="Arial"/>
          <w:sz w:val="20"/>
          <w:szCs w:val="20"/>
          <w:lang w:val="en-US"/>
        </w:rPr>
        <w:fldChar w:fldCharType="end"/>
      </w:r>
      <w:r w:rsidR="00EE5FF3" w:rsidRPr="000620C4">
        <w:rPr>
          <w:rFonts w:ascii="Arial" w:hAnsi="Arial" w:cs="Arial"/>
          <w:sz w:val="20"/>
          <w:szCs w:val="20"/>
          <w:lang w:val="en-US"/>
        </w:rPr>
        <w:t xml:space="preserve">. The zinc concentration of these samples does not pose any particular risk for the consumption of this </w:t>
      </w:r>
      <w:r w:rsidR="00CC7F5D" w:rsidRPr="000620C4">
        <w:rPr>
          <w:rFonts w:ascii="Arial" w:hAnsi="Arial" w:cs="Arial"/>
          <w:sz w:val="20"/>
          <w:szCs w:val="20"/>
          <w:lang w:val="en-US"/>
        </w:rPr>
        <w:t>plant and its byproducts.</w:t>
      </w:r>
    </w:p>
    <w:p w14:paraId="7FF489C6" w14:textId="44BCC753" w:rsidR="0093571F" w:rsidRPr="000620C4" w:rsidRDefault="0087333F" w:rsidP="009C38C8">
      <w:pPr>
        <w:spacing w:line="240" w:lineRule="auto"/>
        <w:rPr>
          <w:rFonts w:ascii="Arial" w:eastAsia="Times New Roman" w:hAnsi="Arial" w:cs="Arial"/>
          <w:color w:val="000000" w:themeColor="text1"/>
          <w:kern w:val="0"/>
          <w:sz w:val="20"/>
          <w:szCs w:val="20"/>
          <w:lang w:val="en-US"/>
          <w14:ligatures w14:val="none"/>
        </w:rPr>
      </w:pPr>
      <w:r w:rsidRPr="000620C4">
        <w:rPr>
          <w:rFonts w:ascii="Arial" w:eastAsia="Times New Roman" w:hAnsi="Arial" w:cs="Arial"/>
          <w:color w:val="000000" w:themeColor="text1"/>
          <w:kern w:val="0"/>
          <w:sz w:val="20"/>
          <w:szCs w:val="20"/>
          <w:lang w:val="en-US"/>
          <w14:ligatures w14:val="none"/>
        </w:rPr>
        <w:t xml:space="preserve">Metallic cadmium is highly toxic and is slowly eliminated after ingestion. It can cause serious damage to the body. Its presence in crops must be closely monitored. In this study, cadmium concentrations </w:t>
      </w:r>
      <w:r w:rsidR="0051743D">
        <w:rPr>
          <w:rFonts w:ascii="Arial" w:eastAsia="Times New Roman" w:hAnsi="Arial" w:cs="Arial"/>
          <w:color w:val="000000" w:themeColor="text1"/>
          <w:kern w:val="0"/>
          <w:sz w:val="20"/>
          <w:szCs w:val="20"/>
          <w:lang w:val="en-US"/>
          <w14:ligatures w14:val="none"/>
        </w:rPr>
        <w:t xml:space="preserve">were </w:t>
      </w:r>
      <w:r w:rsidR="007B6564" w:rsidRPr="000620C4">
        <w:rPr>
          <w:rFonts w:ascii="Arial" w:eastAsia="Times New Roman" w:hAnsi="Arial" w:cs="Arial"/>
          <w:color w:val="000000" w:themeColor="text1"/>
          <w:kern w:val="0"/>
          <w:sz w:val="20"/>
          <w:szCs w:val="20"/>
          <w:lang w:val="en-US"/>
          <w14:ligatures w14:val="none"/>
        </w:rPr>
        <w:t xml:space="preserve">0.248 </w:t>
      </w:r>
      <w:r w:rsidR="002313BB" w:rsidRPr="000620C4">
        <w:rPr>
          <w:rFonts w:ascii="Arial" w:hAnsi="Arial" w:cs="Arial"/>
          <w:color w:val="000000"/>
          <w:sz w:val="20"/>
          <w:szCs w:val="20"/>
          <w:lang w:val="en-US"/>
        </w:rPr>
        <w:t>±</w:t>
      </w:r>
      <w:r w:rsidR="002313BB">
        <w:rPr>
          <w:rFonts w:ascii="Arial" w:hAnsi="Arial" w:cs="Arial"/>
          <w:color w:val="000000"/>
          <w:sz w:val="20"/>
          <w:szCs w:val="20"/>
          <w:lang w:val="en-US"/>
        </w:rPr>
        <w:t xml:space="preserve"> 0.01 </w:t>
      </w:r>
      <w:r w:rsidR="007B6564" w:rsidRPr="000620C4">
        <w:rPr>
          <w:rFonts w:ascii="Arial" w:eastAsia="Times New Roman" w:hAnsi="Arial" w:cs="Arial"/>
          <w:color w:val="000000" w:themeColor="text1"/>
          <w:kern w:val="0"/>
          <w:sz w:val="20"/>
          <w:szCs w:val="20"/>
          <w:lang w:val="en-US"/>
          <w14:ligatures w14:val="none"/>
        </w:rPr>
        <w:t xml:space="preserve">mg/kg </w:t>
      </w:r>
      <w:r w:rsidR="007B6564">
        <w:rPr>
          <w:rFonts w:ascii="Arial" w:eastAsia="Times New Roman" w:hAnsi="Arial" w:cs="Arial"/>
          <w:color w:val="000000" w:themeColor="text1"/>
          <w:kern w:val="0"/>
          <w:sz w:val="20"/>
          <w:szCs w:val="20"/>
          <w:lang w:val="en-US"/>
          <w14:ligatures w14:val="none"/>
        </w:rPr>
        <w:t xml:space="preserve">in </w:t>
      </w:r>
      <w:r w:rsidRPr="000620C4">
        <w:rPr>
          <w:rFonts w:ascii="Arial" w:eastAsia="Times New Roman" w:hAnsi="Arial" w:cs="Arial"/>
          <w:color w:val="000000" w:themeColor="text1"/>
          <w:kern w:val="0"/>
          <w:sz w:val="20"/>
          <w:szCs w:val="20"/>
          <w:lang w:val="en-US"/>
          <w14:ligatures w14:val="none"/>
        </w:rPr>
        <w:t xml:space="preserve">leaves, </w:t>
      </w:r>
      <w:r w:rsidR="007B6564" w:rsidRPr="000620C4">
        <w:rPr>
          <w:rFonts w:ascii="Arial" w:eastAsia="Times New Roman" w:hAnsi="Arial" w:cs="Arial"/>
          <w:color w:val="000000" w:themeColor="text1"/>
          <w:kern w:val="0"/>
          <w:sz w:val="20"/>
          <w:szCs w:val="20"/>
          <w:lang w:val="en-US"/>
          <w14:ligatures w14:val="none"/>
        </w:rPr>
        <w:t xml:space="preserve">0.180 </w:t>
      </w:r>
      <w:r w:rsidR="002313BB" w:rsidRPr="000620C4">
        <w:rPr>
          <w:rFonts w:ascii="Arial" w:hAnsi="Arial" w:cs="Arial"/>
          <w:color w:val="000000"/>
          <w:sz w:val="20"/>
          <w:szCs w:val="20"/>
          <w:lang w:val="en-US"/>
        </w:rPr>
        <w:t>±</w:t>
      </w:r>
      <w:r w:rsidR="002313BB">
        <w:rPr>
          <w:rFonts w:ascii="Arial" w:hAnsi="Arial" w:cs="Arial"/>
          <w:color w:val="000000"/>
          <w:sz w:val="20"/>
          <w:szCs w:val="20"/>
          <w:lang w:val="en-US"/>
        </w:rPr>
        <w:t xml:space="preserve"> 0.02 </w:t>
      </w:r>
      <w:r w:rsidR="007B6564" w:rsidRPr="000620C4">
        <w:rPr>
          <w:rFonts w:ascii="Arial" w:eastAsia="Times New Roman" w:hAnsi="Arial" w:cs="Arial"/>
          <w:color w:val="000000" w:themeColor="text1"/>
          <w:kern w:val="0"/>
          <w:sz w:val="20"/>
          <w:szCs w:val="20"/>
          <w:lang w:val="en-US"/>
          <w14:ligatures w14:val="none"/>
        </w:rPr>
        <w:t xml:space="preserve">mg/kg </w:t>
      </w:r>
      <w:r w:rsidR="007B6564">
        <w:rPr>
          <w:rFonts w:ascii="Arial" w:eastAsia="Times New Roman" w:hAnsi="Arial" w:cs="Arial"/>
          <w:color w:val="000000" w:themeColor="text1"/>
          <w:kern w:val="0"/>
          <w:sz w:val="20"/>
          <w:szCs w:val="20"/>
          <w:lang w:val="en-US"/>
          <w14:ligatures w14:val="none"/>
        </w:rPr>
        <w:t xml:space="preserve">in </w:t>
      </w:r>
      <w:r w:rsidRPr="000620C4">
        <w:rPr>
          <w:rFonts w:ascii="Arial" w:eastAsia="Times New Roman" w:hAnsi="Arial" w:cs="Arial"/>
          <w:color w:val="000000" w:themeColor="text1"/>
          <w:kern w:val="0"/>
          <w:sz w:val="20"/>
          <w:szCs w:val="20"/>
          <w:lang w:val="en-US"/>
          <w14:ligatures w14:val="none"/>
        </w:rPr>
        <w:t xml:space="preserve">peels and </w:t>
      </w:r>
      <w:r w:rsidR="007B6564" w:rsidRPr="000620C4">
        <w:rPr>
          <w:rFonts w:ascii="Arial" w:eastAsia="Times New Roman" w:hAnsi="Arial" w:cs="Arial"/>
          <w:color w:val="000000" w:themeColor="text1"/>
          <w:kern w:val="0"/>
          <w:sz w:val="20"/>
          <w:szCs w:val="20"/>
          <w:lang w:val="en-US"/>
          <w14:ligatures w14:val="none"/>
        </w:rPr>
        <w:t xml:space="preserve">0.190 </w:t>
      </w:r>
      <w:r w:rsidR="002313BB" w:rsidRPr="000620C4">
        <w:rPr>
          <w:rFonts w:ascii="Arial" w:hAnsi="Arial" w:cs="Arial"/>
          <w:color w:val="000000"/>
          <w:sz w:val="20"/>
          <w:szCs w:val="20"/>
          <w:lang w:val="en-US"/>
        </w:rPr>
        <w:t>±</w:t>
      </w:r>
      <w:r w:rsidR="002313BB">
        <w:rPr>
          <w:rFonts w:ascii="Arial" w:hAnsi="Arial" w:cs="Arial"/>
          <w:color w:val="000000"/>
          <w:sz w:val="20"/>
          <w:szCs w:val="20"/>
          <w:lang w:val="en-US"/>
        </w:rPr>
        <w:t xml:space="preserve"> 0.01 </w:t>
      </w:r>
      <w:r w:rsidR="007B6564" w:rsidRPr="000620C4">
        <w:rPr>
          <w:rFonts w:ascii="Arial" w:eastAsia="Times New Roman" w:hAnsi="Arial" w:cs="Arial"/>
          <w:color w:val="000000" w:themeColor="text1"/>
          <w:kern w:val="0"/>
          <w:sz w:val="20"/>
          <w:szCs w:val="20"/>
          <w:lang w:val="en-US"/>
          <w14:ligatures w14:val="none"/>
        </w:rPr>
        <w:t xml:space="preserve">mg/kg </w:t>
      </w:r>
      <w:r w:rsidR="00F34272">
        <w:rPr>
          <w:rFonts w:ascii="Arial" w:eastAsia="Times New Roman" w:hAnsi="Arial" w:cs="Arial"/>
          <w:color w:val="000000" w:themeColor="text1"/>
          <w:kern w:val="0"/>
          <w:sz w:val="20"/>
          <w:szCs w:val="20"/>
          <w:lang w:val="en-US"/>
          <w14:ligatures w14:val="none"/>
        </w:rPr>
        <w:t xml:space="preserve">in the </w:t>
      </w:r>
      <w:r w:rsidRPr="000620C4">
        <w:rPr>
          <w:rFonts w:ascii="Arial" w:eastAsia="Times New Roman" w:hAnsi="Arial" w:cs="Arial"/>
          <w:color w:val="000000" w:themeColor="text1"/>
          <w:kern w:val="0"/>
          <w:sz w:val="20"/>
          <w:szCs w:val="20"/>
          <w:lang w:val="en-US"/>
          <w14:ligatures w14:val="none"/>
        </w:rPr>
        <w:t xml:space="preserve">flesh of </w:t>
      </w:r>
      <w:r w:rsidR="00F34272">
        <w:rPr>
          <w:rFonts w:ascii="Arial" w:eastAsia="Times New Roman" w:hAnsi="Arial" w:cs="Arial"/>
          <w:color w:val="000000" w:themeColor="text1"/>
          <w:kern w:val="0"/>
          <w:sz w:val="20"/>
          <w:szCs w:val="20"/>
          <w:lang w:val="en-US"/>
          <w14:ligatures w14:val="none"/>
        </w:rPr>
        <w:t xml:space="preserve">sweet </w:t>
      </w:r>
      <w:r w:rsidRPr="000620C4">
        <w:rPr>
          <w:rFonts w:ascii="Arial" w:eastAsia="Times New Roman" w:hAnsi="Arial" w:cs="Arial"/>
          <w:color w:val="000000" w:themeColor="text1"/>
          <w:kern w:val="0"/>
          <w:sz w:val="20"/>
          <w:szCs w:val="20"/>
          <w:lang w:val="en-US"/>
          <w14:ligatures w14:val="none"/>
        </w:rPr>
        <w:t xml:space="preserve">potatoes. The levels found for the three parts of this plant are higher than those reported for several varieties of sweet potatoes </w:t>
      </w:r>
      <w:r w:rsidRPr="000620C4">
        <w:rPr>
          <w:rFonts w:ascii="Arial" w:eastAsia="Times New Roman" w:hAnsi="Arial" w:cs="Arial"/>
          <w:color w:val="000000" w:themeColor="text1"/>
          <w:kern w:val="0"/>
          <w:sz w:val="20"/>
          <w:szCs w:val="20"/>
          <w:lang w:val="en-US"/>
          <w14:ligatures w14:val="none"/>
        </w:rPr>
        <w:fldChar w:fldCharType="begin"/>
      </w:r>
      <w:r w:rsidR="00602CD2" w:rsidRPr="000620C4">
        <w:rPr>
          <w:rFonts w:ascii="Arial" w:eastAsia="Times New Roman" w:hAnsi="Arial" w:cs="Arial"/>
          <w:color w:val="000000" w:themeColor="text1"/>
          <w:kern w:val="0"/>
          <w:sz w:val="20"/>
          <w:szCs w:val="20"/>
          <w:lang w:val="en-US"/>
          <w14:ligatures w14:val="none"/>
        </w:rPr>
        <w:instrText xml:space="preserve"> ADDIN ZOTERO_ITEM CSL_CITATION {"citationID":"MLWuCKQC","properties":{"formattedCitation":"(LUIS et al., 2014)","plainCitation":"(LUIS et al., 2014)","dontUpdate":true,"noteIndex":0},"citationItems":[{"id":3452,"uris":["http://zotero.org/users/local/JzcqJHT8/items/D3Z99BH9"],"itemData":{"id":3452,"type":"article-journal","abstract":"ABSTRACT Monitoring the metal content in foods such as potatoes is an important aspect of food safety and regulation. Samples of nine varieties of potatoes (73 samples of local potatoes and 77 samples of imported potatoes) were randomly obtained from supermarkets, farmers markets, and farmer plots in Tenerife (Canary Islands, Spain). The edible portion (pulp) was the only part considered for analysis because Spaniards traditionally eat only peeled potatoes. Cadmium (Cd) and lead (Pb) were determined using graphite furnace atomic absorption spectrometry. Cd concentrations ranged from 0.006 mg/kg in the Cara and Negra varieties to 0.019 mg/kg in the Bonita variety, and Pb concentrations ranged from 0.007 mg/kg in the Up-to-date variety to 0.023 mg/kg in the Recara variety. The mean concentrations of Cd (0.01 mg/kg) and Pb (0.014 mg/kg) were below the limits established by European regulations for potatoes (0.1 mg/kg of wet weight for each metal). Based on a mean consumption of 143.2 g of potato per person per day for the Canary Islands population, the mean daily intakes of Cd (0.015 mg/day) and Pb (0.023 mg/day) were below the legislated respective tolerable weekly intakes. Thus, the samples analyzed were considered safe to eat with regard to the metal concentrations found.","container-title":"Journal of Food Protection","DOI":"https://doi.org/10.4315/0362-028X.JFP-13-337","ISSN":"0362-028X","issue":"4","page":"659-664","title":"Evaluation of Content and Estimation of Daily Intake of Cadmium and Lead in Several Varieties of Potatoes (Solanum tuberosum L.) Cultivated in the Canary Islands (Spain)","volume":"77","author":[{"family":"Luis","given":"G."},{"family":"Rubio","given":"C."},{"family":"GONZÁLEZ-WELLER","given":"D."},{"family":"GUTIÉRREZ","given":"A. J."},{"family":"REVERT","given":"C."},{"family":"HARDISSON","given":"A."}],"issued":{"date-parts":[["2014"]]}}}],"schema":"https://github.com/citation-style-language/schema/raw/master/csl-citation.json"} </w:instrText>
      </w:r>
      <w:r w:rsidRPr="000620C4">
        <w:rPr>
          <w:rFonts w:ascii="Arial" w:eastAsia="Times New Roman" w:hAnsi="Arial" w:cs="Arial"/>
          <w:color w:val="000000" w:themeColor="text1"/>
          <w:kern w:val="0"/>
          <w:sz w:val="20"/>
          <w:szCs w:val="20"/>
          <w:lang w:val="en-US"/>
          <w14:ligatures w14:val="none"/>
        </w:rPr>
        <w:fldChar w:fldCharType="separate"/>
      </w:r>
      <w:r w:rsidRPr="000620C4">
        <w:rPr>
          <w:rFonts w:ascii="Arial" w:hAnsi="Arial" w:cs="Arial"/>
          <w:color w:val="000000" w:themeColor="text1"/>
          <w:sz w:val="20"/>
          <w:szCs w:val="20"/>
          <w:lang w:val="en-US"/>
        </w:rPr>
        <w:t>(</w:t>
      </w:r>
      <w:r w:rsidR="00D949FA" w:rsidRPr="00D949FA">
        <w:rPr>
          <w:rFonts w:ascii="Arial" w:hAnsi="Arial" w:cs="Arial"/>
          <w:sz w:val="20"/>
          <w:highlight w:val="green"/>
          <w:lang w:val="en-US"/>
        </w:rPr>
        <w:t xml:space="preserve"> </w:t>
      </w:r>
      <w:bookmarkStart w:id="2" w:name="_Hlk202279884"/>
      <w:r w:rsidR="00D949FA" w:rsidRPr="005A2176">
        <w:rPr>
          <w:rFonts w:ascii="Arial" w:hAnsi="Arial" w:cs="Arial"/>
          <w:sz w:val="20"/>
          <w:highlight w:val="green"/>
          <w:lang w:val="en-US"/>
        </w:rPr>
        <w:t>Al-Shammari</w:t>
      </w:r>
      <w:bookmarkEnd w:id="2"/>
      <w:r w:rsidR="00D949FA" w:rsidRPr="005A2176">
        <w:rPr>
          <w:rFonts w:ascii="Arial" w:hAnsi="Arial" w:cs="Arial"/>
          <w:sz w:val="20"/>
          <w:highlight w:val="green"/>
          <w:lang w:val="en-US"/>
        </w:rPr>
        <w:t xml:space="preserve"> &amp; Al-Hassani, 2025</w:t>
      </w:r>
      <w:r w:rsidR="00D949FA" w:rsidRPr="005A2176">
        <w:rPr>
          <w:rFonts w:ascii="Arial" w:hAnsi="Arial" w:cs="Arial"/>
          <w:sz w:val="20"/>
          <w:lang w:val="en-US"/>
        </w:rPr>
        <w:t>;</w:t>
      </w:r>
      <w:r w:rsidR="00D949FA">
        <w:rPr>
          <w:rFonts w:ascii="Arial" w:hAnsi="Arial" w:cs="Arial"/>
          <w:sz w:val="20"/>
          <w:lang w:val="en-US"/>
        </w:rPr>
        <w:t xml:space="preserve"> </w:t>
      </w:r>
      <w:r w:rsidRPr="000620C4">
        <w:rPr>
          <w:rFonts w:ascii="Arial" w:hAnsi="Arial" w:cs="Arial"/>
          <w:color w:val="000000" w:themeColor="text1"/>
          <w:sz w:val="20"/>
          <w:szCs w:val="20"/>
          <w:lang w:val="en-US"/>
        </w:rPr>
        <w:t>L</w:t>
      </w:r>
      <w:r w:rsidR="009D13CB" w:rsidRPr="000620C4">
        <w:rPr>
          <w:rFonts w:ascii="Arial" w:hAnsi="Arial" w:cs="Arial"/>
          <w:color w:val="000000" w:themeColor="text1"/>
          <w:sz w:val="20"/>
          <w:szCs w:val="20"/>
          <w:lang w:val="en-US"/>
        </w:rPr>
        <w:t>uis</w:t>
      </w:r>
      <w:r w:rsidRPr="000620C4">
        <w:rPr>
          <w:rFonts w:ascii="Arial" w:hAnsi="Arial" w:cs="Arial"/>
          <w:color w:val="000000" w:themeColor="text1"/>
          <w:sz w:val="20"/>
          <w:szCs w:val="20"/>
          <w:lang w:val="en-US"/>
        </w:rPr>
        <w:t xml:space="preserve"> et al., 2014)</w:t>
      </w:r>
      <w:r w:rsidRPr="000620C4">
        <w:rPr>
          <w:rFonts w:ascii="Arial" w:eastAsia="Times New Roman" w:hAnsi="Arial" w:cs="Arial"/>
          <w:color w:val="000000" w:themeColor="text1"/>
          <w:kern w:val="0"/>
          <w:sz w:val="20"/>
          <w:szCs w:val="20"/>
          <w:lang w:val="en-US"/>
          <w14:ligatures w14:val="none"/>
        </w:rPr>
        <w:fldChar w:fldCharType="end"/>
      </w:r>
      <w:r w:rsidR="00CD05E3" w:rsidRPr="000620C4">
        <w:rPr>
          <w:rFonts w:ascii="Arial" w:eastAsia="Times New Roman" w:hAnsi="Arial" w:cs="Arial"/>
          <w:color w:val="000000" w:themeColor="text1"/>
          <w:kern w:val="0"/>
          <w:sz w:val="20"/>
          <w:szCs w:val="20"/>
          <w:lang w:val="en-US"/>
          <w14:ligatures w14:val="none"/>
        </w:rPr>
        <w:t xml:space="preserve">. </w:t>
      </w:r>
      <w:r w:rsidR="001245B7" w:rsidRPr="000620C4">
        <w:rPr>
          <w:rFonts w:ascii="Arial" w:eastAsia="Times New Roman" w:hAnsi="Arial" w:cs="Arial"/>
          <w:color w:val="000000" w:themeColor="text1"/>
          <w:kern w:val="0"/>
          <w:sz w:val="20"/>
          <w:szCs w:val="20"/>
          <w:lang w:val="en-US"/>
          <w14:ligatures w14:val="none"/>
        </w:rPr>
        <w:t xml:space="preserve">As with all metals analyzed, it appears that the leaves are richer in cadmium. However, these values ​​are lower than the value set by the WHO, which is 0.490 mg/kg </w:t>
      </w:r>
      <w:r w:rsidR="003129C6" w:rsidRPr="000620C4">
        <w:rPr>
          <w:rFonts w:ascii="Arial" w:eastAsia="Times New Roman" w:hAnsi="Arial" w:cs="Arial"/>
          <w:color w:val="000000" w:themeColor="text1"/>
          <w:kern w:val="0"/>
          <w:sz w:val="20"/>
          <w:szCs w:val="20"/>
          <w:lang w:val="en-US"/>
          <w14:ligatures w14:val="none"/>
        </w:rPr>
        <w:fldChar w:fldCharType="begin"/>
      </w:r>
      <w:r w:rsidR="005259F0" w:rsidRPr="000620C4">
        <w:rPr>
          <w:rFonts w:ascii="Arial" w:eastAsia="Times New Roman" w:hAnsi="Arial" w:cs="Arial"/>
          <w:color w:val="000000" w:themeColor="text1"/>
          <w:kern w:val="0"/>
          <w:sz w:val="20"/>
          <w:szCs w:val="20"/>
          <w:lang w:val="en-US"/>
          <w14:ligatures w14:val="none"/>
        </w:rPr>
        <w:instrText xml:space="preserve"> ADDIN ZOTERO_ITEM CSL_CITATION {"citationID":"skZgJ1h4","properties":{"formattedCitation":"(FAO/WHO, 2006)","plainCitation":"(FAO/WHO, 2006)","noteIndex":0},"citationItems":[{"id":3188,"uris":["http://zotero.org/users/local/JzcqJHT8/items/6UWM5FVX"],"itemData":{"id":3188,"type":"article-journal","container-title":"FAO/WHO","page":"2006","title":"Food and Agriculture Organization /World Health Organization . Joint FAO/WHO Expert Committee on Food Additives. Evaluation of Certain Additives and Contaminants, 2006, 67th Joint FAO/WHO Expert Committee on Food Additives; WHO Technical Report Series; FAO/WHO: Rome, Italy, 2006","volume":"2006","author":[{"family":"FAO/WHO","given":"WHO"}],"issued":{"date-parts":[["2006"]]}}}],"schema":"https://github.com/citation-style-language/schema/raw/master/csl-citation.json"} </w:instrText>
      </w:r>
      <w:r w:rsidR="003129C6" w:rsidRPr="000620C4">
        <w:rPr>
          <w:rFonts w:ascii="Arial" w:eastAsia="Times New Roman" w:hAnsi="Arial" w:cs="Arial"/>
          <w:color w:val="000000" w:themeColor="text1"/>
          <w:kern w:val="0"/>
          <w:sz w:val="20"/>
          <w:szCs w:val="20"/>
          <w:lang w:val="en-US"/>
          <w14:ligatures w14:val="none"/>
        </w:rPr>
        <w:fldChar w:fldCharType="separate"/>
      </w:r>
      <w:r w:rsidR="005259F0" w:rsidRPr="000620C4">
        <w:rPr>
          <w:rFonts w:ascii="Arial" w:hAnsi="Arial" w:cs="Arial"/>
          <w:color w:val="000000" w:themeColor="text1"/>
          <w:sz w:val="20"/>
          <w:szCs w:val="20"/>
          <w:lang w:val="en-US"/>
        </w:rPr>
        <w:t>(FAO/WHO, 2006)</w:t>
      </w:r>
      <w:r w:rsidR="003129C6" w:rsidRPr="000620C4">
        <w:rPr>
          <w:rFonts w:ascii="Arial" w:eastAsia="Times New Roman" w:hAnsi="Arial" w:cs="Arial"/>
          <w:color w:val="000000" w:themeColor="text1"/>
          <w:kern w:val="0"/>
          <w:sz w:val="20"/>
          <w:szCs w:val="20"/>
          <w:lang w:val="en-US"/>
          <w14:ligatures w14:val="none"/>
        </w:rPr>
        <w:fldChar w:fldCharType="end"/>
      </w:r>
      <w:r w:rsidR="002B1F59" w:rsidRPr="000620C4">
        <w:rPr>
          <w:rFonts w:ascii="Arial" w:eastAsia="Times New Roman" w:hAnsi="Arial" w:cs="Arial"/>
          <w:color w:val="000000" w:themeColor="text1"/>
          <w:kern w:val="0"/>
          <w:sz w:val="20"/>
          <w:szCs w:val="20"/>
          <w:lang w:val="en-US"/>
          <w14:ligatures w14:val="none"/>
        </w:rPr>
        <w:t>.</w:t>
      </w:r>
      <w:r w:rsidR="00502CE2" w:rsidRPr="000620C4">
        <w:rPr>
          <w:rFonts w:ascii="Arial" w:eastAsia="Times New Roman" w:hAnsi="Arial" w:cs="Arial"/>
          <w:color w:val="000000" w:themeColor="text1"/>
          <w:kern w:val="0"/>
          <w:sz w:val="20"/>
          <w:szCs w:val="20"/>
          <w:lang w:val="en-US"/>
          <w14:ligatures w14:val="none"/>
        </w:rPr>
        <w:t xml:space="preserve"> </w:t>
      </w:r>
      <w:r w:rsidR="001245B7" w:rsidRPr="000620C4">
        <w:rPr>
          <w:rFonts w:ascii="Arial" w:eastAsia="Times New Roman" w:hAnsi="Arial" w:cs="Arial"/>
          <w:color w:val="000000" w:themeColor="text1"/>
          <w:kern w:val="0"/>
          <w:sz w:val="20"/>
          <w:szCs w:val="20"/>
          <w:lang w:val="en-US"/>
          <w14:ligatures w14:val="none"/>
        </w:rPr>
        <w:t>These parts of the plant do not pose any problems for human health from the point of view of Cd concentration.</w:t>
      </w:r>
    </w:p>
    <w:p w14:paraId="31056065" w14:textId="77777777" w:rsidR="00467664" w:rsidRPr="000620C4" w:rsidRDefault="00467664" w:rsidP="009C38C8">
      <w:pPr>
        <w:pStyle w:val="Heading3"/>
        <w:rPr>
          <w:lang w:val="en-US"/>
        </w:rPr>
      </w:pPr>
      <w:r w:rsidRPr="000620C4">
        <w:rPr>
          <w:lang w:val="en-US"/>
        </w:rPr>
        <w:t>Health Risk Assessment of Heavy Metals Analyzed</w:t>
      </w:r>
    </w:p>
    <w:p w14:paraId="364FDBEF" w14:textId="1AE00BB2" w:rsidR="00467664" w:rsidRPr="000620C4" w:rsidRDefault="008216E6" w:rsidP="009C38C8">
      <w:pPr>
        <w:spacing w:line="240" w:lineRule="auto"/>
        <w:rPr>
          <w:rFonts w:ascii="Arial" w:hAnsi="Arial" w:cs="Arial"/>
          <w:sz w:val="20"/>
          <w:szCs w:val="20"/>
          <w:lang w:val="en-US"/>
        </w:rPr>
      </w:pPr>
      <w:r w:rsidRPr="000620C4">
        <w:rPr>
          <w:rFonts w:ascii="Arial" w:hAnsi="Arial" w:cs="Arial"/>
          <w:sz w:val="20"/>
          <w:szCs w:val="20"/>
          <w:lang w:val="en-US"/>
        </w:rPr>
        <w:t xml:space="preserve">The health risks associated with the presence of metals in harvested crops are assessed by determining the estimated daily intake (EDI) of these elements in consumers. The estimated daily intake (EDI) includes the consumer's body weight, frequency, and duration of consumption. Table 5 presents the estimated daily intakes (EDI) of the different elements. The values ​​found for the heavy metals Fe, Ni, Zn, and Cd are lower than the reference doses, which suggests that the consumption of preparations based on sweet potato leaves, </w:t>
      </w:r>
      <w:r w:rsidR="00602606">
        <w:rPr>
          <w:rFonts w:ascii="Arial" w:hAnsi="Arial" w:cs="Arial"/>
          <w:sz w:val="20"/>
          <w:szCs w:val="20"/>
          <w:lang w:val="en-US"/>
        </w:rPr>
        <w:t>peel</w:t>
      </w:r>
      <w:r w:rsidRPr="000620C4">
        <w:rPr>
          <w:rFonts w:ascii="Arial" w:hAnsi="Arial" w:cs="Arial"/>
          <w:sz w:val="20"/>
          <w:szCs w:val="20"/>
          <w:lang w:val="en-US"/>
        </w:rPr>
        <w:t xml:space="preserve">, or flesh does not pose a significant risk to consumer </w:t>
      </w:r>
      <w:proofErr w:type="gramStart"/>
      <w:r w:rsidRPr="000620C4">
        <w:rPr>
          <w:rFonts w:ascii="Arial" w:hAnsi="Arial" w:cs="Arial"/>
          <w:sz w:val="20"/>
          <w:szCs w:val="20"/>
          <w:lang w:val="en-US"/>
        </w:rPr>
        <w:t>health.</w:t>
      </w:r>
      <w:r w:rsidR="00467664" w:rsidRPr="000620C4">
        <w:rPr>
          <w:rFonts w:ascii="Arial" w:hAnsi="Arial" w:cs="Arial"/>
          <w:sz w:val="20"/>
          <w:szCs w:val="20"/>
          <w:lang w:val="en-US"/>
        </w:rPr>
        <w:t>.</w:t>
      </w:r>
      <w:proofErr w:type="gramEnd"/>
    </w:p>
    <w:p w14:paraId="30B5201D" w14:textId="77777777" w:rsidR="00467664" w:rsidRPr="000620C4" w:rsidRDefault="00467664" w:rsidP="009C38C8">
      <w:pPr>
        <w:spacing w:line="240" w:lineRule="auto"/>
        <w:rPr>
          <w:rFonts w:ascii="Arial" w:hAnsi="Arial" w:cs="Arial"/>
          <w:sz w:val="20"/>
          <w:szCs w:val="20"/>
          <w:lang w:val="en-US"/>
        </w:rPr>
      </w:pPr>
    </w:p>
    <w:p w14:paraId="6619C3D3" w14:textId="77777777" w:rsidR="00467664" w:rsidRPr="000620C4" w:rsidRDefault="00467664" w:rsidP="005A6A25">
      <w:pPr>
        <w:spacing w:after="240" w:line="240" w:lineRule="auto"/>
        <w:rPr>
          <w:rFonts w:ascii="Arial" w:hAnsi="Arial" w:cs="Arial"/>
          <w:b/>
          <w:bCs/>
          <w:sz w:val="20"/>
          <w:szCs w:val="20"/>
          <w:lang w:val="en-US"/>
        </w:rPr>
      </w:pPr>
      <w:r w:rsidRPr="000620C4">
        <w:rPr>
          <w:rFonts w:ascii="Arial" w:hAnsi="Arial" w:cs="Arial"/>
          <w:b/>
          <w:bCs/>
          <w:sz w:val="20"/>
          <w:szCs w:val="20"/>
          <w:lang w:val="en-US"/>
        </w:rPr>
        <w:t>Table 5.  Estimated daily intake (</w:t>
      </w:r>
      <w:r w:rsidRPr="000620C4">
        <w:rPr>
          <w:rFonts w:ascii="Arial" w:hAnsi="Arial" w:cs="Arial"/>
          <w:b/>
          <w:bCs/>
          <w:sz w:val="20"/>
          <w:szCs w:val="20"/>
          <w:lang w:val="en-US"/>
        </w:rPr>
        <w:sym w:font="Symbol" w:char="F06D"/>
      </w:r>
      <w:r w:rsidRPr="000620C4">
        <w:rPr>
          <w:rFonts w:ascii="Arial" w:hAnsi="Arial" w:cs="Arial"/>
          <w:b/>
          <w:bCs/>
          <w:sz w:val="20"/>
          <w:szCs w:val="20"/>
          <w:lang w:val="en-US"/>
        </w:rPr>
        <w:t>g/Kg/day) according to the average concentration of each metal in leaves, peels and peeled tubers of white sweet potatoes for adults</w:t>
      </w:r>
    </w:p>
    <w:tbl>
      <w:tblPr>
        <w:tblW w:w="9463" w:type="dxa"/>
        <w:tblLook w:val="04A0" w:firstRow="1" w:lastRow="0" w:firstColumn="1" w:lastColumn="0" w:noHBand="0" w:noVBand="1"/>
      </w:tblPr>
      <w:tblGrid>
        <w:gridCol w:w="1413"/>
        <w:gridCol w:w="2522"/>
        <w:gridCol w:w="2268"/>
        <w:gridCol w:w="3260"/>
      </w:tblGrid>
      <w:tr w:rsidR="007A241B" w:rsidRPr="000620C4" w14:paraId="14199342" w14:textId="77777777" w:rsidTr="00672F97">
        <w:trPr>
          <w:trHeight w:val="300"/>
        </w:trPr>
        <w:tc>
          <w:tcPr>
            <w:tcW w:w="1413" w:type="dxa"/>
            <w:tcBorders>
              <w:top w:val="single" w:sz="12" w:space="0" w:color="auto"/>
              <w:bottom w:val="single" w:sz="12" w:space="0" w:color="auto"/>
            </w:tcBorders>
            <w:noWrap/>
            <w:vAlign w:val="bottom"/>
          </w:tcPr>
          <w:p w14:paraId="3B161994" w14:textId="6D09D4B9" w:rsidR="007A241B" w:rsidRPr="000620C4" w:rsidRDefault="007A241B"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Part of plant</w:t>
            </w:r>
          </w:p>
        </w:tc>
        <w:tc>
          <w:tcPr>
            <w:tcW w:w="2522" w:type="dxa"/>
            <w:tcBorders>
              <w:top w:val="single" w:sz="12" w:space="0" w:color="auto"/>
              <w:bottom w:val="single" w:sz="12" w:space="0" w:color="auto"/>
            </w:tcBorders>
            <w:noWrap/>
            <w:vAlign w:val="bottom"/>
          </w:tcPr>
          <w:p w14:paraId="59E022BF" w14:textId="20050084" w:rsidR="007A241B" w:rsidRPr="000620C4" w:rsidRDefault="007A241B"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Leaves</w:t>
            </w:r>
            <w:r w:rsidR="008045E2" w:rsidRPr="000620C4">
              <w:rPr>
                <w:rFonts w:ascii="Arial" w:eastAsia="Times New Roman" w:hAnsi="Arial" w:cs="Arial"/>
                <w:b/>
                <w:bCs/>
                <w:color w:val="000000"/>
                <w:kern w:val="0"/>
                <w:sz w:val="20"/>
                <w:szCs w:val="20"/>
                <w:lang w:val="en-US"/>
                <w14:ligatures w14:val="none"/>
              </w:rPr>
              <w:t xml:space="preserve"> of sweet potato</w:t>
            </w:r>
          </w:p>
        </w:tc>
        <w:tc>
          <w:tcPr>
            <w:tcW w:w="2268" w:type="dxa"/>
            <w:tcBorders>
              <w:top w:val="single" w:sz="12" w:space="0" w:color="auto"/>
              <w:bottom w:val="single" w:sz="12" w:space="0" w:color="auto"/>
            </w:tcBorders>
            <w:noWrap/>
            <w:vAlign w:val="bottom"/>
          </w:tcPr>
          <w:p w14:paraId="06A1ED61" w14:textId="2D245AEA" w:rsidR="007A241B" w:rsidRPr="000620C4" w:rsidRDefault="007A241B"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Peels</w:t>
            </w:r>
            <w:r w:rsidR="008045E2" w:rsidRPr="000620C4">
              <w:rPr>
                <w:rFonts w:ascii="Arial" w:eastAsia="Times New Roman" w:hAnsi="Arial" w:cs="Arial"/>
                <w:b/>
                <w:bCs/>
                <w:color w:val="000000"/>
                <w:kern w:val="0"/>
                <w:sz w:val="20"/>
                <w:szCs w:val="20"/>
                <w:lang w:val="en-US"/>
                <w14:ligatures w14:val="none"/>
              </w:rPr>
              <w:t xml:space="preserve"> of sweet potato</w:t>
            </w:r>
          </w:p>
        </w:tc>
        <w:tc>
          <w:tcPr>
            <w:tcW w:w="3260" w:type="dxa"/>
            <w:tcBorders>
              <w:top w:val="single" w:sz="12" w:space="0" w:color="auto"/>
              <w:bottom w:val="single" w:sz="12" w:space="0" w:color="auto"/>
            </w:tcBorders>
            <w:noWrap/>
            <w:vAlign w:val="bottom"/>
          </w:tcPr>
          <w:p w14:paraId="0D1C5C9C" w14:textId="7E2293CA" w:rsidR="007A241B" w:rsidRPr="000620C4" w:rsidRDefault="007A241B"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 xml:space="preserve">Flesh of </w:t>
            </w:r>
            <w:r w:rsidR="008045E2" w:rsidRPr="000620C4">
              <w:rPr>
                <w:rFonts w:ascii="Arial" w:eastAsia="Times New Roman" w:hAnsi="Arial" w:cs="Arial"/>
                <w:b/>
                <w:bCs/>
                <w:color w:val="000000"/>
                <w:kern w:val="0"/>
                <w:sz w:val="20"/>
                <w:szCs w:val="20"/>
                <w:lang w:val="en-US"/>
                <w14:ligatures w14:val="none"/>
              </w:rPr>
              <w:t>sweet</w:t>
            </w:r>
            <w:r w:rsidRPr="000620C4">
              <w:rPr>
                <w:rFonts w:ascii="Arial" w:eastAsia="Times New Roman" w:hAnsi="Arial" w:cs="Arial"/>
                <w:b/>
                <w:bCs/>
                <w:color w:val="000000"/>
                <w:kern w:val="0"/>
                <w:sz w:val="20"/>
                <w:szCs w:val="20"/>
                <w:lang w:val="en-US"/>
                <w14:ligatures w14:val="none"/>
              </w:rPr>
              <w:t xml:space="preserve"> potato</w:t>
            </w:r>
          </w:p>
        </w:tc>
      </w:tr>
      <w:tr w:rsidR="00467664" w:rsidRPr="000620C4" w14:paraId="75D3E7CC" w14:textId="77777777" w:rsidTr="00672F97">
        <w:trPr>
          <w:trHeight w:val="300"/>
        </w:trPr>
        <w:tc>
          <w:tcPr>
            <w:tcW w:w="1413" w:type="dxa"/>
            <w:tcBorders>
              <w:top w:val="single" w:sz="12" w:space="0" w:color="auto"/>
            </w:tcBorders>
            <w:noWrap/>
            <w:vAlign w:val="bottom"/>
            <w:hideMark/>
          </w:tcPr>
          <w:p w14:paraId="057A6719"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Na</w:t>
            </w:r>
          </w:p>
        </w:tc>
        <w:tc>
          <w:tcPr>
            <w:tcW w:w="2522" w:type="dxa"/>
            <w:tcBorders>
              <w:top w:val="single" w:sz="12" w:space="0" w:color="auto"/>
            </w:tcBorders>
            <w:noWrap/>
            <w:vAlign w:val="bottom"/>
            <w:hideMark/>
          </w:tcPr>
          <w:p w14:paraId="43D1DDB5"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1.495</w:t>
            </w:r>
          </w:p>
        </w:tc>
        <w:tc>
          <w:tcPr>
            <w:tcW w:w="2268" w:type="dxa"/>
            <w:tcBorders>
              <w:top w:val="single" w:sz="12" w:space="0" w:color="auto"/>
            </w:tcBorders>
            <w:noWrap/>
            <w:vAlign w:val="bottom"/>
            <w:hideMark/>
          </w:tcPr>
          <w:p w14:paraId="6533485C"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6.34 x 10</w:t>
            </w:r>
            <w:r w:rsidRPr="000620C4">
              <w:rPr>
                <w:rFonts w:ascii="Arial" w:eastAsia="Times New Roman" w:hAnsi="Arial" w:cs="Arial"/>
                <w:color w:val="000000"/>
                <w:kern w:val="0"/>
                <w:sz w:val="20"/>
                <w:szCs w:val="20"/>
                <w:vertAlign w:val="superscript"/>
                <w:lang w:val="en-US"/>
                <w14:ligatures w14:val="none"/>
              </w:rPr>
              <w:t>-1</w:t>
            </w:r>
          </w:p>
        </w:tc>
        <w:tc>
          <w:tcPr>
            <w:tcW w:w="3260" w:type="dxa"/>
            <w:tcBorders>
              <w:top w:val="single" w:sz="12" w:space="0" w:color="auto"/>
            </w:tcBorders>
            <w:noWrap/>
            <w:vAlign w:val="bottom"/>
            <w:hideMark/>
          </w:tcPr>
          <w:p w14:paraId="7B6BE8EE"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4.43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40F68DE5" w14:textId="77777777" w:rsidTr="00672F97">
        <w:trPr>
          <w:trHeight w:val="300"/>
        </w:trPr>
        <w:tc>
          <w:tcPr>
            <w:tcW w:w="1413" w:type="dxa"/>
            <w:noWrap/>
            <w:vAlign w:val="bottom"/>
            <w:hideMark/>
          </w:tcPr>
          <w:p w14:paraId="5D706855"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K</w:t>
            </w:r>
          </w:p>
        </w:tc>
        <w:tc>
          <w:tcPr>
            <w:tcW w:w="2522" w:type="dxa"/>
            <w:noWrap/>
            <w:vAlign w:val="bottom"/>
            <w:hideMark/>
          </w:tcPr>
          <w:p w14:paraId="3C5F5C05" w14:textId="58E8BAA4"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11.</w:t>
            </w:r>
            <w:r w:rsidR="00E96D25" w:rsidRPr="000620C4">
              <w:rPr>
                <w:rFonts w:ascii="Arial" w:eastAsia="Times New Roman" w:hAnsi="Arial" w:cs="Arial"/>
                <w:color w:val="000000"/>
                <w:kern w:val="0"/>
                <w:sz w:val="20"/>
                <w:szCs w:val="20"/>
                <w:lang w:val="en-US"/>
                <w14:ligatures w14:val="none"/>
              </w:rPr>
              <w:t>55</w:t>
            </w:r>
          </w:p>
        </w:tc>
        <w:tc>
          <w:tcPr>
            <w:tcW w:w="2268" w:type="dxa"/>
            <w:noWrap/>
            <w:vAlign w:val="bottom"/>
            <w:hideMark/>
          </w:tcPr>
          <w:p w14:paraId="315A0F2C"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7.56</w:t>
            </w:r>
          </w:p>
        </w:tc>
        <w:tc>
          <w:tcPr>
            <w:tcW w:w="3260" w:type="dxa"/>
            <w:noWrap/>
            <w:vAlign w:val="bottom"/>
            <w:hideMark/>
          </w:tcPr>
          <w:p w14:paraId="6704DF47"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6.06</w:t>
            </w:r>
          </w:p>
        </w:tc>
      </w:tr>
      <w:tr w:rsidR="00467664" w:rsidRPr="000620C4" w14:paraId="26D8456C" w14:textId="77777777" w:rsidTr="00672F97">
        <w:trPr>
          <w:trHeight w:val="300"/>
        </w:trPr>
        <w:tc>
          <w:tcPr>
            <w:tcW w:w="1413" w:type="dxa"/>
            <w:noWrap/>
            <w:vAlign w:val="bottom"/>
            <w:hideMark/>
          </w:tcPr>
          <w:p w14:paraId="4DAE61A2"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Mg</w:t>
            </w:r>
          </w:p>
        </w:tc>
        <w:tc>
          <w:tcPr>
            <w:tcW w:w="2522" w:type="dxa"/>
            <w:noWrap/>
            <w:vAlign w:val="bottom"/>
            <w:hideMark/>
          </w:tcPr>
          <w:p w14:paraId="35E45CB8"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4.46</w:t>
            </w:r>
          </w:p>
        </w:tc>
        <w:tc>
          <w:tcPr>
            <w:tcW w:w="2268" w:type="dxa"/>
            <w:noWrap/>
            <w:vAlign w:val="bottom"/>
            <w:hideMark/>
          </w:tcPr>
          <w:p w14:paraId="14C5C2A8"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8.56 x 10</w:t>
            </w:r>
            <w:r w:rsidRPr="000620C4">
              <w:rPr>
                <w:rFonts w:ascii="Arial" w:eastAsia="Times New Roman" w:hAnsi="Arial" w:cs="Arial"/>
                <w:color w:val="000000"/>
                <w:kern w:val="0"/>
                <w:sz w:val="20"/>
                <w:szCs w:val="20"/>
                <w:vertAlign w:val="superscript"/>
                <w:lang w:val="en-US"/>
                <w14:ligatures w14:val="none"/>
              </w:rPr>
              <w:t>-1</w:t>
            </w:r>
          </w:p>
        </w:tc>
        <w:tc>
          <w:tcPr>
            <w:tcW w:w="3260" w:type="dxa"/>
            <w:noWrap/>
            <w:vAlign w:val="bottom"/>
            <w:hideMark/>
          </w:tcPr>
          <w:p w14:paraId="01C9694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4.28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3B0C8BC5" w14:textId="77777777" w:rsidTr="00672F97">
        <w:trPr>
          <w:trHeight w:val="300"/>
        </w:trPr>
        <w:tc>
          <w:tcPr>
            <w:tcW w:w="1413" w:type="dxa"/>
            <w:noWrap/>
            <w:vAlign w:val="bottom"/>
            <w:hideMark/>
          </w:tcPr>
          <w:p w14:paraId="51EC1368"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Ca</w:t>
            </w:r>
          </w:p>
        </w:tc>
        <w:tc>
          <w:tcPr>
            <w:tcW w:w="2522" w:type="dxa"/>
            <w:noWrap/>
            <w:vAlign w:val="bottom"/>
            <w:hideMark/>
          </w:tcPr>
          <w:p w14:paraId="68B15F1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4.51</w:t>
            </w:r>
          </w:p>
        </w:tc>
        <w:tc>
          <w:tcPr>
            <w:tcW w:w="2268" w:type="dxa"/>
            <w:noWrap/>
            <w:vAlign w:val="bottom"/>
            <w:hideMark/>
          </w:tcPr>
          <w:p w14:paraId="7799B4D1"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1.58</w:t>
            </w:r>
          </w:p>
        </w:tc>
        <w:tc>
          <w:tcPr>
            <w:tcW w:w="3260" w:type="dxa"/>
            <w:noWrap/>
            <w:vAlign w:val="bottom"/>
            <w:hideMark/>
          </w:tcPr>
          <w:p w14:paraId="5EBAB05B"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9.66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0503C548" w14:textId="77777777" w:rsidTr="00672F97">
        <w:trPr>
          <w:trHeight w:val="300"/>
        </w:trPr>
        <w:tc>
          <w:tcPr>
            <w:tcW w:w="1413" w:type="dxa"/>
            <w:noWrap/>
            <w:vAlign w:val="bottom"/>
            <w:hideMark/>
          </w:tcPr>
          <w:p w14:paraId="6B5ACFF1"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lastRenderedPageBreak/>
              <w:t>Fe</w:t>
            </w:r>
          </w:p>
        </w:tc>
        <w:tc>
          <w:tcPr>
            <w:tcW w:w="2522" w:type="dxa"/>
            <w:noWrap/>
            <w:vAlign w:val="bottom"/>
            <w:hideMark/>
          </w:tcPr>
          <w:p w14:paraId="15E8466A"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7.43 x 10</w:t>
            </w:r>
            <w:r w:rsidRPr="000620C4">
              <w:rPr>
                <w:rFonts w:ascii="Arial" w:eastAsia="Times New Roman" w:hAnsi="Arial" w:cs="Arial"/>
                <w:color w:val="000000"/>
                <w:kern w:val="0"/>
                <w:sz w:val="20"/>
                <w:szCs w:val="20"/>
                <w:vertAlign w:val="superscript"/>
                <w:lang w:val="en-US"/>
                <w14:ligatures w14:val="none"/>
              </w:rPr>
              <w:t>-2</w:t>
            </w:r>
          </w:p>
        </w:tc>
        <w:tc>
          <w:tcPr>
            <w:tcW w:w="2268" w:type="dxa"/>
            <w:noWrap/>
            <w:vAlign w:val="bottom"/>
            <w:hideMark/>
          </w:tcPr>
          <w:p w14:paraId="0AE21FB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1.29 x 10</w:t>
            </w:r>
            <w:r w:rsidRPr="000620C4">
              <w:rPr>
                <w:rFonts w:ascii="Arial" w:eastAsia="Times New Roman" w:hAnsi="Arial" w:cs="Arial"/>
                <w:color w:val="000000"/>
                <w:kern w:val="0"/>
                <w:sz w:val="20"/>
                <w:szCs w:val="20"/>
                <w:vertAlign w:val="superscript"/>
                <w:lang w:val="en-US"/>
                <w14:ligatures w14:val="none"/>
              </w:rPr>
              <w:t>-2</w:t>
            </w:r>
          </w:p>
        </w:tc>
        <w:tc>
          <w:tcPr>
            <w:tcW w:w="3260" w:type="dxa"/>
            <w:noWrap/>
            <w:vAlign w:val="bottom"/>
            <w:hideMark/>
          </w:tcPr>
          <w:p w14:paraId="1FE73C5F"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5.36 x 10</w:t>
            </w:r>
            <w:r w:rsidRPr="000620C4">
              <w:rPr>
                <w:rFonts w:ascii="Arial" w:eastAsia="Times New Roman" w:hAnsi="Arial" w:cs="Arial"/>
                <w:color w:val="000000"/>
                <w:kern w:val="0"/>
                <w:sz w:val="20"/>
                <w:szCs w:val="20"/>
                <w:vertAlign w:val="superscript"/>
                <w:lang w:val="en-US"/>
                <w14:ligatures w14:val="none"/>
              </w:rPr>
              <w:t>-2</w:t>
            </w:r>
          </w:p>
        </w:tc>
      </w:tr>
      <w:tr w:rsidR="00467664" w:rsidRPr="000620C4" w14:paraId="42A39C84" w14:textId="77777777" w:rsidTr="00672F97">
        <w:trPr>
          <w:trHeight w:val="300"/>
        </w:trPr>
        <w:tc>
          <w:tcPr>
            <w:tcW w:w="1413" w:type="dxa"/>
            <w:noWrap/>
            <w:vAlign w:val="bottom"/>
            <w:hideMark/>
          </w:tcPr>
          <w:p w14:paraId="7CB41A8B"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Ni</w:t>
            </w:r>
          </w:p>
        </w:tc>
        <w:tc>
          <w:tcPr>
            <w:tcW w:w="2522" w:type="dxa"/>
            <w:noWrap/>
            <w:vAlign w:val="bottom"/>
            <w:hideMark/>
          </w:tcPr>
          <w:p w14:paraId="246B39F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3.60 x 10</w:t>
            </w:r>
            <w:r w:rsidRPr="000620C4">
              <w:rPr>
                <w:rFonts w:ascii="Arial" w:eastAsia="Times New Roman" w:hAnsi="Arial" w:cs="Arial"/>
                <w:color w:val="000000"/>
                <w:kern w:val="0"/>
                <w:sz w:val="20"/>
                <w:szCs w:val="20"/>
                <w:vertAlign w:val="superscript"/>
                <w:lang w:val="en-US"/>
                <w14:ligatures w14:val="none"/>
              </w:rPr>
              <w:t>-3</w:t>
            </w:r>
          </w:p>
        </w:tc>
        <w:tc>
          <w:tcPr>
            <w:tcW w:w="2268" w:type="dxa"/>
            <w:noWrap/>
            <w:vAlign w:val="bottom"/>
            <w:hideMark/>
          </w:tcPr>
          <w:p w14:paraId="409B68C3"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2.20 x 10</w:t>
            </w:r>
            <w:r w:rsidRPr="000620C4">
              <w:rPr>
                <w:rFonts w:ascii="Arial" w:eastAsia="Times New Roman" w:hAnsi="Arial" w:cs="Arial"/>
                <w:color w:val="000000"/>
                <w:kern w:val="0"/>
                <w:sz w:val="20"/>
                <w:szCs w:val="20"/>
                <w:vertAlign w:val="superscript"/>
                <w:lang w:val="en-US"/>
                <w14:ligatures w14:val="none"/>
              </w:rPr>
              <w:t>-3</w:t>
            </w:r>
          </w:p>
        </w:tc>
        <w:tc>
          <w:tcPr>
            <w:tcW w:w="3260" w:type="dxa"/>
            <w:noWrap/>
            <w:vAlign w:val="bottom"/>
            <w:hideMark/>
          </w:tcPr>
          <w:p w14:paraId="250EC4E0"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5.34 x 10</w:t>
            </w:r>
            <w:r w:rsidRPr="000620C4">
              <w:rPr>
                <w:rFonts w:ascii="Arial" w:eastAsia="Times New Roman" w:hAnsi="Arial" w:cs="Arial"/>
                <w:color w:val="000000"/>
                <w:kern w:val="0"/>
                <w:sz w:val="20"/>
                <w:szCs w:val="20"/>
                <w:vertAlign w:val="superscript"/>
                <w:lang w:val="en-US"/>
                <w14:ligatures w14:val="none"/>
              </w:rPr>
              <w:t>-3</w:t>
            </w:r>
          </w:p>
        </w:tc>
      </w:tr>
      <w:tr w:rsidR="00467664" w:rsidRPr="000620C4" w14:paraId="37C3564B" w14:textId="77777777" w:rsidTr="00672F97">
        <w:trPr>
          <w:trHeight w:val="300"/>
        </w:trPr>
        <w:tc>
          <w:tcPr>
            <w:tcW w:w="1413" w:type="dxa"/>
            <w:noWrap/>
            <w:vAlign w:val="bottom"/>
            <w:hideMark/>
          </w:tcPr>
          <w:p w14:paraId="19B85750"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Cu</w:t>
            </w:r>
          </w:p>
        </w:tc>
        <w:tc>
          <w:tcPr>
            <w:tcW w:w="2522" w:type="dxa"/>
            <w:noWrap/>
            <w:vAlign w:val="bottom"/>
            <w:hideMark/>
          </w:tcPr>
          <w:p w14:paraId="4FFA45FE"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3.16 x 10</w:t>
            </w:r>
            <w:r w:rsidRPr="000620C4">
              <w:rPr>
                <w:rFonts w:ascii="Arial" w:eastAsia="Times New Roman" w:hAnsi="Arial" w:cs="Arial"/>
                <w:color w:val="000000"/>
                <w:kern w:val="0"/>
                <w:sz w:val="20"/>
                <w:szCs w:val="20"/>
                <w:vertAlign w:val="superscript"/>
                <w:lang w:val="en-US"/>
                <w14:ligatures w14:val="none"/>
              </w:rPr>
              <w:t>-3</w:t>
            </w:r>
          </w:p>
        </w:tc>
        <w:tc>
          <w:tcPr>
            <w:tcW w:w="2268" w:type="dxa"/>
            <w:noWrap/>
            <w:vAlign w:val="bottom"/>
            <w:hideMark/>
          </w:tcPr>
          <w:p w14:paraId="4F5C0860"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1.93 x 10</w:t>
            </w:r>
            <w:r w:rsidRPr="000620C4">
              <w:rPr>
                <w:rFonts w:ascii="Arial" w:eastAsia="Times New Roman" w:hAnsi="Arial" w:cs="Arial"/>
                <w:color w:val="000000"/>
                <w:kern w:val="0"/>
                <w:sz w:val="20"/>
                <w:szCs w:val="20"/>
                <w:vertAlign w:val="superscript"/>
                <w:lang w:val="en-US"/>
                <w14:ligatures w14:val="none"/>
              </w:rPr>
              <w:t>-3</w:t>
            </w:r>
          </w:p>
        </w:tc>
        <w:tc>
          <w:tcPr>
            <w:tcW w:w="3260" w:type="dxa"/>
            <w:noWrap/>
            <w:vAlign w:val="bottom"/>
            <w:hideMark/>
          </w:tcPr>
          <w:p w14:paraId="18BA2252"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1.24 x 10</w:t>
            </w:r>
            <w:r w:rsidRPr="000620C4">
              <w:rPr>
                <w:rFonts w:ascii="Arial" w:eastAsia="Times New Roman" w:hAnsi="Arial" w:cs="Arial"/>
                <w:color w:val="000000"/>
                <w:kern w:val="0"/>
                <w:sz w:val="20"/>
                <w:szCs w:val="20"/>
                <w:vertAlign w:val="superscript"/>
                <w:lang w:val="en-US"/>
                <w14:ligatures w14:val="none"/>
              </w:rPr>
              <w:t>-3</w:t>
            </w:r>
          </w:p>
        </w:tc>
      </w:tr>
      <w:tr w:rsidR="00467664" w:rsidRPr="000620C4" w14:paraId="58504953" w14:textId="77777777" w:rsidTr="00672F97">
        <w:trPr>
          <w:trHeight w:val="300"/>
        </w:trPr>
        <w:tc>
          <w:tcPr>
            <w:tcW w:w="1413" w:type="dxa"/>
            <w:noWrap/>
            <w:vAlign w:val="bottom"/>
            <w:hideMark/>
          </w:tcPr>
          <w:p w14:paraId="5BD23F0E"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Zn</w:t>
            </w:r>
          </w:p>
        </w:tc>
        <w:tc>
          <w:tcPr>
            <w:tcW w:w="2522" w:type="dxa"/>
            <w:noWrap/>
            <w:vAlign w:val="bottom"/>
            <w:hideMark/>
          </w:tcPr>
          <w:p w14:paraId="2BC9E4B0"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9.27 x 10</w:t>
            </w:r>
            <w:r w:rsidRPr="000620C4">
              <w:rPr>
                <w:rFonts w:ascii="Arial" w:eastAsia="Times New Roman" w:hAnsi="Arial" w:cs="Arial"/>
                <w:color w:val="000000"/>
                <w:kern w:val="0"/>
                <w:sz w:val="20"/>
                <w:szCs w:val="20"/>
                <w:vertAlign w:val="superscript"/>
                <w:lang w:val="en-US"/>
                <w14:ligatures w14:val="none"/>
              </w:rPr>
              <w:t>-3</w:t>
            </w:r>
          </w:p>
        </w:tc>
        <w:tc>
          <w:tcPr>
            <w:tcW w:w="2268" w:type="dxa"/>
            <w:noWrap/>
            <w:vAlign w:val="bottom"/>
            <w:hideMark/>
          </w:tcPr>
          <w:p w14:paraId="7B56FD4A"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4.00 x 10</w:t>
            </w:r>
            <w:r w:rsidRPr="000620C4">
              <w:rPr>
                <w:rFonts w:ascii="Arial" w:eastAsia="Times New Roman" w:hAnsi="Arial" w:cs="Arial"/>
                <w:color w:val="000000"/>
                <w:kern w:val="0"/>
                <w:sz w:val="20"/>
                <w:szCs w:val="20"/>
                <w:vertAlign w:val="superscript"/>
                <w:lang w:val="en-US"/>
                <w14:ligatures w14:val="none"/>
              </w:rPr>
              <w:t>-3</w:t>
            </w:r>
          </w:p>
        </w:tc>
        <w:tc>
          <w:tcPr>
            <w:tcW w:w="3260" w:type="dxa"/>
            <w:noWrap/>
            <w:vAlign w:val="bottom"/>
            <w:hideMark/>
          </w:tcPr>
          <w:p w14:paraId="533FF96A"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3.52 x 10</w:t>
            </w:r>
            <w:r w:rsidRPr="000620C4">
              <w:rPr>
                <w:rFonts w:ascii="Arial" w:eastAsia="Times New Roman" w:hAnsi="Arial" w:cs="Arial"/>
                <w:color w:val="000000"/>
                <w:kern w:val="0"/>
                <w:sz w:val="20"/>
                <w:szCs w:val="20"/>
                <w:vertAlign w:val="superscript"/>
                <w:lang w:val="en-US"/>
                <w14:ligatures w14:val="none"/>
              </w:rPr>
              <w:t>-3</w:t>
            </w:r>
          </w:p>
        </w:tc>
      </w:tr>
      <w:tr w:rsidR="00467664" w:rsidRPr="000620C4" w14:paraId="2728A276" w14:textId="77777777" w:rsidTr="00672F97">
        <w:trPr>
          <w:trHeight w:val="300"/>
        </w:trPr>
        <w:tc>
          <w:tcPr>
            <w:tcW w:w="1413" w:type="dxa"/>
            <w:tcBorders>
              <w:bottom w:val="single" w:sz="12" w:space="0" w:color="auto"/>
            </w:tcBorders>
            <w:noWrap/>
            <w:vAlign w:val="bottom"/>
            <w:hideMark/>
          </w:tcPr>
          <w:p w14:paraId="1B19CB9F"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Cd</w:t>
            </w:r>
          </w:p>
        </w:tc>
        <w:tc>
          <w:tcPr>
            <w:tcW w:w="2522" w:type="dxa"/>
            <w:tcBorders>
              <w:bottom w:val="single" w:sz="12" w:space="0" w:color="auto"/>
            </w:tcBorders>
            <w:noWrap/>
            <w:vAlign w:val="bottom"/>
            <w:hideMark/>
          </w:tcPr>
          <w:p w14:paraId="47A55DC4"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1.46 x 10</w:t>
            </w:r>
            <w:r w:rsidRPr="000620C4">
              <w:rPr>
                <w:rFonts w:ascii="Arial" w:eastAsia="Times New Roman" w:hAnsi="Arial" w:cs="Arial"/>
                <w:color w:val="000000"/>
                <w:kern w:val="0"/>
                <w:sz w:val="20"/>
                <w:szCs w:val="20"/>
                <w:vertAlign w:val="superscript"/>
                <w:lang w:val="en-US"/>
                <w14:ligatures w14:val="none"/>
              </w:rPr>
              <w:t>-4</w:t>
            </w:r>
          </w:p>
        </w:tc>
        <w:tc>
          <w:tcPr>
            <w:tcW w:w="2268" w:type="dxa"/>
            <w:tcBorders>
              <w:bottom w:val="single" w:sz="12" w:space="0" w:color="auto"/>
            </w:tcBorders>
            <w:noWrap/>
            <w:vAlign w:val="bottom"/>
            <w:hideMark/>
          </w:tcPr>
          <w:p w14:paraId="2E0AFB3A"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1.06 x 10</w:t>
            </w:r>
            <w:r w:rsidRPr="000620C4">
              <w:rPr>
                <w:rFonts w:ascii="Arial" w:eastAsia="Times New Roman" w:hAnsi="Arial" w:cs="Arial"/>
                <w:color w:val="000000"/>
                <w:kern w:val="0"/>
                <w:sz w:val="20"/>
                <w:szCs w:val="20"/>
                <w:vertAlign w:val="superscript"/>
                <w:lang w:val="en-US"/>
                <w14:ligatures w14:val="none"/>
              </w:rPr>
              <w:t>-4</w:t>
            </w:r>
          </w:p>
        </w:tc>
        <w:tc>
          <w:tcPr>
            <w:tcW w:w="3260" w:type="dxa"/>
            <w:tcBorders>
              <w:bottom w:val="single" w:sz="12" w:space="0" w:color="auto"/>
            </w:tcBorders>
            <w:noWrap/>
            <w:vAlign w:val="bottom"/>
            <w:hideMark/>
          </w:tcPr>
          <w:p w14:paraId="76549D6F"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1.11 x 10</w:t>
            </w:r>
            <w:r w:rsidRPr="000620C4">
              <w:rPr>
                <w:rFonts w:ascii="Arial" w:eastAsia="Times New Roman" w:hAnsi="Arial" w:cs="Arial"/>
                <w:color w:val="000000"/>
                <w:kern w:val="0"/>
                <w:sz w:val="20"/>
                <w:szCs w:val="20"/>
                <w:vertAlign w:val="superscript"/>
                <w:lang w:val="en-US"/>
                <w14:ligatures w14:val="none"/>
              </w:rPr>
              <w:t>-4</w:t>
            </w:r>
          </w:p>
        </w:tc>
      </w:tr>
    </w:tbl>
    <w:p w14:paraId="42F7E5C7" w14:textId="544AC9DE" w:rsidR="001074DB" w:rsidRPr="000620C4" w:rsidRDefault="001074DB" w:rsidP="00F92486">
      <w:pPr>
        <w:pStyle w:val="Heading3"/>
        <w:rPr>
          <w:lang w:val="en-US"/>
        </w:rPr>
      </w:pPr>
      <w:r w:rsidRPr="000620C4">
        <w:rPr>
          <w:lang w:val="en-US"/>
        </w:rPr>
        <w:t>Non-</w:t>
      </w:r>
      <w:r w:rsidR="000620C4" w:rsidRPr="000620C4">
        <w:rPr>
          <w:lang w:val="en-US"/>
        </w:rPr>
        <w:t>c</w:t>
      </w:r>
      <w:r w:rsidRPr="000620C4">
        <w:rPr>
          <w:lang w:val="en-US"/>
        </w:rPr>
        <w:t xml:space="preserve">arcinogenic </w:t>
      </w:r>
      <w:r w:rsidR="000620C4" w:rsidRPr="000620C4">
        <w:rPr>
          <w:lang w:val="en-US"/>
        </w:rPr>
        <w:t>r</w:t>
      </w:r>
      <w:r w:rsidRPr="000620C4">
        <w:rPr>
          <w:lang w:val="en-US"/>
        </w:rPr>
        <w:t xml:space="preserve">isk </w:t>
      </w:r>
      <w:r w:rsidR="000620C4" w:rsidRPr="000620C4">
        <w:rPr>
          <w:lang w:val="en-US"/>
        </w:rPr>
        <w:t>a</w:t>
      </w:r>
      <w:r w:rsidRPr="000620C4">
        <w:rPr>
          <w:lang w:val="en-US"/>
        </w:rPr>
        <w:t>ssessment</w:t>
      </w:r>
    </w:p>
    <w:p w14:paraId="3B36E23A" w14:textId="76949862" w:rsidR="001074DB" w:rsidRPr="000620C4" w:rsidRDefault="001074DB" w:rsidP="005A6A25">
      <w:pPr>
        <w:spacing w:line="240" w:lineRule="auto"/>
        <w:rPr>
          <w:rFonts w:ascii="Arial" w:hAnsi="Arial" w:cs="Arial"/>
          <w:sz w:val="20"/>
          <w:szCs w:val="20"/>
          <w:lang w:val="en-US"/>
        </w:rPr>
      </w:pPr>
      <w:r w:rsidRPr="000620C4">
        <w:rPr>
          <w:rFonts w:ascii="Arial" w:hAnsi="Arial" w:cs="Arial"/>
          <w:sz w:val="20"/>
          <w:szCs w:val="20"/>
          <w:lang w:val="en-US"/>
        </w:rPr>
        <w:t>Table 6 presents the non-carcinogenic risk quotient (THQ) and the non-carcinogenic risk index (HI). For all heavy metals Fe, Ni, Cu, Zn</w:t>
      </w:r>
      <w:r w:rsidR="007272BF" w:rsidRPr="000620C4">
        <w:rPr>
          <w:rFonts w:ascii="Arial" w:hAnsi="Arial" w:cs="Arial"/>
          <w:sz w:val="20"/>
          <w:szCs w:val="20"/>
          <w:lang w:val="en-US"/>
        </w:rPr>
        <w:t xml:space="preserve"> and</w:t>
      </w:r>
      <w:r w:rsidRPr="000620C4">
        <w:rPr>
          <w:rFonts w:ascii="Arial" w:hAnsi="Arial" w:cs="Arial"/>
          <w:sz w:val="20"/>
          <w:szCs w:val="20"/>
          <w:lang w:val="en-US"/>
        </w:rPr>
        <w:t xml:space="preserve"> Cd in the various organs of </w:t>
      </w:r>
      <w:r w:rsidR="007272BF" w:rsidRPr="000620C4">
        <w:rPr>
          <w:rFonts w:ascii="Arial" w:hAnsi="Arial" w:cs="Arial"/>
          <w:sz w:val="20"/>
          <w:szCs w:val="20"/>
          <w:lang w:val="en-US"/>
        </w:rPr>
        <w:t>sweet potato</w:t>
      </w:r>
      <w:r w:rsidRPr="000620C4">
        <w:rPr>
          <w:rFonts w:ascii="Arial" w:hAnsi="Arial" w:cs="Arial"/>
          <w:sz w:val="20"/>
          <w:szCs w:val="20"/>
          <w:lang w:val="en-US"/>
        </w:rPr>
        <w:t xml:space="preserve">, the THQ values ​​are all less than 1. These findings suggest that the consumption of preparations made from </w:t>
      </w:r>
      <w:r w:rsidR="00414E08" w:rsidRPr="000620C4">
        <w:rPr>
          <w:rFonts w:ascii="Arial" w:hAnsi="Arial" w:cs="Arial"/>
          <w:sz w:val="20"/>
          <w:szCs w:val="20"/>
          <w:lang w:val="en-US"/>
        </w:rPr>
        <w:t>leaves</w:t>
      </w:r>
      <w:r w:rsidRPr="000620C4">
        <w:rPr>
          <w:rFonts w:ascii="Arial" w:hAnsi="Arial" w:cs="Arial"/>
          <w:sz w:val="20"/>
          <w:szCs w:val="20"/>
          <w:lang w:val="en-US"/>
        </w:rPr>
        <w:t xml:space="preserve">, </w:t>
      </w:r>
      <w:r w:rsidR="00414E08" w:rsidRPr="000620C4">
        <w:rPr>
          <w:rFonts w:ascii="Arial" w:hAnsi="Arial" w:cs="Arial"/>
          <w:sz w:val="20"/>
          <w:szCs w:val="20"/>
          <w:lang w:val="en-US"/>
        </w:rPr>
        <w:t>peels</w:t>
      </w:r>
      <w:r w:rsidRPr="000620C4">
        <w:rPr>
          <w:rFonts w:ascii="Arial" w:hAnsi="Arial" w:cs="Arial"/>
          <w:sz w:val="20"/>
          <w:szCs w:val="20"/>
          <w:lang w:val="en-US"/>
        </w:rPr>
        <w:t xml:space="preserve">, or </w:t>
      </w:r>
      <w:r w:rsidR="00414E08" w:rsidRPr="000620C4">
        <w:rPr>
          <w:rFonts w:ascii="Arial" w:hAnsi="Arial" w:cs="Arial"/>
          <w:sz w:val="20"/>
          <w:szCs w:val="20"/>
          <w:lang w:val="en-US"/>
        </w:rPr>
        <w:t>flesh</w:t>
      </w:r>
      <w:r w:rsidRPr="000620C4">
        <w:rPr>
          <w:rFonts w:ascii="Arial" w:hAnsi="Arial" w:cs="Arial"/>
          <w:sz w:val="20"/>
          <w:szCs w:val="20"/>
          <w:lang w:val="en-US"/>
        </w:rPr>
        <w:t xml:space="preserve"> of </w:t>
      </w:r>
      <w:r w:rsidR="00414E08" w:rsidRPr="000620C4">
        <w:rPr>
          <w:rFonts w:ascii="Arial" w:hAnsi="Arial" w:cs="Arial"/>
          <w:sz w:val="20"/>
          <w:szCs w:val="20"/>
          <w:lang w:val="en-US"/>
        </w:rPr>
        <w:t xml:space="preserve">sweet potato </w:t>
      </w:r>
      <w:r w:rsidRPr="000620C4">
        <w:rPr>
          <w:rFonts w:ascii="Arial" w:hAnsi="Arial" w:cs="Arial"/>
          <w:sz w:val="20"/>
          <w:szCs w:val="20"/>
          <w:lang w:val="en-US"/>
        </w:rPr>
        <w:t xml:space="preserve">poses no health risks to consumers. The HI values ​​are less than 1 for </w:t>
      </w:r>
      <w:r w:rsidR="00E60205" w:rsidRPr="000620C4">
        <w:rPr>
          <w:rFonts w:ascii="Arial" w:hAnsi="Arial" w:cs="Arial"/>
          <w:sz w:val="20"/>
          <w:szCs w:val="20"/>
          <w:lang w:val="en-US"/>
        </w:rPr>
        <w:t>leaves, peels and flesh of sweet potato</w:t>
      </w:r>
      <w:r w:rsidRPr="000620C4">
        <w:rPr>
          <w:rFonts w:ascii="Arial" w:hAnsi="Arial" w:cs="Arial"/>
          <w:sz w:val="20"/>
          <w:szCs w:val="20"/>
          <w:lang w:val="en-US"/>
        </w:rPr>
        <w:t xml:space="preserve">. This indicates that the combined effects of the various heavy metals in </w:t>
      </w:r>
      <w:r w:rsidR="00817C39" w:rsidRPr="000620C4">
        <w:rPr>
          <w:rFonts w:ascii="Arial" w:hAnsi="Arial" w:cs="Arial"/>
          <w:sz w:val="20"/>
          <w:szCs w:val="20"/>
          <w:lang w:val="en-US"/>
        </w:rPr>
        <w:t xml:space="preserve">sweet </w:t>
      </w:r>
      <w:r w:rsidR="00E60205" w:rsidRPr="000620C4">
        <w:rPr>
          <w:rFonts w:ascii="Arial" w:hAnsi="Arial" w:cs="Arial"/>
          <w:sz w:val="20"/>
          <w:szCs w:val="20"/>
          <w:lang w:val="en-US"/>
        </w:rPr>
        <w:t>potato and its byproducts</w:t>
      </w:r>
      <w:r w:rsidRPr="000620C4">
        <w:rPr>
          <w:rFonts w:ascii="Arial" w:hAnsi="Arial" w:cs="Arial"/>
          <w:sz w:val="20"/>
          <w:szCs w:val="20"/>
          <w:lang w:val="en-US"/>
        </w:rPr>
        <w:t xml:space="preserve"> preparations pose no long-term health risks to consumers. Our results are similar to those reported by other authors wh</w:t>
      </w:r>
      <w:r w:rsidR="00221EAA">
        <w:rPr>
          <w:rFonts w:ascii="Arial" w:hAnsi="Arial" w:cs="Arial"/>
          <w:sz w:val="20"/>
          <w:szCs w:val="20"/>
          <w:lang w:val="en-US"/>
        </w:rPr>
        <w:t>o</w:t>
      </w:r>
      <w:r w:rsidRPr="000620C4">
        <w:rPr>
          <w:rFonts w:ascii="Arial" w:hAnsi="Arial" w:cs="Arial"/>
          <w:sz w:val="20"/>
          <w:szCs w:val="20"/>
          <w:lang w:val="en-US"/>
        </w:rPr>
        <w:t xml:space="preserve"> report THQ </w:t>
      </w:r>
      <w:r w:rsidR="00F629F4" w:rsidRPr="000620C4">
        <w:rPr>
          <w:rFonts w:ascii="Arial" w:hAnsi="Arial" w:cs="Arial"/>
          <w:sz w:val="20"/>
          <w:szCs w:val="20"/>
          <w:lang w:val="en-US"/>
        </w:rPr>
        <w:t xml:space="preserve">and HI </w:t>
      </w:r>
      <w:r w:rsidRPr="000620C4">
        <w:rPr>
          <w:rFonts w:ascii="Arial" w:hAnsi="Arial" w:cs="Arial"/>
          <w:sz w:val="20"/>
          <w:szCs w:val="20"/>
          <w:lang w:val="en-US"/>
        </w:rPr>
        <w:t xml:space="preserve">values ​​lower than 1 </w:t>
      </w:r>
      <w:r w:rsidR="00F629F4" w:rsidRPr="000620C4">
        <w:rPr>
          <w:rFonts w:ascii="Arial" w:hAnsi="Arial" w:cs="Arial"/>
          <w:sz w:val="20"/>
          <w:szCs w:val="20"/>
          <w:lang w:val="en-US"/>
        </w:rPr>
        <w:t xml:space="preserve">for numerous varieties of sweet potatoes </w:t>
      </w:r>
      <w:r w:rsidR="00C766E3" w:rsidRPr="000620C4">
        <w:rPr>
          <w:rFonts w:ascii="Arial" w:hAnsi="Arial" w:cs="Arial"/>
          <w:sz w:val="20"/>
          <w:szCs w:val="20"/>
          <w:lang w:val="en-US"/>
        </w:rPr>
        <w:fldChar w:fldCharType="begin"/>
      </w:r>
      <w:r w:rsidR="00CD7568" w:rsidRPr="000620C4">
        <w:rPr>
          <w:rFonts w:ascii="Arial" w:hAnsi="Arial" w:cs="Arial"/>
          <w:sz w:val="20"/>
          <w:szCs w:val="20"/>
          <w:lang w:val="en-US"/>
        </w:rPr>
        <w:instrText xml:space="preserve"> ADDIN ZOTERO_ITEM CSL_CITATION {"citationID":"6PSrsOTy","properties":{"formattedCitation":"(Huang et al., 2020; Liu et al., 2024)","plainCitation":"(Huang et al., 2020; Liu et al., 2024)","noteIndex":0},"citationItems":[{"id":3453,"uris":["http://zotero.org/users/local/JzcqJHT8/items/6KY7W5MG"],"itemData":{"id":3453,"type":"article-journal","abstract":"Planting sweet potato (Ipomoea batatas (L.) Lam.) instead of rice in the area contaminated with heavy metals is one of the measures to ensure people's health and agricultural economy. Therefore, it is important to screen the low accumulation cultivars of sweet potato and to find out the concentration rule of cadmium (Cd) and lead (Pb) in edible parts along with the associated health risks to humans. A field experiment was performed with fourteen of three main types (starch, purple, and edible-type) of sweet potato cultivars grown on farmland polluted with Cd and Pb in eastern Hunan Province, China. The Cd and Pb concentrations in the sweet potato tissues as well as the yield were measured. The yield of the shoot and tuberous root of the fourteen sweet potato cultivars ranged from 14.59 to 68.57 and 26.35–50.76 t ha−1 with mean values of 33.09 and 33.46 t ha−1, respectively. Compared with purple and edible-type cultivars, the starch-type cultivar had lower Cd and Pb concentrations in the flesh, but higher in the shoot. The Cd and Pb concentrations in the flesh of cultivars Shangshu 19, Sushu 24, Yushu 98, and Xiangshu 98 were lower than MCL provided in Chinese National Food Safety Standards GB2762-2017. Based on the hazard index (HI), the consumption of sweet potato flesh is lower health risk, while shoots pose a greater health risk to local people and Cd is the main cause of the risk. As a result, sweet potato cultivars Shangshu 19, Sushu 24, Yushu 98 and Xiangshu 98 can be plant in serve Cd and Pb contaminated soils with the advantages of easy cultivation, high yield and economic benefits without stopping agricultural production.","container-title":"Ecotoxicology and Environmental Safety","DOI":"https://doi.org/10.1016/j.ecoenv.2020.111012","ISSN":"0147-6513","page":"111012","title":"Differences in absorption of cadmium and lead among fourteen sweet potato cultivars and health risk assessment","volume":"203","author":[{"family":"Huang","given":"Fang"},{"family":"Zhou","given":"Hong"},{"family":"Gu","given":"Jiaofeng"},{"family":"Liu","given":"Canyang"},{"family":"Yang","given":"Wenjun"},{"family":"Liao","given":"Bohan"},{"family":"Zhou","given":"Hang"}],"issued":{"date-parts":[["2020"]]}},"label":"page"},{"id":3454,"uris":["http://zotero.org/users/local/JzcqJHT8/items/FGTZR9Q9"],"itemData":{"id":3454,"type":"article-journal","abstract":"Tuber crops (TCs) are an important food source for people; however, the contamination of TCs by heavy metals (HMs) has not received sufficient attention. In this study, 253 batches of TCs samples containing HMs (Pb, Cd, Cr, Hg, As) were collected to investigate the contamination status and health risks. The results showed that different TCs contained different concentrations of HMs, while cassava exhibited the highest levels of each HM. In terms of health risks, the non-carcinogenic and carcinogenic risks associated with TCs consumption were in the “Negligible risk”, “Cautionary risk”, respectively. On the economic and age scales, the health risk concerning TCs consumption varied. The health risks increased when cassava was included in the diet. Field experiments were conducted to explore the factors influencing the accumulation of HMs and propose measures to control HMs contamination. When measures were taken to intervene in the factors (soil HMs, soil organic matter, soil pH and cassava variety) affecting the HMs content in cassava, the health risks were significantly reduced, with a maximum reduction of 43.71% and 17.50% in non-carcinogenic and carcinogenic risks, respectively. This study provides ideas for the pollution management of HMs in TCs.","container-title":"Food Control","DOI":"https://doi.org/10.1016/j.foodcont.2024.110516","ISSN":"0956-7135","page":"110516","title":"Contamination status, risk assessment, and control measures of heavy metals in tuber crops","volume":"164","author":[{"family":"Liu","given":"Yuqi"},{"family":"Zhang","given":"Liuquan"},{"family":"Li","given":"Ye"},{"family":"Xu","given":"Minghao"},{"family":"Ji","given":"Shengyang"},{"family":"Pan","given":"Qiannan"},{"family":"Zhang","given":"Jinzheng"},{"family":"Lu","given":"Xiaojing"},{"family":"Li","given":"Kaimian"},{"family":"Lu","given":"Baiyi"}],"issued":{"date-parts":[["2024"]]}},"label":"page"}],"schema":"https://github.com/citation-style-language/schema/raw/master/csl-citation.json"} </w:instrText>
      </w:r>
      <w:r w:rsidR="00C766E3" w:rsidRPr="000620C4">
        <w:rPr>
          <w:rFonts w:ascii="Arial" w:hAnsi="Arial" w:cs="Arial"/>
          <w:sz w:val="20"/>
          <w:szCs w:val="20"/>
          <w:lang w:val="en-US"/>
        </w:rPr>
        <w:fldChar w:fldCharType="separate"/>
      </w:r>
      <w:r w:rsidR="00CD7568" w:rsidRPr="000620C4">
        <w:rPr>
          <w:rFonts w:ascii="Arial" w:hAnsi="Arial" w:cs="Arial"/>
          <w:sz w:val="20"/>
          <w:szCs w:val="20"/>
          <w:lang w:val="en-US"/>
        </w:rPr>
        <w:t>(Huang et al., 2020; Liu et al., 2024)</w:t>
      </w:r>
      <w:r w:rsidR="00C766E3" w:rsidRPr="000620C4">
        <w:rPr>
          <w:rFonts w:ascii="Arial" w:hAnsi="Arial" w:cs="Arial"/>
          <w:sz w:val="20"/>
          <w:szCs w:val="20"/>
          <w:lang w:val="en-US"/>
        </w:rPr>
        <w:fldChar w:fldCharType="end"/>
      </w:r>
      <w:r w:rsidR="00CD7568" w:rsidRPr="000620C4">
        <w:rPr>
          <w:rFonts w:ascii="Arial" w:hAnsi="Arial" w:cs="Arial"/>
          <w:sz w:val="20"/>
          <w:szCs w:val="20"/>
          <w:lang w:val="en-US"/>
        </w:rPr>
        <w:t>.</w:t>
      </w:r>
    </w:p>
    <w:p w14:paraId="18DC97D8"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p>
    <w:p w14:paraId="61B9F87B" w14:textId="77777777" w:rsidR="00467664" w:rsidRPr="000620C4" w:rsidRDefault="00467664" w:rsidP="005A6A25">
      <w:pPr>
        <w:spacing w:after="240" w:line="240" w:lineRule="auto"/>
        <w:jc w:val="left"/>
        <w:rPr>
          <w:rFonts w:ascii="Arial" w:eastAsia="Times New Roman" w:hAnsi="Arial" w:cs="Arial"/>
          <w:b/>
          <w:bCs/>
          <w:color w:val="000000"/>
          <w:kern w:val="0"/>
          <w:sz w:val="20"/>
          <w:szCs w:val="20"/>
          <w:lang w:val="en-US"/>
          <w14:ligatures w14:val="none"/>
        </w:rPr>
      </w:pPr>
      <w:r w:rsidRPr="000620C4">
        <w:rPr>
          <w:rFonts w:ascii="Arial" w:hAnsi="Arial" w:cs="Arial"/>
          <w:b/>
          <w:bCs/>
          <w:sz w:val="20"/>
          <w:szCs w:val="20"/>
          <w:lang w:val="en-US"/>
        </w:rPr>
        <w:t xml:space="preserve">Table 6. </w:t>
      </w:r>
      <w:r w:rsidRPr="000620C4">
        <w:rPr>
          <w:rFonts w:ascii="Arial" w:eastAsia="Times New Roman" w:hAnsi="Arial" w:cs="Arial"/>
          <w:b/>
          <w:bCs/>
          <w:color w:val="000000"/>
          <w:kern w:val="0"/>
          <w:sz w:val="20"/>
          <w:szCs w:val="20"/>
          <w:lang w:val="en-US"/>
          <w14:ligatures w14:val="none"/>
        </w:rPr>
        <w:t xml:space="preserve">HQ and HI (mg/kg/day) of each heavy metal </w:t>
      </w:r>
      <w:r w:rsidRPr="000620C4">
        <w:rPr>
          <w:rFonts w:ascii="Arial" w:hAnsi="Arial" w:cs="Arial"/>
          <w:b/>
          <w:bCs/>
          <w:sz w:val="20"/>
          <w:szCs w:val="20"/>
          <w:lang w:val="en-US"/>
        </w:rPr>
        <w:t xml:space="preserve">in leaves, peels and peeled tubers </w:t>
      </w:r>
      <w:r w:rsidRPr="000620C4">
        <w:rPr>
          <w:rFonts w:ascii="Arial" w:eastAsia="Times New Roman" w:hAnsi="Arial" w:cs="Arial"/>
          <w:b/>
          <w:bCs/>
          <w:color w:val="000000"/>
          <w:kern w:val="0"/>
          <w:sz w:val="20"/>
          <w:szCs w:val="20"/>
          <w:lang w:val="en-US"/>
          <w14:ligatures w14:val="none"/>
        </w:rPr>
        <w:t>for adults</w:t>
      </w:r>
    </w:p>
    <w:tbl>
      <w:tblPr>
        <w:tblW w:w="6658" w:type="dxa"/>
        <w:tblLook w:val="04A0" w:firstRow="1" w:lastRow="0" w:firstColumn="1" w:lastColumn="0" w:noHBand="0" w:noVBand="1"/>
      </w:tblPr>
      <w:tblGrid>
        <w:gridCol w:w="1200"/>
        <w:gridCol w:w="1914"/>
        <w:gridCol w:w="1843"/>
        <w:gridCol w:w="1701"/>
      </w:tblGrid>
      <w:tr w:rsidR="00467664" w:rsidRPr="000620C4" w14:paraId="6C7E48A2" w14:textId="77777777" w:rsidTr="000C02E2">
        <w:trPr>
          <w:trHeight w:val="300"/>
        </w:trPr>
        <w:tc>
          <w:tcPr>
            <w:tcW w:w="1200" w:type="dxa"/>
            <w:tcBorders>
              <w:top w:val="single" w:sz="12" w:space="0" w:color="auto"/>
              <w:bottom w:val="single" w:sz="12" w:space="0" w:color="auto"/>
            </w:tcBorders>
            <w:noWrap/>
            <w:vAlign w:val="bottom"/>
            <w:hideMark/>
          </w:tcPr>
          <w:p w14:paraId="367E7DAC" w14:textId="77777777"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Element</w:t>
            </w:r>
          </w:p>
        </w:tc>
        <w:tc>
          <w:tcPr>
            <w:tcW w:w="1914" w:type="dxa"/>
            <w:tcBorders>
              <w:top w:val="single" w:sz="12" w:space="0" w:color="auto"/>
              <w:bottom w:val="single" w:sz="12" w:space="0" w:color="auto"/>
            </w:tcBorders>
            <w:noWrap/>
            <w:vAlign w:val="bottom"/>
            <w:hideMark/>
          </w:tcPr>
          <w:p w14:paraId="2DA7F40C" w14:textId="77777777"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THQ (Leaves)</w:t>
            </w:r>
          </w:p>
        </w:tc>
        <w:tc>
          <w:tcPr>
            <w:tcW w:w="1843" w:type="dxa"/>
            <w:tcBorders>
              <w:top w:val="single" w:sz="12" w:space="0" w:color="auto"/>
              <w:bottom w:val="single" w:sz="12" w:space="0" w:color="auto"/>
            </w:tcBorders>
            <w:noWrap/>
            <w:vAlign w:val="bottom"/>
            <w:hideMark/>
          </w:tcPr>
          <w:p w14:paraId="1F4A2B8E" w14:textId="77777777"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THQ (Peels)</w:t>
            </w:r>
          </w:p>
        </w:tc>
        <w:tc>
          <w:tcPr>
            <w:tcW w:w="1701" w:type="dxa"/>
            <w:tcBorders>
              <w:top w:val="single" w:sz="12" w:space="0" w:color="auto"/>
              <w:bottom w:val="single" w:sz="12" w:space="0" w:color="auto"/>
            </w:tcBorders>
            <w:noWrap/>
            <w:vAlign w:val="bottom"/>
            <w:hideMark/>
          </w:tcPr>
          <w:p w14:paraId="7B75AD17" w14:textId="647410A5"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THQ (</w:t>
            </w:r>
            <w:r w:rsidR="000C02E2" w:rsidRPr="000620C4">
              <w:rPr>
                <w:rFonts w:ascii="Arial" w:eastAsia="Times New Roman" w:hAnsi="Arial" w:cs="Arial"/>
                <w:b/>
                <w:bCs/>
                <w:color w:val="000000"/>
                <w:kern w:val="0"/>
                <w:sz w:val="20"/>
                <w:szCs w:val="20"/>
                <w:lang w:val="en-US"/>
                <w14:ligatures w14:val="none"/>
              </w:rPr>
              <w:t>Flesh</w:t>
            </w:r>
            <w:r w:rsidRPr="000620C4">
              <w:rPr>
                <w:rFonts w:ascii="Arial" w:eastAsia="Times New Roman" w:hAnsi="Arial" w:cs="Arial"/>
                <w:b/>
                <w:bCs/>
                <w:color w:val="000000"/>
                <w:kern w:val="0"/>
                <w:sz w:val="20"/>
                <w:szCs w:val="20"/>
                <w:lang w:val="en-US"/>
                <w14:ligatures w14:val="none"/>
              </w:rPr>
              <w:t>)</w:t>
            </w:r>
          </w:p>
        </w:tc>
      </w:tr>
      <w:tr w:rsidR="00467664" w:rsidRPr="000620C4" w14:paraId="33AF0B3E" w14:textId="77777777" w:rsidTr="000C02E2">
        <w:trPr>
          <w:trHeight w:val="300"/>
        </w:trPr>
        <w:tc>
          <w:tcPr>
            <w:tcW w:w="1200" w:type="dxa"/>
            <w:tcBorders>
              <w:top w:val="single" w:sz="12" w:space="0" w:color="auto"/>
            </w:tcBorders>
            <w:noWrap/>
            <w:vAlign w:val="bottom"/>
            <w:hideMark/>
          </w:tcPr>
          <w:p w14:paraId="43B563AA"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Fe</w:t>
            </w:r>
          </w:p>
        </w:tc>
        <w:tc>
          <w:tcPr>
            <w:tcW w:w="1914" w:type="dxa"/>
            <w:tcBorders>
              <w:top w:val="single" w:sz="12" w:space="0" w:color="auto"/>
            </w:tcBorders>
            <w:noWrap/>
            <w:vAlign w:val="bottom"/>
            <w:hideMark/>
          </w:tcPr>
          <w:p w14:paraId="20BD517E"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2.476 x 10</w:t>
            </w:r>
            <w:r w:rsidRPr="000620C4">
              <w:rPr>
                <w:rFonts w:ascii="Arial" w:eastAsia="Times New Roman" w:hAnsi="Arial" w:cs="Arial"/>
                <w:color w:val="000000"/>
                <w:kern w:val="0"/>
                <w:sz w:val="20"/>
                <w:szCs w:val="20"/>
                <w:vertAlign w:val="superscript"/>
                <w:lang w:val="en-US"/>
                <w14:ligatures w14:val="none"/>
              </w:rPr>
              <w:t>-2</w:t>
            </w:r>
          </w:p>
        </w:tc>
        <w:tc>
          <w:tcPr>
            <w:tcW w:w="1843" w:type="dxa"/>
            <w:tcBorders>
              <w:top w:val="single" w:sz="12" w:space="0" w:color="auto"/>
            </w:tcBorders>
            <w:noWrap/>
            <w:vAlign w:val="bottom"/>
            <w:hideMark/>
          </w:tcPr>
          <w:p w14:paraId="19EC155C"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4.293 x 10</w:t>
            </w:r>
            <w:r w:rsidRPr="000620C4">
              <w:rPr>
                <w:rFonts w:ascii="Arial" w:eastAsia="Times New Roman" w:hAnsi="Arial" w:cs="Arial"/>
                <w:color w:val="000000"/>
                <w:kern w:val="0"/>
                <w:sz w:val="20"/>
                <w:szCs w:val="20"/>
                <w:vertAlign w:val="superscript"/>
                <w:lang w:val="en-US"/>
                <w14:ligatures w14:val="none"/>
              </w:rPr>
              <w:t>-3</w:t>
            </w:r>
          </w:p>
        </w:tc>
        <w:tc>
          <w:tcPr>
            <w:tcW w:w="1701" w:type="dxa"/>
            <w:tcBorders>
              <w:top w:val="single" w:sz="12" w:space="0" w:color="auto"/>
            </w:tcBorders>
            <w:noWrap/>
            <w:vAlign w:val="bottom"/>
            <w:hideMark/>
          </w:tcPr>
          <w:p w14:paraId="10FC21F2"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1.787 x 10</w:t>
            </w:r>
            <w:r w:rsidRPr="000620C4">
              <w:rPr>
                <w:rFonts w:ascii="Arial" w:eastAsia="Times New Roman" w:hAnsi="Arial" w:cs="Arial"/>
                <w:color w:val="000000"/>
                <w:kern w:val="0"/>
                <w:sz w:val="20"/>
                <w:szCs w:val="20"/>
                <w:vertAlign w:val="superscript"/>
                <w:lang w:val="en-US"/>
                <w14:ligatures w14:val="none"/>
              </w:rPr>
              <w:t>-2</w:t>
            </w:r>
          </w:p>
        </w:tc>
      </w:tr>
      <w:tr w:rsidR="00467664" w:rsidRPr="000620C4" w14:paraId="739B5C0B" w14:textId="77777777" w:rsidTr="000C02E2">
        <w:trPr>
          <w:trHeight w:val="300"/>
        </w:trPr>
        <w:tc>
          <w:tcPr>
            <w:tcW w:w="1200" w:type="dxa"/>
            <w:noWrap/>
            <w:vAlign w:val="bottom"/>
            <w:hideMark/>
          </w:tcPr>
          <w:p w14:paraId="5D4F2A8E"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Ni</w:t>
            </w:r>
          </w:p>
        </w:tc>
        <w:tc>
          <w:tcPr>
            <w:tcW w:w="1914" w:type="dxa"/>
            <w:noWrap/>
            <w:vAlign w:val="bottom"/>
            <w:hideMark/>
          </w:tcPr>
          <w:p w14:paraId="41206C0B"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1.799 x 10</w:t>
            </w:r>
            <w:r w:rsidRPr="000620C4">
              <w:rPr>
                <w:rFonts w:ascii="Arial" w:eastAsia="Times New Roman" w:hAnsi="Arial" w:cs="Arial"/>
                <w:color w:val="000000"/>
                <w:kern w:val="0"/>
                <w:sz w:val="20"/>
                <w:szCs w:val="20"/>
                <w:vertAlign w:val="superscript"/>
                <w:lang w:val="en-US"/>
                <w14:ligatures w14:val="none"/>
              </w:rPr>
              <w:t>-1</w:t>
            </w:r>
          </w:p>
        </w:tc>
        <w:tc>
          <w:tcPr>
            <w:tcW w:w="1843" w:type="dxa"/>
            <w:noWrap/>
            <w:vAlign w:val="bottom"/>
            <w:hideMark/>
          </w:tcPr>
          <w:p w14:paraId="13DDAF6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1.098 x 10</w:t>
            </w:r>
            <w:r w:rsidRPr="000620C4">
              <w:rPr>
                <w:rFonts w:ascii="Arial" w:eastAsia="Times New Roman" w:hAnsi="Arial" w:cs="Arial"/>
                <w:color w:val="000000"/>
                <w:kern w:val="0"/>
                <w:sz w:val="20"/>
                <w:szCs w:val="20"/>
                <w:vertAlign w:val="superscript"/>
                <w:lang w:val="en-US"/>
                <w14:ligatures w14:val="none"/>
              </w:rPr>
              <w:t>-1</w:t>
            </w:r>
          </w:p>
        </w:tc>
        <w:tc>
          <w:tcPr>
            <w:tcW w:w="1701" w:type="dxa"/>
            <w:noWrap/>
            <w:vAlign w:val="bottom"/>
            <w:hideMark/>
          </w:tcPr>
          <w:p w14:paraId="3A9EA7E2"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2.668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73861F21" w14:textId="77777777" w:rsidTr="000C02E2">
        <w:trPr>
          <w:trHeight w:val="300"/>
        </w:trPr>
        <w:tc>
          <w:tcPr>
            <w:tcW w:w="1200" w:type="dxa"/>
            <w:noWrap/>
            <w:vAlign w:val="bottom"/>
            <w:hideMark/>
          </w:tcPr>
          <w:p w14:paraId="2A27151F"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Cu</w:t>
            </w:r>
          </w:p>
        </w:tc>
        <w:tc>
          <w:tcPr>
            <w:tcW w:w="1914" w:type="dxa"/>
            <w:noWrap/>
            <w:vAlign w:val="bottom"/>
            <w:hideMark/>
          </w:tcPr>
          <w:p w14:paraId="38621B4E"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7.896 x 10</w:t>
            </w:r>
            <w:r w:rsidRPr="000620C4">
              <w:rPr>
                <w:rFonts w:ascii="Arial" w:eastAsia="Times New Roman" w:hAnsi="Arial" w:cs="Arial"/>
                <w:color w:val="000000"/>
                <w:kern w:val="0"/>
                <w:sz w:val="20"/>
                <w:szCs w:val="20"/>
                <w:vertAlign w:val="superscript"/>
                <w:lang w:val="en-US"/>
                <w14:ligatures w14:val="none"/>
              </w:rPr>
              <w:t>-2</w:t>
            </w:r>
          </w:p>
        </w:tc>
        <w:tc>
          <w:tcPr>
            <w:tcW w:w="1843" w:type="dxa"/>
            <w:noWrap/>
            <w:vAlign w:val="bottom"/>
            <w:hideMark/>
          </w:tcPr>
          <w:p w14:paraId="26BE5F65"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4.818 x 10</w:t>
            </w:r>
            <w:r w:rsidRPr="000620C4">
              <w:rPr>
                <w:rFonts w:ascii="Arial" w:eastAsia="Times New Roman" w:hAnsi="Arial" w:cs="Arial"/>
                <w:color w:val="000000"/>
                <w:kern w:val="0"/>
                <w:sz w:val="20"/>
                <w:szCs w:val="20"/>
                <w:vertAlign w:val="superscript"/>
                <w:lang w:val="en-US"/>
                <w14:ligatures w14:val="none"/>
              </w:rPr>
              <w:t>-2</w:t>
            </w:r>
          </w:p>
        </w:tc>
        <w:tc>
          <w:tcPr>
            <w:tcW w:w="1701" w:type="dxa"/>
            <w:noWrap/>
            <w:vAlign w:val="bottom"/>
            <w:hideMark/>
          </w:tcPr>
          <w:p w14:paraId="705E7A48"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3.097 x 10</w:t>
            </w:r>
            <w:r w:rsidRPr="000620C4">
              <w:rPr>
                <w:rFonts w:ascii="Arial" w:eastAsia="Times New Roman" w:hAnsi="Arial" w:cs="Arial"/>
                <w:color w:val="000000"/>
                <w:kern w:val="0"/>
                <w:sz w:val="20"/>
                <w:szCs w:val="20"/>
                <w:vertAlign w:val="superscript"/>
                <w:lang w:val="en-US"/>
                <w14:ligatures w14:val="none"/>
              </w:rPr>
              <w:t>-2</w:t>
            </w:r>
          </w:p>
        </w:tc>
      </w:tr>
      <w:tr w:rsidR="00467664" w:rsidRPr="000620C4" w14:paraId="583D0BAE" w14:textId="77777777" w:rsidTr="000C02E2">
        <w:trPr>
          <w:trHeight w:val="300"/>
        </w:trPr>
        <w:tc>
          <w:tcPr>
            <w:tcW w:w="1200" w:type="dxa"/>
            <w:noWrap/>
            <w:vAlign w:val="bottom"/>
            <w:hideMark/>
          </w:tcPr>
          <w:p w14:paraId="7B65224E"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Zn</w:t>
            </w:r>
          </w:p>
        </w:tc>
        <w:tc>
          <w:tcPr>
            <w:tcW w:w="1914" w:type="dxa"/>
            <w:noWrap/>
            <w:vAlign w:val="bottom"/>
            <w:hideMark/>
          </w:tcPr>
          <w:p w14:paraId="71E20B23"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3.091 x 10</w:t>
            </w:r>
            <w:r w:rsidRPr="000620C4">
              <w:rPr>
                <w:rFonts w:ascii="Arial" w:eastAsia="Times New Roman" w:hAnsi="Arial" w:cs="Arial"/>
                <w:color w:val="000000"/>
                <w:kern w:val="0"/>
                <w:sz w:val="20"/>
                <w:szCs w:val="20"/>
                <w:vertAlign w:val="superscript"/>
                <w:lang w:val="en-US"/>
                <w14:ligatures w14:val="none"/>
              </w:rPr>
              <w:t>-2</w:t>
            </w:r>
          </w:p>
        </w:tc>
        <w:tc>
          <w:tcPr>
            <w:tcW w:w="1843" w:type="dxa"/>
            <w:noWrap/>
            <w:vAlign w:val="bottom"/>
            <w:hideMark/>
          </w:tcPr>
          <w:p w14:paraId="07D220D9"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1.333 x 10</w:t>
            </w:r>
            <w:r w:rsidRPr="000620C4">
              <w:rPr>
                <w:rFonts w:ascii="Arial" w:eastAsia="Times New Roman" w:hAnsi="Arial" w:cs="Arial"/>
                <w:color w:val="000000"/>
                <w:kern w:val="0"/>
                <w:sz w:val="20"/>
                <w:szCs w:val="20"/>
                <w:vertAlign w:val="superscript"/>
                <w:lang w:val="en-US"/>
                <w14:ligatures w14:val="none"/>
              </w:rPr>
              <w:t>-2</w:t>
            </w:r>
          </w:p>
        </w:tc>
        <w:tc>
          <w:tcPr>
            <w:tcW w:w="1701" w:type="dxa"/>
            <w:noWrap/>
            <w:vAlign w:val="bottom"/>
            <w:hideMark/>
          </w:tcPr>
          <w:p w14:paraId="2342E44C"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1.176 x 10</w:t>
            </w:r>
            <w:r w:rsidRPr="000620C4">
              <w:rPr>
                <w:rFonts w:ascii="Arial" w:eastAsia="Times New Roman" w:hAnsi="Arial" w:cs="Arial"/>
                <w:color w:val="000000"/>
                <w:kern w:val="0"/>
                <w:sz w:val="20"/>
                <w:szCs w:val="20"/>
                <w:vertAlign w:val="superscript"/>
                <w:lang w:val="en-US"/>
                <w14:ligatures w14:val="none"/>
              </w:rPr>
              <w:t>-2</w:t>
            </w:r>
          </w:p>
        </w:tc>
      </w:tr>
      <w:tr w:rsidR="00467664" w:rsidRPr="000620C4" w14:paraId="2F1D70AD" w14:textId="77777777" w:rsidTr="000C02E2">
        <w:trPr>
          <w:trHeight w:val="300"/>
        </w:trPr>
        <w:tc>
          <w:tcPr>
            <w:tcW w:w="1200" w:type="dxa"/>
            <w:tcBorders>
              <w:bottom w:val="single" w:sz="12" w:space="0" w:color="auto"/>
            </w:tcBorders>
            <w:noWrap/>
            <w:vAlign w:val="bottom"/>
            <w:hideMark/>
          </w:tcPr>
          <w:p w14:paraId="38F5E468"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Cd</w:t>
            </w:r>
          </w:p>
        </w:tc>
        <w:tc>
          <w:tcPr>
            <w:tcW w:w="1914" w:type="dxa"/>
            <w:tcBorders>
              <w:bottom w:val="single" w:sz="12" w:space="0" w:color="auto"/>
            </w:tcBorders>
            <w:noWrap/>
            <w:vAlign w:val="bottom"/>
            <w:hideMark/>
          </w:tcPr>
          <w:p w14:paraId="4C484D9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1.455 x 10</w:t>
            </w:r>
            <w:r w:rsidRPr="000620C4">
              <w:rPr>
                <w:rFonts w:ascii="Arial" w:eastAsia="Times New Roman" w:hAnsi="Arial" w:cs="Arial"/>
                <w:color w:val="000000"/>
                <w:kern w:val="0"/>
                <w:sz w:val="20"/>
                <w:szCs w:val="20"/>
                <w:vertAlign w:val="superscript"/>
                <w:lang w:val="en-US"/>
                <w14:ligatures w14:val="none"/>
              </w:rPr>
              <w:t>-1</w:t>
            </w:r>
          </w:p>
        </w:tc>
        <w:tc>
          <w:tcPr>
            <w:tcW w:w="1843" w:type="dxa"/>
            <w:tcBorders>
              <w:bottom w:val="single" w:sz="12" w:space="0" w:color="auto"/>
            </w:tcBorders>
            <w:noWrap/>
            <w:vAlign w:val="bottom"/>
            <w:hideMark/>
          </w:tcPr>
          <w:p w14:paraId="0CD54B3D"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1.057 x 10</w:t>
            </w:r>
            <w:r w:rsidRPr="000620C4">
              <w:rPr>
                <w:rFonts w:ascii="Arial" w:eastAsia="Times New Roman" w:hAnsi="Arial" w:cs="Arial"/>
                <w:color w:val="000000"/>
                <w:kern w:val="0"/>
                <w:sz w:val="20"/>
                <w:szCs w:val="20"/>
                <w:vertAlign w:val="superscript"/>
                <w:lang w:val="en-US"/>
                <w14:ligatures w14:val="none"/>
              </w:rPr>
              <w:t>-1</w:t>
            </w:r>
          </w:p>
        </w:tc>
        <w:tc>
          <w:tcPr>
            <w:tcW w:w="1701" w:type="dxa"/>
            <w:tcBorders>
              <w:bottom w:val="single" w:sz="12" w:space="0" w:color="auto"/>
            </w:tcBorders>
            <w:noWrap/>
            <w:vAlign w:val="bottom"/>
            <w:hideMark/>
          </w:tcPr>
          <w:p w14:paraId="6DB40B2B"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1.115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52B6BC47" w14:textId="77777777" w:rsidTr="000C02E2">
        <w:trPr>
          <w:trHeight w:val="300"/>
        </w:trPr>
        <w:tc>
          <w:tcPr>
            <w:tcW w:w="1200" w:type="dxa"/>
            <w:tcBorders>
              <w:top w:val="single" w:sz="12" w:space="0" w:color="auto"/>
              <w:bottom w:val="single" w:sz="12" w:space="0" w:color="auto"/>
            </w:tcBorders>
            <w:noWrap/>
            <w:vAlign w:val="bottom"/>
            <w:hideMark/>
          </w:tcPr>
          <w:p w14:paraId="177860A9" w14:textId="77777777"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HI</w:t>
            </w:r>
          </w:p>
        </w:tc>
        <w:tc>
          <w:tcPr>
            <w:tcW w:w="1914" w:type="dxa"/>
            <w:tcBorders>
              <w:top w:val="single" w:sz="12" w:space="0" w:color="auto"/>
              <w:bottom w:val="single" w:sz="12" w:space="0" w:color="auto"/>
            </w:tcBorders>
            <w:noWrap/>
            <w:vAlign w:val="bottom"/>
            <w:hideMark/>
          </w:tcPr>
          <w:p w14:paraId="0020F5A3" w14:textId="77777777" w:rsidR="00467664" w:rsidRPr="000620C4" w:rsidRDefault="00467664"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4.602 x 10</w:t>
            </w:r>
            <w:r w:rsidRPr="000620C4">
              <w:rPr>
                <w:rFonts w:ascii="Arial" w:eastAsia="Times New Roman" w:hAnsi="Arial" w:cs="Arial"/>
                <w:b/>
                <w:bCs/>
                <w:color w:val="000000"/>
                <w:kern w:val="0"/>
                <w:sz w:val="20"/>
                <w:szCs w:val="20"/>
                <w:vertAlign w:val="superscript"/>
                <w:lang w:val="en-US"/>
                <w14:ligatures w14:val="none"/>
              </w:rPr>
              <w:t>-1</w:t>
            </w:r>
          </w:p>
        </w:tc>
        <w:tc>
          <w:tcPr>
            <w:tcW w:w="1843" w:type="dxa"/>
            <w:tcBorders>
              <w:top w:val="single" w:sz="12" w:space="0" w:color="auto"/>
              <w:bottom w:val="single" w:sz="12" w:space="0" w:color="auto"/>
            </w:tcBorders>
            <w:noWrap/>
            <w:vAlign w:val="bottom"/>
            <w:hideMark/>
          </w:tcPr>
          <w:p w14:paraId="0B7C1136" w14:textId="77777777" w:rsidR="00467664" w:rsidRPr="000620C4" w:rsidRDefault="00467664"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2.812 x 10</w:t>
            </w:r>
            <w:r w:rsidRPr="000620C4">
              <w:rPr>
                <w:rFonts w:ascii="Arial" w:eastAsia="Times New Roman" w:hAnsi="Arial" w:cs="Arial"/>
                <w:b/>
                <w:bCs/>
                <w:color w:val="000000"/>
                <w:kern w:val="0"/>
                <w:sz w:val="20"/>
                <w:szCs w:val="20"/>
                <w:vertAlign w:val="superscript"/>
                <w:lang w:val="en-US"/>
                <w14:ligatures w14:val="none"/>
              </w:rPr>
              <w:t>-1</w:t>
            </w:r>
          </w:p>
        </w:tc>
        <w:tc>
          <w:tcPr>
            <w:tcW w:w="1701" w:type="dxa"/>
            <w:tcBorders>
              <w:top w:val="single" w:sz="12" w:space="0" w:color="auto"/>
              <w:bottom w:val="single" w:sz="12" w:space="0" w:color="auto"/>
            </w:tcBorders>
            <w:noWrap/>
            <w:vAlign w:val="bottom"/>
            <w:hideMark/>
          </w:tcPr>
          <w:p w14:paraId="31ACF16D" w14:textId="77777777" w:rsidR="00467664" w:rsidRPr="000620C4" w:rsidRDefault="00467664"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4.390 x 10</w:t>
            </w:r>
            <w:r w:rsidRPr="000620C4">
              <w:rPr>
                <w:rFonts w:ascii="Arial" w:eastAsia="Times New Roman" w:hAnsi="Arial" w:cs="Arial"/>
                <w:b/>
                <w:bCs/>
                <w:color w:val="000000"/>
                <w:kern w:val="0"/>
                <w:sz w:val="20"/>
                <w:szCs w:val="20"/>
                <w:vertAlign w:val="superscript"/>
                <w:lang w:val="en-US"/>
                <w14:ligatures w14:val="none"/>
              </w:rPr>
              <w:t>-1</w:t>
            </w:r>
          </w:p>
        </w:tc>
      </w:tr>
    </w:tbl>
    <w:p w14:paraId="4761CAA5" w14:textId="77777777" w:rsidR="00467664" w:rsidRPr="000620C4" w:rsidRDefault="00467664" w:rsidP="005A6A25">
      <w:pPr>
        <w:spacing w:line="240" w:lineRule="auto"/>
        <w:rPr>
          <w:rFonts w:ascii="Arial" w:hAnsi="Arial" w:cs="Arial"/>
          <w:sz w:val="20"/>
          <w:szCs w:val="20"/>
          <w:lang w:val="en-US"/>
        </w:rPr>
      </w:pPr>
      <w:r w:rsidRPr="000620C4">
        <w:rPr>
          <w:rFonts w:ascii="Arial" w:hAnsi="Arial" w:cs="Arial"/>
          <w:sz w:val="20"/>
          <w:szCs w:val="20"/>
          <w:lang w:val="en-US"/>
        </w:rPr>
        <w:t>THQ: Target Hazard Quotient, HI: Hazard Index.</w:t>
      </w:r>
    </w:p>
    <w:p w14:paraId="0DA7EBD2"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p>
    <w:p w14:paraId="36967CCA" w14:textId="24B8FEDC" w:rsidR="00805361" w:rsidRPr="000620C4" w:rsidRDefault="00817C39" w:rsidP="00C948D8">
      <w:pPr>
        <w:pStyle w:val="Heading1"/>
      </w:pPr>
      <w:r w:rsidRPr="000620C4">
        <w:t>Conclusion</w:t>
      </w:r>
    </w:p>
    <w:p w14:paraId="7976C35F" w14:textId="3256704E" w:rsidR="006A23BE" w:rsidRDefault="0071565F"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Analysis of leaves, peels and sweet potatoes flesh for mineral content show the present of macro-nutriment</w:t>
      </w:r>
      <w:r w:rsidR="00B73737">
        <w:rPr>
          <w:rFonts w:ascii="Arial" w:eastAsia="Times New Roman" w:hAnsi="Arial" w:cs="Arial"/>
          <w:color w:val="000000"/>
          <w:kern w:val="0"/>
          <w:sz w:val="20"/>
          <w:szCs w:val="20"/>
          <w:lang w:val="en-US"/>
          <w14:ligatures w14:val="none"/>
        </w:rPr>
        <w:t>s</w:t>
      </w:r>
      <w:r w:rsidRPr="000620C4">
        <w:rPr>
          <w:rFonts w:ascii="Arial" w:eastAsia="Times New Roman" w:hAnsi="Arial" w:cs="Arial"/>
          <w:color w:val="000000"/>
          <w:kern w:val="0"/>
          <w:sz w:val="20"/>
          <w:szCs w:val="20"/>
          <w:lang w:val="en-US"/>
          <w14:ligatures w14:val="none"/>
        </w:rPr>
        <w:t xml:space="preserve"> </w:t>
      </w:r>
      <w:r w:rsidR="00B3026D" w:rsidRPr="000620C4">
        <w:rPr>
          <w:rFonts w:ascii="Arial" w:eastAsia="Times New Roman" w:hAnsi="Arial" w:cs="Arial"/>
          <w:color w:val="000000"/>
          <w:kern w:val="0"/>
          <w:sz w:val="20"/>
          <w:szCs w:val="20"/>
          <w:lang w:val="en-US"/>
          <w14:ligatures w14:val="none"/>
        </w:rPr>
        <w:t xml:space="preserve">(Na, K, Ca, Mg) </w:t>
      </w:r>
      <w:r w:rsidRPr="000620C4">
        <w:rPr>
          <w:rFonts w:ascii="Arial" w:eastAsia="Times New Roman" w:hAnsi="Arial" w:cs="Arial"/>
          <w:color w:val="000000"/>
          <w:kern w:val="0"/>
          <w:sz w:val="20"/>
          <w:szCs w:val="20"/>
          <w:lang w:val="en-US"/>
          <w14:ligatures w14:val="none"/>
        </w:rPr>
        <w:t>and micronutrients (</w:t>
      </w:r>
      <w:r w:rsidR="00B3026D" w:rsidRPr="000620C4">
        <w:rPr>
          <w:rFonts w:ascii="Arial" w:eastAsia="Times New Roman" w:hAnsi="Arial" w:cs="Arial"/>
          <w:color w:val="000000"/>
          <w:kern w:val="0"/>
          <w:sz w:val="20"/>
          <w:szCs w:val="20"/>
          <w:lang w:val="en-US"/>
          <w14:ligatures w14:val="none"/>
        </w:rPr>
        <w:t>Fe, Ni, Zn, Cd</w:t>
      </w:r>
      <w:r w:rsidRPr="000620C4">
        <w:rPr>
          <w:rFonts w:ascii="Arial" w:eastAsia="Times New Roman" w:hAnsi="Arial" w:cs="Arial"/>
          <w:color w:val="000000"/>
          <w:kern w:val="0"/>
          <w:sz w:val="20"/>
          <w:szCs w:val="20"/>
          <w:lang w:val="en-US"/>
          <w14:ligatures w14:val="none"/>
        </w:rPr>
        <w:t xml:space="preserve">). </w:t>
      </w:r>
      <w:r w:rsidR="001E44B3" w:rsidRPr="000620C4">
        <w:rPr>
          <w:rFonts w:ascii="Arial" w:eastAsia="Times New Roman" w:hAnsi="Arial" w:cs="Arial"/>
          <w:color w:val="000000"/>
          <w:kern w:val="0"/>
          <w:sz w:val="20"/>
          <w:szCs w:val="20"/>
          <w:lang w:val="en-US"/>
          <w14:ligatures w14:val="none"/>
        </w:rPr>
        <w:t xml:space="preserve">Periodic assessment of metal concentrations in consumed crops and the creation of quality control criteria is essential for public health because of the high toxicity of certain </w:t>
      </w:r>
      <w:r w:rsidR="00422781" w:rsidRPr="000620C4">
        <w:rPr>
          <w:rFonts w:ascii="Arial" w:eastAsia="Times New Roman" w:hAnsi="Arial" w:cs="Arial"/>
          <w:color w:val="000000"/>
          <w:kern w:val="0"/>
          <w:sz w:val="20"/>
          <w:szCs w:val="20"/>
          <w:lang w:val="en-US"/>
          <w14:ligatures w14:val="none"/>
        </w:rPr>
        <w:t xml:space="preserve">micronutrients at </w:t>
      </w:r>
      <w:r w:rsidR="00C019AB" w:rsidRPr="000620C4">
        <w:rPr>
          <w:rFonts w:ascii="Arial" w:eastAsia="Times New Roman" w:hAnsi="Arial" w:cs="Arial"/>
          <w:color w:val="000000"/>
          <w:kern w:val="0"/>
          <w:sz w:val="20"/>
          <w:szCs w:val="20"/>
          <w:lang w:val="en-US"/>
          <w14:ligatures w14:val="none"/>
        </w:rPr>
        <w:t>a high</w:t>
      </w:r>
      <w:r w:rsidR="00422781" w:rsidRPr="000620C4">
        <w:rPr>
          <w:rFonts w:ascii="Arial" w:eastAsia="Times New Roman" w:hAnsi="Arial" w:cs="Arial"/>
          <w:color w:val="000000"/>
          <w:kern w:val="0"/>
          <w:sz w:val="20"/>
          <w:szCs w:val="20"/>
          <w:lang w:val="en-US"/>
          <w14:ligatures w14:val="none"/>
        </w:rPr>
        <w:t xml:space="preserve"> level</w:t>
      </w:r>
      <w:r w:rsidR="001E44B3" w:rsidRPr="000620C4">
        <w:rPr>
          <w:rFonts w:ascii="Arial" w:eastAsia="Times New Roman" w:hAnsi="Arial" w:cs="Arial"/>
          <w:color w:val="000000"/>
          <w:kern w:val="0"/>
          <w:sz w:val="20"/>
          <w:szCs w:val="20"/>
          <w:lang w:val="en-US"/>
          <w14:ligatures w14:val="none"/>
        </w:rPr>
        <w:t>. In this study, the K/Na and Ca/Mg ratios</w:t>
      </w:r>
      <w:r w:rsidR="00C019AB" w:rsidRPr="000620C4">
        <w:rPr>
          <w:rFonts w:ascii="Arial" w:eastAsia="Times New Roman" w:hAnsi="Arial" w:cs="Arial"/>
          <w:color w:val="000000"/>
          <w:kern w:val="0"/>
          <w:sz w:val="20"/>
          <w:szCs w:val="20"/>
          <w:lang w:val="en-US"/>
          <w14:ligatures w14:val="none"/>
        </w:rPr>
        <w:t>,</w:t>
      </w:r>
      <w:r w:rsidR="001E44B3" w:rsidRPr="000620C4">
        <w:rPr>
          <w:rFonts w:ascii="Arial" w:eastAsia="Times New Roman" w:hAnsi="Arial" w:cs="Arial"/>
          <w:color w:val="000000"/>
          <w:kern w:val="0"/>
          <w:sz w:val="20"/>
          <w:szCs w:val="20"/>
          <w:lang w:val="en-US"/>
          <w14:ligatures w14:val="none"/>
        </w:rPr>
        <w:t xml:space="preserve"> </w:t>
      </w:r>
      <w:r w:rsidR="00422781" w:rsidRPr="000620C4">
        <w:rPr>
          <w:rFonts w:ascii="Arial" w:eastAsia="Times New Roman" w:hAnsi="Arial" w:cs="Arial"/>
          <w:color w:val="000000"/>
          <w:kern w:val="0"/>
          <w:sz w:val="20"/>
          <w:szCs w:val="20"/>
          <w:lang w:val="en-US"/>
          <w14:ligatures w14:val="none"/>
        </w:rPr>
        <w:t>which are criteria to assess the risk</w:t>
      </w:r>
      <w:r w:rsidR="00C019AB" w:rsidRPr="000620C4">
        <w:rPr>
          <w:rFonts w:ascii="Arial" w:eastAsia="Times New Roman" w:hAnsi="Arial" w:cs="Arial"/>
          <w:color w:val="000000"/>
          <w:kern w:val="0"/>
          <w:sz w:val="20"/>
          <w:szCs w:val="20"/>
          <w:lang w:val="en-US"/>
          <w14:ligatures w14:val="none"/>
        </w:rPr>
        <w:t xml:space="preserve"> on health, </w:t>
      </w:r>
      <w:r w:rsidR="001E44B3" w:rsidRPr="000620C4">
        <w:rPr>
          <w:rFonts w:ascii="Arial" w:eastAsia="Times New Roman" w:hAnsi="Arial" w:cs="Arial"/>
          <w:color w:val="000000"/>
          <w:kern w:val="0"/>
          <w:sz w:val="20"/>
          <w:szCs w:val="20"/>
          <w:lang w:val="en-US"/>
          <w14:ligatures w14:val="none"/>
        </w:rPr>
        <w:t>are within the guideline values ​​to ensure a benefit to consumer health. This study also revealed that the microelements</w:t>
      </w:r>
      <w:r w:rsidR="004A5783" w:rsidRPr="000620C4">
        <w:rPr>
          <w:rFonts w:ascii="Arial" w:eastAsia="Times New Roman" w:hAnsi="Arial" w:cs="Arial"/>
          <w:color w:val="000000"/>
          <w:kern w:val="0"/>
          <w:sz w:val="20"/>
          <w:szCs w:val="20"/>
          <w:lang w:val="en-US"/>
          <w14:ligatures w14:val="none"/>
        </w:rPr>
        <w:t xml:space="preserve"> (Fe, Ni, Zn, Cd)</w:t>
      </w:r>
      <w:r w:rsidR="001E44B3" w:rsidRPr="000620C4">
        <w:rPr>
          <w:rFonts w:ascii="Arial" w:eastAsia="Times New Roman" w:hAnsi="Arial" w:cs="Arial"/>
          <w:color w:val="000000"/>
          <w:kern w:val="0"/>
          <w:sz w:val="20"/>
          <w:szCs w:val="20"/>
          <w:lang w:val="en-US"/>
          <w14:ligatures w14:val="none"/>
        </w:rPr>
        <w:t xml:space="preserve"> studied in sweet potato do not present any carcinogenic risk to consumers. Indeed, for the leaves, peels and flesh of sweet potato, the THQ is less than 1 for </w:t>
      </w:r>
      <w:r w:rsidR="00D56506" w:rsidRPr="000620C4">
        <w:rPr>
          <w:rFonts w:ascii="Arial" w:eastAsia="Times New Roman" w:hAnsi="Arial" w:cs="Arial"/>
          <w:color w:val="000000"/>
          <w:kern w:val="0"/>
          <w:sz w:val="20"/>
          <w:szCs w:val="20"/>
          <w:lang w:val="en-US"/>
          <w14:ligatures w14:val="none"/>
        </w:rPr>
        <w:t>each</w:t>
      </w:r>
      <w:r w:rsidR="001E44B3" w:rsidRPr="000620C4">
        <w:rPr>
          <w:rFonts w:ascii="Arial" w:eastAsia="Times New Roman" w:hAnsi="Arial" w:cs="Arial"/>
          <w:color w:val="000000"/>
          <w:kern w:val="0"/>
          <w:sz w:val="20"/>
          <w:szCs w:val="20"/>
          <w:lang w:val="en-US"/>
          <w14:ligatures w14:val="none"/>
        </w:rPr>
        <w:t xml:space="preserve"> </w:t>
      </w:r>
      <w:r w:rsidR="004A5783" w:rsidRPr="000620C4">
        <w:rPr>
          <w:rFonts w:ascii="Arial" w:eastAsia="Times New Roman" w:hAnsi="Arial" w:cs="Arial"/>
          <w:color w:val="000000"/>
          <w:kern w:val="0"/>
          <w:sz w:val="20"/>
          <w:szCs w:val="20"/>
          <w:lang w:val="en-US"/>
          <w14:ligatures w14:val="none"/>
        </w:rPr>
        <w:t>micro-nutriment</w:t>
      </w:r>
      <w:r w:rsidR="001E44B3" w:rsidRPr="000620C4">
        <w:rPr>
          <w:rFonts w:ascii="Arial" w:eastAsia="Times New Roman" w:hAnsi="Arial" w:cs="Arial"/>
          <w:color w:val="000000"/>
          <w:kern w:val="0"/>
          <w:sz w:val="20"/>
          <w:szCs w:val="20"/>
          <w:lang w:val="en-US"/>
          <w14:ligatures w14:val="none"/>
        </w:rPr>
        <w:t xml:space="preserve">. It was also observed for each consumed part of the </w:t>
      </w:r>
      <w:r w:rsidR="002B6C52" w:rsidRPr="000620C4">
        <w:rPr>
          <w:rFonts w:ascii="Arial" w:eastAsia="Times New Roman" w:hAnsi="Arial" w:cs="Arial"/>
          <w:color w:val="000000"/>
          <w:kern w:val="0"/>
          <w:sz w:val="20"/>
          <w:szCs w:val="20"/>
          <w:lang w:val="en-US"/>
          <w14:ligatures w14:val="none"/>
        </w:rPr>
        <w:t>plant that</w:t>
      </w:r>
      <w:r w:rsidR="001E44B3" w:rsidRPr="000620C4">
        <w:rPr>
          <w:rFonts w:ascii="Arial" w:eastAsia="Times New Roman" w:hAnsi="Arial" w:cs="Arial"/>
          <w:color w:val="000000"/>
          <w:kern w:val="0"/>
          <w:sz w:val="20"/>
          <w:szCs w:val="20"/>
          <w:lang w:val="en-US"/>
          <w14:ligatures w14:val="none"/>
        </w:rPr>
        <w:t xml:space="preserve"> the HI is less than 1. These results show that for this harvest there is no risk to consumer health.</w:t>
      </w:r>
    </w:p>
    <w:p w14:paraId="391F2A71" w14:textId="7BABFD2D" w:rsidR="004E1895" w:rsidRDefault="004E1895" w:rsidP="005A6A25">
      <w:pPr>
        <w:spacing w:line="240" w:lineRule="auto"/>
        <w:rPr>
          <w:rFonts w:ascii="Arial" w:eastAsia="Times New Roman" w:hAnsi="Arial" w:cs="Arial"/>
          <w:color w:val="000000"/>
          <w:kern w:val="0"/>
          <w:sz w:val="20"/>
          <w:szCs w:val="20"/>
          <w:lang w:val="en-US"/>
          <w14:ligatures w14:val="none"/>
        </w:rPr>
      </w:pPr>
    </w:p>
    <w:p w14:paraId="542D72ED" w14:textId="77777777" w:rsidR="002A2F2F" w:rsidRPr="002A2F2F" w:rsidRDefault="002A2F2F" w:rsidP="002A2F2F">
      <w:pPr>
        <w:spacing w:after="200" w:line="276" w:lineRule="auto"/>
        <w:jc w:val="left"/>
        <w:rPr>
          <w:rFonts w:ascii="Calibri" w:eastAsia="Calibri" w:hAnsi="Calibri" w:cs="Times New Roman"/>
          <w:sz w:val="22"/>
          <w:highlight w:val="yellow"/>
          <w:lang w:val="en-US"/>
          <w14:ligatures w14:val="none"/>
        </w:rPr>
      </w:pPr>
      <w:bookmarkStart w:id="3" w:name="_Hlk197682619"/>
      <w:bookmarkStart w:id="4" w:name="_Hlk180402183"/>
      <w:bookmarkStart w:id="5" w:name="_Hlk183680988"/>
      <w:r w:rsidRPr="002A2F2F">
        <w:rPr>
          <w:rFonts w:ascii="Calibri" w:eastAsia="Calibri" w:hAnsi="Calibri" w:cs="Times New Roman"/>
          <w:sz w:val="22"/>
          <w:highlight w:val="yellow"/>
          <w:lang w:val="en-US"/>
          <w14:ligatures w14:val="none"/>
        </w:rPr>
        <w:t>Disclaimer (Artificial intelligence)</w:t>
      </w:r>
    </w:p>
    <w:p w14:paraId="6E9EC20D" w14:textId="77777777" w:rsidR="002A2F2F" w:rsidRPr="00DA3141" w:rsidRDefault="002A2F2F" w:rsidP="002A2F2F">
      <w:pPr>
        <w:spacing w:after="200" w:line="276" w:lineRule="auto"/>
        <w:jc w:val="left"/>
        <w:rPr>
          <w:rFonts w:ascii="Calibri" w:eastAsia="Calibri" w:hAnsi="Calibri" w:cs="Times New Roman"/>
          <w:sz w:val="22"/>
          <w:highlight w:val="green"/>
          <w:lang w:val="en-US"/>
          <w14:ligatures w14:val="none"/>
        </w:rPr>
      </w:pPr>
      <w:r w:rsidRPr="00DA3141">
        <w:rPr>
          <w:rFonts w:ascii="Calibri" w:eastAsia="Calibri" w:hAnsi="Calibri" w:cs="Times New Roman"/>
          <w:sz w:val="22"/>
          <w:highlight w:val="green"/>
          <w:lang w:val="en-US"/>
          <w14:ligatures w14:val="none"/>
        </w:rPr>
        <w:t xml:space="preserve">Option 1: </w:t>
      </w:r>
    </w:p>
    <w:p w14:paraId="5B876E0C" w14:textId="77777777" w:rsidR="002A2F2F" w:rsidRPr="00DA3141" w:rsidRDefault="002A2F2F" w:rsidP="002A2F2F">
      <w:pPr>
        <w:spacing w:after="200" w:line="276" w:lineRule="auto"/>
        <w:jc w:val="left"/>
        <w:rPr>
          <w:rFonts w:ascii="Calibri" w:eastAsia="Calibri" w:hAnsi="Calibri" w:cs="Times New Roman"/>
          <w:sz w:val="22"/>
          <w:highlight w:val="green"/>
          <w:lang w:val="en-US"/>
          <w14:ligatures w14:val="none"/>
        </w:rPr>
      </w:pPr>
      <w:r w:rsidRPr="00DA3141">
        <w:rPr>
          <w:rFonts w:ascii="Calibri" w:eastAsia="Calibri" w:hAnsi="Calibri" w:cs="Times New Roman"/>
          <w:sz w:val="22"/>
          <w:highlight w:val="green"/>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101C962B" w14:textId="77777777" w:rsidR="004E1895" w:rsidRPr="000620C4" w:rsidRDefault="004E1895" w:rsidP="005A6A25">
      <w:pPr>
        <w:spacing w:line="240" w:lineRule="auto"/>
        <w:rPr>
          <w:rFonts w:ascii="Arial" w:eastAsia="Times New Roman" w:hAnsi="Arial" w:cs="Arial"/>
          <w:color w:val="000000"/>
          <w:kern w:val="0"/>
          <w:sz w:val="20"/>
          <w:szCs w:val="20"/>
          <w:lang w:val="en-US"/>
          <w14:ligatures w14:val="none"/>
        </w:rPr>
      </w:pPr>
      <w:bookmarkStart w:id="6" w:name="_GoBack"/>
      <w:bookmarkEnd w:id="3"/>
      <w:bookmarkEnd w:id="4"/>
      <w:bookmarkEnd w:id="5"/>
      <w:bookmarkEnd w:id="6"/>
    </w:p>
    <w:p w14:paraId="6CD240DB" w14:textId="77777777" w:rsidR="000620C4" w:rsidRPr="000620C4" w:rsidRDefault="000620C4" w:rsidP="00C948D8">
      <w:pPr>
        <w:spacing w:before="120" w:after="120" w:line="240" w:lineRule="auto"/>
        <w:jc w:val="left"/>
        <w:rPr>
          <w:rFonts w:ascii="Arial" w:eastAsia="Times New Roman" w:hAnsi="Arial" w:cs="Arial"/>
          <w:b/>
          <w:bCs/>
          <w:color w:val="000000"/>
          <w:kern w:val="0"/>
          <w:sz w:val="20"/>
          <w:szCs w:val="20"/>
          <w:lang w:val="en-US"/>
          <w14:ligatures w14:val="none"/>
        </w:rPr>
      </w:pPr>
    </w:p>
    <w:p w14:paraId="0425E77F" w14:textId="2541EA9D" w:rsidR="00043A60" w:rsidRPr="000620C4" w:rsidRDefault="00C948D8" w:rsidP="00C948D8">
      <w:pPr>
        <w:spacing w:before="120" w:after="120"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REFERENCES</w:t>
      </w:r>
    </w:p>
    <w:p w14:paraId="1AFE6A55" w14:textId="77777777" w:rsidR="002F4A6D" w:rsidRDefault="002F4A6D" w:rsidP="005A6A25">
      <w:pPr>
        <w:pStyle w:val="Bibliography"/>
        <w:spacing w:line="240" w:lineRule="auto"/>
        <w:rPr>
          <w:rFonts w:ascii="Arial" w:hAnsi="Arial" w:cs="Arial"/>
          <w:sz w:val="20"/>
          <w:szCs w:val="20"/>
          <w:lang w:val="en-US"/>
        </w:rPr>
      </w:pPr>
      <w:r w:rsidRPr="00AD4F33">
        <w:rPr>
          <w:rFonts w:ascii="Arial" w:hAnsi="Arial" w:cs="Arial"/>
          <w:sz w:val="20"/>
          <w:szCs w:val="20"/>
          <w:lang w:val="en-US"/>
        </w:rPr>
        <w:t xml:space="preserve">Abd-Elghany, S. M., Zaher, H. A., Elgazzar, M. M., &amp; Sallam, K. I. (2020). Effect of boiling and grilling on some heavy metal residues in crabs and shrimps from the Mediterranean Coast at Damietta region with their probabilistic health risk assessment. </w:t>
      </w:r>
      <w:r w:rsidRPr="00AD4F33">
        <w:rPr>
          <w:rFonts w:ascii="Arial" w:hAnsi="Arial" w:cs="Arial"/>
          <w:i/>
          <w:iCs/>
          <w:sz w:val="20"/>
          <w:szCs w:val="20"/>
          <w:lang w:val="en-US"/>
        </w:rPr>
        <w:t>Journal of Food Composition and Analysis</w:t>
      </w:r>
      <w:r w:rsidRPr="00AD4F33">
        <w:rPr>
          <w:rFonts w:ascii="Arial" w:hAnsi="Arial" w:cs="Arial"/>
          <w:sz w:val="20"/>
          <w:szCs w:val="20"/>
          <w:lang w:val="en-US"/>
        </w:rPr>
        <w:t xml:space="preserve">, </w:t>
      </w:r>
      <w:r w:rsidRPr="00AD4F33">
        <w:rPr>
          <w:rFonts w:ascii="Arial" w:hAnsi="Arial" w:cs="Arial"/>
          <w:i/>
          <w:iCs/>
          <w:sz w:val="20"/>
          <w:szCs w:val="20"/>
          <w:lang w:val="en-US"/>
        </w:rPr>
        <w:t>93</w:t>
      </w:r>
      <w:r w:rsidRPr="00AD4F33">
        <w:rPr>
          <w:rFonts w:ascii="Arial" w:hAnsi="Arial" w:cs="Arial"/>
          <w:sz w:val="20"/>
          <w:szCs w:val="20"/>
          <w:lang w:val="en-US"/>
        </w:rPr>
        <w:t xml:space="preserve">, 103606. </w:t>
      </w:r>
    </w:p>
    <w:p w14:paraId="032830DA" w14:textId="074C2CCF" w:rsidR="002F4A6D" w:rsidRPr="00045F8A" w:rsidRDefault="002F4A6D" w:rsidP="002F4A6D">
      <w:pPr>
        <w:pStyle w:val="Bibliography"/>
        <w:spacing w:line="240" w:lineRule="auto"/>
        <w:ind w:hanging="12"/>
        <w:rPr>
          <w:rFonts w:ascii="Arial" w:eastAsia="Times New Roman" w:hAnsi="Arial" w:cs="Arial"/>
          <w:color w:val="000000"/>
          <w:sz w:val="20"/>
          <w:szCs w:val="20"/>
          <w:lang w:val="en-US"/>
          <w14:ligatures w14:val="none"/>
        </w:rPr>
      </w:pPr>
      <w:proofErr w:type="gramStart"/>
      <w:r w:rsidRPr="00045F8A">
        <w:rPr>
          <w:rFonts w:ascii="Arial" w:hAnsi="Arial" w:cs="Arial"/>
          <w:sz w:val="20"/>
          <w:szCs w:val="20"/>
          <w:lang w:val="en-US"/>
        </w:rPr>
        <w:t>Available :</w:t>
      </w:r>
      <w:proofErr w:type="gramEnd"/>
      <w:r w:rsidRPr="00045F8A">
        <w:rPr>
          <w:rFonts w:ascii="Arial" w:hAnsi="Arial" w:cs="Arial"/>
          <w:sz w:val="20"/>
          <w:szCs w:val="20"/>
          <w:lang w:val="en-US"/>
        </w:rPr>
        <w:t xml:space="preserve"> https://doi.org/10.1016/j.jfca.2020.103606</w:t>
      </w:r>
    </w:p>
    <w:p w14:paraId="456F51C7" w14:textId="6EBDD1D8" w:rsidR="00C75085" w:rsidRPr="000620C4" w:rsidRDefault="0099087B" w:rsidP="005A6A25">
      <w:pPr>
        <w:pStyle w:val="Bibliography"/>
        <w:spacing w:line="240" w:lineRule="auto"/>
        <w:rPr>
          <w:rFonts w:ascii="Arial" w:hAnsi="Arial" w:cs="Arial"/>
          <w:sz w:val="20"/>
          <w:szCs w:val="20"/>
          <w:lang w:val="en-US"/>
        </w:rPr>
      </w:pPr>
      <w:r w:rsidRPr="000620C4">
        <w:rPr>
          <w:rFonts w:ascii="Arial" w:eastAsia="Times New Roman" w:hAnsi="Arial" w:cs="Arial"/>
          <w:color w:val="000000"/>
          <w:sz w:val="20"/>
          <w:szCs w:val="20"/>
          <w:lang w:val="en-US"/>
          <w14:ligatures w14:val="none"/>
        </w:rPr>
        <w:fldChar w:fldCharType="begin"/>
      </w:r>
      <w:r w:rsidR="00F8493E" w:rsidRPr="000620C4">
        <w:rPr>
          <w:rFonts w:ascii="Arial" w:eastAsia="Times New Roman" w:hAnsi="Arial" w:cs="Arial"/>
          <w:color w:val="000000"/>
          <w:sz w:val="20"/>
          <w:szCs w:val="20"/>
          <w:lang w:val="en-US"/>
          <w14:ligatures w14:val="none"/>
        </w:rPr>
        <w:instrText xml:space="preserve"> ADDIN ZOTERO_BIBL {"uncited":[],"omitted":[],"custom":[]} CSL_BIBLIOGRAPHY </w:instrText>
      </w:r>
      <w:r w:rsidRPr="000620C4">
        <w:rPr>
          <w:rFonts w:ascii="Arial" w:eastAsia="Times New Roman" w:hAnsi="Arial" w:cs="Arial"/>
          <w:color w:val="000000"/>
          <w:sz w:val="20"/>
          <w:szCs w:val="20"/>
          <w:lang w:val="en-US"/>
          <w14:ligatures w14:val="none"/>
        </w:rPr>
        <w:fldChar w:fldCharType="separate"/>
      </w:r>
      <w:r w:rsidR="00500340" w:rsidRPr="000620C4">
        <w:rPr>
          <w:rFonts w:ascii="Arial" w:hAnsi="Arial" w:cs="Arial"/>
          <w:sz w:val="20"/>
          <w:szCs w:val="20"/>
          <w:lang w:val="en-US"/>
        </w:rPr>
        <w:t xml:space="preserve">Adam, R. I., Sindi, K., &amp; Badstue, L. (2015). Farmers’ knowledge, perceptions and management of diseases affecting sweet potatoes in the Lake Victoria Zone region, Tanzania. </w:t>
      </w:r>
      <w:r w:rsidR="00500340" w:rsidRPr="000620C4">
        <w:rPr>
          <w:rFonts w:ascii="Arial" w:hAnsi="Arial" w:cs="Arial"/>
          <w:i/>
          <w:iCs/>
          <w:sz w:val="20"/>
          <w:szCs w:val="20"/>
          <w:lang w:val="en-US"/>
        </w:rPr>
        <w:t>Crop Protection</w:t>
      </w:r>
      <w:r w:rsidR="00500340" w:rsidRPr="000620C4">
        <w:rPr>
          <w:rFonts w:ascii="Arial" w:hAnsi="Arial" w:cs="Arial"/>
          <w:sz w:val="20"/>
          <w:szCs w:val="20"/>
          <w:lang w:val="en-US"/>
        </w:rPr>
        <w:t xml:space="preserve">, </w:t>
      </w:r>
      <w:r w:rsidR="00500340" w:rsidRPr="000620C4">
        <w:rPr>
          <w:rFonts w:ascii="Arial" w:hAnsi="Arial" w:cs="Arial"/>
          <w:i/>
          <w:iCs/>
          <w:sz w:val="20"/>
          <w:szCs w:val="20"/>
          <w:lang w:val="en-US"/>
        </w:rPr>
        <w:t>72</w:t>
      </w:r>
      <w:r w:rsidR="00500340" w:rsidRPr="000620C4">
        <w:rPr>
          <w:rFonts w:ascii="Arial" w:hAnsi="Arial" w:cs="Arial"/>
          <w:sz w:val="20"/>
          <w:szCs w:val="20"/>
          <w:lang w:val="en-US"/>
        </w:rPr>
        <w:t>, 97</w:t>
      </w:r>
      <w:r w:rsidR="00500340" w:rsidRPr="000620C4">
        <w:rPr>
          <w:rFonts w:ascii="Cambria Math" w:hAnsi="Cambria Math" w:cs="Cambria Math"/>
          <w:sz w:val="20"/>
          <w:szCs w:val="20"/>
          <w:lang w:val="en-US"/>
        </w:rPr>
        <w:t>‑</w:t>
      </w:r>
      <w:r w:rsidR="00500340" w:rsidRPr="000620C4">
        <w:rPr>
          <w:rFonts w:ascii="Arial" w:hAnsi="Arial" w:cs="Arial"/>
          <w:sz w:val="20"/>
          <w:szCs w:val="20"/>
          <w:lang w:val="en-US"/>
        </w:rPr>
        <w:t xml:space="preserve">107. </w:t>
      </w:r>
    </w:p>
    <w:p w14:paraId="0094BD58" w14:textId="4E710E76"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://doi.org/10.1016/j.cropro.2015.02.010</w:t>
      </w:r>
    </w:p>
    <w:p w14:paraId="73114AB7" w14:textId="0603F4FF" w:rsidR="00C75085"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Adefa, T., &amp; Tefera, M. (2020). </w:t>
      </w:r>
      <w:r w:rsidR="00BE2DD1" w:rsidRPr="000620C4">
        <w:rPr>
          <w:rFonts w:ascii="Arial" w:hAnsi="Arial" w:cs="Arial"/>
          <w:sz w:val="20"/>
          <w:szCs w:val="20"/>
          <w:lang w:val="en-US"/>
        </w:rPr>
        <w:t>Heavy metal accumulation and health risk assessment in moringa oleifera from awi zone</w:t>
      </w:r>
      <w:r w:rsidRPr="000620C4">
        <w:rPr>
          <w:rFonts w:ascii="Arial" w:hAnsi="Arial" w:cs="Arial"/>
          <w:sz w:val="20"/>
          <w:szCs w:val="20"/>
          <w:lang w:val="en-US"/>
        </w:rPr>
        <w:t xml:space="preserve">, Ethiopia. </w:t>
      </w:r>
      <w:r w:rsidRPr="000620C4">
        <w:rPr>
          <w:rFonts w:ascii="Arial" w:hAnsi="Arial" w:cs="Arial"/>
          <w:i/>
          <w:iCs/>
          <w:sz w:val="20"/>
          <w:szCs w:val="20"/>
          <w:lang w:val="en-US"/>
        </w:rPr>
        <w:t>Chemistry Africa</w:t>
      </w:r>
      <w:r w:rsidRPr="000620C4">
        <w:rPr>
          <w:rFonts w:ascii="Arial" w:hAnsi="Arial" w:cs="Arial"/>
          <w:sz w:val="20"/>
          <w:szCs w:val="20"/>
          <w:lang w:val="en-US"/>
        </w:rPr>
        <w:t xml:space="preserve">, </w:t>
      </w:r>
      <w:r w:rsidRPr="000620C4">
        <w:rPr>
          <w:rFonts w:ascii="Arial" w:hAnsi="Arial" w:cs="Arial"/>
          <w:i/>
          <w:iCs/>
          <w:sz w:val="20"/>
          <w:szCs w:val="20"/>
          <w:lang w:val="en-US"/>
        </w:rPr>
        <w:t>3</w:t>
      </w:r>
      <w:r w:rsidRPr="000620C4">
        <w:rPr>
          <w:rFonts w:ascii="Arial" w:hAnsi="Arial" w:cs="Arial"/>
          <w:sz w:val="20"/>
          <w:szCs w:val="20"/>
          <w:lang w:val="en-US"/>
        </w:rPr>
        <w:t>(4), 1073</w:t>
      </w:r>
      <w:r w:rsidRPr="000620C4">
        <w:rPr>
          <w:rFonts w:ascii="Cambria Math" w:hAnsi="Cambria Math" w:cs="Cambria Math"/>
          <w:sz w:val="20"/>
          <w:szCs w:val="20"/>
          <w:lang w:val="en-US"/>
        </w:rPr>
        <w:t>‑</w:t>
      </w:r>
      <w:r w:rsidRPr="000620C4">
        <w:rPr>
          <w:rFonts w:ascii="Arial" w:hAnsi="Arial" w:cs="Arial"/>
          <w:sz w:val="20"/>
          <w:szCs w:val="20"/>
          <w:lang w:val="en-US"/>
        </w:rPr>
        <w:t xml:space="preserve">1079. </w:t>
      </w:r>
    </w:p>
    <w:p w14:paraId="65309522" w14:textId="7DEDF2E5"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://doi.org/10.1007/s42250-020-00181-0</w:t>
      </w:r>
    </w:p>
    <w:p w14:paraId="13D63417" w14:textId="60DA84BF" w:rsidR="00500340"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Agency for Toxic Substances and Disease Registry (ATSDR). (1994). Toxicological profile for Nickel and Iron. Agency for toxic substances and disease registry. </w:t>
      </w:r>
      <w:r w:rsidRPr="000620C4">
        <w:rPr>
          <w:rFonts w:ascii="Arial" w:hAnsi="Arial" w:cs="Arial"/>
          <w:i/>
          <w:iCs/>
          <w:sz w:val="20"/>
          <w:szCs w:val="20"/>
          <w:lang w:val="en-US"/>
        </w:rPr>
        <w:t xml:space="preserve">US Department of Health and Human Services, Public Health Service </w:t>
      </w:r>
      <w:r w:rsidRPr="000620C4">
        <w:rPr>
          <w:rFonts w:ascii="Arial" w:hAnsi="Arial" w:cs="Arial"/>
          <w:sz w:val="20"/>
          <w:szCs w:val="20"/>
          <w:lang w:val="en-US"/>
        </w:rPr>
        <w:t>205</w:t>
      </w:r>
      <w:r w:rsidR="000E08A9" w:rsidRPr="000620C4">
        <w:rPr>
          <w:rFonts w:ascii="Arial" w:hAnsi="Arial" w:cs="Arial"/>
          <w:sz w:val="20"/>
          <w:szCs w:val="20"/>
          <w:lang w:val="en-US"/>
        </w:rPr>
        <w:t>-</w:t>
      </w:r>
      <w:r w:rsidRPr="000620C4">
        <w:rPr>
          <w:rFonts w:ascii="Arial" w:hAnsi="Arial" w:cs="Arial"/>
          <w:sz w:val="20"/>
          <w:szCs w:val="20"/>
          <w:lang w:val="en-US"/>
        </w:rPr>
        <w:t>88</w:t>
      </w:r>
      <w:r w:rsidRPr="000620C4">
        <w:rPr>
          <w:rFonts w:ascii="Cambria Math" w:hAnsi="Cambria Math" w:cs="Cambria Math"/>
          <w:sz w:val="20"/>
          <w:szCs w:val="20"/>
          <w:lang w:val="en-US"/>
        </w:rPr>
        <w:t>‑</w:t>
      </w:r>
      <w:r w:rsidRPr="000620C4">
        <w:rPr>
          <w:rFonts w:ascii="Arial" w:hAnsi="Arial" w:cs="Arial"/>
          <w:sz w:val="20"/>
          <w:szCs w:val="20"/>
          <w:lang w:val="en-US"/>
        </w:rPr>
        <w:t>0608.</w:t>
      </w:r>
    </w:p>
    <w:p w14:paraId="364FBB82" w14:textId="0A899ADC" w:rsidR="0040276B" w:rsidRPr="0040276B" w:rsidRDefault="0040276B" w:rsidP="0040276B">
      <w:pPr>
        <w:pStyle w:val="Bibliography"/>
        <w:spacing w:line="240" w:lineRule="auto"/>
        <w:rPr>
          <w:rFonts w:ascii="Arial" w:hAnsi="Arial" w:cs="Arial"/>
          <w:sz w:val="20"/>
          <w:szCs w:val="20"/>
          <w:highlight w:val="green"/>
        </w:rPr>
      </w:pPr>
      <w:bookmarkStart w:id="7" w:name="_Hlk202279895"/>
      <w:r w:rsidRPr="0040276B">
        <w:rPr>
          <w:rFonts w:ascii="Arial" w:hAnsi="Arial" w:cs="Arial"/>
          <w:sz w:val="20"/>
          <w:szCs w:val="20"/>
          <w:highlight w:val="green"/>
        </w:rPr>
        <w:t>Al-Shammari</w:t>
      </w:r>
      <w:bookmarkEnd w:id="7"/>
      <w:r w:rsidRPr="0040276B">
        <w:rPr>
          <w:rFonts w:ascii="Arial" w:hAnsi="Arial" w:cs="Arial"/>
          <w:sz w:val="20"/>
          <w:szCs w:val="20"/>
          <w:highlight w:val="green"/>
        </w:rPr>
        <w:t xml:space="preserve">, A. H. R., &amp; Al-Hassani, I. K. A.-H. (2025). Assessment of Cadmium Levels in Selected Local and Imported Fruits and Vegetables in Iraq : A Study on Environmental and Health Risks. </w:t>
      </w:r>
      <w:r w:rsidRPr="0040276B">
        <w:rPr>
          <w:rFonts w:ascii="Arial" w:hAnsi="Arial" w:cs="Arial"/>
          <w:i/>
          <w:iCs/>
          <w:sz w:val="20"/>
          <w:szCs w:val="20"/>
          <w:highlight w:val="green"/>
        </w:rPr>
        <w:t>Asian Research Journal of Agriculture</w:t>
      </w:r>
      <w:r w:rsidRPr="0040276B">
        <w:rPr>
          <w:rFonts w:ascii="Arial" w:hAnsi="Arial" w:cs="Arial"/>
          <w:sz w:val="20"/>
          <w:szCs w:val="20"/>
          <w:highlight w:val="green"/>
        </w:rPr>
        <w:t xml:space="preserve">, </w:t>
      </w:r>
      <w:r w:rsidRPr="0040276B">
        <w:rPr>
          <w:rFonts w:ascii="Arial" w:hAnsi="Arial" w:cs="Arial"/>
          <w:i/>
          <w:iCs/>
          <w:sz w:val="20"/>
          <w:szCs w:val="20"/>
          <w:highlight w:val="green"/>
        </w:rPr>
        <w:t>18</w:t>
      </w:r>
      <w:r w:rsidRPr="0040276B">
        <w:rPr>
          <w:rFonts w:ascii="Arial" w:hAnsi="Arial" w:cs="Arial"/>
          <w:sz w:val="20"/>
          <w:szCs w:val="20"/>
          <w:highlight w:val="green"/>
        </w:rPr>
        <w:t>(2), 6</w:t>
      </w:r>
      <w:r w:rsidRPr="0040276B">
        <w:rPr>
          <w:rFonts w:ascii="Cambria Math" w:hAnsi="Cambria Math" w:cs="Cambria Math"/>
          <w:sz w:val="20"/>
          <w:szCs w:val="20"/>
          <w:highlight w:val="green"/>
        </w:rPr>
        <w:t>‑</w:t>
      </w:r>
      <w:r w:rsidRPr="0040276B">
        <w:rPr>
          <w:rFonts w:ascii="Arial" w:hAnsi="Arial" w:cs="Arial"/>
          <w:sz w:val="20"/>
          <w:szCs w:val="20"/>
          <w:highlight w:val="green"/>
        </w:rPr>
        <w:t>12.</w:t>
      </w:r>
    </w:p>
    <w:p w14:paraId="2BD92C9D" w14:textId="61548471" w:rsidR="0040276B" w:rsidRPr="009C4F2C" w:rsidRDefault="00AD02F9" w:rsidP="0040276B">
      <w:pPr>
        <w:pStyle w:val="Bibliography"/>
        <w:spacing w:line="240" w:lineRule="auto"/>
        <w:ind w:hanging="12"/>
        <w:rPr>
          <w:rFonts w:ascii="Arial" w:hAnsi="Arial" w:cs="Arial"/>
          <w:sz w:val="20"/>
          <w:szCs w:val="20"/>
          <w:lang w:val="en-US"/>
        </w:rPr>
      </w:pPr>
      <w:r w:rsidRPr="009C4F2C">
        <w:rPr>
          <w:rFonts w:ascii="Arial" w:hAnsi="Arial" w:cs="Arial"/>
          <w:sz w:val="20"/>
          <w:szCs w:val="20"/>
          <w:lang w:val="en-US"/>
        </w:rPr>
        <w:t xml:space="preserve">Available : </w:t>
      </w:r>
      <w:r w:rsidR="0040276B" w:rsidRPr="009C4F2C">
        <w:rPr>
          <w:rFonts w:ascii="Arial" w:hAnsi="Arial" w:cs="Arial"/>
          <w:sz w:val="20"/>
          <w:szCs w:val="20"/>
          <w:highlight w:val="green"/>
          <w:lang w:val="en-US"/>
        </w:rPr>
        <w:t>https://doi.org/10.9734/arja/2025/v18i2674</w:t>
      </w:r>
    </w:p>
    <w:p w14:paraId="4BC8793F" w14:textId="7FE531BA" w:rsidR="00C75085"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Amoanimaa-Dede, H., Hongbo, Z., Kyereko, W. T., Yeboah, A., Agyenim-Boateng, K. G., Sakyi, M. E., &amp; Asiamah, C. A. (2019). Structure, </w:t>
      </w:r>
      <w:r w:rsidR="00B70803" w:rsidRPr="000620C4">
        <w:rPr>
          <w:rFonts w:ascii="Arial" w:hAnsi="Arial" w:cs="Arial"/>
          <w:sz w:val="20"/>
          <w:szCs w:val="20"/>
          <w:lang w:val="en-US"/>
        </w:rPr>
        <w:t>functions and biosynthetic pathway of naturally occurring anthocyanin in sweet potato</w:t>
      </w:r>
      <w:r w:rsidR="00CC2177">
        <w:rPr>
          <w:rFonts w:ascii="Arial" w:hAnsi="Arial" w:cs="Arial"/>
          <w:sz w:val="20"/>
          <w:szCs w:val="20"/>
          <w:lang w:val="en-US"/>
        </w:rPr>
        <w:t>-</w:t>
      </w:r>
      <w:r w:rsidRPr="000620C4">
        <w:rPr>
          <w:rFonts w:ascii="Arial" w:hAnsi="Arial" w:cs="Arial"/>
          <w:sz w:val="20"/>
          <w:szCs w:val="20"/>
          <w:lang w:val="en-US"/>
        </w:rPr>
        <w:t xml:space="preserve">A Review. </w:t>
      </w:r>
      <w:r w:rsidRPr="000620C4">
        <w:rPr>
          <w:rFonts w:ascii="Arial" w:hAnsi="Arial" w:cs="Arial"/>
          <w:i/>
          <w:iCs/>
          <w:sz w:val="20"/>
          <w:szCs w:val="20"/>
          <w:lang w:val="en-US"/>
        </w:rPr>
        <w:t>Journal of Plant Biochemistry &amp; Physiology</w:t>
      </w:r>
      <w:r w:rsidRPr="000620C4">
        <w:rPr>
          <w:rFonts w:ascii="Arial" w:hAnsi="Arial" w:cs="Arial"/>
          <w:sz w:val="20"/>
          <w:szCs w:val="20"/>
          <w:lang w:val="en-US"/>
        </w:rPr>
        <w:t xml:space="preserve">, </w:t>
      </w:r>
      <w:r w:rsidRPr="000620C4">
        <w:rPr>
          <w:rFonts w:ascii="Arial" w:hAnsi="Arial" w:cs="Arial"/>
          <w:i/>
          <w:iCs/>
          <w:sz w:val="20"/>
          <w:szCs w:val="20"/>
          <w:lang w:val="en-US"/>
        </w:rPr>
        <w:t>7</w:t>
      </w:r>
      <w:r w:rsidRPr="000620C4">
        <w:rPr>
          <w:rFonts w:ascii="Arial" w:hAnsi="Arial" w:cs="Arial"/>
          <w:sz w:val="20"/>
          <w:szCs w:val="20"/>
          <w:lang w:val="en-US"/>
        </w:rPr>
        <w:t>(2), 1</w:t>
      </w:r>
      <w:r w:rsidRPr="000620C4">
        <w:rPr>
          <w:rFonts w:ascii="Cambria Math" w:hAnsi="Cambria Math" w:cs="Cambria Math"/>
          <w:sz w:val="20"/>
          <w:szCs w:val="20"/>
          <w:lang w:val="en-US"/>
        </w:rPr>
        <w:t>‑</w:t>
      </w:r>
      <w:r w:rsidRPr="000620C4">
        <w:rPr>
          <w:rFonts w:ascii="Arial" w:hAnsi="Arial" w:cs="Arial"/>
          <w:sz w:val="20"/>
          <w:szCs w:val="20"/>
          <w:lang w:val="en-US"/>
        </w:rPr>
        <w:t xml:space="preserve">9. </w:t>
      </w:r>
    </w:p>
    <w:p w14:paraId="1B99032A" w14:textId="1C1FB43C"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://doi.org/10.35248/2329-9029.19.7.234</w:t>
      </w:r>
    </w:p>
    <w:p w14:paraId="581B2D8F" w14:textId="684FA970" w:rsidR="00500340" w:rsidRPr="00CC2177" w:rsidRDefault="00500340" w:rsidP="005A6A25">
      <w:pPr>
        <w:pStyle w:val="Bibliography"/>
        <w:spacing w:line="240" w:lineRule="auto"/>
        <w:rPr>
          <w:rFonts w:ascii="Arial" w:hAnsi="Arial" w:cs="Arial"/>
          <w:sz w:val="20"/>
          <w:szCs w:val="20"/>
          <w:lang w:val="fr-CA"/>
        </w:rPr>
      </w:pPr>
      <w:r w:rsidRPr="000620C4">
        <w:rPr>
          <w:rFonts w:ascii="Arial" w:hAnsi="Arial" w:cs="Arial"/>
          <w:sz w:val="20"/>
          <w:szCs w:val="20"/>
          <w:lang w:val="en-US"/>
        </w:rPr>
        <w:t xml:space="preserve">ANSD. </w:t>
      </w:r>
      <w:r w:rsidRPr="00CC2177">
        <w:rPr>
          <w:rFonts w:ascii="Arial" w:hAnsi="Arial" w:cs="Arial"/>
          <w:sz w:val="20"/>
          <w:szCs w:val="20"/>
          <w:lang w:val="fr-CA"/>
        </w:rPr>
        <w:t xml:space="preserve">(2023). </w:t>
      </w:r>
      <w:r w:rsidRPr="00CC2177">
        <w:rPr>
          <w:rFonts w:ascii="Arial" w:hAnsi="Arial" w:cs="Arial"/>
          <w:i/>
          <w:iCs/>
          <w:sz w:val="20"/>
          <w:szCs w:val="20"/>
          <w:lang w:val="fr-CA"/>
        </w:rPr>
        <w:t xml:space="preserve">Bulletin </w:t>
      </w:r>
      <w:r w:rsidR="00B70803" w:rsidRPr="00CC2177">
        <w:rPr>
          <w:rFonts w:ascii="Arial" w:hAnsi="Arial" w:cs="Arial"/>
          <w:i/>
          <w:iCs/>
          <w:sz w:val="20"/>
          <w:szCs w:val="20"/>
          <w:lang w:val="fr-CA"/>
        </w:rPr>
        <w:t>mensuel des statistiques économiques et financières</w:t>
      </w:r>
      <w:r w:rsidRPr="00CC2177">
        <w:rPr>
          <w:rFonts w:ascii="Arial" w:hAnsi="Arial" w:cs="Arial"/>
          <w:i/>
          <w:iCs/>
          <w:sz w:val="20"/>
          <w:szCs w:val="20"/>
          <w:lang w:val="fr-CA"/>
        </w:rPr>
        <w:t xml:space="preserve"> d’avril 2023. Agence Nationale de la Statistique et de la Démographie du Sénégal.</w:t>
      </w:r>
    </w:p>
    <w:p w14:paraId="2FC7519F" w14:textId="77777777" w:rsidR="00E6178D" w:rsidRDefault="00122D45" w:rsidP="00122D45">
      <w:pPr>
        <w:pStyle w:val="Bibliography"/>
        <w:spacing w:line="240" w:lineRule="auto"/>
        <w:rPr>
          <w:rFonts w:ascii="Arial" w:hAnsi="Arial" w:cs="Arial"/>
          <w:sz w:val="20"/>
          <w:szCs w:val="20"/>
        </w:rPr>
      </w:pPr>
      <w:r w:rsidRPr="002439AB">
        <w:rPr>
          <w:rFonts w:ascii="Arial" w:hAnsi="Arial" w:cs="Arial"/>
          <w:sz w:val="20"/>
          <w:szCs w:val="20"/>
          <w:highlight w:val="green"/>
        </w:rPr>
        <w:t xml:space="preserve">Asogwa, F. C., Paul, E., Ugodi, G. W., &amp; Asogwa, C. J. (2020). Heavy Metals Content of Common Tubers from Selected Farm Locations in Enugu North District, Southeast, Nigeria. </w:t>
      </w:r>
      <w:r w:rsidRPr="002439AB">
        <w:rPr>
          <w:rFonts w:ascii="Arial" w:hAnsi="Arial" w:cs="Arial"/>
          <w:i/>
          <w:iCs/>
          <w:sz w:val="20"/>
          <w:szCs w:val="20"/>
          <w:highlight w:val="green"/>
        </w:rPr>
        <w:t>Asian Journal of Applied Chemistry Research</w:t>
      </w:r>
      <w:r w:rsidRPr="002439AB">
        <w:rPr>
          <w:rFonts w:ascii="Arial" w:hAnsi="Arial" w:cs="Arial"/>
          <w:sz w:val="20"/>
          <w:szCs w:val="20"/>
          <w:highlight w:val="green"/>
        </w:rPr>
        <w:t xml:space="preserve">, </w:t>
      </w:r>
      <w:r w:rsidRPr="002439AB">
        <w:rPr>
          <w:rFonts w:ascii="Arial" w:hAnsi="Arial" w:cs="Arial"/>
          <w:i/>
          <w:iCs/>
          <w:sz w:val="20"/>
          <w:szCs w:val="20"/>
          <w:highlight w:val="green"/>
        </w:rPr>
        <w:t>7</w:t>
      </w:r>
      <w:r w:rsidRPr="002439AB">
        <w:rPr>
          <w:rFonts w:ascii="Arial" w:hAnsi="Arial" w:cs="Arial"/>
          <w:sz w:val="20"/>
          <w:szCs w:val="20"/>
          <w:highlight w:val="green"/>
        </w:rPr>
        <w:t>(2), 1</w:t>
      </w:r>
      <w:r w:rsidRPr="002439AB">
        <w:rPr>
          <w:rFonts w:ascii="Cambria Math" w:hAnsi="Cambria Math" w:cs="Cambria Math"/>
          <w:sz w:val="20"/>
          <w:szCs w:val="20"/>
          <w:highlight w:val="green"/>
        </w:rPr>
        <w:t>‑</w:t>
      </w:r>
      <w:r w:rsidRPr="002439AB">
        <w:rPr>
          <w:rFonts w:ascii="Arial" w:hAnsi="Arial" w:cs="Arial"/>
          <w:sz w:val="20"/>
          <w:szCs w:val="20"/>
          <w:highlight w:val="green"/>
        </w:rPr>
        <w:t>6.</w:t>
      </w:r>
    </w:p>
    <w:p w14:paraId="0C93070C" w14:textId="6CA462BC" w:rsidR="00E6178D" w:rsidRPr="00045F8A" w:rsidRDefault="00E6178D" w:rsidP="00E6178D">
      <w:pPr>
        <w:pStyle w:val="Bibliography"/>
        <w:spacing w:line="240" w:lineRule="auto"/>
        <w:ind w:hanging="12"/>
        <w:rPr>
          <w:rFonts w:ascii="Arial" w:hAnsi="Arial" w:cs="Arial"/>
          <w:sz w:val="20"/>
          <w:szCs w:val="20"/>
          <w:lang w:val="en-US"/>
        </w:rPr>
      </w:pPr>
      <w:r w:rsidRPr="00045F8A">
        <w:rPr>
          <w:rFonts w:ascii="Arial" w:hAnsi="Arial" w:cs="Arial"/>
          <w:sz w:val="20"/>
          <w:szCs w:val="20"/>
          <w:highlight w:val="green"/>
          <w:lang w:val="en-US"/>
        </w:rPr>
        <w:t>Available : https://doi.org/10.9734/ajacr/2020/v7i230176</w:t>
      </w:r>
    </w:p>
    <w:p w14:paraId="13CCF081" w14:textId="6640BE87" w:rsidR="001B1A6F" w:rsidRPr="000620C4" w:rsidRDefault="00122D45" w:rsidP="005A6A25">
      <w:pPr>
        <w:pStyle w:val="Bibliography"/>
        <w:spacing w:line="240" w:lineRule="auto"/>
        <w:rPr>
          <w:rFonts w:ascii="Arial" w:hAnsi="Arial" w:cs="Arial"/>
          <w:sz w:val="20"/>
          <w:szCs w:val="20"/>
          <w:lang w:val="en-US"/>
        </w:rPr>
      </w:pPr>
      <w:r w:rsidRPr="00045F8A">
        <w:rPr>
          <w:rFonts w:ascii="Arial" w:hAnsi="Arial" w:cs="Arial"/>
          <w:sz w:val="20"/>
          <w:szCs w:val="20"/>
          <w:lang w:val="en-US"/>
        </w:rPr>
        <w:t xml:space="preserve"> </w:t>
      </w:r>
      <w:r w:rsidR="00500340" w:rsidRPr="00E6178D">
        <w:rPr>
          <w:rFonts w:ascii="Arial" w:hAnsi="Arial" w:cs="Arial"/>
          <w:sz w:val="20"/>
          <w:szCs w:val="20"/>
          <w:lang w:val="fr-CA"/>
        </w:rPr>
        <w:t xml:space="preserve">Audu, S. S., &amp; Aremu, M. O. (2012). </w:t>
      </w:r>
      <w:r w:rsidR="00500340" w:rsidRPr="000620C4">
        <w:rPr>
          <w:rFonts w:ascii="Arial" w:hAnsi="Arial" w:cs="Arial"/>
          <w:sz w:val="20"/>
          <w:szCs w:val="20"/>
          <w:lang w:val="en-US"/>
        </w:rPr>
        <w:t>Effect of</w:t>
      </w:r>
      <w:r w:rsidR="00B70803" w:rsidRPr="000620C4">
        <w:rPr>
          <w:rFonts w:ascii="Arial" w:hAnsi="Arial" w:cs="Arial"/>
          <w:sz w:val="20"/>
          <w:szCs w:val="20"/>
          <w:lang w:val="en-US"/>
        </w:rPr>
        <w:t xml:space="preserve"> processing on chemical composition of red kidney bean</w:t>
      </w:r>
      <w:r w:rsidR="00500340" w:rsidRPr="000620C4">
        <w:rPr>
          <w:rFonts w:ascii="Arial" w:hAnsi="Arial" w:cs="Arial"/>
          <w:sz w:val="20"/>
          <w:szCs w:val="20"/>
          <w:lang w:val="en-US"/>
        </w:rPr>
        <w:t xml:space="preserve"> (</w:t>
      </w:r>
      <w:r w:rsidR="00500340" w:rsidRPr="000620C4">
        <w:rPr>
          <w:rFonts w:ascii="Arial" w:hAnsi="Arial" w:cs="Arial"/>
          <w:i/>
          <w:iCs/>
          <w:sz w:val="20"/>
          <w:szCs w:val="20"/>
          <w:lang w:val="en-US"/>
        </w:rPr>
        <w:t>Phaseolus vulgaris L</w:t>
      </w:r>
      <w:r w:rsidR="00500340" w:rsidRPr="000620C4">
        <w:rPr>
          <w:rFonts w:ascii="Arial" w:hAnsi="Arial" w:cs="Arial"/>
          <w:sz w:val="20"/>
          <w:szCs w:val="20"/>
          <w:lang w:val="en-US"/>
        </w:rPr>
        <w:t xml:space="preserve">.) Flour. </w:t>
      </w:r>
      <w:r w:rsidR="00500340" w:rsidRPr="000620C4">
        <w:rPr>
          <w:rFonts w:ascii="Arial" w:hAnsi="Arial" w:cs="Arial"/>
          <w:i/>
          <w:iCs/>
          <w:sz w:val="20"/>
          <w:szCs w:val="20"/>
          <w:lang w:val="en-US"/>
        </w:rPr>
        <w:t>Pakistan Journal of Nutrition</w:t>
      </w:r>
      <w:r w:rsidR="00500340" w:rsidRPr="000620C4">
        <w:rPr>
          <w:rFonts w:ascii="Arial" w:hAnsi="Arial" w:cs="Arial"/>
          <w:sz w:val="20"/>
          <w:szCs w:val="20"/>
          <w:lang w:val="en-US"/>
        </w:rPr>
        <w:t xml:space="preserve">, </w:t>
      </w:r>
      <w:r w:rsidR="00500340" w:rsidRPr="000620C4">
        <w:rPr>
          <w:rFonts w:ascii="Arial" w:hAnsi="Arial" w:cs="Arial"/>
          <w:i/>
          <w:iCs/>
          <w:sz w:val="20"/>
          <w:szCs w:val="20"/>
          <w:lang w:val="en-US"/>
        </w:rPr>
        <w:t>10</w:t>
      </w:r>
      <w:r w:rsidR="00500340" w:rsidRPr="000620C4">
        <w:rPr>
          <w:rFonts w:ascii="Arial" w:hAnsi="Arial" w:cs="Arial"/>
          <w:sz w:val="20"/>
          <w:szCs w:val="20"/>
          <w:lang w:val="en-US"/>
        </w:rPr>
        <w:t>(11), 1069</w:t>
      </w:r>
      <w:r w:rsidR="00500340" w:rsidRPr="000620C4">
        <w:rPr>
          <w:rFonts w:ascii="Cambria Math" w:hAnsi="Cambria Math" w:cs="Cambria Math"/>
          <w:sz w:val="20"/>
          <w:szCs w:val="20"/>
          <w:lang w:val="en-US"/>
        </w:rPr>
        <w:t>‑</w:t>
      </w:r>
      <w:r w:rsidR="00500340" w:rsidRPr="000620C4">
        <w:rPr>
          <w:rFonts w:ascii="Arial" w:hAnsi="Arial" w:cs="Arial"/>
          <w:sz w:val="20"/>
          <w:szCs w:val="20"/>
          <w:lang w:val="en-US"/>
        </w:rPr>
        <w:t xml:space="preserve">1075. </w:t>
      </w:r>
    </w:p>
    <w:p w14:paraId="25AFB5D8" w14:textId="7570F44B"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://doi.org/10.3923/pjn.2011.1069.1075</w:t>
      </w:r>
    </w:p>
    <w:p w14:paraId="1F24FD5E" w14:textId="7AF5EF27" w:rsidR="001B1A6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Awol, A. (2014). Phytochemical </w:t>
      </w:r>
      <w:r w:rsidR="00B70803" w:rsidRPr="000620C4">
        <w:rPr>
          <w:rFonts w:ascii="Arial" w:hAnsi="Arial" w:cs="Arial"/>
          <w:sz w:val="20"/>
          <w:szCs w:val="20"/>
          <w:lang w:val="en-US"/>
        </w:rPr>
        <w:t>screening, proximate and mineral composition of sweet potato leaves grown in tepi provision</w:t>
      </w:r>
      <w:r w:rsidRPr="000620C4">
        <w:rPr>
          <w:rFonts w:ascii="Arial" w:hAnsi="Arial" w:cs="Arial"/>
          <w:sz w:val="20"/>
          <w:szCs w:val="20"/>
          <w:lang w:val="en-US"/>
        </w:rPr>
        <w:t xml:space="preserve">, </w:t>
      </w:r>
      <w:r w:rsidR="00325F05" w:rsidRPr="000620C4">
        <w:rPr>
          <w:rFonts w:ascii="Arial" w:hAnsi="Arial" w:cs="Arial"/>
          <w:sz w:val="20"/>
          <w:szCs w:val="20"/>
          <w:lang w:val="en-US"/>
        </w:rPr>
        <w:t>south-west</w:t>
      </w:r>
      <w:r w:rsidRPr="000620C4">
        <w:rPr>
          <w:rFonts w:ascii="Arial" w:hAnsi="Arial" w:cs="Arial"/>
          <w:sz w:val="20"/>
          <w:szCs w:val="20"/>
          <w:lang w:val="en-US"/>
        </w:rPr>
        <w:t xml:space="preserve"> of Ethiopia. </w:t>
      </w:r>
      <w:r w:rsidRPr="000620C4">
        <w:rPr>
          <w:rFonts w:ascii="Arial" w:hAnsi="Arial" w:cs="Arial"/>
          <w:i/>
          <w:iCs/>
          <w:sz w:val="20"/>
          <w:szCs w:val="20"/>
          <w:lang w:val="en-US"/>
        </w:rPr>
        <w:t>Science, Technology and Arts Research Journal</w:t>
      </w:r>
      <w:r w:rsidRPr="000620C4">
        <w:rPr>
          <w:rFonts w:ascii="Arial" w:hAnsi="Arial" w:cs="Arial"/>
          <w:sz w:val="20"/>
          <w:szCs w:val="20"/>
          <w:lang w:val="en-US"/>
        </w:rPr>
        <w:t xml:space="preserve">, </w:t>
      </w:r>
      <w:r w:rsidRPr="000620C4">
        <w:rPr>
          <w:rFonts w:ascii="Arial" w:hAnsi="Arial" w:cs="Arial"/>
          <w:i/>
          <w:iCs/>
          <w:sz w:val="20"/>
          <w:szCs w:val="20"/>
          <w:lang w:val="en-US"/>
        </w:rPr>
        <w:t>3</w:t>
      </w:r>
      <w:r w:rsidRPr="000620C4">
        <w:rPr>
          <w:rFonts w:ascii="Arial" w:hAnsi="Arial" w:cs="Arial"/>
          <w:sz w:val="20"/>
          <w:szCs w:val="20"/>
          <w:lang w:val="en-US"/>
        </w:rPr>
        <w:t xml:space="preserve">(3), </w:t>
      </w:r>
      <w:r w:rsidR="00CA588D" w:rsidRPr="000620C4">
        <w:rPr>
          <w:rFonts w:ascii="Arial" w:hAnsi="Arial" w:cs="Arial"/>
          <w:sz w:val="20"/>
          <w:szCs w:val="20"/>
          <w:lang w:val="en-US"/>
        </w:rPr>
        <w:t>112-115</w:t>
      </w:r>
      <w:r w:rsidRPr="000620C4">
        <w:rPr>
          <w:rFonts w:ascii="Arial" w:hAnsi="Arial" w:cs="Arial"/>
          <w:sz w:val="20"/>
          <w:szCs w:val="20"/>
          <w:lang w:val="en-US"/>
        </w:rPr>
        <w:t xml:space="preserve">. </w:t>
      </w:r>
    </w:p>
    <w:p w14:paraId="60DFF2B6" w14:textId="312FB190"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://doi.org/10.4314/star.v3i3.19</w:t>
      </w:r>
    </w:p>
    <w:p w14:paraId="16A2393F" w14:textId="77777777" w:rsidR="00BC565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Ayeleso, T. B., Ayeni, P. O., Ayeleso, A. O., Ramachela, K., &amp; Mukwevho, E. (2024). Nutritional and chemical constituents of different cultivars of sweet potato (</w:t>
      </w:r>
      <w:r w:rsidRPr="000620C4">
        <w:rPr>
          <w:rFonts w:ascii="Arial" w:hAnsi="Arial" w:cs="Arial"/>
          <w:i/>
          <w:iCs/>
          <w:sz w:val="20"/>
          <w:szCs w:val="20"/>
          <w:lang w:val="en-US"/>
        </w:rPr>
        <w:t>Ipomoea batatas L.</w:t>
      </w:r>
      <w:r w:rsidRPr="000620C4">
        <w:rPr>
          <w:rFonts w:ascii="Arial" w:hAnsi="Arial" w:cs="Arial"/>
          <w:sz w:val="20"/>
          <w:szCs w:val="20"/>
          <w:lang w:val="en-US"/>
        </w:rPr>
        <w:t xml:space="preserve">) grown in South Africa. </w:t>
      </w:r>
      <w:r w:rsidRPr="000620C4">
        <w:rPr>
          <w:rFonts w:ascii="Arial" w:hAnsi="Arial" w:cs="Arial"/>
          <w:i/>
          <w:iCs/>
          <w:sz w:val="20"/>
          <w:szCs w:val="20"/>
          <w:lang w:val="en-US"/>
        </w:rPr>
        <w:t>Tropical Journal of Natural Product Research</w:t>
      </w:r>
      <w:r w:rsidRPr="000620C4">
        <w:rPr>
          <w:rFonts w:ascii="Arial" w:hAnsi="Arial" w:cs="Arial"/>
          <w:sz w:val="20"/>
          <w:szCs w:val="20"/>
          <w:lang w:val="en-US"/>
        </w:rPr>
        <w:t xml:space="preserve">, </w:t>
      </w:r>
      <w:r w:rsidRPr="000620C4">
        <w:rPr>
          <w:rFonts w:ascii="Arial" w:hAnsi="Arial" w:cs="Arial"/>
          <w:i/>
          <w:iCs/>
          <w:sz w:val="20"/>
          <w:szCs w:val="20"/>
          <w:lang w:val="en-US"/>
        </w:rPr>
        <w:t>8</w:t>
      </w:r>
      <w:r w:rsidRPr="000620C4">
        <w:rPr>
          <w:rFonts w:ascii="Arial" w:hAnsi="Arial" w:cs="Arial"/>
          <w:sz w:val="20"/>
          <w:szCs w:val="20"/>
          <w:lang w:val="en-US"/>
        </w:rPr>
        <w:t xml:space="preserve">(2), </w:t>
      </w:r>
      <w:r w:rsidR="00106071" w:rsidRPr="000620C4">
        <w:rPr>
          <w:rFonts w:ascii="Arial" w:hAnsi="Arial" w:cs="Arial"/>
          <w:sz w:val="20"/>
          <w:szCs w:val="20"/>
          <w:lang w:val="en-US"/>
        </w:rPr>
        <w:t>6100-6107</w:t>
      </w:r>
      <w:r w:rsidRPr="000620C4">
        <w:rPr>
          <w:rFonts w:ascii="Arial" w:hAnsi="Arial" w:cs="Arial"/>
          <w:sz w:val="20"/>
          <w:szCs w:val="20"/>
          <w:lang w:val="en-US"/>
        </w:rPr>
        <w:t>.</w:t>
      </w:r>
      <w:r w:rsidR="00BC565F" w:rsidRPr="000620C4">
        <w:rPr>
          <w:rFonts w:ascii="Arial" w:hAnsi="Arial" w:cs="Arial"/>
          <w:sz w:val="20"/>
          <w:szCs w:val="20"/>
          <w:lang w:val="en-US"/>
        </w:rPr>
        <w:t xml:space="preserve"> </w:t>
      </w:r>
    </w:p>
    <w:p w14:paraId="0A6F28C1" w14:textId="756F3FB1"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BC565F" w:rsidRPr="000620C4">
        <w:rPr>
          <w:rFonts w:ascii="Arial" w:hAnsi="Arial" w:cs="Arial"/>
          <w:sz w:val="20"/>
          <w:szCs w:val="20"/>
          <w:lang w:val="en-US"/>
        </w:rPr>
        <w:t>://doi.org/10.26538/tjnpr/v8i2.7</w:t>
      </w:r>
    </w:p>
    <w:p w14:paraId="75A5DD7B" w14:textId="42A11529" w:rsidR="001B1A6F" w:rsidRPr="000620C4" w:rsidRDefault="00500340" w:rsidP="005A6A25">
      <w:pPr>
        <w:pStyle w:val="Bibliography"/>
        <w:spacing w:line="240" w:lineRule="auto"/>
        <w:rPr>
          <w:rFonts w:ascii="Arial" w:hAnsi="Arial" w:cs="Arial"/>
          <w:sz w:val="20"/>
          <w:szCs w:val="20"/>
          <w:lang w:val="en-US"/>
        </w:rPr>
      </w:pPr>
      <w:r w:rsidRPr="00CC2177">
        <w:rPr>
          <w:rFonts w:ascii="Arial" w:hAnsi="Arial" w:cs="Arial"/>
          <w:sz w:val="20"/>
          <w:szCs w:val="20"/>
          <w:lang w:val="fr-CA"/>
        </w:rPr>
        <w:t xml:space="preserve">Chambukira, M., Edriss, A. K., Pangapanga-Phiri, I., &amp; Kaphaika, C. (2025). </w:t>
      </w:r>
      <w:r w:rsidRPr="000620C4">
        <w:rPr>
          <w:rFonts w:ascii="Arial" w:hAnsi="Arial" w:cs="Arial"/>
          <w:sz w:val="20"/>
          <w:szCs w:val="20"/>
          <w:lang w:val="en-US"/>
        </w:rPr>
        <w:t xml:space="preserve">Does the adoption of pro-nutritional technologies spur farmers’ yields ? Evidence from biofortified </w:t>
      </w:r>
      <w:r w:rsidR="005D4D72" w:rsidRPr="000620C4">
        <w:rPr>
          <w:rFonts w:ascii="Arial" w:hAnsi="Arial" w:cs="Arial"/>
          <w:sz w:val="20"/>
          <w:szCs w:val="20"/>
          <w:lang w:val="en-US"/>
        </w:rPr>
        <w:t>o</w:t>
      </w:r>
      <w:r w:rsidR="00180AE3" w:rsidRPr="000620C4">
        <w:rPr>
          <w:rFonts w:ascii="Arial" w:hAnsi="Arial" w:cs="Arial"/>
          <w:sz w:val="20"/>
          <w:szCs w:val="20"/>
          <w:lang w:val="en-US"/>
        </w:rPr>
        <w:t>range-fleshed sweet potato c</w:t>
      </w:r>
      <w:r w:rsidRPr="000620C4">
        <w:rPr>
          <w:rFonts w:ascii="Arial" w:hAnsi="Arial" w:cs="Arial"/>
          <w:sz w:val="20"/>
          <w:szCs w:val="20"/>
          <w:lang w:val="en-US"/>
        </w:rPr>
        <w:t xml:space="preserve">rop in rural Malawi. </w:t>
      </w:r>
      <w:r w:rsidRPr="000620C4">
        <w:rPr>
          <w:rFonts w:ascii="Arial" w:hAnsi="Arial" w:cs="Arial"/>
          <w:i/>
          <w:iCs/>
          <w:sz w:val="20"/>
          <w:szCs w:val="20"/>
          <w:lang w:val="en-US"/>
        </w:rPr>
        <w:t>World Development Sustainability</w:t>
      </w:r>
      <w:r w:rsidRPr="000620C4">
        <w:rPr>
          <w:rFonts w:ascii="Arial" w:hAnsi="Arial" w:cs="Arial"/>
          <w:sz w:val="20"/>
          <w:szCs w:val="20"/>
          <w:lang w:val="en-US"/>
        </w:rPr>
        <w:t xml:space="preserve">, </w:t>
      </w:r>
      <w:r w:rsidRPr="000620C4">
        <w:rPr>
          <w:rFonts w:ascii="Arial" w:hAnsi="Arial" w:cs="Arial"/>
          <w:i/>
          <w:iCs/>
          <w:sz w:val="20"/>
          <w:szCs w:val="20"/>
          <w:lang w:val="en-US"/>
        </w:rPr>
        <w:t>6</w:t>
      </w:r>
      <w:r w:rsidRPr="000620C4">
        <w:rPr>
          <w:rFonts w:ascii="Arial" w:hAnsi="Arial" w:cs="Arial"/>
          <w:sz w:val="20"/>
          <w:szCs w:val="20"/>
          <w:lang w:val="en-US"/>
        </w:rPr>
        <w:t xml:space="preserve">, 100202. </w:t>
      </w:r>
    </w:p>
    <w:p w14:paraId="657B3885" w14:textId="2B66C09E"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://doi.org/10.1016/j.wds.2025.100202</w:t>
      </w:r>
    </w:p>
    <w:p w14:paraId="55209EEB" w14:textId="6F9E94F6" w:rsidR="001B1A6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Coogan, T. P., Latta, D. M., Snow, E. T., Costa, M., &amp; and, A. L. (1989). Toxicity and Carcinogenicity of </w:t>
      </w:r>
      <w:r w:rsidR="005D4D72" w:rsidRPr="000620C4">
        <w:rPr>
          <w:rFonts w:ascii="Arial" w:hAnsi="Arial" w:cs="Arial"/>
          <w:sz w:val="20"/>
          <w:szCs w:val="20"/>
          <w:lang w:val="en-US"/>
        </w:rPr>
        <w:t>n</w:t>
      </w:r>
      <w:r w:rsidRPr="000620C4">
        <w:rPr>
          <w:rFonts w:ascii="Arial" w:hAnsi="Arial" w:cs="Arial"/>
          <w:sz w:val="20"/>
          <w:szCs w:val="20"/>
          <w:lang w:val="en-US"/>
        </w:rPr>
        <w:t xml:space="preserve">ickel </w:t>
      </w:r>
      <w:r w:rsidR="005D4D72" w:rsidRPr="000620C4">
        <w:rPr>
          <w:rFonts w:ascii="Arial" w:hAnsi="Arial" w:cs="Arial"/>
          <w:sz w:val="20"/>
          <w:szCs w:val="20"/>
          <w:lang w:val="en-US"/>
        </w:rPr>
        <w:t>c</w:t>
      </w:r>
      <w:r w:rsidRPr="000620C4">
        <w:rPr>
          <w:rFonts w:ascii="Arial" w:hAnsi="Arial" w:cs="Arial"/>
          <w:sz w:val="20"/>
          <w:szCs w:val="20"/>
          <w:lang w:val="en-US"/>
        </w:rPr>
        <w:t xml:space="preserve">ompounds. </w:t>
      </w:r>
      <w:r w:rsidRPr="000620C4">
        <w:rPr>
          <w:rFonts w:ascii="Arial" w:hAnsi="Arial" w:cs="Arial"/>
          <w:i/>
          <w:iCs/>
          <w:sz w:val="20"/>
          <w:szCs w:val="20"/>
          <w:lang w:val="en-US"/>
        </w:rPr>
        <w:t>CRC Critical Reviews in Toxicology</w:t>
      </w:r>
      <w:r w:rsidRPr="000620C4">
        <w:rPr>
          <w:rFonts w:ascii="Arial" w:hAnsi="Arial" w:cs="Arial"/>
          <w:sz w:val="20"/>
          <w:szCs w:val="20"/>
          <w:lang w:val="en-US"/>
        </w:rPr>
        <w:t xml:space="preserve">, </w:t>
      </w:r>
      <w:r w:rsidRPr="000620C4">
        <w:rPr>
          <w:rFonts w:ascii="Arial" w:hAnsi="Arial" w:cs="Arial"/>
          <w:i/>
          <w:iCs/>
          <w:sz w:val="20"/>
          <w:szCs w:val="20"/>
          <w:lang w:val="en-US"/>
        </w:rPr>
        <w:t>19</w:t>
      </w:r>
      <w:r w:rsidRPr="000620C4">
        <w:rPr>
          <w:rFonts w:ascii="Arial" w:hAnsi="Arial" w:cs="Arial"/>
          <w:sz w:val="20"/>
          <w:szCs w:val="20"/>
          <w:lang w:val="en-US"/>
        </w:rPr>
        <w:t>(4), 341</w:t>
      </w:r>
      <w:r w:rsidRPr="000620C4">
        <w:rPr>
          <w:rFonts w:ascii="Cambria Math" w:hAnsi="Cambria Math" w:cs="Cambria Math"/>
          <w:sz w:val="20"/>
          <w:szCs w:val="20"/>
          <w:lang w:val="en-US"/>
        </w:rPr>
        <w:t>‑</w:t>
      </w:r>
      <w:r w:rsidRPr="000620C4">
        <w:rPr>
          <w:rFonts w:ascii="Arial" w:hAnsi="Arial" w:cs="Arial"/>
          <w:sz w:val="20"/>
          <w:szCs w:val="20"/>
          <w:lang w:val="en-US"/>
        </w:rPr>
        <w:t xml:space="preserve">384. </w:t>
      </w:r>
    </w:p>
    <w:p w14:paraId="4334404D" w14:textId="0FEF0212" w:rsidR="00500340" w:rsidRPr="00CC2177" w:rsidRDefault="00B92911" w:rsidP="005A6A25">
      <w:pPr>
        <w:pStyle w:val="Bibliography"/>
        <w:spacing w:line="240" w:lineRule="auto"/>
        <w:ind w:hanging="12"/>
        <w:rPr>
          <w:rFonts w:ascii="Arial" w:hAnsi="Arial" w:cs="Arial"/>
          <w:sz w:val="20"/>
          <w:szCs w:val="20"/>
          <w:lang w:val="fr-CA"/>
        </w:rPr>
      </w:pPr>
      <w:r w:rsidRPr="00CC2177">
        <w:rPr>
          <w:rFonts w:ascii="Arial" w:hAnsi="Arial" w:cs="Arial"/>
          <w:sz w:val="20"/>
          <w:szCs w:val="20"/>
          <w:lang w:val="fr-CA"/>
        </w:rPr>
        <w:t>Available : https</w:t>
      </w:r>
      <w:r w:rsidR="00500340" w:rsidRPr="00CC2177">
        <w:rPr>
          <w:rFonts w:ascii="Arial" w:hAnsi="Arial" w:cs="Arial"/>
          <w:sz w:val="20"/>
          <w:szCs w:val="20"/>
          <w:lang w:val="fr-CA"/>
        </w:rPr>
        <w:t>://doi.org/10.3109/10408448909029327</w:t>
      </w:r>
    </w:p>
    <w:p w14:paraId="58345CF4" w14:textId="3F33E356" w:rsidR="0091175B" w:rsidRPr="000620C4" w:rsidRDefault="00500340" w:rsidP="005A6A25">
      <w:pPr>
        <w:pStyle w:val="Bibliography"/>
        <w:spacing w:line="240" w:lineRule="auto"/>
        <w:rPr>
          <w:rFonts w:ascii="Arial" w:hAnsi="Arial" w:cs="Arial"/>
          <w:i/>
          <w:iCs/>
          <w:sz w:val="20"/>
          <w:szCs w:val="20"/>
          <w:lang w:val="en-US"/>
        </w:rPr>
      </w:pPr>
      <w:r w:rsidRPr="00CC2177">
        <w:rPr>
          <w:rFonts w:ascii="Arial" w:hAnsi="Arial" w:cs="Arial"/>
          <w:sz w:val="20"/>
          <w:szCs w:val="20"/>
          <w:lang w:val="fr-CA"/>
        </w:rPr>
        <w:t xml:space="preserve">FAO. (2020). </w:t>
      </w:r>
      <w:r w:rsidRPr="000620C4">
        <w:rPr>
          <w:rFonts w:ascii="Arial" w:hAnsi="Arial" w:cs="Arial"/>
          <w:sz w:val="20"/>
          <w:szCs w:val="20"/>
          <w:lang w:val="en-US"/>
        </w:rPr>
        <w:t>FAO, Crop Production Statistics</w:t>
      </w:r>
      <w:r w:rsidR="00242414" w:rsidRPr="000620C4">
        <w:rPr>
          <w:rFonts w:ascii="Arial" w:hAnsi="Arial" w:cs="Arial"/>
          <w:i/>
          <w:iCs/>
          <w:sz w:val="20"/>
          <w:szCs w:val="20"/>
          <w:lang w:val="en-US"/>
        </w:rPr>
        <w:t>.</w:t>
      </w:r>
      <w:r w:rsidRPr="000620C4">
        <w:rPr>
          <w:rFonts w:ascii="Arial" w:hAnsi="Arial" w:cs="Arial"/>
          <w:i/>
          <w:iCs/>
          <w:sz w:val="20"/>
          <w:szCs w:val="20"/>
          <w:lang w:val="en-US"/>
        </w:rPr>
        <w:t xml:space="preserve"> </w:t>
      </w:r>
    </w:p>
    <w:p w14:paraId="469398B9" w14:textId="3158C3AF"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 xml:space="preserve">://faostat.fao.org/ </w:t>
      </w:r>
      <w:r w:rsidR="003F2E8E" w:rsidRPr="000620C4">
        <w:rPr>
          <w:rFonts w:ascii="Arial" w:hAnsi="Arial" w:cs="Arial"/>
          <w:sz w:val="20"/>
          <w:szCs w:val="20"/>
          <w:lang w:val="en-US"/>
        </w:rPr>
        <w:t>Accessed June 20, 2025.</w:t>
      </w:r>
    </w:p>
    <w:p w14:paraId="02A244E8" w14:textId="4C984EF5" w:rsidR="0091175B"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FAO/WHO (2002). Report of A Joint FAO/WHO expert consultation, Bangkok, Thailand, World Health Organization/Food and Agriculture Organization of The United Nations, Rome</w:t>
      </w:r>
      <w:r w:rsidR="000A128D" w:rsidRPr="000620C4">
        <w:rPr>
          <w:rFonts w:ascii="Arial" w:hAnsi="Arial" w:cs="Arial"/>
          <w:sz w:val="20"/>
          <w:szCs w:val="20"/>
          <w:lang w:val="en-US"/>
        </w:rPr>
        <w:t xml:space="preserve">. </w:t>
      </w:r>
      <w:r w:rsidR="003F2E8E" w:rsidRPr="000620C4">
        <w:rPr>
          <w:rFonts w:ascii="Arial" w:hAnsi="Arial" w:cs="Arial"/>
          <w:sz w:val="20"/>
          <w:szCs w:val="20"/>
          <w:lang w:val="en-US"/>
        </w:rPr>
        <w:t>Accessed June 20, 2025.</w:t>
      </w:r>
    </w:p>
    <w:p w14:paraId="4819BC43" w14:textId="63194FAE" w:rsidR="00B92A4B" w:rsidRPr="00CC2177" w:rsidRDefault="00500340" w:rsidP="00CC2177">
      <w:pPr>
        <w:pStyle w:val="Bibliography"/>
        <w:spacing w:line="240" w:lineRule="auto"/>
        <w:rPr>
          <w:rFonts w:ascii="Arial" w:hAnsi="Arial" w:cs="Arial"/>
          <w:sz w:val="20"/>
          <w:szCs w:val="20"/>
          <w:lang w:val="en-US"/>
        </w:rPr>
      </w:pPr>
      <w:r w:rsidRPr="000620C4">
        <w:rPr>
          <w:rFonts w:ascii="Arial" w:hAnsi="Arial" w:cs="Arial"/>
          <w:sz w:val="20"/>
          <w:szCs w:val="20"/>
          <w:lang w:val="en-US"/>
        </w:rPr>
        <w:t>FAO/WHO</w:t>
      </w:r>
      <w:r w:rsidR="00B92A4B" w:rsidRPr="000620C4">
        <w:rPr>
          <w:rFonts w:ascii="Arial" w:hAnsi="Arial" w:cs="Arial"/>
          <w:sz w:val="20"/>
          <w:szCs w:val="20"/>
          <w:lang w:val="en-US"/>
        </w:rPr>
        <w:t xml:space="preserve"> </w:t>
      </w:r>
      <w:r w:rsidRPr="000620C4">
        <w:rPr>
          <w:rFonts w:ascii="Arial" w:hAnsi="Arial" w:cs="Arial"/>
          <w:sz w:val="20"/>
          <w:szCs w:val="20"/>
          <w:lang w:val="en-US"/>
        </w:rPr>
        <w:t xml:space="preserve">(2006). Food and Agriculture Organization /World Health Organization. Joint FAO/WHO Expert Committee on Food Additives. Evaluation of </w:t>
      </w:r>
      <w:r w:rsidR="005D4D72" w:rsidRPr="000620C4">
        <w:rPr>
          <w:rFonts w:ascii="Arial" w:hAnsi="Arial" w:cs="Arial"/>
          <w:sz w:val="20"/>
          <w:szCs w:val="20"/>
          <w:lang w:val="en-US"/>
        </w:rPr>
        <w:t>c</w:t>
      </w:r>
      <w:r w:rsidRPr="000620C4">
        <w:rPr>
          <w:rFonts w:ascii="Arial" w:hAnsi="Arial" w:cs="Arial"/>
          <w:sz w:val="20"/>
          <w:szCs w:val="20"/>
          <w:lang w:val="en-US"/>
        </w:rPr>
        <w:t xml:space="preserve">ertain </w:t>
      </w:r>
      <w:r w:rsidR="005D4D72" w:rsidRPr="000620C4">
        <w:rPr>
          <w:rFonts w:ascii="Arial" w:hAnsi="Arial" w:cs="Arial"/>
          <w:sz w:val="20"/>
          <w:szCs w:val="20"/>
          <w:lang w:val="en-US"/>
        </w:rPr>
        <w:t>a</w:t>
      </w:r>
      <w:r w:rsidRPr="000620C4">
        <w:rPr>
          <w:rFonts w:ascii="Arial" w:hAnsi="Arial" w:cs="Arial"/>
          <w:sz w:val="20"/>
          <w:szCs w:val="20"/>
          <w:lang w:val="en-US"/>
        </w:rPr>
        <w:t xml:space="preserve">dditives and </w:t>
      </w:r>
      <w:r w:rsidR="005D4D72" w:rsidRPr="000620C4">
        <w:rPr>
          <w:rFonts w:ascii="Arial" w:hAnsi="Arial" w:cs="Arial"/>
          <w:sz w:val="20"/>
          <w:szCs w:val="20"/>
          <w:lang w:val="en-US"/>
        </w:rPr>
        <w:t>c</w:t>
      </w:r>
      <w:r w:rsidRPr="000620C4">
        <w:rPr>
          <w:rFonts w:ascii="Arial" w:hAnsi="Arial" w:cs="Arial"/>
          <w:sz w:val="20"/>
          <w:szCs w:val="20"/>
          <w:lang w:val="en-US"/>
        </w:rPr>
        <w:t xml:space="preserve">ontaminants, 2006, 67th Joint </w:t>
      </w:r>
      <w:r w:rsidRPr="000620C4">
        <w:rPr>
          <w:rFonts w:ascii="Arial" w:hAnsi="Arial" w:cs="Arial"/>
          <w:sz w:val="20"/>
          <w:szCs w:val="20"/>
          <w:lang w:val="en-US"/>
        </w:rPr>
        <w:lastRenderedPageBreak/>
        <w:t>FAO/WHO Expert Committee on Food Additives; WHO Technical Report Series; FAO/WHO: Rome, Italy, 2006</w:t>
      </w:r>
      <w:r w:rsidR="00CC2177">
        <w:rPr>
          <w:rFonts w:ascii="Arial" w:hAnsi="Arial" w:cs="Arial"/>
          <w:sz w:val="20"/>
          <w:szCs w:val="20"/>
          <w:lang w:val="en-US"/>
        </w:rPr>
        <w:t>.</w:t>
      </w:r>
      <w:r w:rsidR="00BD11CF" w:rsidRPr="000620C4">
        <w:rPr>
          <w:rFonts w:ascii="Arial" w:hAnsi="Arial" w:cs="Arial"/>
          <w:sz w:val="20"/>
          <w:szCs w:val="20"/>
          <w:lang w:val="en-US"/>
        </w:rPr>
        <w:t xml:space="preserve"> </w:t>
      </w:r>
      <w:r w:rsidR="003F2E8E" w:rsidRPr="000620C4">
        <w:rPr>
          <w:rFonts w:ascii="Arial" w:hAnsi="Arial" w:cs="Arial"/>
          <w:sz w:val="20"/>
          <w:szCs w:val="20"/>
          <w:lang w:val="en-US"/>
        </w:rPr>
        <w:t>Accessed June 20, 2025.</w:t>
      </w:r>
    </w:p>
    <w:p w14:paraId="553D72F1"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Feukeng, F. T., Otieno, D. J., Rajendran, S., Kapalasa, E., Mwenye, O., Demo, P., &amp; Parker, M. L. (2024). Determinants and effects of adopting improved potato varieties in Malawi. </w:t>
      </w:r>
      <w:r w:rsidRPr="000620C4">
        <w:rPr>
          <w:rFonts w:ascii="Arial" w:hAnsi="Arial" w:cs="Arial"/>
          <w:i/>
          <w:iCs/>
          <w:sz w:val="20"/>
          <w:szCs w:val="20"/>
          <w:lang w:val="en-US"/>
        </w:rPr>
        <w:t>Journal of Agriculture and Food Research</w:t>
      </w:r>
      <w:r w:rsidRPr="000620C4">
        <w:rPr>
          <w:rFonts w:ascii="Arial" w:hAnsi="Arial" w:cs="Arial"/>
          <w:sz w:val="20"/>
          <w:szCs w:val="20"/>
          <w:lang w:val="en-US"/>
        </w:rPr>
        <w:t xml:space="preserve">, </w:t>
      </w:r>
      <w:r w:rsidRPr="000620C4">
        <w:rPr>
          <w:rFonts w:ascii="Arial" w:hAnsi="Arial" w:cs="Arial"/>
          <w:i/>
          <w:iCs/>
          <w:sz w:val="20"/>
          <w:szCs w:val="20"/>
          <w:lang w:val="en-US"/>
        </w:rPr>
        <w:t>18</w:t>
      </w:r>
      <w:r w:rsidRPr="000620C4">
        <w:rPr>
          <w:rFonts w:ascii="Arial" w:hAnsi="Arial" w:cs="Arial"/>
          <w:sz w:val="20"/>
          <w:szCs w:val="20"/>
          <w:lang w:val="en-US"/>
        </w:rPr>
        <w:t xml:space="preserve">, 101389. </w:t>
      </w:r>
    </w:p>
    <w:p w14:paraId="6B5B90A7" w14:textId="04538987" w:rsidR="00500340"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://doi.org/10.1016/j.jafr.2024.101389</w:t>
      </w:r>
    </w:p>
    <w:p w14:paraId="50065F5D" w14:textId="5C2DD9C4" w:rsidR="00FB260F" w:rsidRPr="001A418A" w:rsidRDefault="00FB260F" w:rsidP="00FB260F">
      <w:pPr>
        <w:pStyle w:val="Bibliography"/>
        <w:spacing w:line="240" w:lineRule="auto"/>
        <w:rPr>
          <w:rFonts w:ascii="Arial" w:hAnsi="Arial" w:cs="Arial"/>
          <w:sz w:val="20"/>
          <w:szCs w:val="20"/>
          <w:highlight w:val="green"/>
        </w:rPr>
      </w:pPr>
      <w:r w:rsidRPr="001A418A">
        <w:rPr>
          <w:rFonts w:ascii="Arial" w:hAnsi="Arial" w:cs="Arial"/>
          <w:sz w:val="20"/>
          <w:szCs w:val="20"/>
          <w:highlight w:val="green"/>
        </w:rPr>
        <w:t xml:space="preserve">Fischer, G., &amp; Fischer-García, F. L. (2023). Heavy metal contamination of vegetables in urban and peri-urban areas. An overview. </w:t>
      </w:r>
      <w:r w:rsidRPr="001A418A">
        <w:rPr>
          <w:rFonts w:ascii="Arial" w:hAnsi="Arial" w:cs="Arial"/>
          <w:i/>
          <w:iCs/>
          <w:sz w:val="20"/>
          <w:szCs w:val="20"/>
          <w:highlight w:val="green"/>
        </w:rPr>
        <w:t>Revista Colombiana de Ciencias Hortícolas</w:t>
      </w:r>
      <w:r w:rsidRPr="001A418A">
        <w:rPr>
          <w:rFonts w:ascii="Arial" w:hAnsi="Arial" w:cs="Arial"/>
          <w:sz w:val="20"/>
          <w:szCs w:val="20"/>
          <w:highlight w:val="green"/>
        </w:rPr>
        <w:t xml:space="preserve">, </w:t>
      </w:r>
      <w:r w:rsidRPr="001A418A">
        <w:rPr>
          <w:rFonts w:ascii="Arial" w:hAnsi="Arial" w:cs="Arial"/>
          <w:i/>
          <w:iCs/>
          <w:sz w:val="20"/>
          <w:szCs w:val="20"/>
          <w:highlight w:val="green"/>
        </w:rPr>
        <w:t>17</w:t>
      </w:r>
      <w:r w:rsidRPr="001A418A">
        <w:rPr>
          <w:rFonts w:ascii="Arial" w:hAnsi="Arial" w:cs="Arial"/>
          <w:sz w:val="20"/>
          <w:szCs w:val="20"/>
          <w:highlight w:val="green"/>
        </w:rPr>
        <w:t>(2)</w:t>
      </w:r>
      <w:r w:rsidR="007B3CDC">
        <w:rPr>
          <w:rFonts w:ascii="Arial" w:hAnsi="Arial" w:cs="Arial"/>
          <w:sz w:val="20"/>
          <w:szCs w:val="20"/>
          <w:highlight w:val="green"/>
        </w:rPr>
        <w:t>, e16099</w:t>
      </w:r>
      <w:r w:rsidR="007B3CDC" w:rsidRPr="001A418A">
        <w:rPr>
          <w:rFonts w:ascii="Arial" w:hAnsi="Arial" w:cs="Arial"/>
          <w:sz w:val="20"/>
          <w:szCs w:val="20"/>
          <w:highlight w:val="green"/>
        </w:rPr>
        <w:t xml:space="preserve">. </w:t>
      </w:r>
      <w:r w:rsidRPr="001A418A">
        <w:rPr>
          <w:rFonts w:ascii="Arial" w:hAnsi="Arial" w:cs="Arial"/>
          <w:sz w:val="20"/>
          <w:szCs w:val="20"/>
          <w:highlight w:val="green"/>
        </w:rPr>
        <w:t xml:space="preserve"> </w:t>
      </w:r>
    </w:p>
    <w:p w14:paraId="1A76862E" w14:textId="4A9426BF" w:rsidR="00FB260F" w:rsidRPr="00045F8A" w:rsidRDefault="00637F06" w:rsidP="00FB260F">
      <w:pPr>
        <w:pStyle w:val="Bibliography"/>
        <w:spacing w:line="240" w:lineRule="auto"/>
        <w:ind w:hanging="12"/>
        <w:rPr>
          <w:rFonts w:ascii="Arial" w:hAnsi="Arial" w:cs="Arial"/>
          <w:sz w:val="20"/>
          <w:szCs w:val="20"/>
          <w:lang w:val="en-US"/>
        </w:rPr>
      </w:pPr>
      <w:r w:rsidRPr="00045F8A">
        <w:rPr>
          <w:rFonts w:ascii="Arial" w:hAnsi="Arial" w:cs="Arial"/>
          <w:sz w:val="20"/>
          <w:szCs w:val="20"/>
          <w:highlight w:val="green"/>
          <w:lang w:val="en-US"/>
        </w:rPr>
        <w:t xml:space="preserve">Available : </w:t>
      </w:r>
      <w:r w:rsidR="00FB260F" w:rsidRPr="00045F8A">
        <w:rPr>
          <w:rFonts w:ascii="Arial" w:hAnsi="Arial" w:cs="Arial"/>
          <w:sz w:val="20"/>
          <w:szCs w:val="20"/>
          <w:highlight w:val="green"/>
          <w:lang w:val="en-US"/>
        </w:rPr>
        <w:t>https://doi.org/10.17584/rcch.2023v17i2.16099</w:t>
      </w:r>
    </w:p>
    <w:p w14:paraId="1A9E97FE"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Guclu, G., Dagli, M. M., Ozge Aksay, Keskin, M., Kelebek, H., &amp; Selli, S. (2023). Comparative elucidation on the phenolic fingerprint, sugars and antioxidant activity of white, orange and purple-fleshed sweet potatoes (</w:t>
      </w:r>
      <w:r w:rsidRPr="000620C4">
        <w:rPr>
          <w:rFonts w:ascii="Arial" w:hAnsi="Arial" w:cs="Arial"/>
          <w:i/>
          <w:iCs/>
          <w:sz w:val="20"/>
          <w:szCs w:val="20"/>
          <w:lang w:val="en-US"/>
        </w:rPr>
        <w:t>Ipomoea batatas L.</w:t>
      </w:r>
      <w:r w:rsidRPr="000620C4">
        <w:rPr>
          <w:rFonts w:ascii="Arial" w:hAnsi="Arial" w:cs="Arial"/>
          <w:sz w:val="20"/>
          <w:szCs w:val="20"/>
          <w:lang w:val="en-US"/>
        </w:rPr>
        <w:t xml:space="preserve">) as affected by different cooking methods. </w:t>
      </w:r>
      <w:r w:rsidRPr="000620C4">
        <w:rPr>
          <w:rFonts w:ascii="Arial" w:hAnsi="Arial" w:cs="Arial"/>
          <w:i/>
          <w:iCs/>
          <w:sz w:val="20"/>
          <w:szCs w:val="20"/>
          <w:lang w:val="en-US"/>
        </w:rPr>
        <w:t>Heliyon</w:t>
      </w:r>
      <w:r w:rsidRPr="000620C4">
        <w:rPr>
          <w:rFonts w:ascii="Arial" w:hAnsi="Arial" w:cs="Arial"/>
          <w:sz w:val="20"/>
          <w:szCs w:val="20"/>
          <w:lang w:val="en-US"/>
        </w:rPr>
        <w:t xml:space="preserve">, </w:t>
      </w:r>
      <w:r w:rsidRPr="000620C4">
        <w:rPr>
          <w:rFonts w:ascii="Arial" w:hAnsi="Arial" w:cs="Arial"/>
          <w:i/>
          <w:iCs/>
          <w:sz w:val="20"/>
          <w:szCs w:val="20"/>
          <w:lang w:val="en-US"/>
        </w:rPr>
        <w:t>9</w:t>
      </w:r>
      <w:r w:rsidRPr="000620C4">
        <w:rPr>
          <w:rFonts w:ascii="Arial" w:hAnsi="Arial" w:cs="Arial"/>
          <w:sz w:val="20"/>
          <w:szCs w:val="20"/>
          <w:lang w:val="en-US"/>
        </w:rPr>
        <w:t xml:space="preserve">(8), e18684. </w:t>
      </w:r>
    </w:p>
    <w:p w14:paraId="32C938E6" w14:textId="200D3F2D"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://doi.org/10.1016/j.heliyon.2023.e18684</w:t>
      </w:r>
    </w:p>
    <w:p w14:paraId="2BAE505D"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Gzik, A., Kuehling, M., Schneider, I., &amp; Tschochner, B. (2003). Heavy metal contamination of soils in a mining area in South Africa and its impact on some biotic systems. </w:t>
      </w:r>
      <w:r w:rsidRPr="000620C4">
        <w:rPr>
          <w:rFonts w:ascii="Arial" w:hAnsi="Arial" w:cs="Arial"/>
          <w:i/>
          <w:iCs/>
          <w:sz w:val="20"/>
          <w:szCs w:val="20"/>
          <w:lang w:val="en-US"/>
        </w:rPr>
        <w:t>Journal of Soils and Sediments</w:t>
      </w:r>
      <w:r w:rsidRPr="000620C4">
        <w:rPr>
          <w:rFonts w:ascii="Arial" w:hAnsi="Arial" w:cs="Arial"/>
          <w:sz w:val="20"/>
          <w:szCs w:val="20"/>
          <w:lang w:val="en-US"/>
        </w:rPr>
        <w:t xml:space="preserve">, </w:t>
      </w:r>
      <w:r w:rsidRPr="000620C4">
        <w:rPr>
          <w:rFonts w:ascii="Arial" w:hAnsi="Arial" w:cs="Arial"/>
          <w:i/>
          <w:iCs/>
          <w:sz w:val="20"/>
          <w:szCs w:val="20"/>
          <w:lang w:val="en-US"/>
        </w:rPr>
        <w:t>3</w:t>
      </w:r>
      <w:r w:rsidRPr="000620C4">
        <w:rPr>
          <w:rFonts w:ascii="Arial" w:hAnsi="Arial" w:cs="Arial"/>
          <w:sz w:val="20"/>
          <w:szCs w:val="20"/>
          <w:lang w:val="en-US"/>
        </w:rPr>
        <w:t>(1), 29</w:t>
      </w:r>
      <w:r w:rsidRPr="000620C4">
        <w:rPr>
          <w:rFonts w:ascii="Cambria Math" w:hAnsi="Cambria Math" w:cs="Cambria Math"/>
          <w:sz w:val="20"/>
          <w:szCs w:val="20"/>
          <w:lang w:val="en-US"/>
        </w:rPr>
        <w:t>‑</w:t>
      </w:r>
      <w:r w:rsidRPr="000620C4">
        <w:rPr>
          <w:rFonts w:ascii="Arial" w:hAnsi="Arial" w:cs="Arial"/>
          <w:sz w:val="20"/>
          <w:szCs w:val="20"/>
          <w:lang w:val="en-US"/>
        </w:rPr>
        <w:t xml:space="preserve">34. </w:t>
      </w:r>
    </w:p>
    <w:p w14:paraId="6C98AE7D" w14:textId="475C0F48"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://doi.org/10.1007/BF02989466</w:t>
      </w:r>
    </w:p>
    <w:p w14:paraId="15AEF9D5"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Huang, F., Zhou, H., Gu, J., Liu, C., Yang, W., Liao, B., &amp; Zhou, H. (2020). Differences in absorption of cadmium and lead among fourteen sweet potato cultivars and health risk assessment. </w:t>
      </w:r>
      <w:r w:rsidRPr="000620C4">
        <w:rPr>
          <w:rFonts w:ascii="Arial" w:hAnsi="Arial" w:cs="Arial"/>
          <w:i/>
          <w:iCs/>
          <w:sz w:val="20"/>
          <w:szCs w:val="20"/>
          <w:lang w:val="en-US"/>
        </w:rPr>
        <w:t>Ecotoxicology and Environmental Safety</w:t>
      </w:r>
      <w:r w:rsidRPr="000620C4">
        <w:rPr>
          <w:rFonts w:ascii="Arial" w:hAnsi="Arial" w:cs="Arial"/>
          <w:sz w:val="20"/>
          <w:szCs w:val="20"/>
          <w:lang w:val="en-US"/>
        </w:rPr>
        <w:t xml:space="preserve">, </w:t>
      </w:r>
      <w:r w:rsidRPr="000620C4">
        <w:rPr>
          <w:rFonts w:ascii="Arial" w:hAnsi="Arial" w:cs="Arial"/>
          <w:i/>
          <w:iCs/>
          <w:sz w:val="20"/>
          <w:szCs w:val="20"/>
          <w:lang w:val="en-US"/>
        </w:rPr>
        <w:t>203</w:t>
      </w:r>
      <w:r w:rsidRPr="000620C4">
        <w:rPr>
          <w:rFonts w:ascii="Arial" w:hAnsi="Arial" w:cs="Arial"/>
          <w:sz w:val="20"/>
          <w:szCs w:val="20"/>
          <w:lang w:val="en-US"/>
        </w:rPr>
        <w:t xml:space="preserve">, 111012. </w:t>
      </w:r>
    </w:p>
    <w:p w14:paraId="386AD092" w14:textId="232DF3A2"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://doi.org/10.1016/j.ecoenv.2020.111012</w:t>
      </w:r>
    </w:p>
    <w:p w14:paraId="1721524F" w14:textId="4E5A77C2"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Ivane, N. M. A., Wang, W., Ma, Q., Wang, J., &amp; Sun, J. (2024). Harnessing the health benefits of purple and yellow-fleshed sweet potatoes : </w:t>
      </w:r>
      <w:r w:rsidR="00736F8E" w:rsidRPr="000620C4">
        <w:rPr>
          <w:rFonts w:ascii="Arial" w:hAnsi="Arial" w:cs="Arial"/>
          <w:sz w:val="20"/>
          <w:szCs w:val="20"/>
          <w:lang w:val="en-US"/>
        </w:rPr>
        <w:t>p</w:t>
      </w:r>
      <w:r w:rsidRPr="000620C4">
        <w:rPr>
          <w:rFonts w:ascii="Arial" w:hAnsi="Arial" w:cs="Arial"/>
          <w:sz w:val="20"/>
          <w:szCs w:val="20"/>
          <w:lang w:val="en-US"/>
        </w:rPr>
        <w:t xml:space="preserve">hytochemical composition, stabilization methods, and industrial utilization- A review. </w:t>
      </w:r>
      <w:r w:rsidRPr="000620C4">
        <w:rPr>
          <w:rFonts w:ascii="Arial" w:hAnsi="Arial" w:cs="Arial"/>
          <w:i/>
          <w:iCs/>
          <w:sz w:val="20"/>
          <w:szCs w:val="20"/>
          <w:lang w:val="en-US"/>
        </w:rPr>
        <w:t>Food Chemistry: X</w:t>
      </w:r>
      <w:r w:rsidRPr="000620C4">
        <w:rPr>
          <w:rFonts w:ascii="Arial" w:hAnsi="Arial" w:cs="Arial"/>
          <w:sz w:val="20"/>
          <w:szCs w:val="20"/>
          <w:lang w:val="en-US"/>
        </w:rPr>
        <w:t xml:space="preserve">, </w:t>
      </w:r>
      <w:r w:rsidRPr="000620C4">
        <w:rPr>
          <w:rFonts w:ascii="Arial" w:hAnsi="Arial" w:cs="Arial"/>
          <w:i/>
          <w:iCs/>
          <w:sz w:val="20"/>
          <w:szCs w:val="20"/>
          <w:lang w:val="en-US"/>
        </w:rPr>
        <w:t>23</w:t>
      </w:r>
      <w:r w:rsidRPr="000620C4">
        <w:rPr>
          <w:rFonts w:ascii="Arial" w:hAnsi="Arial" w:cs="Arial"/>
          <w:sz w:val="20"/>
          <w:szCs w:val="20"/>
          <w:lang w:val="en-US"/>
        </w:rPr>
        <w:t xml:space="preserve">, 101462. </w:t>
      </w:r>
    </w:p>
    <w:p w14:paraId="74D03EE3" w14:textId="4D6CA1B2"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://doi.org/10.1016/j.fochx.2024.101462</w:t>
      </w:r>
    </w:p>
    <w:p w14:paraId="08D98C43"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Kambabazi, M. R., Okoth, M. W., Ngala, S., Njue, L., &amp; Vasanthakaalam, H. (2021). Evaluation of nutrient content in red kidney beans, amaranth leaves, sweet potato roots and carrots cultivated in Rwanda. </w:t>
      </w:r>
      <w:r w:rsidRPr="000620C4">
        <w:rPr>
          <w:rFonts w:ascii="Arial" w:hAnsi="Arial" w:cs="Arial"/>
          <w:i/>
          <w:iCs/>
          <w:sz w:val="20"/>
          <w:szCs w:val="20"/>
          <w:lang w:val="en-US"/>
        </w:rPr>
        <w:t>African Journal of Food, Agriculture, Nutrition and Development</w:t>
      </w:r>
      <w:r w:rsidRPr="000620C4">
        <w:rPr>
          <w:rFonts w:ascii="Arial" w:hAnsi="Arial" w:cs="Arial"/>
          <w:sz w:val="20"/>
          <w:szCs w:val="20"/>
          <w:lang w:val="en-US"/>
        </w:rPr>
        <w:t xml:space="preserve">, </w:t>
      </w:r>
      <w:r w:rsidRPr="000620C4">
        <w:rPr>
          <w:rFonts w:ascii="Arial" w:hAnsi="Arial" w:cs="Arial"/>
          <w:i/>
          <w:iCs/>
          <w:sz w:val="20"/>
          <w:szCs w:val="20"/>
          <w:lang w:val="en-US"/>
        </w:rPr>
        <w:t>21</w:t>
      </w:r>
      <w:r w:rsidRPr="000620C4">
        <w:rPr>
          <w:rFonts w:ascii="Arial" w:hAnsi="Arial" w:cs="Arial"/>
          <w:sz w:val="20"/>
          <w:szCs w:val="20"/>
          <w:lang w:val="en-US"/>
        </w:rPr>
        <w:t xml:space="preserve">(4), </w:t>
      </w:r>
      <w:r w:rsidR="005240E4" w:rsidRPr="000620C4">
        <w:rPr>
          <w:rFonts w:ascii="Arial" w:hAnsi="Arial" w:cs="Arial"/>
          <w:sz w:val="20"/>
          <w:szCs w:val="20"/>
          <w:lang w:val="en-US"/>
        </w:rPr>
        <w:t>17801-17814</w:t>
      </w:r>
      <w:r w:rsidRPr="000620C4">
        <w:rPr>
          <w:rFonts w:ascii="Arial" w:hAnsi="Arial" w:cs="Arial"/>
          <w:sz w:val="20"/>
          <w:szCs w:val="20"/>
          <w:lang w:val="en-US"/>
        </w:rPr>
        <w:t>.</w:t>
      </w:r>
      <w:r w:rsidR="005240E4" w:rsidRPr="000620C4">
        <w:rPr>
          <w:rFonts w:ascii="Arial" w:hAnsi="Arial" w:cs="Arial"/>
          <w:sz w:val="20"/>
          <w:szCs w:val="20"/>
          <w:lang w:val="en-US"/>
        </w:rPr>
        <w:t xml:space="preserve"> </w:t>
      </w:r>
    </w:p>
    <w:p w14:paraId="74098019" w14:textId="730897B6" w:rsidR="00500340" w:rsidRPr="000620C4" w:rsidRDefault="00B92911" w:rsidP="005A6A25">
      <w:pPr>
        <w:pStyle w:val="Bibliography"/>
        <w:spacing w:line="240" w:lineRule="auto"/>
        <w:ind w:left="0" w:firstLine="708"/>
        <w:rPr>
          <w:rFonts w:ascii="Arial" w:hAnsi="Arial" w:cs="Arial"/>
          <w:sz w:val="20"/>
          <w:szCs w:val="20"/>
          <w:lang w:val="en-US"/>
        </w:rPr>
      </w:pPr>
      <w:r w:rsidRPr="000620C4">
        <w:rPr>
          <w:rFonts w:ascii="Arial" w:hAnsi="Arial" w:cs="Arial"/>
          <w:sz w:val="20"/>
          <w:szCs w:val="20"/>
          <w:lang w:val="en-US"/>
        </w:rPr>
        <w:t>Available : https</w:t>
      </w:r>
      <w:r w:rsidR="005240E4" w:rsidRPr="000620C4">
        <w:rPr>
          <w:rFonts w:ascii="Arial" w:hAnsi="Arial" w:cs="Arial"/>
          <w:sz w:val="20"/>
          <w:szCs w:val="20"/>
          <w:lang w:val="en-US"/>
        </w:rPr>
        <w:t>://doi.org/10.18697/ajfand.99.21095</w:t>
      </w:r>
    </w:p>
    <w:p w14:paraId="3D943D75" w14:textId="7C4F4E46" w:rsidR="00BD11CF" w:rsidRPr="000620C4" w:rsidRDefault="00171493"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Maloney, P.</w:t>
      </w:r>
      <w:r w:rsidR="00500340" w:rsidRPr="000620C4">
        <w:rPr>
          <w:rFonts w:ascii="Arial" w:hAnsi="Arial" w:cs="Arial"/>
          <w:sz w:val="20"/>
          <w:szCs w:val="20"/>
          <w:lang w:val="en-US"/>
        </w:rPr>
        <w:t xml:space="preserve"> M., </w:t>
      </w:r>
      <w:r w:rsidR="006C7396" w:rsidRPr="000620C4">
        <w:rPr>
          <w:rFonts w:ascii="Arial" w:hAnsi="Arial" w:cs="Arial"/>
          <w:sz w:val="20"/>
          <w:szCs w:val="20"/>
          <w:lang w:val="en-US"/>
        </w:rPr>
        <w:t>Truong V.-D.</w:t>
      </w:r>
      <w:r w:rsidR="00500340" w:rsidRPr="000620C4">
        <w:rPr>
          <w:rFonts w:ascii="Arial" w:hAnsi="Arial" w:cs="Arial"/>
          <w:sz w:val="20"/>
          <w:szCs w:val="20"/>
          <w:lang w:val="en-US"/>
        </w:rPr>
        <w:t xml:space="preserve">, &amp; </w:t>
      </w:r>
      <w:r w:rsidR="006C7396" w:rsidRPr="000620C4">
        <w:rPr>
          <w:rFonts w:ascii="Arial" w:hAnsi="Arial" w:cs="Arial"/>
          <w:sz w:val="20"/>
          <w:szCs w:val="20"/>
          <w:lang w:val="en-US"/>
        </w:rPr>
        <w:t>Allen, J. V.</w:t>
      </w:r>
      <w:r w:rsidR="00500340" w:rsidRPr="000620C4">
        <w:rPr>
          <w:rFonts w:ascii="Arial" w:hAnsi="Arial" w:cs="Arial"/>
          <w:sz w:val="20"/>
          <w:szCs w:val="20"/>
          <w:lang w:val="en-US"/>
        </w:rPr>
        <w:t xml:space="preserve"> (2012). Chemical optimization of protein extraction from sweet potato (</w:t>
      </w:r>
      <w:r w:rsidR="00500340" w:rsidRPr="000620C4">
        <w:rPr>
          <w:rFonts w:ascii="Arial" w:hAnsi="Arial" w:cs="Arial"/>
          <w:i/>
          <w:iCs/>
          <w:sz w:val="20"/>
          <w:szCs w:val="20"/>
          <w:lang w:val="en-US"/>
        </w:rPr>
        <w:t>Ipomoea batatas</w:t>
      </w:r>
      <w:r w:rsidR="00500340" w:rsidRPr="000620C4">
        <w:rPr>
          <w:rFonts w:ascii="Arial" w:hAnsi="Arial" w:cs="Arial"/>
          <w:sz w:val="20"/>
          <w:szCs w:val="20"/>
          <w:lang w:val="en-US"/>
        </w:rPr>
        <w:t xml:space="preserve">) peel. </w:t>
      </w:r>
      <w:r w:rsidR="00500340" w:rsidRPr="000620C4">
        <w:rPr>
          <w:rFonts w:ascii="Arial" w:hAnsi="Arial" w:cs="Arial"/>
          <w:i/>
          <w:iCs/>
          <w:sz w:val="20"/>
          <w:szCs w:val="20"/>
          <w:lang w:val="en-US"/>
        </w:rPr>
        <w:t>Journal of Food Science</w:t>
      </w:r>
      <w:r w:rsidR="00500340" w:rsidRPr="000620C4">
        <w:rPr>
          <w:rFonts w:ascii="Arial" w:hAnsi="Arial" w:cs="Arial"/>
          <w:sz w:val="20"/>
          <w:szCs w:val="20"/>
          <w:lang w:val="en-US"/>
        </w:rPr>
        <w:t xml:space="preserve">, </w:t>
      </w:r>
      <w:r w:rsidR="00500340" w:rsidRPr="000620C4">
        <w:rPr>
          <w:rFonts w:ascii="Arial" w:hAnsi="Arial" w:cs="Arial"/>
          <w:i/>
          <w:iCs/>
          <w:sz w:val="20"/>
          <w:szCs w:val="20"/>
          <w:lang w:val="en-US"/>
        </w:rPr>
        <w:t>77</w:t>
      </w:r>
      <w:r w:rsidR="00500340" w:rsidRPr="000620C4">
        <w:rPr>
          <w:rFonts w:ascii="Arial" w:hAnsi="Arial" w:cs="Arial"/>
          <w:sz w:val="20"/>
          <w:szCs w:val="20"/>
          <w:lang w:val="en-US"/>
        </w:rPr>
        <w:t>(11)</w:t>
      </w:r>
      <w:r w:rsidR="00296420">
        <w:rPr>
          <w:rFonts w:ascii="Arial" w:hAnsi="Arial" w:cs="Arial"/>
          <w:sz w:val="20"/>
          <w:szCs w:val="20"/>
          <w:lang w:val="en-US"/>
        </w:rPr>
        <w:t>,</w:t>
      </w:r>
      <w:r w:rsidR="00532CF1" w:rsidRPr="000620C4">
        <w:rPr>
          <w:rFonts w:ascii="Arial" w:hAnsi="Arial" w:cs="Arial"/>
          <w:sz w:val="20"/>
          <w:szCs w:val="20"/>
          <w:lang w:val="en-US"/>
        </w:rPr>
        <w:t xml:space="preserve"> E307-E312</w:t>
      </w:r>
      <w:r w:rsidR="00500340" w:rsidRPr="000620C4">
        <w:rPr>
          <w:rFonts w:ascii="Arial" w:hAnsi="Arial" w:cs="Arial"/>
          <w:sz w:val="20"/>
          <w:szCs w:val="20"/>
          <w:lang w:val="en-US"/>
        </w:rPr>
        <w:t xml:space="preserve">. </w:t>
      </w:r>
    </w:p>
    <w:p w14:paraId="2B84462E" w14:textId="463B2E65"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://doi.org/10.1111/j.1750-3841.2012.02921.x</w:t>
      </w:r>
    </w:p>
    <w:p w14:paraId="48FB1FE6" w14:textId="555AB503" w:rsidR="00921A58" w:rsidRDefault="00921A58" w:rsidP="005A6A25">
      <w:pPr>
        <w:pStyle w:val="Bibliography"/>
        <w:spacing w:line="240" w:lineRule="auto"/>
        <w:rPr>
          <w:rFonts w:ascii="Arial" w:hAnsi="Arial" w:cs="Arial"/>
          <w:sz w:val="20"/>
        </w:rPr>
      </w:pPr>
      <w:r w:rsidRPr="003149A6">
        <w:rPr>
          <w:rFonts w:ascii="Arial" w:hAnsi="Arial" w:cs="Arial"/>
          <w:sz w:val="20"/>
        </w:rPr>
        <w:t xml:space="preserve">Mutune, A. N., Makobe, M. A., &amp; Abukutsa-Onyango, M. O. O. (2014). Heavy metal content of selected African leafy vegetables planted in urban and peri-urban Nairobi, Kenya. </w:t>
      </w:r>
      <w:r w:rsidRPr="003149A6">
        <w:rPr>
          <w:rFonts w:ascii="Arial" w:hAnsi="Arial" w:cs="Arial"/>
          <w:i/>
          <w:iCs/>
          <w:sz w:val="20"/>
        </w:rPr>
        <w:t>African Journal of Environmental Science and Technology</w:t>
      </w:r>
      <w:r w:rsidRPr="003149A6">
        <w:rPr>
          <w:rFonts w:ascii="Arial" w:hAnsi="Arial" w:cs="Arial"/>
          <w:sz w:val="20"/>
        </w:rPr>
        <w:t xml:space="preserve">, </w:t>
      </w:r>
      <w:r w:rsidRPr="003149A6">
        <w:rPr>
          <w:rFonts w:ascii="Arial" w:hAnsi="Arial" w:cs="Arial"/>
          <w:i/>
          <w:iCs/>
          <w:sz w:val="20"/>
        </w:rPr>
        <w:t>8</w:t>
      </w:r>
      <w:r w:rsidRPr="003149A6">
        <w:rPr>
          <w:rFonts w:ascii="Arial" w:hAnsi="Arial" w:cs="Arial"/>
          <w:sz w:val="20"/>
        </w:rPr>
        <w:t xml:space="preserve">(1), </w:t>
      </w:r>
      <w:r w:rsidR="00D71508">
        <w:rPr>
          <w:rFonts w:ascii="Arial" w:hAnsi="Arial" w:cs="Arial"/>
          <w:sz w:val="20"/>
        </w:rPr>
        <w:t>66-74</w:t>
      </w:r>
      <w:r w:rsidRPr="003149A6">
        <w:rPr>
          <w:rFonts w:ascii="Arial" w:hAnsi="Arial" w:cs="Arial"/>
          <w:sz w:val="20"/>
        </w:rPr>
        <w:t xml:space="preserve">. </w:t>
      </w:r>
    </w:p>
    <w:p w14:paraId="0E571468" w14:textId="608E2A56" w:rsidR="00921A58" w:rsidRDefault="00921A58" w:rsidP="00921A58">
      <w:pPr>
        <w:pStyle w:val="Bibliography"/>
        <w:spacing w:line="240" w:lineRule="auto"/>
        <w:ind w:hanging="12"/>
        <w:rPr>
          <w:rFonts w:ascii="Arial" w:hAnsi="Arial" w:cs="Arial"/>
          <w:sz w:val="20"/>
          <w:szCs w:val="20"/>
          <w:lang w:val="en-US"/>
        </w:rPr>
      </w:pPr>
      <w:r w:rsidRPr="003149A6">
        <w:rPr>
          <w:rFonts w:ascii="Arial" w:hAnsi="Arial" w:cs="Arial"/>
          <w:sz w:val="20"/>
        </w:rPr>
        <w:t>https://doi.org/10.5897/AJEST2013.1573</w:t>
      </w:r>
    </w:p>
    <w:p w14:paraId="5D37A100" w14:textId="3384F27A" w:rsidR="00CD382E"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Lamaro, G. P., Tsehaye, Y., Girma, A., Vannini, A., Fedeli, R., &amp; Loppi, S. (2023). Essential </w:t>
      </w:r>
      <w:r w:rsidR="00736F8E" w:rsidRPr="000620C4">
        <w:rPr>
          <w:rFonts w:ascii="Arial" w:hAnsi="Arial" w:cs="Arial"/>
          <w:sz w:val="20"/>
          <w:szCs w:val="20"/>
          <w:lang w:val="en-US"/>
        </w:rPr>
        <w:t>mineral elements and potentially toxic elements in orange-fleshed sweet potato cultivated</w:t>
      </w:r>
      <w:r w:rsidRPr="000620C4">
        <w:rPr>
          <w:rFonts w:ascii="Arial" w:hAnsi="Arial" w:cs="Arial"/>
          <w:sz w:val="20"/>
          <w:szCs w:val="20"/>
          <w:lang w:val="en-US"/>
        </w:rPr>
        <w:t xml:space="preserve"> in Northern Ethiopia. </w:t>
      </w:r>
      <w:r w:rsidRPr="000620C4">
        <w:rPr>
          <w:rFonts w:ascii="Arial" w:hAnsi="Arial" w:cs="Arial"/>
          <w:i/>
          <w:iCs/>
          <w:sz w:val="20"/>
          <w:szCs w:val="20"/>
          <w:lang w:val="en-US"/>
        </w:rPr>
        <w:t>Biology</w:t>
      </w:r>
      <w:r w:rsidRPr="000620C4">
        <w:rPr>
          <w:rFonts w:ascii="Arial" w:hAnsi="Arial" w:cs="Arial"/>
          <w:sz w:val="20"/>
          <w:szCs w:val="20"/>
          <w:lang w:val="en-US"/>
        </w:rPr>
        <w:t xml:space="preserve">, </w:t>
      </w:r>
      <w:r w:rsidRPr="000620C4">
        <w:rPr>
          <w:rFonts w:ascii="Arial" w:hAnsi="Arial" w:cs="Arial"/>
          <w:i/>
          <w:iCs/>
          <w:sz w:val="20"/>
          <w:szCs w:val="20"/>
          <w:lang w:val="en-US"/>
        </w:rPr>
        <w:t>12</w:t>
      </w:r>
      <w:r w:rsidRPr="000620C4">
        <w:rPr>
          <w:rFonts w:ascii="Arial" w:hAnsi="Arial" w:cs="Arial"/>
          <w:sz w:val="20"/>
          <w:szCs w:val="20"/>
          <w:lang w:val="en-US"/>
        </w:rPr>
        <w:t>(2)</w:t>
      </w:r>
      <w:r w:rsidR="00532CF1" w:rsidRPr="000620C4">
        <w:rPr>
          <w:rFonts w:ascii="Arial" w:hAnsi="Arial" w:cs="Arial"/>
          <w:sz w:val="20"/>
          <w:szCs w:val="20"/>
          <w:lang w:val="en-US"/>
        </w:rPr>
        <w:t>, 266</w:t>
      </w:r>
      <w:r w:rsidRPr="000620C4">
        <w:rPr>
          <w:rFonts w:ascii="Arial" w:hAnsi="Arial" w:cs="Arial"/>
          <w:sz w:val="20"/>
          <w:szCs w:val="20"/>
          <w:lang w:val="en-US"/>
        </w:rPr>
        <w:t>.</w:t>
      </w:r>
    </w:p>
    <w:p w14:paraId="0C85195F" w14:textId="425A8600"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://doi.org/10.3390/biology12020266</w:t>
      </w:r>
    </w:p>
    <w:p w14:paraId="18DFB440" w14:textId="77777777" w:rsidR="00CD382E"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Laurie, S., Faber, M., Adebola, P., &amp; Belete, A. (2015). Biofortification of sweet potato for food and nutrition security in South Africa. </w:t>
      </w:r>
      <w:r w:rsidRPr="000620C4">
        <w:rPr>
          <w:rFonts w:ascii="Arial" w:hAnsi="Arial" w:cs="Arial"/>
          <w:i/>
          <w:iCs/>
          <w:sz w:val="20"/>
          <w:szCs w:val="20"/>
          <w:lang w:val="en-US"/>
        </w:rPr>
        <w:t>Food Research International</w:t>
      </w:r>
      <w:r w:rsidRPr="000620C4">
        <w:rPr>
          <w:rFonts w:ascii="Arial" w:hAnsi="Arial" w:cs="Arial"/>
          <w:sz w:val="20"/>
          <w:szCs w:val="20"/>
          <w:lang w:val="en-US"/>
        </w:rPr>
        <w:t xml:space="preserve">, </w:t>
      </w:r>
      <w:r w:rsidRPr="000620C4">
        <w:rPr>
          <w:rFonts w:ascii="Arial" w:hAnsi="Arial" w:cs="Arial"/>
          <w:i/>
          <w:iCs/>
          <w:sz w:val="20"/>
          <w:szCs w:val="20"/>
          <w:lang w:val="en-US"/>
        </w:rPr>
        <w:t>76</w:t>
      </w:r>
      <w:r w:rsidRPr="000620C4">
        <w:rPr>
          <w:rFonts w:ascii="Arial" w:hAnsi="Arial" w:cs="Arial"/>
          <w:sz w:val="20"/>
          <w:szCs w:val="20"/>
          <w:lang w:val="en-US"/>
        </w:rPr>
        <w:t>, 962</w:t>
      </w:r>
      <w:r w:rsidRPr="000620C4">
        <w:rPr>
          <w:rFonts w:ascii="Cambria Math" w:hAnsi="Cambria Math" w:cs="Cambria Math"/>
          <w:sz w:val="20"/>
          <w:szCs w:val="20"/>
          <w:lang w:val="en-US"/>
        </w:rPr>
        <w:t>‑</w:t>
      </w:r>
      <w:r w:rsidRPr="000620C4">
        <w:rPr>
          <w:rFonts w:ascii="Arial" w:hAnsi="Arial" w:cs="Arial"/>
          <w:sz w:val="20"/>
          <w:szCs w:val="20"/>
          <w:lang w:val="en-US"/>
        </w:rPr>
        <w:t>970.</w:t>
      </w:r>
    </w:p>
    <w:p w14:paraId="692B1000" w14:textId="415C5A44"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://doi.org/10.1016/j.foodres.2015.06.001</w:t>
      </w:r>
    </w:p>
    <w:p w14:paraId="3A92059A" w14:textId="5A328A51" w:rsidR="00CD382E"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Laurie, S. M., Jaarsveld, P. J. van, Faber, M., Philpott, M. F., &amp; Labuschagne, M. T. (2012). Trans-β-carotene, selected mineral content and potential nutritional contribution of 12 sweet</w:t>
      </w:r>
      <w:r w:rsidR="00D045E3" w:rsidRPr="000620C4">
        <w:rPr>
          <w:rFonts w:ascii="Arial" w:hAnsi="Arial" w:cs="Arial"/>
          <w:sz w:val="20"/>
          <w:szCs w:val="20"/>
          <w:lang w:val="en-US"/>
        </w:rPr>
        <w:t xml:space="preserve"> </w:t>
      </w:r>
      <w:r w:rsidRPr="000620C4">
        <w:rPr>
          <w:rFonts w:ascii="Arial" w:hAnsi="Arial" w:cs="Arial"/>
          <w:sz w:val="20"/>
          <w:szCs w:val="20"/>
          <w:lang w:val="en-US"/>
        </w:rPr>
        <w:t xml:space="preserve">potato varieties. </w:t>
      </w:r>
      <w:r w:rsidRPr="000620C4">
        <w:rPr>
          <w:rFonts w:ascii="Arial" w:hAnsi="Arial" w:cs="Arial"/>
          <w:i/>
          <w:iCs/>
          <w:sz w:val="20"/>
          <w:szCs w:val="20"/>
          <w:lang w:val="en-US"/>
        </w:rPr>
        <w:t>Journal of Food Composition and Analysis</w:t>
      </w:r>
      <w:r w:rsidRPr="000620C4">
        <w:rPr>
          <w:rFonts w:ascii="Arial" w:hAnsi="Arial" w:cs="Arial"/>
          <w:sz w:val="20"/>
          <w:szCs w:val="20"/>
          <w:lang w:val="en-US"/>
        </w:rPr>
        <w:t xml:space="preserve">, </w:t>
      </w:r>
      <w:r w:rsidRPr="000620C4">
        <w:rPr>
          <w:rFonts w:ascii="Arial" w:hAnsi="Arial" w:cs="Arial"/>
          <w:i/>
          <w:iCs/>
          <w:sz w:val="20"/>
          <w:szCs w:val="20"/>
          <w:lang w:val="en-US"/>
        </w:rPr>
        <w:t>27</w:t>
      </w:r>
      <w:r w:rsidRPr="000620C4">
        <w:rPr>
          <w:rFonts w:ascii="Arial" w:hAnsi="Arial" w:cs="Arial"/>
          <w:sz w:val="20"/>
          <w:szCs w:val="20"/>
          <w:lang w:val="en-US"/>
        </w:rPr>
        <w:t>(2), 151</w:t>
      </w:r>
      <w:r w:rsidRPr="000620C4">
        <w:rPr>
          <w:rFonts w:ascii="Cambria Math" w:hAnsi="Cambria Math" w:cs="Cambria Math"/>
          <w:sz w:val="20"/>
          <w:szCs w:val="20"/>
          <w:lang w:val="en-US"/>
        </w:rPr>
        <w:t>‑</w:t>
      </w:r>
      <w:r w:rsidRPr="000620C4">
        <w:rPr>
          <w:rFonts w:ascii="Arial" w:hAnsi="Arial" w:cs="Arial"/>
          <w:sz w:val="20"/>
          <w:szCs w:val="20"/>
          <w:lang w:val="en-US"/>
        </w:rPr>
        <w:t xml:space="preserve">159. </w:t>
      </w:r>
    </w:p>
    <w:p w14:paraId="3411BC92" w14:textId="03C0145F" w:rsidR="00500340"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://doi.org/10.1016/j.jfca.2012.05.005</w:t>
      </w:r>
    </w:p>
    <w:p w14:paraId="2AA6E6F4" w14:textId="77777777" w:rsidR="00AB3975" w:rsidRPr="001A418A" w:rsidRDefault="00AB3975" w:rsidP="00AB3975">
      <w:pPr>
        <w:pStyle w:val="Bibliography"/>
        <w:spacing w:line="240" w:lineRule="auto"/>
        <w:rPr>
          <w:rFonts w:ascii="Arial" w:hAnsi="Arial" w:cs="Arial"/>
          <w:sz w:val="20"/>
          <w:szCs w:val="20"/>
          <w:highlight w:val="green"/>
        </w:rPr>
      </w:pPr>
      <w:r w:rsidRPr="001A418A">
        <w:rPr>
          <w:rFonts w:ascii="Arial" w:hAnsi="Arial" w:cs="Arial"/>
          <w:sz w:val="20"/>
          <w:szCs w:val="20"/>
          <w:highlight w:val="green"/>
        </w:rPr>
        <w:t xml:space="preserve">Liu, C., Wang, L., Qi, L., Luo, Y., Wang, K., Ji, Y., Feng, Y., &amp; Yin, J. (2023). Analysis on the Effect of Heavy Metal-Polluted Soil on Potato Breeding. </w:t>
      </w:r>
      <w:r w:rsidRPr="001A418A">
        <w:rPr>
          <w:rFonts w:ascii="Arial" w:hAnsi="Arial" w:cs="Arial"/>
          <w:i/>
          <w:iCs/>
          <w:sz w:val="20"/>
          <w:szCs w:val="20"/>
          <w:highlight w:val="green"/>
        </w:rPr>
        <w:t>Iranian Journal of Science and Technology, Transactions of Civil Engineering</w:t>
      </w:r>
      <w:r w:rsidRPr="001A418A">
        <w:rPr>
          <w:rFonts w:ascii="Arial" w:hAnsi="Arial" w:cs="Arial"/>
          <w:sz w:val="20"/>
          <w:szCs w:val="20"/>
          <w:highlight w:val="green"/>
        </w:rPr>
        <w:t xml:space="preserve">, </w:t>
      </w:r>
      <w:r w:rsidRPr="001A418A">
        <w:rPr>
          <w:rFonts w:ascii="Arial" w:hAnsi="Arial" w:cs="Arial"/>
          <w:i/>
          <w:iCs/>
          <w:sz w:val="20"/>
          <w:szCs w:val="20"/>
          <w:highlight w:val="green"/>
        </w:rPr>
        <w:t>47</w:t>
      </w:r>
      <w:r w:rsidRPr="001A418A">
        <w:rPr>
          <w:rFonts w:ascii="Arial" w:hAnsi="Arial" w:cs="Arial"/>
          <w:sz w:val="20"/>
          <w:szCs w:val="20"/>
          <w:highlight w:val="green"/>
        </w:rPr>
        <w:t>(3), 1861</w:t>
      </w:r>
      <w:r w:rsidRPr="001A418A">
        <w:rPr>
          <w:rFonts w:ascii="Cambria Math" w:hAnsi="Cambria Math" w:cs="Cambria Math"/>
          <w:sz w:val="20"/>
          <w:szCs w:val="20"/>
          <w:highlight w:val="green"/>
        </w:rPr>
        <w:t>‑</w:t>
      </w:r>
      <w:r w:rsidRPr="001A418A">
        <w:rPr>
          <w:rFonts w:ascii="Arial" w:hAnsi="Arial" w:cs="Arial"/>
          <w:sz w:val="20"/>
          <w:szCs w:val="20"/>
          <w:highlight w:val="green"/>
        </w:rPr>
        <w:t xml:space="preserve">1870. </w:t>
      </w:r>
    </w:p>
    <w:p w14:paraId="5C39A61F" w14:textId="6345DA5B" w:rsidR="00AB3975" w:rsidRPr="00637F06" w:rsidRDefault="00637F06" w:rsidP="00AB3975">
      <w:pPr>
        <w:pStyle w:val="Bibliography"/>
        <w:spacing w:line="240" w:lineRule="auto"/>
        <w:ind w:hanging="12"/>
        <w:rPr>
          <w:rFonts w:ascii="Arial" w:hAnsi="Arial" w:cs="Arial"/>
          <w:sz w:val="20"/>
          <w:szCs w:val="20"/>
          <w:lang w:val="fr-CA"/>
        </w:rPr>
      </w:pPr>
      <w:r w:rsidRPr="00637F06">
        <w:rPr>
          <w:rFonts w:ascii="Arial" w:hAnsi="Arial" w:cs="Arial"/>
          <w:sz w:val="20"/>
          <w:szCs w:val="20"/>
          <w:highlight w:val="green"/>
          <w:lang w:val="fr-CA"/>
        </w:rPr>
        <w:t xml:space="preserve">Available : </w:t>
      </w:r>
      <w:r w:rsidR="00AB3975" w:rsidRPr="00637F06">
        <w:rPr>
          <w:rFonts w:ascii="Arial" w:hAnsi="Arial" w:cs="Arial"/>
          <w:sz w:val="20"/>
          <w:szCs w:val="20"/>
          <w:highlight w:val="green"/>
          <w:lang w:val="fr-CA"/>
        </w:rPr>
        <w:t>https://doi.org/10.1007/s40996-022-01024-3</w:t>
      </w:r>
    </w:p>
    <w:p w14:paraId="2A0EB566" w14:textId="4BE2F0B8" w:rsidR="007C1D4F" w:rsidRPr="000620C4" w:rsidRDefault="00500340" w:rsidP="005A6A25">
      <w:pPr>
        <w:pStyle w:val="Bibliography"/>
        <w:spacing w:line="240" w:lineRule="auto"/>
        <w:rPr>
          <w:rFonts w:ascii="Arial" w:hAnsi="Arial" w:cs="Arial"/>
          <w:sz w:val="20"/>
          <w:szCs w:val="20"/>
          <w:lang w:val="en-US"/>
        </w:rPr>
      </w:pPr>
      <w:r w:rsidRPr="00921A58">
        <w:rPr>
          <w:rFonts w:ascii="Arial" w:hAnsi="Arial" w:cs="Arial"/>
          <w:sz w:val="20"/>
          <w:szCs w:val="20"/>
          <w:lang w:val="fr-CA"/>
        </w:rPr>
        <w:t xml:space="preserve">Liu, Y., Zhang, L., Li, Y., Xu, M., Ji, S., Pan, Q., Zhang, J., Lu, X., Li, K., &amp; Lu, B. (2024). </w:t>
      </w:r>
      <w:r w:rsidRPr="000620C4">
        <w:rPr>
          <w:rFonts w:ascii="Arial" w:hAnsi="Arial" w:cs="Arial"/>
          <w:sz w:val="20"/>
          <w:szCs w:val="20"/>
          <w:lang w:val="en-US"/>
        </w:rPr>
        <w:t xml:space="preserve">Contamination status, risk assessment, and control measures of heavy metals in tuber crops. </w:t>
      </w:r>
      <w:r w:rsidRPr="000620C4">
        <w:rPr>
          <w:rFonts w:ascii="Arial" w:hAnsi="Arial" w:cs="Arial"/>
          <w:i/>
          <w:iCs/>
          <w:sz w:val="20"/>
          <w:szCs w:val="20"/>
          <w:lang w:val="en-US"/>
        </w:rPr>
        <w:t>Food Control</w:t>
      </w:r>
      <w:r w:rsidRPr="000620C4">
        <w:rPr>
          <w:rFonts w:ascii="Arial" w:hAnsi="Arial" w:cs="Arial"/>
          <w:sz w:val="20"/>
          <w:szCs w:val="20"/>
          <w:lang w:val="en-US"/>
        </w:rPr>
        <w:t xml:space="preserve">, </w:t>
      </w:r>
      <w:r w:rsidRPr="000620C4">
        <w:rPr>
          <w:rFonts w:ascii="Arial" w:hAnsi="Arial" w:cs="Arial"/>
          <w:i/>
          <w:iCs/>
          <w:sz w:val="20"/>
          <w:szCs w:val="20"/>
          <w:lang w:val="en-US"/>
        </w:rPr>
        <w:t>164</w:t>
      </w:r>
      <w:r w:rsidRPr="000620C4">
        <w:rPr>
          <w:rFonts w:ascii="Arial" w:hAnsi="Arial" w:cs="Arial"/>
          <w:sz w:val="20"/>
          <w:szCs w:val="20"/>
          <w:lang w:val="en-US"/>
        </w:rPr>
        <w:t xml:space="preserve">, 110516. </w:t>
      </w:r>
    </w:p>
    <w:p w14:paraId="5D430A59" w14:textId="1EF82EDF"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://doi.org/10.1016/j.foodcont.2024.110516</w:t>
      </w:r>
    </w:p>
    <w:p w14:paraId="5739690B" w14:textId="5E11BDAA" w:rsidR="007C1D4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lastRenderedPageBreak/>
        <w:t>Luis, G., Rubio, C., G</w:t>
      </w:r>
      <w:r w:rsidR="007C1D4F" w:rsidRPr="000620C4">
        <w:rPr>
          <w:rFonts w:ascii="Arial" w:hAnsi="Arial" w:cs="Arial"/>
          <w:sz w:val="20"/>
          <w:szCs w:val="20"/>
          <w:lang w:val="en-US"/>
        </w:rPr>
        <w:t>onzález</w:t>
      </w:r>
      <w:r w:rsidRPr="000620C4">
        <w:rPr>
          <w:rFonts w:ascii="Arial" w:hAnsi="Arial" w:cs="Arial"/>
          <w:sz w:val="20"/>
          <w:szCs w:val="20"/>
          <w:lang w:val="en-US"/>
        </w:rPr>
        <w:t>-W</w:t>
      </w:r>
      <w:r w:rsidR="007C1D4F" w:rsidRPr="000620C4">
        <w:rPr>
          <w:rFonts w:ascii="Arial" w:hAnsi="Arial" w:cs="Arial"/>
          <w:sz w:val="20"/>
          <w:szCs w:val="20"/>
          <w:lang w:val="en-US"/>
        </w:rPr>
        <w:t>eller</w:t>
      </w:r>
      <w:r w:rsidRPr="000620C4">
        <w:rPr>
          <w:rFonts w:ascii="Arial" w:hAnsi="Arial" w:cs="Arial"/>
          <w:sz w:val="20"/>
          <w:szCs w:val="20"/>
          <w:lang w:val="en-US"/>
        </w:rPr>
        <w:t>, D., G</w:t>
      </w:r>
      <w:r w:rsidR="007C1D4F" w:rsidRPr="000620C4">
        <w:rPr>
          <w:rFonts w:ascii="Arial" w:hAnsi="Arial" w:cs="Arial"/>
          <w:sz w:val="20"/>
          <w:szCs w:val="20"/>
          <w:lang w:val="en-US"/>
        </w:rPr>
        <w:t>utiérrez</w:t>
      </w:r>
      <w:r w:rsidRPr="000620C4">
        <w:rPr>
          <w:rFonts w:ascii="Arial" w:hAnsi="Arial" w:cs="Arial"/>
          <w:sz w:val="20"/>
          <w:szCs w:val="20"/>
          <w:lang w:val="en-US"/>
        </w:rPr>
        <w:t>, A. J., R</w:t>
      </w:r>
      <w:r w:rsidR="007C1D4F" w:rsidRPr="000620C4">
        <w:rPr>
          <w:rFonts w:ascii="Arial" w:hAnsi="Arial" w:cs="Arial"/>
          <w:sz w:val="20"/>
          <w:szCs w:val="20"/>
          <w:lang w:val="en-US"/>
        </w:rPr>
        <w:t>evert</w:t>
      </w:r>
      <w:r w:rsidRPr="000620C4">
        <w:rPr>
          <w:rFonts w:ascii="Arial" w:hAnsi="Arial" w:cs="Arial"/>
          <w:sz w:val="20"/>
          <w:szCs w:val="20"/>
          <w:lang w:val="en-US"/>
        </w:rPr>
        <w:t>, C., &amp; H</w:t>
      </w:r>
      <w:r w:rsidR="007C1D4F" w:rsidRPr="000620C4">
        <w:rPr>
          <w:rFonts w:ascii="Arial" w:hAnsi="Arial" w:cs="Arial"/>
          <w:sz w:val="20"/>
          <w:szCs w:val="20"/>
          <w:lang w:val="en-US"/>
        </w:rPr>
        <w:t>ardisson</w:t>
      </w:r>
      <w:r w:rsidRPr="000620C4">
        <w:rPr>
          <w:rFonts w:ascii="Arial" w:hAnsi="Arial" w:cs="Arial"/>
          <w:sz w:val="20"/>
          <w:szCs w:val="20"/>
          <w:lang w:val="en-US"/>
        </w:rPr>
        <w:t xml:space="preserve">, A. (2014). Evaluation </w:t>
      </w:r>
      <w:r w:rsidR="00C5064A" w:rsidRPr="000620C4">
        <w:rPr>
          <w:rFonts w:ascii="Arial" w:hAnsi="Arial" w:cs="Arial"/>
          <w:sz w:val="20"/>
          <w:szCs w:val="20"/>
          <w:lang w:val="en-US"/>
        </w:rPr>
        <w:t xml:space="preserve">of content and estimation of daily intake of cadmium and lead in several varieties of potatoes </w:t>
      </w:r>
      <w:r w:rsidRPr="000620C4">
        <w:rPr>
          <w:rFonts w:ascii="Arial" w:hAnsi="Arial" w:cs="Arial"/>
          <w:sz w:val="20"/>
          <w:szCs w:val="20"/>
          <w:lang w:val="en-US"/>
        </w:rPr>
        <w:t>(</w:t>
      </w:r>
      <w:r w:rsidRPr="000620C4">
        <w:rPr>
          <w:rFonts w:ascii="Arial" w:hAnsi="Arial" w:cs="Arial"/>
          <w:i/>
          <w:iCs/>
          <w:sz w:val="20"/>
          <w:szCs w:val="20"/>
          <w:lang w:val="en-US"/>
        </w:rPr>
        <w:t>Solanum tuberosum L.</w:t>
      </w:r>
      <w:r w:rsidRPr="000620C4">
        <w:rPr>
          <w:rFonts w:ascii="Arial" w:hAnsi="Arial" w:cs="Arial"/>
          <w:sz w:val="20"/>
          <w:szCs w:val="20"/>
          <w:lang w:val="en-US"/>
        </w:rPr>
        <w:t xml:space="preserve">) </w:t>
      </w:r>
      <w:r w:rsidR="00C5064A" w:rsidRPr="000620C4">
        <w:rPr>
          <w:rFonts w:ascii="Arial" w:hAnsi="Arial" w:cs="Arial"/>
          <w:sz w:val="20"/>
          <w:szCs w:val="20"/>
          <w:lang w:val="en-US"/>
        </w:rPr>
        <w:t>cultivated in the canary isl</w:t>
      </w:r>
      <w:r w:rsidRPr="000620C4">
        <w:rPr>
          <w:rFonts w:ascii="Arial" w:hAnsi="Arial" w:cs="Arial"/>
          <w:sz w:val="20"/>
          <w:szCs w:val="20"/>
          <w:lang w:val="en-US"/>
        </w:rPr>
        <w:t xml:space="preserve">ands (Spain). </w:t>
      </w:r>
      <w:r w:rsidRPr="000620C4">
        <w:rPr>
          <w:rFonts w:ascii="Arial" w:hAnsi="Arial" w:cs="Arial"/>
          <w:i/>
          <w:iCs/>
          <w:sz w:val="20"/>
          <w:szCs w:val="20"/>
          <w:lang w:val="en-US"/>
        </w:rPr>
        <w:t>Journal of Food Protection</w:t>
      </w:r>
      <w:r w:rsidRPr="000620C4">
        <w:rPr>
          <w:rFonts w:ascii="Arial" w:hAnsi="Arial" w:cs="Arial"/>
          <w:sz w:val="20"/>
          <w:szCs w:val="20"/>
          <w:lang w:val="en-US"/>
        </w:rPr>
        <w:t xml:space="preserve">, </w:t>
      </w:r>
      <w:r w:rsidRPr="000620C4">
        <w:rPr>
          <w:rFonts w:ascii="Arial" w:hAnsi="Arial" w:cs="Arial"/>
          <w:i/>
          <w:iCs/>
          <w:sz w:val="20"/>
          <w:szCs w:val="20"/>
          <w:lang w:val="en-US"/>
        </w:rPr>
        <w:t>77</w:t>
      </w:r>
      <w:r w:rsidRPr="000620C4">
        <w:rPr>
          <w:rFonts w:ascii="Arial" w:hAnsi="Arial" w:cs="Arial"/>
          <w:sz w:val="20"/>
          <w:szCs w:val="20"/>
          <w:lang w:val="en-US"/>
        </w:rPr>
        <w:t>(4), 659</w:t>
      </w:r>
      <w:r w:rsidRPr="000620C4">
        <w:rPr>
          <w:rFonts w:ascii="Cambria Math" w:hAnsi="Cambria Math" w:cs="Cambria Math"/>
          <w:sz w:val="20"/>
          <w:szCs w:val="20"/>
          <w:lang w:val="en-US"/>
        </w:rPr>
        <w:t>‑</w:t>
      </w:r>
      <w:r w:rsidRPr="000620C4">
        <w:rPr>
          <w:rFonts w:ascii="Arial" w:hAnsi="Arial" w:cs="Arial"/>
          <w:sz w:val="20"/>
          <w:szCs w:val="20"/>
          <w:lang w:val="en-US"/>
        </w:rPr>
        <w:t xml:space="preserve">664. </w:t>
      </w:r>
    </w:p>
    <w:p w14:paraId="6FF0D77D" w14:textId="31460427"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://doi.org/10.4315/0362-028X.JFP-13-337</w:t>
      </w:r>
    </w:p>
    <w:p w14:paraId="00419008" w14:textId="1F820F23" w:rsidR="00B37FF1"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Malley, Z. A., Sauli, E., &amp; Martin, H. D. (2025). Consumption </w:t>
      </w:r>
      <w:r w:rsidR="00C5064A" w:rsidRPr="000620C4">
        <w:rPr>
          <w:rFonts w:ascii="Arial" w:hAnsi="Arial" w:cs="Arial"/>
          <w:sz w:val="20"/>
          <w:szCs w:val="20"/>
          <w:lang w:val="en-US"/>
        </w:rPr>
        <w:t>of mixed indigenous vegetables : a solution to low hemoglobin levels among pregnant women in</w:t>
      </w:r>
      <w:r w:rsidRPr="000620C4">
        <w:rPr>
          <w:rFonts w:ascii="Arial" w:hAnsi="Arial" w:cs="Arial"/>
          <w:sz w:val="20"/>
          <w:szCs w:val="20"/>
          <w:lang w:val="en-US"/>
        </w:rPr>
        <w:t xml:space="preserve"> Babati, Tanzania.</w:t>
      </w:r>
      <w:r w:rsidR="00B84AA6" w:rsidRPr="000620C4">
        <w:rPr>
          <w:rFonts w:ascii="Arial" w:hAnsi="Arial" w:cs="Arial"/>
          <w:sz w:val="20"/>
          <w:szCs w:val="20"/>
          <w:lang w:val="en-US"/>
        </w:rPr>
        <w:t xml:space="preserve"> </w:t>
      </w:r>
      <w:r w:rsidR="00B84AA6" w:rsidRPr="000620C4">
        <w:rPr>
          <w:rFonts w:ascii="Arial" w:hAnsi="Arial" w:cs="Arial"/>
          <w:i/>
          <w:iCs/>
          <w:sz w:val="20"/>
          <w:szCs w:val="20"/>
          <w:lang w:val="en-US"/>
        </w:rPr>
        <w:t xml:space="preserve">Current Research in Nutrition and Food Science, </w:t>
      </w:r>
      <w:r w:rsidR="00727CDB" w:rsidRPr="000620C4">
        <w:rPr>
          <w:rFonts w:ascii="Arial" w:hAnsi="Arial" w:cs="Arial"/>
          <w:i/>
          <w:iCs/>
          <w:sz w:val="20"/>
          <w:szCs w:val="20"/>
          <w:lang w:val="en-US"/>
        </w:rPr>
        <w:t>13</w:t>
      </w:r>
      <w:r w:rsidR="00727CDB" w:rsidRPr="000620C4">
        <w:rPr>
          <w:rFonts w:ascii="Arial" w:hAnsi="Arial" w:cs="Arial"/>
          <w:sz w:val="20"/>
          <w:szCs w:val="20"/>
          <w:lang w:val="en-US"/>
        </w:rPr>
        <w:t>(1)</w:t>
      </w:r>
      <w:r w:rsidR="00727CDB" w:rsidRPr="000620C4">
        <w:rPr>
          <w:rFonts w:ascii="Arial" w:hAnsi="Arial" w:cs="Arial"/>
          <w:i/>
          <w:iCs/>
          <w:sz w:val="20"/>
          <w:szCs w:val="20"/>
          <w:lang w:val="en-US"/>
        </w:rPr>
        <w:t xml:space="preserve">, </w:t>
      </w:r>
      <w:r w:rsidR="00727CDB" w:rsidRPr="000620C4">
        <w:rPr>
          <w:rFonts w:ascii="Arial" w:hAnsi="Arial" w:cs="Arial"/>
          <w:sz w:val="20"/>
          <w:szCs w:val="20"/>
          <w:lang w:val="en-US"/>
        </w:rPr>
        <w:t>494-507</w:t>
      </w:r>
      <w:r w:rsidR="00727CDB" w:rsidRPr="000620C4">
        <w:rPr>
          <w:rFonts w:ascii="Arial" w:hAnsi="Arial" w:cs="Arial"/>
          <w:i/>
          <w:iCs/>
          <w:sz w:val="20"/>
          <w:szCs w:val="20"/>
          <w:lang w:val="en-US"/>
        </w:rPr>
        <w:t>.</w:t>
      </w:r>
      <w:r w:rsidRPr="000620C4">
        <w:rPr>
          <w:rFonts w:ascii="Arial" w:hAnsi="Arial" w:cs="Arial"/>
          <w:sz w:val="20"/>
          <w:szCs w:val="20"/>
          <w:lang w:val="en-US"/>
        </w:rPr>
        <w:t xml:space="preserve"> </w:t>
      </w:r>
    </w:p>
    <w:p w14:paraId="0587CA7A" w14:textId="0FDB5E52"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://doi.org/10.12944/CRNFSJ.13.1.34</w:t>
      </w:r>
    </w:p>
    <w:p w14:paraId="7BC88A7F" w14:textId="77777777" w:rsidR="00AF5767" w:rsidRPr="001A418A" w:rsidRDefault="00AF5767" w:rsidP="00AF5767">
      <w:pPr>
        <w:pStyle w:val="Bibliography"/>
        <w:spacing w:line="240" w:lineRule="auto"/>
        <w:rPr>
          <w:rFonts w:ascii="Arial" w:hAnsi="Arial" w:cs="Arial"/>
          <w:sz w:val="20"/>
          <w:szCs w:val="20"/>
          <w:highlight w:val="green"/>
        </w:rPr>
      </w:pPr>
      <w:r w:rsidRPr="001A418A">
        <w:rPr>
          <w:rFonts w:ascii="Arial" w:hAnsi="Arial" w:cs="Arial"/>
          <w:sz w:val="20"/>
          <w:szCs w:val="20"/>
          <w:highlight w:val="green"/>
        </w:rPr>
        <w:t xml:space="preserve">Mandal, R., &amp; Kaur, S. (2019). Impact of environmental pollution on trace elements in vegetables and associated potential risk to human health in industrial town Mandi-gobindgarh (India). </w:t>
      </w:r>
      <w:r w:rsidRPr="001A418A">
        <w:rPr>
          <w:rFonts w:ascii="Arial" w:hAnsi="Arial" w:cs="Arial"/>
          <w:i/>
          <w:iCs/>
          <w:sz w:val="20"/>
          <w:szCs w:val="20"/>
          <w:highlight w:val="green"/>
        </w:rPr>
        <w:t>Chemosphere</w:t>
      </w:r>
      <w:r w:rsidRPr="001A418A">
        <w:rPr>
          <w:rFonts w:ascii="Arial" w:hAnsi="Arial" w:cs="Arial"/>
          <w:sz w:val="20"/>
          <w:szCs w:val="20"/>
          <w:highlight w:val="green"/>
        </w:rPr>
        <w:t xml:space="preserve">, </w:t>
      </w:r>
      <w:r w:rsidRPr="001A418A">
        <w:rPr>
          <w:rFonts w:ascii="Arial" w:hAnsi="Arial" w:cs="Arial"/>
          <w:i/>
          <w:iCs/>
          <w:sz w:val="20"/>
          <w:szCs w:val="20"/>
          <w:highlight w:val="green"/>
        </w:rPr>
        <w:t>219</w:t>
      </w:r>
      <w:r w:rsidRPr="001A418A">
        <w:rPr>
          <w:rFonts w:ascii="Arial" w:hAnsi="Arial" w:cs="Arial"/>
          <w:sz w:val="20"/>
          <w:szCs w:val="20"/>
          <w:highlight w:val="green"/>
        </w:rPr>
        <w:t>, 574</w:t>
      </w:r>
      <w:r w:rsidRPr="001A418A">
        <w:rPr>
          <w:rFonts w:ascii="Cambria Math" w:hAnsi="Cambria Math" w:cs="Cambria Math"/>
          <w:sz w:val="20"/>
          <w:szCs w:val="20"/>
          <w:highlight w:val="green"/>
        </w:rPr>
        <w:t>‑</w:t>
      </w:r>
      <w:r w:rsidRPr="001A418A">
        <w:rPr>
          <w:rFonts w:ascii="Arial" w:hAnsi="Arial" w:cs="Arial"/>
          <w:sz w:val="20"/>
          <w:szCs w:val="20"/>
          <w:highlight w:val="green"/>
        </w:rPr>
        <w:t xml:space="preserve">587. </w:t>
      </w:r>
    </w:p>
    <w:p w14:paraId="6F8C7DF1" w14:textId="0D8FC5EF" w:rsidR="00AF5767" w:rsidRPr="00AF5767" w:rsidRDefault="00637F06" w:rsidP="00AF5767">
      <w:pPr>
        <w:pStyle w:val="Bibliography"/>
        <w:spacing w:line="240" w:lineRule="auto"/>
        <w:ind w:hanging="12"/>
        <w:rPr>
          <w:rFonts w:ascii="Arial" w:hAnsi="Arial" w:cs="Arial"/>
          <w:sz w:val="20"/>
          <w:szCs w:val="20"/>
        </w:rPr>
      </w:pPr>
      <w:r w:rsidRPr="00045F8A">
        <w:rPr>
          <w:rFonts w:ascii="Arial" w:hAnsi="Arial" w:cs="Arial"/>
          <w:sz w:val="20"/>
          <w:szCs w:val="20"/>
          <w:highlight w:val="green"/>
        </w:rPr>
        <w:t xml:space="preserve">Available : </w:t>
      </w:r>
      <w:r w:rsidR="00AF5767" w:rsidRPr="001A418A">
        <w:rPr>
          <w:rFonts w:ascii="Arial" w:hAnsi="Arial" w:cs="Arial"/>
          <w:sz w:val="20"/>
          <w:szCs w:val="20"/>
          <w:highlight w:val="green"/>
        </w:rPr>
        <w:t>https://doi.org/10.1016/j.chemosphere.2018.12.034</w:t>
      </w:r>
    </w:p>
    <w:p w14:paraId="158279B4" w14:textId="629B0144" w:rsidR="00C34362" w:rsidRPr="00CC75E9" w:rsidRDefault="00500340" w:rsidP="005A6A25">
      <w:pPr>
        <w:pStyle w:val="Bibliography"/>
        <w:spacing w:line="240" w:lineRule="auto"/>
        <w:rPr>
          <w:rFonts w:ascii="Arial" w:hAnsi="Arial" w:cs="Arial"/>
          <w:sz w:val="20"/>
          <w:szCs w:val="20"/>
          <w:lang w:val="fr-CA"/>
        </w:rPr>
      </w:pPr>
      <w:r w:rsidRPr="00045F8A">
        <w:rPr>
          <w:rFonts w:ascii="Arial" w:hAnsi="Arial" w:cs="Arial"/>
          <w:sz w:val="20"/>
          <w:szCs w:val="20"/>
        </w:rPr>
        <w:t xml:space="preserve">Manrique, S., Gómez, J., Piñeiro, M., Sampietro, B. A., Peschiutta, M. L., Tapia, A., Simirgiotis, M. J., &amp; Lima, B. (2023). </w:t>
      </w:r>
      <w:r w:rsidRPr="000620C4">
        <w:rPr>
          <w:rFonts w:ascii="Arial" w:hAnsi="Arial" w:cs="Arial"/>
          <w:i/>
          <w:iCs/>
          <w:sz w:val="20"/>
          <w:szCs w:val="20"/>
          <w:lang w:val="en-US"/>
        </w:rPr>
        <w:t xml:space="preserve">Zuccagnia punctata </w:t>
      </w:r>
      <w:r w:rsidR="00F10ED9" w:rsidRPr="000620C4">
        <w:rPr>
          <w:rFonts w:ascii="Arial" w:hAnsi="Arial" w:cs="Arial"/>
          <w:i/>
          <w:iCs/>
          <w:sz w:val="20"/>
          <w:szCs w:val="20"/>
          <w:lang w:val="en-US"/>
        </w:rPr>
        <w:t>C</w:t>
      </w:r>
      <w:r w:rsidRPr="000620C4">
        <w:rPr>
          <w:rFonts w:ascii="Arial" w:hAnsi="Arial" w:cs="Arial"/>
          <w:i/>
          <w:iCs/>
          <w:sz w:val="20"/>
          <w:szCs w:val="20"/>
          <w:lang w:val="en-US"/>
        </w:rPr>
        <w:t>av</w:t>
      </w:r>
      <w:r w:rsidRPr="000620C4">
        <w:rPr>
          <w:rFonts w:ascii="Arial" w:hAnsi="Arial" w:cs="Arial"/>
          <w:sz w:val="20"/>
          <w:szCs w:val="20"/>
          <w:lang w:val="en-US"/>
        </w:rPr>
        <w:t xml:space="preserve">., a </w:t>
      </w:r>
      <w:r w:rsidR="00C5064A" w:rsidRPr="000620C4">
        <w:rPr>
          <w:rFonts w:ascii="Arial" w:hAnsi="Arial" w:cs="Arial"/>
          <w:sz w:val="20"/>
          <w:szCs w:val="20"/>
          <w:lang w:val="en-US"/>
        </w:rPr>
        <w:t>potential environmentally friendly and sustainable bionematicide for the control of Argentinean horticultural cr</w:t>
      </w:r>
      <w:r w:rsidRPr="000620C4">
        <w:rPr>
          <w:rFonts w:ascii="Arial" w:hAnsi="Arial" w:cs="Arial"/>
          <w:sz w:val="20"/>
          <w:szCs w:val="20"/>
          <w:lang w:val="en-US"/>
        </w:rPr>
        <w:t xml:space="preserve">ops. </w:t>
      </w:r>
      <w:r w:rsidRPr="00CC75E9">
        <w:rPr>
          <w:rFonts w:ascii="Arial" w:hAnsi="Arial" w:cs="Arial"/>
          <w:i/>
          <w:iCs/>
          <w:sz w:val="20"/>
          <w:szCs w:val="20"/>
          <w:lang w:val="fr-CA"/>
        </w:rPr>
        <w:t>Plants</w:t>
      </w:r>
      <w:r w:rsidRPr="00CC75E9">
        <w:rPr>
          <w:rFonts w:ascii="Arial" w:hAnsi="Arial" w:cs="Arial"/>
          <w:sz w:val="20"/>
          <w:szCs w:val="20"/>
          <w:lang w:val="fr-CA"/>
        </w:rPr>
        <w:t xml:space="preserve">, </w:t>
      </w:r>
      <w:r w:rsidRPr="00CC75E9">
        <w:rPr>
          <w:rFonts w:ascii="Arial" w:hAnsi="Arial" w:cs="Arial"/>
          <w:i/>
          <w:iCs/>
          <w:sz w:val="20"/>
          <w:szCs w:val="20"/>
          <w:lang w:val="fr-CA"/>
        </w:rPr>
        <w:t>12</w:t>
      </w:r>
      <w:r w:rsidRPr="00CC75E9">
        <w:rPr>
          <w:rFonts w:ascii="Arial" w:hAnsi="Arial" w:cs="Arial"/>
          <w:sz w:val="20"/>
          <w:szCs w:val="20"/>
          <w:lang w:val="fr-CA"/>
        </w:rPr>
        <w:t>(24)</w:t>
      </w:r>
      <w:r w:rsidR="00C34362" w:rsidRPr="00CC75E9">
        <w:rPr>
          <w:rFonts w:ascii="Arial" w:hAnsi="Arial" w:cs="Arial"/>
          <w:sz w:val="20"/>
          <w:szCs w:val="20"/>
          <w:lang w:val="fr-CA"/>
        </w:rPr>
        <w:t>, 4104</w:t>
      </w:r>
      <w:r w:rsidRPr="00CC75E9">
        <w:rPr>
          <w:rFonts w:ascii="Arial" w:hAnsi="Arial" w:cs="Arial"/>
          <w:sz w:val="20"/>
          <w:szCs w:val="20"/>
          <w:lang w:val="fr-CA"/>
        </w:rPr>
        <w:t xml:space="preserve">. </w:t>
      </w:r>
    </w:p>
    <w:p w14:paraId="456F6BBC" w14:textId="34F69B5F" w:rsidR="00500340" w:rsidRPr="00CC75E9" w:rsidRDefault="00B92911" w:rsidP="005A6A25">
      <w:pPr>
        <w:pStyle w:val="Bibliography"/>
        <w:spacing w:line="240" w:lineRule="auto"/>
        <w:ind w:hanging="12"/>
        <w:rPr>
          <w:rFonts w:ascii="Arial" w:hAnsi="Arial" w:cs="Arial"/>
          <w:sz w:val="20"/>
          <w:szCs w:val="20"/>
          <w:lang w:val="fr-CA"/>
        </w:rPr>
      </w:pPr>
      <w:r w:rsidRPr="00CC75E9">
        <w:rPr>
          <w:rFonts w:ascii="Arial" w:hAnsi="Arial" w:cs="Arial"/>
          <w:sz w:val="20"/>
          <w:szCs w:val="20"/>
          <w:lang w:val="fr-CA"/>
        </w:rPr>
        <w:t>Available : https</w:t>
      </w:r>
      <w:r w:rsidR="00500340" w:rsidRPr="00CC75E9">
        <w:rPr>
          <w:rFonts w:ascii="Arial" w:hAnsi="Arial" w:cs="Arial"/>
          <w:sz w:val="20"/>
          <w:szCs w:val="20"/>
          <w:lang w:val="fr-CA"/>
        </w:rPr>
        <w:t>://doi.org/10.3390/plants12244104</w:t>
      </w:r>
    </w:p>
    <w:p w14:paraId="5F3D38BE" w14:textId="73DF500F" w:rsidR="00CB2049" w:rsidRPr="000620C4" w:rsidRDefault="00500340" w:rsidP="005A6A25">
      <w:pPr>
        <w:pStyle w:val="Bibliography"/>
        <w:spacing w:line="240" w:lineRule="auto"/>
        <w:rPr>
          <w:rFonts w:ascii="Arial" w:hAnsi="Arial" w:cs="Arial"/>
          <w:sz w:val="20"/>
          <w:szCs w:val="20"/>
          <w:lang w:val="en-US"/>
        </w:rPr>
      </w:pPr>
      <w:r w:rsidRPr="00DC76F9">
        <w:rPr>
          <w:rFonts w:ascii="Arial" w:hAnsi="Arial" w:cs="Arial"/>
          <w:sz w:val="20"/>
          <w:szCs w:val="20"/>
          <w:lang w:val="fr-CA"/>
        </w:rPr>
        <w:t xml:space="preserve">Moura, I. O., Santana, C. C., Lourenço, Y. R. F., Souza, M. F., Silva, A. R. S. T., Dolabella, S. S., de Oliveira e Silva, A. M., Oliveira, T. B., Duarte, M. C., &amp; Faraoni, A. S. (2021). </w:t>
      </w:r>
      <w:r w:rsidRPr="000620C4">
        <w:rPr>
          <w:rFonts w:ascii="Arial" w:hAnsi="Arial" w:cs="Arial"/>
          <w:sz w:val="20"/>
          <w:szCs w:val="20"/>
          <w:lang w:val="en-US"/>
        </w:rPr>
        <w:t xml:space="preserve">Chemical Characterization, </w:t>
      </w:r>
      <w:r w:rsidR="00F10ED9" w:rsidRPr="000620C4">
        <w:rPr>
          <w:rFonts w:ascii="Arial" w:hAnsi="Arial" w:cs="Arial"/>
          <w:sz w:val="20"/>
          <w:szCs w:val="20"/>
          <w:lang w:val="en-US"/>
        </w:rPr>
        <w:t>antioxidant activity and cytotoxicity of the unconventional food plants : sweet po</w:t>
      </w:r>
      <w:r w:rsidRPr="000620C4">
        <w:rPr>
          <w:rFonts w:ascii="Arial" w:hAnsi="Arial" w:cs="Arial"/>
          <w:sz w:val="20"/>
          <w:szCs w:val="20"/>
          <w:lang w:val="en-US"/>
        </w:rPr>
        <w:t>tato (</w:t>
      </w:r>
      <w:r w:rsidRPr="000620C4">
        <w:rPr>
          <w:rFonts w:ascii="Arial" w:hAnsi="Arial" w:cs="Arial"/>
          <w:i/>
          <w:iCs/>
          <w:sz w:val="20"/>
          <w:szCs w:val="20"/>
          <w:lang w:val="en-US"/>
        </w:rPr>
        <w:t xml:space="preserve">Ipomoea batatas </w:t>
      </w:r>
      <w:r w:rsidR="000B3B9C" w:rsidRPr="000620C4">
        <w:rPr>
          <w:rFonts w:ascii="Arial" w:hAnsi="Arial" w:cs="Arial"/>
          <w:i/>
          <w:iCs/>
          <w:sz w:val="20"/>
          <w:szCs w:val="20"/>
          <w:lang w:val="en-US"/>
        </w:rPr>
        <w:t>(</w:t>
      </w:r>
      <w:r w:rsidRPr="000620C4">
        <w:rPr>
          <w:rFonts w:ascii="Arial" w:hAnsi="Arial" w:cs="Arial"/>
          <w:i/>
          <w:iCs/>
          <w:sz w:val="20"/>
          <w:szCs w:val="20"/>
          <w:lang w:val="en-US"/>
        </w:rPr>
        <w:t>L.</w:t>
      </w:r>
      <w:r w:rsidRPr="000620C4">
        <w:rPr>
          <w:rFonts w:ascii="Arial" w:hAnsi="Arial" w:cs="Arial"/>
          <w:sz w:val="20"/>
          <w:szCs w:val="20"/>
          <w:lang w:val="en-US"/>
        </w:rPr>
        <w:t xml:space="preserve">) Lam.) </w:t>
      </w:r>
      <w:r w:rsidR="00F10ED9" w:rsidRPr="000620C4">
        <w:rPr>
          <w:rFonts w:ascii="Arial" w:hAnsi="Arial" w:cs="Arial"/>
          <w:sz w:val="20"/>
          <w:szCs w:val="20"/>
          <w:lang w:val="en-US"/>
        </w:rPr>
        <w:t>leaf, major Gomes</w:t>
      </w:r>
      <w:r w:rsidRPr="000620C4">
        <w:rPr>
          <w:rFonts w:ascii="Arial" w:hAnsi="Arial" w:cs="Arial"/>
          <w:sz w:val="20"/>
          <w:szCs w:val="20"/>
          <w:lang w:val="en-US"/>
        </w:rPr>
        <w:t xml:space="preserve"> (</w:t>
      </w:r>
      <w:r w:rsidRPr="000620C4">
        <w:rPr>
          <w:rFonts w:ascii="Arial" w:hAnsi="Arial" w:cs="Arial"/>
          <w:i/>
          <w:iCs/>
          <w:sz w:val="20"/>
          <w:szCs w:val="20"/>
          <w:lang w:val="en-US"/>
        </w:rPr>
        <w:t>Talinum paniculatum</w:t>
      </w:r>
      <w:r w:rsidRPr="000620C4">
        <w:rPr>
          <w:rFonts w:ascii="Arial" w:hAnsi="Arial" w:cs="Arial"/>
          <w:sz w:val="20"/>
          <w:szCs w:val="20"/>
          <w:lang w:val="en-US"/>
        </w:rPr>
        <w:t xml:space="preserve"> (Jacq.) Gaertn.) and </w:t>
      </w:r>
      <w:r w:rsidR="009E7B28" w:rsidRPr="000620C4">
        <w:rPr>
          <w:rFonts w:ascii="Arial" w:hAnsi="Arial" w:cs="Arial"/>
          <w:sz w:val="20"/>
          <w:szCs w:val="20"/>
          <w:lang w:val="en-US"/>
        </w:rPr>
        <w:t>C</w:t>
      </w:r>
      <w:r w:rsidRPr="000620C4">
        <w:rPr>
          <w:rFonts w:ascii="Arial" w:hAnsi="Arial" w:cs="Arial"/>
          <w:sz w:val="20"/>
          <w:szCs w:val="20"/>
          <w:lang w:val="en-US"/>
        </w:rPr>
        <w:t>aruru (</w:t>
      </w:r>
      <w:r w:rsidRPr="000620C4">
        <w:rPr>
          <w:rFonts w:ascii="Arial" w:hAnsi="Arial" w:cs="Arial"/>
          <w:i/>
          <w:iCs/>
          <w:sz w:val="20"/>
          <w:szCs w:val="20"/>
          <w:lang w:val="en-US"/>
        </w:rPr>
        <w:t>Amaranthus deflexus L</w:t>
      </w:r>
      <w:r w:rsidRPr="000620C4">
        <w:rPr>
          <w:rFonts w:ascii="Arial" w:hAnsi="Arial" w:cs="Arial"/>
          <w:sz w:val="20"/>
          <w:szCs w:val="20"/>
          <w:lang w:val="en-US"/>
        </w:rPr>
        <w:t xml:space="preserve">.). </w:t>
      </w:r>
      <w:r w:rsidRPr="000620C4">
        <w:rPr>
          <w:rFonts w:ascii="Arial" w:hAnsi="Arial" w:cs="Arial"/>
          <w:i/>
          <w:iCs/>
          <w:sz w:val="20"/>
          <w:szCs w:val="20"/>
          <w:lang w:val="en-US"/>
        </w:rPr>
        <w:t>Waste and Biomass Valorization</w:t>
      </w:r>
      <w:r w:rsidRPr="000620C4">
        <w:rPr>
          <w:rFonts w:ascii="Arial" w:hAnsi="Arial" w:cs="Arial"/>
          <w:sz w:val="20"/>
          <w:szCs w:val="20"/>
          <w:lang w:val="en-US"/>
        </w:rPr>
        <w:t xml:space="preserve">, </w:t>
      </w:r>
      <w:r w:rsidRPr="000620C4">
        <w:rPr>
          <w:rFonts w:ascii="Arial" w:hAnsi="Arial" w:cs="Arial"/>
          <w:i/>
          <w:iCs/>
          <w:sz w:val="20"/>
          <w:szCs w:val="20"/>
          <w:lang w:val="en-US"/>
        </w:rPr>
        <w:t>12</w:t>
      </w:r>
      <w:r w:rsidRPr="000620C4">
        <w:rPr>
          <w:rFonts w:ascii="Arial" w:hAnsi="Arial" w:cs="Arial"/>
          <w:sz w:val="20"/>
          <w:szCs w:val="20"/>
          <w:lang w:val="en-US"/>
        </w:rPr>
        <w:t>(5), 2407</w:t>
      </w:r>
      <w:r w:rsidRPr="000620C4">
        <w:rPr>
          <w:rFonts w:ascii="Cambria Math" w:hAnsi="Cambria Math" w:cs="Cambria Math"/>
          <w:sz w:val="20"/>
          <w:szCs w:val="20"/>
          <w:lang w:val="en-US"/>
        </w:rPr>
        <w:t>‑</w:t>
      </w:r>
      <w:r w:rsidRPr="000620C4">
        <w:rPr>
          <w:rFonts w:ascii="Arial" w:hAnsi="Arial" w:cs="Arial"/>
          <w:sz w:val="20"/>
          <w:szCs w:val="20"/>
          <w:lang w:val="en-US"/>
        </w:rPr>
        <w:t xml:space="preserve">2431. </w:t>
      </w:r>
    </w:p>
    <w:p w14:paraId="28E1BDB6" w14:textId="44AB7AB6" w:rsidR="00500340" w:rsidRPr="00CC2177" w:rsidRDefault="00B92911" w:rsidP="005A6A25">
      <w:pPr>
        <w:pStyle w:val="Bibliography"/>
        <w:spacing w:line="240" w:lineRule="auto"/>
        <w:ind w:hanging="12"/>
        <w:rPr>
          <w:rFonts w:ascii="Arial" w:hAnsi="Arial" w:cs="Arial"/>
          <w:sz w:val="20"/>
          <w:szCs w:val="20"/>
          <w:lang w:val="fr-CA"/>
        </w:rPr>
      </w:pPr>
      <w:r w:rsidRPr="00CC2177">
        <w:rPr>
          <w:rFonts w:ascii="Arial" w:hAnsi="Arial" w:cs="Arial"/>
          <w:sz w:val="20"/>
          <w:szCs w:val="20"/>
          <w:lang w:val="fr-CA"/>
        </w:rPr>
        <w:t>Available : https</w:t>
      </w:r>
      <w:r w:rsidR="00500340" w:rsidRPr="00CC2177">
        <w:rPr>
          <w:rFonts w:ascii="Arial" w:hAnsi="Arial" w:cs="Arial"/>
          <w:sz w:val="20"/>
          <w:szCs w:val="20"/>
          <w:lang w:val="fr-CA"/>
        </w:rPr>
        <w:t>://doi.org/10.1007/s12649-020-01186-z</w:t>
      </w:r>
    </w:p>
    <w:p w14:paraId="4428B0EC" w14:textId="5ED3B13C" w:rsidR="008A0F8D"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Ngcobo, A., Mianda, S. M., Seke, F., Sunette, L. M., &amp; Sivakumar, D. (2024). </w:t>
      </w:r>
      <w:r w:rsidR="009E7B28" w:rsidRPr="000620C4">
        <w:rPr>
          <w:rFonts w:ascii="Arial" w:hAnsi="Arial" w:cs="Arial"/>
          <w:sz w:val="20"/>
          <w:szCs w:val="20"/>
          <w:lang w:val="en-US"/>
        </w:rPr>
        <w:t>phytonutritional composition and antioxidant properties of southern African, purple-fleshed sweet potato</w:t>
      </w:r>
      <w:r w:rsidRPr="000620C4">
        <w:rPr>
          <w:rFonts w:ascii="Arial" w:hAnsi="Arial" w:cs="Arial"/>
          <w:sz w:val="20"/>
          <w:szCs w:val="20"/>
          <w:lang w:val="en-US"/>
        </w:rPr>
        <w:t xml:space="preserve"> (</w:t>
      </w:r>
      <w:r w:rsidRPr="000620C4">
        <w:rPr>
          <w:rFonts w:ascii="Arial" w:hAnsi="Arial" w:cs="Arial"/>
          <w:i/>
          <w:iCs/>
          <w:sz w:val="20"/>
          <w:szCs w:val="20"/>
          <w:lang w:val="en-US"/>
        </w:rPr>
        <w:t>Ipomoea batatas (L.)</w:t>
      </w:r>
      <w:r w:rsidRPr="000620C4">
        <w:rPr>
          <w:rFonts w:ascii="Arial" w:hAnsi="Arial" w:cs="Arial"/>
          <w:sz w:val="20"/>
          <w:szCs w:val="20"/>
          <w:lang w:val="en-US"/>
        </w:rPr>
        <w:t xml:space="preserve"> Lam.) Storage Roots. </w:t>
      </w:r>
      <w:r w:rsidRPr="000620C4">
        <w:rPr>
          <w:rFonts w:ascii="Arial" w:hAnsi="Arial" w:cs="Arial"/>
          <w:i/>
          <w:iCs/>
          <w:sz w:val="20"/>
          <w:szCs w:val="20"/>
          <w:lang w:val="en-US"/>
        </w:rPr>
        <w:t>Antioxidants</w:t>
      </w:r>
      <w:r w:rsidRPr="000620C4">
        <w:rPr>
          <w:rFonts w:ascii="Arial" w:hAnsi="Arial" w:cs="Arial"/>
          <w:sz w:val="20"/>
          <w:szCs w:val="20"/>
          <w:lang w:val="en-US"/>
        </w:rPr>
        <w:t xml:space="preserve">, </w:t>
      </w:r>
      <w:r w:rsidRPr="000620C4">
        <w:rPr>
          <w:rFonts w:ascii="Arial" w:hAnsi="Arial" w:cs="Arial"/>
          <w:i/>
          <w:iCs/>
          <w:sz w:val="20"/>
          <w:szCs w:val="20"/>
          <w:lang w:val="en-US"/>
        </w:rPr>
        <w:t>13</w:t>
      </w:r>
      <w:r w:rsidRPr="000620C4">
        <w:rPr>
          <w:rFonts w:ascii="Arial" w:hAnsi="Arial" w:cs="Arial"/>
          <w:sz w:val="20"/>
          <w:szCs w:val="20"/>
          <w:lang w:val="en-US"/>
        </w:rPr>
        <w:t>(3)</w:t>
      </w:r>
      <w:r w:rsidR="000706B5" w:rsidRPr="000620C4">
        <w:rPr>
          <w:rFonts w:ascii="Arial" w:hAnsi="Arial" w:cs="Arial"/>
          <w:sz w:val="20"/>
          <w:szCs w:val="20"/>
          <w:lang w:val="en-US"/>
        </w:rPr>
        <w:t>, 338</w:t>
      </w:r>
      <w:r w:rsidRPr="000620C4">
        <w:rPr>
          <w:rFonts w:ascii="Arial" w:hAnsi="Arial" w:cs="Arial"/>
          <w:sz w:val="20"/>
          <w:szCs w:val="20"/>
          <w:lang w:val="en-US"/>
        </w:rPr>
        <w:t xml:space="preserve">. </w:t>
      </w:r>
    </w:p>
    <w:p w14:paraId="7737B64C" w14:textId="77CB8D65"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://doi.org/10.3390/antiox13030338</w:t>
      </w:r>
    </w:p>
    <w:p w14:paraId="721C10FF" w14:textId="77777777" w:rsidR="000706B5"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Nielsen, F. (2021). Nickel. </w:t>
      </w:r>
      <w:r w:rsidRPr="000620C4">
        <w:rPr>
          <w:rFonts w:ascii="Arial" w:hAnsi="Arial" w:cs="Arial"/>
          <w:i/>
          <w:iCs/>
          <w:sz w:val="20"/>
          <w:szCs w:val="20"/>
          <w:lang w:val="en-US"/>
        </w:rPr>
        <w:t>Advances in Nutrition</w:t>
      </w:r>
      <w:r w:rsidRPr="000620C4">
        <w:rPr>
          <w:rFonts w:ascii="Arial" w:hAnsi="Arial" w:cs="Arial"/>
          <w:sz w:val="20"/>
          <w:szCs w:val="20"/>
          <w:lang w:val="en-US"/>
        </w:rPr>
        <w:t xml:space="preserve">, </w:t>
      </w:r>
      <w:r w:rsidRPr="000620C4">
        <w:rPr>
          <w:rFonts w:ascii="Arial" w:hAnsi="Arial" w:cs="Arial"/>
          <w:i/>
          <w:iCs/>
          <w:sz w:val="20"/>
          <w:szCs w:val="20"/>
          <w:lang w:val="en-US"/>
        </w:rPr>
        <w:t>12</w:t>
      </w:r>
      <w:r w:rsidRPr="000620C4">
        <w:rPr>
          <w:rFonts w:ascii="Arial" w:hAnsi="Arial" w:cs="Arial"/>
          <w:sz w:val="20"/>
          <w:szCs w:val="20"/>
          <w:lang w:val="en-US"/>
        </w:rPr>
        <w:t>(1), 281</w:t>
      </w:r>
      <w:r w:rsidRPr="000620C4">
        <w:rPr>
          <w:rFonts w:ascii="Cambria Math" w:hAnsi="Cambria Math" w:cs="Cambria Math"/>
          <w:sz w:val="20"/>
          <w:szCs w:val="20"/>
          <w:lang w:val="en-US"/>
        </w:rPr>
        <w:t>‑</w:t>
      </w:r>
      <w:r w:rsidRPr="000620C4">
        <w:rPr>
          <w:rFonts w:ascii="Arial" w:hAnsi="Arial" w:cs="Arial"/>
          <w:sz w:val="20"/>
          <w:szCs w:val="20"/>
          <w:lang w:val="en-US"/>
        </w:rPr>
        <w:t xml:space="preserve">282. </w:t>
      </w:r>
    </w:p>
    <w:p w14:paraId="2F5970E1" w14:textId="2B04F5FA" w:rsidR="00500340" w:rsidRPr="00CC2177" w:rsidRDefault="00B92911" w:rsidP="005A6A25">
      <w:pPr>
        <w:pStyle w:val="Bibliography"/>
        <w:spacing w:line="240" w:lineRule="auto"/>
        <w:ind w:hanging="12"/>
        <w:rPr>
          <w:rFonts w:ascii="Arial" w:hAnsi="Arial" w:cs="Arial"/>
          <w:sz w:val="20"/>
          <w:szCs w:val="20"/>
          <w:lang w:val="fr-CA"/>
        </w:rPr>
      </w:pPr>
      <w:r w:rsidRPr="00CC2177">
        <w:rPr>
          <w:rFonts w:ascii="Arial" w:hAnsi="Arial" w:cs="Arial"/>
          <w:sz w:val="20"/>
          <w:szCs w:val="20"/>
          <w:lang w:val="fr-CA"/>
        </w:rPr>
        <w:t>Available : https</w:t>
      </w:r>
      <w:r w:rsidR="00500340" w:rsidRPr="00CC2177">
        <w:rPr>
          <w:rFonts w:ascii="Arial" w:hAnsi="Arial" w:cs="Arial"/>
          <w:sz w:val="20"/>
          <w:szCs w:val="20"/>
          <w:lang w:val="fr-CA"/>
        </w:rPr>
        <w:t>://doi.org/10.1093/advances/nmaa154</w:t>
      </w:r>
    </w:p>
    <w:p w14:paraId="52ECC295" w14:textId="120C3ADC" w:rsidR="000706B5" w:rsidRPr="000620C4" w:rsidRDefault="00500340" w:rsidP="005A6A25">
      <w:pPr>
        <w:pStyle w:val="Bibliography"/>
        <w:spacing w:line="240" w:lineRule="auto"/>
        <w:rPr>
          <w:rFonts w:ascii="Arial" w:hAnsi="Arial" w:cs="Arial"/>
          <w:sz w:val="20"/>
          <w:szCs w:val="20"/>
          <w:lang w:val="en-US"/>
        </w:rPr>
      </w:pPr>
      <w:r w:rsidRPr="00CC2177">
        <w:rPr>
          <w:rFonts w:ascii="Arial" w:hAnsi="Arial" w:cs="Arial"/>
          <w:sz w:val="20"/>
          <w:szCs w:val="20"/>
          <w:lang w:val="fr-CA"/>
        </w:rPr>
        <w:t xml:space="preserve">Oladeji, O. M., Kopaopa, B. G., Mugivhisa, L. L., &amp; Olowoyo, J. O. (2024). </w:t>
      </w:r>
      <w:r w:rsidRPr="000620C4">
        <w:rPr>
          <w:rFonts w:ascii="Arial" w:hAnsi="Arial" w:cs="Arial"/>
          <w:sz w:val="20"/>
          <w:szCs w:val="20"/>
          <w:lang w:val="en-US"/>
        </w:rPr>
        <w:t>Investiga</w:t>
      </w:r>
      <w:r w:rsidR="00C656F8" w:rsidRPr="000620C4">
        <w:rPr>
          <w:rFonts w:ascii="Arial" w:hAnsi="Arial" w:cs="Arial"/>
          <w:sz w:val="20"/>
          <w:szCs w:val="20"/>
          <w:lang w:val="en-US"/>
        </w:rPr>
        <w:t>tion of heavy metal analysis on medicinal plants used for the treatment of skin cancer by traditional practitioners</w:t>
      </w:r>
      <w:r w:rsidRPr="000620C4">
        <w:rPr>
          <w:rFonts w:ascii="Arial" w:hAnsi="Arial" w:cs="Arial"/>
          <w:sz w:val="20"/>
          <w:szCs w:val="20"/>
          <w:lang w:val="en-US"/>
        </w:rPr>
        <w:t xml:space="preserve"> in Pretoria. </w:t>
      </w:r>
      <w:r w:rsidRPr="000620C4">
        <w:rPr>
          <w:rFonts w:ascii="Arial" w:hAnsi="Arial" w:cs="Arial"/>
          <w:i/>
          <w:iCs/>
          <w:sz w:val="20"/>
          <w:szCs w:val="20"/>
          <w:lang w:val="en-US"/>
        </w:rPr>
        <w:t>Biological Trace Element Research</w:t>
      </w:r>
      <w:r w:rsidRPr="000620C4">
        <w:rPr>
          <w:rFonts w:ascii="Arial" w:hAnsi="Arial" w:cs="Arial"/>
          <w:sz w:val="20"/>
          <w:szCs w:val="20"/>
          <w:lang w:val="en-US"/>
        </w:rPr>
        <w:t xml:space="preserve">, </w:t>
      </w:r>
      <w:r w:rsidRPr="000620C4">
        <w:rPr>
          <w:rFonts w:ascii="Arial" w:hAnsi="Arial" w:cs="Arial"/>
          <w:i/>
          <w:iCs/>
          <w:sz w:val="20"/>
          <w:szCs w:val="20"/>
          <w:lang w:val="en-US"/>
        </w:rPr>
        <w:t>202</w:t>
      </w:r>
      <w:r w:rsidRPr="000620C4">
        <w:rPr>
          <w:rFonts w:ascii="Arial" w:hAnsi="Arial" w:cs="Arial"/>
          <w:sz w:val="20"/>
          <w:szCs w:val="20"/>
          <w:lang w:val="en-US"/>
        </w:rPr>
        <w:t>(2), 778</w:t>
      </w:r>
      <w:r w:rsidRPr="000620C4">
        <w:rPr>
          <w:rFonts w:ascii="Cambria Math" w:hAnsi="Cambria Math" w:cs="Cambria Math"/>
          <w:sz w:val="20"/>
          <w:szCs w:val="20"/>
          <w:lang w:val="en-US"/>
        </w:rPr>
        <w:t>‑</w:t>
      </w:r>
      <w:r w:rsidRPr="000620C4">
        <w:rPr>
          <w:rFonts w:ascii="Arial" w:hAnsi="Arial" w:cs="Arial"/>
          <w:sz w:val="20"/>
          <w:szCs w:val="20"/>
          <w:lang w:val="en-US"/>
        </w:rPr>
        <w:t xml:space="preserve">786. </w:t>
      </w:r>
    </w:p>
    <w:p w14:paraId="154C378A" w14:textId="2E9137E3"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://doi.org/10.1007/s12011-023-03701-4</w:t>
      </w:r>
    </w:p>
    <w:p w14:paraId="57E7A2AF" w14:textId="39CBABE0" w:rsidR="000706B5" w:rsidRPr="00CC2177" w:rsidRDefault="00500340" w:rsidP="005A6A25">
      <w:pPr>
        <w:pStyle w:val="Bibliography"/>
        <w:spacing w:line="240" w:lineRule="auto"/>
        <w:rPr>
          <w:rFonts w:ascii="Arial" w:hAnsi="Arial" w:cs="Arial"/>
          <w:sz w:val="20"/>
          <w:szCs w:val="20"/>
          <w:lang w:val="fr-CA"/>
        </w:rPr>
      </w:pPr>
      <w:r w:rsidRPr="000620C4">
        <w:rPr>
          <w:rFonts w:ascii="Arial" w:hAnsi="Arial" w:cs="Arial"/>
          <w:sz w:val="20"/>
          <w:szCs w:val="20"/>
          <w:lang w:val="en-US"/>
        </w:rPr>
        <w:t xml:space="preserve">Przybył, K., Adamski, F., Wawrzyniak, J., Gawrysiak-Witulska, M., Stangierski, J., &amp; Kmiecik, D. (2022). Machine </w:t>
      </w:r>
      <w:r w:rsidR="00C656F8" w:rsidRPr="000620C4">
        <w:rPr>
          <w:rFonts w:ascii="Arial" w:hAnsi="Arial" w:cs="Arial"/>
          <w:sz w:val="20"/>
          <w:szCs w:val="20"/>
          <w:lang w:val="en-US"/>
        </w:rPr>
        <w:t>and deep learning in the evaluation of selected qualitative characteristics of sweet potatoes obtained under different convective drying c</w:t>
      </w:r>
      <w:r w:rsidRPr="000620C4">
        <w:rPr>
          <w:rFonts w:ascii="Arial" w:hAnsi="Arial" w:cs="Arial"/>
          <w:sz w:val="20"/>
          <w:szCs w:val="20"/>
          <w:lang w:val="en-US"/>
        </w:rPr>
        <w:t xml:space="preserve">onditions. </w:t>
      </w:r>
      <w:r w:rsidRPr="00CC2177">
        <w:rPr>
          <w:rFonts w:ascii="Arial" w:hAnsi="Arial" w:cs="Arial"/>
          <w:i/>
          <w:iCs/>
          <w:sz w:val="20"/>
          <w:szCs w:val="20"/>
          <w:lang w:val="fr-CA"/>
        </w:rPr>
        <w:t>Applied Sciences</w:t>
      </w:r>
      <w:r w:rsidRPr="00CC2177">
        <w:rPr>
          <w:rFonts w:ascii="Arial" w:hAnsi="Arial" w:cs="Arial"/>
          <w:sz w:val="20"/>
          <w:szCs w:val="20"/>
          <w:lang w:val="fr-CA"/>
        </w:rPr>
        <w:t xml:space="preserve">, </w:t>
      </w:r>
      <w:r w:rsidRPr="00CC2177">
        <w:rPr>
          <w:rFonts w:ascii="Arial" w:hAnsi="Arial" w:cs="Arial"/>
          <w:i/>
          <w:iCs/>
          <w:sz w:val="20"/>
          <w:szCs w:val="20"/>
          <w:lang w:val="fr-CA"/>
        </w:rPr>
        <w:t>12</w:t>
      </w:r>
      <w:r w:rsidRPr="00CC2177">
        <w:rPr>
          <w:rFonts w:ascii="Arial" w:hAnsi="Arial" w:cs="Arial"/>
          <w:sz w:val="20"/>
          <w:szCs w:val="20"/>
          <w:lang w:val="fr-CA"/>
        </w:rPr>
        <w:t>(15)</w:t>
      </w:r>
      <w:r w:rsidR="00D54972" w:rsidRPr="00CC2177">
        <w:rPr>
          <w:rFonts w:ascii="Arial" w:hAnsi="Arial" w:cs="Arial"/>
          <w:sz w:val="20"/>
          <w:szCs w:val="20"/>
          <w:lang w:val="fr-CA"/>
        </w:rPr>
        <w:t>, 7840</w:t>
      </w:r>
      <w:r w:rsidRPr="00CC2177">
        <w:rPr>
          <w:rFonts w:ascii="Arial" w:hAnsi="Arial" w:cs="Arial"/>
          <w:sz w:val="20"/>
          <w:szCs w:val="20"/>
          <w:lang w:val="fr-CA"/>
        </w:rPr>
        <w:t xml:space="preserve">. </w:t>
      </w:r>
    </w:p>
    <w:p w14:paraId="27FB6DC5" w14:textId="3DAFA2A6" w:rsidR="00500340" w:rsidRPr="00CC2177" w:rsidRDefault="00B92911" w:rsidP="005A6A25">
      <w:pPr>
        <w:pStyle w:val="Bibliography"/>
        <w:spacing w:line="240" w:lineRule="auto"/>
        <w:ind w:hanging="12"/>
        <w:rPr>
          <w:rFonts w:ascii="Arial" w:hAnsi="Arial" w:cs="Arial"/>
          <w:sz w:val="20"/>
          <w:szCs w:val="20"/>
          <w:lang w:val="fr-CA"/>
        </w:rPr>
      </w:pPr>
      <w:r w:rsidRPr="00CC2177">
        <w:rPr>
          <w:rFonts w:ascii="Arial" w:hAnsi="Arial" w:cs="Arial"/>
          <w:sz w:val="20"/>
          <w:szCs w:val="20"/>
          <w:lang w:val="fr-CA"/>
        </w:rPr>
        <w:t>Available : https</w:t>
      </w:r>
      <w:r w:rsidR="00500340" w:rsidRPr="00CC2177">
        <w:rPr>
          <w:rFonts w:ascii="Arial" w:hAnsi="Arial" w:cs="Arial"/>
          <w:sz w:val="20"/>
          <w:szCs w:val="20"/>
          <w:lang w:val="fr-CA"/>
        </w:rPr>
        <w:t>://doi.org/10.3390/app12157840</w:t>
      </w:r>
    </w:p>
    <w:p w14:paraId="498CCF34" w14:textId="7C4A0D87" w:rsidR="00D54972" w:rsidRPr="000620C4" w:rsidRDefault="00500340" w:rsidP="005A6A25">
      <w:pPr>
        <w:pStyle w:val="Bibliography"/>
        <w:spacing w:line="240" w:lineRule="auto"/>
        <w:rPr>
          <w:rFonts w:ascii="Arial" w:hAnsi="Arial" w:cs="Arial"/>
          <w:sz w:val="20"/>
          <w:szCs w:val="20"/>
          <w:lang w:val="en-US"/>
        </w:rPr>
      </w:pPr>
      <w:r w:rsidRPr="00CC2177">
        <w:rPr>
          <w:rFonts w:ascii="Arial" w:hAnsi="Arial" w:cs="Arial"/>
          <w:sz w:val="20"/>
          <w:szCs w:val="20"/>
          <w:lang w:val="fr-CA"/>
        </w:rPr>
        <w:t xml:space="preserve">Putri, L. A. L. N., Arisanti, C. I. S., Dewi, N. K. S. M., &amp; Wirasuta, I. M. A. G. (2024). </w:t>
      </w:r>
      <w:r w:rsidRPr="000620C4">
        <w:rPr>
          <w:rFonts w:ascii="Arial" w:hAnsi="Arial" w:cs="Arial"/>
          <w:sz w:val="20"/>
          <w:szCs w:val="20"/>
          <w:lang w:val="en-US"/>
        </w:rPr>
        <w:t>Formulation an</w:t>
      </w:r>
      <w:r w:rsidR="00C656F8" w:rsidRPr="000620C4">
        <w:rPr>
          <w:rFonts w:ascii="Arial" w:hAnsi="Arial" w:cs="Arial"/>
          <w:sz w:val="20"/>
          <w:szCs w:val="20"/>
          <w:lang w:val="en-US"/>
        </w:rPr>
        <w:t>d evaluation of red sweet pota</w:t>
      </w:r>
      <w:r w:rsidRPr="000620C4">
        <w:rPr>
          <w:rFonts w:ascii="Arial" w:hAnsi="Arial" w:cs="Arial"/>
          <w:sz w:val="20"/>
          <w:szCs w:val="20"/>
          <w:lang w:val="en-US"/>
        </w:rPr>
        <w:t>to (</w:t>
      </w:r>
      <w:r w:rsidRPr="000620C4">
        <w:rPr>
          <w:rFonts w:ascii="Arial" w:hAnsi="Arial" w:cs="Arial"/>
          <w:i/>
          <w:iCs/>
          <w:sz w:val="20"/>
          <w:szCs w:val="20"/>
          <w:lang w:val="en-US"/>
        </w:rPr>
        <w:t>Ipomoea batatas L.</w:t>
      </w:r>
      <w:r w:rsidRPr="000620C4">
        <w:rPr>
          <w:rFonts w:ascii="Arial" w:hAnsi="Arial" w:cs="Arial"/>
          <w:sz w:val="20"/>
          <w:szCs w:val="20"/>
          <w:lang w:val="en-US"/>
        </w:rPr>
        <w:t xml:space="preserve">) </w:t>
      </w:r>
      <w:r w:rsidR="00C656F8" w:rsidRPr="000620C4">
        <w:rPr>
          <w:rFonts w:ascii="Arial" w:hAnsi="Arial" w:cs="Arial"/>
          <w:sz w:val="20"/>
          <w:szCs w:val="20"/>
          <w:lang w:val="en-US"/>
        </w:rPr>
        <w:t>leaf antidiabetic capsules</w:t>
      </w:r>
      <w:r w:rsidRPr="000620C4">
        <w:rPr>
          <w:rFonts w:ascii="Arial" w:hAnsi="Arial" w:cs="Arial"/>
          <w:sz w:val="20"/>
          <w:szCs w:val="20"/>
          <w:lang w:val="en-US"/>
        </w:rPr>
        <w:t xml:space="preserve">. </w:t>
      </w:r>
      <w:r w:rsidR="00D54972" w:rsidRPr="000620C4">
        <w:rPr>
          <w:rFonts w:ascii="Arial" w:hAnsi="Arial" w:cs="Arial"/>
          <w:i/>
          <w:iCs/>
          <w:sz w:val="20"/>
          <w:szCs w:val="20"/>
          <w:lang w:val="en-US"/>
        </w:rPr>
        <w:t>Fitofarmaka: Jurnal Ilmiah Farmasi</w:t>
      </w:r>
      <w:r w:rsidRPr="000620C4">
        <w:rPr>
          <w:rFonts w:ascii="Arial" w:hAnsi="Arial" w:cs="Arial"/>
          <w:sz w:val="20"/>
          <w:szCs w:val="20"/>
          <w:lang w:val="en-US"/>
        </w:rPr>
        <w:t xml:space="preserve">, </w:t>
      </w:r>
      <w:r w:rsidRPr="000620C4">
        <w:rPr>
          <w:rFonts w:ascii="Arial" w:hAnsi="Arial" w:cs="Arial"/>
          <w:i/>
          <w:iCs/>
          <w:sz w:val="20"/>
          <w:szCs w:val="20"/>
          <w:lang w:val="en-US"/>
        </w:rPr>
        <w:t>14</w:t>
      </w:r>
      <w:r w:rsidRPr="000620C4">
        <w:rPr>
          <w:rFonts w:ascii="Arial" w:hAnsi="Arial" w:cs="Arial"/>
          <w:sz w:val="20"/>
          <w:szCs w:val="20"/>
          <w:lang w:val="en-US"/>
        </w:rPr>
        <w:t>(2), 77</w:t>
      </w:r>
      <w:r w:rsidRPr="000620C4">
        <w:rPr>
          <w:rFonts w:ascii="Cambria Math" w:hAnsi="Cambria Math" w:cs="Cambria Math"/>
          <w:sz w:val="20"/>
          <w:szCs w:val="20"/>
          <w:lang w:val="en-US"/>
        </w:rPr>
        <w:t>‑</w:t>
      </w:r>
      <w:r w:rsidRPr="000620C4">
        <w:rPr>
          <w:rFonts w:ascii="Arial" w:hAnsi="Arial" w:cs="Arial"/>
          <w:sz w:val="20"/>
          <w:szCs w:val="20"/>
          <w:lang w:val="en-US"/>
        </w:rPr>
        <w:t xml:space="preserve">86. </w:t>
      </w:r>
    </w:p>
    <w:p w14:paraId="73AEE0BA" w14:textId="06E937E1"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://doi.org/10.33751/jf.v14i2.8</w:t>
      </w:r>
    </w:p>
    <w:p w14:paraId="57FF30B5" w14:textId="59BEE599" w:rsidR="00C1128A"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Rivera-Espejel, E. A., Cruz-Alvarez, O., Mejía-Muñoz, J. M., García-Mateos, M. R., Colinas-León, M. T. B., &amp; Martínez-Damián, M. T. (2019). Phy</w:t>
      </w:r>
      <w:r w:rsidR="00C656F8" w:rsidRPr="000620C4">
        <w:rPr>
          <w:rFonts w:ascii="Arial" w:hAnsi="Arial" w:cs="Arial"/>
          <w:sz w:val="20"/>
          <w:szCs w:val="20"/>
          <w:lang w:val="en-US"/>
        </w:rPr>
        <w:t>sicochemical quality, antioxidant capacity and nutritional value in tuberous roots of some wild dahlia spe</w:t>
      </w:r>
      <w:r w:rsidRPr="000620C4">
        <w:rPr>
          <w:rFonts w:ascii="Arial" w:hAnsi="Arial" w:cs="Arial"/>
          <w:sz w:val="20"/>
          <w:szCs w:val="20"/>
          <w:lang w:val="en-US"/>
        </w:rPr>
        <w:t xml:space="preserve">cies. </w:t>
      </w:r>
      <w:r w:rsidRPr="000620C4">
        <w:rPr>
          <w:rFonts w:ascii="Arial" w:hAnsi="Arial" w:cs="Arial"/>
          <w:i/>
          <w:iCs/>
          <w:sz w:val="20"/>
          <w:szCs w:val="20"/>
          <w:lang w:val="en-US"/>
        </w:rPr>
        <w:t>Notulae Botanicae Horti Agrobotanici Cluj-Napoca</w:t>
      </w:r>
      <w:r w:rsidRPr="000620C4">
        <w:rPr>
          <w:rFonts w:ascii="Arial" w:hAnsi="Arial" w:cs="Arial"/>
          <w:sz w:val="20"/>
          <w:szCs w:val="20"/>
          <w:lang w:val="en-US"/>
        </w:rPr>
        <w:t xml:space="preserve">, </w:t>
      </w:r>
      <w:r w:rsidRPr="000620C4">
        <w:rPr>
          <w:rFonts w:ascii="Arial" w:hAnsi="Arial" w:cs="Arial"/>
          <w:i/>
          <w:iCs/>
          <w:sz w:val="20"/>
          <w:szCs w:val="20"/>
          <w:lang w:val="en-US"/>
        </w:rPr>
        <w:t>47</w:t>
      </w:r>
      <w:r w:rsidRPr="000620C4">
        <w:rPr>
          <w:rFonts w:ascii="Arial" w:hAnsi="Arial" w:cs="Arial"/>
          <w:sz w:val="20"/>
          <w:szCs w:val="20"/>
          <w:lang w:val="en-US"/>
        </w:rPr>
        <w:t>(3), 813</w:t>
      </w:r>
      <w:r w:rsidRPr="000620C4">
        <w:rPr>
          <w:rFonts w:ascii="Cambria Math" w:hAnsi="Cambria Math" w:cs="Cambria Math"/>
          <w:sz w:val="20"/>
          <w:szCs w:val="20"/>
          <w:lang w:val="en-US"/>
        </w:rPr>
        <w:t>‑</w:t>
      </w:r>
      <w:r w:rsidRPr="000620C4">
        <w:rPr>
          <w:rFonts w:ascii="Arial" w:hAnsi="Arial" w:cs="Arial"/>
          <w:sz w:val="20"/>
          <w:szCs w:val="20"/>
          <w:lang w:val="en-US"/>
        </w:rPr>
        <w:t xml:space="preserve">820. </w:t>
      </w:r>
    </w:p>
    <w:p w14:paraId="16F02853" w14:textId="01EFE4A4"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://doi.org/10.15835/nbha47311552</w:t>
      </w:r>
    </w:p>
    <w:p w14:paraId="349147B8" w14:textId="77777777" w:rsidR="00C1128A"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Shen, W., Feng, Z., Song, H., Jin, D., Fu, Y., &amp; Cheng, F. (2022). Effects of solid waste-based soil conditioner and arbuscular mycorrhizal fungi on crop productivity and heavy metal distribution in foxtail millet (</w:t>
      </w:r>
      <w:r w:rsidRPr="000620C4">
        <w:rPr>
          <w:rFonts w:ascii="Arial" w:hAnsi="Arial" w:cs="Arial"/>
          <w:i/>
          <w:iCs/>
          <w:sz w:val="20"/>
          <w:szCs w:val="20"/>
          <w:lang w:val="en-US"/>
        </w:rPr>
        <w:t>Setaria italica</w:t>
      </w:r>
      <w:r w:rsidRPr="000620C4">
        <w:rPr>
          <w:rFonts w:ascii="Arial" w:hAnsi="Arial" w:cs="Arial"/>
          <w:sz w:val="20"/>
          <w:szCs w:val="20"/>
          <w:lang w:val="en-US"/>
        </w:rPr>
        <w:t xml:space="preserve">). </w:t>
      </w:r>
      <w:r w:rsidRPr="000620C4">
        <w:rPr>
          <w:rFonts w:ascii="Arial" w:hAnsi="Arial" w:cs="Arial"/>
          <w:i/>
          <w:iCs/>
          <w:sz w:val="20"/>
          <w:szCs w:val="20"/>
          <w:lang w:val="en-US"/>
        </w:rPr>
        <w:t>Journal of Environmental Management</w:t>
      </w:r>
      <w:r w:rsidRPr="000620C4">
        <w:rPr>
          <w:rFonts w:ascii="Arial" w:hAnsi="Arial" w:cs="Arial"/>
          <w:sz w:val="20"/>
          <w:szCs w:val="20"/>
          <w:lang w:val="en-US"/>
        </w:rPr>
        <w:t xml:space="preserve">, </w:t>
      </w:r>
      <w:r w:rsidRPr="000620C4">
        <w:rPr>
          <w:rFonts w:ascii="Arial" w:hAnsi="Arial" w:cs="Arial"/>
          <w:i/>
          <w:iCs/>
          <w:sz w:val="20"/>
          <w:szCs w:val="20"/>
          <w:lang w:val="en-US"/>
        </w:rPr>
        <w:t>313</w:t>
      </w:r>
      <w:r w:rsidRPr="000620C4">
        <w:rPr>
          <w:rFonts w:ascii="Arial" w:hAnsi="Arial" w:cs="Arial"/>
          <w:sz w:val="20"/>
          <w:szCs w:val="20"/>
          <w:lang w:val="en-US"/>
        </w:rPr>
        <w:t xml:space="preserve">, 114974. </w:t>
      </w:r>
    </w:p>
    <w:p w14:paraId="1647A93C" w14:textId="3B9B47BA"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://doi.org/10.1016/j.jenvman.2022.114974</w:t>
      </w:r>
    </w:p>
    <w:p w14:paraId="1F3C8418" w14:textId="5F349BC9" w:rsidR="00C835F8" w:rsidRPr="000620C4" w:rsidRDefault="00C835F8"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Singh, A., Agrawal, M., &amp; Marshall, F. M. (2010). The role of organic </w:t>
      </w:r>
      <w:r w:rsidRPr="000620C4">
        <w:rPr>
          <w:rFonts w:ascii="Arial" w:hAnsi="Arial" w:cs="Arial"/>
          <w:i/>
          <w:iCs/>
          <w:sz w:val="20"/>
          <w:szCs w:val="20"/>
          <w:lang w:val="en-US"/>
        </w:rPr>
        <w:t>vs</w:t>
      </w:r>
      <w:r w:rsidRPr="000620C4">
        <w:rPr>
          <w:rFonts w:ascii="Arial" w:hAnsi="Arial" w:cs="Arial"/>
          <w:sz w:val="20"/>
          <w:szCs w:val="20"/>
          <w:lang w:val="en-US"/>
        </w:rPr>
        <w:t xml:space="preserve">. Inorganic fertilizers in reducing </w:t>
      </w:r>
      <w:r w:rsidR="008E46B1" w:rsidRPr="000620C4">
        <w:rPr>
          <w:rFonts w:ascii="Arial" w:hAnsi="Arial" w:cs="Arial"/>
          <w:sz w:val="20"/>
          <w:szCs w:val="20"/>
          <w:lang w:val="en-US"/>
        </w:rPr>
        <w:t>phytoavailability</w:t>
      </w:r>
      <w:r w:rsidRPr="000620C4">
        <w:rPr>
          <w:rFonts w:ascii="Arial" w:hAnsi="Arial" w:cs="Arial"/>
          <w:sz w:val="20"/>
          <w:szCs w:val="20"/>
          <w:lang w:val="en-US"/>
        </w:rPr>
        <w:t xml:space="preserve"> of heavy metals in a wastewater-irrigated area. </w:t>
      </w:r>
      <w:r w:rsidRPr="000620C4">
        <w:rPr>
          <w:rFonts w:ascii="Arial" w:hAnsi="Arial" w:cs="Arial"/>
          <w:i/>
          <w:iCs/>
          <w:sz w:val="20"/>
          <w:szCs w:val="20"/>
          <w:lang w:val="en-US"/>
        </w:rPr>
        <w:t>Ecological Engineering</w:t>
      </w:r>
      <w:r w:rsidRPr="000620C4">
        <w:rPr>
          <w:rFonts w:ascii="Arial" w:hAnsi="Arial" w:cs="Arial"/>
          <w:sz w:val="20"/>
          <w:szCs w:val="20"/>
          <w:lang w:val="en-US"/>
        </w:rPr>
        <w:t xml:space="preserve">, </w:t>
      </w:r>
      <w:r w:rsidRPr="000620C4">
        <w:rPr>
          <w:rFonts w:ascii="Arial" w:hAnsi="Arial" w:cs="Arial"/>
          <w:i/>
          <w:iCs/>
          <w:sz w:val="20"/>
          <w:szCs w:val="20"/>
          <w:lang w:val="en-US"/>
        </w:rPr>
        <w:t>36</w:t>
      </w:r>
      <w:r w:rsidRPr="000620C4">
        <w:rPr>
          <w:rFonts w:ascii="Arial" w:hAnsi="Arial" w:cs="Arial"/>
          <w:sz w:val="20"/>
          <w:szCs w:val="20"/>
          <w:lang w:val="en-US"/>
        </w:rPr>
        <w:t>(12), 1733</w:t>
      </w:r>
      <w:r w:rsidRPr="000620C4">
        <w:rPr>
          <w:rFonts w:ascii="Cambria Math" w:hAnsi="Cambria Math" w:cs="Cambria Math"/>
          <w:sz w:val="20"/>
          <w:szCs w:val="20"/>
          <w:lang w:val="en-US"/>
        </w:rPr>
        <w:t>‑</w:t>
      </w:r>
      <w:r w:rsidRPr="000620C4">
        <w:rPr>
          <w:rFonts w:ascii="Arial" w:hAnsi="Arial" w:cs="Arial"/>
          <w:sz w:val="20"/>
          <w:szCs w:val="20"/>
          <w:lang w:val="en-US"/>
        </w:rPr>
        <w:t xml:space="preserve">1740. </w:t>
      </w:r>
    </w:p>
    <w:p w14:paraId="584D0EC5" w14:textId="6ECD3524" w:rsidR="00C835F8"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C835F8" w:rsidRPr="000620C4">
        <w:rPr>
          <w:rFonts w:ascii="Arial" w:hAnsi="Arial" w:cs="Arial"/>
          <w:sz w:val="20"/>
          <w:szCs w:val="20"/>
          <w:lang w:val="en-US"/>
        </w:rPr>
        <w:t>://doi.org/10.1016/j.ecoleng.2010.07.021</w:t>
      </w:r>
    </w:p>
    <w:p w14:paraId="7A3FFBE6" w14:textId="5E68C4A2" w:rsidR="00C1128A"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Ssempijja, F., Iceland Kasozi, K., Daniel Eze, E., Tamale, A., Ewuzie, S. A., Matama, K., Ekou, J., Bogere, P., Mujinya, R., Musoke, G. H., Atusiimirwe, J. K., Zirintunda, G., Kalange, M., Lyada, J., Kiconco, </w:t>
      </w:r>
      <w:r w:rsidRPr="000620C4">
        <w:rPr>
          <w:rFonts w:ascii="Arial" w:hAnsi="Arial" w:cs="Arial"/>
          <w:sz w:val="20"/>
          <w:szCs w:val="20"/>
          <w:lang w:val="en-US"/>
        </w:rPr>
        <w:lastRenderedPageBreak/>
        <w:t xml:space="preserve">R., Pius, T., Nandala, C., Kamugisha, R. M., Hamira, Y., </w:t>
      </w:r>
      <w:r w:rsidR="00E94DB1" w:rsidRPr="000620C4">
        <w:rPr>
          <w:rFonts w:ascii="Arial" w:hAnsi="Arial" w:cs="Arial"/>
          <w:sz w:val="20"/>
          <w:szCs w:val="20"/>
          <w:lang w:val="en-US"/>
        </w:rPr>
        <w:t xml:space="preserve">Fernandez, E. M., &amp; Musinguzi, S. P. </w:t>
      </w:r>
      <w:r w:rsidRPr="000620C4">
        <w:rPr>
          <w:rFonts w:ascii="Arial" w:hAnsi="Arial" w:cs="Arial"/>
          <w:sz w:val="20"/>
          <w:szCs w:val="20"/>
          <w:lang w:val="en-US"/>
        </w:rPr>
        <w:t xml:space="preserve">(2020). Consumption </w:t>
      </w:r>
      <w:r w:rsidR="00C075A8" w:rsidRPr="000620C4">
        <w:rPr>
          <w:rFonts w:ascii="Arial" w:hAnsi="Arial" w:cs="Arial"/>
          <w:sz w:val="20"/>
          <w:szCs w:val="20"/>
          <w:lang w:val="en-US"/>
        </w:rPr>
        <w:t>of raw herbal medicines is associated with major public health risks among</w:t>
      </w:r>
      <w:r w:rsidRPr="000620C4">
        <w:rPr>
          <w:rFonts w:ascii="Arial" w:hAnsi="Arial" w:cs="Arial"/>
          <w:sz w:val="20"/>
          <w:szCs w:val="20"/>
          <w:lang w:val="en-US"/>
        </w:rPr>
        <w:t xml:space="preserve">st Ugandans. </w:t>
      </w:r>
      <w:r w:rsidRPr="000620C4">
        <w:rPr>
          <w:rFonts w:ascii="Arial" w:hAnsi="Arial" w:cs="Arial"/>
          <w:i/>
          <w:iCs/>
          <w:sz w:val="20"/>
          <w:szCs w:val="20"/>
          <w:lang w:val="en-US"/>
        </w:rPr>
        <w:t>Journal of Environmental and Public Health</w:t>
      </w:r>
      <w:r w:rsidRPr="000620C4">
        <w:rPr>
          <w:rFonts w:ascii="Arial" w:hAnsi="Arial" w:cs="Arial"/>
          <w:sz w:val="20"/>
          <w:szCs w:val="20"/>
          <w:lang w:val="en-US"/>
        </w:rPr>
        <w:t xml:space="preserve">, </w:t>
      </w:r>
      <w:r w:rsidRPr="000620C4">
        <w:rPr>
          <w:rFonts w:ascii="Arial" w:hAnsi="Arial" w:cs="Arial"/>
          <w:i/>
          <w:iCs/>
          <w:sz w:val="20"/>
          <w:szCs w:val="20"/>
          <w:lang w:val="en-US"/>
        </w:rPr>
        <w:t>2020</w:t>
      </w:r>
      <w:r w:rsidRPr="000620C4">
        <w:rPr>
          <w:rFonts w:ascii="Arial" w:hAnsi="Arial" w:cs="Arial"/>
          <w:sz w:val="20"/>
          <w:szCs w:val="20"/>
          <w:lang w:val="en-US"/>
        </w:rPr>
        <w:t xml:space="preserve">(1), 8516105. </w:t>
      </w:r>
    </w:p>
    <w:p w14:paraId="5634154C" w14:textId="64BE4743"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://doi.org/10.1155/2020/8516105</w:t>
      </w:r>
    </w:p>
    <w:p w14:paraId="50E9648F" w14:textId="77777777" w:rsidR="00321DB2"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Stoffel, N. U., Siebenthal, H. K. von, Moretti, D., &amp; Zimmermann, M. B. (2020). Oral iron supplementation in iron-deficient women : How much and how often? </w:t>
      </w:r>
      <w:r w:rsidRPr="000620C4">
        <w:rPr>
          <w:rFonts w:ascii="Arial" w:hAnsi="Arial" w:cs="Arial"/>
          <w:i/>
          <w:iCs/>
          <w:sz w:val="20"/>
          <w:szCs w:val="20"/>
          <w:lang w:val="en-US"/>
        </w:rPr>
        <w:t>Molecular Aspects of Medicine</w:t>
      </w:r>
      <w:r w:rsidRPr="000620C4">
        <w:rPr>
          <w:rFonts w:ascii="Arial" w:hAnsi="Arial" w:cs="Arial"/>
          <w:sz w:val="20"/>
          <w:szCs w:val="20"/>
          <w:lang w:val="en-US"/>
        </w:rPr>
        <w:t xml:space="preserve">, </w:t>
      </w:r>
      <w:r w:rsidRPr="000620C4">
        <w:rPr>
          <w:rFonts w:ascii="Arial" w:hAnsi="Arial" w:cs="Arial"/>
          <w:i/>
          <w:iCs/>
          <w:sz w:val="20"/>
          <w:szCs w:val="20"/>
          <w:lang w:val="en-US"/>
        </w:rPr>
        <w:t>75</w:t>
      </w:r>
      <w:r w:rsidRPr="000620C4">
        <w:rPr>
          <w:rFonts w:ascii="Arial" w:hAnsi="Arial" w:cs="Arial"/>
          <w:sz w:val="20"/>
          <w:szCs w:val="20"/>
          <w:lang w:val="en-US"/>
        </w:rPr>
        <w:t xml:space="preserve">, 100865. </w:t>
      </w:r>
    </w:p>
    <w:p w14:paraId="2721EEC9" w14:textId="6A0F4FB4"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://doi.org/10.1016/j.mam.2020.100865</w:t>
      </w:r>
    </w:p>
    <w:p w14:paraId="0DB070E7" w14:textId="7941BA60" w:rsidR="008F2D4D"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US Environmental Protection Agency (2004).</w:t>
      </w:r>
      <w:r w:rsidRPr="000620C4">
        <w:rPr>
          <w:rFonts w:ascii="Arial" w:hAnsi="Arial" w:cs="Arial"/>
          <w:i/>
          <w:iCs/>
          <w:sz w:val="20"/>
          <w:szCs w:val="20"/>
          <w:lang w:val="en-US"/>
        </w:rPr>
        <w:t xml:space="preserve"> </w:t>
      </w:r>
      <w:r w:rsidRPr="000620C4">
        <w:rPr>
          <w:rFonts w:ascii="Arial" w:hAnsi="Arial" w:cs="Arial"/>
          <w:sz w:val="20"/>
          <w:szCs w:val="20"/>
          <w:lang w:val="en-US"/>
        </w:rPr>
        <w:t>Guidelines for water reuse.</w:t>
      </w:r>
    </w:p>
    <w:p w14:paraId="5BD25741" w14:textId="66AA51EE"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 xml:space="preserve">://www.epa.gov/sites/default/files/2019-08/documents/2004-guidelines-water-reuse.pdf. Accessed </w:t>
      </w:r>
      <w:r w:rsidR="00321DB2" w:rsidRPr="000620C4">
        <w:rPr>
          <w:rFonts w:ascii="Arial" w:hAnsi="Arial" w:cs="Arial"/>
          <w:sz w:val="20"/>
          <w:szCs w:val="20"/>
          <w:lang w:val="en-US"/>
        </w:rPr>
        <w:t>June</w:t>
      </w:r>
      <w:r w:rsidR="00500340" w:rsidRPr="000620C4">
        <w:rPr>
          <w:rFonts w:ascii="Arial" w:hAnsi="Arial" w:cs="Arial"/>
          <w:sz w:val="20"/>
          <w:szCs w:val="20"/>
          <w:lang w:val="en-US"/>
        </w:rPr>
        <w:t xml:space="preserve"> </w:t>
      </w:r>
      <w:r w:rsidR="00321DB2" w:rsidRPr="000620C4">
        <w:rPr>
          <w:rFonts w:ascii="Arial" w:hAnsi="Arial" w:cs="Arial"/>
          <w:sz w:val="20"/>
          <w:szCs w:val="20"/>
          <w:lang w:val="en-US"/>
        </w:rPr>
        <w:t>20</w:t>
      </w:r>
      <w:r w:rsidR="00500340" w:rsidRPr="000620C4">
        <w:rPr>
          <w:rFonts w:ascii="Arial" w:hAnsi="Arial" w:cs="Arial"/>
          <w:sz w:val="20"/>
          <w:szCs w:val="20"/>
          <w:lang w:val="en-US"/>
        </w:rPr>
        <w:t>, 2025</w:t>
      </w:r>
      <w:r w:rsidR="003D3AE0" w:rsidRPr="000620C4">
        <w:rPr>
          <w:rFonts w:ascii="Arial" w:hAnsi="Arial" w:cs="Arial"/>
          <w:sz w:val="20"/>
          <w:szCs w:val="20"/>
          <w:lang w:val="en-US"/>
        </w:rPr>
        <w:t>.</w:t>
      </w:r>
    </w:p>
    <w:p w14:paraId="1489711A" w14:textId="54249CAF" w:rsidR="003D3AE0" w:rsidRPr="000620C4" w:rsidRDefault="003D3AE0" w:rsidP="005A6A25">
      <w:pPr>
        <w:pStyle w:val="Bibliography"/>
        <w:spacing w:line="240" w:lineRule="auto"/>
        <w:rPr>
          <w:rFonts w:ascii="Arial" w:hAnsi="Arial" w:cs="Arial"/>
          <w:i/>
          <w:iCs/>
          <w:sz w:val="20"/>
          <w:szCs w:val="20"/>
          <w:lang w:val="en-US"/>
        </w:rPr>
      </w:pPr>
      <w:r w:rsidRPr="000620C4">
        <w:rPr>
          <w:rFonts w:ascii="Arial" w:hAnsi="Arial" w:cs="Arial"/>
          <w:sz w:val="20"/>
          <w:szCs w:val="20"/>
          <w:lang w:val="en-US"/>
        </w:rPr>
        <w:t xml:space="preserve">US Environmental Protection Agency </w:t>
      </w:r>
      <w:r w:rsidR="00500340" w:rsidRPr="000620C4">
        <w:rPr>
          <w:rFonts w:ascii="Arial" w:hAnsi="Arial" w:cs="Arial"/>
          <w:sz w:val="20"/>
          <w:szCs w:val="20"/>
          <w:lang w:val="en-US"/>
        </w:rPr>
        <w:t xml:space="preserve">(2013). Regional Screening Level (RSL) Summary table (TR=1E−6, HQ= 1). United States Environmental Protection Agency. Regional Screening Levels (RSLs). </w:t>
      </w:r>
    </w:p>
    <w:p w14:paraId="32EA8D99" w14:textId="77777777" w:rsidR="00B92911"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 xml:space="preserve">://www.epa.gov/risk/regional-screening-levels-rsls-generic-tables. </w:t>
      </w:r>
    </w:p>
    <w:p w14:paraId="2F6A4855" w14:textId="517C9199" w:rsidR="00500340" w:rsidRPr="000620C4" w:rsidRDefault="003D3AE0" w:rsidP="005A6A25">
      <w:pPr>
        <w:pStyle w:val="Bibliography"/>
        <w:spacing w:line="240" w:lineRule="auto"/>
        <w:ind w:firstLine="0"/>
        <w:rPr>
          <w:rFonts w:ascii="Arial" w:hAnsi="Arial" w:cs="Arial"/>
          <w:sz w:val="20"/>
          <w:szCs w:val="20"/>
          <w:lang w:val="en-US"/>
        </w:rPr>
      </w:pPr>
      <w:r w:rsidRPr="000620C4">
        <w:rPr>
          <w:rFonts w:ascii="Arial" w:hAnsi="Arial" w:cs="Arial"/>
          <w:sz w:val="20"/>
          <w:szCs w:val="20"/>
          <w:lang w:val="en-US"/>
        </w:rPr>
        <w:t>Accessed June 20, 2025</w:t>
      </w:r>
      <w:r w:rsidR="00500340" w:rsidRPr="000620C4">
        <w:rPr>
          <w:rFonts w:ascii="Arial" w:hAnsi="Arial" w:cs="Arial"/>
          <w:sz w:val="20"/>
          <w:szCs w:val="20"/>
          <w:lang w:val="en-US"/>
        </w:rPr>
        <w:t>.</w:t>
      </w:r>
    </w:p>
    <w:p w14:paraId="6B7DD7F8" w14:textId="77777777" w:rsidR="003F2E8E"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Wang, S., Nie, S., &amp; Zhu, F. (2016). Chemical constituents and health effects of sweet potato. </w:t>
      </w:r>
      <w:r w:rsidRPr="000620C4">
        <w:rPr>
          <w:rFonts w:ascii="Arial" w:hAnsi="Arial" w:cs="Arial"/>
          <w:i/>
          <w:iCs/>
          <w:sz w:val="20"/>
          <w:szCs w:val="20"/>
          <w:lang w:val="en-US"/>
        </w:rPr>
        <w:t>Food Research International</w:t>
      </w:r>
      <w:r w:rsidRPr="000620C4">
        <w:rPr>
          <w:rFonts w:ascii="Arial" w:hAnsi="Arial" w:cs="Arial"/>
          <w:sz w:val="20"/>
          <w:szCs w:val="20"/>
          <w:lang w:val="en-US"/>
        </w:rPr>
        <w:t xml:space="preserve">, </w:t>
      </w:r>
      <w:r w:rsidRPr="000620C4">
        <w:rPr>
          <w:rFonts w:ascii="Arial" w:hAnsi="Arial" w:cs="Arial"/>
          <w:i/>
          <w:iCs/>
          <w:sz w:val="20"/>
          <w:szCs w:val="20"/>
          <w:lang w:val="en-US"/>
        </w:rPr>
        <w:t>89</w:t>
      </w:r>
      <w:r w:rsidRPr="000620C4">
        <w:rPr>
          <w:rFonts w:ascii="Arial" w:hAnsi="Arial" w:cs="Arial"/>
          <w:sz w:val="20"/>
          <w:szCs w:val="20"/>
          <w:lang w:val="en-US"/>
        </w:rPr>
        <w:t>, 90</w:t>
      </w:r>
      <w:r w:rsidRPr="000620C4">
        <w:rPr>
          <w:rFonts w:ascii="Cambria Math" w:hAnsi="Cambria Math" w:cs="Cambria Math"/>
          <w:sz w:val="20"/>
          <w:szCs w:val="20"/>
          <w:lang w:val="en-US"/>
        </w:rPr>
        <w:t>‑</w:t>
      </w:r>
      <w:r w:rsidRPr="000620C4">
        <w:rPr>
          <w:rFonts w:ascii="Arial" w:hAnsi="Arial" w:cs="Arial"/>
          <w:sz w:val="20"/>
          <w:szCs w:val="20"/>
          <w:lang w:val="en-US"/>
        </w:rPr>
        <w:t xml:space="preserve">116. </w:t>
      </w:r>
    </w:p>
    <w:p w14:paraId="1B65B80D" w14:textId="741D01F5"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://doi.org/10.1016/j.foodres.2016.08.032</w:t>
      </w:r>
    </w:p>
    <w:p w14:paraId="447DABA0" w14:textId="77777777" w:rsidR="00E94080"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Wang, X., Wan, X., Wu, J., Cui, L., &amp; Xiao, Q. (2024). Comparative study of polysaccharide metabolites in purple, orange, and white Ipomoea batatas tubers. </w:t>
      </w:r>
      <w:r w:rsidRPr="000620C4">
        <w:rPr>
          <w:rFonts w:ascii="Arial" w:hAnsi="Arial" w:cs="Arial"/>
          <w:i/>
          <w:iCs/>
          <w:sz w:val="20"/>
          <w:szCs w:val="20"/>
          <w:lang w:val="en-US"/>
        </w:rPr>
        <w:t>Food Chemistry: X</w:t>
      </w:r>
      <w:r w:rsidRPr="000620C4">
        <w:rPr>
          <w:rFonts w:ascii="Arial" w:hAnsi="Arial" w:cs="Arial"/>
          <w:sz w:val="20"/>
          <w:szCs w:val="20"/>
          <w:lang w:val="en-US"/>
        </w:rPr>
        <w:t xml:space="preserve">, </w:t>
      </w:r>
      <w:r w:rsidRPr="000620C4">
        <w:rPr>
          <w:rFonts w:ascii="Arial" w:hAnsi="Arial" w:cs="Arial"/>
          <w:i/>
          <w:iCs/>
          <w:sz w:val="20"/>
          <w:szCs w:val="20"/>
          <w:lang w:val="en-US"/>
        </w:rPr>
        <w:t>24</w:t>
      </w:r>
      <w:r w:rsidRPr="000620C4">
        <w:rPr>
          <w:rFonts w:ascii="Arial" w:hAnsi="Arial" w:cs="Arial"/>
          <w:sz w:val="20"/>
          <w:szCs w:val="20"/>
          <w:lang w:val="en-US"/>
        </w:rPr>
        <w:t xml:space="preserve">, 101855. </w:t>
      </w:r>
    </w:p>
    <w:p w14:paraId="28CE150B" w14:textId="2CE5D436" w:rsidR="00C835F8"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://doi.org/10.1016/j.fochx.2024.101855</w:t>
      </w:r>
      <w:r w:rsidR="00C835F8" w:rsidRPr="000620C4">
        <w:rPr>
          <w:rFonts w:ascii="Arial" w:hAnsi="Arial" w:cs="Arial"/>
          <w:sz w:val="20"/>
          <w:szCs w:val="20"/>
          <w:lang w:val="en-US"/>
        </w:rPr>
        <w:fldChar w:fldCharType="begin"/>
      </w:r>
      <w:r w:rsidR="00C835F8" w:rsidRPr="000620C4">
        <w:rPr>
          <w:rFonts w:ascii="Arial" w:hAnsi="Arial" w:cs="Arial"/>
          <w:sz w:val="20"/>
          <w:szCs w:val="20"/>
          <w:lang w:val="en-US"/>
        </w:rPr>
        <w:instrText xml:space="preserve"> ADDIN ZOTERO_BIBL {"uncited":[],"omitted":[],"custom":[]} CSL_BIBLIOGRAPHY </w:instrText>
      </w:r>
      <w:r w:rsidR="00C835F8" w:rsidRPr="000620C4">
        <w:rPr>
          <w:rFonts w:ascii="Arial" w:hAnsi="Arial" w:cs="Arial"/>
          <w:sz w:val="20"/>
          <w:szCs w:val="20"/>
          <w:lang w:val="en-US"/>
        </w:rPr>
        <w:fldChar w:fldCharType="separate"/>
      </w:r>
    </w:p>
    <w:p w14:paraId="6FC3EE99" w14:textId="60EBD22D" w:rsidR="00C87054" w:rsidRPr="001A418A" w:rsidRDefault="00C835F8" w:rsidP="00C87054">
      <w:pPr>
        <w:pStyle w:val="Bibliography"/>
        <w:spacing w:line="240" w:lineRule="auto"/>
        <w:rPr>
          <w:rFonts w:ascii="Arial" w:hAnsi="Arial" w:cs="Arial"/>
          <w:sz w:val="20"/>
          <w:szCs w:val="20"/>
          <w:highlight w:val="green"/>
          <w:lang w:val="fr-CA"/>
        </w:rPr>
      </w:pPr>
      <w:r w:rsidRPr="000620C4">
        <w:rPr>
          <w:rFonts w:ascii="Arial" w:hAnsi="Arial" w:cs="Arial"/>
          <w:sz w:val="20"/>
          <w:szCs w:val="20"/>
          <w:lang w:val="en-US"/>
        </w:rPr>
        <w:fldChar w:fldCharType="end"/>
      </w:r>
      <w:r w:rsidR="00C87054" w:rsidRPr="00C87054">
        <w:rPr>
          <w:rFonts w:ascii="Arial" w:hAnsi="Arial" w:cs="Arial"/>
          <w:sz w:val="20"/>
          <w:szCs w:val="20"/>
          <w:highlight w:val="green"/>
        </w:rPr>
        <w:t xml:space="preserve"> </w:t>
      </w:r>
      <w:r w:rsidR="00C87054" w:rsidRPr="001A418A">
        <w:rPr>
          <w:rFonts w:ascii="Arial" w:hAnsi="Arial" w:cs="Arial"/>
          <w:sz w:val="20"/>
          <w:szCs w:val="20"/>
          <w:highlight w:val="green"/>
        </w:rPr>
        <w:t xml:space="preserve">Zhang, J., Liu, K., He, X., Li, W., Zhang, M., &amp; Cai, Q. (2023). Evaluation of heavy metal contamination of soil and the health risks in four potato-producing areas. </w:t>
      </w:r>
      <w:r w:rsidR="00C87054" w:rsidRPr="001A418A">
        <w:rPr>
          <w:rFonts w:ascii="Arial" w:hAnsi="Arial" w:cs="Arial"/>
          <w:i/>
          <w:iCs/>
          <w:sz w:val="20"/>
          <w:szCs w:val="20"/>
          <w:highlight w:val="green"/>
          <w:lang w:val="fr-CA"/>
        </w:rPr>
        <w:t>Frontiers in Environmental Science</w:t>
      </w:r>
      <w:r w:rsidR="00C87054" w:rsidRPr="001A418A">
        <w:rPr>
          <w:rFonts w:ascii="Arial" w:hAnsi="Arial" w:cs="Arial"/>
          <w:sz w:val="20"/>
          <w:szCs w:val="20"/>
          <w:highlight w:val="green"/>
          <w:lang w:val="fr-CA"/>
        </w:rPr>
        <w:t xml:space="preserve">, </w:t>
      </w:r>
      <w:r w:rsidR="00C87054" w:rsidRPr="001A418A">
        <w:rPr>
          <w:rFonts w:ascii="Arial" w:hAnsi="Arial" w:cs="Arial"/>
          <w:i/>
          <w:iCs/>
          <w:sz w:val="20"/>
          <w:szCs w:val="20"/>
          <w:highlight w:val="green"/>
          <w:lang w:val="fr-CA"/>
        </w:rPr>
        <w:t>11</w:t>
      </w:r>
      <w:r w:rsidR="00C87054" w:rsidRPr="001A418A">
        <w:rPr>
          <w:rFonts w:ascii="Arial" w:hAnsi="Arial" w:cs="Arial"/>
          <w:sz w:val="20"/>
          <w:szCs w:val="20"/>
          <w:highlight w:val="green"/>
          <w:lang w:val="fr-CA"/>
        </w:rPr>
        <w:t xml:space="preserve">, 1071353. </w:t>
      </w:r>
    </w:p>
    <w:p w14:paraId="65FE81BC" w14:textId="6FBB5B64" w:rsidR="00C87054" w:rsidRPr="00C87054" w:rsidRDefault="00637F06" w:rsidP="00C87054">
      <w:pPr>
        <w:pStyle w:val="Bibliography"/>
        <w:spacing w:line="240" w:lineRule="auto"/>
        <w:ind w:hanging="12"/>
        <w:rPr>
          <w:rFonts w:ascii="Arial" w:hAnsi="Arial" w:cs="Arial"/>
          <w:sz w:val="20"/>
          <w:szCs w:val="20"/>
          <w:lang w:val="fr-CA"/>
        </w:rPr>
      </w:pPr>
      <w:r w:rsidRPr="00637F06">
        <w:rPr>
          <w:rFonts w:ascii="Arial" w:hAnsi="Arial" w:cs="Arial"/>
          <w:sz w:val="20"/>
          <w:szCs w:val="20"/>
          <w:highlight w:val="green"/>
          <w:lang w:val="fr-CA"/>
        </w:rPr>
        <w:t xml:space="preserve">Available : </w:t>
      </w:r>
      <w:r w:rsidR="00C87054" w:rsidRPr="001A418A">
        <w:rPr>
          <w:rFonts w:ascii="Arial" w:hAnsi="Arial" w:cs="Arial"/>
          <w:sz w:val="20"/>
          <w:szCs w:val="20"/>
          <w:highlight w:val="green"/>
          <w:lang w:val="fr-CA"/>
        </w:rPr>
        <w:t>https://doi.org/10.3389/fenvs.2023.1071353</w:t>
      </w:r>
    </w:p>
    <w:p w14:paraId="5E5A946A" w14:textId="492ECAE6" w:rsidR="00E94080" w:rsidRPr="000620C4" w:rsidRDefault="00500340" w:rsidP="005A6A25">
      <w:pPr>
        <w:pStyle w:val="Bibliography"/>
        <w:spacing w:line="240" w:lineRule="auto"/>
        <w:rPr>
          <w:rFonts w:ascii="Arial" w:hAnsi="Arial" w:cs="Arial"/>
          <w:sz w:val="20"/>
          <w:szCs w:val="20"/>
          <w:lang w:val="en-US"/>
        </w:rPr>
      </w:pPr>
      <w:r w:rsidRPr="00C87054">
        <w:rPr>
          <w:rFonts w:ascii="Arial" w:hAnsi="Arial" w:cs="Arial"/>
          <w:sz w:val="20"/>
          <w:szCs w:val="20"/>
          <w:lang w:val="fr-CA"/>
        </w:rPr>
        <w:t xml:space="preserve">Zhao, S., Zhong, L., Li, X., Qin, L., Zhou, Y., Lei, X., Zheng, X., Jin, K., Pu, Z., Hou, X., Song, J., Lang, T., Zhang, C., &amp; Feng, J. (2024). </w:t>
      </w:r>
      <w:r w:rsidRPr="000620C4">
        <w:rPr>
          <w:rFonts w:ascii="Arial" w:hAnsi="Arial" w:cs="Arial"/>
          <w:sz w:val="20"/>
          <w:szCs w:val="20"/>
          <w:lang w:val="en-US"/>
        </w:rPr>
        <w:t xml:space="preserve">Comparative </w:t>
      </w:r>
      <w:r w:rsidR="00C075A8" w:rsidRPr="000620C4">
        <w:rPr>
          <w:rFonts w:ascii="Arial" w:hAnsi="Arial" w:cs="Arial"/>
          <w:sz w:val="20"/>
          <w:szCs w:val="20"/>
          <w:lang w:val="en-US"/>
        </w:rPr>
        <w:t xml:space="preserve">analysis of nutrients, phytochemicals, and minerals in colored sweet potato </w:t>
      </w:r>
      <w:r w:rsidRPr="000620C4">
        <w:rPr>
          <w:rFonts w:ascii="Arial" w:hAnsi="Arial" w:cs="Arial"/>
          <w:sz w:val="20"/>
          <w:szCs w:val="20"/>
          <w:lang w:val="en-US"/>
        </w:rPr>
        <w:t>(</w:t>
      </w:r>
      <w:r w:rsidRPr="000620C4">
        <w:rPr>
          <w:rFonts w:ascii="Arial" w:hAnsi="Arial" w:cs="Arial"/>
          <w:i/>
          <w:iCs/>
          <w:sz w:val="20"/>
          <w:szCs w:val="20"/>
          <w:lang w:val="en-US"/>
        </w:rPr>
        <w:t>Ipomoea batatas L</w:t>
      </w:r>
      <w:r w:rsidRPr="000620C4">
        <w:rPr>
          <w:rFonts w:ascii="Arial" w:hAnsi="Arial" w:cs="Arial"/>
          <w:sz w:val="20"/>
          <w:szCs w:val="20"/>
          <w:lang w:val="en-US"/>
        </w:rPr>
        <w:t xml:space="preserve">.) Roots. </w:t>
      </w:r>
      <w:r w:rsidRPr="000620C4">
        <w:rPr>
          <w:rFonts w:ascii="Arial" w:hAnsi="Arial" w:cs="Arial"/>
          <w:i/>
          <w:iCs/>
          <w:sz w:val="20"/>
          <w:szCs w:val="20"/>
          <w:lang w:val="en-US"/>
        </w:rPr>
        <w:t>Foods</w:t>
      </w:r>
      <w:r w:rsidRPr="000620C4">
        <w:rPr>
          <w:rFonts w:ascii="Arial" w:hAnsi="Arial" w:cs="Arial"/>
          <w:sz w:val="20"/>
          <w:szCs w:val="20"/>
          <w:lang w:val="en-US"/>
        </w:rPr>
        <w:t xml:space="preserve">, </w:t>
      </w:r>
      <w:r w:rsidRPr="000620C4">
        <w:rPr>
          <w:rFonts w:ascii="Arial" w:hAnsi="Arial" w:cs="Arial"/>
          <w:i/>
          <w:iCs/>
          <w:sz w:val="20"/>
          <w:szCs w:val="20"/>
          <w:lang w:val="en-US"/>
        </w:rPr>
        <w:t>13</w:t>
      </w:r>
      <w:r w:rsidRPr="000620C4">
        <w:rPr>
          <w:rFonts w:ascii="Arial" w:hAnsi="Arial" w:cs="Arial"/>
          <w:sz w:val="20"/>
          <w:szCs w:val="20"/>
          <w:lang w:val="en-US"/>
        </w:rPr>
        <w:t>(22)</w:t>
      </w:r>
      <w:r w:rsidR="000B3323">
        <w:rPr>
          <w:rFonts w:ascii="Arial" w:hAnsi="Arial" w:cs="Arial"/>
          <w:sz w:val="20"/>
          <w:szCs w:val="20"/>
          <w:lang w:val="en-US"/>
        </w:rPr>
        <w:t>, 3636</w:t>
      </w:r>
      <w:r w:rsidRPr="000620C4">
        <w:rPr>
          <w:rFonts w:ascii="Arial" w:hAnsi="Arial" w:cs="Arial"/>
          <w:sz w:val="20"/>
          <w:szCs w:val="20"/>
          <w:lang w:val="en-US"/>
        </w:rPr>
        <w:t xml:space="preserve">. </w:t>
      </w:r>
    </w:p>
    <w:p w14:paraId="0849D327" w14:textId="268E85A7"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://doi.org/10.3390/foods13223636</w:t>
      </w:r>
    </w:p>
    <w:p w14:paraId="79970EE9" w14:textId="728B76CA" w:rsidR="0099087B" w:rsidRPr="000620C4" w:rsidRDefault="0099087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fldChar w:fldCharType="end"/>
      </w:r>
    </w:p>
    <w:sectPr w:rsidR="0099087B" w:rsidRPr="000620C4" w:rsidSect="00216F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443FF" w14:textId="77777777" w:rsidR="00212B49" w:rsidRDefault="00212B49" w:rsidP="00D07E1F">
      <w:pPr>
        <w:spacing w:line="240" w:lineRule="auto"/>
      </w:pPr>
      <w:r>
        <w:separator/>
      </w:r>
    </w:p>
  </w:endnote>
  <w:endnote w:type="continuationSeparator" w:id="0">
    <w:p w14:paraId="2441915A" w14:textId="77777777" w:rsidR="00212B49" w:rsidRDefault="00212B49" w:rsidP="00D07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C55F" w14:textId="77777777" w:rsidR="003F4722" w:rsidRDefault="003F4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8229" w14:textId="77777777" w:rsidR="003F4722" w:rsidRDefault="003F4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35B1" w14:textId="77777777" w:rsidR="003F4722" w:rsidRDefault="003F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EF97D" w14:textId="77777777" w:rsidR="00212B49" w:rsidRDefault="00212B49" w:rsidP="00D07E1F">
      <w:pPr>
        <w:spacing w:line="240" w:lineRule="auto"/>
      </w:pPr>
      <w:r>
        <w:separator/>
      </w:r>
    </w:p>
  </w:footnote>
  <w:footnote w:type="continuationSeparator" w:id="0">
    <w:p w14:paraId="23A83ED3" w14:textId="77777777" w:rsidR="00212B49" w:rsidRDefault="00212B49" w:rsidP="00D07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61A8" w14:textId="39AAE221" w:rsidR="003F4722" w:rsidRDefault="00212B49">
    <w:pPr>
      <w:pStyle w:val="Header"/>
    </w:pPr>
    <w:r>
      <w:rPr>
        <w:noProof/>
      </w:rPr>
      <w:pict w14:anchorId="3865E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7126"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C049" w14:textId="0B54BBF9" w:rsidR="003F4722" w:rsidRDefault="00212B49">
    <w:pPr>
      <w:pStyle w:val="Header"/>
    </w:pPr>
    <w:r>
      <w:rPr>
        <w:noProof/>
      </w:rPr>
      <w:pict w14:anchorId="47CFD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712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8292" w14:textId="3D1D3BFA" w:rsidR="003F4722" w:rsidRDefault="00212B49">
    <w:pPr>
      <w:pStyle w:val="Header"/>
    </w:pPr>
    <w:r>
      <w:rPr>
        <w:noProof/>
      </w:rPr>
      <w:pict w14:anchorId="7DDA5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7125"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A219E"/>
    <w:multiLevelType w:val="hybridMultilevel"/>
    <w:tmpl w:val="A1B08EF6"/>
    <w:lvl w:ilvl="0" w:tplc="DBA60E9A">
      <w:start w:val="1"/>
      <w:numFmt w:val="decimal"/>
      <w:pStyle w:val="Heading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D2064"/>
    <w:multiLevelType w:val="hybridMultilevel"/>
    <w:tmpl w:val="0234F7A0"/>
    <w:lvl w:ilvl="0" w:tplc="5F1C0C5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A198E"/>
    <w:multiLevelType w:val="hybridMultilevel"/>
    <w:tmpl w:val="21DA0222"/>
    <w:lvl w:ilvl="0" w:tplc="3CF87C0C">
      <w:start w:val="1"/>
      <w:numFmt w:val="decimal"/>
      <w:pStyle w:val="Heading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A2"/>
    <w:rsid w:val="000020A6"/>
    <w:rsid w:val="000063C4"/>
    <w:rsid w:val="00010337"/>
    <w:rsid w:val="000154D7"/>
    <w:rsid w:val="0002323D"/>
    <w:rsid w:val="00023686"/>
    <w:rsid w:val="00030110"/>
    <w:rsid w:val="00034D98"/>
    <w:rsid w:val="00043A60"/>
    <w:rsid w:val="00045F8A"/>
    <w:rsid w:val="00046E8B"/>
    <w:rsid w:val="000479EA"/>
    <w:rsid w:val="00056096"/>
    <w:rsid w:val="00056126"/>
    <w:rsid w:val="000620C4"/>
    <w:rsid w:val="00066ED7"/>
    <w:rsid w:val="000706B5"/>
    <w:rsid w:val="00072870"/>
    <w:rsid w:val="000738E2"/>
    <w:rsid w:val="00073FFA"/>
    <w:rsid w:val="00080CB0"/>
    <w:rsid w:val="00081CA4"/>
    <w:rsid w:val="00085D33"/>
    <w:rsid w:val="000A128D"/>
    <w:rsid w:val="000A2A99"/>
    <w:rsid w:val="000B3323"/>
    <w:rsid w:val="000B3B9C"/>
    <w:rsid w:val="000B50B5"/>
    <w:rsid w:val="000C02E2"/>
    <w:rsid w:val="000C1DBB"/>
    <w:rsid w:val="000C1FFA"/>
    <w:rsid w:val="000C2560"/>
    <w:rsid w:val="000D4059"/>
    <w:rsid w:val="000D49E5"/>
    <w:rsid w:val="000E05A0"/>
    <w:rsid w:val="000E08A9"/>
    <w:rsid w:val="000E0D7F"/>
    <w:rsid w:val="000E0D9A"/>
    <w:rsid w:val="000F297C"/>
    <w:rsid w:val="000F4124"/>
    <w:rsid w:val="000F5CB3"/>
    <w:rsid w:val="000F6FD0"/>
    <w:rsid w:val="001038A4"/>
    <w:rsid w:val="00106071"/>
    <w:rsid w:val="00106CDC"/>
    <w:rsid w:val="001074DB"/>
    <w:rsid w:val="00107C94"/>
    <w:rsid w:val="00111C23"/>
    <w:rsid w:val="00114D8D"/>
    <w:rsid w:val="00116D54"/>
    <w:rsid w:val="001201A3"/>
    <w:rsid w:val="00122D45"/>
    <w:rsid w:val="001245B7"/>
    <w:rsid w:val="00124B16"/>
    <w:rsid w:val="001308A0"/>
    <w:rsid w:val="0013111F"/>
    <w:rsid w:val="00135412"/>
    <w:rsid w:val="00136F60"/>
    <w:rsid w:val="001402F3"/>
    <w:rsid w:val="001422CB"/>
    <w:rsid w:val="00142BA0"/>
    <w:rsid w:val="00165EAC"/>
    <w:rsid w:val="00171493"/>
    <w:rsid w:val="00177067"/>
    <w:rsid w:val="00180AE3"/>
    <w:rsid w:val="0018194B"/>
    <w:rsid w:val="00183B8D"/>
    <w:rsid w:val="00183E17"/>
    <w:rsid w:val="00186379"/>
    <w:rsid w:val="001907F3"/>
    <w:rsid w:val="0019782C"/>
    <w:rsid w:val="001A1B9F"/>
    <w:rsid w:val="001B1A6F"/>
    <w:rsid w:val="001C0520"/>
    <w:rsid w:val="001C4824"/>
    <w:rsid w:val="001C547F"/>
    <w:rsid w:val="001C6A84"/>
    <w:rsid w:val="001C6ABF"/>
    <w:rsid w:val="001D2F38"/>
    <w:rsid w:val="001D42F9"/>
    <w:rsid w:val="001D7C55"/>
    <w:rsid w:val="001D7E4F"/>
    <w:rsid w:val="001E042D"/>
    <w:rsid w:val="001E06E7"/>
    <w:rsid w:val="001E392B"/>
    <w:rsid w:val="001E44B3"/>
    <w:rsid w:val="001E6AAA"/>
    <w:rsid w:val="00203DA3"/>
    <w:rsid w:val="002069C7"/>
    <w:rsid w:val="00212435"/>
    <w:rsid w:val="00212B49"/>
    <w:rsid w:val="00216F21"/>
    <w:rsid w:val="00217184"/>
    <w:rsid w:val="00217B48"/>
    <w:rsid w:val="00221EAA"/>
    <w:rsid w:val="0022232B"/>
    <w:rsid w:val="00223214"/>
    <w:rsid w:val="002313BB"/>
    <w:rsid w:val="002400CE"/>
    <w:rsid w:val="00242414"/>
    <w:rsid w:val="002550D8"/>
    <w:rsid w:val="00260B36"/>
    <w:rsid w:val="00267E11"/>
    <w:rsid w:val="00270F30"/>
    <w:rsid w:val="00271843"/>
    <w:rsid w:val="00277569"/>
    <w:rsid w:val="002819B2"/>
    <w:rsid w:val="00295C50"/>
    <w:rsid w:val="00296420"/>
    <w:rsid w:val="002A0D14"/>
    <w:rsid w:val="002A2459"/>
    <w:rsid w:val="002A2F2F"/>
    <w:rsid w:val="002A6C05"/>
    <w:rsid w:val="002B1F59"/>
    <w:rsid w:val="002B36BC"/>
    <w:rsid w:val="002B418C"/>
    <w:rsid w:val="002B554C"/>
    <w:rsid w:val="002B6C52"/>
    <w:rsid w:val="002C18D9"/>
    <w:rsid w:val="002C57AF"/>
    <w:rsid w:val="002D1B13"/>
    <w:rsid w:val="002D319B"/>
    <w:rsid w:val="002D3D30"/>
    <w:rsid w:val="002E0CF8"/>
    <w:rsid w:val="002E7D23"/>
    <w:rsid w:val="002E7FC2"/>
    <w:rsid w:val="002F01DA"/>
    <w:rsid w:val="002F4A6D"/>
    <w:rsid w:val="00302D11"/>
    <w:rsid w:val="0030409C"/>
    <w:rsid w:val="003129C6"/>
    <w:rsid w:val="00312E11"/>
    <w:rsid w:val="00316AA0"/>
    <w:rsid w:val="0031758D"/>
    <w:rsid w:val="00321DB2"/>
    <w:rsid w:val="00325F05"/>
    <w:rsid w:val="0033738F"/>
    <w:rsid w:val="00347FCB"/>
    <w:rsid w:val="003500A1"/>
    <w:rsid w:val="0035288D"/>
    <w:rsid w:val="00352D85"/>
    <w:rsid w:val="003542A8"/>
    <w:rsid w:val="003546CE"/>
    <w:rsid w:val="0035676C"/>
    <w:rsid w:val="0036028C"/>
    <w:rsid w:val="0036491F"/>
    <w:rsid w:val="00370CA3"/>
    <w:rsid w:val="00375023"/>
    <w:rsid w:val="00384B25"/>
    <w:rsid w:val="00393AA0"/>
    <w:rsid w:val="003A191B"/>
    <w:rsid w:val="003A5967"/>
    <w:rsid w:val="003C14E8"/>
    <w:rsid w:val="003C3FF4"/>
    <w:rsid w:val="003C42BE"/>
    <w:rsid w:val="003C4BE7"/>
    <w:rsid w:val="003D1BA3"/>
    <w:rsid w:val="003D3AE0"/>
    <w:rsid w:val="003D7AD0"/>
    <w:rsid w:val="003E3062"/>
    <w:rsid w:val="003F2E8E"/>
    <w:rsid w:val="003F3133"/>
    <w:rsid w:val="003F4722"/>
    <w:rsid w:val="003F560F"/>
    <w:rsid w:val="0040276B"/>
    <w:rsid w:val="00403B35"/>
    <w:rsid w:val="00404D20"/>
    <w:rsid w:val="00414E08"/>
    <w:rsid w:val="004163A8"/>
    <w:rsid w:val="00420A29"/>
    <w:rsid w:val="00421DE2"/>
    <w:rsid w:val="00422781"/>
    <w:rsid w:val="0042288C"/>
    <w:rsid w:val="00427AEB"/>
    <w:rsid w:val="00441196"/>
    <w:rsid w:val="00444158"/>
    <w:rsid w:val="00444DF9"/>
    <w:rsid w:val="00447137"/>
    <w:rsid w:val="00462A74"/>
    <w:rsid w:val="00467664"/>
    <w:rsid w:val="00470393"/>
    <w:rsid w:val="00470AC2"/>
    <w:rsid w:val="00472A02"/>
    <w:rsid w:val="00476B24"/>
    <w:rsid w:val="0048031D"/>
    <w:rsid w:val="00480E69"/>
    <w:rsid w:val="004850A3"/>
    <w:rsid w:val="00485BCF"/>
    <w:rsid w:val="00492042"/>
    <w:rsid w:val="004927EB"/>
    <w:rsid w:val="004A0F0C"/>
    <w:rsid w:val="004A1D20"/>
    <w:rsid w:val="004A2CB4"/>
    <w:rsid w:val="004A5783"/>
    <w:rsid w:val="004B1D4B"/>
    <w:rsid w:val="004B2974"/>
    <w:rsid w:val="004B3198"/>
    <w:rsid w:val="004B4862"/>
    <w:rsid w:val="004B713E"/>
    <w:rsid w:val="004C538C"/>
    <w:rsid w:val="004D139D"/>
    <w:rsid w:val="004D54F6"/>
    <w:rsid w:val="004D6F45"/>
    <w:rsid w:val="004E182E"/>
    <w:rsid w:val="004E1895"/>
    <w:rsid w:val="004E532C"/>
    <w:rsid w:val="00500340"/>
    <w:rsid w:val="00500E1D"/>
    <w:rsid w:val="00502CE2"/>
    <w:rsid w:val="0050483F"/>
    <w:rsid w:val="00506AC9"/>
    <w:rsid w:val="005107B2"/>
    <w:rsid w:val="005131C0"/>
    <w:rsid w:val="0051743D"/>
    <w:rsid w:val="005240E4"/>
    <w:rsid w:val="005259F0"/>
    <w:rsid w:val="0052732D"/>
    <w:rsid w:val="00527BD5"/>
    <w:rsid w:val="00530E3A"/>
    <w:rsid w:val="0053119C"/>
    <w:rsid w:val="0053295C"/>
    <w:rsid w:val="00532CF1"/>
    <w:rsid w:val="00536373"/>
    <w:rsid w:val="0053762A"/>
    <w:rsid w:val="00546155"/>
    <w:rsid w:val="00546326"/>
    <w:rsid w:val="00551D54"/>
    <w:rsid w:val="00554B8E"/>
    <w:rsid w:val="0055655F"/>
    <w:rsid w:val="00557183"/>
    <w:rsid w:val="005574E2"/>
    <w:rsid w:val="005603F5"/>
    <w:rsid w:val="005608B5"/>
    <w:rsid w:val="00563157"/>
    <w:rsid w:val="00563B88"/>
    <w:rsid w:val="00570699"/>
    <w:rsid w:val="005716D4"/>
    <w:rsid w:val="005717BF"/>
    <w:rsid w:val="005752AC"/>
    <w:rsid w:val="00577C42"/>
    <w:rsid w:val="00577CF6"/>
    <w:rsid w:val="00586F91"/>
    <w:rsid w:val="005870CB"/>
    <w:rsid w:val="005A068B"/>
    <w:rsid w:val="005A1E8D"/>
    <w:rsid w:val="005A6A25"/>
    <w:rsid w:val="005D0DD9"/>
    <w:rsid w:val="005D20F5"/>
    <w:rsid w:val="005D2670"/>
    <w:rsid w:val="005D4819"/>
    <w:rsid w:val="005D4D72"/>
    <w:rsid w:val="005D5CD9"/>
    <w:rsid w:val="005D7ABC"/>
    <w:rsid w:val="005D7FA8"/>
    <w:rsid w:val="005E2A66"/>
    <w:rsid w:val="005E4BB9"/>
    <w:rsid w:val="005E5886"/>
    <w:rsid w:val="005E6D55"/>
    <w:rsid w:val="005F64C4"/>
    <w:rsid w:val="00602606"/>
    <w:rsid w:val="00602C09"/>
    <w:rsid w:val="00602CD2"/>
    <w:rsid w:val="006111A9"/>
    <w:rsid w:val="00611F6F"/>
    <w:rsid w:val="00612A7E"/>
    <w:rsid w:val="00616295"/>
    <w:rsid w:val="006164F5"/>
    <w:rsid w:val="006213EE"/>
    <w:rsid w:val="006213F4"/>
    <w:rsid w:val="006320DA"/>
    <w:rsid w:val="00632349"/>
    <w:rsid w:val="0063243C"/>
    <w:rsid w:val="00632C01"/>
    <w:rsid w:val="0063674B"/>
    <w:rsid w:val="00637CDB"/>
    <w:rsid w:val="00637F06"/>
    <w:rsid w:val="00641D8C"/>
    <w:rsid w:val="0064317F"/>
    <w:rsid w:val="0066199C"/>
    <w:rsid w:val="00661A8E"/>
    <w:rsid w:val="006650A7"/>
    <w:rsid w:val="00672F97"/>
    <w:rsid w:val="006A1477"/>
    <w:rsid w:val="006A23BE"/>
    <w:rsid w:val="006A29A2"/>
    <w:rsid w:val="006A40AC"/>
    <w:rsid w:val="006A6E74"/>
    <w:rsid w:val="006A7501"/>
    <w:rsid w:val="006A78C3"/>
    <w:rsid w:val="006B1A1D"/>
    <w:rsid w:val="006B2CAB"/>
    <w:rsid w:val="006B2FA2"/>
    <w:rsid w:val="006B3798"/>
    <w:rsid w:val="006C6C6D"/>
    <w:rsid w:val="006C7068"/>
    <w:rsid w:val="006C7396"/>
    <w:rsid w:val="006C7406"/>
    <w:rsid w:val="006E4969"/>
    <w:rsid w:val="006F2744"/>
    <w:rsid w:val="006F368A"/>
    <w:rsid w:val="00702216"/>
    <w:rsid w:val="00702478"/>
    <w:rsid w:val="0070558A"/>
    <w:rsid w:val="00706008"/>
    <w:rsid w:val="00706981"/>
    <w:rsid w:val="007112BC"/>
    <w:rsid w:val="00711FFA"/>
    <w:rsid w:val="007120D2"/>
    <w:rsid w:val="0071565F"/>
    <w:rsid w:val="00716AE1"/>
    <w:rsid w:val="007272BF"/>
    <w:rsid w:val="00727CDB"/>
    <w:rsid w:val="00736F8E"/>
    <w:rsid w:val="00743DA3"/>
    <w:rsid w:val="007468AA"/>
    <w:rsid w:val="007533BE"/>
    <w:rsid w:val="0075745E"/>
    <w:rsid w:val="007631AB"/>
    <w:rsid w:val="0077230A"/>
    <w:rsid w:val="007743BD"/>
    <w:rsid w:val="00775AF9"/>
    <w:rsid w:val="00777D88"/>
    <w:rsid w:val="00782043"/>
    <w:rsid w:val="00782A79"/>
    <w:rsid w:val="0078329B"/>
    <w:rsid w:val="00784F37"/>
    <w:rsid w:val="00786F9E"/>
    <w:rsid w:val="0078765F"/>
    <w:rsid w:val="0079345A"/>
    <w:rsid w:val="00795F8F"/>
    <w:rsid w:val="0079753F"/>
    <w:rsid w:val="007A060E"/>
    <w:rsid w:val="007A241B"/>
    <w:rsid w:val="007A4608"/>
    <w:rsid w:val="007A72B4"/>
    <w:rsid w:val="007B1BED"/>
    <w:rsid w:val="007B3CDC"/>
    <w:rsid w:val="007B6564"/>
    <w:rsid w:val="007C0D41"/>
    <w:rsid w:val="007C1D4F"/>
    <w:rsid w:val="007D2654"/>
    <w:rsid w:val="007D2ED1"/>
    <w:rsid w:val="007D2F33"/>
    <w:rsid w:val="007D4717"/>
    <w:rsid w:val="007E0B2F"/>
    <w:rsid w:val="007E2092"/>
    <w:rsid w:val="007E5230"/>
    <w:rsid w:val="007F45D6"/>
    <w:rsid w:val="008001B6"/>
    <w:rsid w:val="008002D4"/>
    <w:rsid w:val="0080226A"/>
    <w:rsid w:val="008045E2"/>
    <w:rsid w:val="00804C04"/>
    <w:rsid w:val="00804F96"/>
    <w:rsid w:val="00805361"/>
    <w:rsid w:val="008144F1"/>
    <w:rsid w:val="00817C39"/>
    <w:rsid w:val="008216E6"/>
    <w:rsid w:val="00824D8F"/>
    <w:rsid w:val="008316E1"/>
    <w:rsid w:val="00831C53"/>
    <w:rsid w:val="0083306D"/>
    <w:rsid w:val="00841323"/>
    <w:rsid w:val="00842281"/>
    <w:rsid w:val="00863CD4"/>
    <w:rsid w:val="00870E69"/>
    <w:rsid w:val="0087333F"/>
    <w:rsid w:val="008751BC"/>
    <w:rsid w:val="008A0162"/>
    <w:rsid w:val="008A0F8D"/>
    <w:rsid w:val="008A6701"/>
    <w:rsid w:val="008C5969"/>
    <w:rsid w:val="008D0413"/>
    <w:rsid w:val="008D1EC6"/>
    <w:rsid w:val="008E1639"/>
    <w:rsid w:val="008E46B1"/>
    <w:rsid w:val="008E4A8F"/>
    <w:rsid w:val="008E4D32"/>
    <w:rsid w:val="008E5F72"/>
    <w:rsid w:val="008F2D4D"/>
    <w:rsid w:val="00904089"/>
    <w:rsid w:val="0091175B"/>
    <w:rsid w:val="009137CB"/>
    <w:rsid w:val="00916CC2"/>
    <w:rsid w:val="00917440"/>
    <w:rsid w:val="00921870"/>
    <w:rsid w:val="00921A58"/>
    <w:rsid w:val="00921F13"/>
    <w:rsid w:val="00923678"/>
    <w:rsid w:val="0092587D"/>
    <w:rsid w:val="00930772"/>
    <w:rsid w:val="0093197E"/>
    <w:rsid w:val="00933A17"/>
    <w:rsid w:val="0093571F"/>
    <w:rsid w:val="009365E7"/>
    <w:rsid w:val="00940158"/>
    <w:rsid w:val="0094018E"/>
    <w:rsid w:val="009431AA"/>
    <w:rsid w:val="009449E6"/>
    <w:rsid w:val="009525B2"/>
    <w:rsid w:val="00953268"/>
    <w:rsid w:val="009557CA"/>
    <w:rsid w:val="00955907"/>
    <w:rsid w:val="00960803"/>
    <w:rsid w:val="009673E9"/>
    <w:rsid w:val="009735A3"/>
    <w:rsid w:val="00973D57"/>
    <w:rsid w:val="00974DA6"/>
    <w:rsid w:val="009768B4"/>
    <w:rsid w:val="00983B2A"/>
    <w:rsid w:val="00983F33"/>
    <w:rsid w:val="00986C6D"/>
    <w:rsid w:val="0099087B"/>
    <w:rsid w:val="009919DC"/>
    <w:rsid w:val="0099308D"/>
    <w:rsid w:val="009960BB"/>
    <w:rsid w:val="009A29AE"/>
    <w:rsid w:val="009A3CE1"/>
    <w:rsid w:val="009B19A2"/>
    <w:rsid w:val="009B4C58"/>
    <w:rsid w:val="009B6672"/>
    <w:rsid w:val="009C0FBB"/>
    <w:rsid w:val="009C1685"/>
    <w:rsid w:val="009C38C8"/>
    <w:rsid w:val="009C4F2C"/>
    <w:rsid w:val="009C72EA"/>
    <w:rsid w:val="009D13CB"/>
    <w:rsid w:val="009E7B28"/>
    <w:rsid w:val="009F0DEE"/>
    <w:rsid w:val="00A04218"/>
    <w:rsid w:val="00A06C22"/>
    <w:rsid w:val="00A22D54"/>
    <w:rsid w:val="00A23EC8"/>
    <w:rsid w:val="00A37D89"/>
    <w:rsid w:val="00A446A1"/>
    <w:rsid w:val="00A44771"/>
    <w:rsid w:val="00A467E6"/>
    <w:rsid w:val="00A470FD"/>
    <w:rsid w:val="00A63D1F"/>
    <w:rsid w:val="00A71A05"/>
    <w:rsid w:val="00A7249B"/>
    <w:rsid w:val="00A818D4"/>
    <w:rsid w:val="00A83CFC"/>
    <w:rsid w:val="00A9299C"/>
    <w:rsid w:val="00AA12CD"/>
    <w:rsid w:val="00AA7D9A"/>
    <w:rsid w:val="00AA7F36"/>
    <w:rsid w:val="00AB0214"/>
    <w:rsid w:val="00AB05C6"/>
    <w:rsid w:val="00AB1EEB"/>
    <w:rsid w:val="00AB3770"/>
    <w:rsid w:val="00AB3975"/>
    <w:rsid w:val="00AC0600"/>
    <w:rsid w:val="00AC6C27"/>
    <w:rsid w:val="00AD02F9"/>
    <w:rsid w:val="00AD21CF"/>
    <w:rsid w:val="00AD2837"/>
    <w:rsid w:val="00AD61A2"/>
    <w:rsid w:val="00AE1101"/>
    <w:rsid w:val="00AE4EAB"/>
    <w:rsid w:val="00AE5E36"/>
    <w:rsid w:val="00AF04B1"/>
    <w:rsid w:val="00AF489E"/>
    <w:rsid w:val="00AF5767"/>
    <w:rsid w:val="00B040B5"/>
    <w:rsid w:val="00B109CD"/>
    <w:rsid w:val="00B137C2"/>
    <w:rsid w:val="00B166D0"/>
    <w:rsid w:val="00B24C25"/>
    <w:rsid w:val="00B2503E"/>
    <w:rsid w:val="00B25EB6"/>
    <w:rsid w:val="00B3026D"/>
    <w:rsid w:val="00B313BA"/>
    <w:rsid w:val="00B31AB5"/>
    <w:rsid w:val="00B37B52"/>
    <w:rsid w:val="00B37FF1"/>
    <w:rsid w:val="00B52313"/>
    <w:rsid w:val="00B64918"/>
    <w:rsid w:val="00B70803"/>
    <w:rsid w:val="00B73737"/>
    <w:rsid w:val="00B800EA"/>
    <w:rsid w:val="00B81BCC"/>
    <w:rsid w:val="00B84AA6"/>
    <w:rsid w:val="00B87BEB"/>
    <w:rsid w:val="00B92911"/>
    <w:rsid w:val="00B92A4B"/>
    <w:rsid w:val="00B94E8D"/>
    <w:rsid w:val="00B97D3A"/>
    <w:rsid w:val="00BA2224"/>
    <w:rsid w:val="00BA2B61"/>
    <w:rsid w:val="00BA3053"/>
    <w:rsid w:val="00BA3A80"/>
    <w:rsid w:val="00BA6329"/>
    <w:rsid w:val="00BA7059"/>
    <w:rsid w:val="00BB4455"/>
    <w:rsid w:val="00BB7D99"/>
    <w:rsid w:val="00BC0E14"/>
    <w:rsid w:val="00BC565F"/>
    <w:rsid w:val="00BC7C2F"/>
    <w:rsid w:val="00BD11CF"/>
    <w:rsid w:val="00BD733B"/>
    <w:rsid w:val="00BE2DD1"/>
    <w:rsid w:val="00BE4288"/>
    <w:rsid w:val="00BE681D"/>
    <w:rsid w:val="00BE74F1"/>
    <w:rsid w:val="00BF4F08"/>
    <w:rsid w:val="00C0031E"/>
    <w:rsid w:val="00C019AB"/>
    <w:rsid w:val="00C075A8"/>
    <w:rsid w:val="00C1128A"/>
    <w:rsid w:val="00C14733"/>
    <w:rsid w:val="00C23388"/>
    <w:rsid w:val="00C27556"/>
    <w:rsid w:val="00C34362"/>
    <w:rsid w:val="00C34DFB"/>
    <w:rsid w:val="00C35F44"/>
    <w:rsid w:val="00C42DA5"/>
    <w:rsid w:val="00C5064A"/>
    <w:rsid w:val="00C51558"/>
    <w:rsid w:val="00C60164"/>
    <w:rsid w:val="00C626CD"/>
    <w:rsid w:val="00C63F32"/>
    <w:rsid w:val="00C64BAF"/>
    <w:rsid w:val="00C656F8"/>
    <w:rsid w:val="00C65DA1"/>
    <w:rsid w:val="00C75085"/>
    <w:rsid w:val="00C75B4C"/>
    <w:rsid w:val="00C766E3"/>
    <w:rsid w:val="00C76A86"/>
    <w:rsid w:val="00C76C91"/>
    <w:rsid w:val="00C821CC"/>
    <w:rsid w:val="00C835F8"/>
    <w:rsid w:val="00C84E04"/>
    <w:rsid w:val="00C87054"/>
    <w:rsid w:val="00C8768D"/>
    <w:rsid w:val="00C87A67"/>
    <w:rsid w:val="00C87BB4"/>
    <w:rsid w:val="00C93F51"/>
    <w:rsid w:val="00C948D8"/>
    <w:rsid w:val="00CA0AB3"/>
    <w:rsid w:val="00CA51B9"/>
    <w:rsid w:val="00CA588D"/>
    <w:rsid w:val="00CA66F1"/>
    <w:rsid w:val="00CB2049"/>
    <w:rsid w:val="00CB3937"/>
    <w:rsid w:val="00CB56FD"/>
    <w:rsid w:val="00CC2177"/>
    <w:rsid w:val="00CC75E9"/>
    <w:rsid w:val="00CC7F5D"/>
    <w:rsid w:val="00CD03BC"/>
    <w:rsid w:val="00CD05E3"/>
    <w:rsid w:val="00CD382E"/>
    <w:rsid w:val="00CD7568"/>
    <w:rsid w:val="00CE1453"/>
    <w:rsid w:val="00CE3D23"/>
    <w:rsid w:val="00CE7628"/>
    <w:rsid w:val="00CF4689"/>
    <w:rsid w:val="00D045E3"/>
    <w:rsid w:val="00D06F52"/>
    <w:rsid w:val="00D07E1F"/>
    <w:rsid w:val="00D12E68"/>
    <w:rsid w:val="00D13245"/>
    <w:rsid w:val="00D14145"/>
    <w:rsid w:val="00D14A2C"/>
    <w:rsid w:val="00D2550A"/>
    <w:rsid w:val="00D269F9"/>
    <w:rsid w:val="00D26B39"/>
    <w:rsid w:val="00D336E8"/>
    <w:rsid w:val="00D3424C"/>
    <w:rsid w:val="00D34924"/>
    <w:rsid w:val="00D404D5"/>
    <w:rsid w:val="00D41643"/>
    <w:rsid w:val="00D54972"/>
    <w:rsid w:val="00D55721"/>
    <w:rsid w:val="00D564BB"/>
    <w:rsid w:val="00D56506"/>
    <w:rsid w:val="00D64DAA"/>
    <w:rsid w:val="00D71508"/>
    <w:rsid w:val="00D71CA2"/>
    <w:rsid w:val="00D73A7C"/>
    <w:rsid w:val="00D83AF3"/>
    <w:rsid w:val="00D86E64"/>
    <w:rsid w:val="00D90EB5"/>
    <w:rsid w:val="00D912A6"/>
    <w:rsid w:val="00D91EDC"/>
    <w:rsid w:val="00D94182"/>
    <w:rsid w:val="00D949FA"/>
    <w:rsid w:val="00DA3141"/>
    <w:rsid w:val="00DA5BC1"/>
    <w:rsid w:val="00DA6CB7"/>
    <w:rsid w:val="00DB1619"/>
    <w:rsid w:val="00DB33CA"/>
    <w:rsid w:val="00DC102B"/>
    <w:rsid w:val="00DC6EF7"/>
    <w:rsid w:val="00DC70BE"/>
    <w:rsid w:val="00DC7628"/>
    <w:rsid w:val="00DC76F9"/>
    <w:rsid w:val="00DD1578"/>
    <w:rsid w:val="00DD57FB"/>
    <w:rsid w:val="00DE2A71"/>
    <w:rsid w:val="00DE5BF5"/>
    <w:rsid w:val="00DF18B5"/>
    <w:rsid w:val="00DF4A66"/>
    <w:rsid w:val="00E02F9A"/>
    <w:rsid w:val="00E043C9"/>
    <w:rsid w:val="00E04616"/>
    <w:rsid w:val="00E13F5B"/>
    <w:rsid w:val="00E17083"/>
    <w:rsid w:val="00E346A8"/>
    <w:rsid w:val="00E36238"/>
    <w:rsid w:val="00E40993"/>
    <w:rsid w:val="00E40F44"/>
    <w:rsid w:val="00E43201"/>
    <w:rsid w:val="00E5048A"/>
    <w:rsid w:val="00E51C4D"/>
    <w:rsid w:val="00E546A4"/>
    <w:rsid w:val="00E57320"/>
    <w:rsid w:val="00E60205"/>
    <w:rsid w:val="00E6178D"/>
    <w:rsid w:val="00E623AD"/>
    <w:rsid w:val="00E62E4E"/>
    <w:rsid w:val="00E64500"/>
    <w:rsid w:val="00E66713"/>
    <w:rsid w:val="00E727EE"/>
    <w:rsid w:val="00E74603"/>
    <w:rsid w:val="00E76FBA"/>
    <w:rsid w:val="00E81E90"/>
    <w:rsid w:val="00E84395"/>
    <w:rsid w:val="00E93068"/>
    <w:rsid w:val="00E94080"/>
    <w:rsid w:val="00E94DB1"/>
    <w:rsid w:val="00E96D25"/>
    <w:rsid w:val="00EA67F6"/>
    <w:rsid w:val="00EA6A73"/>
    <w:rsid w:val="00EC0C9E"/>
    <w:rsid w:val="00EC1083"/>
    <w:rsid w:val="00EC1F70"/>
    <w:rsid w:val="00EC61C3"/>
    <w:rsid w:val="00EC636A"/>
    <w:rsid w:val="00EC646C"/>
    <w:rsid w:val="00ED203F"/>
    <w:rsid w:val="00EE0BD7"/>
    <w:rsid w:val="00EE3537"/>
    <w:rsid w:val="00EE3913"/>
    <w:rsid w:val="00EE5FF3"/>
    <w:rsid w:val="00F10ED9"/>
    <w:rsid w:val="00F14819"/>
    <w:rsid w:val="00F15FD9"/>
    <w:rsid w:val="00F17D9E"/>
    <w:rsid w:val="00F23BF4"/>
    <w:rsid w:val="00F2479D"/>
    <w:rsid w:val="00F260D0"/>
    <w:rsid w:val="00F267F1"/>
    <w:rsid w:val="00F26A63"/>
    <w:rsid w:val="00F321EE"/>
    <w:rsid w:val="00F34110"/>
    <w:rsid w:val="00F34272"/>
    <w:rsid w:val="00F37FE7"/>
    <w:rsid w:val="00F43CDF"/>
    <w:rsid w:val="00F45AC5"/>
    <w:rsid w:val="00F45EE0"/>
    <w:rsid w:val="00F50D31"/>
    <w:rsid w:val="00F51444"/>
    <w:rsid w:val="00F52115"/>
    <w:rsid w:val="00F5282F"/>
    <w:rsid w:val="00F52A09"/>
    <w:rsid w:val="00F57824"/>
    <w:rsid w:val="00F629F4"/>
    <w:rsid w:val="00F636ED"/>
    <w:rsid w:val="00F66B08"/>
    <w:rsid w:val="00F705FD"/>
    <w:rsid w:val="00F7205D"/>
    <w:rsid w:val="00F80AC3"/>
    <w:rsid w:val="00F8493E"/>
    <w:rsid w:val="00F91CC0"/>
    <w:rsid w:val="00F92486"/>
    <w:rsid w:val="00FB260F"/>
    <w:rsid w:val="00FB301F"/>
    <w:rsid w:val="00FB43F9"/>
    <w:rsid w:val="00FE1609"/>
    <w:rsid w:val="00FE18E0"/>
    <w:rsid w:val="00FE3694"/>
    <w:rsid w:val="00FE4D01"/>
    <w:rsid w:val="00FE7B8A"/>
    <w:rsid w:val="00FF000B"/>
    <w:rsid w:val="00FF78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0B31E4"/>
  <w15:chartTrackingRefBased/>
  <w15:docId w15:val="{BDF1D7D5-6FA5-4855-8BEB-7EA5EFA2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BD7"/>
    <w:rPr>
      <w:rFonts w:ascii="Times New Roman" w:hAnsi="Times New Roman"/>
      <w:sz w:val="24"/>
      <w:lang w:val="fr-FR"/>
    </w:rPr>
  </w:style>
  <w:style w:type="paragraph" w:styleId="Heading1">
    <w:name w:val="heading 1"/>
    <w:basedOn w:val="Normal"/>
    <w:next w:val="Normal"/>
    <w:link w:val="Heading1Char"/>
    <w:autoRedefine/>
    <w:uiPriority w:val="9"/>
    <w:qFormat/>
    <w:rsid w:val="00C948D8"/>
    <w:pPr>
      <w:keepNext/>
      <w:keepLines/>
      <w:numPr>
        <w:numId w:val="1"/>
      </w:numPr>
      <w:spacing w:before="120" w:after="120" w:line="240" w:lineRule="auto"/>
      <w:ind w:left="340" w:hanging="340"/>
      <w:outlineLvl w:val="0"/>
    </w:pPr>
    <w:rPr>
      <w:rFonts w:ascii="Arial" w:eastAsia="Times New Roman" w:hAnsi="Arial" w:cstheme="majorBidi"/>
      <w:b/>
      <w:caps/>
      <w:color w:val="000000" w:themeColor="text1"/>
      <w:sz w:val="22"/>
      <w:szCs w:val="40"/>
      <w:lang w:val="en-US"/>
    </w:rPr>
  </w:style>
  <w:style w:type="paragraph" w:styleId="Heading2">
    <w:name w:val="heading 2"/>
    <w:basedOn w:val="Normal"/>
    <w:next w:val="Normal"/>
    <w:link w:val="Heading2Char"/>
    <w:autoRedefine/>
    <w:uiPriority w:val="9"/>
    <w:unhideWhenUsed/>
    <w:qFormat/>
    <w:rsid w:val="00F92486"/>
    <w:pPr>
      <w:keepNext/>
      <w:keepLines/>
      <w:numPr>
        <w:numId w:val="2"/>
      </w:numPr>
      <w:spacing w:before="240" w:after="240" w:line="240" w:lineRule="auto"/>
      <w:ind w:left="357" w:hanging="357"/>
      <w:outlineLvl w:val="1"/>
    </w:pPr>
    <w:rPr>
      <w:rFonts w:ascii="Arial" w:eastAsiaTheme="majorEastAsia" w:hAnsi="Arial" w:cs="Arial"/>
      <w:b/>
      <w:bCs/>
      <w:color w:val="000000" w:themeColor="text1"/>
      <w:sz w:val="20"/>
      <w:szCs w:val="20"/>
      <w:lang w:val="en-US"/>
    </w:rPr>
  </w:style>
  <w:style w:type="paragraph" w:styleId="Heading3">
    <w:name w:val="heading 3"/>
    <w:basedOn w:val="Normal"/>
    <w:next w:val="Normal"/>
    <w:link w:val="Heading3Char"/>
    <w:autoRedefine/>
    <w:uiPriority w:val="9"/>
    <w:unhideWhenUsed/>
    <w:qFormat/>
    <w:rsid w:val="00F92486"/>
    <w:pPr>
      <w:keepNext/>
      <w:keepLines/>
      <w:numPr>
        <w:numId w:val="4"/>
      </w:numPr>
      <w:spacing w:before="240" w:after="240" w:line="240" w:lineRule="auto"/>
      <w:ind w:left="357" w:hanging="357"/>
      <w:outlineLvl w:val="2"/>
    </w:pPr>
    <w:rPr>
      <w:rFonts w:ascii="Arial" w:eastAsiaTheme="majorEastAsia" w:hAnsi="Arial" w:cstheme="majorBidi"/>
      <w:b/>
      <w:color w:val="000000" w:themeColor="text1"/>
      <w:sz w:val="20"/>
      <w:szCs w:val="28"/>
    </w:rPr>
  </w:style>
  <w:style w:type="paragraph" w:styleId="Heading4">
    <w:name w:val="heading 4"/>
    <w:basedOn w:val="Normal"/>
    <w:next w:val="Normal"/>
    <w:link w:val="Heading4Char"/>
    <w:uiPriority w:val="9"/>
    <w:semiHidden/>
    <w:unhideWhenUsed/>
    <w:qFormat/>
    <w:rsid w:val="009B19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19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19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19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19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19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D8"/>
    <w:rPr>
      <w:rFonts w:ascii="Arial" w:eastAsia="Times New Roman" w:hAnsi="Arial" w:cstheme="majorBidi"/>
      <w:b/>
      <w:caps/>
      <w:color w:val="000000" w:themeColor="text1"/>
      <w:szCs w:val="40"/>
      <w:lang w:val="en-US"/>
    </w:rPr>
  </w:style>
  <w:style w:type="character" w:customStyle="1" w:styleId="Heading2Char">
    <w:name w:val="Heading 2 Char"/>
    <w:basedOn w:val="DefaultParagraphFont"/>
    <w:link w:val="Heading2"/>
    <w:uiPriority w:val="9"/>
    <w:rsid w:val="00F92486"/>
    <w:rPr>
      <w:rFonts w:ascii="Arial" w:eastAsiaTheme="majorEastAsia" w:hAnsi="Arial" w:cs="Arial"/>
      <w:b/>
      <w:bCs/>
      <w:color w:val="000000" w:themeColor="text1"/>
      <w:sz w:val="20"/>
      <w:szCs w:val="20"/>
      <w:lang w:val="en-US"/>
    </w:rPr>
  </w:style>
  <w:style w:type="character" w:customStyle="1" w:styleId="Heading3Char">
    <w:name w:val="Heading 3 Char"/>
    <w:basedOn w:val="DefaultParagraphFont"/>
    <w:link w:val="Heading3"/>
    <w:uiPriority w:val="9"/>
    <w:rsid w:val="00F92486"/>
    <w:rPr>
      <w:rFonts w:ascii="Arial" w:eastAsiaTheme="majorEastAsia" w:hAnsi="Arial" w:cstheme="majorBidi"/>
      <w:b/>
      <w:color w:val="000000" w:themeColor="text1"/>
      <w:sz w:val="20"/>
      <w:szCs w:val="28"/>
      <w:lang w:val="fr-FR"/>
    </w:rPr>
  </w:style>
  <w:style w:type="character" w:customStyle="1" w:styleId="Heading4Char">
    <w:name w:val="Heading 4 Char"/>
    <w:basedOn w:val="DefaultParagraphFont"/>
    <w:link w:val="Heading4"/>
    <w:uiPriority w:val="9"/>
    <w:semiHidden/>
    <w:rsid w:val="009B19A2"/>
    <w:rPr>
      <w:rFonts w:eastAsiaTheme="majorEastAsia" w:cstheme="majorBidi"/>
      <w:i/>
      <w:iCs/>
      <w:color w:val="0F4761" w:themeColor="accent1" w:themeShade="BF"/>
      <w:sz w:val="24"/>
      <w:lang w:val="fr-FR"/>
    </w:rPr>
  </w:style>
  <w:style w:type="character" w:customStyle="1" w:styleId="Heading5Char">
    <w:name w:val="Heading 5 Char"/>
    <w:basedOn w:val="DefaultParagraphFont"/>
    <w:link w:val="Heading5"/>
    <w:uiPriority w:val="9"/>
    <w:semiHidden/>
    <w:rsid w:val="009B19A2"/>
    <w:rPr>
      <w:rFonts w:eastAsiaTheme="majorEastAsia" w:cstheme="majorBidi"/>
      <w:color w:val="0F4761" w:themeColor="accent1" w:themeShade="BF"/>
      <w:sz w:val="24"/>
      <w:lang w:val="fr-FR"/>
    </w:rPr>
  </w:style>
  <w:style w:type="character" w:customStyle="1" w:styleId="Heading6Char">
    <w:name w:val="Heading 6 Char"/>
    <w:basedOn w:val="DefaultParagraphFont"/>
    <w:link w:val="Heading6"/>
    <w:uiPriority w:val="9"/>
    <w:semiHidden/>
    <w:rsid w:val="009B19A2"/>
    <w:rPr>
      <w:rFonts w:eastAsiaTheme="majorEastAsia" w:cstheme="majorBidi"/>
      <w:i/>
      <w:iCs/>
      <w:color w:val="595959" w:themeColor="text1" w:themeTint="A6"/>
      <w:sz w:val="24"/>
      <w:lang w:val="fr-FR"/>
    </w:rPr>
  </w:style>
  <w:style w:type="character" w:customStyle="1" w:styleId="Heading7Char">
    <w:name w:val="Heading 7 Char"/>
    <w:basedOn w:val="DefaultParagraphFont"/>
    <w:link w:val="Heading7"/>
    <w:uiPriority w:val="9"/>
    <w:semiHidden/>
    <w:rsid w:val="009B19A2"/>
    <w:rPr>
      <w:rFonts w:eastAsiaTheme="majorEastAsia" w:cstheme="majorBidi"/>
      <w:color w:val="595959" w:themeColor="text1" w:themeTint="A6"/>
      <w:sz w:val="24"/>
      <w:lang w:val="fr-FR"/>
    </w:rPr>
  </w:style>
  <w:style w:type="character" w:customStyle="1" w:styleId="Heading8Char">
    <w:name w:val="Heading 8 Char"/>
    <w:basedOn w:val="DefaultParagraphFont"/>
    <w:link w:val="Heading8"/>
    <w:uiPriority w:val="9"/>
    <w:semiHidden/>
    <w:rsid w:val="009B19A2"/>
    <w:rPr>
      <w:rFonts w:eastAsiaTheme="majorEastAsia" w:cstheme="majorBidi"/>
      <w:i/>
      <w:iCs/>
      <w:color w:val="272727" w:themeColor="text1" w:themeTint="D8"/>
      <w:sz w:val="24"/>
      <w:lang w:val="fr-FR"/>
    </w:rPr>
  </w:style>
  <w:style w:type="character" w:customStyle="1" w:styleId="Heading9Char">
    <w:name w:val="Heading 9 Char"/>
    <w:basedOn w:val="DefaultParagraphFont"/>
    <w:link w:val="Heading9"/>
    <w:uiPriority w:val="9"/>
    <w:semiHidden/>
    <w:rsid w:val="009B19A2"/>
    <w:rPr>
      <w:rFonts w:eastAsiaTheme="majorEastAsia" w:cstheme="majorBidi"/>
      <w:color w:val="272727" w:themeColor="text1" w:themeTint="D8"/>
      <w:sz w:val="24"/>
      <w:lang w:val="fr-FR"/>
    </w:rPr>
  </w:style>
  <w:style w:type="paragraph" w:styleId="Title">
    <w:name w:val="Title"/>
    <w:basedOn w:val="Normal"/>
    <w:next w:val="Normal"/>
    <w:link w:val="TitleChar"/>
    <w:uiPriority w:val="10"/>
    <w:qFormat/>
    <w:rsid w:val="009B1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9A2"/>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9B19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9A2"/>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9B19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19A2"/>
    <w:rPr>
      <w:rFonts w:ascii="Times New Roman" w:hAnsi="Times New Roman"/>
      <w:i/>
      <w:iCs/>
      <w:color w:val="404040" w:themeColor="text1" w:themeTint="BF"/>
      <w:sz w:val="24"/>
      <w:lang w:val="fr-FR"/>
    </w:rPr>
  </w:style>
  <w:style w:type="paragraph" w:styleId="ListParagraph">
    <w:name w:val="List Paragraph"/>
    <w:basedOn w:val="Normal"/>
    <w:uiPriority w:val="34"/>
    <w:qFormat/>
    <w:rsid w:val="009B19A2"/>
    <w:pPr>
      <w:ind w:left="720"/>
      <w:contextualSpacing/>
    </w:pPr>
  </w:style>
  <w:style w:type="character" w:styleId="IntenseEmphasis">
    <w:name w:val="Intense Emphasis"/>
    <w:basedOn w:val="DefaultParagraphFont"/>
    <w:uiPriority w:val="21"/>
    <w:qFormat/>
    <w:rsid w:val="009B19A2"/>
    <w:rPr>
      <w:i/>
      <w:iCs/>
      <w:color w:val="0F4761" w:themeColor="accent1" w:themeShade="BF"/>
    </w:rPr>
  </w:style>
  <w:style w:type="paragraph" w:styleId="IntenseQuote">
    <w:name w:val="Intense Quote"/>
    <w:basedOn w:val="Normal"/>
    <w:next w:val="Normal"/>
    <w:link w:val="IntenseQuoteChar"/>
    <w:uiPriority w:val="30"/>
    <w:qFormat/>
    <w:rsid w:val="009B1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9A2"/>
    <w:rPr>
      <w:rFonts w:ascii="Times New Roman" w:hAnsi="Times New Roman"/>
      <w:i/>
      <w:iCs/>
      <w:color w:val="0F4761" w:themeColor="accent1" w:themeShade="BF"/>
      <w:sz w:val="24"/>
      <w:lang w:val="fr-FR"/>
    </w:rPr>
  </w:style>
  <w:style w:type="character" w:styleId="IntenseReference">
    <w:name w:val="Intense Reference"/>
    <w:basedOn w:val="DefaultParagraphFont"/>
    <w:uiPriority w:val="32"/>
    <w:qFormat/>
    <w:rsid w:val="009B19A2"/>
    <w:rPr>
      <w:b/>
      <w:bCs/>
      <w:smallCaps/>
      <w:color w:val="0F4761" w:themeColor="accent1" w:themeShade="BF"/>
      <w:spacing w:val="5"/>
    </w:rPr>
  </w:style>
  <w:style w:type="table" w:styleId="TableGrid">
    <w:name w:val="Table Grid"/>
    <w:basedOn w:val="TableNormal"/>
    <w:uiPriority w:val="39"/>
    <w:rsid w:val="00BF4F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04F96"/>
    <w:pPr>
      <w:spacing w:line="480" w:lineRule="auto"/>
      <w:ind w:left="720" w:hanging="720"/>
    </w:pPr>
    <w:rPr>
      <w:lang w:val="en"/>
    </w:rPr>
  </w:style>
  <w:style w:type="character" w:styleId="Hyperlink">
    <w:name w:val="Hyperlink"/>
    <w:basedOn w:val="DefaultParagraphFont"/>
    <w:uiPriority w:val="99"/>
    <w:unhideWhenUsed/>
    <w:rsid w:val="0063243C"/>
    <w:rPr>
      <w:color w:val="467886" w:themeColor="hyperlink"/>
      <w:u w:val="single"/>
    </w:rPr>
  </w:style>
  <w:style w:type="character" w:styleId="UnresolvedMention">
    <w:name w:val="Unresolved Mention"/>
    <w:basedOn w:val="DefaultParagraphFont"/>
    <w:uiPriority w:val="99"/>
    <w:semiHidden/>
    <w:unhideWhenUsed/>
    <w:rsid w:val="0063243C"/>
    <w:rPr>
      <w:color w:val="605E5C"/>
      <w:shd w:val="clear" w:color="auto" w:fill="E1DFDD"/>
    </w:rPr>
  </w:style>
  <w:style w:type="character" w:styleId="FollowedHyperlink">
    <w:name w:val="FollowedHyperlink"/>
    <w:basedOn w:val="DefaultParagraphFont"/>
    <w:uiPriority w:val="99"/>
    <w:semiHidden/>
    <w:unhideWhenUsed/>
    <w:rsid w:val="00923678"/>
    <w:rPr>
      <w:color w:val="96607D" w:themeColor="followedHyperlink"/>
      <w:u w:val="single"/>
    </w:rPr>
  </w:style>
  <w:style w:type="paragraph" w:styleId="FootnoteText">
    <w:name w:val="footnote text"/>
    <w:basedOn w:val="Normal"/>
    <w:link w:val="FootnoteTextChar"/>
    <w:uiPriority w:val="99"/>
    <w:semiHidden/>
    <w:unhideWhenUsed/>
    <w:rsid w:val="00D07E1F"/>
    <w:pPr>
      <w:spacing w:line="240" w:lineRule="auto"/>
    </w:pPr>
    <w:rPr>
      <w:sz w:val="20"/>
      <w:szCs w:val="20"/>
    </w:rPr>
  </w:style>
  <w:style w:type="character" w:customStyle="1" w:styleId="FootnoteTextChar">
    <w:name w:val="Footnote Text Char"/>
    <w:basedOn w:val="DefaultParagraphFont"/>
    <w:link w:val="FootnoteText"/>
    <w:uiPriority w:val="99"/>
    <w:semiHidden/>
    <w:rsid w:val="00D07E1F"/>
    <w:rPr>
      <w:rFonts w:ascii="Times New Roman" w:hAnsi="Times New Roman"/>
      <w:sz w:val="20"/>
      <w:szCs w:val="20"/>
      <w:lang w:val="fr-FR"/>
    </w:rPr>
  </w:style>
  <w:style w:type="character" w:styleId="FootnoteReference">
    <w:name w:val="footnote reference"/>
    <w:basedOn w:val="DefaultParagraphFont"/>
    <w:uiPriority w:val="99"/>
    <w:semiHidden/>
    <w:unhideWhenUsed/>
    <w:rsid w:val="00D07E1F"/>
    <w:rPr>
      <w:vertAlign w:val="superscript"/>
    </w:rPr>
  </w:style>
  <w:style w:type="character" w:styleId="EndnoteReference">
    <w:name w:val="endnote reference"/>
    <w:basedOn w:val="DefaultParagraphFont"/>
    <w:uiPriority w:val="99"/>
    <w:semiHidden/>
    <w:unhideWhenUsed/>
    <w:rsid w:val="007F45D6"/>
    <w:rPr>
      <w:vertAlign w:val="superscript"/>
    </w:rPr>
  </w:style>
  <w:style w:type="paragraph" w:styleId="Header">
    <w:name w:val="header"/>
    <w:basedOn w:val="Normal"/>
    <w:link w:val="HeaderChar"/>
    <w:uiPriority w:val="99"/>
    <w:unhideWhenUsed/>
    <w:rsid w:val="003F4722"/>
    <w:pPr>
      <w:tabs>
        <w:tab w:val="center" w:pos="4680"/>
        <w:tab w:val="right" w:pos="9360"/>
      </w:tabs>
      <w:spacing w:line="240" w:lineRule="auto"/>
    </w:pPr>
  </w:style>
  <w:style w:type="character" w:customStyle="1" w:styleId="HeaderChar">
    <w:name w:val="Header Char"/>
    <w:basedOn w:val="DefaultParagraphFont"/>
    <w:link w:val="Header"/>
    <w:uiPriority w:val="99"/>
    <w:rsid w:val="003F4722"/>
    <w:rPr>
      <w:rFonts w:ascii="Times New Roman" w:hAnsi="Times New Roman"/>
      <w:sz w:val="24"/>
      <w:lang w:val="fr-FR"/>
    </w:rPr>
  </w:style>
  <w:style w:type="paragraph" w:styleId="Footer">
    <w:name w:val="footer"/>
    <w:basedOn w:val="Normal"/>
    <w:link w:val="FooterChar"/>
    <w:uiPriority w:val="99"/>
    <w:unhideWhenUsed/>
    <w:rsid w:val="003F4722"/>
    <w:pPr>
      <w:tabs>
        <w:tab w:val="center" w:pos="4680"/>
        <w:tab w:val="right" w:pos="9360"/>
      </w:tabs>
      <w:spacing w:line="240" w:lineRule="auto"/>
    </w:pPr>
  </w:style>
  <w:style w:type="character" w:customStyle="1" w:styleId="FooterChar">
    <w:name w:val="Footer Char"/>
    <w:basedOn w:val="DefaultParagraphFont"/>
    <w:link w:val="Footer"/>
    <w:uiPriority w:val="99"/>
    <w:rsid w:val="003F4722"/>
    <w:rPr>
      <w:rFonts w:ascii="Times New Roman" w:hAnsi="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79099">
      <w:bodyDiv w:val="1"/>
      <w:marLeft w:val="0"/>
      <w:marRight w:val="0"/>
      <w:marTop w:val="0"/>
      <w:marBottom w:val="0"/>
      <w:divBdr>
        <w:top w:val="none" w:sz="0" w:space="0" w:color="auto"/>
        <w:left w:val="none" w:sz="0" w:space="0" w:color="auto"/>
        <w:bottom w:val="none" w:sz="0" w:space="0" w:color="auto"/>
        <w:right w:val="none" w:sz="0" w:space="0" w:color="auto"/>
      </w:divBdr>
    </w:div>
    <w:div w:id="993683735">
      <w:bodyDiv w:val="1"/>
      <w:marLeft w:val="0"/>
      <w:marRight w:val="0"/>
      <w:marTop w:val="0"/>
      <w:marBottom w:val="0"/>
      <w:divBdr>
        <w:top w:val="none" w:sz="0" w:space="0" w:color="auto"/>
        <w:left w:val="none" w:sz="0" w:space="0" w:color="auto"/>
        <w:bottom w:val="none" w:sz="0" w:space="0" w:color="auto"/>
        <w:right w:val="none" w:sz="0" w:space="0" w:color="auto"/>
      </w:divBdr>
    </w:div>
    <w:div w:id="1256861946">
      <w:bodyDiv w:val="1"/>
      <w:marLeft w:val="0"/>
      <w:marRight w:val="0"/>
      <w:marTop w:val="0"/>
      <w:marBottom w:val="0"/>
      <w:divBdr>
        <w:top w:val="none" w:sz="0" w:space="0" w:color="auto"/>
        <w:left w:val="none" w:sz="0" w:space="0" w:color="auto"/>
        <w:bottom w:val="none" w:sz="0" w:space="0" w:color="auto"/>
        <w:right w:val="none" w:sz="0" w:space="0" w:color="auto"/>
      </w:divBdr>
    </w:div>
    <w:div w:id="1411390742">
      <w:bodyDiv w:val="1"/>
      <w:marLeft w:val="0"/>
      <w:marRight w:val="0"/>
      <w:marTop w:val="0"/>
      <w:marBottom w:val="0"/>
      <w:divBdr>
        <w:top w:val="none" w:sz="0" w:space="0" w:color="auto"/>
        <w:left w:val="none" w:sz="0" w:space="0" w:color="auto"/>
        <w:bottom w:val="none" w:sz="0" w:space="0" w:color="auto"/>
        <w:right w:val="none" w:sz="0" w:space="0" w:color="auto"/>
      </w:divBdr>
    </w:div>
    <w:div w:id="1520385191">
      <w:bodyDiv w:val="1"/>
      <w:marLeft w:val="0"/>
      <w:marRight w:val="0"/>
      <w:marTop w:val="0"/>
      <w:marBottom w:val="0"/>
      <w:divBdr>
        <w:top w:val="none" w:sz="0" w:space="0" w:color="auto"/>
        <w:left w:val="none" w:sz="0" w:space="0" w:color="auto"/>
        <w:bottom w:val="none" w:sz="0" w:space="0" w:color="auto"/>
        <w:right w:val="none" w:sz="0" w:space="0" w:color="auto"/>
      </w:divBdr>
    </w:div>
    <w:div w:id="1697273736">
      <w:bodyDiv w:val="1"/>
      <w:marLeft w:val="0"/>
      <w:marRight w:val="0"/>
      <w:marTop w:val="0"/>
      <w:marBottom w:val="0"/>
      <w:divBdr>
        <w:top w:val="none" w:sz="0" w:space="0" w:color="auto"/>
        <w:left w:val="none" w:sz="0" w:space="0" w:color="auto"/>
        <w:bottom w:val="none" w:sz="0" w:space="0" w:color="auto"/>
        <w:right w:val="none" w:sz="0" w:space="0" w:color="auto"/>
      </w:divBdr>
    </w:div>
    <w:div w:id="1914460670">
      <w:bodyDiv w:val="1"/>
      <w:marLeft w:val="0"/>
      <w:marRight w:val="0"/>
      <w:marTop w:val="0"/>
      <w:marBottom w:val="0"/>
      <w:divBdr>
        <w:top w:val="none" w:sz="0" w:space="0" w:color="auto"/>
        <w:left w:val="none" w:sz="0" w:space="0" w:color="auto"/>
        <w:bottom w:val="none" w:sz="0" w:space="0" w:color="auto"/>
        <w:right w:val="none" w:sz="0" w:space="0" w:color="auto"/>
      </w:divBdr>
    </w:div>
    <w:div w:id="19316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20084</Words>
  <Characters>114480</Characters>
  <Application>Microsoft Office Word</Application>
  <DocSecurity>0</DocSecurity>
  <Lines>954</Lines>
  <Paragraphs>268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Lamine Gaye</dc:creator>
  <cp:keywords/>
  <dc:description/>
  <cp:lastModifiedBy>SDI 1089</cp:lastModifiedBy>
  <cp:revision>30</cp:revision>
  <dcterms:created xsi:type="dcterms:W3CDTF">2025-06-28T16:40:00Z</dcterms:created>
  <dcterms:modified xsi:type="dcterms:W3CDTF">2025-07-08T04:55:00Z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id="GQqzkSad"/&gt;&lt;style id="http://www.zotero.org/styles/apa" locale="fr-FR" hasBibliography="1" bibliographyStyleHasBeenSet="1"/&gt;&lt;prefs&gt;&lt;pref name="fieldType" value="Field"/&gt;&lt;/prefs&gt;&lt;/data&gt;</vt:lpwstr>
  </property>
</Properties>
</file>