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38C" w:rsidRPr="00CD738C" w:rsidRDefault="00CD738C" w:rsidP="00CD738C">
      <w:pPr>
        <w:spacing w:line="276" w:lineRule="auto"/>
        <w:jc w:val="center"/>
        <w:rPr>
          <w:rFonts w:ascii="Arial" w:hAnsi="Arial" w:cs="Arial"/>
          <w:b/>
          <w:lang w:val="en-US"/>
        </w:rPr>
      </w:pPr>
      <w:r w:rsidRPr="00CD738C">
        <w:rPr>
          <w:rFonts w:ascii="Arial" w:hAnsi="Arial" w:cs="Arial"/>
          <w:b/>
          <w:u w:val="single"/>
          <w:lang w:val="en-US"/>
        </w:rPr>
        <w:t>Original Research Article</w:t>
      </w:r>
      <w:r>
        <w:rPr>
          <w:rFonts w:ascii="Arial" w:hAnsi="Arial" w:cs="Arial"/>
          <w:b/>
          <w:lang w:val="en-US"/>
        </w:rPr>
        <w:t>.</w:t>
      </w:r>
    </w:p>
    <w:p w:rsidR="006C3B37" w:rsidRPr="00CD738C" w:rsidRDefault="00CD738C" w:rsidP="00F26D1D">
      <w:pPr>
        <w:spacing w:line="240" w:lineRule="auto"/>
        <w:jc w:val="center"/>
        <w:rPr>
          <w:rFonts w:ascii="Arial" w:hAnsi="Arial" w:cs="Arial"/>
          <w:b/>
          <w:i/>
          <w:sz w:val="20"/>
          <w:szCs w:val="20"/>
          <w:lang w:val="en-US"/>
        </w:rPr>
      </w:pPr>
      <w:r w:rsidRPr="00CD738C">
        <w:rPr>
          <w:b/>
          <w:lang w:val="en-US"/>
        </w:rPr>
        <w:t>THE SYNTHESIS OF POLYMER-ENCAPSULATED UREA FERTILIZERS BY INCORPORATING HYDROQUINONE AS A NITRIFICATION INHIBITOR</w:t>
      </w:r>
    </w:p>
    <w:p w:rsidR="002B129C" w:rsidRPr="003C4B06" w:rsidRDefault="003C4B06" w:rsidP="00F26D1D">
      <w:pPr>
        <w:spacing w:line="276" w:lineRule="auto"/>
        <w:ind w:firstLine="708"/>
        <w:rPr>
          <w:rFonts w:ascii="Arial" w:hAnsi="Arial" w:cs="Arial"/>
          <w:b/>
          <w:lang w:val="en-US"/>
        </w:rPr>
      </w:pPr>
      <w:r w:rsidRPr="003C4B06">
        <w:rPr>
          <w:rFonts w:ascii="Arial" w:hAnsi="Arial" w:cs="Arial"/>
          <w:b/>
          <w:lang w:val="en-US"/>
        </w:rPr>
        <w:t>ABSTRACT</w:t>
      </w:r>
    </w:p>
    <w:p w:rsidR="002B129C"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This study investigates the development of a polymer-based encapsulated urea fertilizer through the incorporation of hydroquinone as a nitrification inhibitor. The primary aim is to mitigate nitrogen losses resulting from volatilization and leaching, thereby improving the nitrogen use efficiency of conventional urea fertilizers. A polymer matrix containing hydroquinone was synthesized and employed as a coating material for urea granules. The encapsulated formulations were systematically evaluated for their nitrogen release kinetics, mechanical durability, and surface morphology. Experimental findings indicate that hydroquinone significantly delays nitrogen release while simultaneously enhancing the structural integrity of the fertilizer granules. These outcomes underscore the potential of hydroquinone-integrated polymer coatings in the advancement of controlled-release fertilizer technologies.</w:t>
      </w:r>
    </w:p>
    <w:p w:rsidR="00CD738C" w:rsidRPr="00BF295E" w:rsidRDefault="00CD738C" w:rsidP="00F26D1D">
      <w:pPr>
        <w:pStyle w:val="NormalWeb"/>
        <w:spacing w:line="276" w:lineRule="auto"/>
        <w:ind w:firstLine="708"/>
        <w:rPr>
          <w:rFonts w:ascii="Arial" w:hAnsi="Arial" w:cs="Arial"/>
          <w:sz w:val="20"/>
          <w:szCs w:val="20"/>
          <w:lang w:val="en-US"/>
        </w:rPr>
      </w:pPr>
      <w:r w:rsidRPr="00B1526D">
        <w:rPr>
          <w:rFonts w:ascii="Arial" w:hAnsi="Arial" w:cs="Arial"/>
          <w:i/>
          <w:sz w:val="20"/>
          <w:szCs w:val="20"/>
          <w:lang w:val="en-US"/>
        </w:rPr>
        <w:t xml:space="preserve">Key words; </w:t>
      </w:r>
      <w:r w:rsidRPr="00523C00">
        <w:rPr>
          <w:rFonts w:ascii="Arial" w:hAnsi="Arial" w:cs="Arial"/>
          <w:i/>
          <w:sz w:val="20"/>
          <w:szCs w:val="20"/>
          <w:highlight w:val="yellow"/>
          <w:lang w:val="en-US"/>
        </w:rPr>
        <w:t>hydroquinone</w:t>
      </w:r>
      <w:r w:rsidRPr="00523C00">
        <w:rPr>
          <w:rFonts w:ascii="Arial" w:hAnsi="Arial" w:cs="Arial"/>
          <w:b/>
          <w:i/>
          <w:sz w:val="20"/>
          <w:szCs w:val="20"/>
          <w:highlight w:val="yellow"/>
          <w:lang w:val="en-US"/>
        </w:rPr>
        <w:t xml:space="preserve">, </w:t>
      </w:r>
      <w:r w:rsidRPr="00523C00">
        <w:rPr>
          <w:rFonts w:ascii="Arial" w:hAnsi="Arial" w:cs="Arial"/>
          <w:i/>
          <w:sz w:val="20"/>
          <w:szCs w:val="20"/>
          <w:highlight w:val="yellow"/>
          <w:lang w:val="en-US"/>
        </w:rPr>
        <w:t xml:space="preserve">urea, </w:t>
      </w:r>
      <w:r w:rsidR="000850B9" w:rsidRPr="00523C00">
        <w:rPr>
          <w:rFonts w:ascii="Arial" w:hAnsi="Arial" w:cs="Arial"/>
          <w:i/>
          <w:sz w:val="20"/>
          <w:szCs w:val="20"/>
          <w:highlight w:val="yellow"/>
          <w:lang w:val="en-US"/>
        </w:rPr>
        <w:t>SEM, IK</w:t>
      </w:r>
      <w:r w:rsidR="000850B9" w:rsidRPr="00523C00">
        <w:rPr>
          <w:highlight w:val="yellow"/>
          <w:lang w:val="en-US"/>
        </w:rPr>
        <w:t>.</w:t>
      </w:r>
    </w:p>
    <w:p w:rsidR="002B129C" w:rsidRPr="003C4B06" w:rsidRDefault="003C4B06" w:rsidP="00F26D1D">
      <w:pPr>
        <w:spacing w:line="276" w:lineRule="auto"/>
        <w:ind w:firstLine="708"/>
        <w:rPr>
          <w:rFonts w:ascii="Arial" w:hAnsi="Arial" w:cs="Arial"/>
          <w:b/>
          <w:lang w:val="en-US"/>
        </w:rPr>
      </w:pPr>
      <w:r w:rsidRPr="003C4B06">
        <w:rPr>
          <w:rFonts w:ascii="Arial" w:hAnsi="Arial" w:cs="Arial"/>
          <w:b/>
          <w:lang w:val="en-US"/>
        </w:rPr>
        <w:t>INTRODUCTION</w:t>
      </w:r>
    </w:p>
    <w:p w:rsidR="00EE29D1" w:rsidRPr="00EE29D1" w:rsidRDefault="00EE29D1" w:rsidP="000556D0">
      <w:pPr>
        <w:pStyle w:val="NormalWeb"/>
        <w:ind w:firstLine="708"/>
        <w:rPr>
          <w:rFonts w:ascii="Arial" w:hAnsi="Arial" w:cs="Arial"/>
          <w:sz w:val="20"/>
          <w:szCs w:val="20"/>
          <w:lang w:val="en-US"/>
        </w:rPr>
      </w:pPr>
      <w:r w:rsidRPr="00523C00">
        <w:rPr>
          <w:rFonts w:ascii="Arial" w:hAnsi="Arial" w:cs="Arial"/>
          <w:sz w:val="20"/>
          <w:szCs w:val="20"/>
          <w:highlight w:val="yellow"/>
          <w:lang w:val="en-US"/>
        </w:rPr>
        <w:t xml:space="preserve">Polymer-coated or encapsulated urea fertilizers belong to the category of slow-release or controlled-release fertilizers. They are produced by coating urea granules with a special polymer layer. This technology ensures a prolonged supply of nitrogen to plants, reduces nitrogen losses, and minimizes environmental risks. In recent years, the development of </w:t>
      </w:r>
      <w:r w:rsidRPr="00523C00">
        <w:rPr>
          <w:rFonts w:ascii="Arial" w:hAnsi="Arial" w:cs="Arial"/>
          <w:bCs/>
          <w:sz w:val="20"/>
          <w:szCs w:val="20"/>
          <w:highlight w:val="yellow"/>
          <w:lang w:val="en-US"/>
        </w:rPr>
        <w:t>controlled-</w:t>
      </w:r>
      <w:r w:rsidRPr="00523C00">
        <w:rPr>
          <w:rFonts w:ascii="Arial" w:hAnsi="Arial" w:cs="Arial"/>
          <w:bCs/>
          <w:sz w:val="20"/>
          <w:szCs w:val="20"/>
          <w:lang w:val="en-US"/>
        </w:rPr>
        <w:t xml:space="preserve">release nitrogen fertilizers </w:t>
      </w:r>
      <w:r w:rsidRPr="00523C00">
        <w:rPr>
          <w:rFonts w:ascii="Arial" w:hAnsi="Arial" w:cs="Arial"/>
          <w:bCs/>
          <w:sz w:val="20"/>
          <w:szCs w:val="20"/>
          <w:highlight w:val="yellow"/>
          <w:lang w:val="en-US"/>
        </w:rPr>
        <w:t>(CRFs)</w:t>
      </w:r>
      <w:r w:rsidRPr="00523C00">
        <w:rPr>
          <w:rFonts w:ascii="Arial" w:hAnsi="Arial" w:cs="Arial"/>
          <w:sz w:val="20"/>
          <w:szCs w:val="20"/>
          <w:highlight w:val="yellow"/>
          <w:lang w:val="en-US"/>
        </w:rPr>
        <w:t xml:space="preserve"> has received increasing attention as a strategy to enhance nitrogen use efficiency (NUE) while minimizing environmental nitrogen losses. Among CRFs, </w:t>
      </w:r>
      <w:r w:rsidRPr="00523C00">
        <w:rPr>
          <w:rFonts w:ascii="Arial" w:hAnsi="Arial" w:cs="Arial"/>
          <w:bCs/>
          <w:sz w:val="20"/>
          <w:szCs w:val="20"/>
          <w:highlight w:val="yellow"/>
          <w:lang w:val="en-US"/>
        </w:rPr>
        <w:t>polymer-coated urea fertilizers</w:t>
      </w:r>
      <w:r w:rsidRPr="00523C00">
        <w:rPr>
          <w:rFonts w:ascii="Arial" w:hAnsi="Arial" w:cs="Arial"/>
          <w:sz w:val="20"/>
          <w:szCs w:val="20"/>
          <w:highlight w:val="yellow"/>
          <w:lang w:val="en-US"/>
        </w:rPr>
        <w:t xml:space="preserve"> represent one of the most extensively studied and commerc</w:t>
      </w:r>
      <w:r w:rsidR="00AD2C7E" w:rsidRPr="00523C00">
        <w:rPr>
          <w:rFonts w:ascii="Arial" w:hAnsi="Arial" w:cs="Arial"/>
          <w:sz w:val="20"/>
          <w:szCs w:val="20"/>
          <w:highlight w:val="yellow"/>
          <w:lang w:val="en-US"/>
        </w:rPr>
        <w:t xml:space="preserve">ially implemented </w:t>
      </w:r>
      <w:proofErr w:type="gramStart"/>
      <w:r w:rsidR="00AD2C7E" w:rsidRPr="00523C00">
        <w:rPr>
          <w:rFonts w:ascii="Arial" w:hAnsi="Arial" w:cs="Arial"/>
          <w:sz w:val="20"/>
          <w:szCs w:val="20"/>
          <w:highlight w:val="yellow"/>
          <w:lang w:val="en-US"/>
        </w:rPr>
        <w:t xml:space="preserve">technologies </w:t>
      </w:r>
      <w:r w:rsidRPr="00523C00">
        <w:rPr>
          <w:rFonts w:ascii="Arial" w:hAnsi="Arial" w:cs="Arial"/>
          <w:sz w:val="20"/>
          <w:szCs w:val="20"/>
          <w:highlight w:val="yellow"/>
          <w:lang w:val="en-US"/>
        </w:rPr>
        <w:t>.According</w:t>
      </w:r>
      <w:proofErr w:type="gramEnd"/>
      <w:r w:rsidRPr="00523C00">
        <w:rPr>
          <w:rFonts w:ascii="Arial" w:hAnsi="Arial" w:cs="Arial"/>
          <w:sz w:val="20"/>
          <w:szCs w:val="20"/>
          <w:highlight w:val="yellow"/>
          <w:lang w:val="en-US"/>
        </w:rPr>
        <w:t xml:space="preserve"> to the comprehensive review by </w:t>
      </w:r>
      <w:proofErr w:type="spellStart"/>
      <w:r w:rsidRPr="00523C00">
        <w:rPr>
          <w:rFonts w:ascii="Arial" w:hAnsi="Arial" w:cs="Arial"/>
          <w:sz w:val="20"/>
          <w:szCs w:val="20"/>
          <w:highlight w:val="yellow"/>
          <w:lang w:val="en-US"/>
        </w:rPr>
        <w:t>Shaviv</w:t>
      </w:r>
      <w:proofErr w:type="spellEnd"/>
      <w:r w:rsidRPr="00523C00">
        <w:rPr>
          <w:rFonts w:ascii="Arial" w:hAnsi="Arial" w:cs="Arial"/>
          <w:sz w:val="20"/>
          <w:szCs w:val="20"/>
          <w:highlight w:val="yellow"/>
          <w:lang w:val="en-US"/>
        </w:rPr>
        <w:t xml:space="preserve"> and Mikkelsen in </w:t>
      </w:r>
      <w:r w:rsidRPr="00523C00">
        <w:rPr>
          <w:rFonts w:ascii="Arial" w:hAnsi="Arial" w:cs="Arial"/>
          <w:i/>
          <w:iCs/>
          <w:sz w:val="20"/>
          <w:szCs w:val="20"/>
          <w:highlight w:val="yellow"/>
          <w:lang w:val="en-US"/>
        </w:rPr>
        <w:t>“Controlled Release and Stabilized Fertilizers in Agriculture”</w:t>
      </w:r>
      <w:r w:rsidRPr="00523C00">
        <w:rPr>
          <w:rFonts w:ascii="Arial" w:hAnsi="Arial" w:cs="Arial"/>
          <w:sz w:val="20"/>
          <w:szCs w:val="20"/>
          <w:highlight w:val="yellow"/>
          <w:lang w:val="en-US"/>
        </w:rPr>
        <w:t xml:space="preserve"> [1], polymer-coated urea (PCU) fertilizers offer a gradual and predictable release of </w:t>
      </w:r>
      <w:r w:rsidRPr="00523C00">
        <w:rPr>
          <w:rFonts w:ascii="Arial" w:hAnsi="Arial" w:cs="Arial"/>
          <w:sz w:val="20"/>
          <w:szCs w:val="20"/>
          <w:lang w:val="en-US"/>
        </w:rPr>
        <w:t xml:space="preserve">nitrogen, </w:t>
      </w:r>
      <w:r w:rsidRPr="00523C00">
        <w:rPr>
          <w:rFonts w:ascii="Arial" w:hAnsi="Arial" w:cs="Arial"/>
          <w:sz w:val="20"/>
          <w:szCs w:val="20"/>
          <w:highlight w:val="yellow"/>
          <w:lang w:val="en-US"/>
        </w:rPr>
        <w:t xml:space="preserve">reducing </w:t>
      </w:r>
      <w:r w:rsidRPr="00523C00">
        <w:rPr>
          <w:rFonts w:ascii="Arial" w:hAnsi="Arial" w:cs="Arial"/>
          <w:sz w:val="20"/>
          <w:szCs w:val="20"/>
          <w:lang w:val="en-US"/>
        </w:rPr>
        <w:t xml:space="preserve">losses via </w:t>
      </w:r>
      <w:r w:rsidRPr="00523C00">
        <w:rPr>
          <w:rFonts w:ascii="Arial" w:hAnsi="Arial" w:cs="Arial"/>
          <w:sz w:val="20"/>
          <w:szCs w:val="20"/>
          <w:highlight w:val="yellow"/>
          <w:lang w:val="en-US"/>
        </w:rPr>
        <w:t xml:space="preserve">volatilization, leaching, and denitrification. The release behavior is governed by diffusion through the coating material, which can be engineered for different crops, climates, and soil conditions. These fertilizers also contribute to reducing the frequency of fertilizer applications, thus lowering labor costs and improving nutrient synchrony with plant </w:t>
      </w:r>
      <w:proofErr w:type="spellStart"/>
      <w:proofErr w:type="gramStart"/>
      <w:r w:rsidRPr="00523C00">
        <w:rPr>
          <w:rFonts w:ascii="Arial" w:hAnsi="Arial" w:cs="Arial"/>
          <w:sz w:val="20"/>
          <w:szCs w:val="20"/>
          <w:highlight w:val="yellow"/>
          <w:lang w:val="en-US"/>
        </w:rPr>
        <w:t>uptake.Trenkel’s</w:t>
      </w:r>
      <w:proofErr w:type="spellEnd"/>
      <w:proofErr w:type="gramEnd"/>
      <w:r w:rsidRPr="00523C00">
        <w:rPr>
          <w:rFonts w:ascii="Arial" w:hAnsi="Arial" w:cs="Arial"/>
          <w:sz w:val="20"/>
          <w:szCs w:val="20"/>
          <w:highlight w:val="yellow"/>
          <w:lang w:val="en-US"/>
        </w:rPr>
        <w:t xml:space="preserve"> foundational book </w:t>
      </w:r>
      <w:r w:rsidRPr="00523C00">
        <w:rPr>
          <w:rFonts w:ascii="Arial" w:hAnsi="Arial" w:cs="Arial"/>
          <w:i/>
          <w:iCs/>
          <w:sz w:val="20"/>
          <w:szCs w:val="20"/>
          <w:highlight w:val="yellow"/>
          <w:lang w:val="en-US"/>
        </w:rPr>
        <w:t>“Slow- and Controlled-Release and Stabilized Fertilizers”</w:t>
      </w:r>
      <w:r w:rsidRPr="00523C00">
        <w:rPr>
          <w:rFonts w:ascii="Arial" w:hAnsi="Arial" w:cs="Arial"/>
          <w:sz w:val="20"/>
          <w:szCs w:val="20"/>
          <w:highlight w:val="yellow"/>
          <w:lang w:val="en-US"/>
        </w:rPr>
        <w:t xml:space="preserve"> [2] provides an in-depth analysis of encapsulated fertilizers, covering their physicochemical properties, release duration, and interactions with soil microbes. It outlines how coating thickness, permeability, and polymer type influence nutrient release patterns, and emphasizes the importance of selecting biodegradable and environmentally safe polymers for large-scale agricultural </w:t>
      </w:r>
      <w:proofErr w:type="spellStart"/>
      <w:proofErr w:type="gramStart"/>
      <w:r w:rsidRPr="00523C00">
        <w:rPr>
          <w:rFonts w:ascii="Arial" w:hAnsi="Arial" w:cs="Arial"/>
          <w:sz w:val="20"/>
          <w:szCs w:val="20"/>
          <w:highlight w:val="yellow"/>
          <w:lang w:val="en-US"/>
        </w:rPr>
        <w:t>use.The</w:t>
      </w:r>
      <w:proofErr w:type="spellEnd"/>
      <w:proofErr w:type="gramEnd"/>
      <w:r w:rsidRPr="00523C00">
        <w:rPr>
          <w:rFonts w:ascii="Arial" w:hAnsi="Arial" w:cs="Arial"/>
          <w:sz w:val="20"/>
          <w:szCs w:val="20"/>
          <w:highlight w:val="yellow"/>
          <w:lang w:val="en-US"/>
        </w:rPr>
        <w:t xml:space="preserve"> article </w:t>
      </w:r>
      <w:r w:rsidRPr="00523C00">
        <w:rPr>
          <w:rFonts w:ascii="Arial" w:hAnsi="Arial" w:cs="Arial"/>
          <w:i/>
          <w:iCs/>
          <w:sz w:val="20"/>
          <w:szCs w:val="20"/>
          <w:highlight w:val="yellow"/>
          <w:lang w:val="en-US"/>
        </w:rPr>
        <w:t>“Advances in Controlled-Release Fertilizers”</w:t>
      </w:r>
      <w:r w:rsidRPr="00523C00">
        <w:rPr>
          <w:rFonts w:ascii="Arial" w:hAnsi="Arial" w:cs="Arial"/>
          <w:sz w:val="20"/>
          <w:szCs w:val="20"/>
          <w:highlight w:val="yellow"/>
          <w:lang w:val="en-US"/>
        </w:rPr>
        <w:t xml:space="preserve"> [3] highlights the critical factors affecting nutrient release rates, including ambient temperature, soil pH, and moisture content. In particular, the material composition of the coating plays a dominant role in controlling urea diffusion. Studies have shown that polymer matrices based on synthetic or natural polymers (e.g., polyvinyl alcohol, starch, </w:t>
      </w:r>
      <w:proofErr w:type="spellStart"/>
      <w:r w:rsidRPr="00523C00">
        <w:rPr>
          <w:rFonts w:ascii="Arial" w:hAnsi="Arial" w:cs="Arial"/>
          <w:sz w:val="20"/>
          <w:szCs w:val="20"/>
          <w:highlight w:val="yellow"/>
          <w:lang w:val="en-US"/>
        </w:rPr>
        <w:t>ethylcellulose</w:t>
      </w:r>
      <w:proofErr w:type="spellEnd"/>
      <w:r w:rsidRPr="00523C00">
        <w:rPr>
          <w:rFonts w:ascii="Arial" w:hAnsi="Arial" w:cs="Arial"/>
          <w:sz w:val="20"/>
          <w:szCs w:val="20"/>
          <w:highlight w:val="yellow"/>
          <w:lang w:val="en-US"/>
        </w:rPr>
        <w:t xml:space="preserve">) can be modified with additives such as plasticizers or inhibitors to tailor the release </w:t>
      </w:r>
      <w:proofErr w:type="spellStart"/>
      <w:proofErr w:type="gramStart"/>
      <w:r w:rsidRPr="00523C00">
        <w:rPr>
          <w:rFonts w:ascii="Arial" w:hAnsi="Arial" w:cs="Arial"/>
          <w:sz w:val="20"/>
          <w:szCs w:val="20"/>
          <w:highlight w:val="yellow"/>
          <w:lang w:val="en-US"/>
        </w:rPr>
        <w:t>kinetics.In</w:t>
      </w:r>
      <w:proofErr w:type="spellEnd"/>
      <w:proofErr w:type="gramEnd"/>
      <w:r w:rsidRPr="00523C00">
        <w:rPr>
          <w:rFonts w:ascii="Arial" w:hAnsi="Arial" w:cs="Arial"/>
          <w:sz w:val="20"/>
          <w:szCs w:val="20"/>
          <w:highlight w:val="yellow"/>
          <w:lang w:val="en-US"/>
        </w:rPr>
        <w:t xml:space="preserve"> a more recent and innovative approach, Wang et al. (2021) presented the design of a </w:t>
      </w:r>
      <w:r w:rsidRPr="00523C00">
        <w:rPr>
          <w:rFonts w:ascii="Arial" w:hAnsi="Arial" w:cs="Arial"/>
          <w:bCs/>
          <w:sz w:val="20"/>
          <w:szCs w:val="20"/>
          <w:highlight w:val="yellow"/>
          <w:lang w:val="en-US"/>
        </w:rPr>
        <w:t>multifunctional slow-release urea fertilizer</w:t>
      </w:r>
      <w:r w:rsidRPr="00523C00">
        <w:rPr>
          <w:rFonts w:ascii="Arial" w:hAnsi="Arial" w:cs="Arial"/>
          <w:sz w:val="20"/>
          <w:szCs w:val="20"/>
          <w:highlight w:val="yellow"/>
          <w:lang w:val="en-US"/>
        </w:rPr>
        <w:t xml:space="preserve"> using </w:t>
      </w:r>
      <w:proofErr w:type="spellStart"/>
      <w:r w:rsidRPr="00523C00">
        <w:rPr>
          <w:rFonts w:ascii="Arial" w:hAnsi="Arial" w:cs="Arial"/>
          <w:sz w:val="20"/>
          <w:szCs w:val="20"/>
          <w:highlight w:val="yellow"/>
          <w:lang w:val="en-US"/>
        </w:rPr>
        <w:t>ethylcellulose</w:t>
      </w:r>
      <w:proofErr w:type="spellEnd"/>
      <w:r w:rsidRPr="00523C00">
        <w:rPr>
          <w:rFonts w:ascii="Arial" w:hAnsi="Arial" w:cs="Arial"/>
          <w:sz w:val="20"/>
          <w:szCs w:val="20"/>
          <w:highlight w:val="yellow"/>
          <w:lang w:val="en-US"/>
        </w:rPr>
        <w:t xml:space="preserve"> and superabsorbent polymers [4]. Their work demonstrated how hydrophilic gels can absorb soil moisture and swell, regulating nutrient flow from the granule while also maintaining soil hydration. SEM and IR analyses confirmed the structural integrity and chemical interactions between urea and coating materials. This hybrid system showed promising results in terms of delayed nitrogen release and reduced loss to the </w:t>
      </w:r>
      <w:proofErr w:type="spellStart"/>
      <w:proofErr w:type="gramStart"/>
      <w:r w:rsidRPr="00523C00">
        <w:rPr>
          <w:rFonts w:ascii="Arial" w:hAnsi="Arial" w:cs="Arial"/>
          <w:sz w:val="20"/>
          <w:szCs w:val="20"/>
          <w:highlight w:val="yellow"/>
          <w:lang w:val="en-US"/>
        </w:rPr>
        <w:t>environment.Collectively</w:t>
      </w:r>
      <w:proofErr w:type="spellEnd"/>
      <w:proofErr w:type="gramEnd"/>
      <w:r w:rsidRPr="00523C00">
        <w:rPr>
          <w:rFonts w:ascii="Arial" w:hAnsi="Arial" w:cs="Arial"/>
          <w:sz w:val="20"/>
          <w:szCs w:val="20"/>
          <w:highlight w:val="yellow"/>
          <w:lang w:val="en-US"/>
        </w:rPr>
        <w:t>, the literature underscores the potential of polymer-based encapsulation as a sustainable solution for modern nitrogen management. However, further research is needed to improve cost-efficiency, scalability, and biodegradability of coating systems. The current study builds upon this body of work by integrating hydroquinone—a known nitrification inhibitor—into a polymer matrix to develop a novel encapsulated urea formulation with dual action: controlled release and nitrification suppression.</w:t>
      </w:r>
    </w:p>
    <w:p w:rsidR="002B129C"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 Simultaneously, nitrogen loss through </w:t>
      </w:r>
      <w:r w:rsidRPr="001D7FE4">
        <w:rPr>
          <w:rStyle w:val="Strong"/>
          <w:rFonts w:ascii="Arial" w:hAnsi="Arial" w:cs="Arial"/>
          <w:b w:val="0"/>
          <w:sz w:val="20"/>
          <w:szCs w:val="20"/>
          <w:lang w:val="en-US"/>
        </w:rPr>
        <w:t>ammonia</w:t>
      </w:r>
      <w:r w:rsidRPr="00BF295E">
        <w:rPr>
          <w:rStyle w:val="Strong"/>
          <w:rFonts w:ascii="Arial" w:hAnsi="Arial" w:cs="Arial"/>
          <w:sz w:val="20"/>
          <w:szCs w:val="20"/>
          <w:lang w:val="en-US"/>
        </w:rPr>
        <w:t xml:space="preserve"> </w:t>
      </w:r>
      <w:r w:rsidRPr="001D7FE4">
        <w:rPr>
          <w:rStyle w:val="Strong"/>
          <w:rFonts w:ascii="Arial" w:hAnsi="Arial" w:cs="Arial"/>
          <w:b w:val="0"/>
          <w:sz w:val="20"/>
          <w:szCs w:val="20"/>
          <w:lang w:val="en-US"/>
        </w:rPr>
        <w:t>volatilization</w:t>
      </w:r>
      <w:r w:rsidRPr="00BF295E">
        <w:rPr>
          <w:rFonts w:ascii="Arial" w:hAnsi="Arial" w:cs="Arial"/>
          <w:sz w:val="20"/>
          <w:szCs w:val="20"/>
          <w:lang w:val="en-US"/>
        </w:rPr>
        <w:t xml:space="preserve"> in alkaline or poorly buffered soils and </w:t>
      </w:r>
      <w:r w:rsidRPr="001D7FE4">
        <w:rPr>
          <w:rStyle w:val="Strong"/>
          <w:rFonts w:ascii="Arial" w:hAnsi="Arial" w:cs="Arial"/>
          <w:b w:val="0"/>
          <w:sz w:val="20"/>
          <w:szCs w:val="20"/>
          <w:lang w:val="en-US"/>
        </w:rPr>
        <w:t>denitrification</w:t>
      </w:r>
      <w:r w:rsidRPr="00BF295E">
        <w:rPr>
          <w:rFonts w:ascii="Arial" w:hAnsi="Arial" w:cs="Arial"/>
          <w:sz w:val="20"/>
          <w:szCs w:val="20"/>
          <w:lang w:val="en-US"/>
        </w:rPr>
        <w:t xml:space="preserve"> under anaerobic conditions leads to the emission of greenhouse gases such as nitrous oxide (N</w:t>
      </w:r>
      <w:r w:rsidRPr="00BF295E">
        <w:rPr>
          <w:rFonts w:ascii="Cambria Math" w:hAnsi="Cambria Math" w:cs="Cambria Math"/>
          <w:sz w:val="20"/>
          <w:szCs w:val="20"/>
          <w:lang w:val="en-US"/>
        </w:rPr>
        <w:t>₂</w:t>
      </w:r>
      <w:r w:rsidRPr="00BF295E">
        <w:rPr>
          <w:rFonts w:ascii="Arial" w:hAnsi="Arial" w:cs="Arial"/>
          <w:sz w:val="20"/>
          <w:szCs w:val="20"/>
          <w:lang w:val="en-US"/>
        </w:rPr>
        <w:t>O), which has a global warming potential approximately 298 times greater than CO</w:t>
      </w:r>
      <w:r w:rsidRPr="00BF295E">
        <w:rPr>
          <w:rFonts w:ascii="Cambria Math" w:hAnsi="Cambria Math" w:cs="Cambria Math"/>
          <w:sz w:val="20"/>
          <w:szCs w:val="20"/>
          <w:lang w:val="en-US"/>
        </w:rPr>
        <w:t>₂</w:t>
      </w:r>
      <w:r w:rsidR="003C4B06">
        <w:rPr>
          <w:rFonts w:ascii="Arial" w:hAnsi="Arial" w:cs="Arial"/>
          <w:sz w:val="20"/>
          <w:szCs w:val="20"/>
          <w:lang w:val="en-US"/>
        </w:rPr>
        <w:t xml:space="preserve"> [6]. </w:t>
      </w:r>
      <w:r w:rsidRPr="00BF295E">
        <w:rPr>
          <w:rFonts w:ascii="Arial" w:hAnsi="Arial" w:cs="Arial"/>
          <w:sz w:val="20"/>
          <w:szCs w:val="20"/>
          <w:lang w:val="en-US"/>
        </w:rPr>
        <w:t xml:space="preserve">These inefficiencies not only diminish crop nitrogen use efficiency (NUE), often below 50%, but also pose </w:t>
      </w:r>
      <w:r w:rsidRPr="00BF295E">
        <w:rPr>
          <w:rFonts w:ascii="Arial" w:hAnsi="Arial" w:cs="Arial"/>
          <w:sz w:val="20"/>
          <w:szCs w:val="20"/>
          <w:lang w:val="en-US"/>
        </w:rPr>
        <w:lastRenderedPageBreak/>
        <w:t>serious environmental risks, including water eutrophication, biodive</w:t>
      </w:r>
      <w:r w:rsidR="003C4B06">
        <w:rPr>
          <w:rFonts w:ascii="Arial" w:hAnsi="Arial" w:cs="Arial"/>
          <w:sz w:val="20"/>
          <w:szCs w:val="20"/>
          <w:lang w:val="en-US"/>
        </w:rPr>
        <w:t>rsity loss, and climate change [7]</w:t>
      </w:r>
      <w:r w:rsidRPr="00BF295E">
        <w:rPr>
          <w:rFonts w:ascii="Arial" w:hAnsi="Arial" w:cs="Arial"/>
          <w:sz w:val="20"/>
          <w:szCs w:val="20"/>
          <w:lang w:val="en-US"/>
        </w:rPr>
        <w:t xml:space="preserve">. As a response, considerable research has focused on the development of </w:t>
      </w:r>
      <w:r w:rsidRPr="00BF295E">
        <w:rPr>
          <w:rStyle w:val="Strong"/>
          <w:rFonts w:ascii="Arial" w:hAnsi="Arial" w:cs="Arial"/>
          <w:b w:val="0"/>
          <w:sz w:val="20"/>
          <w:szCs w:val="20"/>
          <w:lang w:val="en-US"/>
        </w:rPr>
        <w:t>enhanced-efficiency fertilizers (EEFs)</w:t>
      </w:r>
      <w:r w:rsidRPr="00BF295E">
        <w:rPr>
          <w:rFonts w:ascii="Arial" w:hAnsi="Arial" w:cs="Arial"/>
          <w:b/>
          <w:sz w:val="20"/>
          <w:szCs w:val="20"/>
          <w:lang w:val="en-US"/>
        </w:rPr>
        <w:t>,</w:t>
      </w:r>
      <w:r w:rsidRPr="00BF295E">
        <w:rPr>
          <w:rFonts w:ascii="Arial" w:hAnsi="Arial" w:cs="Arial"/>
          <w:sz w:val="20"/>
          <w:szCs w:val="20"/>
          <w:lang w:val="en-US"/>
        </w:rPr>
        <w:t xml:space="preserve"> particularly those involving physical encapsulation techniques and the application of </w:t>
      </w:r>
      <w:r w:rsidRPr="00BF295E">
        <w:rPr>
          <w:rStyle w:val="Strong"/>
          <w:rFonts w:ascii="Arial" w:hAnsi="Arial" w:cs="Arial"/>
          <w:b w:val="0"/>
          <w:sz w:val="20"/>
          <w:szCs w:val="20"/>
          <w:lang w:val="en-US"/>
        </w:rPr>
        <w:t>nitrification inhibitors</w:t>
      </w:r>
      <w:r w:rsidR="003C4B06">
        <w:rPr>
          <w:rFonts w:ascii="Arial" w:hAnsi="Arial" w:cs="Arial"/>
          <w:sz w:val="20"/>
          <w:szCs w:val="20"/>
          <w:lang w:val="en-US"/>
        </w:rPr>
        <w:t xml:space="preserve"> [8]</w:t>
      </w:r>
      <w:r w:rsidRPr="00BF295E">
        <w:rPr>
          <w:rFonts w:ascii="Arial" w:hAnsi="Arial" w:cs="Arial"/>
          <w:sz w:val="20"/>
          <w:szCs w:val="20"/>
          <w:lang w:val="en-US"/>
        </w:rPr>
        <w:t>.</w:t>
      </w:r>
    </w:p>
    <w:p w:rsidR="000556D0" w:rsidRPr="00523C00" w:rsidRDefault="000556D0" w:rsidP="000556D0">
      <w:pPr>
        <w:pStyle w:val="Heading3"/>
        <w:rPr>
          <w:rFonts w:ascii="Arial" w:hAnsi="Arial" w:cs="Arial"/>
          <w:sz w:val="20"/>
          <w:szCs w:val="20"/>
          <w:highlight w:val="yellow"/>
          <w:lang w:val="en-US"/>
        </w:rPr>
      </w:pPr>
      <w:r w:rsidRPr="00523C00">
        <w:rPr>
          <w:rStyle w:val="Strong"/>
          <w:rFonts w:ascii="Arial" w:hAnsi="Arial" w:cs="Arial"/>
          <w:b/>
          <w:bCs/>
          <w:sz w:val="20"/>
          <w:szCs w:val="20"/>
          <w:highlight w:val="yellow"/>
          <w:lang w:val="en-US"/>
        </w:rPr>
        <w:t>Mechanism of Nutrient Release from Polymer-Coated Urea Fertilizers</w:t>
      </w:r>
    </w:p>
    <w:p w:rsidR="000556D0" w:rsidRPr="00523C00" w:rsidRDefault="000556D0" w:rsidP="000556D0">
      <w:pPr>
        <w:pStyle w:val="NormalWeb"/>
        <w:rPr>
          <w:rFonts w:ascii="Arial" w:hAnsi="Arial" w:cs="Arial"/>
          <w:sz w:val="20"/>
          <w:szCs w:val="20"/>
          <w:highlight w:val="yellow"/>
          <w:lang w:val="en-US"/>
        </w:rPr>
      </w:pPr>
      <w:r w:rsidRPr="00523C00">
        <w:rPr>
          <w:rFonts w:ascii="Arial" w:hAnsi="Arial" w:cs="Arial"/>
          <w:sz w:val="20"/>
          <w:szCs w:val="20"/>
          <w:highlight w:val="yellow"/>
          <w:lang w:val="en-US"/>
        </w:rPr>
        <w:t xml:space="preserve">The nutrient release behavior of polymer-coated urea fertilizers is primarily governed by the physicochemical and biodegradation characteristics of the coating material. Upon exposure to soil moisture, the polymeric coating undergoes </w:t>
      </w:r>
      <w:r w:rsidRPr="00523C00">
        <w:rPr>
          <w:rStyle w:val="Strong"/>
          <w:rFonts w:ascii="Arial" w:hAnsi="Arial" w:cs="Arial"/>
          <w:sz w:val="20"/>
          <w:szCs w:val="20"/>
          <w:highlight w:val="yellow"/>
          <w:lang w:val="en-US"/>
        </w:rPr>
        <w:t>hydration and swelling</w:t>
      </w:r>
      <w:r w:rsidRPr="00523C00">
        <w:rPr>
          <w:rFonts w:ascii="Arial" w:hAnsi="Arial" w:cs="Arial"/>
          <w:sz w:val="20"/>
          <w:szCs w:val="20"/>
          <w:highlight w:val="yellow"/>
          <w:lang w:val="en-US"/>
        </w:rPr>
        <w:t>, which initiates a series of processes responsible for the controlled release of nitrogen. The primary mechanisms involved can be classified into the following categories:</w:t>
      </w:r>
    </w:p>
    <w:p w:rsidR="000556D0" w:rsidRPr="00523C00" w:rsidRDefault="000556D0" w:rsidP="000556D0">
      <w:pPr>
        <w:pStyle w:val="NormalWeb"/>
        <w:rPr>
          <w:rFonts w:ascii="Arial" w:hAnsi="Arial" w:cs="Arial"/>
          <w:sz w:val="20"/>
          <w:szCs w:val="20"/>
          <w:highlight w:val="yellow"/>
          <w:lang w:val="en-US"/>
        </w:rPr>
      </w:pPr>
      <w:r w:rsidRPr="00523C00">
        <w:rPr>
          <w:rStyle w:val="Strong"/>
          <w:rFonts w:ascii="Arial" w:hAnsi="Arial" w:cs="Arial"/>
          <w:sz w:val="20"/>
          <w:szCs w:val="20"/>
          <w:highlight w:val="yellow"/>
          <w:lang w:val="en-US"/>
        </w:rPr>
        <w:t>Diffusion-Controlled Release:</w:t>
      </w:r>
      <w:r w:rsidRPr="00523C00">
        <w:rPr>
          <w:rFonts w:ascii="Arial" w:hAnsi="Arial" w:cs="Arial"/>
          <w:sz w:val="20"/>
          <w:szCs w:val="20"/>
          <w:highlight w:val="yellow"/>
          <w:lang w:val="en-US"/>
        </w:rPr>
        <w:br/>
        <w:t xml:space="preserve">In the initial stage, water molecules penetrate the polymer layer through microscopic pores or by diffusion across the semi-permeable membrane. Once inside, urea begins to dissolve into the aqueous medium. The dissolved urea then migrates outward through the polymer coating in a concentration-dependent manner. This </w:t>
      </w:r>
      <w:r w:rsidRPr="00523C00">
        <w:rPr>
          <w:rStyle w:val="Strong"/>
          <w:rFonts w:ascii="Arial" w:hAnsi="Arial" w:cs="Arial"/>
          <w:sz w:val="20"/>
          <w:szCs w:val="20"/>
          <w:highlight w:val="yellow"/>
          <w:lang w:val="en-US"/>
        </w:rPr>
        <w:t>osmotic diffusion process</w:t>
      </w:r>
      <w:r w:rsidRPr="00523C00">
        <w:rPr>
          <w:rFonts w:ascii="Arial" w:hAnsi="Arial" w:cs="Arial"/>
          <w:sz w:val="20"/>
          <w:szCs w:val="20"/>
          <w:highlight w:val="yellow"/>
          <w:lang w:val="en-US"/>
        </w:rPr>
        <w:t xml:space="preserve"> allows for a gradual and sustained release of nitrogen into the soil, synchronizing nutrient </w:t>
      </w:r>
      <w:r w:rsidR="00AD2C7E" w:rsidRPr="00523C00">
        <w:rPr>
          <w:rFonts w:ascii="Arial" w:hAnsi="Arial" w:cs="Arial"/>
          <w:sz w:val="20"/>
          <w:szCs w:val="20"/>
          <w:highlight w:val="yellow"/>
          <w:lang w:val="en-US"/>
        </w:rPr>
        <w:t>availability with plant uptake [5]</w:t>
      </w:r>
      <w:r w:rsidRPr="00523C00">
        <w:rPr>
          <w:rFonts w:ascii="Arial" w:hAnsi="Arial" w:cs="Arial"/>
          <w:sz w:val="20"/>
          <w:szCs w:val="20"/>
          <w:highlight w:val="yellow"/>
          <w:lang w:val="en-US"/>
        </w:rPr>
        <w:t>.</w:t>
      </w:r>
    </w:p>
    <w:p w:rsidR="000556D0" w:rsidRPr="00523C00" w:rsidRDefault="000556D0" w:rsidP="000556D0">
      <w:pPr>
        <w:pStyle w:val="NormalWeb"/>
        <w:rPr>
          <w:rFonts w:ascii="Arial" w:hAnsi="Arial" w:cs="Arial"/>
          <w:sz w:val="20"/>
          <w:szCs w:val="20"/>
          <w:highlight w:val="yellow"/>
          <w:lang w:val="en-US"/>
        </w:rPr>
      </w:pPr>
      <w:r w:rsidRPr="00523C00">
        <w:rPr>
          <w:rStyle w:val="Strong"/>
          <w:rFonts w:ascii="Arial" w:hAnsi="Arial" w:cs="Arial"/>
          <w:sz w:val="20"/>
          <w:szCs w:val="20"/>
          <w:highlight w:val="yellow"/>
          <w:lang w:val="en-US"/>
        </w:rPr>
        <w:t>Biodegradation-Induced Release:</w:t>
      </w:r>
      <w:r w:rsidRPr="00523C00">
        <w:rPr>
          <w:rFonts w:ascii="Arial" w:hAnsi="Arial" w:cs="Arial"/>
          <w:sz w:val="20"/>
          <w:szCs w:val="20"/>
          <w:highlight w:val="yellow"/>
          <w:lang w:val="en-US"/>
        </w:rPr>
        <w:br/>
        <w:t xml:space="preserve">Some encapsulating polymers, particularly </w:t>
      </w:r>
      <w:r w:rsidRPr="00523C00">
        <w:rPr>
          <w:rStyle w:val="Strong"/>
          <w:rFonts w:ascii="Arial" w:hAnsi="Arial" w:cs="Arial"/>
          <w:sz w:val="20"/>
          <w:szCs w:val="20"/>
          <w:highlight w:val="yellow"/>
          <w:lang w:val="en-US"/>
        </w:rPr>
        <w:t>biodegradable biopolymers</w:t>
      </w:r>
      <w:r w:rsidRPr="00523C00">
        <w:rPr>
          <w:rFonts w:ascii="Arial" w:hAnsi="Arial" w:cs="Arial"/>
          <w:sz w:val="20"/>
          <w:szCs w:val="20"/>
          <w:highlight w:val="yellow"/>
          <w:lang w:val="en-US"/>
        </w:rPr>
        <w:t xml:space="preserve"> such as </w:t>
      </w:r>
      <w:r w:rsidRPr="00523C00">
        <w:rPr>
          <w:rStyle w:val="Strong"/>
          <w:rFonts w:ascii="Arial" w:hAnsi="Arial" w:cs="Arial"/>
          <w:sz w:val="20"/>
          <w:szCs w:val="20"/>
          <w:highlight w:val="yellow"/>
          <w:lang w:val="en-US"/>
        </w:rPr>
        <w:t>polylactic acid (PLA)</w:t>
      </w:r>
      <w:r w:rsidRPr="00523C00">
        <w:rPr>
          <w:rFonts w:ascii="Arial" w:hAnsi="Arial" w:cs="Arial"/>
          <w:sz w:val="20"/>
          <w:szCs w:val="20"/>
          <w:highlight w:val="yellow"/>
          <w:lang w:val="en-US"/>
        </w:rPr>
        <w:t xml:space="preserve">, </w:t>
      </w:r>
      <w:proofErr w:type="spellStart"/>
      <w:r w:rsidRPr="00523C00">
        <w:rPr>
          <w:rStyle w:val="Strong"/>
          <w:rFonts w:ascii="Arial" w:hAnsi="Arial" w:cs="Arial"/>
          <w:sz w:val="20"/>
          <w:szCs w:val="20"/>
          <w:highlight w:val="yellow"/>
          <w:lang w:val="en-US"/>
        </w:rPr>
        <w:t>polyhydroxyalkanoates</w:t>
      </w:r>
      <w:proofErr w:type="spellEnd"/>
      <w:r w:rsidRPr="00523C00">
        <w:rPr>
          <w:rStyle w:val="Strong"/>
          <w:rFonts w:ascii="Arial" w:hAnsi="Arial" w:cs="Arial"/>
          <w:sz w:val="20"/>
          <w:szCs w:val="20"/>
          <w:highlight w:val="yellow"/>
          <w:lang w:val="en-US"/>
        </w:rPr>
        <w:t xml:space="preserve"> (PHA)</w:t>
      </w:r>
      <w:r w:rsidRPr="00523C00">
        <w:rPr>
          <w:rFonts w:ascii="Arial" w:hAnsi="Arial" w:cs="Arial"/>
          <w:sz w:val="20"/>
          <w:szCs w:val="20"/>
          <w:highlight w:val="yellow"/>
          <w:lang w:val="en-US"/>
        </w:rPr>
        <w:t xml:space="preserve">, and </w:t>
      </w:r>
      <w:r w:rsidRPr="00523C00">
        <w:rPr>
          <w:rStyle w:val="Strong"/>
          <w:rFonts w:ascii="Arial" w:hAnsi="Arial" w:cs="Arial"/>
          <w:sz w:val="20"/>
          <w:szCs w:val="20"/>
          <w:highlight w:val="yellow"/>
          <w:lang w:val="en-US"/>
        </w:rPr>
        <w:t>starch-based composites</w:t>
      </w:r>
      <w:r w:rsidRPr="00523C00">
        <w:rPr>
          <w:rFonts w:ascii="Arial" w:hAnsi="Arial" w:cs="Arial"/>
          <w:sz w:val="20"/>
          <w:szCs w:val="20"/>
          <w:highlight w:val="yellow"/>
          <w:lang w:val="en-US"/>
        </w:rPr>
        <w:t>, are susceptible to microbial degradation in soil. Soil microorganisms secrete extracellular enzymes that hydrolyze the polymer chains, gradually breaking down the coating material. As degradation progresses, the integrity of the coating diminishes, eventually resulting in the complete release of the encapsulated urea. This mechanism is influenced by the polymer’s molecular structure, crystallinity, and the microbi</w:t>
      </w:r>
      <w:r w:rsidR="00AD2C7E" w:rsidRPr="00523C00">
        <w:rPr>
          <w:rFonts w:ascii="Arial" w:hAnsi="Arial" w:cs="Arial"/>
          <w:sz w:val="20"/>
          <w:szCs w:val="20"/>
          <w:highlight w:val="yellow"/>
          <w:lang w:val="en-US"/>
        </w:rPr>
        <w:t>al activity in the rhizosphere [6]</w:t>
      </w:r>
    </w:p>
    <w:p w:rsidR="000556D0" w:rsidRPr="00BF295E" w:rsidRDefault="000556D0" w:rsidP="000556D0">
      <w:pPr>
        <w:pStyle w:val="NormalWeb"/>
        <w:rPr>
          <w:rFonts w:ascii="Arial" w:hAnsi="Arial" w:cs="Arial"/>
          <w:sz w:val="20"/>
          <w:szCs w:val="20"/>
          <w:lang w:val="en-US"/>
        </w:rPr>
      </w:pPr>
      <w:r w:rsidRPr="00523C00">
        <w:rPr>
          <w:rStyle w:val="Strong"/>
          <w:rFonts w:ascii="Arial" w:hAnsi="Arial" w:cs="Arial"/>
          <w:sz w:val="20"/>
          <w:szCs w:val="20"/>
          <w:highlight w:val="yellow"/>
          <w:lang w:val="en-US"/>
        </w:rPr>
        <w:t>Environmentally Responsive Release (Moisture-Temperature-pH-Microbial):</w:t>
      </w:r>
      <w:r w:rsidRPr="00523C00">
        <w:rPr>
          <w:rFonts w:ascii="Arial" w:hAnsi="Arial" w:cs="Arial"/>
          <w:sz w:val="20"/>
          <w:szCs w:val="20"/>
          <w:highlight w:val="yellow"/>
          <w:lang w:val="en-US"/>
        </w:rPr>
        <w:br/>
        <w:t xml:space="preserve">The rate of urea release is also affected by environmental factors such as </w:t>
      </w:r>
      <w:r w:rsidRPr="00523C00">
        <w:rPr>
          <w:rStyle w:val="Strong"/>
          <w:rFonts w:ascii="Arial" w:hAnsi="Arial" w:cs="Arial"/>
          <w:sz w:val="20"/>
          <w:szCs w:val="20"/>
          <w:highlight w:val="yellow"/>
          <w:lang w:val="en-US"/>
        </w:rPr>
        <w:t>soil moisture content</w:t>
      </w:r>
      <w:r w:rsidRPr="00523C00">
        <w:rPr>
          <w:rFonts w:ascii="Arial" w:hAnsi="Arial" w:cs="Arial"/>
          <w:sz w:val="20"/>
          <w:szCs w:val="20"/>
          <w:highlight w:val="yellow"/>
          <w:lang w:val="en-US"/>
        </w:rPr>
        <w:t xml:space="preserve">, </w:t>
      </w:r>
      <w:r w:rsidRPr="00523C00">
        <w:rPr>
          <w:rStyle w:val="Strong"/>
          <w:rFonts w:ascii="Arial" w:hAnsi="Arial" w:cs="Arial"/>
          <w:sz w:val="20"/>
          <w:szCs w:val="20"/>
          <w:highlight w:val="yellow"/>
          <w:lang w:val="en-US"/>
        </w:rPr>
        <w:t>temperature</w:t>
      </w:r>
      <w:r w:rsidRPr="00523C00">
        <w:rPr>
          <w:rFonts w:ascii="Arial" w:hAnsi="Arial" w:cs="Arial"/>
          <w:sz w:val="20"/>
          <w:szCs w:val="20"/>
          <w:highlight w:val="yellow"/>
          <w:lang w:val="en-US"/>
        </w:rPr>
        <w:t xml:space="preserve">, </w:t>
      </w:r>
      <w:r w:rsidRPr="00523C00">
        <w:rPr>
          <w:rStyle w:val="Strong"/>
          <w:rFonts w:ascii="Arial" w:hAnsi="Arial" w:cs="Arial"/>
          <w:sz w:val="20"/>
          <w:szCs w:val="20"/>
          <w:highlight w:val="yellow"/>
          <w:lang w:val="en-US"/>
        </w:rPr>
        <w:t>pH</w:t>
      </w:r>
      <w:r w:rsidRPr="00523C00">
        <w:rPr>
          <w:rFonts w:ascii="Arial" w:hAnsi="Arial" w:cs="Arial"/>
          <w:sz w:val="20"/>
          <w:szCs w:val="20"/>
          <w:highlight w:val="yellow"/>
          <w:lang w:val="en-US"/>
        </w:rPr>
        <w:t xml:space="preserve">, and the </w:t>
      </w:r>
      <w:r w:rsidRPr="00523C00">
        <w:rPr>
          <w:rStyle w:val="Strong"/>
          <w:rFonts w:ascii="Arial" w:hAnsi="Arial" w:cs="Arial"/>
          <w:sz w:val="20"/>
          <w:szCs w:val="20"/>
          <w:highlight w:val="yellow"/>
          <w:lang w:val="en-US"/>
        </w:rPr>
        <w:t>abundance of microbial populations</w:t>
      </w:r>
      <w:r w:rsidRPr="00523C00">
        <w:rPr>
          <w:rFonts w:ascii="Arial" w:hAnsi="Arial" w:cs="Arial"/>
          <w:sz w:val="20"/>
          <w:szCs w:val="20"/>
          <w:highlight w:val="yellow"/>
          <w:lang w:val="en-US"/>
        </w:rPr>
        <w:t>. Increased moisture levels accelerate water penetration and urea dissolution, while higher temperatures enhance polymer flexibility and diffusion rates. Soil pH can influence the solubility of the polymer and the ionization state of functional groups within the coating. Moreover, microbial density impacts the rate of biodegradation, especially in systems that rely on bioactive coatings. These synergistic effects contribute to a responsive release system that adapts to soil condi</w:t>
      </w:r>
      <w:r w:rsidR="00AD2C7E" w:rsidRPr="00523C00">
        <w:rPr>
          <w:rFonts w:ascii="Arial" w:hAnsi="Arial" w:cs="Arial"/>
          <w:sz w:val="20"/>
          <w:szCs w:val="20"/>
          <w:highlight w:val="yellow"/>
          <w:lang w:val="en-US"/>
        </w:rPr>
        <w:t>tions and crop nutrient demand [7]</w:t>
      </w:r>
      <w:r w:rsidRPr="00523C00">
        <w:rPr>
          <w:rFonts w:ascii="Arial" w:hAnsi="Arial" w:cs="Arial"/>
          <w:sz w:val="20"/>
          <w:szCs w:val="20"/>
          <w:highlight w:val="yellow"/>
          <w:lang w:val="en-US"/>
        </w:rPr>
        <w:t>.</w:t>
      </w:r>
    </w:p>
    <w:p w:rsidR="002B129C" w:rsidRPr="002B129C" w:rsidRDefault="002B129C" w:rsidP="00F26D1D">
      <w:pPr>
        <w:spacing w:before="100" w:beforeAutospacing="1" w:after="100" w:afterAutospacing="1" w:line="276" w:lineRule="auto"/>
        <w:ind w:firstLine="708"/>
        <w:outlineLvl w:val="2"/>
        <w:rPr>
          <w:rFonts w:ascii="Arial" w:eastAsia="Times New Roman" w:hAnsi="Arial" w:cs="Arial"/>
          <w:b/>
          <w:bCs/>
          <w:sz w:val="20"/>
          <w:szCs w:val="20"/>
          <w:lang w:eastAsia="ru-RU"/>
        </w:rPr>
      </w:pPr>
      <w:r w:rsidRPr="00BF295E">
        <w:rPr>
          <w:rFonts w:ascii="Arial" w:eastAsia="Times New Roman" w:hAnsi="Arial" w:cs="Arial"/>
          <w:b/>
          <w:bCs/>
          <w:sz w:val="20"/>
          <w:szCs w:val="20"/>
          <w:lang w:eastAsia="ru-RU"/>
        </w:rPr>
        <w:t>2</w:t>
      </w:r>
      <w:r w:rsidR="003C4B06" w:rsidRPr="003C4B06">
        <w:rPr>
          <w:rFonts w:ascii="Arial" w:eastAsia="Times New Roman" w:hAnsi="Arial" w:cs="Arial"/>
          <w:b/>
          <w:bCs/>
          <w:lang w:eastAsia="ru-RU"/>
        </w:rPr>
        <w:t>. MATERIALS AND METHODS</w:t>
      </w:r>
    </w:p>
    <w:p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eastAsia="ru-RU"/>
        </w:rPr>
        <w:t>2.1 Materials</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Urea</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Commercially available agricultural-grade urea (46% N).</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Hydroquinone (HQ)</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Analytical grade, used as a nitrification inhibitor.</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Polymer Matrix</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 biodegradable polymer (e.g., polyvinyl alcohol, starch-based blend) was selected as the encapsulating agent.</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Solvents and Reagents</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Ethanol, distilled water, and plasticizers.</w:t>
      </w:r>
    </w:p>
    <w:p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val="en-US" w:eastAsia="ru-RU"/>
        </w:rPr>
        <w:t>2.2 Synthesis of Hydroquinone-Polymer Coating</w:t>
      </w:r>
      <w:r w:rsidRPr="002B129C">
        <w:rPr>
          <w:rFonts w:ascii="Arial" w:eastAsia="Times New Roman" w:hAnsi="Arial" w:cs="Arial"/>
          <w:sz w:val="20"/>
          <w:szCs w:val="20"/>
          <w:lang w:val="en-US" w:eastAsia="ru-RU"/>
        </w:rPr>
        <w:br/>
        <w:t xml:space="preserve">Hydroquinone was dissolved in ethanol and incorporated into the polymer matrix under controlled stirring and heating. The mixture was then cooled and used to coat pre-weighed urea granules using a pan coating method. </w:t>
      </w:r>
      <w:r w:rsidRPr="002B129C">
        <w:rPr>
          <w:rFonts w:ascii="Arial" w:eastAsia="Times New Roman" w:hAnsi="Arial" w:cs="Arial"/>
          <w:sz w:val="20"/>
          <w:szCs w:val="20"/>
          <w:lang w:eastAsia="ru-RU"/>
        </w:rPr>
        <w:t>Different hydroquinone concentrations (</w:t>
      </w:r>
      <w:r w:rsidR="00BF295E">
        <w:rPr>
          <w:rFonts w:ascii="Arial" w:eastAsia="Times New Roman" w:hAnsi="Arial" w:cs="Arial"/>
          <w:sz w:val="20"/>
          <w:szCs w:val="20"/>
          <w:lang w:val="en-US" w:eastAsia="ru-RU"/>
        </w:rPr>
        <w:t>0.1-1.0)</w:t>
      </w:r>
      <w:r w:rsidRPr="002B129C">
        <w:rPr>
          <w:rFonts w:ascii="Arial" w:eastAsia="Times New Roman" w:hAnsi="Arial" w:cs="Arial"/>
          <w:sz w:val="20"/>
          <w:szCs w:val="20"/>
          <w:lang w:eastAsia="ru-RU"/>
        </w:rPr>
        <w:t>were tested.</w:t>
      </w:r>
    </w:p>
    <w:p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eastAsia="ru-RU"/>
        </w:rPr>
        <w:t>2.3 Characterization and Testing</w:t>
      </w:r>
    </w:p>
    <w:p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Nitrogen Release Rate</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Standard soil incubation method (at 25°C) over 28 days.</w:t>
      </w:r>
    </w:p>
    <w:p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Granule Morphology</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Analyzed using scanning electron microscopy (SEM).</w:t>
      </w:r>
    </w:p>
    <w:p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lastRenderedPageBreak/>
        <w:t>Mechanical Strength</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Measured using a granule crushing strength tester.</w:t>
      </w:r>
    </w:p>
    <w:p w:rsidR="002B129C" w:rsidRPr="00BF295E"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FTIR and TGA Analyses</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To confirm chemical interactions and thermal stability.</w:t>
      </w:r>
    </w:p>
    <w:p w:rsidR="00432CDD" w:rsidRPr="00432CDD" w:rsidRDefault="00432CDD" w:rsidP="00F26D1D">
      <w:pPr>
        <w:spacing w:before="100" w:beforeAutospacing="1" w:after="100" w:afterAutospacing="1" w:line="276" w:lineRule="auto"/>
        <w:ind w:firstLine="360"/>
        <w:rPr>
          <w:rFonts w:ascii="Arial" w:eastAsia="Times New Roman" w:hAnsi="Arial" w:cs="Arial"/>
          <w:sz w:val="20"/>
          <w:szCs w:val="20"/>
          <w:lang w:val="en-US" w:eastAsia="ru-RU"/>
        </w:rPr>
      </w:pPr>
      <w:r w:rsidRPr="00432CDD">
        <w:rPr>
          <w:rFonts w:ascii="Arial" w:eastAsia="Times New Roman" w:hAnsi="Arial" w:cs="Arial"/>
          <w:sz w:val="20"/>
          <w:szCs w:val="20"/>
          <w:lang w:val="en-US" w:eastAsia="ru-RU"/>
        </w:rPr>
        <w:t>In the initial stage of the investigation, a thorough assessment of the physical properties of the hydroquinone-modified urea fertilizer formulations was performed to evaluate their suitability for agricultural application. The parameters selected for analysis included:</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Moisture Content</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Determined gravimetrically by drying samples at 105°C until constant weight, in accordanc</w:t>
      </w:r>
      <w:r w:rsidR="003C4B06">
        <w:rPr>
          <w:rFonts w:ascii="Arial" w:eastAsia="Times New Roman" w:hAnsi="Arial" w:cs="Arial"/>
          <w:sz w:val="20"/>
          <w:szCs w:val="20"/>
          <w:lang w:val="en-US" w:eastAsia="ru-RU"/>
        </w:rPr>
        <w:t>e with ASTM D4944-19 standards [</w:t>
      </w:r>
      <w:r w:rsidR="00AD2C7E">
        <w:rPr>
          <w:rFonts w:ascii="Arial" w:eastAsia="Times New Roman" w:hAnsi="Arial" w:cs="Arial"/>
          <w:sz w:val="20"/>
          <w:szCs w:val="20"/>
          <w:lang w:val="en-US" w:eastAsia="ru-RU"/>
        </w:rPr>
        <w:t>8</w:t>
      </w:r>
      <w:r w:rsidR="003C4B06">
        <w:rPr>
          <w:rFonts w:ascii="Arial" w:eastAsia="Times New Roman" w:hAnsi="Arial" w:cs="Arial"/>
          <w:sz w:val="20"/>
          <w:szCs w:val="20"/>
          <w:lang w:val="en-US" w:eastAsia="ru-RU"/>
        </w:rPr>
        <w:t>]</w:t>
      </w:r>
      <w:r w:rsidRPr="00432CDD">
        <w:rPr>
          <w:rFonts w:ascii="Arial" w:eastAsia="Times New Roman" w:hAnsi="Arial" w:cs="Arial"/>
          <w:sz w:val="20"/>
          <w:szCs w:val="20"/>
          <w:lang w:val="en-US" w:eastAsia="ru-RU"/>
        </w:rPr>
        <w:t>. Moisture levels are critical as they influence storage stability and caking tendency.</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Water Solubility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Measured by dissolving a known mass of fertilizer in distilled water at 25°C with continuous stirring, followed by filtration and gravimetric determi</w:t>
      </w:r>
      <w:r w:rsidR="003C4B06">
        <w:rPr>
          <w:rFonts w:ascii="Arial" w:eastAsia="Times New Roman" w:hAnsi="Arial" w:cs="Arial"/>
          <w:sz w:val="20"/>
          <w:szCs w:val="20"/>
          <w:lang w:val="en-US" w:eastAsia="ru-RU"/>
        </w:rPr>
        <w:t>nation of undissolved r</w:t>
      </w:r>
      <w:r w:rsidR="00AD2C7E">
        <w:rPr>
          <w:rFonts w:ascii="Arial" w:eastAsia="Times New Roman" w:hAnsi="Arial" w:cs="Arial"/>
          <w:sz w:val="20"/>
          <w:szCs w:val="20"/>
          <w:lang w:val="en-US" w:eastAsia="ru-RU"/>
        </w:rPr>
        <w:t>esidues [9</w:t>
      </w:r>
      <w:r w:rsidR="003C4B06">
        <w:rPr>
          <w:rFonts w:ascii="Arial" w:eastAsia="Times New Roman" w:hAnsi="Arial" w:cs="Arial"/>
          <w:sz w:val="20"/>
          <w:szCs w:val="20"/>
          <w:lang w:val="en-US" w:eastAsia="ru-RU"/>
        </w:rPr>
        <w:t>]</w:t>
      </w:r>
      <w:r w:rsidRPr="00432CDD">
        <w:rPr>
          <w:rFonts w:ascii="Arial" w:eastAsia="Times New Roman" w:hAnsi="Arial" w:cs="Arial"/>
          <w:sz w:val="20"/>
          <w:szCs w:val="20"/>
          <w:lang w:val="en-US" w:eastAsia="ru-RU"/>
        </w:rPr>
        <w:t>. This parameter reflects nutrient availability upon soil application.</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10% Fertilizer Solution Medium</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The physicochemical characteristics (pH, electrical conductivity) of a 10% (w/v) aqueous fertilizer solution were recorded using calibra</w:t>
      </w:r>
      <w:r w:rsidR="003C4B06">
        <w:rPr>
          <w:rFonts w:ascii="Arial" w:eastAsia="Times New Roman" w:hAnsi="Arial" w:cs="Arial"/>
          <w:sz w:val="20"/>
          <w:szCs w:val="20"/>
          <w:lang w:val="en-US" w:eastAsia="ru-RU"/>
        </w:rPr>
        <w:t>ted p</w:t>
      </w:r>
      <w:r w:rsidR="00AD2C7E">
        <w:rPr>
          <w:rFonts w:ascii="Arial" w:eastAsia="Times New Roman" w:hAnsi="Arial" w:cs="Arial"/>
          <w:sz w:val="20"/>
          <w:szCs w:val="20"/>
          <w:lang w:val="en-US" w:eastAsia="ru-RU"/>
        </w:rPr>
        <w:t>H and conductivity meters [10</w:t>
      </w:r>
      <w:r w:rsidR="003C4B06">
        <w:rPr>
          <w:rFonts w:ascii="Arial" w:eastAsia="Times New Roman" w:hAnsi="Arial" w:cs="Arial"/>
          <w:sz w:val="20"/>
          <w:szCs w:val="20"/>
          <w:lang w:val="en-US" w:eastAsia="ru-RU"/>
        </w:rPr>
        <w:t>]</w:t>
      </w:r>
      <w:r w:rsidRPr="00432CDD">
        <w:rPr>
          <w:rFonts w:ascii="Arial" w:eastAsia="Times New Roman" w:hAnsi="Arial" w:cs="Arial"/>
          <w:sz w:val="20"/>
          <w:szCs w:val="20"/>
          <w:lang w:val="en-US" w:eastAsia="ru-RU"/>
        </w:rPr>
        <w:t>. These parameters indicate the solution behavior and potential phytotoxicity.</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Crystallization Temperature</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Assessed using differential scanning calorimetry (DSC), providing insight into thermal stability and phase transitions rel</w:t>
      </w:r>
      <w:r w:rsidR="003C4B06">
        <w:rPr>
          <w:rFonts w:ascii="Arial" w:eastAsia="Times New Roman" w:hAnsi="Arial" w:cs="Arial"/>
          <w:sz w:val="20"/>
          <w:szCs w:val="20"/>
          <w:lang w:val="en-US" w:eastAsia="ru-RU"/>
        </w:rPr>
        <w:t>evant for storage and handling [</w:t>
      </w:r>
      <w:r w:rsidR="00AD2C7E">
        <w:rPr>
          <w:rFonts w:ascii="Arial" w:eastAsia="Times New Roman" w:hAnsi="Arial" w:cs="Arial"/>
          <w:sz w:val="20"/>
          <w:szCs w:val="20"/>
          <w:lang w:val="en-US" w:eastAsia="ru-RU"/>
        </w:rPr>
        <w:t>11</w:t>
      </w:r>
      <w:r w:rsidR="003C4B06">
        <w:rPr>
          <w:rFonts w:ascii="Arial" w:eastAsia="Times New Roman" w:hAnsi="Arial" w:cs="Arial"/>
          <w:sz w:val="20"/>
          <w:szCs w:val="20"/>
          <w:lang w:val="en-US" w:eastAsia="ru-RU"/>
        </w:rPr>
        <w:t>]</w:t>
      </w:r>
      <w:r w:rsidRPr="00432CDD">
        <w:rPr>
          <w:rFonts w:ascii="Arial" w:eastAsia="Times New Roman" w:hAnsi="Arial" w:cs="Arial"/>
          <w:sz w:val="20"/>
          <w:szCs w:val="20"/>
          <w:lang w:val="en-US" w:eastAsia="ru-RU"/>
        </w:rPr>
        <w:t>.</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Hygroscopicity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Evaluated by exposing samples to controlled humidity environments (75% RH at 25°C) for 72 hours and measuring weight gain, as per ISO 9898:2000. This property affects fertilizer flowability and caking.</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Granule Strength</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Determined by applying compressive force to individual granules using a texture analyzer (</w:t>
      </w:r>
      <w:proofErr w:type="gramStart"/>
      <w:r w:rsidRPr="00432CDD">
        <w:rPr>
          <w:rFonts w:ascii="Arial" w:eastAsia="Times New Roman" w:hAnsi="Arial" w:cs="Arial"/>
          <w:sz w:val="20"/>
          <w:szCs w:val="20"/>
          <w:lang w:val="en-US" w:eastAsia="ru-RU"/>
        </w:rPr>
        <w:t>TA.XT</w:t>
      </w:r>
      <w:proofErr w:type="gramEnd"/>
      <w:r w:rsidRPr="00432CDD">
        <w:rPr>
          <w:rFonts w:ascii="Arial" w:eastAsia="Times New Roman" w:hAnsi="Arial" w:cs="Arial"/>
          <w:sz w:val="20"/>
          <w:szCs w:val="20"/>
          <w:lang w:val="en-US" w:eastAsia="ru-RU"/>
        </w:rPr>
        <w:t xml:space="preserve"> Plus) until fracture, following the procedure outlined by</w:t>
      </w:r>
      <w:r w:rsidR="003C4B06">
        <w:rPr>
          <w:rFonts w:ascii="Arial" w:eastAsia="Times New Roman" w:hAnsi="Arial" w:cs="Arial"/>
          <w:sz w:val="20"/>
          <w:szCs w:val="20"/>
          <w:lang w:val="en-US" w:eastAsia="ru-RU"/>
        </w:rPr>
        <w:t xml:space="preserve"> [</w:t>
      </w:r>
      <w:r w:rsidR="00AD2C7E">
        <w:rPr>
          <w:rFonts w:ascii="Arial" w:eastAsia="Times New Roman" w:hAnsi="Arial" w:cs="Arial"/>
          <w:sz w:val="20"/>
          <w:szCs w:val="20"/>
          <w:lang w:val="en-US" w:eastAsia="ru-RU"/>
        </w:rPr>
        <w:t>12</w:t>
      </w:r>
      <w:r w:rsidR="003C4B06">
        <w:rPr>
          <w:rFonts w:ascii="Arial" w:eastAsia="Times New Roman" w:hAnsi="Arial" w:cs="Arial"/>
          <w:sz w:val="20"/>
          <w:szCs w:val="20"/>
          <w:lang w:val="en-US" w:eastAsia="ru-RU"/>
        </w:rPr>
        <w:t>]</w:t>
      </w:r>
      <w:r w:rsidRPr="00432CDD">
        <w:rPr>
          <w:rFonts w:ascii="Arial" w:eastAsia="Times New Roman" w:hAnsi="Arial" w:cs="Arial"/>
          <w:sz w:val="20"/>
          <w:szCs w:val="20"/>
          <w:lang w:val="en-US" w:eastAsia="ru-RU"/>
        </w:rPr>
        <w:t>. Mechanical strength is vital for minimizing breakage during handling.</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Density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Bulk and tapped densities were measured following ASTM D7481-09 protocols, providing data on packing behavior and flow characteristics.</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Viscosity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For polymer-coated formulations, viscosity of coating solutions was measured using a rotational viscometer at controlled shear rates and temperature </w:t>
      </w:r>
      <w:r w:rsidR="003C4B06">
        <w:rPr>
          <w:rFonts w:ascii="Arial" w:eastAsia="Times New Roman" w:hAnsi="Arial" w:cs="Arial"/>
          <w:sz w:val="20"/>
          <w:szCs w:val="20"/>
          <w:lang w:val="en-US" w:eastAsia="ru-RU"/>
        </w:rPr>
        <w:t>[</w:t>
      </w:r>
      <w:proofErr w:type="gramStart"/>
      <w:r w:rsidR="00AD2C7E">
        <w:rPr>
          <w:rFonts w:ascii="Arial" w:eastAsia="Times New Roman" w:hAnsi="Arial" w:cs="Arial"/>
          <w:sz w:val="20"/>
          <w:szCs w:val="20"/>
          <w:lang w:val="en-US" w:eastAsia="ru-RU"/>
        </w:rPr>
        <w:t>13</w:t>
      </w:r>
      <w:r w:rsidR="003C4B06">
        <w:rPr>
          <w:rFonts w:ascii="Arial" w:eastAsia="Times New Roman" w:hAnsi="Arial" w:cs="Arial"/>
          <w:sz w:val="20"/>
          <w:szCs w:val="20"/>
          <w:lang w:val="en-US" w:eastAsia="ru-RU"/>
        </w:rPr>
        <w:t>]</w:t>
      </w:r>
      <w:r w:rsidRPr="00432CDD">
        <w:rPr>
          <w:rFonts w:ascii="Arial" w:eastAsia="Times New Roman" w:hAnsi="Arial" w:cs="Arial"/>
          <w:sz w:val="20"/>
          <w:szCs w:val="20"/>
          <w:lang w:val="en-US" w:eastAsia="ru-RU"/>
        </w:rPr>
        <w:t>(</w:t>
      </w:r>
      <w:proofErr w:type="gramEnd"/>
      <w:r w:rsidRPr="00432CDD">
        <w:rPr>
          <w:rFonts w:ascii="Arial" w:eastAsia="Times New Roman" w:hAnsi="Arial" w:cs="Arial"/>
          <w:sz w:val="20"/>
          <w:szCs w:val="20"/>
          <w:lang w:val="en-US" w:eastAsia="ru-RU"/>
        </w:rPr>
        <w:t>25°C), as viscosity influences coating uniformity.</w:t>
      </w:r>
    </w:p>
    <w:p w:rsidR="005272B5" w:rsidRDefault="005272B5" w:rsidP="00F26D1D">
      <w:pPr>
        <w:spacing w:before="100" w:beforeAutospacing="1" w:after="100" w:afterAutospacing="1" w:line="276" w:lineRule="auto"/>
        <w:ind w:left="720"/>
        <w:rPr>
          <w:rFonts w:ascii="Arial" w:eastAsia="Times New Roman" w:hAnsi="Arial" w:cs="Arial"/>
          <w:lang w:val="en-US" w:eastAsia="ru-RU"/>
        </w:rPr>
      </w:pPr>
    </w:p>
    <w:p w:rsidR="00F26D1D" w:rsidRPr="003C4B06" w:rsidRDefault="00F26D1D" w:rsidP="00F26D1D">
      <w:pPr>
        <w:spacing w:before="100" w:beforeAutospacing="1" w:after="100" w:afterAutospacing="1" w:line="276" w:lineRule="auto"/>
        <w:ind w:left="720"/>
        <w:rPr>
          <w:rFonts w:ascii="Arial" w:eastAsia="Times New Roman" w:hAnsi="Arial" w:cs="Arial"/>
          <w:lang w:val="en-US" w:eastAsia="ru-RU"/>
        </w:rPr>
      </w:pPr>
    </w:p>
    <w:p w:rsidR="005272B5" w:rsidRPr="005E203F" w:rsidRDefault="003C4B06" w:rsidP="00F26D1D">
      <w:pPr>
        <w:spacing w:before="100" w:beforeAutospacing="1" w:after="100" w:afterAutospacing="1" w:line="276" w:lineRule="auto"/>
        <w:ind w:firstLine="360"/>
        <w:rPr>
          <w:rFonts w:ascii="Arial" w:hAnsi="Arial" w:cs="Arial"/>
          <w:b/>
          <w:lang w:val="en-US"/>
        </w:rPr>
      </w:pPr>
      <w:r w:rsidRPr="005E203F">
        <w:rPr>
          <w:rFonts w:ascii="Arial" w:hAnsi="Arial" w:cs="Arial"/>
          <w:b/>
          <w:lang w:val="en-US"/>
        </w:rPr>
        <w:t>3. RESULTS AND DISCUSSION</w:t>
      </w:r>
    </w:p>
    <w:p w:rsidR="00432CDD" w:rsidRPr="00BF295E" w:rsidRDefault="005272B5" w:rsidP="00AD2C7E">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 xml:space="preserve">At the initial stage of this study, hydroquinone was incorporated into urea at varying concentrations ranging from 0.1 to 1.0 norm units. Each resulting fertilizer formulation was subjected to comprehensive physicochemical characterization to evaluate its properties and performance. The analytical data obtained from these tests were systematically compiled and tabulated for comparative </w:t>
      </w:r>
      <w:proofErr w:type="spellStart"/>
      <w:proofErr w:type="gramStart"/>
      <w:r w:rsidRPr="00BF295E">
        <w:rPr>
          <w:rFonts w:ascii="Arial" w:hAnsi="Arial" w:cs="Arial"/>
          <w:sz w:val="20"/>
          <w:szCs w:val="20"/>
          <w:lang w:val="en-US"/>
        </w:rPr>
        <w:t>assessment.Based</w:t>
      </w:r>
      <w:proofErr w:type="spellEnd"/>
      <w:proofErr w:type="gramEnd"/>
      <w:r w:rsidRPr="00BF295E">
        <w:rPr>
          <w:rFonts w:ascii="Arial" w:hAnsi="Arial" w:cs="Arial"/>
          <w:sz w:val="20"/>
          <w:szCs w:val="20"/>
          <w:lang w:val="en-US"/>
        </w:rPr>
        <w:t xml:space="preserve"> on these preliminary findings, the formulation demonstrating optimal characteristics was selected for further detailed investigation. Specifically, the encapsulated fertilizer corresponding to this optimal hydroquinone concentration underwent morphological examination using Scanning Electron Microscopy (SEM) to elucidate surface structure and coating uniformity. Additionally, Infrared (IR) spectroscopy analysis was performed to identify functional groups and confirm the chemical integration of hydroquinone within the polymer </w:t>
      </w:r>
      <w:proofErr w:type="spellStart"/>
      <w:proofErr w:type="gramStart"/>
      <w:r w:rsidRPr="00BF295E">
        <w:rPr>
          <w:rFonts w:ascii="Arial" w:hAnsi="Arial" w:cs="Arial"/>
          <w:sz w:val="20"/>
          <w:szCs w:val="20"/>
          <w:lang w:val="en-US"/>
        </w:rPr>
        <w:t>matrix.</w:t>
      </w:r>
      <w:r w:rsidR="00432CDD" w:rsidRPr="00BF295E">
        <w:rPr>
          <w:rFonts w:ascii="Arial" w:hAnsi="Arial" w:cs="Arial"/>
          <w:sz w:val="20"/>
          <w:szCs w:val="20"/>
          <w:lang w:val="en-US"/>
        </w:rPr>
        <w:t>At</w:t>
      </w:r>
      <w:proofErr w:type="spellEnd"/>
      <w:proofErr w:type="gramEnd"/>
      <w:r w:rsidR="00432CDD" w:rsidRPr="00BF295E">
        <w:rPr>
          <w:rFonts w:ascii="Arial" w:hAnsi="Arial" w:cs="Arial"/>
          <w:sz w:val="20"/>
          <w:szCs w:val="20"/>
          <w:lang w:val="en-US"/>
        </w:rPr>
        <w:t xml:space="preserve"> the initial phase of the study, a comprehensive evaluation of the physical properties of the synthesized fertilizer formulations was conducted. The parameters assessed included moisture content, water solubility, characteristics of a 10% fertilizer solution, crystallization temperature, hygroscopicity, granule strength, density, and viscosity, among other relevant indicators. These properties were measured using standardized analytical techniques to ensure reliability and reproducibility.</w:t>
      </w:r>
    </w:p>
    <w:p w:rsidR="00432CDD" w:rsidRPr="00BF295E" w:rsidRDefault="00432CDD"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 xml:space="preserve">The obtained experimental data were systematically organized and presented in tabular form for clear comparison and analysis. Detailed results are compiled in Tables 1, 2, and 3, which illustrate the </w:t>
      </w:r>
      <w:r w:rsidRPr="00BF295E">
        <w:rPr>
          <w:rFonts w:ascii="Arial" w:hAnsi="Arial" w:cs="Arial"/>
          <w:sz w:val="20"/>
          <w:szCs w:val="20"/>
          <w:lang w:val="en-US"/>
        </w:rPr>
        <w:lastRenderedPageBreak/>
        <w:t>variations in physical characteristics across different hydroquinone concentrations incorporated into the urea formulations.</w:t>
      </w:r>
    </w:p>
    <w:p w:rsidR="00432CDD" w:rsidRPr="00BF295E" w:rsidRDefault="00E51C7B" w:rsidP="00AC4401">
      <w:pPr>
        <w:spacing w:after="120" w:line="276" w:lineRule="auto"/>
        <w:ind w:firstLine="539"/>
        <w:jc w:val="center"/>
        <w:rPr>
          <w:rFonts w:ascii="Arial" w:hAnsi="Arial" w:cs="Arial"/>
          <w:b/>
          <w:color w:val="000000"/>
          <w:sz w:val="20"/>
          <w:szCs w:val="20"/>
          <w:lang w:val="en-US"/>
        </w:rPr>
      </w:pPr>
      <w:r w:rsidRPr="00BF295E">
        <w:rPr>
          <w:rFonts w:ascii="Arial" w:hAnsi="Arial" w:cs="Arial"/>
          <w:b/>
          <w:color w:val="000000"/>
          <w:sz w:val="20"/>
          <w:szCs w:val="20"/>
          <w:lang w:val="en-US"/>
        </w:rPr>
        <w:t>Table 1.</w:t>
      </w:r>
    </w:p>
    <w:p w:rsidR="00432CDD" w:rsidRPr="00BF295E" w:rsidRDefault="00432CDD" w:rsidP="00F26D1D">
      <w:pPr>
        <w:spacing w:after="120" w:line="276" w:lineRule="auto"/>
        <w:ind w:firstLine="539"/>
        <w:jc w:val="center"/>
        <w:rPr>
          <w:rFonts w:ascii="Arial" w:hAnsi="Arial" w:cs="Arial"/>
          <w:b/>
          <w:color w:val="000000"/>
          <w:sz w:val="20"/>
          <w:szCs w:val="20"/>
          <w:lang w:val="en-US"/>
        </w:rPr>
      </w:pPr>
      <w:r w:rsidRPr="00BF295E">
        <w:rPr>
          <w:rFonts w:ascii="Arial" w:hAnsi="Arial" w:cs="Arial"/>
          <w:b/>
          <w:color w:val="000000"/>
          <w:sz w:val="20"/>
          <w:szCs w:val="20"/>
          <w:lang w:val="en-US"/>
        </w:rPr>
        <w:t xml:space="preserve">Composition </w:t>
      </w:r>
      <w:r w:rsidRPr="00BF295E">
        <w:rPr>
          <w:rFonts w:ascii="Arial" w:hAnsi="Arial" w:cs="Arial"/>
          <w:b/>
          <w:color w:val="000000"/>
          <w:sz w:val="20"/>
          <w:szCs w:val="20"/>
          <w:lang w:val="uz-Cyrl-UZ"/>
        </w:rPr>
        <w:t xml:space="preserve">of granulated </w:t>
      </w:r>
      <w:r w:rsidRPr="00BF295E">
        <w:rPr>
          <w:rFonts w:ascii="Arial" w:hAnsi="Arial" w:cs="Arial"/>
          <w:b/>
          <w:color w:val="000000"/>
          <w:sz w:val="20"/>
          <w:szCs w:val="20"/>
          <w:lang w:val="en-US"/>
        </w:rPr>
        <w:t xml:space="preserve">urea </w:t>
      </w:r>
      <w:r w:rsidRPr="00BF295E">
        <w:rPr>
          <w:rFonts w:ascii="Arial" w:hAnsi="Arial" w:cs="Arial"/>
          <w:b/>
          <w:color w:val="000000"/>
          <w:sz w:val="20"/>
          <w:szCs w:val="20"/>
          <w:lang w:val="uz-Cyrl-UZ"/>
        </w:rPr>
        <w:t>with the addition of Hydroquinone</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304"/>
        <w:gridCol w:w="2159"/>
        <w:gridCol w:w="1407"/>
        <w:gridCol w:w="1629"/>
      </w:tblGrid>
      <w:tr w:rsidR="00432CDD" w:rsidRPr="00BF295E" w:rsidTr="00F44A15">
        <w:trPr>
          <w:trHeight w:val="70"/>
          <w:jc w:val="center"/>
        </w:trPr>
        <w:tc>
          <w:tcPr>
            <w:tcW w:w="2759"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r w:rsidRPr="00BF295E">
              <w:rPr>
                <w:rFonts w:ascii="Arial" w:hAnsi="Arial" w:cs="Arial"/>
                <w:sz w:val="20"/>
                <w:szCs w:val="20"/>
                <w:lang w:val="en-US"/>
              </w:rPr>
              <w:t>Hydroquinone</w:t>
            </w:r>
          </w:p>
        </w:tc>
        <w:tc>
          <w:tcPr>
            <w:tcW w:w="1304" w:type="dxa"/>
            <w:shd w:val="clear" w:color="auto" w:fill="auto"/>
          </w:tcPr>
          <w:p w:rsidR="00432CDD" w:rsidRPr="00BF295E" w:rsidRDefault="00432CDD" w:rsidP="00F26D1D">
            <w:pPr>
              <w:tabs>
                <w:tab w:val="left" w:pos="180"/>
                <w:tab w:val="center" w:pos="666"/>
              </w:tabs>
              <w:spacing w:after="0" w:line="276" w:lineRule="auto"/>
              <w:jc w:val="center"/>
              <w:rPr>
                <w:rFonts w:ascii="Arial" w:hAnsi="Arial" w:cs="Arial"/>
                <w:sz w:val="20"/>
                <w:szCs w:val="20"/>
              </w:rPr>
            </w:pPr>
            <w:r w:rsidRPr="00BF295E">
              <w:rPr>
                <w:rFonts w:ascii="Arial" w:hAnsi="Arial" w:cs="Arial"/>
                <w:sz w:val="20"/>
                <w:szCs w:val="20"/>
              </w:rPr>
              <w:t>N,</w:t>
            </w:r>
          </w:p>
          <w:p w:rsidR="00432CDD" w:rsidRPr="00BF295E" w:rsidRDefault="00432CDD" w:rsidP="00F26D1D">
            <w:pPr>
              <w:tabs>
                <w:tab w:val="left" w:pos="180"/>
                <w:tab w:val="center" w:pos="666"/>
              </w:tabs>
              <w:spacing w:after="0" w:line="276" w:lineRule="auto"/>
              <w:jc w:val="center"/>
              <w:rPr>
                <w:rFonts w:ascii="Arial" w:hAnsi="Arial" w:cs="Arial"/>
                <w:sz w:val="20"/>
                <w:szCs w:val="20"/>
              </w:rPr>
            </w:pPr>
            <w:r w:rsidRPr="00BF295E">
              <w:rPr>
                <w:rFonts w:ascii="Arial" w:hAnsi="Arial" w:cs="Arial"/>
                <w:sz w:val="20"/>
                <w:szCs w:val="20"/>
              </w:rPr>
              <w:t>%</w:t>
            </w:r>
          </w:p>
        </w:tc>
        <w:tc>
          <w:tcPr>
            <w:tcW w:w="2159" w:type="dxa"/>
            <w:shd w:val="clear" w:color="auto" w:fill="auto"/>
          </w:tcPr>
          <w:p w:rsidR="00432CDD" w:rsidRPr="00BF295E" w:rsidRDefault="00432CDD" w:rsidP="00F26D1D">
            <w:pPr>
              <w:spacing w:after="120" w:line="276" w:lineRule="auto"/>
              <w:ind w:firstLine="539"/>
              <w:jc w:val="center"/>
              <w:rPr>
                <w:rFonts w:ascii="Arial" w:hAnsi="Arial" w:cs="Arial"/>
                <w:color w:val="000000"/>
                <w:sz w:val="20"/>
                <w:szCs w:val="20"/>
                <w:lang w:val="en-US"/>
              </w:rPr>
            </w:pPr>
            <w:r w:rsidRPr="00BF295E">
              <w:rPr>
                <w:rFonts w:ascii="Arial" w:hAnsi="Arial" w:cs="Arial"/>
                <w:color w:val="000000"/>
                <w:sz w:val="20"/>
                <w:szCs w:val="20"/>
                <w:lang w:val="uz-Cyrl-UZ"/>
              </w:rPr>
              <w:t>Hydroquinone</w:t>
            </w:r>
          </w:p>
          <w:p w:rsidR="00432CDD" w:rsidRPr="00BF295E" w:rsidRDefault="00432CDD" w:rsidP="00F26D1D">
            <w:pPr>
              <w:tabs>
                <w:tab w:val="left" w:pos="180"/>
                <w:tab w:val="center" w:pos="666"/>
              </w:tabs>
              <w:spacing w:after="0" w:line="276" w:lineRule="auto"/>
              <w:jc w:val="center"/>
              <w:rPr>
                <w:rFonts w:ascii="Arial" w:hAnsi="Arial" w:cs="Arial"/>
                <w:sz w:val="20"/>
                <w:szCs w:val="20"/>
                <w:lang w:val="en-US"/>
              </w:rPr>
            </w:pPr>
            <w:r w:rsidRPr="00BF295E">
              <w:rPr>
                <w:rFonts w:ascii="Arial" w:hAnsi="Arial" w:cs="Arial"/>
                <w:sz w:val="20"/>
                <w:szCs w:val="20"/>
              </w:rPr>
              <w:t>%</w:t>
            </w:r>
          </w:p>
        </w:tc>
        <w:tc>
          <w:tcPr>
            <w:tcW w:w="1407" w:type="dxa"/>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Biuret,</w:t>
            </w:r>
          </w:p>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w:t>
            </w:r>
          </w:p>
        </w:tc>
        <w:tc>
          <w:tcPr>
            <w:tcW w:w="1629" w:type="dxa"/>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rPr>
              <w:t xml:space="preserve">Moisture </w:t>
            </w:r>
            <w:r w:rsidRPr="00BF295E">
              <w:rPr>
                <w:rFonts w:ascii="Arial" w:hAnsi="Arial" w:cs="Arial"/>
                <w:bCs/>
                <w:sz w:val="20"/>
                <w:szCs w:val="20"/>
                <w:lang w:val="en-US"/>
              </w:rPr>
              <w:t>,</w:t>
            </w:r>
          </w:p>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w:t>
            </w:r>
          </w:p>
        </w:tc>
      </w:tr>
      <w:tr w:rsidR="00432CDD" w:rsidRPr="00BF295E" w:rsidTr="00F44A15">
        <w:trPr>
          <w:trHeight w:val="238"/>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100:0</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46.20</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0.00</w:t>
            </w:r>
          </w:p>
        </w:tc>
        <w:tc>
          <w:tcPr>
            <w:tcW w:w="1407" w:type="dxa"/>
            <w:tcBorders>
              <w:top w:val="nil"/>
            </w:tcBorders>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tcBorders>
              <w:top w:val="nil"/>
            </w:tcBorders>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0.23</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46.09</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0.09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0.22</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46.</w:t>
            </w:r>
            <w:r w:rsidRPr="00BF295E">
              <w:rPr>
                <w:rFonts w:ascii="Arial" w:hAnsi="Arial" w:cs="Arial"/>
                <w:sz w:val="20"/>
                <w:szCs w:val="20"/>
              </w:rPr>
              <w:t>06</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0.19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0.22</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46.01</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0.28</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1.32</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0.21</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4</w:t>
            </w:r>
            <w:r w:rsidRPr="00BF295E">
              <w:rPr>
                <w:rFonts w:ascii="Arial" w:hAnsi="Arial" w:cs="Arial"/>
                <w:sz w:val="20"/>
                <w:szCs w:val="20"/>
              </w:rPr>
              <w:t>5</w:t>
            </w:r>
            <w:r w:rsidRPr="00BF295E">
              <w:rPr>
                <w:rFonts w:ascii="Arial" w:hAnsi="Arial" w:cs="Arial"/>
                <w:sz w:val="20"/>
                <w:szCs w:val="20"/>
                <w:lang w:val="en-US"/>
              </w:rPr>
              <w:t>.</w:t>
            </w:r>
            <w:r w:rsidRPr="00BF295E">
              <w:rPr>
                <w:rFonts w:ascii="Arial" w:hAnsi="Arial" w:cs="Arial"/>
                <w:sz w:val="20"/>
                <w:szCs w:val="20"/>
              </w:rPr>
              <w:t>94</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0.39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1.32</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0.21</w:t>
            </w:r>
          </w:p>
        </w:tc>
      </w:tr>
      <w:tr w:rsidR="00432CDD" w:rsidRPr="00BF295E" w:rsidTr="00F44A15">
        <w:trPr>
          <w:trHeight w:val="396"/>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45.98</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0.47</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0.20</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45.94</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0.58</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0.20</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45.89</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0.69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1.30</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0.19</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45.83</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0.78</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1.29</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0.19</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45.71</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0.89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1.28</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0.18</w:t>
            </w:r>
          </w:p>
        </w:tc>
      </w:tr>
      <w:tr w:rsidR="00432CDD" w:rsidRPr="00BF295E" w:rsidTr="00F44A15">
        <w:trPr>
          <w:trHeight w:val="83"/>
          <w:jc w:val="center"/>
        </w:trPr>
        <w:tc>
          <w:tcPr>
            <w:tcW w:w="2759" w:type="dxa"/>
            <w:shd w:val="clear" w:color="auto" w:fill="auto"/>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1304"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45.65</w:t>
            </w:r>
          </w:p>
        </w:tc>
        <w:tc>
          <w:tcPr>
            <w:tcW w:w="2159"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0.98</w:t>
            </w:r>
          </w:p>
        </w:tc>
        <w:tc>
          <w:tcPr>
            <w:tcW w:w="1407"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1.28</w:t>
            </w:r>
          </w:p>
        </w:tc>
        <w:tc>
          <w:tcPr>
            <w:tcW w:w="1629"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0.17</w:t>
            </w:r>
          </w:p>
        </w:tc>
      </w:tr>
    </w:tbl>
    <w:p w:rsidR="00F26D1D" w:rsidRDefault="00F26D1D" w:rsidP="000556D0">
      <w:pPr>
        <w:tabs>
          <w:tab w:val="left" w:pos="284"/>
        </w:tabs>
        <w:spacing w:after="120" w:line="276" w:lineRule="auto"/>
        <w:rPr>
          <w:rFonts w:ascii="Arial" w:hAnsi="Arial" w:cs="Arial"/>
          <w:b/>
          <w:sz w:val="20"/>
          <w:szCs w:val="20"/>
          <w:lang w:val="en-US"/>
        </w:rPr>
      </w:pPr>
    </w:p>
    <w:p w:rsidR="00E51C7B" w:rsidRPr="00BF295E" w:rsidRDefault="00E51C7B" w:rsidP="00AC4401">
      <w:pPr>
        <w:tabs>
          <w:tab w:val="left" w:pos="284"/>
        </w:tabs>
        <w:spacing w:after="120" w:line="276" w:lineRule="auto"/>
        <w:ind w:firstLine="539"/>
        <w:jc w:val="center"/>
        <w:rPr>
          <w:rFonts w:ascii="Arial" w:hAnsi="Arial" w:cs="Arial"/>
          <w:b/>
          <w:sz w:val="20"/>
          <w:szCs w:val="20"/>
          <w:lang w:val="en-US"/>
        </w:rPr>
      </w:pPr>
      <w:r w:rsidRPr="00BF295E">
        <w:rPr>
          <w:rFonts w:ascii="Arial" w:hAnsi="Arial" w:cs="Arial"/>
          <w:b/>
          <w:sz w:val="20"/>
          <w:szCs w:val="20"/>
          <w:lang w:val="en-US"/>
        </w:rPr>
        <w:t>Table 2</w:t>
      </w:r>
    </w:p>
    <w:p w:rsidR="00432CDD" w:rsidRPr="00BF295E" w:rsidRDefault="00432CDD" w:rsidP="00F26D1D">
      <w:pPr>
        <w:tabs>
          <w:tab w:val="left" w:pos="284"/>
        </w:tabs>
        <w:spacing w:after="120" w:line="276" w:lineRule="auto"/>
        <w:ind w:firstLine="539"/>
        <w:jc w:val="center"/>
        <w:rPr>
          <w:rFonts w:ascii="Arial" w:hAnsi="Arial" w:cs="Arial"/>
          <w:b/>
          <w:color w:val="000000"/>
          <w:sz w:val="20"/>
          <w:szCs w:val="20"/>
          <w:lang w:val="uz-Cyrl-UZ"/>
        </w:rPr>
      </w:pPr>
      <w:r w:rsidRPr="00BF295E">
        <w:rPr>
          <w:rFonts w:ascii="Arial" w:hAnsi="Arial" w:cs="Arial"/>
          <w:b/>
          <w:sz w:val="20"/>
          <w:szCs w:val="20"/>
          <w:lang w:val="en-US"/>
        </w:rPr>
        <w:t xml:space="preserve">Properties of </w:t>
      </w:r>
      <w:r w:rsidRPr="00BF295E">
        <w:rPr>
          <w:rFonts w:ascii="Arial" w:hAnsi="Arial" w:cs="Arial"/>
          <w:b/>
          <w:sz w:val="20"/>
          <w:szCs w:val="20"/>
          <w:lang w:val="uz-Cyrl-UZ"/>
        </w:rPr>
        <w:t xml:space="preserve">granulated </w:t>
      </w:r>
      <w:r w:rsidRPr="00BF295E">
        <w:rPr>
          <w:rFonts w:ascii="Arial" w:hAnsi="Arial" w:cs="Arial"/>
          <w:b/>
          <w:sz w:val="20"/>
          <w:szCs w:val="20"/>
          <w:lang w:val="en-US"/>
        </w:rPr>
        <w:t>urea</w:t>
      </w:r>
      <w:r w:rsidRPr="00BF295E">
        <w:rPr>
          <w:rFonts w:ascii="Arial" w:hAnsi="Arial" w:cs="Arial"/>
          <w:b/>
          <w:sz w:val="20"/>
          <w:szCs w:val="20"/>
          <w:lang w:val="uz-Cyrl-UZ"/>
        </w:rPr>
        <w:t xml:space="preserve"> </w:t>
      </w:r>
      <w:r w:rsidRPr="00BF295E">
        <w:rPr>
          <w:rFonts w:ascii="Arial" w:hAnsi="Arial" w:cs="Arial"/>
          <w:b/>
          <w:color w:val="000000"/>
          <w:sz w:val="20"/>
          <w:szCs w:val="20"/>
          <w:lang w:val="uz-Cyrl-UZ"/>
        </w:rPr>
        <w:t>with added Hydroquinone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276"/>
        <w:gridCol w:w="1134"/>
        <w:gridCol w:w="1417"/>
        <w:gridCol w:w="1531"/>
        <w:gridCol w:w="1134"/>
        <w:gridCol w:w="850"/>
        <w:gridCol w:w="851"/>
      </w:tblGrid>
      <w:tr w:rsidR="00432CDD" w:rsidRPr="00BF295E" w:rsidTr="00F44A15">
        <w:trPr>
          <w:trHeight w:val="359"/>
        </w:trPr>
        <w:tc>
          <w:tcPr>
            <w:tcW w:w="1872" w:type="dxa"/>
            <w:vMerge w:val="restart"/>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r w:rsidRPr="00BF295E">
              <w:rPr>
                <w:rFonts w:ascii="Arial" w:hAnsi="Arial" w:cs="Arial"/>
                <w:color w:val="000000"/>
                <w:sz w:val="20"/>
                <w:szCs w:val="20"/>
                <w:lang w:val="uz-Cyrl-UZ"/>
              </w:rPr>
              <w:t>Hydroquinone</w:t>
            </w:r>
          </w:p>
        </w:tc>
        <w:tc>
          <w:tcPr>
            <w:tcW w:w="1276" w:type="dxa"/>
            <w:vMerge w:val="restart"/>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Speed of dissolution</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rhenium granules</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in water, seconds</w:t>
            </w:r>
          </w:p>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/granules</w:t>
            </w:r>
          </w:p>
        </w:tc>
        <w:tc>
          <w:tcPr>
            <w:tcW w:w="1134" w:type="dxa"/>
            <w:vMerge w:val="restart"/>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pH</w:t>
            </w:r>
          </w:p>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 solution</w:t>
            </w:r>
          </w:p>
        </w:tc>
        <w:tc>
          <w:tcPr>
            <w:tcW w:w="1417" w:type="dxa"/>
            <w:vMerge w:val="restart"/>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uz-Cyrl-UZ"/>
              </w:rPr>
              <w:t>Crystalli</w:t>
            </w:r>
            <w:r w:rsidRPr="00BF295E">
              <w:rPr>
                <w:rFonts w:ascii="Arial" w:hAnsi="Arial" w:cs="Arial"/>
                <w:sz w:val="20"/>
                <w:szCs w:val="20"/>
                <w:lang w:val="en-US"/>
              </w:rPr>
              <w:t>-</w:t>
            </w:r>
            <w:r w:rsidRPr="00BF295E">
              <w:rPr>
                <w:rFonts w:ascii="Arial" w:hAnsi="Arial" w:cs="Arial"/>
                <w:sz w:val="20"/>
                <w:szCs w:val="20"/>
                <w:lang w:val="uz-Cyrl-UZ"/>
              </w:rPr>
              <w:t xml:space="preserve">zation temperature </w:t>
            </w:r>
            <w:r w:rsidRPr="00BF295E">
              <w:rPr>
                <w:rFonts w:ascii="Arial" w:hAnsi="Arial" w:cs="Arial"/>
                <w:sz w:val="20"/>
                <w:szCs w:val="20"/>
                <w:vertAlign w:val="superscript"/>
                <w:lang w:val="uz-Cyrl-UZ"/>
              </w:rPr>
              <w:t>o</w:t>
            </w:r>
            <w:r w:rsidRPr="00BF295E">
              <w:rPr>
                <w:rFonts w:ascii="Arial" w:hAnsi="Arial" w:cs="Arial"/>
                <w:sz w:val="20"/>
                <w:szCs w:val="20"/>
                <w:lang w:val="uz-Cyrl-UZ"/>
              </w:rPr>
              <w:t>C</w:t>
            </w:r>
          </w:p>
        </w:tc>
        <w:tc>
          <w:tcPr>
            <w:tcW w:w="1531" w:type="dxa"/>
            <w:vMerge w:val="restart"/>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Hygroscopic</w:t>
            </w:r>
          </w:p>
          <w:p w:rsidR="00432CDD" w:rsidRPr="00BF295E" w:rsidRDefault="00432CDD" w:rsidP="00F26D1D">
            <w:pPr>
              <w:spacing w:after="0" w:line="276" w:lineRule="auto"/>
              <w:jc w:val="center"/>
              <w:rPr>
                <w:rFonts w:ascii="Arial" w:hAnsi="Arial" w:cs="Arial"/>
                <w:sz w:val="20"/>
                <w:szCs w:val="20"/>
                <w:lang w:val="uz-Cyrl-UZ"/>
              </w:rPr>
            </w:pPr>
            <w:r w:rsidRPr="00BF295E">
              <w:rPr>
                <w:rFonts w:ascii="Arial" w:hAnsi="Arial" w:cs="Arial"/>
                <w:sz w:val="20"/>
                <w:szCs w:val="20"/>
              </w:rPr>
              <w:t>dot %</w:t>
            </w:r>
          </w:p>
        </w:tc>
        <w:tc>
          <w:tcPr>
            <w:tcW w:w="2835" w:type="dxa"/>
            <w:gridSpan w:val="3"/>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 strength</w:t>
            </w:r>
          </w:p>
        </w:tc>
      </w:tr>
      <w:tr w:rsidR="00432CDD" w:rsidRPr="00BF295E" w:rsidTr="00F44A15">
        <w:trPr>
          <w:trHeight w:val="1273"/>
        </w:trPr>
        <w:tc>
          <w:tcPr>
            <w:tcW w:w="1872" w:type="dxa"/>
            <w:vMerge/>
            <w:shd w:val="clear" w:color="auto" w:fill="auto"/>
            <w:vAlign w:val="center"/>
          </w:tcPr>
          <w:p w:rsidR="00432CDD" w:rsidRPr="00BF295E" w:rsidRDefault="00432CDD" w:rsidP="00F26D1D">
            <w:pPr>
              <w:spacing w:after="0" w:line="276" w:lineRule="auto"/>
              <w:jc w:val="center"/>
              <w:rPr>
                <w:rFonts w:ascii="Arial" w:hAnsi="Arial" w:cs="Arial"/>
                <w:sz w:val="20"/>
                <w:szCs w:val="20"/>
              </w:rPr>
            </w:pPr>
          </w:p>
        </w:tc>
        <w:tc>
          <w:tcPr>
            <w:tcW w:w="1276" w:type="dxa"/>
            <w:vMerge/>
            <w:vAlign w:val="center"/>
          </w:tcPr>
          <w:p w:rsidR="00432CDD" w:rsidRPr="00BF295E" w:rsidRDefault="00432CDD" w:rsidP="00F26D1D">
            <w:pPr>
              <w:spacing w:after="0" w:line="276" w:lineRule="auto"/>
              <w:jc w:val="center"/>
              <w:rPr>
                <w:rFonts w:ascii="Arial" w:hAnsi="Arial" w:cs="Arial"/>
                <w:sz w:val="20"/>
                <w:szCs w:val="20"/>
              </w:rPr>
            </w:pPr>
          </w:p>
        </w:tc>
        <w:tc>
          <w:tcPr>
            <w:tcW w:w="1134" w:type="dxa"/>
            <w:vMerge/>
            <w:vAlign w:val="center"/>
          </w:tcPr>
          <w:p w:rsidR="00432CDD" w:rsidRPr="00BF295E" w:rsidRDefault="00432CDD" w:rsidP="00F26D1D">
            <w:pPr>
              <w:spacing w:after="0" w:line="276" w:lineRule="auto"/>
              <w:jc w:val="center"/>
              <w:rPr>
                <w:rFonts w:ascii="Arial" w:hAnsi="Arial" w:cs="Arial"/>
                <w:sz w:val="20"/>
                <w:szCs w:val="20"/>
                <w:lang w:val="en-US"/>
              </w:rPr>
            </w:pPr>
          </w:p>
        </w:tc>
        <w:tc>
          <w:tcPr>
            <w:tcW w:w="1417" w:type="dxa"/>
            <w:vMerge/>
            <w:vAlign w:val="center"/>
          </w:tcPr>
          <w:p w:rsidR="00432CDD" w:rsidRPr="00BF295E" w:rsidRDefault="00432CDD" w:rsidP="00F26D1D">
            <w:pPr>
              <w:spacing w:after="0" w:line="276" w:lineRule="auto"/>
              <w:jc w:val="center"/>
              <w:rPr>
                <w:rFonts w:ascii="Arial" w:hAnsi="Arial" w:cs="Arial"/>
                <w:sz w:val="20"/>
                <w:szCs w:val="20"/>
                <w:lang w:val="uz-Cyrl-UZ"/>
              </w:rPr>
            </w:pPr>
          </w:p>
        </w:tc>
        <w:tc>
          <w:tcPr>
            <w:tcW w:w="1531" w:type="dxa"/>
            <w:vMerge/>
            <w:vAlign w:val="center"/>
          </w:tcPr>
          <w:p w:rsidR="00432CDD" w:rsidRPr="00BF295E" w:rsidRDefault="00432CDD" w:rsidP="00F26D1D">
            <w:pPr>
              <w:spacing w:after="0" w:line="276" w:lineRule="auto"/>
              <w:jc w:val="center"/>
              <w:rPr>
                <w:rFonts w:ascii="Arial" w:hAnsi="Arial" w:cs="Arial"/>
                <w:sz w:val="20"/>
                <w:szCs w:val="20"/>
              </w:rPr>
            </w:pP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rPr>
              <w:t>kg/</w:t>
            </w:r>
          </w:p>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w:t>
            </w:r>
          </w:p>
        </w:tc>
        <w:tc>
          <w:tcPr>
            <w:tcW w:w="850"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kg/ cm</w:t>
            </w:r>
            <w:r w:rsidRPr="00BF295E">
              <w:rPr>
                <w:rFonts w:ascii="Arial" w:hAnsi="Arial" w:cs="Arial"/>
                <w:sz w:val="20"/>
                <w:szCs w:val="20"/>
                <w:vertAlign w:val="superscript"/>
              </w:rPr>
              <w:t>2</w:t>
            </w:r>
          </w:p>
        </w:tc>
        <w:tc>
          <w:tcPr>
            <w:tcW w:w="851"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MPa</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 : 0</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rPr>
              <w:t>96</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rPr>
              <w:t>9.1</w:t>
            </w:r>
            <w:r w:rsidRPr="00BF295E">
              <w:rPr>
                <w:rFonts w:ascii="Arial" w:hAnsi="Arial" w:cs="Arial"/>
                <w:sz w:val="20"/>
                <w:szCs w:val="20"/>
                <w:lang w:val="en-US"/>
              </w:rPr>
              <w:t>7</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rPr>
              <w:t>129</w:t>
            </w:r>
            <w:r w:rsidRPr="00BF295E">
              <w:rPr>
                <w:rFonts w:ascii="Arial" w:hAnsi="Arial" w:cs="Arial"/>
                <w:sz w:val="20"/>
                <w:szCs w:val="20"/>
                <w:lang w:val="en-US"/>
              </w:rPr>
              <w:t>.0</w:t>
            </w:r>
          </w:p>
        </w:tc>
        <w:tc>
          <w:tcPr>
            <w:tcW w:w="1531"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58.4</w:t>
            </w:r>
          </w:p>
        </w:tc>
        <w:tc>
          <w:tcPr>
            <w:tcW w:w="1134"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1.28</w:t>
            </w:r>
          </w:p>
        </w:tc>
        <w:tc>
          <w:tcPr>
            <w:tcW w:w="850"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25.81</w:t>
            </w:r>
          </w:p>
        </w:tc>
        <w:tc>
          <w:tcPr>
            <w:tcW w:w="851"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2.52</w:t>
            </w:r>
          </w:p>
        </w:tc>
      </w:tr>
      <w:tr w:rsidR="00432CDD" w:rsidRPr="00BF295E" w:rsidTr="00F44A15">
        <w:trPr>
          <w:trHeight w:val="74"/>
        </w:trPr>
        <w:tc>
          <w:tcPr>
            <w:tcW w:w="1872"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108</w:t>
            </w:r>
          </w:p>
        </w:tc>
        <w:tc>
          <w:tcPr>
            <w:tcW w:w="1134" w:type="dxa"/>
            <w:vAlign w:val="center"/>
          </w:tcPr>
          <w:p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98</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128.5</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62.2</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2.58</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123</w:t>
            </w:r>
          </w:p>
        </w:tc>
        <w:tc>
          <w:tcPr>
            <w:tcW w:w="1134" w:type="dxa"/>
            <w:vAlign w:val="center"/>
          </w:tcPr>
          <w:p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88</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127.9</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63.7</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1.34</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27.01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141</w:t>
            </w:r>
          </w:p>
        </w:tc>
        <w:tc>
          <w:tcPr>
            <w:tcW w:w="1134" w:type="dxa"/>
            <w:vAlign w:val="center"/>
          </w:tcPr>
          <w:p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81</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127.6</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64.5</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1.35</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27.21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2.66</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201</w:t>
            </w:r>
          </w:p>
        </w:tc>
        <w:tc>
          <w:tcPr>
            <w:tcW w:w="1134" w:type="dxa"/>
            <w:vAlign w:val="center"/>
          </w:tcPr>
          <w:p w:rsidR="00432CDD" w:rsidRPr="00BF295E" w:rsidRDefault="00432CDD" w:rsidP="00F26D1D">
            <w:pPr>
              <w:spacing w:before="100" w:beforeAutospacing="1" w:after="100" w:afterAutospacing="1" w:line="276" w:lineRule="auto"/>
              <w:ind w:left="-567" w:right="83"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75</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127.0</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65.3</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1.37</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27.61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2.70</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278</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8</w:t>
            </w:r>
            <w:r w:rsidRPr="00BF295E">
              <w:rPr>
                <w:rFonts w:ascii="Arial" w:hAnsi="Arial" w:cs="Arial"/>
                <w:sz w:val="20"/>
                <w:szCs w:val="20"/>
              </w:rPr>
              <w:t>.</w:t>
            </w:r>
            <w:r w:rsidRPr="00BF295E">
              <w:rPr>
                <w:rFonts w:ascii="Arial" w:hAnsi="Arial" w:cs="Arial"/>
                <w:sz w:val="20"/>
                <w:szCs w:val="20"/>
                <w:lang w:val="en-US"/>
              </w:rPr>
              <w:t>68</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126.6</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66.2</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1.38</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27.82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2.72</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304</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8</w:t>
            </w:r>
            <w:r w:rsidRPr="00BF295E">
              <w:rPr>
                <w:rFonts w:ascii="Arial" w:hAnsi="Arial" w:cs="Arial"/>
                <w:sz w:val="20"/>
                <w:szCs w:val="20"/>
              </w:rPr>
              <w:t>.52</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126.2</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66.9</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1.39</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28.02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2.74</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358</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8</w:t>
            </w:r>
            <w:r w:rsidRPr="00BF295E">
              <w:rPr>
                <w:rFonts w:ascii="Arial" w:hAnsi="Arial" w:cs="Arial"/>
                <w:sz w:val="20"/>
                <w:szCs w:val="20"/>
              </w:rPr>
              <w:t>.31</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125.9</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67.5</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1.40</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28.23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2.77</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412</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7</w:t>
            </w:r>
            <w:r w:rsidRPr="00BF295E">
              <w:rPr>
                <w:rFonts w:ascii="Arial" w:hAnsi="Arial" w:cs="Arial"/>
                <w:sz w:val="20"/>
                <w:szCs w:val="20"/>
              </w:rPr>
              <w:t>.97</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125.5</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68.2</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1.42</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28.62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2.80</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438</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7</w:t>
            </w:r>
            <w:r w:rsidRPr="00BF295E">
              <w:rPr>
                <w:rFonts w:ascii="Arial" w:hAnsi="Arial" w:cs="Arial"/>
                <w:sz w:val="20"/>
                <w:szCs w:val="20"/>
              </w:rPr>
              <w:t>.</w:t>
            </w:r>
            <w:r w:rsidRPr="00BF295E">
              <w:rPr>
                <w:rFonts w:ascii="Arial" w:hAnsi="Arial" w:cs="Arial"/>
                <w:sz w:val="20"/>
                <w:szCs w:val="20"/>
                <w:lang w:val="en-US"/>
              </w:rPr>
              <w:t>82</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125.1</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69.0</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1.44</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29.03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2.84</w:t>
            </w:r>
          </w:p>
        </w:tc>
      </w:tr>
      <w:tr w:rsidR="00432CDD" w:rsidRPr="00BF295E" w:rsidTr="00F44A15">
        <w:trPr>
          <w:trHeight w:val="386"/>
        </w:trPr>
        <w:tc>
          <w:tcPr>
            <w:tcW w:w="1872" w:type="dxa"/>
            <w:shd w:val="clear" w:color="auto" w:fill="auto"/>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414</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7</w:t>
            </w:r>
            <w:r w:rsidRPr="00BF295E">
              <w:rPr>
                <w:rFonts w:ascii="Arial" w:hAnsi="Arial" w:cs="Arial"/>
                <w:sz w:val="20"/>
                <w:szCs w:val="20"/>
              </w:rPr>
              <w:t>.</w:t>
            </w:r>
            <w:r w:rsidRPr="00BF295E">
              <w:rPr>
                <w:rFonts w:ascii="Arial" w:hAnsi="Arial" w:cs="Arial"/>
                <w:sz w:val="20"/>
                <w:szCs w:val="20"/>
                <w:lang w:val="en-US"/>
              </w:rPr>
              <w:t>71</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124.8</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69.6</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1.46</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29.43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2.88</w:t>
            </w:r>
          </w:p>
        </w:tc>
      </w:tr>
    </w:tbl>
    <w:p w:rsidR="00432CDD" w:rsidRPr="00BF295E" w:rsidRDefault="00432CDD" w:rsidP="00F26D1D">
      <w:pPr>
        <w:spacing w:after="0" w:line="276" w:lineRule="auto"/>
        <w:rPr>
          <w:rFonts w:ascii="Arial" w:hAnsi="Arial" w:cs="Arial"/>
          <w:b/>
          <w:sz w:val="20"/>
          <w:szCs w:val="20"/>
          <w:lang w:val="en-US"/>
        </w:rPr>
      </w:pPr>
    </w:p>
    <w:p w:rsidR="00432CDD" w:rsidRPr="00BF295E" w:rsidRDefault="00432CDD" w:rsidP="00F26D1D">
      <w:pPr>
        <w:spacing w:after="0" w:line="276" w:lineRule="auto"/>
        <w:ind w:firstLine="540"/>
        <w:jc w:val="center"/>
        <w:rPr>
          <w:rFonts w:ascii="Arial" w:hAnsi="Arial" w:cs="Arial"/>
          <w:b/>
          <w:sz w:val="20"/>
          <w:szCs w:val="20"/>
          <w:lang w:val="en-US"/>
        </w:rPr>
      </w:pPr>
    </w:p>
    <w:p w:rsidR="00432CDD" w:rsidRPr="00BF295E" w:rsidRDefault="00E51C7B" w:rsidP="00AC4401">
      <w:pPr>
        <w:spacing w:after="0" w:line="276" w:lineRule="auto"/>
        <w:ind w:firstLine="540"/>
        <w:jc w:val="center"/>
        <w:rPr>
          <w:rFonts w:ascii="Arial" w:hAnsi="Arial" w:cs="Arial"/>
          <w:b/>
          <w:sz w:val="20"/>
          <w:szCs w:val="20"/>
          <w:lang w:val="en-US"/>
        </w:rPr>
      </w:pPr>
      <w:r w:rsidRPr="00BF295E">
        <w:rPr>
          <w:rFonts w:ascii="Arial" w:hAnsi="Arial" w:cs="Arial"/>
          <w:b/>
          <w:sz w:val="20"/>
          <w:szCs w:val="20"/>
          <w:lang w:val="en-US"/>
        </w:rPr>
        <w:t>Table 3</w:t>
      </w:r>
    </w:p>
    <w:p w:rsidR="00432CDD" w:rsidRPr="00BF295E" w:rsidRDefault="00432CDD" w:rsidP="00F26D1D">
      <w:pPr>
        <w:spacing w:after="0" w:line="276" w:lineRule="auto"/>
        <w:ind w:firstLine="540"/>
        <w:jc w:val="center"/>
        <w:rPr>
          <w:rFonts w:ascii="Arial" w:hAnsi="Arial" w:cs="Arial"/>
          <w:b/>
          <w:sz w:val="20"/>
          <w:szCs w:val="20"/>
          <w:lang w:val="en-US"/>
        </w:rPr>
      </w:pPr>
    </w:p>
    <w:p w:rsidR="00432CDD" w:rsidRPr="00BF295E" w:rsidRDefault="00432CDD" w:rsidP="00F26D1D">
      <w:pPr>
        <w:spacing w:after="0" w:line="276" w:lineRule="auto"/>
        <w:ind w:firstLine="540"/>
        <w:jc w:val="center"/>
        <w:rPr>
          <w:rFonts w:ascii="Arial" w:hAnsi="Arial" w:cs="Arial"/>
          <w:b/>
          <w:sz w:val="20"/>
          <w:szCs w:val="20"/>
          <w:lang w:val="uz-Cyrl-UZ"/>
        </w:rPr>
      </w:pPr>
      <w:r w:rsidRPr="00BF295E">
        <w:rPr>
          <w:rFonts w:ascii="Arial" w:hAnsi="Arial" w:cs="Arial"/>
          <w:b/>
          <w:sz w:val="20"/>
          <w:szCs w:val="20"/>
          <w:lang w:val="en-US"/>
        </w:rPr>
        <w:t xml:space="preserve">Density and viscosity of the melt of fertilizers obtained by the </w:t>
      </w:r>
      <w:proofErr w:type="spellStart"/>
      <w:r w:rsidRPr="00BF295E">
        <w:rPr>
          <w:rFonts w:ascii="Arial" w:hAnsi="Arial" w:cs="Arial"/>
          <w:b/>
          <w:sz w:val="20"/>
          <w:szCs w:val="20"/>
          <w:lang w:val="en-US"/>
        </w:rPr>
        <w:t>introductionin</w:t>
      </w:r>
      <w:proofErr w:type="spellEnd"/>
      <w:r w:rsidRPr="00BF295E">
        <w:rPr>
          <w:rFonts w:ascii="Arial" w:hAnsi="Arial" w:cs="Arial"/>
          <w:b/>
          <w:sz w:val="20"/>
          <w:szCs w:val="20"/>
          <w:lang w:val="en-US"/>
        </w:rPr>
        <w:t xml:space="preserve"> the melt of urea </w:t>
      </w:r>
      <w:r w:rsidRPr="00BF295E">
        <w:rPr>
          <w:rFonts w:ascii="Arial" w:hAnsi="Arial" w:cs="Arial"/>
          <w:b/>
          <w:color w:val="000000"/>
          <w:sz w:val="20"/>
          <w:szCs w:val="20"/>
          <w:lang w:val="uz-Cyrl-UZ"/>
        </w:rPr>
        <w:t>Hydroquinone</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51"/>
        <w:gridCol w:w="781"/>
        <w:gridCol w:w="778"/>
        <w:gridCol w:w="851"/>
        <w:gridCol w:w="852"/>
        <w:gridCol w:w="850"/>
        <w:gridCol w:w="851"/>
        <w:gridCol w:w="850"/>
      </w:tblGrid>
      <w:tr w:rsidR="00432CDD" w:rsidRPr="00EE29D1" w:rsidTr="00F44A15">
        <w:trPr>
          <w:trHeight w:val="724"/>
          <w:jc w:val="center"/>
        </w:trPr>
        <w:tc>
          <w:tcPr>
            <w:tcW w:w="1984" w:type="dxa"/>
            <w:vMerge w:val="restart"/>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color w:val="000000"/>
                <w:sz w:val="20"/>
                <w:szCs w:val="20"/>
                <w:lang w:val="uz-Cyrl-UZ"/>
              </w:rPr>
              <w:t>Hydroquinone</w:t>
            </w:r>
          </w:p>
        </w:tc>
        <w:tc>
          <w:tcPr>
            <w:tcW w:w="3261" w:type="dxa"/>
            <w:gridSpan w:val="4"/>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Density (g/cm</w:t>
            </w:r>
            <w:r w:rsidRPr="00BF295E">
              <w:rPr>
                <w:rFonts w:ascii="Arial" w:hAnsi="Arial" w:cs="Arial"/>
                <w:sz w:val="20"/>
                <w:szCs w:val="20"/>
                <w:vertAlign w:val="superscript"/>
                <w:lang w:val="en-US"/>
              </w:rPr>
              <w:t>3</w:t>
            </w:r>
            <w:r w:rsidRPr="00BF295E">
              <w:rPr>
                <w:rFonts w:ascii="Arial" w:hAnsi="Arial" w:cs="Arial"/>
                <w:sz w:val="20"/>
                <w:szCs w:val="20"/>
                <w:lang w:val="en-US"/>
              </w:rPr>
              <w:t xml:space="preserve">), at temperature, </w:t>
            </w:r>
            <w:r w:rsidRPr="00BF295E">
              <w:rPr>
                <w:rFonts w:ascii="Arial" w:hAnsi="Arial" w:cs="Arial"/>
                <w:sz w:val="20"/>
                <w:szCs w:val="20"/>
              </w:rPr>
              <w:sym w:font="Symbol" w:char="F0B0"/>
            </w:r>
            <w:r w:rsidRPr="00BF295E">
              <w:rPr>
                <w:rFonts w:ascii="Arial" w:hAnsi="Arial" w:cs="Arial"/>
                <w:sz w:val="20"/>
                <w:szCs w:val="20"/>
                <w:lang w:val="en-US"/>
              </w:rPr>
              <w:t>C</w:t>
            </w:r>
          </w:p>
        </w:tc>
        <w:tc>
          <w:tcPr>
            <w:tcW w:w="3403" w:type="dxa"/>
            <w:gridSpan w:val="4"/>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Viscosity (</w:t>
            </w:r>
            <w:proofErr w:type="spellStart"/>
            <w:r w:rsidRPr="00BF295E">
              <w:rPr>
                <w:rFonts w:ascii="Arial" w:hAnsi="Arial" w:cs="Arial"/>
                <w:sz w:val="20"/>
                <w:szCs w:val="20"/>
                <w:lang w:val="en-US"/>
              </w:rPr>
              <w:t>cPz</w:t>
            </w:r>
            <w:proofErr w:type="spellEnd"/>
            <w:r w:rsidRPr="00BF295E">
              <w:rPr>
                <w:rFonts w:ascii="Arial" w:hAnsi="Arial" w:cs="Arial"/>
                <w:sz w:val="20"/>
                <w:szCs w:val="20"/>
                <w:lang w:val="en-US"/>
              </w:rPr>
              <w:t xml:space="preserve">), at </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 xml:space="preserve">temperature, </w:t>
            </w:r>
            <w:r w:rsidRPr="00BF295E">
              <w:rPr>
                <w:rFonts w:ascii="Arial" w:hAnsi="Arial" w:cs="Arial"/>
                <w:sz w:val="20"/>
                <w:szCs w:val="20"/>
              </w:rPr>
              <w:sym w:font="Symbol" w:char="F0B0"/>
            </w:r>
            <w:r w:rsidRPr="00BF295E">
              <w:rPr>
                <w:rFonts w:ascii="Arial" w:hAnsi="Arial" w:cs="Arial"/>
                <w:sz w:val="20"/>
                <w:szCs w:val="20"/>
                <w:lang w:val="en-US"/>
              </w:rPr>
              <w:t>C</w:t>
            </w:r>
          </w:p>
        </w:tc>
      </w:tr>
      <w:tr w:rsidR="00432CDD" w:rsidRPr="00BF295E" w:rsidTr="00F44A15">
        <w:trPr>
          <w:trHeight w:val="271"/>
          <w:jc w:val="center"/>
        </w:trPr>
        <w:tc>
          <w:tcPr>
            <w:tcW w:w="1984" w:type="dxa"/>
            <w:vMerge/>
            <w:shd w:val="clear" w:color="auto" w:fill="auto"/>
          </w:tcPr>
          <w:p w:rsidR="00432CDD" w:rsidRPr="00BF295E" w:rsidRDefault="00432CDD" w:rsidP="00F26D1D">
            <w:pPr>
              <w:spacing w:after="0" w:line="276" w:lineRule="auto"/>
              <w:jc w:val="center"/>
              <w:rPr>
                <w:rFonts w:ascii="Arial" w:hAnsi="Arial" w:cs="Arial"/>
                <w:sz w:val="20"/>
                <w:szCs w:val="20"/>
                <w:lang w:val="en-US"/>
              </w:rPr>
            </w:pPr>
          </w:p>
        </w:tc>
        <w:tc>
          <w:tcPr>
            <w:tcW w:w="851"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130</w:t>
            </w:r>
          </w:p>
        </w:tc>
        <w:tc>
          <w:tcPr>
            <w:tcW w:w="781"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135</w:t>
            </w:r>
          </w:p>
        </w:tc>
        <w:tc>
          <w:tcPr>
            <w:tcW w:w="778"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140</w:t>
            </w:r>
          </w:p>
        </w:tc>
        <w:tc>
          <w:tcPr>
            <w:tcW w:w="851" w:type="dxa"/>
            <w:shd w:val="clear" w:color="auto" w:fill="auto"/>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145</w:t>
            </w:r>
          </w:p>
        </w:tc>
        <w:tc>
          <w:tcPr>
            <w:tcW w:w="852"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130</w:t>
            </w:r>
          </w:p>
        </w:tc>
        <w:tc>
          <w:tcPr>
            <w:tcW w:w="850"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135</w:t>
            </w:r>
          </w:p>
        </w:tc>
        <w:tc>
          <w:tcPr>
            <w:tcW w:w="851"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140</w:t>
            </w:r>
          </w:p>
        </w:tc>
        <w:tc>
          <w:tcPr>
            <w:tcW w:w="850"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145</w:t>
            </w:r>
          </w:p>
        </w:tc>
      </w:tr>
      <w:tr w:rsidR="00432CDD" w:rsidRPr="00BF295E" w:rsidTr="00F44A15">
        <w:trPr>
          <w:trHeight w:val="234"/>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100:0</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1.210</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1.170</w:t>
            </w:r>
          </w:p>
        </w:tc>
        <w:tc>
          <w:tcPr>
            <w:tcW w:w="852"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2.42</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2.28</w:t>
            </w:r>
          </w:p>
        </w:tc>
      </w:tr>
      <w:tr w:rsidR="00432CDD" w:rsidRPr="00BF295E" w:rsidTr="00F44A15">
        <w:trPr>
          <w:trHeight w:val="82"/>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1.215</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1.212</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1.206</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1.184</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2.75</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2.59</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2.37</w:t>
            </w:r>
          </w:p>
        </w:tc>
      </w:tr>
      <w:tr w:rsidR="00432CDD" w:rsidRPr="00BF295E" w:rsidTr="00F44A15">
        <w:trPr>
          <w:trHeight w:val="302"/>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1.221</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1.218</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1.213</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1.192</w:t>
            </w:r>
          </w:p>
        </w:tc>
        <w:tc>
          <w:tcPr>
            <w:tcW w:w="852"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2.82</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2.71</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2.54</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2.42</w:t>
            </w:r>
          </w:p>
        </w:tc>
      </w:tr>
      <w:tr w:rsidR="00432CDD" w:rsidRPr="00BF295E" w:rsidTr="00F44A15">
        <w:trPr>
          <w:trHeight w:val="189"/>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1.227</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1.224</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1.217</w:t>
            </w:r>
          </w:p>
        </w:tc>
        <w:tc>
          <w:tcPr>
            <w:tcW w:w="851"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1.196</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2.90</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2.79</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2.60</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2.47</w:t>
            </w:r>
          </w:p>
        </w:tc>
      </w:tr>
      <w:tr w:rsidR="00432CDD" w:rsidRPr="00BF295E" w:rsidTr="00F44A15">
        <w:trPr>
          <w:trHeight w:val="280"/>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1.233</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1.231</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1.222</w:t>
            </w:r>
          </w:p>
        </w:tc>
        <w:tc>
          <w:tcPr>
            <w:tcW w:w="851"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1.203</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2.95</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2.87</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2.51</w:t>
            </w:r>
          </w:p>
        </w:tc>
      </w:tr>
      <w:tr w:rsidR="00432CDD" w:rsidRPr="00BF295E" w:rsidTr="00F44A15">
        <w:trPr>
          <w:trHeight w:val="294"/>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1.242</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1.238</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1.228</w:t>
            </w:r>
          </w:p>
        </w:tc>
        <w:tc>
          <w:tcPr>
            <w:tcW w:w="851"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1.207</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2.98</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2.92</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2.67</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2.57</w:t>
            </w:r>
          </w:p>
        </w:tc>
      </w:tr>
      <w:tr w:rsidR="00432CDD" w:rsidRPr="00BF295E" w:rsidTr="00F44A15">
        <w:trPr>
          <w:trHeight w:val="260"/>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1.247</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1.241</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1.235</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1.211</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3.19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2.99</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2.75</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r>
      <w:tr w:rsidR="00432CDD" w:rsidRPr="00BF295E" w:rsidTr="00F44A15">
        <w:trPr>
          <w:trHeight w:val="249"/>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1.252</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1.245</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1.243</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1.218</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3.39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3.08</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2.84</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2.71</w:t>
            </w:r>
          </w:p>
        </w:tc>
      </w:tr>
      <w:tr w:rsidR="00432CDD" w:rsidRPr="00BF295E" w:rsidTr="00F44A15">
        <w:trPr>
          <w:trHeight w:val="154"/>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1.258</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1.251</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1.250</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1.229</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3.61</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3.17</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2.91</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2.79</w:t>
            </w:r>
          </w:p>
        </w:tc>
      </w:tr>
      <w:tr w:rsidR="00432CDD" w:rsidRPr="00BF295E" w:rsidTr="00F44A15">
        <w:trPr>
          <w:trHeight w:val="299"/>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1.264</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1.259</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1.255</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1.237</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3.74</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3.28</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2.98</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2.86</w:t>
            </w:r>
          </w:p>
        </w:tc>
      </w:tr>
      <w:tr w:rsidR="00432CDD" w:rsidRPr="00BF295E" w:rsidTr="00F44A15">
        <w:trPr>
          <w:trHeight w:val="276"/>
          <w:jc w:val="center"/>
        </w:trPr>
        <w:tc>
          <w:tcPr>
            <w:tcW w:w="1984" w:type="dxa"/>
            <w:shd w:val="clear" w:color="auto" w:fill="auto"/>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1.272</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1.264</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1.259</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1.248</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3.83</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3.34</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3.07</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2.94</w:t>
            </w:r>
          </w:p>
        </w:tc>
      </w:tr>
    </w:tbl>
    <w:p w:rsidR="00432CDD" w:rsidRPr="00BF295E" w:rsidRDefault="00432CDD" w:rsidP="00F26D1D">
      <w:pPr>
        <w:spacing w:line="276" w:lineRule="auto"/>
        <w:rPr>
          <w:rFonts w:ascii="Arial" w:hAnsi="Arial" w:cs="Arial"/>
          <w:sz w:val="20"/>
          <w:szCs w:val="20"/>
          <w:lang w:val="en-US"/>
        </w:rPr>
      </w:pPr>
    </w:p>
    <w:p w:rsidR="00E51C7B" w:rsidRPr="00BF295E" w:rsidRDefault="00E51C7B" w:rsidP="00AD2C7E">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The experimental data obtained from the physicochemical assessments were thoroughly analyzed to identify the optimal hydroquinone-to-urea ratio. Among the tested formulations, the ratio of 100:0.5 (urea to hydroquinone) was determined to provide the most favorable balance of physical properties and controlled-release </w:t>
      </w:r>
      <w:proofErr w:type="spellStart"/>
      <w:proofErr w:type="gramStart"/>
      <w:r w:rsidRPr="00BF295E">
        <w:rPr>
          <w:rFonts w:ascii="Arial" w:hAnsi="Arial" w:cs="Arial"/>
          <w:sz w:val="20"/>
          <w:szCs w:val="20"/>
          <w:lang w:val="en-US"/>
        </w:rPr>
        <w:t>characteristics.Subsequently</w:t>
      </w:r>
      <w:proofErr w:type="spellEnd"/>
      <w:proofErr w:type="gramEnd"/>
      <w:r w:rsidRPr="00BF295E">
        <w:rPr>
          <w:rFonts w:ascii="Arial" w:hAnsi="Arial" w:cs="Arial"/>
          <w:sz w:val="20"/>
          <w:szCs w:val="20"/>
          <w:lang w:val="en-US"/>
        </w:rPr>
        <w:t xml:space="preserve">, the encapsulated fertilizer synthesized at this optimal ratio underwent detailed characterization through Infrared (IR) spectroscopy and Scanning Electron Microscopy (SEM) analyses. The IR spectra confirmed the successful incorporation of hydroquinone within the polymer matrix, as evidenced by characteristic absorption bands corresponding to functional groups related to both urea and hydroquinone </w:t>
      </w:r>
      <w:proofErr w:type="spellStart"/>
      <w:r w:rsidRPr="00BF295E">
        <w:rPr>
          <w:rFonts w:ascii="Arial" w:hAnsi="Arial" w:cs="Arial"/>
          <w:sz w:val="20"/>
          <w:szCs w:val="20"/>
          <w:lang w:val="en-US"/>
        </w:rPr>
        <w:t>moieties.SEM</w:t>
      </w:r>
      <w:proofErr w:type="spellEnd"/>
      <w:r w:rsidRPr="00BF295E">
        <w:rPr>
          <w:rFonts w:ascii="Arial" w:hAnsi="Arial" w:cs="Arial"/>
          <w:sz w:val="20"/>
          <w:szCs w:val="20"/>
          <w:lang w:val="en-US"/>
        </w:rPr>
        <w:t xml:space="preserve"> imaging revealed a uniform and continuous coating layer enveloping the fertilizer granules, with minimal surface defects or cracks, indicating high coating integrity. This morphological evidence supports the formulation’s potential for enhanced mechanical stability and controlled nutrient </w:t>
      </w:r>
      <w:proofErr w:type="spellStart"/>
      <w:proofErr w:type="gramStart"/>
      <w:r w:rsidRPr="00BF295E">
        <w:rPr>
          <w:rFonts w:ascii="Arial" w:hAnsi="Arial" w:cs="Arial"/>
          <w:sz w:val="20"/>
          <w:szCs w:val="20"/>
          <w:lang w:val="en-US"/>
        </w:rPr>
        <w:t>release.Overall</w:t>
      </w:r>
      <w:proofErr w:type="spellEnd"/>
      <w:proofErr w:type="gramEnd"/>
      <w:r w:rsidRPr="00BF295E">
        <w:rPr>
          <w:rFonts w:ascii="Arial" w:hAnsi="Arial" w:cs="Arial"/>
          <w:sz w:val="20"/>
          <w:szCs w:val="20"/>
          <w:lang w:val="en-US"/>
        </w:rPr>
        <w:t>, these results provide positive confirmation of the effectiveness of the selected formulation and validate its suitability for further development as a slow-release fertilizer product.</w:t>
      </w:r>
    </w:p>
    <w:p w:rsidR="00432CDD" w:rsidRDefault="00E51C7B" w:rsidP="00F26D1D">
      <w:pPr>
        <w:pStyle w:val="NormalWeb"/>
        <w:spacing w:line="276" w:lineRule="auto"/>
        <w:rPr>
          <w:rFonts w:ascii="Arial" w:hAnsi="Arial" w:cs="Arial"/>
          <w:sz w:val="20"/>
          <w:szCs w:val="20"/>
          <w:lang w:val="en-US"/>
        </w:rPr>
      </w:pPr>
      <w:r w:rsidRPr="00BF295E">
        <w:rPr>
          <w:rFonts w:ascii="Arial" w:hAnsi="Arial" w:cs="Arial"/>
          <w:noProof/>
          <w:sz w:val="20"/>
          <w:szCs w:val="20"/>
        </w:rPr>
        <w:drawing>
          <wp:inline distT="0" distB="0" distL="0" distR="0">
            <wp:extent cx="5695950" cy="2172335"/>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cstate="print"/>
                    <a:srcRect/>
                    <a:stretch>
                      <a:fillRect/>
                    </a:stretch>
                  </pic:blipFill>
                  <pic:spPr bwMode="auto">
                    <a:xfrm>
                      <a:off x="0" y="0"/>
                      <a:ext cx="5695950" cy="2172335"/>
                    </a:xfrm>
                    <a:prstGeom prst="rect">
                      <a:avLst/>
                    </a:prstGeom>
                    <a:noFill/>
                    <a:ln w="9525">
                      <a:noFill/>
                      <a:miter lim="800000"/>
                      <a:headEnd/>
                      <a:tailEnd/>
                    </a:ln>
                  </pic:spPr>
                </pic:pic>
              </a:graphicData>
            </a:graphic>
          </wp:inline>
        </w:drawing>
      </w:r>
    </w:p>
    <w:p w:rsidR="00AC4401" w:rsidRPr="00336103" w:rsidRDefault="00AC4401" w:rsidP="00F26D1D">
      <w:pPr>
        <w:pStyle w:val="NormalWeb"/>
        <w:spacing w:line="276" w:lineRule="auto"/>
        <w:rPr>
          <w:rFonts w:ascii="Arial" w:hAnsi="Arial" w:cs="Arial"/>
          <w:b/>
          <w:bCs/>
          <w:sz w:val="20"/>
          <w:szCs w:val="20"/>
          <w:lang w:val="en-US"/>
        </w:rPr>
      </w:pPr>
      <w:r w:rsidRPr="00336103">
        <w:rPr>
          <w:rFonts w:ascii="Arial" w:hAnsi="Arial" w:cs="Arial"/>
          <w:b/>
          <w:bCs/>
          <w:sz w:val="20"/>
          <w:szCs w:val="20"/>
          <w:lang w:val="en-US"/>
        </w:rPr>
        <w:t xml:space="preserve">Graph 1: </w:t>
      </w:r>
      <w:r w:rsidR="00330B07" w:rsidRPr="00336103">
        <w:rPr>
          <w:rFonts w:ascii="Arial" w:hAnsi="Arial" w:cs="Arial"/>
          <w:b/>
          <w:bCs/>
          <w:sz w:val="20"/>
          <w:szCs w:val="20"/>
          <w:lang w:val="en-US"/>
        </w:rPr>
        <w:t>IR spectroscopic image of urea and hydroquinone in a 100:0.5 ratio</w:t>
      </w:r>
    </w:p>
    <w:p w:rsidR="00AD2C7E" w:rsidRPr="00084F0D" w:rsidRDefault="00AD2C7E" w:rsidP="00AD2C7E">
      <w:pPr>
        <w:rPr>
          <w:highlight w:val="yellow"/>
          <w:lang w:val="en-US"/>
        </w:rPr>
      </w:pPr>
      <w:r w:rsidRPr="00084F0D">
        <w:rPr>
          <w:rStyle w:val="Strong"/>
          <w:rFonts w:ascii="Arial" w:hAnsi="Arial" w:cs="Arial"/>
          <w:b w:val="0"/>
          <w:bCs w:val="0"/>
          <w:sz w:val="20"/>
          <w:szCs w:val="20"/>
          <w:highlight w:val="yellow"/>
          <w:lang w:val="en-US"/>
        </w:rPr>
        <w:t xml:space="preserve">FTIR Spectroscopic Analysis. </w:t>
      </w:r>
      <w:r w:rsidRPr="00084F0D">
        <w:rPr>
          <w:rFonts w:ascii="Arial" w:hAnsi="Arial" w:cs="Arial"/>
          <w:sz w:val="20"/>
          <w:szCs w:val="20"/>
          <w:highlight w:val="yellow"/>
          <w:lang w:val="en-US"/>
        </w:rPr>
        <w:t xml:space="preserve">Fourier Transform Infrared (FTIR) spectroscopy was employed to investigate the molecular interactions and potential chemical bonding between urea and hydroquinone in the encapsulated fertilizer formulation. The IR spectroscopic spectrum corresponding to the optimized </w:t>
      </w:r>
      <w:r w:rsidRPr="00084F0D">
        <w:rPr>
          <w:rFonts w:ascii="Arial" w:hAnsi="Arial" w:cs="Arial"/>
          <w:sz w:val="20"/>
          <w:szCs w:val="20"/>
          <w:highlight w:val="yellow"/>
          <w:lang w:val="en-US"/>
        </w:rPr>
        <w:lastRenderedPageBreak/>
        <w:t>formulation with a urea-to-hydroquinone ratio of 100:0.5 was analyzed and compared to that of pure urea to identify any shifts or new absorption bands indicative of interaction or structural modification.</w:t>
      </w:r>
    </w:p>
    <w:p w:rsidR="00AD2C7E" w:rsidRPr="00084F0D" w:rsidRDefault="00AD2C7E" w:rsidP="00AD2C7E">
      <w:pPr>
        <w:pStyle w:val="NormalWeb"/>
        <w:rPr>
          <w:rFonts w:ascii="Arial" w:hAnsi="Arial" w:cs="Arial"/>
          <w:sz w:val="20"/>
          <w:szCs w:val="20"/>
          <w:highlight w:val="yellow"/>
          <w:lang w:val="en-US"/>
        </w:rPr>
      </w:pPr>
      <w:r w:rsidRPr="00084F0D">
        <w:rPr>
          <w:rFonts w:ascii="Arial" w:hAnsi="Arial" w:cs="Arial"/>
          <w:sz w:val="20"/>
          <w:szCs w:val="20"/>
          <w:highlight w:val="yellow"/>
          <w:lang w:val="en-US"/>
        </w:rPr>
        <w:t xml:space="preserve">The comparative analysis revealed the formation of a </w:t>
      </w:r>
      <w:r w:rsidRPr="00084F0D">
        <w:rPr>
          <w:rStyle w:val="Strong"/>
          <w:rFonts w:ascii="Arial" w:hAnsi="Arial" w:cs="Arial"/>
          <w:b w:val="0"/>
          <w:sz w:val="20"/>
          <w:szCs w:val="20"/>
          <w:highlight w:val="yellow"/>
          <w:lang w:val="en-US"/>
        </w:rPr>
        <w:t>new absorption band at 598.81 cm</w:t>
      </w:r>
      <w:r w:rsidRPr="00084F0D">
        <w:rPr>
          <w:rStyle w:val="Strong"/>
          <w:rFonts w:ascii="Cambria Math" w:hAnsi="Cambria Math" w:cs="Cambria Math"/>
          <w:b w:val="0"/>
          <w:sz w:val="20"/>
          <w:szCs w:val="20"/>
          <w:highlight w:val="yellow"/>
          <w:lang w:val="en-US"/>
        </w:rPr>
        <w:t>⁻</w:t>
      </w:r>
      <w:r w:rsidRPr="00084F0D">
        <w:rPr>
          <w:rStyle w:val="Strong"/>
          <w:rFonts w:ascii="Arial" w:hAnsi="Arial" w:cs="Arial"/>
          <w:b w:val="0"/>
          <w:sz w:val="20"/>
          <w:szCs w:val="20"/>
          <w:highlight w:val="yellow"/>
          <w:lang w:val="en-US"/>
        </w:rPr>
        <w:t>¹</w:t>
      </w:r>
      <w:r w:rsidRPr="00084F0D">
        <w:rPr>
          <w:rFonts w:ascii="Arial" w:hAnsi="Arial" w:cs="Arial"/>
          <w:b/>
          <w:sz w:val="20"/>
          <w:szCs w:val="20"/>
          <w:highlight w:val="yellow"/>
          <w:lang w:val="en-US"/>
        </w:rPr>
        <w:t>,</w:t>
      </w:r>
      <w:r w:rsidRPr="00084F0D">
        <w:rPr>
          <w:rFonts w:ascii="Arial" w:hAnsi="Arial" w:cs="Arial"/>
          <w:sz w:val="20"/>
          <w:szCs w:val="20"/>
          <w:highlight w:val="yellow"/>
          <w:lang w:val="en-US"/>
        </w:rPr>
        <w:t xml:space="preserve"> located between the characteristic frequency range of 716.66 cm</w:t>
      </w:r>
      <w:r w:rsidRPr="00084F0D">
        <w:rPr>
          <w:rFonts w:ascii="Cambria Math" w:hAnsi="Cambria Math" w:cs="Cambria Math"/>
          <w:sz w:val="20"/>
          <w:szCs w:val="20"/>
          <w:highlight w:val="yellow"/>
          <w:lang w:val="en-US"/>
        </w:rPr>
        <w:t>⁻</w:t>
      </w:r>
      <w:r w:rsidRPr="00084F0D">
        <w:rPr>
          <w:rFonts w:ascii="Arial" w:hAnsi="Arial" w:cs="Arial"/>
          <w:sz w:val="20"/>
          <w:szCs w:val="20"/>
          <w:highlight w:val="yellow"/>
          <w:lang w:val="en-US"/>
        </w:rPr>
        <w:t>¹ and 571.00 cm</w:t>
      </w:r>
      <w:r w:rsidRPr="00084F0D">
        <w:rPr>
          <w:rFonts w:ascii="Cambria Math" w:hAnsi="Cambria Math" w:cs="Cambria Math"/>
          <w:sz w:val="20"/>
          <w:szCs w:val="20"/>
          <w:highlight w:val="yellow"/>
          <w:lang w:val="en-US"/>
        </w:rPr>
        <w:t>⁻</w:t>
      </w:r>
      <w:r w:rsidRPr="00084F0D">
        <w:rPr>
          <w:rFonts w:ascii="Arial" w:hAnsi="Arial" w:cs="Arial"/>
          <w:sz w:val="20"/>
          <w:szCs w:val="20"/>
          <w:highlight w:val="yellow"/>
          <w:lang w:val="en-US"/>
        </w:rPr>
        <w:t xml:space="preserve">¹. This newly emerged band is likely associated with the </w:t>
      </w:r>
      <w:r w:rsidRPr="00084F0D">
        <w:rPr>
          <w:rStyle w:val="Strong"/>
          <w:rFonts w:ascii="Arial" w:hAnsi="Arial" w:cs="Arial"/>
          <w:b w:val="0"/>
          <w:sz w:val="20"/>
          <w:szCs w:val="20"/>
          <w:highlight w:val="yellow"/>
          <w:lang w:val="en-US"/>
        </w:rPr>
        <w:t>out-of-plane bending vibrations</w:t>
      </w:r>
      <w:r w:rsidRPr="00084F0D">
        <w:rPr>
          <w:rFonts w:ascii="Arial" w:hAnsi="Arial" w:cs="Arial"/>
          <w:sz w:val="20"/>
          <w:szCs w:val="20"/>
          <w:highlight w:val="yellow"/>
          <w:lang w:val="en-US"/>
        </w:rPr>
        <w:t xml:space="preserve"> of C–H or C–O bonds influenced by the presence of hydroquinone, suggesting possible </w:t>
      </w:r>
      <w:r w:rsidRPr="00084F0D">
        <w:rPr>
          <w:rStyle w:val="Strong"/>
          <w:rFonts w:ascii="Arial" w:hAnsi="Arial" w:cs="Arial"/>
          <w:b w:val="0"/>
          <w:sz w:val="20"/>
          <w:szCs w:val="20"/>
          <w:highlight w:val="yellow"/>
          <w:lang w:val="en-US"/>
        </w:rPr>
        <w:t>intermolecular interactions</w:t>
      </w:r>
      <w:r w:rsidRPr="00084F0D">
        <w:rPr>
          <w:rFonts w:ascii="Arial" w:hAnsi="Arial" w:cs="Arial"/>
          <w:sz w:val="20"/>
          <w:szCs w:val="20"/>
          <w:highlight w:val="yellow"/>
          <w:lang w:val="en-US"/>
        </w:rPr>
        <w:t xml:space="preserve"> or </w:t>
      </w:r>
      <w:r w:rsidRPr="00084F0D">
        <w:rPr>
          <w:rStyle w:val="Strong"/>
          <w:rFonts w:ascii="Arial" w:hAnsi="Arial" w:cs="Arial"/>
          <w:b w:val="0"/>
          <w:sz w:val="20"/>
          <w:szCs w:val="20"/>
          <w:highlight w:val="yellow"/>
          <w:lang w:val="en-US"/>
        </w:rPr>
        <w:t>weak hydrogen bonding</w:t>
      </w:r>
      <w:r w:rsidRPr="00084F0D">
        <w:rPr>
          <w:rFonts w:ascii="Arial" w:hAnsi="Arial" w:cs="Arial"/>
          <w:sz w:val="20"/>
          <w:szCs w:val="20"/>
          <w:highlight w:val="yellow"/>
          <w:lang w:val="en-US"/>
        </w:rPr>
        <w:t xml:space="preserve"> between hydroquinone and urea within the polymer matrix.</w:t>
      </w:r>
    </w:p>
    <w:p w:rsidR="00AD2C7E" w:rsidRPr="00084F0D" w:rsidRDefault="00AD2C7E" w:rsidP="00AD2C7E">
      <w:pPr>
        <w:pStyle w:val="NormalWeb"/>
        <w:rPr>
          <w:rFonts w:ascii="Arial" w:hAnsi="Arial" w:cs="Arial"/>
          <w:sz w:val="20"/>
          <w:szCs w:val="20"/>
          <w:highlight w:val="yellow"/>
          <w:lang w:val="en-US"/>
        </w:rPr>
      </w:pPr>
      <w:r w:rsidRPr="00084F0D">
        <w:rPr>
          <w:rFonts w:ascii="Arial" w:hAnsi="Arial" w:cs="Arial"/>
          <w:sz w:val="20"/>
          <w:szCs w:val="20"/>
          <w:highlight w:val="yellow"/>
          <w:lang w:val="en-US"/>
        </w:rPr>
        <w:t xml:space="preserve">In addition to the new band formation, </w:t>
      </w:r>
      <w:r w:rsidRPr="00084F0D">
        <w:rPr>
          <w:rStyle w:val="Strong"/>
          <w:rFonts w:ascii="Arial" w:hAnsi="Arial" w:cs="Arial"/>
          <w:sz w:val="20"/>
          <w:szCs w:val="20"/>
          <w:highlight w:val="yellow"/>
          <w:lang w:val="en-US"/>
        </w:rPr>
        <w:t>nota</w:t>
      </w:r>
      <w:r w:rsidRPr="00084F0D">
        <w:rPr>
          <w:rStyle w:val="Strong"/>
          <w:rFonts w:ascii="Arial" w:hAnsi="Arial" w:cs="Arial"/>
          <w:b w:val="0"/>
          <w:sz w:val="20"/>
          <w:szCs w:val="20"/>
          <w:highlight w:val="yellow"/>
          <w:lang w:val="en-US"/>
        </w:rPr>
        <w:t>ble shifts were observed in several characteristic absorption peaks</w:t>
      </w:r>
      <w:r w:rsidRPr="00084F0D">
        <w:rPr>
          <w:rFonts w:ascii="Arial" w:hAnsi="Arial" w:cs="Arial"/>
          <w:b/>
          <w:sz w:val="20"/>
          <w:szCs w:val="20"/>
          <w:highlight w:val="yellow"/>
          <w:lang w:val="en-US"/>
        </w:rPr>
        <w:t xml:space="preserve">, </w:t>
      </w:r>
      <w:r w:rsidRPr="00084F0D">
        <w:rPr>
          <w:rFonts w:ascii="Arial" w:hAnsi="Arial" w:cs="Arial"/>
          <w:sz w:val="20"/>
          <w:szCs w:val="20"/>
          <w:highlight w:val="yellow"/>
          <w:lang w:val="en-US"/>
        </w:rPr>
        <w:t>reflecting subtle changes in the vibrational environment of functional groups:</w:t>
      </w:r>
    </w:p>
    <w:p w:rsidR="00AD2C7E" w:rsidRPr="00084F0D" w:rsidRDefault="00AD2C7E" w:rsidP="00AD2C7E">
      <w:pPr>
        <w:pStyle w:val="NormalWeb"/>
        <w:numPr>
          <w:ilvl w:val="0"/>
          <w:numId w:val="6"/>
        </w:numPr>
        <w:rPr>
          <w:rFonts w:ascii="Arial" w:hAnsi="Arial" w:cs="Arial"/>
          <w:sz w:val="20"/>
          <w:szCs w:val="20"/>
          <w:highlight w:val="yellow"/>
          <w:lang w:val="en-US"/>
        </w:rPr>
      </w:pPr>
      <w:r w:rsidRPr="00084F0D">
        <w:rPr>
          <w:rFonts w:ascii="Arial" w:hAnsi="Arial" w:cs="Arial"/>
          <w:sz w:val="20"/>
          <w:szCs w:val="20"/>
          <w:highlight w:val="yellow"/>
          <w:lang w:val="en-US"/>
        </w:rPr>
        <w:t xml:space="preserve">The </w:t>
      </w:r>
      <w:r w:rsidRPr="00084F0D">
        <w:rPr>
          <w:rStyle w:val="Strong"/>
          <w:rFonts w:ascii="Arial" w:hAnsi="Arial" w:cs="Arial"/>
          <w:b w:val="0"/>
          <w:sz w:val="20"/>
          <w:szCs w:val="20"/>
          <w:highlight w:val="yellow"/>
          <w:lang w:val="en-US"/>
        </w:rPr>
        <w:t>N–H stretching vibration</w:t>
      </w:r>
      <w:r w:rsidRPr="00084F0D">
        <w:rPr>
          <w:rFonts w:ascii="Arial" w:hAnsi="Arial" w:cs="Arial"/>
          <w:sz w:val="20"/>
          <w:szCs w:val="20"/>
          <w:highlight w:val="yellow"/>
          <w:lang w:val="en-US"/>
        </w:rPr>
        <w:t xml:space="preserve"> peak shifted from </w:t>
      </w:r>
      <w:r w:rsidRPr="00084F0D">
        <w:rPr>
          <w:rStyle w:val="Strong"/>
          <w:rFonts w:ascii="Arial" w:hAnsi="Arial" w:cs="Arial"/>
          <w:sz w:val="20"/>
          <w:szCs w:val="20"/>
          <w:highlight w:val="yellow"/>
          <w:lang w:val="en-US"/>
        </w:rPr>
        <w:t>3330.11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 to 3329.07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w:t>
      </w:r>
      <w:r w:rsidRPr="00084F0D">
        <w:rPr>
          <w:rFonts w:ascii="Arial" w:hAnsi="Arial" w:cs="Arial"/>
          <w:sz w:val="20"/>
          <w:szCs w:val="20"/>
          <w:highlight w:val="yellow"/>
          <w:lang w:val="en-US"/>
        </w:rPr>
        <w:t>, indicating a minor alteration in hydrogen bonding strength, possibly due to interactions between the amine group of urea and the hydroxyl groups of hydroquinone.</w:t>
      </w:r>
    </w:p>
    <w:p w:rsidR="00AD2C7E" w:rsidRPr="00084F0D" w:rsidRDefault="00AD2C7E" w:rsidP="00AD2C7E">
      <w:pPr>
        <w:pStyle w:val="NormalWeb"/>
        <w:numPr>
          <w:ilvl w:val="0"/>
          <w:numId w:val="6"/>
        </w:numPr>
        <w:rPr>
          <w:rFonts w:ascii="Arial" w:hAnsi="Arial" w:cs="Arial"/>
          <w:sz w:val="20"/>
          <w:szCs w:val="20"/>
          <w:highlight w:val="yellow"/>
          <w:lang w:val="en-US"/>
        </w:rPr>
      </w:pPr>
      <w:r w:rsidRPr="00084F0D">
        <w:rPr>
          <w:rFonts w:ascii="Arial" w:hAnsi="Arial" w:cs="Arial"/>
          <w:sz w:val="20"/>
          <w:szCs w:val="20"/>
          <w:highlight w:val="yellow"/>
          <w:lang w:val="en-US"/>
        </w:rPr>
        <w:t xml:space="preserve">The </w:t>
      </w:r>
      <w:r w:rsidRPr="00084F0D">
        <w:rPr>
          <w:rStyle w:val="Strong"/>
          <w:rFonts w:ascii="Arial" w:hAnsi="Arial" w:cs="Arial"/>
          <w:sz w:val="20"/>
          <w:szCs w:val="20"/>
          <w:highlight w:val="yellow"/>
          <w:lang w:val="en-US"/>
        </w:rPr>
        <w:t xml:space="preserve">C=O </w:t>
      </w:r>
      <w:r w:rsidRPr="00084F0D">
        <w:rPr>
          <w:rStyle w:val="Strong"/>
          <w:rFonts w:ascii="Arial" w:hAnsi="Arial" w:cs="Arial"/>
          <w:b w:val="0"/>
          <w:sz w:val="20"/>
          <w:szCs w:val="20"/>
          <w:highlight w:val="yellow"/>
          <w:lang w:val="en-US"/>
        </w:rPr>
        <w:t>stretching vibration</w:t>
      </w:r>
      <w:r w:rsidRPr="00084F0D">
        <w:rPr>
          <w:rFonts w:ascii="Arial" w:hAnsi="Arial" w:cs="Arial"/>
          <w:sz w:val="20"/>
          <w:szCs w:val="20"/>
          <w:highlight w:val="yellow"/>
          <w:lang w:val="en-US"/>
        </w:rPr>
        <w:t xml:space="preserve"> peak showed a shift from </w:t>
      </w:r>
      <w:r w:rsidRPr="00084F0D">
        <w:rPr>
          <w:rStyle w:val="Strong"/>
          <w:rFonts w:ascii="Arial" w:hAnsi="Arial" w:cs="Arial"/>
          <w:sz w:val="20"/>
          <w:szCs w:val="20"/>
          <w:highlight w:val="yellow"/>
          <w:lang w:val="en-US"/>
        </w:rPr>
        <w:t>1676.18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 to 1674.55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w:t>
      </w:r>
      <w:r w:rsidRPr="00084F0D">
        <w:rPr>
          <w:rFonts w:ascii="Arial" w:hAnsi="Arial" w:cs="Arial"/>
          <w:sz w:val="20"/>
          <w:szCs w:val="20"/>
          <w:highlight w:val="yellow"/>
          <w:lang w:val="en-US"/>
        </w:rPr>
        <w:t>, suggesting perturbation of the carbonyl group environment due to encapsulation and matrix interactions.</w:t>
      </w:r>
    </w:p>
    <w:p w:rsidR="00AD2C7E" w:rsidRPr="00084F0D" w:rsidRDefault="00AD2C7E" w:rsidP="00AD2C7E">
      <w:pPr>
        <w:pStyle w:val="NormalWeb"/>
        <w:numPr>
          <w:ilvl w:val="0"/>
          <w:numId w:val="6"/>
        </w:numPr>
        <w:rPr>
          <w:rFonts w:ascii="Arial" w:hAnsi="Arial" w:cs="Arial"/>
          <w:sz w:val="20"/>
          <w:szCs w:val="20"/>
          <w:highlight w:val="yellow"/>
          <w:lang w:val="en-US"/>
        </w:rPr>
      </w:pPr>
      <w:r w:rsidRPr="00084F0D">
        <w:rPr>
          <w:rFonts w:ascii="Arial" w:hAnsi="Arial" w:cs="Arial"/>
          <w:sz w:val="20"/>
          <w:szCs w:val="20"/>
          <w:highlight w:val="yellow"/>
          <w:lang w:val="en-US"/>
        </w:rPr>
        <w:t xml:space="preserve">The </w:t>
      </w:r>
      <w:r w:rsidRPr="00084F0D">
        <w:rPr>
          <w:rStyle w:val="Strong"/>
          <w:rFonts w:ascii="Arial" w:hAnsi="Arial" w:cs="Arial"/>
          <w:b w:val="0"/>
          <w:sz w:val="20"/>
          <w:szCs w:val="20"/>
          <w:highlight w:val="yellow"/>
          <w:lang w:val="en-US"/>
        </w:rPr>
        <w:t>N–H bending or deformation peak</w:t>
      </w:r>
      <w:r w:rsidRPr="00084F0D">
        <w:rPr>
          <w:rFonts w:ascii="Arial" w:hAnsi="Arial" w:cs="Arial"/>
          <w:sz w:val="20"/>
          <w:szCs w:val="20"/>
          <w:highlight w:val="yellow"/>
          <w:lang w:val="en-US"/>
        </w:rPr>
        <w:t xml:space="preserve"> shifted slightly from </w:t>
      </w:r>
      <w:r w:rsidRPr="00084F0D">
        <w:rPr>
          <w:rStyle w:val="Strong"/>
          <w:rFonts w:ascii="Arial" w:hAnsi="Arial" w:cs="Arial"/>
          <w:sz w:val="20"/>
          <w:szCs w:val="20"/>
          <w:highlight w:val="yellow"/>
          <w:lang w:val="en-US"/>
        </w:rPr>
        <w:t>1589.39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 to 1588.88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w:t>
      </w:r>
      <w:r w:rsidRPr="00084F0D">
        <w:rPr>
          <w:rFonts w:ascii="Arial" w:hAnsi="Arial" w:cs="Arial"/>
          <w:sz w:val="20"/>
          <w:szCs w:val="20"/>
          <w:highlight w:val="yellow"/>
          <w:lang w:val="en-US"/>
        </w:rPr>
        <w:t>, further supporting the presence of molecular interactions.</w:t>
      </w:r>
    </w:p>
    <w:p w:rsidR="00AD2C7E" w:rsidRPr="00084F0D" w:rsidRDefault="00AD2C7E" w:rsidP="00AD2C7E">
      <w:pPr>
        <w:pStyle w:val="NormalWeb"/>
        <w:numPr>
          <w:ilvl w:val="0"/>
          <w:numId w:val="6"/>
        </w:numPr>
        <w:rPr>
          <w:rFonts w:ascii="Arial" w:hAnsi="Arial" w:cs="Arial"/>
          <w:sz w:val="20"/>
          <w:szCs w:val="20"/>
          <w:highlight w:val="yellow"/>
          <w:lang w:val="en-US"/>
        </w:rPr>
      </w:pPr>
      <w:r w:rsidRPr="00084F0D">
        <w:rPr>
          <w:rFonts w:ascii="Arial" w:hAnsi="Arial" w:cs="Arial"/>
          <w:sz w:val="20"/>
          <w:szCs w:val="20"/>
          <w:highlight w:val="yellow"/>
          <w:lang w:val="en-US"/>
        </w:rPr>
        <w:t xml:space="preserve">The </w:t>
      </w:r>
      <w:r w:rsidRPr="00084F0D">
        <w:rPr>
          <w:rStyle w:val="Strong"/>
          <w:rFonts w:ascii="Arial" w:hAnsi="Arial" w:cs="Arial"/>
          <w:b w:val="0"/>
          <w:sz w:val="20"/>
          <w:szCs w:val="20"/>
          <w:highlight w:val="yellow"/>
          <w:lang w:val="en-US"/>
        </w:rPr>
        <w:t>C–N stretching vibration</w:t>
      </w:r>
      <w:r w:rsidRPr="00084F0D">
        <w:rPr>
          <w:rFonts w:ascii="Arial" w:hAnsi="Arial" w:cs="Arial"/>
          <w:sz w:val="20"/>
          <w:szCs w:val="20"/>
          <w:highlight w:val="yellow"/>
          <w:lang w:val="en-US"/>
        </w:rPr>
        <w:t xml:space="preserve"> shifted from </w:t>
      </w:r>
      <w:r w:rsidRPr="00084F0D">
        <w:rPr>
          <w:rStyle w:val="Strong"/>
          <w:rFonts w:ascii="Arial" w:hAnsi="Arial" w:cs="Arial"/>
          <w:sz w:val="20"/>
          <w:szCs w:val="20"/>
          <w:highlight w:val="yellow"/>
          <w:lang w:val="en-US"/>
        </w:rPr>
        <w:t>1051.68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 to 1058.62 cm</w:t>
      </w:r>
      <w:r w:rsidRPr="00084F0D">
        <w:rPr>
          <w:rStyle w:val="Strong"/>
          <w:rFonts w:ascii="Cambria Math" w:hAnsi="Cambria Math" w:cs="Cambria Math"/>
          <w:sz w:val="20"/>
          <w:szCs w:val="20"/>
          <w:highlight w:val="yellow"/>
          <w:lang w:val="en-US"/>
        </w:rPr>
        <w:t>⁻</w:t>
      </w:r>
      <w:r w:rsidRPr="00084F0D">
        <w:rPr>
          <w:rStyle w:val="Strong"/>
          <w:rFonts w:ascii="Arial" w:hAnsi="Arial" w:cs="Arial"/>
          <w:sz w:val="20"/>
          <w:szCs w:val="20"/>
          <w:highlight w:val="yellow"/>
          <w:lang w:val="en-US"/>
        </w:rPr>
        <w:t>¹</w:t>
      </w:r>
      <w:r w:rsidRPr="00084F0D">
        <w:rPr>
          <w:rFonts w:ascii="Arial" w:hAnsi="Arial" w:cs="Arial"/>
          <w:sz w:val="20"/>
          <w:szCs w:val="20"/>
          <w:highlight w:val="yellow"/>
          <w:lang w:val="en-US"/>
        </w:rPr>
        <w:t>, which may be attributed to the influence of hydroquinone’s aromatic structure on the urea backbone.</w:t>
      </w:r>
    </w:p>
    <w:p w:rsidR="00AD2C7E" w:rsidRPr="00AD2C7E" w:rsidRDefault="00AD2C7E" w:rsidP="00AD2C7E">
      <w:pPr>
        <w:pStyle w:val="NormalWeb"/>
        <w:rPr>
          <w:rFonts w:ascii="Arial" w:hAnsi="Arial" w:cs="Arial"/>
          <w:sz w:val="20"/>
          <w:szCs w:val="20"/>
          <w:lang w:val="en-US"/>
        </w:rPr>
      </w:pPr>
      <w:r w:rsidRPr="00084F0D">
        <w:rPr>
          <w:rFonts w:ascii="Arial" w:hAnsi="Arial" w:cs="Arial"/>
          <w:sz w:val="20"/>
          <w:szCs w:val="20"/>
          <w:highlight w:val="yellow"/>
          <w:lang w:val="en-US"/>
        </w:rPr>
        <w:t xml:space="preserve">These spectral shifts collectively indicate that </w:t>
      </w:r>
      <w:r w:rsidRPr="00084F0D">
        <w:rPr>
          <w:rStyle w:val="Strong"/>
          <w:rFonts w:ascii="Arial" w:hAnsi="Arial" w:cs="Arial"/>
          <w:b w:val="0"/>
          <w:sz w:val="20"/>
          <w:szCs w:val="20"/>
          <w:highlight w:val="yellow"/>
          <w:lang w:val="en-US"/>
        </w:rPr>
        <w:t>no covalent bonding</w:t>
      </w:r>
      <w:r w:rsidRPr="00084F0D">
        <w:rPr>
          <w:rFonts w:ascii="Arial" w:hAnsi="Arial" w:cs="Arial"/>
          <w:sz w:val="20"/>
          <w:szCs w:val="20"/>
          <w:highlight w:val="yellow"/>
          <w:lang w:val="en-US"/>
        </w:rPr>
        <w:t xml:space="preserve"> occurred between urea and hydroquinone, but </w:t>
      </w:r>
      <w:r w:rsidRPr="00084F0D">
        <w:rPr>
          <w:rStyle w:val="Strong"/>
          <w:rFonts w:ascii="Arial" w:hAnsi="Arial" w:cs="Arial"/>
          <w:b w:val="0"/>
          <w:sz w:val="20"/>
          <w:szCs w:val="20"/>
          <w:highlight w:val="yellow"/>
          <w:lang w:val="en-US"/>
        </w:rPr>
        <w:t>non-covalent interactions</w:t>
      </w:r>
      <w:r w:rsidRPr="00084F0D">
        <w:rPr>
          <w:rFonts w:ascii="Arial" w:hAnsi="Arial" w:cs="Arial"/>
          <w:sz w:val="20"/>
          <w:szCs w:val="20"/>
          <w:highlight w:val="yellow"/>
          <w:lang w:val="en-US"/>
        </w:rPr>
        <w:t xml:space="preserve"> such as hydrogen bonding and possible van der Waals forces were likely established within the polymer-encapsulated matrix. The results confirm that hydroquinone was successfully integrated into the urea formulation without disrupting the core structure, while contributing to subtle modifications in the molecular vibrational characteristics.</w:t>
      </w:r>
    </w:p>
    <w:p w:rsidR="00E51C7B" w:rsidRPr="00BF295E" w:rsidRDefault="00E51C7B" w:rsidP="00F26D1D">
      <w:pPr>
        <w:spacing w:before="100" w:beforeAutospacing="1" w:after="100" w:afterAutospacing="1" w:line="276" w:lineRule="auto"/>
        <w:rPr>
          <w:rFonts w:ascii="Arial" w:eastAsia="Times New Roman" w:hAnsi="Arial" w:cs="Arial"/>
          <w:sz w:val="20"/>
          <w:szCs w:val="20"/>
          <w:lang w:val="en-US" w:eastAsia="ru-RU"/>
        </w:rPr>
      </w:pPr>
    </w:p>
    <w:p w:rsidR="00E51C7B" w:rsidRDefault="00E51C7B"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drawing>
          <wp:inline distT="0" distB="0" distL="0" distR="0">
            <wp:extent cx="5743575" cy="2724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22" t="12542" r="2191" b="5930"/>
                    <a:stretch/>
                  </pic:blipFill>
                  <pic:spPr bwMode="auto">
                    <a:xfrm>
                      <a:off x="0" y="0"/>
                      <a:ext cx="5743575" cy="2724150"/>
                    </a:xfrm>
                    <a:prstGeom prst="rect">
                      <a:avLst/>
                    </a:prstGeom>
                    <a:ln>
                      <a:noFill/>
                    </a:ln>
                    <a:extLst>
                      <a:ext uri="{53640926-AAD7-44D8-BBD7-CCE9431645EC}">
                        <a14:shadowObscured xmlns:a14="http://schemas.microsoft.com/office/drawing/2010/main"/>
                      </a:ext>
                    </a:extLst>
                  </pic:spPr>
                </pic:pic>
              </a:graphicData>
            </a:graphic>
          </wp:inline>
        </w:drawing>
      </w:r>
    </w:p>
    <w:p w:rsidR="00AC4401" w:rsidRPr="00B70458" w:rsidRDefault="00AC4401" w:rsidP="00F26D1D">
      <w:pPr>
        <w:spacing w:before="100" w:beforeAutospacing="1" w:after="100" w:afterAutospacing="1" w:line="276" w:lineRule="auto"/>
        <w:rPr>
          <w:rFonts w:ascii="Arial" w:eastAsia="Times New Roman" w:hAnsi="Arial" w:cs="Arial"/>
          <w:b/>
          <w:bCs/>
          <w:sz w:val="20"/>
          <w:szCs w:val="20"/>
          <w:lang w:val="en-US" w:eastAsia="ru-RU"/>
        </w:rPr>
      </w:pPr>
      <w:r w:rsidRPr="00B70458">
        <w:rPr>
          <w:rFonts w:ascii="Arial" w:eastAsia="Times New Roman" w:hAnsi="Arial" w:cs="Arial"/>
          <w:b/>
          <w:bCs/>
          <w:sz w:val="20"/>
          <w:szCs w:val="20"/>
          <w:lang w:val="en-US" w:eastAsia="ru-RU"/>
        </w:rPr>
        <w:t xml:space="preserve">Graph 2: </w:t>
      </w:r>
      <w:r w:rsidR="00EB2F55" w:rsidRPr="00B70458">
        <w:rPr>
          <w:rFonts w:ascii="Arial" w:eastAsia="Times New Roman" w:hAnsi="Arial" w:cs="Arial"/>
          <w:b/>
          <w:bCs/>
          <w:sz w:val="20"/>
          <w:szCs w:val="20"/>
          <w:lang w:val="en-US" w:eastAsia="ru-RU"/>
        </w:rPr>
        <w:t xml:space="preserve">SEM Analysis </w:t>
      </w:r>
    </w:p>
    <w:p w:rsidR="00AC4401" w:rsidRPr="00BF295E" w:rsidRDefault="00AC4401" w:rsidP="00F26D1D">
      <w:pPr>
        <w:spacing w:before="100" w:beforeAutospacing="1" w:after="100" w:afterAutospacing="1" w:line="276" w:lineRule="auto"/>
        <w:rPr>
          <w:rFonts w:ascii="Arial" w:eastAsia="Times New Roman" w:hAnsi="Arial" w:cs="Arial"/>
          <w:sz w:val="20"/>
          <w:szCs w:val="20"/>
          <w:lang w:val="en-US" w:eastAsia="ru-RU"/>
        </w:rPr>
      </w:pPr>
    </w:p>
    <w:p w:rsidR="005272B5" w:rsidRPr="00BF295E" w:rsidRDefault="00BF295E"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13335</wp:posOffset>
            </wp:positionV>
            <wp:extent cx="2762250" cy="2266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456" t="13968" r="26403" b="18187"/>
                    <a:stretch/>
                  </pic:blipFill>
                  <pic:spPr bwMode="auto">
                    <a:xfrm>
                      <a:off x="0" y="0"/>
                      <a:ext cx="2762250" cy="2266950"/>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hAnsi="Arial" w:cs="Arial"/>
          <w:noProof/>
          <w:sz w:val="20"/>
          <w:szCs w:val="20"/>
          <w:lang w:eastAsia="ru-RU"/>
        </w:rPr>
        <w:drawing>
          <wp:anchor distT="0" distB="0" distL="114300" distR="114300" simplePos="0" relativeHeight="251660288" behindDoc="0" locked="0" layoutInCell="1" allowOverlap="1">
            <wp:simplePos x="1076325" y="723900"/>
            <wp:positionH relativeFrom="column">
              <wp:align>left</wp:align>
            </wp:positionH>
            <wp:positionV relativeFrom="paragraph">
              <wp:align>top</wp:align>
            </wp:positionV>
            <wp:extent cx="2800350" cy="2247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96" t="14539" r="26563" b="18186"/>
                    <a:stretch/>
                  </pic:blipFill>
                  <pic:spPr bwMode="auto">
                    <a:xfrm>
                      <a:off x="0" y="0"/>
                      <a:ext cx="2800350" cy="2247900"/>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eastAsia="Times New Roman" w:hAnsi="Arial" w:cs="Arial"/>
          <w:sz w:val="20"/>
          <w:szCs w:val="20"/>
          <w:lang w:val="en-US" w:eastAsia="ru-RU"/>
        </w:rPr>
        <w:br w:type="textWrapping" w:clear="all"/>
        <w:t xml:space="preserve">(a)                                                                                            </w:t>
      </w:r>
      <w:proofErr w:type="gramStart"/>
      <w:r w:rsidRPr="00BF295E">
        <w:rPr>
          <w:rFonts w:ascii="Arial" w:eastAsia="Times New Roman" w:hAnsi="Arial" w:cs="Arial"/>
          <w:sz w:val="20"/>
          <w:szCs w:val="20"/>
          <w:lang w:val="en-US" w:eastAsia="ru-RU"/>
        </w:rPr>
        <w:t xml:space="preserve">   (</w:t>
      </w:r>
      <w:proofErr w:type="gramEnd"/>
      <w:r w:rsidRPr="00BF295E">
        <w:rPr>
          <w:rFonts w:ascii="Arial" w:eastAsia="Times New Roman" w:hAnsi="Arial" w:cs="Arial"/>
          <w:sz w:val="20"/>
          <w:szCs w:val="20"/>
          <w:lang w:val="en-US" w:eastAsia="ru-RU"/>
        </w:rPr>
        <w:t>b)</w:t>
      </w:r>
    </w:p>
    <w:p w:rsidR="00BF295E" w:rsidRPr="00BF295E" w:rsidRDefault="00BF295E" w:rsidP="00F26D1D">
      <w:pPr>
        <w:spacing w:before="100" w:beforeAutospacing="1" w:after="100" w:afterAutospacing="1" w:line="276" w:lineRule="auto"/>
        <w:rPr>
          <w:rFonts w:ascii="Arial" w:eastAsia="Times New Roman" w:hAnsi="Arial" w:cs="Arial"/>
          <w:sz w:val="20"/>
          <w:szCs w:val="20"/>
          <w:lang w:val="en-US" w:eastAsia="ru-RU"/>
        </w:rPr>
      </w:pPr>
    </w:p>
    <w:p w:rsidR="00E51C7B" w:rsidRPr="00BF295E" w:rsidRDefault="00E51C7B"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13335</wp:posOffset>
            </wp:positionV>
            <wp:extent cx="2800350" cy="225742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296" t="13397" r="26564" b="19043"/>
                    <a:stretch/>
                  </pic:blipFill>
                  <pic:spPr bwMode="auto">
                    <a:xfrm>
                      <a:off x="0" y="0"/>
                      <a:ext cx="2800350" cy="2257425"/>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hAnsi="Arial" w:cs="Arial"/>
          <w:noProof/>
          <w:sz w:val="20"/>
          <w:szCs w:val="20"/>
          <w:lang w:eastAsia="ru-RU"/>
        </w:rPr>
        <w:drawing>
          <wp:anchor distT="0" distB="0" distL="114300" distR="114300" simplePos="0" relativeHeight="251658240" behindDoc="0" locked="0" layoutInCell="1" allowOverlap="1">
            <wp:simplePos x="1076325" y="723900"/>
            <wp:positionH relativeFrom="column">
              <wp:align>left</wp:align>
            </wp:positionH>
            <wp:positionV relativeFrom="paragraph">
              <wp:align>top</wp:align>
            </wp:positionV>
            <wp:extent cx="2819400" cy="22383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975" t="14253" r="26563" b="18757"/>
                    <a:stretch/>
                  </pic:blipFill>
                  <pic:spPr bwMode="auto">
                    <a:xfrm>
                      <a:off x="0" y="0"/>
                      <a:ext cx="2819400" cy="2238375"/>
                    </a:xfrm>
                    <a:prstGeom prst="rect">
                      <a:avLst/>
                    </a:prstGeom>
                    <a:ln>
                      <a:noFill/>
                    </a:ln>
                    <a:extLst>
                      <a:ext uri="{53640926-AAD7-44D8-BBD7-CCE9431645EC}">
                        <a14:shadowObscured xmlns:a14="http://schemas.microsoft.com/office/drawing/2010/main"/>
                      </a:ext>
                    </a:extLst>
                  </pic:spPr>
                </pic:pic>
              </a:graphicData>
            </a:graphic>
          </wp:anchor>
        </w:drawing>
      </w:r>
    </w:p>
    <w:p w:rsidR="005272B5" w:rsidRDefault="00E51C7B" w:rsidP="00F26D1D">
      <w:pPr>
        <w:spacing w:before="100" w:beforeAutospacing="1" w:after="100" w:afterAutospacing="1" w:line="276" w:lineRule="auto"/>
        <w:ind w:firstLine="708"/>
        <w:rPr>
          <w:rFonts w:ascii="Arial" w:eastAsia="Times New Roman" w:hAnsi="Arial" w:cs="Arial"/>
          <w:sz w:val="20"/>
          <w:szCs w:val="20"/>
          <w:lang w:val="en-US" w:eastAsia="ru-RU"/>
        </w:rPr>
      </w:pPr>
      <w:r w:rsidRPr="00BF295E">
        <w:rPr>
          <w:rFonts w:ascii="Arial" w:eastAsia="Times New Roman" w:hAnsi="Arial" w:cs="Arial"/>
          <w:sz w:val="20"/>
          <w:szCs w:val="20"/>
          <w:lang w:val="en-US" w:eastAsia="ru-RU"/>
        </w:rPr>
        <w:br w:type="textWrapping" w:clear="all"/>
      </w:r>
      <w:r w:rsidR="00BF295E" w:rsidRPr="00BF295E">
        <w:rPr>
          <w:rFonts w:ascii="Arial" w:eastAsia="Times New Roman" w:hAnsi="Arial" w:cs="Arial"/>
          <w:sz w:val="20"/>
          <w:szCs w:val="20"/>
          <w:lang w:val="en-US" w:eastAsia="ru-RU"/>
        </w:rPr>
        <w:t xml:space="preserve">(c)                                                                                             </w:t>
      </w:r>
      <w:proofErr w:type="gramStart"/>
      <w:r w:rsidR="00BF295E" w:rsidRPr="00BF295E">
        <w:rPr>
          <w:rFonts w:ascii="Arial" w:eastAsia="Times New Roman" w:hAnsi="Arial" w:cs="Arial"/>
          <w:sz w:val="20"/>
          <w:szCs w:val="20"/>
          <w:lang w:val="en-US" w:eastAsia="ru-RU"/>
        </w:rPr>
        <w:t xml:space="preserve">   (</w:t>
      </w:r>
      <w:proofErr w:type="gramEnd"/>
      <w:r w:rsidR="00BF295E" w:rsidRPr="00BF295E">
        <w:rPr>
          <w:rFonts w:ascii="Arial" w:eastAsia="Times New Roman" w:hAnsi="Arial" w:cs="Arial"/>
          <w:sz w:val="20"/>
          <w:szCs w:val="20"/>
          <w:lang w:val="en-US" w:eastAsia="ru-RU"/>
        </w:rPr>
        <w:t>d)</w:t>
      </w:r>
    </w:p>
    <w:p w:rsidR="00E51C7B" w:rsidRDefault="00737279" w:rsidP="00AD2C7E">
      <w:pPr>
        <w:spacing w:line="276" w:lineRule="auto"/>
        <w:jc w:val="center"/>
        <w:rPr>
          <w:rFonts w:ascii="Arial" w:hAnsi="Arial" w:cs="Arial"/>
          <w:b/>
          <w:sz w:val="20"/>
          <w:szCs w:val="20"/>
          <w:lang w:val="en-US"/>
        </w:rPr>
      </w:pPr>
      <w:r w:rsidRPr="00D95F14">
        <w:rPr>
          <w:rFonts w:ascii="Arial" w:hAnsi="Arial" w:cs="Arial"/>
          <w:b/>
          <w:sz w:val="20"/>
          <w:szCs w:val="20"/>
          <w:lang w:val="en-US"/>
        </w:rPr>
        <w:t xml:space="preserve">Figure 1. Scanning Electron Microscopy (SEM) of </w:t>
      </w:r>
      <w:proofErr w:type="gramStart"/>
      <w:r>
        <w:rPr>
          <w:rFonts w:ascii="Arial" w:hAnsi="Arial" w:cs="Arial"/>
          <w:b/>
          <w:sz w:val="20"/>
          <w:szCs w:val="20"/>
          <w:lang w:val="en-US"/>
        </w:rPr>
        <w:t xml:space="preserve">urea </w:t>
      </w:r>
      <w:r w:rsidRPr="00AC4401">
        <w:rPr>
          <w:rFonts w:ascii="Arial" w:hAnsi="Arial" w:cs="Arial"/>
          <w:b/>
          <w:sz w:val="20"/>
          <w:szCs w:val="20"/>
          <w:lang w:val="en-US"/>
        </w:rPr>
        <w:t xml:space="preserve"> (</w:t>
      </w:r>
      <w:proofErr w:type="spellStart"/>
      <w:proofErr w:type="gramEnd"/>
      <w:r w:rsidRPr="00AC4401">
        <w:rPr>
          <w:rFonts w:ascii="Arial" w:hAnsi="Arial" w:cs="Arial"/>
          <w:b/>
          <w:sz w:val="20"/>
          <w:szCs w:val="20"/>
          <w:lang w:val="en-US"/>
        </w:rPr>
        <w:t>a,b,c,d</w:t>
      </w:r>
      <w:proofErr w:type="spellEnd"/>
      <w:r w:rsidRPr="00AC4401">
        <w:rPr>
          <w:rFonts w:ascii="Arial" w:hAnsi="Arial" w:cs="Arial"/>
          <w:b/>
          <w:sz w:val="20"/>
          <w:szCs w:val="20"/>
          <w:lang w:val="en-US"/>
        </w:rPr>
        <w:t>)</w:t>
      </w:r>
    </w:p>
    <w:p w:rsidR="00AD2C7E" w:rsidRPr="00AD2C7E" w:rsidRDefault="00AD2C7E" w:rsidP="00AD2C7E">
      <w:pPr>
        <w:spacing w:line="276" w:lineRule="auto"/>
        <w:jc w:val="center"/>
        <w:rPr>
          <w:rFonts w:ascii="Arial" w:hAnsi="Arial" w:cs="Arial"/>
          <w:b/>
          <w:sz w:val="20"/>
          <w:szCs w:val="20"/>
          <w:lang w:val="en-US"/>
        </w:rPr>
      </w:pPr>
    </w:p>
    <w:p w:rsidR="005272B5" w:rsidRPr="002B129C" w:rsidRDefault="005272B5" w:rsidP="00F26D1D">
      <w:pPr>
        <w:spacing w:before="100" w:beforeAutospacing="1" w:after="100" w:afterAutospacing="1" w:line="276" w:lineRule="auto"/>
        <w:ind w:left="142"/>
        <w:jc w:val="both"/>
        <w:rPr>
          <w:rFonts w:ascii="Arial" w:eastAsia="Times New Roman" w:hAnsi="Arial" w:cs="Arial"/>
          <w:b/>
          <w:lang w:val="en-US" w:eastAsia="ru-RU"/>
        </w:rPr>
      </w:pPr>
      <w:r w:rsidRPr="00F26D1D">
        <w:rPr>
          <w:rFonts w:ascii="Arial" w:eastAsia="Times New Roman" w:hAnsi="Arial" w:cs="Arial"/>
          <w:b/>
          <w:bCs/>
          <w:lang w:val="en-US" w:eastAsia="ru-RU"/>
        </w:rPr>
        <w:t>CONCLUSION</w:t>
      </w:r>
    </w:p>
    <w:p w:rsidR="005272B5" w:rsidRDefault="005272B5" w:rsidP="00F26D1D">
      <w:pPr>
        <w:pStyle w:val="NormalWeb"/>
        <w:spacing w:line="276" w:lineRule="auto"/>
        <w:ind w:left="142" w:firstLine="566"/>
        <w:jc w:val="both"/>
        <w:rPr>
          <w:rFonts w:ascii="Arial" w:hAnsi="Arial" w:cs="Arial"/>
          <w:sz w:val="20"/>
          <w:szCs w:val="20"/>
          <w:lang w:val="en-US"/>
        </w:rPr>
      </w:pPr>
      <w:r w:rsidRPr="00BF295E">
        <w:rPr>
          <w:rFonts w:ascii="Arial" w:hAnsi="Arial" w:cs="Arial"/>
          <w:sz w:val="20"/>
          <w:szCs w:val="20"/>
          <w:lang w:val="en-US"/>
        </w:rPr>
        <w:t xml:space="preserve">The incorporation of hydroquinone into a biodegradable polymer matrix for the encapsulation of urea has demonstrated considerable potential in enhancing the agronomic efficiency of nitrogen fertilizers. Experimental findings confirmed that the resulting formulation effectively reduced nitrogen losses through volatilization and leaching while significantly prolonging the availability of nitrogen in the soil. These improvements are primarily attributed to the dual functionality of the system: the physical barrier provided by the polymer coating and the inhibitory action of hydroquinone on microbial nitrification </w:t>
      </w:r>
      <w:proofErr w:type="spellStart"/>
      <w:r w:rsidRPr="00BF295E">
        <w:rPr>
          <w:rFonts w:ascii="Arial" w:hAnsi="Arial" w:cs="Arial"/>
          <w:sz w:val="20"/>
          <w:szCs w:val="20"/>
          <w:lang w:val="en-US"/>
        </w:rPr>
        <w:t>processes.Moreover</w:t>
      </w:r>
      <w:proofErr w:type="spellEnd"/>
      <w:r w:rsidRPr="00BF295E">
        <w:rPr>
          <w:rFonts w:ascii="Arial" w:hAnsi="Arial" w:cs="Arial"/>
          <w:sz w:val="20"/>
          <w:szCs w:val="20"/>
          <w:lang w:val="en-US"/>
        </w:rPr>
        <w:t xml:space="preserve">, the coated granules exhibited superior structural integrity and mechanical strength, indicating enhanced handling, transport, and storage performance—key attributes for practical agricultural deployment. The controlled-release behavior of the formulation ensures a gradual and sustained supply of nitrogen, aligning nutrient availability with crop demand and minimizing environmental </w:t>
      </w:r>
      <w:proofErr w:type="spellStart"/>
      <w:r w:rsidRPr="00BF295E">
        <w:rPr>
          <w:rFonts w:ascii="Arial" w:hAnsi="Arial" w:cs="Arial"/>
          <w:sz w:val="20"/>
          <w:szCs w:val="20"/>
          <w:lang w:val="en-US"/>
        </w:rPr>
        <w:t>impact.Given</w:t>
      </w:r>
      <w:proofErr w:type="spellEnd"/>
      <w:r w:rsidRPr="00BF295E">
        <w:rPr>
          <w:rFonts w:ascii="Arial" w:hAnsi="Arial" w:cs="Arial"/>
          <w:sz w:val="20"/>
          <w:szCs w:val="20"/>
          <w:lang w:val="en-US"/>
        </w:rPr>
        <w:t xml:space="preserve"> these promising results, the proposed technology represents a viable candidate for large-scale agricultural implementation, particularly in intensive farming systems where nitrogen efficiency and environmental stewardship are of paramount importance. Future research should be directed toward comprehensive </w:t>
      </w:r>
      <w:r w:rsidRPr="00F26D1D">
        <w:rPr>
          <w:rStyle w:val="Strong"/>
          <w:rFonts w:ascii="Arial" w:hAnsi="Arial" w:cs="Arial"/>
          <w:b w:val="0"/>
          <w:sz w:val="20"/>
          <w:szCs w:val="20"/>
          <w:lang w:val="en-US"/>
        </w:rPr>
        <w:t>field evaluations</w:t>
      </w:r>
      <w:r w:rsidRPr="00BF295E">
        <w:rPr>
          <w:rFonts w:ascii="Arial" w:hAnsi="Arial" w:cs="Arial"/>
          <w:sz w:val="20"/>
          <w:szCs w:val="20"/>
          <w:lang w:val="en-US"/>
        </w:rPr>
        <w:t xml:space="preserve"> under varying agro-climatic conditions, as well as </w:t>
      </w:r>
      <w:r w:rsidRPr="00F26D1D">
        <w:rPr>
          <w:rStyle w:val="Strong"/>
          <w:rFonts w:ascii="Arial" w:hAnsi="Arial" w:cs="Arial"/>
          <w:b w:val="0"/>
          <w:sz w:val="20"/>
          <w:szCs w:val="20"/>
          <w:lang w:val="en-US"/>
        </w:rPr>
        <w:t>techno-economic</w:t>
      </w:r>
      <w:r w:rsidRPr="00BF295E">
        <w:rPr>
          <w:rStyle w:val="Strong"/>
          <w:rFonts w:ascii="Arial" w:hAnsi="Arial" w:cs="Arial"/>
          <w:sz w:val="20"/>
          <w:szCs w:val="20"/>
          <w:lang w:val="en-US"/>
        </w:rPr>
        <w:t xml:space="preserve"> </w:t>
      </w:r>
      <w:r w:rsidRPr="00F26D1D">
        <w:rPr>
          <w:rStyle w:val="Strong"/>
          <w:rFonts w:ascii="Arial" w:hAnsi="Arial" w:cs="Arial"/>
          <w:b w:val="0"/>
          <w:sz w:val="20"/>
          <w:szCs w:val="20"/>
          <w:lang w:val="en-US"/>
        </w:rPr>
        <w:t>analysis</w:t>
      </w:r>
      <w:r w:rsidRPr="00BF295E">
        <w:rPr>
          <w:rFonts w:ascii="Arial" w:hAnsi="Arial" w:cs="Arial"/>
          <w:sz w:val="20"/>
          <w:szCs w:val="20"/>
          <w:lang w:val="en-US"/>
        </w:rPr>
        <w:t xml:space="preserve"> and </w:t>
      </w:r>
      <w:r w:rsidRPr="00BF295E">
        <w:rPr>
          <w:rStyle w:val="Strong"/>
          <w:rFonts w:ascii="Arial" w:hAnsi="Arial" w:cs="Arial"/>
          <w:sz w:val="20"/>
          <w:szCs w:val="20"/>
          <w:lang w:val="en-US"/>
        </w:rPr>
        <w:t>o</w:t>
      </w:r>
      <w:r w:rsidRPr="00F26D1D">
        <w:rPr>
          <w:rStyle w:val="Strong"/>
          <w:rFonts w:ascii="Arial" w:hAnsi="Arial" w:cs="Arial"/>
          <w:b w:val="0"/>
          <w:sz w:val="20"/>
          <w:szCs w:val="20"/>
          <w:lang w:val="en-US"/>
        </w:rPr>
        <w:t>ptimization of the polymer matrix</w:t>
      </w:r>
      <w:r w:rsidRPr="00BF295E">
        <w:rPr>
          <w:rFonts w:ascii="Arial" w:hAnsi="Arial" w:cs="Arial"/>
          <w:sz w:val="20"/>
          <w:szCs w:val="20"/>
          <w:lang w:val="en-US"/>
        </w:rPr>
        <w:t xml:space="preserve">, with particular emphasis on biodegradability, production </w:t>
      </w:r>
      <w:r w:rsidRPr="00BF295E">
        <w:rPr>
          <w:rFonts w:ascii="Arial" w:hAnsi="Arial" w:cs="Arial"/>
          <w:sz w:val="20"/>
          <w:szCs w:val="20"/>
          <w:lang w:val="en-US"/>
        </w:rPr>
        <w:lastRenderedPageBreak/>
        <w:t>scalability, and cost-effectiveness. Such efforts will be essential for facilitating the transition from laboratory innovation to real-world agricultural application.</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Disclaimer (Artificial intelligence)</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Option 1: </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Author(s) hereby declare that NO generative AI technologies such as Large Language Models (ChatGPT, COPILOT, etc.) and text-to-image generators have been used during the writing or editing of this manuscript. </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Option 2: </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Details of the AI usage are given below:</w:t>
      </w:r>
    </w:p>
    <w:p w:rsidR="002B129C" w:rsidRPr="00CE36D5" w:rsidRDefault="00F26D1D" w:rsidP="00CE36D5">
      <w:pPr>
        <w:pStyle w:val="NormalWeb"/>
        <w:spacing w:line="276" w:lineRule="auto"/>
        <w:ind w:left="142" w:firstLine="566"/>
        <w:jc w:val="both"/>
        <w:rPr>
          <w:rFonts w:ascii="Arial" w:eastAsia="Calibri" w:hAnsi="Arial" w:cs="Arial"/>
          <w:sz w:val="20"/>
          <w:szCs w:val="20"/>
          <w:lang w:val="en-US"/>
        </w:rPr>
      </w:pPr>
      <w:r w:rsidRPr="00241243">
        <w:rPr>
          <w:rFonts w:ascii="Arial" w:eastAsia="Calibri" w:hAnsi="Arial" w:cs="Arial"/>
          <w:sz w:val="20"/>
          <w:szCs w:val="20"/>
          <w:lang w:val="en-US"/>
        </w:rPr>
        <w:t>ChatGPT Plus for paraphrase and in order to be academic and clear.</w:t>
      </w:r>
    </w:p>
    <w:p w:rsidR="00BF295E" w:rsidRPr="00BF295E" w:rsidRDefault="00BF295E" w:rsidP="00F26D1D">
      <w:pPr>
        <w:spacing w:line="276" w:lineRule="auto"/>
        <w:rPr>
          <w:rFonts w:ascii="Arial" w:hAnsi="Arial" w:cs="Arial"/>
          <w:b/>
          <w:sz w:val="20"/>
          <w:szCs w:val="20"/>
          <w:lang w:val="en-US"/>
        </w:rPr>
      </w:pPr>
    </w:p>
    <w:p w:rsidR="00BF295E" w:rsidRPr="00F26D1D" w:rsidRDefault="00F26D1D" w:rsidP="00F26D1D">
      <w:pPr>
        <w:spacing w:line="276" w:lineRule="auto"/>
        <w:ind w:firstLine="142"/>
        <w:rPr>
          <w:rFonts w:ascii="Arial" w:hAnsi="Arial" w:cs="Arial"/>
          <w:b/>
          <w:lang w:val="en-US"/>
        </w:rPr>
      </w:pPr>
      <w:r w:rsidRPr="00F26D1D">
        <w:rPr>
          <w:rFonts w:ascii="Arial" w:hAnsi="Arial" w:cs="Arial"/>
          <w:b/>
          <w:lang w:val="en-US"/>
        </w:rPr>
        <w:t>REFERENCES</w:t>
      </w:r>
    </w:p>
    <w:p w:rsidR="000556D0" w:rsidRPr="00084F0D" w:rsidRDefault="000556D0" w:rsidP="00AD2C7E">
      <w:pPr>
        <w:pStyle w:val="NormalWeb"/>
        <w:numPr>
          <w:ilvl w:val="0"/>
          <w:numId w:val="7"/>
        </w:numPr>
        <w:rPr>
          <w:rFonts w:ascii="Arial" w:hAnsi="Arial" w:cs="Arial"/>
          <w:sz w:val="20"/>
          <w:szCs w:val="20"/>
          <w:highlight w:val="yellow"/>
          <w:lang w:val="en-US"/>
        </w:rPr>
      </w:pPr>
      <w:proofErr w:type="spellStart"/>
      <w:r w:rsidRPr="00084F0D">
        <w:rPr>
          <w:rFonts w:ascii="Arial" w:hAnsi="Arial" w:cs="Arial"/>
          <w:sz w:val="20"/>
          <w:szCs w:val="20"/>
          <w:highlight w:val="yellow"/>
          <w:lang w:val="en-US"/>
        </w:rPr>
        <w:t>Shaviv</w:t>
      </w:r>
      <w:proofErr w:type="spellEnd"/>
      <w:r w:rsidRPr="00084F0D">
        <w:rPr>
          <w:rFonts w:ascii="Arial" w:hAnsi="Arial" w:cs="Arial"/>
          <w:sz w:val="20"/>
          <w:szCs w:val="20"/>
          <w:highlight w:val="yellow"/>
          <w:lang w:val="en-US"/>
        </w:rPr>
        <w:t xml:space="preserve">, A., &amp; Mikkelsen, R. L. (1993). </w:t>
      </w:r>
      <w:r w:rsidRPr="00084F0D">
        <w:rPr>
          <w:rStyle w:val="Emphasis"/>
          <w:rFonts w:ascii="Arial" w:hAnsi="Arial" w:cs="Arial"/>
          <w:sz w:val="20"/>
          <w:szCs w:val="20"/>
          <w:highlight w:val="yellow"/>
          <w:lang w:val="en-US"/>
        </w:rPr>
        <w:t>Controlled Release and Stabilized Fertilizers in Agriculture</w:t>
      </w:r>
      <w:r w:rsidRPr="00084F0D">
        <w:rPr>
          <w:rFonts w:ascii="Arial" w:hAnsi="Arial" w:cs="Arial"/>
          <w:sz w:val="20"/>
          <w:szCs w:val="20"/>
          <w:highlight w:val="yellow"/>
          <w:lang w:val="en-US"/>
        </w:rPr>
        <w:t>. Fertilizer Research, 35(1–2), 1–12.</w:t>
      </w:r>
    </w:p>
    <w:p w:rsidR="000556D0" w:rsidRPr="00084F0D" w:rsidRDefault="000556D0" w:rsidP="00AD2C7E">
      <w:pPr>
        <w:pStyle w:val="NormalWeb"/>
        <w:numPr>
          <w:ilvl w:val="0"/>
          <w:numId w:val="7"/>
        </w:numPr>
        <w:rPr>
          <w:rFonts w:ascii="Arial" w:hAnsi="Arial" w:cs="Arial"/>
          <w:sz w:val="20"/>
          <w:szCs w:val="20"/>
          <w:highlight w:val="yellow"/>
          <w:lang w:val="en-US"/>
        </w:rPr>
      </w:pPr>
      <w:proofErr w:type="spellStart"/>
      <w:r w:rsidRPr="00084F0D">
        <w:rPr>
          <w:rFonts w:ascii="Arial" w:hAnsi="Arial" w:cs="Arial"/>
          <w:sz w:val="20"/>
          <w:szCs w:val="20"/>
          <w:highlight w:val="yellow"/>
          <w:lang w:val="en-US"/>
        </w:rPr>
        <w:t>Trenkel</w:t>
      </w:r>
      <w:proofErr w:type="spellEnd"/>
      <w:r w:rsidRPr="00084F0D">
        <w:rPr>
          <w:rFonts w:ascii="Arial" w:hAnsi="Arial" w:cs="Arial"/>
          <w:sz w:val="20"/>
          <w:szCs w:val="20"/>
          <w:highlight w:val="yellow"/>
          <w:lang w:val="en-US"/>
        </w:rPr>
        <w:t xml:space="preserve">, M. E. (2010). </w:t>
      </w:r>
      <w:r w:rsidRPr="00084F0D">
        <w:rPr>
          <w:rStyle w:val="Emphasis"/>
          <w:rFonts w:ascii="Arial" w:hAnsi="Arial" w:cs="Arial"/>
          <w:sz w:val="20"/>
          <w:szCs w:val="20"/>
          <w:highlight w:val="yellow"/>
          <w:lang w:val="en-US"/>
        </w:rPr>
        <w:t>Slow- and Controlled-Release and Stabilized Fertilizers: An Option for Enhancing Nutrient Use Efficiency in Agriculture</w:t>
      </w:r>
      <w:r w:rsidRPr="00084F0D">
        <w:rPr>
          <w:rFonts w:ascii="Arial" w:hAnsi="Arial" w:cs="Arial"/>
          <w:sz w:val="20"/>
          <w:szCs w:val="20"/>
          <w:highlight w:val="yellow"/>
          <w:lang w:val="en-US"/>
        </w:rPr>
        <w:t>. International Fertilizer Industry Association (IFA), Paris.</w:t>
      </w:r>
    </w:p>
    <w:p w:rsidR="000556D0" w:rsidRPr="00084F0D" w:rsidRDefault="000556D0" w:rsidP="00AD2C7E">
      <w:pPr>
        <w:pStyle w:val="NormalWeb"/>
        <w:numPr>
          <w:ilvl w:val="0"/>
          <w:numId w:val="7"/>
        </w:numPr>
        <w:rPr>
          <w:rFonts w:ascii="Arial" w:hAnsi="Arial" w:cs="Arial"/>
          <w:sz w:val="20"/>
          <w:szCs w:val="20"/>
          <w:highlight w:val="yellow"/>
          <w:lang w:val="en-US"/>
        </w:rPr>
      </w:pPr>
      <w:r w:rsidRPr="00084F0D">
        <w:rPr>
          <w:rFonts w:ascii="Arial" w:hAnsi="Arial" w:cs="Arial"/>
          <w:sz w:val="20"/>
          <w:szCs w:val="20"/>
          <w:highlight w:val="yellow"/>
          <w:lang w:val="en-US"/>
        </w:rPr>
        <w:t xml:space="preserve">Azeem, B., </w:t>
      </w:r>
      <w:proofErr w:type="spellStart"/>
      <w:r w:rsidRPr="00084F0D">
        <w:rPr>
          <w:rFonts w:ascii="Arial" w:hAnsi="Arial" w:cs="Arial"/>
          <w:sz w:val="20"/>
          <w:szCs w:val="20"/>
          <w:highlight w:val="yellow"/>
          <w:lang w:val="en-US"/>
        </w:rPr>
        <w:t>KuShaari</w:t>
      </w:r>
      <w:proofErr w:type="spellEnd"/>
      <w:r w:rsidRPr="00084F0D">
        <w:rPr>
          <w:rFonts w:ascii="Arial" w:hAnsi="Arial" w:cs="Arial"/>
          <w:sz w:val="20"/>
          <w:szCs w:val="20"/>
          <w:highlight w:val="yellow"/>
          <w:lang w:val="en-US"/>
        </w:rPr>
        <w:t xml:space="preserve">, K., Man, Z. B., </w:t>
      </w:r>
      <w:proofErr w:type="spellStart"/>
      <w:r w:rsidRPr="00084F0D">
        <w:rPr>
          <w:rFonts w:ascii="Arial" w:hAnsi="Arial" w:cs="Arial"/>
          <w:sz w:val="20"/>
          <w:szCs w:val="20"/>
          <w:highlight w:val="yellow"/>
          <w:lang w:val="en-US"/>
        </w:rPr>
        <w:t>Basit</w:t>
      </w:r>
      <w:proofErr w:type="spellEnd"/>
      <w:r w:rsidRPr="00084F0D">
        <w:rPr>
          <w:rFonts w:ascii="Arial" w:hAnsi="Arial" w:cs="Arial"/>
          <w:sz w:val="20"/>
          <w:szCs w:val="20"/>
          <w:highlight w:val="yellow"/>
          <w:lang w:val="en-US"/>
        </w:rPr>
        <w:t xml:space="preserve">, A., &amp; Thanh, T. H. (2014). </w:t>
      </w:r>
      <w:r w:rsidRPr="00084F0D">
        <w:rPr>
          <w:rStyle w:val="Emphasis"/>
          <w:rFonts w:ascii="Arial" w:hAnsi="Arial" w:cs="Arial"/>
          <w:sz w:val="20"/>
          <w:szCs w:val="20"/>
          <w:highlight w:val="yellow"/>
          <w:lang w:val="en-US"/>
        </w:rPr>
        <w:t>Review on materials &amp; methods to produce controlled release coated urea fertilizer</w:t>
      </w:r>
      <w:r w:rsidRPr="00084F0D">
        <w:rPr>
          <w:rFonts w:ascii="Arial" w:hAnsi="Arial" w:cs="Arial"/>
          <w:sz w:val="20"/>
          <w:szCs w:val="20"/>
          <w:highlight w:val="yellow"/>
          <w:lang w:val="en-US"/>
        </w:rPr>
        <w:t xml:space="preserve">. </w:t>
      </w:r>
      <w:r w:rsidRPr="00084F0D">
        <w:rPr>
          <w:rStyle w:val="Emphasis"/>
          <w:rFonts w:ascii="Arial" w:hAnsi="Arial" w:cs="Arial"/>
          <w:sz w:val="20"/>
          <w:szCs w:val="20"/>
          <w:highlight w:val="yellow"/>
          <w:lang w:val="en-US"/>
        </w:rPr>
        <w:t>Journal of Controlled Release</w:t>
      </w:r>
      <w:r w:rsidRPr="00084F0D">
        <w:rPr>
          <w:rFonts w:ascii="Arial" w:hAnsi="Arial" w:cs="Arial"/>
          <w:sz w:val="20"/>
          <w:szCs w:val="20"/>
          <w:highlight w:val="yellow"/>
          <w:lang w:val="en-US"/>
        </w:rPr>
        <w:t>, 181, 11–21. https://doi.org/10.1016/j.jconrel.2014.02.020</w:t>
      </w:r>
    </w:p>
    <w:p w:rsidR="000556D0" w:rsidRPr="00084F0D" w:rsidRDefault="000556D0" w:rsidP="00AD2C7E">
      <w:pPr>
        <w:pStyle w:val="NormalWeb"/>
        <w:numPr>
          <w:ilvl w:val="0"/>
          <w:numId w:val="7"/>
        </w:numPr>
        <w:rPr>
          <w:rFonts w:ascii="Arial" w:hAnsi="Arial" w:cs="Arial"/>
          <w:sz w:val="20"/>
          <w:szCs w:val="20"/>
          <w:highlight w:val="yellow"/>
          <w:lang w:val="en-US"/>
        </w:rPr>
      </w:pPr>
      <w:r w:rsidRPr="00084F0D">
        <w:rPr>
          <w:rFonts w:ascii="Arial" w:hAnsi="Arial" w:cs="Arial"/>
          <w:sz w:val="20"/>
          <w:szCs w:val="20"/>
          <w:highlight w:val="yellow"/>
          <w:lang w:val="en-US"/>
        </w:rPr>
        <w:t xml:space="preserve">Wang, Y., Zhou, J., Xu, M., &amp; Zhang, W. (2021). </w:t>
      </w:r>
      <w:r w:rsidRPr="00084F0D">
        <w:rPr>
          <w:rStyle w:val="Emphasis"/>
          <w:rFonts w:ascii="Arial" w:hAnsi="Arial" w:cs="Arial"/>
          <w:sz w:val="20"/>
          <w:szCs w:val="20"/>
          <w:highlight w:val="yellow"/>
          <w:lang w:val="en-US"/>
        </w:rPr>
        <w:t xml:space="preserve">Multifunctional Slow-Release Urea Fertilizer from </w:t>
      </w:r>
      <w:proofErr w:type="spellStart"/>
      <w:r w:rsidRPr="00084F0D">
        <w:rPr>
          <w:rStyle w:val="Emphasis"/>
          <w:rFonts w:ascii="Arial" w:hAnsi="Arial" w:cs="Arial"/>
          <w:sz w:val="20"/>
          <w:szCs w:val="20"/>
          <w:highlight w:val="yellow"/>
          <w:lang w:val="en-US"/>
        </w:rPr>
        <w:t>Ethylcellulose</w:t>
      </w:r>
      <w:proofErr w:type="spellEnd"/>
      <w:r w:rsidRPr="00084F0D">
        <w:rPr>
          <w:rStyle w:val="Emphasis"/>
          <w:rFonts w:ascii="Arial" w:hAnsi="Arial" w:cs="Arial"/>
          <w:sz w:val="20"/>
          <w:szCs w:val="20"/>
          <w:highlight w:val="yellow"/>
          <w:lang w:val="en-US"/>
        </w:rPr>
        <w:t xml:space="preserve"> and Superabsorbent Coated Formulations</w:t>
      </w:r>
      <w:r w:rsidRPr="00084F0D">
        <w:rPr>
          <w:rFonts w:ascii="Arial" w:hAnsi="Arial" w:cs="Arial"/>
          <w:sz w:val="20"/>
          <w:szCs w:val="20"/>
          <w:highlight w:val="yellow"/>
          <w:lang w:val="en-US"/>
        </w:rPr>
        <w:t xml:space="preserve">. </w:t>
      </w:r>
      <w:r w:rsidRPr="00084F0D">
        <w:rPr>
          <w:rStyle w:val="Emphasis"/>
          <w:rFonts w:ascii="Arial" w:hAnsi="Arial" w:cs="Arial"/>
          <w:sz w:val="20"/>
          <w:szCs w:val="20"/>
          <w:highlight w:val="yellow"/>
        </w:rPr>
        <w:t>ACS Sustainable Chemistry &amp; Engineering</w:t>
      </w:r>
      <w:r w:rsidRPr="00084F0D">
        <w:rPr>
          <w:rFonts w:ascii="Arial" w:hAnsi="Arial" w:cs="Arial"/>
          <w:sz w:val="20"/>
          <w:szCs w:val="20"/>
          <w:highlight w:val="yellow"/>
        </w:rPr>
        <w:t xml:space="preserve">, 9(4), 1921–1932. </w:t>
      </w:r>
      <w:hyperlink r:id="rId14" w:history="1">
        <w:r w:rsidRPr="00084F0D">
          <w:rPr>
            <w:rStyle w:val="Hyperlink"/>
            <w:rFonts w:ascii="Arial" w:hAnsi="Arial" w:cs="Arial"/>
            <w:sz w:val="20"/>
            <w:szCs w:val="20"/>
            <w:highlight w:val="yellow"/>
            <w:lang w:val="en-US"/>
          </w:rPr>
          <w:t>https://doi.org/10.1021/acssuschemeng.0c07612</w:t>
        </w:r>
      </w:hyperlink>
    </w:p>
    <w:p w:rsidR="000556D0" w:rsidRPr="00084F0D" w:rsidRDefault="000556D0" w:rsidP="00AD2C7E">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highlight w:val="yellow"/>
          <w:lang w:val="en-US" w:eastAsia="ru-RU"/>
        </w:rPr>
      </w:pPr>
      <w:proofErr w:type="spellStart"/>
      <w:r w:rsidRPr="00084F0D">
        <w:rPr>
          <w:rFonts w:ascii="Times New Roman" w:eastAsia="Times New Roman" w:hAnsi="Times New Roman" w:cs="Times New Roman"/>
          <w:sz w:val="24"/>
          <w:szCs w:val="24"/>
          <w:highlight w:val="yellow"/>
          <w:lang w:val="en-US" w:eastAsia="ru-RU"/>
        </w:rPr>
        <w:t>Shaviv</w:t>
      </w:r>
      <w:proofErr w:type="spellEnd"/>
      <w:r w:rsidRPr="00084F0D">
        <w:rPr>
          <w:rFonts w:ascii="Times New Roman" w:eastAsia="Times New Roman" w:hAnsi="Times New Roman" w:cs="Times New Roman"/>
          <w:sz w:val="24"/>
          <w:szCs w:val="24"/>
          <w:highlight w:val="yellow"/>
          <w:lang w:val="en-US" w:eastAsia="ru-RU"/>
        </w:rPr>
        <w:t xml:space="preserve">, A., &amp; Mikkelsen, R. L. (1993). </w:t>
      </w:r>
      <w:r w:rsidRPr="00084F0D">
        <w:rPr>
          <w:rFonts w:ascii="Times New Roman" w:eastAsia="Times New Roman" w:hAnsi="Times New Roman" w:cs="Times New Roman"/>
          <w:i/>
          <w:iCs/>
          <w:sz w:val="24"/>
          <w:szCs w:val="24"/>
          <w:highlight w:val="yellow"/>
          <w:lang w:val="en-US" w:eastAsia="ru-RU"/>
        </w:rPr>
        <w:t>Controlled Release and Stabilized Fertilizers in Agriculture</w:t>
      </w:r>
      <w:r w:rsidRPr="00084F0D">
        <w:rPr>
          <w:rFonts w:ascii="Times New Roman" w:eastAsia="Times New Roman" w:hAnsi="Times New Roman" w:cs="Times New Roman"/>
          <w:sz w:val="24"/>
          <w:szCs w:val="24"/>
          <w:highlight w:val="yellow"/>
          <w:lang w:val="en-US" w:eastAsia="ru-RU"/>
        </w:rPr>
        <w:t>. Fertilizer Research, 35(1-2), 1–12.</w:t>
      </w:r>
    </w:p>
    <w:p w:rsidR="000556D0" w:rsidRPr="00084F0D" w:rsidRDefault="000556D0" w:rsidP="00AD2C7E">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highlight w:val="yellow"/>
          <w:lang w:val="en-US" w:eastAsia="ru-RU"/>
        </w:rPr>
      </w:pPr>
      <w:r w:rsidRPr="00084F0D">
        <w:rPr>
          <w:rFonts w:ascii="Times New Roman" w:eastAsia="Times New Roman" w:hAnsi="Times New Roman" w:cs="Times New Roman"/>
          <w:sz w:val="24"/>
          <w:szCs w:val="24"/>
          <w:highlight w:val="yellow"/>
          <w:lang w:val="en-US" w:eastAsia="ru-RU"/>
        </w:rPr>
        <w:t xml:space="preserve">Azeem, B., et al. (2014). </w:t>
      </w:r>
      <w:r w:rsidRPr="00084F0D">
        <w:rPr>
          <w:rFonts w:ascii="Times New Roman" w:eastAsia="Times New Roman" w:hAnsi="Times New Roman" w:cs="Times New Roman"/>
          <w:i/>
          <w:iCs/>
          <w:sz w:val="24"/>
          <w:szCs w:val="24"/>
          <w:highlight w:val="yellow"/>
          <w:lang w:val="en-US" w:eastAsia="ru-RU"/>
        </w:rPr>
        <w:t>Review on materials &amp; methods to produce controlled release coated urea fertilizer</w:t>
      </w:r>
      <w:r w:rsidRPr="00084F0D">
        <w:rPr>
          <w:rFonts w:ascii="Times New Roman" w:eastAsia="Times New Roman" w:hAnsi="Times New Roman" w:cs="Times New Roman"/>
          <w:sz w:val="24"/>
          <w:szCs w:val="24"/>
          <w:highlight w:val="yellow"/>
          <w:lang w:val="en-US" w:eastAsia="ru-RU"/>
        </w:rPr>
        <w:t xml:space="preserve">. </w:t>
      </w:r>
      <w:r w:rsidRPr="00084F0D">
        <w:rPr>
          <w:rFonts w:ascii="Times New Roman" w:eastAsia="Times New Roman" w:hAnsi="Times New Roman" w:cs="Times New Roman"/>
          <w:i/>
          <w:iCs/>
          <w:sz w:val="24"/>
          <w:szCs w:val="24"/>
          <w:highlight w:val="yellow"/>
          <w:lang w:val="en-US" w:eastAsia="ru-RU"/>
        </w:rPr>
        <w:t>Journal of Controlled Release</w:t>
      </w:r>
      <w:r w:rsidRPr="00084F0D">
        <w:rPr>
          <w:rFonts w:ascii="Times New Roman" w:eastAsia="Times New Roman" w:hAnsi="Times New Roman" w:cs="Times New Roman"/>
          <w:sz w:val="24"/>
          <w:szCs w:val="24"/>
          <w:highlight w:val="yellow"/>
          <w:lang w:val="en-US" w:eastAsia="ru-RU"/>
        </w:rPr>
        <w:t>, 181, 11–21.</w:t>
      </w:r>
    </w:p>
    <w:p w:rsidR="000556D0" w:rsidRPr="00084F0D" w:rsidRDefault="000556D0" w:rsidP="00AD2C7E">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highlight w:val="yellow"/>
          <w:lang w:val="en-US" w:eastAsia="ru-RU"/>
        </w:rPr>
      </w:pPr>
      <w:proofErr w:type="spellStart"/>
      <w:r w:rsidRPr="00084F0D">
        <w:rPr>
          <w:rFonts w:ascii="Times New Roman" w:eastAsia="Times New Roman" w:hAnsi="Times New Roman" w:cs="Times New Roman"/>
          <w:sz w:val="24"/>
          <w:szCs w:val="24"/>
          <w:highlight w:val="yellow"/>
          <w:lang w:val="en-US" w:eastAsia="ru-RU"/>
        </w:rPr>
        <w:t>Naz</w:t>
      </w:r>
      <w:proofErr w:type="spellEnd"/>
      <w:r w:rsidRPr="00084F0D">
        <w:rPr>
          <w:rFonts w:ascii="Times New Roman" w:eastAsia="Times New Roman" w:hAnsi="Times New Roman" w:cs="Times New Roman"/>
          <w:sz w:val="24"/>
          <w:szCs w:val="24"/>
          <w:highlight w:val="yellow"/>
          <w:lang w:val="en-US" w:eastAsia="ru-RU"/>
        </w:rPr>
        <w:t xml:space="preserve">, M. Y., &amp; </w:t>
      </w:r>
      <w:proofErr w:type="spellStart"/>
      <w:r w:rsidRPr="00084F0D">
        <w:rPr>
          <w:rFonts w:ascii="Times New Roman" w:eastAsia="Times New Roman" w:hAnsi="Times New Roman" w:cs="Times New Roman"/>
          <w:sz w:val="24"/>
          <w:szCs w:val="24"/>
          <w:highlight w:val="yellow"/>
          <w:lang w:val="en-US" w:eastAsia="ru-RU"/>
        </w:rPr>
        <w:t>Sulaiman</w:t>
      </w:r>
      <w:proofErr w:type="spellEnd"/>
      <w:r w:rsidRPr="00084F0D">
        <w:rPr>
          <w:rFonts w:ascii="Times New Roman" w:eastAsia="Times New Roman" w:hAnsi="Times New Roman" w:cs="Times New Roman"/>
          <w:sz w:val="24"/>
          <w:szCs w:val="24"/>
          <w:highlight w:val="yellow"/>
          <w:lang w:val="en-US" w:eastAsia="ru-RU"/>
        </w:rPr>
        <w:t xml:space="preserve">, S. A. (2016). </w:t>
      </w:r>
      <w:r w:rsidRPr="00084F0D">
        <w:rPr>
          <w:rFonts w:ascii="Times New Roman" w:eastAsia="Times New Roman" w:hAnsi="Times New Roman" w:cs="Times New Roman"/>
          <w:i/>
          <w:iCs/>
          <w:sz w:val="24"/>
          <w:szCs w:val="24"/>
          <w:highlight w:val="yellow"/>
          <w:lang w:val="en-US" w:eastAsia="ru-RU"/>
        </w:rPr>
        <w:t>Slow release coating remedy for nitrogen loss from conventional urea: a review</w:t>
      </w:r>
      <w:r w:rsidRPr="00084F0D">
        <w:rPr>
          <w:rFonts w:ascii="Times New Roman" w:eastAsia="Times New Roman" w:hAnsi="Times New Roman" w:cs="Times New Roman"/>
          <w:sz w:val="24"/>
          <w:szCs w:val="24"/>
          <w:highlight w:val="yellow"/>
          <w:lang w:val="en-US" w:eastAsia="ru-RU"/>
        </w:rPr>
        <w:t xml:space="preserve">. </w:t>
      </w:r>
      <w:r w:rsidRPr="00084F0D">
        <w:rPr>
          <w:rFonts w:ascii="Times New Roman" w:eastAsia="Times New Roman" w:hAnsi="Times New Roman" w:cs="Times New Roman"/>
          <w:i/>
          <w:iCs/>
          <w:sz w:val="24"/>
          <w:szCs w:val="24"/>
          <w:highlight w:val="yellow"/>
          <w:lang w:val="en-US" w:eastAsia="ru-RU"/>
        </w:rPr>
        <w:t>Journal of Controlled Release</w:t>
      </w:r>
      <w:r w:rsidRPr="00084F0D">
        <w:rPr>
          <w:rFonts w:ascii="Times New Roman" w:eastAsia="Times New Roman" w:hAnsi="Times New Roman" w:cs="Times New Roman"/>
          <w:sz w:val="24"/>
          <w:szCs w:val="24"/>
          <w:highlight w:val="yellow"/>
          <w:lang w:val="en-US" w:eastAsia="ru-RU"/>
        </w:rPr>
        <w:t>, 225, 109–120.</w:t>
      </w:r>
    </w:p>
    <w:p w:rsidR="000556D0" w:rsidRPr="00084F0D" w:rsidRDefault="000556D0" w:rsidP="000556D0">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highlight w:val="yellow"/>
          <w:lang w:eastAsia="ru-RU"/>
        </w:rPr>
      </w:pPr>
      <w:proofErr w:type="spellStart"/>
      <w:r w:rsidRPr="00084F0D">
        <w:rPr>
          <w:rFonts w:ascii="Times New Roman" w:eastAsia="Times New Roman" w:hAnsi="Times New Roman" w:cs="Times New Roman"/>
          <w:sz w:val="24"/>
          <w:szCs w:val="24"/>
          <w:highlight w:val="yellow"/>
          <w:lang w:val="en-US" w:eastAsia="ru-RU"/>
        </w:rPr>
        <w:t>Trenkel</w:t>
      </w:r>
      <w:proofErr w:type="spellEnd"/>
      <w:r w:rsidRPr="00084F0D">
        <w:rPr>
          <w:rFonts w:ascii="Times New Roman" w:eastAsia="Times New Roman" w:hAnsi="Times New Roman" w:cs="Times New Roman"/>
          <w:sz w:val="24"/>
          <w:szCs w:val="24"/>
          <w:highlight w:val="yellow"/>
          <w:lang w:val="en-US" w:eastAsia="ru-RU"/>
        </w:rPr>
        <w:t xml:space="preserve">, M. E. (2010). </w:t>
      </w:r>
      <w:r w:rsidRPr="00084F0D">
        <w:rPr>
          <w:rFonts w:ascii="Times New Roman" w:eastAsia="Times New Roman" w:hAnsi="Times New Roman" w:cs="Times New Roman"/>
          <w:i/>
          <w:iCs/>
          <w:sz w:val="24"/>
          <w:szCs w:val="24"/>
          <w:highlight w:val="yellow"/>
          <w:lang w:val="en-US" w:eastAsia="ru-RU"/>
        </w:rPr>
        <w:t>Slow- and Controlled-Release and Stabilized Fertilizers</w:t>
      </w:r>
      <w:r w:rsidRPr="00084F0D">
        <w:rPr>
          <w:rFonts w:ascii="Times New Roman" w:eastAsia="Times New Roman" w:hAnsi="Times New Roman" w:cs="Times New Roman"/>
          <w:sz w:val="24"/>
          <w:szCs w:val="24"/>
          <w:highlight w:val="yellow"/>
          <w:lang w:val="en-US" w:eastAsia="ru-RU"/>
        </w:rPr>
        <w:t xml:space="preserve">. </w:t>
      </w:r>
      <w:r w:rsidRPr="00084F0D">
        <w:rPr>
          <w:rFonts w:ascii="Times New Roman" w:eastAsia="Times New Roman" w:hAnsi="Times New Roman" w:cs="Times New Roman"/>
          <w:sz w:val="24"/>
          <w:szCs w:val="24"/>
          <w:highlight w:val="yellow"/>
          <w:lang w:eastAsia="ru-RU"/>
        </w:rPr>
        <w:t>International Fertilizer Industry Association.</w:t>
      </w:r>
    </w:p>
    <w:p w:rsidR="00BF295E" w:rsidRPr="00CD738C" w:rsidRDefault="000556D0" w:rsidP="00AD2C7E">
      <w:pPr>
        <w:pStyle w:val="NormalWeb"/>
        <w:numPr>
          <w:ilvl w:val="0"/>
          <w:numId w:val="7"/>
        </w:numPr>
        <w:spacing w:line="276" w:lineRule="auto"/>
        <w:rPr>
          <w:rFonts w:ascii="Arial" w:hAnsi="Arial" w:cs="Arial"/>
          <w:sz w:val="20"/>
          <w:szCs w:val="20"/>
          <w:lang w:val="en-US"/>
        </w:rPr>
      </w:pPr>
      <w:bookmarkStart w:id="0" w:name="_GoBack"/>
      <w:bookmarkEnd w:id="0"/>
      <w:r w:rsidRPr="00CD738C">
        <w:rPr>
          <w:rFonts w:ascii="Arial" w:hAnsi="Arial" w:cs="Arial"/>
          <w:sz w:val="20"/>
          <w:szCs w:val="20"/>
          <w:lang w:val="en-US"/>
        </w:rPr>
        <w:t xml:space="preserve"> </w:t>
      </w:r>
      <w:r w:rsidR="00BF295E" w:rsidRPr="00CD738C">
        <w:rPr>
          <w:rFonts w:ascii="Arial" w:hAnsi="Arial" w:cs="Arial"/>
          <w:sz w:val="20"/>
          <w:szCs w:val="20"/>
          <w:lang w:val="en-US"/>
        </w:rPr>
        <w:t xml:space="preserve">IPCC. (2019). </w:t>
      </w:r>
      <w:r w:rsidR="00BF295E" w:rsidRPr="00CD738C">
        <w:rPr>
          <w:rStyle w:val="Emphasis"/>
          <w:rFonts w:ascii="Arial" w:hAnsi="Arial" w:cs="Arial"/>
          <w:sz w:val="20"/>
          <w:szCs w:val="20"/>
          <w:lang w:val="en-US"/>
        </w:rPr>
        <w:t>Climate Change and Land: Special Report</w:t>
      </w:r>
      <w:r w:rsidR="00BF295E" w:rsidRPr="00CD738C">
        <w:rPr>
          <w:rFonts w:ascii="Arial" w:hAnsi="Arial" w:cs="Arial"/>
          <w:sz w:val="20"/>
          <w:szCs w:val="20"/>
          <w:lang w:val="en-US"/>
        </w:rPr>
        <w:t>. Intergovernmental Panel on Climate Change.</w:t>
      </w:r>
    </w:p>
    <w:p w:rsidR="00BF295E" w:rsidRPr="00CD738C" w:rsidRDefault="00BF295E" w:rsidP="00AD2C7E">
      <w:pPr>
        <w:pStyle w:val="NormalWeb"/>
        <w:numPr>
          <w:ilvl w:val="0"/>
          <w:numId w:val="7"/>
        </w:numPr>
        <w:spacing w:line="276" w:lineRule="auto"/>
        <w:rPr>
          <w:rFonts w:ascii="Arial" w:hAnsi="Arial" w:cs="Arial"/>
          <w:sz w:val="20"/>
          <w:szCs w:val="20"/>
        </w:rPr>
      </w:pPr>
      <w:proofErr w:type="spellStart"/>
      <w:r w:rsidRPr="00CD738C">
        <w:rPr>
          <w:rFonts w:ascii="Arial" w:hAnsi="Arial" w:cs="Arial"/>
          <w:sz w:val="20"/>
          <w:szCs w:val="20"/>
          <w:lang w:val="en-US"/>
        </w:rPr>
        <w:t>Lassaletta</w:t>
      </w:r>
      <w:proofErr w:type="spellEnd"/>
      <w:r w:rsidRPr="00CD738C">
        <w:rPr>
          <w:rFonts w:ascii="Arial" w:hAnsi="Arial" w:cs="Arial"/>
          <w:sz w:val="20"/>
          <w:szCs w:val="20"/>
          <w:lang w:val="en-US"/>
        </w:rPr>
        <w:t xml:space="preserve">, L., Billen, G., Garnier, J., Bouwman, L., &amp; Velazquez, E. (2014). Food and feed trade as a driver in the global nitrogen cycle: 50-year trends. </w:t>
      </w:r>
      <w:r w:rsidRPr="00CD738C">
        <w:rPr>
          <w:rStyle w:val="Emphasis"/>
          <w:rFonts w:ascii="Arial" w:hAnsi="Arial" w:cs="Arial"/>
          <w:sz w:val="20"/>
          <w:szCs w:val="20"/>
        </w:rPr>
        <w:t>Biogeochemistry</w:t>
      </w:r>
      <w:r w:rsidRPr="00CD738C">
        <w:rPr>
          <w:rFonts w:ascii="Arial" w:hAnsi="Arial" w:cs="Arial"/>
          <w:sz w:val="20"/>
          <w:szCs w:val="20"/>
        </w:rPr>
        <w:t>, 118, 225–241. https://doi.org/10.1007/s10533-013-9923-4</w:t>
      </w:r>
    </w:p>
    <w:p w:rsidR="00BF295E" w:rsidRPr="00CD738C" w:rsidRDefault="00BF295E" w:rsidP="00AD2C7E">
      <w:pPr>
        <w:pStyle w:val="NormalWeb"/>
        <w:numPr>
          <w:ilvl w:val="0"/>
          <w:numId w:val="7"/>
        </w:numPr>
        <w:spacing w:line="276" w:lineRule="auto"/>
        <w:rPr>
          <w:rFonts w:ascii="Arial" w:hAnsi="Arial" w:cs="Arial"/>
          <w:sz w:val="20"/>
          <w:szCs w:val="20"/>
          <w:lang w:val="en-US"/>
        </w:rPr>
      </w:pPr>
      <w:r w:rsidRPr="00CD738C">
        <w:rPr>
          <w:rFonts w:ascii="Arial" w:hAnsi="Arial" w:cs="Arial"/>
          <w:sz w:val="20"/>
          <w:szCs w:val="20"/>
          <w:lang w:val="en-US"/>
        </w:rPr>
        <w:t xml:space="preserve">Naz, M. Y., &amp; Sulaiman, S. A. (2016). Slow release coating remedy for nitrogen loss from conventional urea: a review. </w:t>
      </w:r>
      <w:r w:rsidRPr="00CD738C">
        <w:rPr>
          <w:rStyle w:val="Emphasis"/>
          <w:rFonts w:ascii="Arial" w:hAnsi="Arial" w:cs="Arial"/>
          <w:sz w:val="20"/>
          <w:szCs w:val="20"/>
          <w:lang w:val="en-US"/>
        </w:rPr>
        <w:t>Journal of Controlled Release</w:t>
      </w:r>
      <w:r w:rsidRPr="00CD738C">
        <w:rPr>
          <w:rFonts w:ascii="Arial" w:hAnsi="Arial" w:cs="Arial"/>
          <w:sz w:val="20"/>
          <w:szCs w:val="20"/>
          <w:lang w:val="en-US"/>
        </w:rPr>
        <w:t>, 225, 109–120. https://doi.org/10.1016/j.jconrel.2016.01.037</w:t>
      </w:r>
    </w:p>
    <w:p w:rsidR="00BF295E" w:rsidRPr="00CD738C" w:rsidRDefault="00BF295E" w:rsidP="00AD2C7E">
      <w:pPr>
        <w:pStyle w:val="NormalWeb"/>
        <w:numPr>
          <w:ilvl w:val="0"/>
          <w:numId w:val="7"/>
        </w:numPr>
        <w:spacing w:line="276" w:lineRule="auto"/>
        <w:rPr>
          <w:rFonts w:ascii="Arial" w:hAnsi="Arial" w:cs="Arial"/>
          <w:sz w:val="20"/>
          <w:szCs w:val="20"/>
          <w:lang w:val="en-US"/>
        </w:rPr>
      </w:pPr>
      <w:r w:rsidRPr="00CD738C">
        <w:rPr>
          <w:rFonts w:ascii="Arial" w:hAnsi="Arial" w:cs="Arial"/>
          <w:sz w:val="20"/>
          <w:szCs w:val="20"/>
          <w:lang w:val="en-US"/>
        </w:rPr>
        <w:t xml:space="preserve">Prasad, R., &amp; Power, J. F. (1995). Nitrification inhibitors for agriculture, health, and the environment. </w:t>
      </w:r>
      <w:r w:rsidRPr="00CD738C">
        <w:rPr>
          <w:rStyle w:val="Emphasis"/>
          <w:rFonts w:ascii="Arial" w:hAnsi="Arial" w:cs="Arial"/>
          <w:sz w:val="20"/>
          <w:szCs w:val="20"/>
          <w:lang w:val="en-US"/>
        </w:rPr>
        <w:t>Advances in Agronomy</w:t>
      </w:r>
      <w:r w:rsidRPr="00CD738C">
        <w:rPr>
          <w:rFonts w:ascii="Arial" w:hAnsi="Arial" w:cs="Arial"/>
          <w:sz w:val="20"/>
          <w:szCs w:val="20"/>
          <w:lang w:val="en-US"/>
        </w:rPr>
        <w:t>, 54, 233–281. https://doi.org/10.1016/S0065-2113(08)60918-9</w:t>
      </w:r>
    </w:p>
    <w:p w:rsidR="00BF295E" w:rsidRPr="00CD738C" w:rsidRDefault="00BF295E" w:rsidP="00AD2C7E">
      <w:pPr>
        <w:pStyle w:val="NormalWeb"/>
        <w:numPr>
          <w:ilvl w:val="0"/>
          <w:numId w:val="7"/>
        </w:numPr>
        <w:spacing w:line="276" w:lineRule="auto"/>
        <w:rPr>
          <w:rFonts w:ascii="Arial" w:hAnsi="Arial" w:cs="Arial"/>
          <w:sz w:val="20"/>
          <w:szCs w:val="20"/>
          <w:lang w:val="en-US"/>
        </w:rPr>
      </w:pPr>
      <w:proofErr w:type="spellStart"/>
      <w:r w:rsidRPr="00CD738C">
        <w:rPr>
          <w:rFonts w:ascii="Arial" w:hAnsi="Arial" w:cs="Arial"/>
          <w:sz w:val="20"/>
          <w:szCs w:val="20"/>
          <w:lang w:val="en-US"/>
        </w:rPr>
        <w:t>Shaviv</w:t>
      </w:r>
      <w:proofErr w:type="spellEnd"/>
      <w:r w:rsidRPr="00CD738C">
        <w:rPr>
          <w:rFonts w:ascii="Arial" w:hAnsi="Arial" w:cs="Arial"/>
          <w:sz w:val="20"/>
          <w:szCs w:val="20"/>
          <w:lang w:val="en-US"/>
        </w:rPr>
        <w:t>, A. (2005). Controlled release fertilizers. In IFA International Workshop on Enhanced-Efficiency Fertilizers, Frankfurt.</w:t>
      </w:r>
    </w:p>
    <w:p w:rsidR="00BF295E" w:rsidRDefault="00BF295E"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sectPr w:rsidR="00F26D1D" w:rsidSect="00D5583C">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3D5" w:rsidRDefault="004873D5" w:rsidP="00AB1FE0">
      <w:pPr>
        <w:spacing w:after="0" w:line="240" w:lineRule="auto"/>
      </w:pPr>
      <w:r>
        <w:separator/>
      </w:r>
    </w:p>
  </w:endnote>
  <w:endnote w:type="continuationSeparator" w:id="0">
    <w:p w:rsidR="004873D5" w:rsidRDefault="004873D5" w:rsidP="00AB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AB1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AB1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AB1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3D5" w:rsidRDefault="004873D5" w:rsidP="00AB1FE0">
      <w:pPr>
        <w:spacing w:after="0" w:line="240" w:lineRule="auto"/>
      </w:pPr>
      <w:r>
        <w:separator/>
      </w:r>
    </w:p>
  </w:footnote>
  <w:footnote w:type="continuationSeparator" w:id="0">
    <w:p w:rsidR="004873D5" w:rsidRDefault="004873D5" w:rsidP="00AB1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4873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8"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4873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9"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4873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7"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615C"/>
    <w:multiLevelType w:val="multilevel"/>
    <w:tmpl w:val="BD9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41C73"/>
    <w:multiLevelType w:val="multilevel"/>
    <w:tmpl w:val="4CEE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81F27"/>
    <w:multiLevelType w:val="multilevel"/>
    <w:tmpl w:val="9398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12852"/>
    <w:multiLevelType w:val="multilevel"/>
    <w:tmpl w:val="0C5A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5B5329"/>
    <w:multiLevelType w:val="multilevel"/>
    <w:tmpl w:val="1C9C0882"/>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5" w15:restartNumberingAfterBreak="0">
    <w:nsid w:val="3044544C"/>
    <w:multiLevelType w:val="hybridMultilevel"/>
    <w:tmpl w:val="83946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FB2F04"/>
    <w:multiLevelType w:val="hybridMultilevel"/>
    <w:tmpl w:val="BE3CA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3tDQ3MjM0NTUzNTBT0lEKTi0uzszPAykwrAUAuxXDVSwAAAA="/>
  </w:docVars>
  <w:rsids>
    <w:rsidRoot w:val="002B129C"/>
    <w:rsid w:val="000556D0"/>
    <w:rsid w:val="00084F0D"/>
    <w:rsid w:val="000850B9"/>
    <w:rsid w:val="00162364"/>
    <w:rsid w:val="001A48C2"/>
    <w:rsid w:val="001D7FE4"/>
    <w:rsid w:val="001F526A"/>
    <w:rsid w:val="00241243"/>
    <w:rsid w:val="00264D73"/>
    <w:rsid w:val="002B129C"/>
    <w:rsid w:val="002E3FC3"/>
    <w:rsid w:val="003204BE"/>
    <w:rsid w:val="00330B07"/>
    <w:rsid w:val="00336103"/>
    <w:rsid w:val="003C4B06"/>
    <w:rsid w:val="00432CDD"/>
    <w:rsid w:val="004873D5"/>
    <w:rsid w:val="00523C00"/>
    <w:rsid w:val="005272B5"/>
    <w:rsid w:val="00561F8C"/>
    <w:rsid w:val="005E1895"/>
    <w:rsid w:val="005E203F"/>
    <w:rsid w:val="005E7D09"/>
    <w:rsid w:val="0060588D"/>
    <w:rsid w:val="006C3B37"/>
    <w:rsid w:val="00737279"/>
    <w:rsid w:val="00742888"/>
    <w:rsid w:val="00815B9D"/>
    <w:rsid w:val="00843B11"/>
    <w:rsid w:val="00930BA1"/>
    <w:rsid w:val="00975B7B"/>
    <w:rsid w:val="009E7B15"/>
    <w:rsid w:val="00A17795"/>
    <w:rsid w:val="00AB1FE0"/>
    <w:rsid w:val="00AC4401"/>
    <w:rsid w:val="00AD2C7E"/>
    <w:rsid w:val="00AD3648"/>
    <w:rsid w:val="00B1526D"/>
    <w:rsid w:val="00B70458"/>
    <w:rsid w:val="00B74FB6"/>
    <w:rsid w:val="00B76675"/>
    <w:rsid w:val="00BF295E"/>
    <w:rsid w:val="00CD738C"/>
    <w:rsid w:val="00CE36D5"/>
    <w:rsid w:val="00D5583C"/>
    <w:rsid w:val="00E51C7B"/>
    <w:rsid w:val="00E81F0B"/>
    <w:rsid w:val="00EB2F55"/>
    <w:rsid w:val="00ED7126"/>
    <w:rsid w:val="00EE29D1"/>
    <w:rsid w:val="00F26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76B8A144-36BE-4EB7-A2EA-DB9FB3BF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583C"/>
  </w:style>
  <w:style w:type="paragraph" w:styleId="Heading3">
    <w:name w:val="heading 3"/>
    <w:basedOn w:val="Normal"/>
    <w:link w:val="Heading3Char"/>
    <w:uiPriority w:val="9"/>
    <w:qFormat/>
    <w:rsid w:val="002B12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1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B129C"/>
    <w:rPr>
      <w:b/>
      <w:bCs/>
    </w:rPr>
  </w:style>
  <w:style w:type="character" w:customStyle="1" w:styleId="Heading3Char">
    <w:name w:val="Heading 3 Char"/>
    <w:basedOn w:val="DefaultParagraphFont"/>
    <w:link w:val="Heading3"/>
    <w:uiPriority w:val="9"/>
    <w:rsid w:val="002B129C"/>
    <w:rPr>
      <w:rFonts w:ascii="Times New Roman" w:eastAsia="Times New Roman" w:hAnsi="Times New Roman" w:cs="Times New Roman"/>
      <w:b/>
      <w:bCs/>
      <w:sz w:val="27"/>
      <w:szCs w:val="27"/>
      <w:lang w:eastAsia="ru-RU"/>
    </w:rPr>
  </w:style>
  <w:style w:type="character" w:styleId="Emphasis">
    <w:name w:val="Emphasis"/>
    <w:basedOn w:val="DefaultParagraphFont"/>
    <w:uiPriority w:val="20"/>
    <w:qFormat/>
    <w:rsid w:val="00BF295E"/>
    <w:rPr>
      <w:i/>
      <w:iCs/>
    </w:rPr>
  </w:style>
  <w:style w:type="paragraph" w:customStyle="1" w:styleId="ReferHead">
    <w:name w:val="Refer Head"/>
    <w:basedOn w:val="Normal"/>
    <w:rsid w:val="00F26D1D"/>
    <w:pPr>
      <w:keepNext/>
      <w:spacing w:after="240" w:line="240" w:lineRule="auto"/>
    </w:pPr>
    <w:rPr>
      <w:rFonts w:ascii="Helvetica" w:eastAsia="Times New Roman" w:hAnsi="Helvetica" w:cs="Times New Roman"/>
      <w:b/>
      <w:caps/>
      <w:szCs w:val="20"/>
      <w:lang w:val="en-US"/>
    </w:rPr>
  </w:style>
  <w:style w:type="paragraph" w:customStyle="1" w:styleId="Default">
    <w:name w:val="Default"/>
    <w:rsid w:val="00F26D1D"/>
    <w:pPr>
      <w:autoSpaceDE w:val="0"/>
      <w:autoSpaceDN w:val="0"/>
      <w:adjustRightInd w:val="0"/>
      <w:spacing w:after="0" w:line="240" w:lineRule="auto"/>
    </w:pPr>
    <w:rPr>
      <w:rFonts w:ascii="Arial" w:eastAsia="Calibri" w:hAnsi="Arial" w:cs="Arial"/>
      <w:color w:val="000000"/>
      <w:sz w:val="24"/>
      <w:szCs w:val="24"/>
      <w:lang w:eastAsia="ru-RU"/>
    </w:rPr>
  </w:style>
  <w:style w:type="character" w:styleId="Hyperlink">
    <w:name w:val="Hyperlink"/>
    <w:basedOn w:val="DefaultParagraphFont"/>
    <w:uiPriority w:val="99"/>
    <w:rsid w:val="00F26D1D"/>
    <w:rPr>
      <w:color w:val="0563C1"/>
      <w:u w:val="single"/>
    </w:rPr>
  </w:style>
  <w:style w:type="character" w:customStyle="1" w:styleId="fontstyle21">
    <w:name w:val="fontstyle21"/>
    <w:rsid w:val="00F26D1D"/>
    <w:rPr>
      <w:rFonts w:ascii="Times New Roman" w:hAnsi="Times New Roman" w:cs="Times New Roman" w:hint="default"/>
      <w:b w:val="0"/>
      <w:bCs w:val="0"/>
      <w:i/>
      <w:iCs/>
      <w:color w:val="000000"/>
      <w:sz w:val="22"/>
      <w:szCs w:val="22"/>
    </w:rPr>
  </w:style>
  <w:style w:type="character" w:customStyle="1" w:styleId="fontstyle01">
    <w:name w:val="fontstyle01"/>
    <w:rsid w:val="00F26D1D"/>
    <w:rPr>
      <w:rFonts w:ascii="Times New Roman" w:hAnsi="Times New Roman" w:cs="Times New Roman" w:hint="default"/>
      <w:b w:val="0"/>
      <w:bCs w:val="0"/>
      <w:i w:val="0"/>
      <w:iCs w:val="0"/>
      <w:color w:val="000000"/>
      <w:sz w:val="22"/>
      <w:szCs w:val="22"/>
    </w:rPr>
  </w:style>
  <w:style w:type="paragraph" w:styleId="BalloonText">
    <w:name w:val="Balloon Text"/>
    <w:basedOn w:val="Normal"/>
    <w:link w:val="BalloonTextChar"/>
    <w:uiPriority w:val="99"/>
    <w:semiHidden/>
    <w:unhideWhenUsed/>
    <w:rsid w:val="00975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7B"/>
    <w:rPr>
      <w:rFonts w:ascii="Tahoma" w:hAnsi="Tahoma" w:cs="Tahoma"/>
      <w:sz w:val="16"/>
      <w:szCs w:val="16"/>
    </w:rPr>
  </w:style>
  <w:style w:type="character" w:customStyle="1" w:styleId="UnresolvedMention1">
    <w:name w:val="Unresolved Mention1"/>
    <w:basedOn w:val="DefaultParagraphFont"/>
    <w:uiPriority w:val="99"/>
    <w:semiHidden/>
    <w:unhideWhenUsed/>
    <w:rsid w:val="00AC4401"/>
    <w:rPr>
      <w:color w:val="605E5C"/>
      <w:shd w:val="clear" w:color="auto" w:fill="E1DFDD"/>
    </w:rPr>
  </w:style>
  <w:style w:type="paragraph" w:styleId="Header">
    <w:name w:val="header"/>
    <w:basedOn w:val="Normal"/>
    <w:link w:val="HeaderChar"/>
    <w:uiPriority w:val="99"/>
    <w:unhideWhenUsed/>
    <w:rsid w:val="00AB1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FE0"/>
  </w:style>
  <w:style w:type="paragraph" w:styleId="Footer">
    <w:name w:val="footer"/>
    <w:basedOn w:val="Normal"/>
    <w:link w:val="FooterChar"/>
    <w:uiPriority w:val="99"/>
    <w:unhideWhenUsed/>
    <w:rsid w:val="00AB1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FE0"/>
  </w:style>
  <w:style w:type="paragraph" w:styleId="ListParagraph">
    <w:name w:val="List Paragraph"/>
    <w:basedOn w:val="Normal"/>
    <w:uiPriority w:val="34"/>
    <w:qFormat/>
    <w:rsid w:val="00737279"/>
    <w:pPr>
      <w:ind w:left="720"/>
      <w:contextualSpacing/>
    </w:pPr>
  </w:style>
  <w:style w:type="table" w:customStyle="1" w:styleId="TableGrid1">
    <w:name w:val="Table Grid1"/>
    <w:basedOn w:val="TableNormal"/>
    <w:uiPriority w:val="59"/>
    <w:rsid w:val="00CD73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7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07604">
      <w:bodyDiv w:val="1"/>
      <w:marLeft w:val="0"/>
      <w:marRight w:val="0"/>
      <w:marTop w:val="0"/>
      <w:marBottom w:val="0"/>
      <w:divBdr>
        <w:top w:val="none" w:sz="0" w:space="0" w:color="auto"/>
        <w:left w:val="none" w:sz="0" w:space="0" w:color="auto"/>
        <w:bottom w:val="none" w:sz="0" w:space="0" w:color="auto"/>
        <w:right w:val="none" w:sz="0" w:space="0" w:color="auto"/>
      </w:divBdr>
    </w:div>
    <w:div w:id="207954680">
      <w:bodyDiv w:val="1"/>
      <w:marLeft w:val="0"/>
      <w:marRight w:val="0"/>
      <w:marTop w:val="0"/>
      <w:marBottom w:val="0"/>
      <w:divBdr>
        <w:top w:val="none" w:sz="0" w:space="0" w:color="auto"/>
        <w:left w:val="none" w:sz="0" w:space="0" w:color="auto"/>
        <w:bottom w:val="none" w:sz="0" w:space="0" w:color="auto"/>
        <w:right w:val="none" w:sz="0" w:space="0" w:color="auto"/>
      </w:divBdr>
    </w:div>
    <w:div w:id="406534015">
      <w:bodyDiv w:val="1"/>
      <w:marLeft w:val="0"/>
      <w:marRight w:val="0"/>
      <w:marTop w:val="0"/>
      <w:marBottom w:val="0"/>
      <w:divBdr>
        <w:top w:val="none" w:sz="0" w:space="0" w:color="auto"/>
        <w:left w:val="none" w:sz="0" w:space="0" w:color="auto"/>
        <w:bottom w:val="none" w:sz="0" w:space="0" w:color="auto"/>
        <w:right w:val="none" w:sz="0" w:space="0" w:color="auto"/>
      </w:divBdr>
    </w:div>
    <w:div w:id="664213421">
      <w:bodyDiv w:val="1"/>
      <w:marLeft w:val="0"/>
      <w:marRight w:val="0"/>
      <w:marTop w:val="0"/>
      <w:marBottom w:val="0"/>
      <w:divBdr>
        <w:top w:val="none" w:sz="0" w:space="0" w:color="auto"/>
        <w:left w:val="none" w:sz="0" w:space="0" w:color="auto"/>
        <w:bottom w:val="none" w:sz="0" w:space="0" w:color="auto"/>
        <w:right w:val="none" w:sz="0" w:space="0" w:color="auto"/>
      </w:divBdr>
    </w:div>
    <w:div w:id="668482804">
      <w:bodyDiv w:val="1"/>
      <w:marLeft w:val="0"/>
      <w:marRight w:val="0"/>
      <w:marTop w:val="0"/>
      <w:marBottom w:val="0"/>
      <w:divBdr>
        <w:top w:val="none" w:sz="0" w:space="0" w:color="auto"/>
        <w:left w:val="none" w:sz="0" w:space="0" w:color="auto"/>
        <w:bottom w:val="none" w:sz="0" w:space="0" w:color="auto"/>
        <w:right w:val="none" w:sz="0" w:space="0" w:color="auto"/>
      </w:divBdr>
    </w:div>
    <w:div w:id="812406045">
      <w:bodyDiv w:val="1"/>
      <w:marLeft w:val="0"/>
      <w:marRight w:val="0"/>
      <w:marTop w:val="0"/>
      <w:marBottom w:val="0"/>
      <w:divBdr>
        <w:top w:val="none" w:sz="0" w:space="0" w:color="auto"/>
        <w:left w:val="none" w:sz="0" w:space="0" w:color="auto"/>
        <w:bottom w:val="none" w:sz="0" w:space="0" w:color="auto"/>
        <w:right w:val="none" w:sz="0" w:space="0" w:color="auto"/>
      </w:divBdr>
    </w:div>
    <w:div w:id="894699270">
      <w:bodyDiv w:val="1"/>
      <w:marLeft w:val="0"/>
      <w:marRight w:val="0"/>
      <w:marTop w:val="0"/>
      <w:marBottom w:val="0"/>
      <w:divBdr>
        <w:top w:val="none" w:sz="0" w:space="0" w:color="auto"/>
        <w:left w:val="none" w:sz="0" w:space="0" w:color="auto"/>
        <w:bottom w:val="none" w:sz="0" w:space="0" w:color="auto"/>
        <w:right w:val="none" w:sz="0" w:space="0" w:color="auto"/>
      </w:divBdr>
    </w:div>
    <w:div w:id="1205212407">
      <w:bodyDiv w:val="1"/>
      <w:marLeft w:val="0"/>
      <w:marRight w:val="0"/>
      <w:marTop w:val="0"/>
      <w:marBottom w:val="0"/>
      <w:divBdr>
        <w:top w:val="none" w:sz="0" w:space="0" w:color="auto"/>
        <w:left w:val="none" w:sz="0" w:space="0" w:color="auto"/>
        <w:bottom w:val="none" w:sz="0" w:space="0" w:color="auto"/>
        <w:right w:val="none" w:sz="0" w:space="0" w:color="auto"/>
      </w:divBdr>
    </w:div>
    <w:div w:id="1245728158">
      <w:bodyDiv w:val="1"/>
      <w:marLeft w:val="0"/>
      <w:marRight w:val="0"/>
      <w:marTop w:val="0"/>
      <w:marBottom w:val="0"/>
      <w:divBdr>
        <w:top w:val="none" w:sz="0" w:space="0" w:color="auto"/>
        <w:left w:val="none" w:sz="0" w:space="0" w:color="auto"/>
        <w:bottom w:val="none" w:sz="0" w:space="0" w:color="auto"/>
        <w:right w:val="none" w:sz="0" w:space="0" w:color="auto"/>
      </w:divBdr>
    </w:div>
    <w:div w:id="1281959772">
      <w:bodyDiv w:val="1"/>
      <w:marLeft w:val="0"/>
      <w:marRight w:val="0"/>
      <w:marTop w:val="0"/>
      <w:marBottom w:val="0"/>
      <w:divBdr>
        <w:top w:val="none" w:sz="0" w:space="0" w:color="auto"/>
        <w:left w:val="none" w:sz="0" w:space="0" w:color="auto"/>
        <w:bottom w:val="none" w:sz="0" w:space="0" w:color="auto"/>
        <w:right w:val="none" w:sz="0" w:space="0" w:color="auto"/>
      </w:divBdr>
    </w:div>
    <w:div w:id="1317996585">
      <w:bodyDiv w:val="1"/>
      <w:marLeft w:val="0"/>
      <w:marRight w:val="0"/>
      <w:marTop w:val="0"/>
      <w:marBottom w:val="0"/>
      <w:divBdr>
        <w:top w:val="none" w:sz="0" w:space="0" w:color="auto"/>
        <w:left w:val="none" w:sz="0" w:space="0" w:color="auto"/>
        <w:bottom w:val="none" w:sz="0" w:space="0" w:color="auto"/>
        <w:right w:val="none" w:sz="0" w:space="0" w:color="auto"/>
      </w:divBdr>
    </w:div>
    <w:div w:id="1468401863">
      <w:bodyDiv w:val="1"/>
      <w:marLeft w:val="0"/>
      <w:marRight w:val="0"/>
      <w:marTop w:val="0"/>
      <w:marBottom w:val="0"/>
      <w:divBdr>
        <w:top w:val="none" w:sz="0" w:space="0" w:color="auto"/>
        <w:left w:val="none" w:sz="0" w:space="0" w:color="auto"/>
        <w:bottom w:val="none" w:sz="0" w:space="0" w:color="auto"/>
        <w:right w:val="none" w:sz="0" w:space="0" w:color="auto"/>
      </w:divBdr>
    </w:div>
    <w:div w:id="1556349461">
      <w:bodyDiv w:val="1"/>
      <w:marLeft w:val="0"/>
      <w:marRight w:val="0"/>
      <w:marTop w:val="0"/>
      <w:marBottom w:val="0"/>
      <w:divBdr>
        <w:top w:val="none" w:sz="0" w:space="0" w:color="auto"/>
        <w:left w:val="none" w:sz="0" w:space="0" w:color="auto"/>
        <w:bottom w:val="none" w:sz="0" w:space="0" w:color="auto"/>
        <w:right w:val="none" w:sz="0" w:space="0" w:color="auto"/>
      </w:divBdr>
    </w:div>
    <w:div w:id="1795519084">
      <w:bodyDiv w:val="1"/>
      <w:marLeft w:val="0"/>
      <w:marRight w:val="0"/>
      <w:marTop w:val="0"/>
      <w:marBottom w:val="0"/>
      <w:divBdr>
        <w:top w:val="none" w:sz="0" w:space="0" w:color="auto"/>
        <w:left w:val="none" w:sz="0" w:space="0" w:color="auto"/>
        <w:bottom w:val="none" w:sz="0" w:space="0" w:color="auto"/>
        <w:right w:val="none" w:sz="0" w:space="0" w:color="auto"/>
      </w:divBdr>
    </w:div>
    <w:div w:id="1875192384">
      <w:bodyDiv w:val="1"/>
      <w:marLeft w:val="0"/>
      <w:marRight w:val="0"/>
      <w:marTop w:val="0"/>
      <w:marBottom w:val="0"/>
      <w:divBdr>
        <w:top w:val="none" w:sz="0" w:space="0" w:color="auto"/>
        <w:left w:val="none" w:sz="0" w:space="0" w:color="auto"/>
        <w:bottom w:val="none" w:sz="0" w:space="0" w:color="auto"/>
        <w:right w:val="none" w:sz="0" w:space="0" w:color="auto"/>
      </w:divBdr>
    </w:div>
    <w:div w:id="18915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21/acssuschemeng.0c0761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0BEB9-B293-4D3A-8213-E78656726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3497</Words>
  <Characters>19933</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Темурбек</dc:creator>
  <cp:lastModifiedBy>SDI 1089</cp:lastModifiedBy>
  <cp:revision>4</cp:revision>
  <dcterms:created xsi:type="dcterms:W3CDTF">2025-06-26T13:35:00Z</dcterms:created>
  <dcterms:modified xsi:type="dcterms:W3CDTF">2025-06-27T08:19:00Z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94762002-d0a0-475d-8651-1430f1e70e74</vt:lpwstr>
  </property>
</Properties>
</file>