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4CBE84">
      <w:pPr>
        <w:pBdr>
          <w:top w:val="none" w:color="auto" w:sz="0" w:space="0"/>
          <w:left w:val="none" w:color="auto" w:sz="0" w:space="0"/>
          <w:bottom w:val="none" w:color="auto" w:sz="0" w:space="0"/>
          <w:right w:val="none" w:color="auto" w:sz="0" w:space="0"/>
          <w:between w:val="none" w:color="auto" w:sz="0" w:space="0"/>
        </w:pBdr>
        <w:spacing w:before="240" w:after="240" w:line="240" w:lineRule="auto"/>
        <w:jc w:val="right"/>
        <w:rPr>
          <w:rFonts w:ascii="Arial" w:hAnsi="Arial" w:eastAsia="Arial" w:cs="Arial"/>
          <w:b/>
          <w:color w:val="000000"/>
        </w:rPr>
      </w:pPr>
      <w:r>
        <w:rPr>
          <w:rFonts w:ascii="Arial" w:hAnsi="Arial" w:eastAsia="Arial" w:cs="Arial"/>
          <w:b/>
          <w:color w:val="000000"/>
        </w:rPr>
        <w:t>DIGITAL STRATEGIES FOR SUSTAINABLE AGRICULTURAL OUTREACH: A</w:t>
      </w:r>
      <w:r>
        <w:rPr>
          <w:rFonts w:ascii="Arial" w:hAnsi="Arial" w:eastAsia="Arial" w:cs="Arial"/>
          <w:b/>
          <w:color w:val="000000"/>
        </w:rPr>
        <w:br w:type="textWrapping"/>
      </w:r>
      <w:r>
        <w:rPr>
          <w:rFonts w:ascii="Arial" w:hAnsi="Arial" w:eastAsia="Arial" w:cs="Arial"/>
          <w:b/>
          <w:color w:val="000000"/>
        </w:rPr>
        <w:t>MODEL FOR FOOD SECURITY ADVOCACY</w:t>
      </w:r>
    </w:p>
    <w:p w14:paraId="0F357A8A">
      <w:pPr>
        <w:spacing w:after="0" w:line="240" w:lineRule="auto"/>
        <w:jc w:val="both"/>
        <w:rPr>
          <w:rFonts w:ascii="Arial" w:hAnsi="Arial" w:eastAsia="Arial" w:cs="Arial"/>
          <w:b/>
          <w:color w:val="000000"/>
        </w:rPr>
      </w:pPr>
    </w:p>
    <w:p w14:paraId="11AAB689">
      <w:pPr>
        <w:spacing w:after="0" w:line="240" w:lineRule="auto"/>
        <w:jc w:val="both"/>
        <w:rPr>
          <w:rFonts w:ascii="Arial" w:hAnsi="Arial" w:eastAsia="Arial" w:cs="Arial"/>
          <w:b/>
          <w:color w:val="000000"/>
        </w:rPr>
      </w:pPr>
      <w:r>
        <w:rPr>
          <w:rFonts w:ascii="Arial" w:hAnsi="Arial" w:eastAsia="Arial" w:cs="Arial"/>
          <w:color w:val="000000"/>
        </w:rPr>
        <mc:AlternateContent>
          <mc:Choice Requires="wps">
            <w:drawing>
              <wp:inline distT="0" distB="0" distL="0" distR="0">
                <wp:extent cx="5322570" cy="31750"/>
                <wp:effectExtent l="0" t="0" r="0" b="0"/>
                <wp:docPr id="2" name="Straight Arrow Connector 2"/>
                <wp:cNvGraphicFramePr/>
                <a:graphic xmlns:a="http://schemas.openxmlformats.org/drawingml/2006/main">
                  <a:graphicData uri="http://schemas.microsoft.com/office/word/2010/wordprocessingShape">
                    <wps:wsp>
                      <wps:cNvCnPr/>
                      <wps:spPr>
                        <a:xfrm>
                          <a:off x="2694240" y="3780000"/>
                          <a:ext cx="5303520" cy="0"/>
                        </a:xfrm>
                        <a:prstGeom prst="straightConnector1">
                          <a:avLst/>
                        </a:prstGeom>
                        <a:noFill/>
                        <a:ln w="19050" cap="flat" cmpd="sng">
                          <a:solidFill>
                            <a:srgbClr val="000000"/>
                          </a:solidFill>
                          <a:prstDash val="solid"/>
                          <a:round/>
                          <a:headEnd type="none" w="sm" len="sm"/>
                          <a:tailEnd type="none" w="sm" len="sm"/>
                        </a:ln>
                      </wps:spPr>
                      <wps:bodyPr/>
                    </wps:wsp>
                  </a:graphicData>
                </a:graphic>
              </wp:inline>
            </w:drawing>
          </mc:Choice>
          <mc:Fallback>
            <w:pict>
              <v:shape id="_x0000_s1026" o:spid="_x0000_s1026" o:spt="32" type="#_x0000_t32" style="height:2.5pt;width:419.1pt;" filled="f" stroked="t" coordsize="21600,21600" o:gfxdata="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t5Ybz1QAAAAMBAAAPAAAAAAAAAAEAIAAAACIAAABkcnMvZG93bnJldi54bWxQ&#10;SwECFAAUAAAACACHTuJAMKgXdPoBAAANBAAADgAAAAAAAAABACAAAAAkAQAAZHJzL2Uyb0RvYy54&#10;bWxQSwUGAAAAAAYABgBZAQAAkAUAAAAA&#10;">
                <v:fill on="f" focussize="0,0"/>
                <v:stroke weight="1.5pt" color="#000000" joinstyle="round" startarrowwidth="narrow" startarrowlength="short" endarrowwidth="narrow" endarrowlength="short"/>
                <v:imagedata o:title=""/>
                <o:lock v:ext="edit" aspectratio="f"/>
                <w10:wrap type="none"/>
                <w10:anchorlock/>
              </v:shape>
            </w:pict>
          </mc:Fallback>
        </mc:AlternateContent>
      </w:r>
    </w:p>
    <w:p w14:paraId="5D29544C">
      <w:pPr>
        <w:spacing w:after="0" w:line="240" w:lineRule="auto"/>
        <w:jc w:val="both"/>
        <w:rPr>
          <w:rFonts w:ascii="Arial" w:hAnsi="Arial" w:eastAsia="Arial" w:cs="Arial"/>
          <w:b/>
          <w:color w:val="000000"/>
        </w:rPr>
      </w:pPr>
    </w:p>
    <w:p w14:paraId="1593E019">
      <w:pPr>
        <w:spacing w:after="0" w:line="240" w:lineRule="auto"/>
        <w:rPr>
          <w:rFonts w:ascii="Arial" w:hAnsi="Arial" w:eastAsia="Arial" w:cs="Arial"/>
          <w:b/>
          <w:color w:val="000000"/>
        </w:rPr>
      </w:pPr>
      <w:r>
        <w:rPr>
          <w:rFonts w:ascii="Arial" w:hAnsi="Arial" w:eastAsia="Arial" w:cs="Arial"/>
          <w:b/>
          <w:color w:val="000000"/>
        </w:rPr>
        <w:t>ABSTRACT</w:t>
      </w:r>
    </w:p>
    <w:p w14:paraId="6508D58E">
      <w:pPr>
        <w:spacing w:after="0" w:line="240" w:lineRule="auto"/>
        <w:jc w:val="both"/>
        <w:rPr>
          <w:rFonts w:ascii="Arial" w:hAnsi="Arial" w:eastAsia="Arial" w:cs="Arial"/>
          <w:color w:val="000000"/>
        </w:rPr>
      </w:pPr>
    </w:p>
    <w:tbl>
      <w:tblPr>
        <w:tblStyle w:val="17"/>
        <w:tblW w:w="819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90"/>
      </w:tblGrid>
      <w:tr w14:paraId="484FA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90" w:type="dxa"/>
            <w:tcBorders>
              <w:top w:val="single" w:color="000000" w:sz="4" w:space="0"/>
              <w:left w:val="single" w:color="000000" w:sz="4" w:space="0"/>
              <w:bottom w:val="single" w:color="000000" w:sz="4" w:space="0"/>
              <w:right w:val="single" w:color="000000" w:sz="4" w:space="0"/>
            </w:tcBorders>
            <w:shd w:val="clear" w:color="auto" w:fill="F2F2F2"/>
            <w:tcMar>
              <w:top w:w="0" w:type="dxa"/>
              <w:left w:w="108" w:type="dxa"/>
              <w:bottom w:w="0" w:type="dxa"/>
              <w:right w:w="108" w:type="dxa"/>
            </w:tcMar>
          </w:tcPr>
          <w:p w14:paraId="1EF58473">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 xml:space="preserve">Objective: </w:t>
            </w:r>
            <w:r>
              <w:rPr>
                <w:rFonts w:ascii="Arial" w:hAnsi="Arial" w:eastAsia="Arial" w:cs="Arial"/>
                <w:color w:val="000000"/>
              </w:rPr>
              <w:t xml:space="preserve">This study explores the role of digital marketing and communication strategies in enhancing agricultural advocacy across Africa, with scalable implications for U.S. rural communities. </w:t>
            </w:r>
            <w:r>
              <w:rPr>
                <w:rFonts w:ascii="Arial" w:hAnsi="Arial" w:eastAsia="Arial" w:cs="Arial"/>
                <w:b/>
                <w:color w:val="000000"/>
              </w:rPr>
              <w:t xml:space="preserve"> </w:t>
            </w:r>
            <w:r>
              <w:rPr>
                <w:rFonts w:ascii="Arial" w:hAnsi="Arial" w:eastAsia="Arial" w:cs="Arial"/>
                <w:color w:val="000000"/>
                <w:highlight w:val="yellow"/>
              </w:rPr>
              <w:t>It examines how tools such as SMS, WhatsApp, social media campaigns, and mobile apps are being utilized to disseminate agricultural knowledge, drive behavioral change, and influence food policy</w:t>
            </w:r>
            <w:r>
              <w:rPr>
                <w:rFonts w:hint="default" w:ascii="Arial" w:hAnsi="Arial" w:eastAsia="Arial" w:cs="Arial"/>
                <w:color w:val="000000"/>
                <w:highlight w:val="yellow"/>
                <w:lang w:val="en-US"/>
              </w:rPr>
              <w:t xml:space="preserve"> to enhance food security</w:t>
            </w:r>
            <w:r>
              <w:rPr>
                <w:rFonts w:ascii="Arial" w:hAnsi="Arial" w:eastAsia="Arial" w:cs="Arial"/>
                <w:color w:val="000000"/>
                <w:highlight w:val="yellow"/>
              </w:rPr>
              <w:t>.</w:t>
            </w:r>
            <w:r>
              <w:rPr>
                <w:rFonts w:ascii="Arial" w:hAnsi="Arial" w:eastAsia="Arial" w:cs="Arial"/>
                <w:color w:val="000000"/>
              </w:rPr>
              <w:t xml:space="preserve"> Special emphasis is placed on the professional experience of </w:t>
            </w:r>
            <w:r>
              <w:rPr>
                <w:rFonts w:hint="default" w:ascii="Arial" w:hAnsi="Arial" w:eastAsia="Arial" w:cs="Arial"/>
                <w:color w:val="000000"/>
                <w:lang w:val="en-US"/>
              </w:rPr>
              <w:t xml:space="preserve"> </w:t>
            </w:r>
            <w:r>
              <w:rPr>
                <w:rFonts w:ascii="Arial" w:hAnsi="Arial" w:eastAsia="Arial" w:cs="Arial"/>
                <w:color w:val="000000"/>
              </w:rPr>
              <w:t>Aderemi Bunmi Kutelu in sales and digital platform engagement, providing a practitioner lens on the integration of marketing principles into development communication for food security.</w:t>
            </w:r>
          </w:p>
          <w:p w14:paraId="4BE6FDC7">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Study Design:</w:t>
            </w:r>
            <w:r>
              <w:rPr>
                <w:rFonts w:ascii="Arial" w:hAnsi="Arial" w:eastAsia="Arial" w:cs="Arial"/>
                <w:color w:val="000000"/>
              </w:rPr>
              <w:t xml:space="preserve"> A structured review of peer-reviewed academic literature from 2018 to 2025 was conducted, focusing on digital agriculture initiatives across Africa and their behavioral, policy, and outreach impacts. After screening and eligibility checks, a total of 30 journal articles were included, spanning empirical interventions, meta-analyses, and case studies relevant to agricultural communication, technology adoption, and rural mobilization.</w:t>
            </w:r>
          </w:p>
          <w:p w14:paraId="77A29880">
            <w:pPr>
              <w:spacing w:after="0" w:line="240" w:lineRule="auto"/>
              <w:jc w:val="both"/>
              <w:rPr>
                <w:rFonts w:ascii="Arial" w:hAnsi="Arial" w:eastAsia="Arial" w:cs="Arial"/>
                <w:color w:val="000000"/>
              </w:rPr>
            </w:pPr>
            <w:r>
              <w:rPr>
                <w:rFonts w:ascii="Arial" w:hAnsi="Arial" w:eastAsia="Arial" w:cs="Arial"/>
                <w:b/>
                <w:color w:val="000000"/>
              </w:rPr>
              <w:t>Methodology:</w:t>
            </w:r>
            <w:r>
              <w:rPr>
                <w:rFonts w:ascii="Arial" w:hAnsi="Arial" w:eastAsia="Arial" w:cs="Arial"/>
                <w:color w:val="000000"/>
              </w:rPr>
              <w:t xml:space="preserve"> The research draws from peer-reviewed journal articles, government reports, and industry analyses.</w:t>
            </w:r>
            <w:r>
              <w:rPr>
                <w:rFonts w:hint="default" w:ascii="Arial" w:hAnsi="Arial" w:eastAsia="Arial" w:cs="Arial"/>
                <w:color w:val="000000"/>
                <w:lang w:val="en-US"/>
              </w:rPr>
              <w:t xml:space="preserve"> </w:t>
            </w:r>
            <w:r>
              <w:rPr>
                <w:rFonts w:hint="default" w:ascii="Arial" w:hAnsi="Arial" w:eastAsia="MS Mincho" w:cs="Arial"/>
                <w:sz w:val="22"/>
                <w:szCs w:val="22"/>
                <w:highlight w:val="yellow"/>
                <w:lang w:eastAsia="zh-CN"/>
              </w:rPr>
              <w:t>Through a systematic literature review, the study evaluates SMS, WhatsApp, and mobile applications in agricultural outreac</w:t>
            </w:r>
            <w:r>
              <w:rPr>
                <w:rFonts w:hint="default" w:ascii="Arial" w:hAnsi="Arial" w:eastAsia="MS Mincho" w:cs="Arial"/>
                <w:sz w:val="22"/>
                <w:szCs w:val="22"/>
                <w:highlight w:val="yellow"/>
                <w:lang w:val="en-US" w:eastAsia="zh-CN"/>
              </w:rPr>
              <w:t>h</w:t>
            </w:r>
            <w:r>
              <w:rPr>
                <w:rFonts w:hint="default" w:ascii="Arial" w:hAnsi="Arial" w:eastAsia="MS Mincho" w:cs="Arial"/>
                <w:sz w:val="22"/>
                <w:szCs w:val="22"/>
                <w:lang w:val="en-US" w:eastAsia="zh-CN"/>
              </w:rPr>
              <w:t xml:space="preserve">. </w:t>
            </w:r>
            <w:r>
              <w:rPr>
                <w:rFonts w:ascii="Arial" w:hAnsi="Arial" w:eastAsia="Arial" w:cs="Arial"/>
                <w:color w:val="000000"/>
              </w:rPr>
              <w:t xml:space="preserve"> It follows a qualitative review </w:t>
            </w:r>
            <w:r>
              <w:rPr>
                <w:rFonts w:ascii="Arial" w:hAnsi="Arial" w:eastAsia="Arial" w:cs="Arial"/>
              </w:rPr>
              <w:t xml:space="preserve">approach </w:t>
            </w:r>
            <w:r>
              <w:rPr>
                <w:rFonts w:ascii="Arial" w:hAnsi="Arial" w:eastAsia="Arial" w:cs="Arial"/>
                <w:color w:val="000000"/>
              </w:rPr>
              <w:t xml:space="preserve">to highlight the need, </w:t>
            </w:r>
            <w:r>
              <w:rPr>
                <w:rFonts w:ascii="Arial" w:hAnsi="Arial" w:eastAsia="Arial" w:cs="Arial"/>
              </w:rPr>
              <w:t>use,</w:t>
            </w:r>
            <w:r>
              <w:rPr>
                <w:rFonts w:ascii="Arial" w:hAnsi="Arial" w:eastAsia="Arial" w:cs="Arial"/>
                <w:color w:val="000000"/>
              </w:rPr>
              <w:t xml:space="preserve"> and impact of  digital strategies for sustainable agricultural outreach.</w:t>
            </w:r>
          </w:p>
          <w:p w14:paraId="33C1653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Results:</w:t>
            </w:r>
            <w:r>
              <w:rPr>
                <w:rFonts w:ascii="Arial" w:hAnsi="Arial" w:eastAsia="Arial" w:cs="Arial"/>
                <w:color w:val="000000"/>
              </w:rPr>
              <w:t xml:space="preserve"> Findings reveal that mobile-based campaigns and peer-led content significantly outperform traditional methods in driving adoption of agricultural practices. For example, WhatsApp group interventions in Uganda raised female participation by 36%, while SMS nudges improved input use by up to 20% in Nigeria. Content credibility, language accessibility, and message frequency emerged as core behavioral levers. Infrastructure challenges, shared phone ownership, and literacy gaps persist but can be addressed with offline-first designs and multimedia content.</w:t>
            </w:r>
          </w:p>
          <w:p w14:paraId="1D545BBA">
            <w:pPr>
              <w:pBdr>
                <w:top w:val="none" w:color="auto" w:sz="0" w:space="0"/>
                <w:left w:val="none" w:color="auto" w:sz="0" w:space="0"/>
                <w:bottom w:val="none" w:color="auto" w:sz="0" w:space="0"/>
                <w:right w:val="none" w:color="auto" w:sz="0" w:space="0"/>
                <w:between w:val="none" w:color="auto" w:sz="0" w:space="0"/>
              </w:pBdr>
              <w:spacing w:after="0" w:line="240" w:lineRule="auto"/>
              <w:rPr>
                <w:rFonts w:ascii="Arial" w:hAnsi="Arial" w:eastAsia="Arial" w:cs="Arial"/>
                <w:color w:val="000000"/>
              </w:rPr>
            </w:pPr>
            <w:r>
              <w:rPr>
                <w:rFonts w:ascii="Arial" w:hAnsi="Arial" w:eastAsia="Arial" w:cs="Arial"/>
                <w:b/>
                <w:color w:val="000000"/>
              </w:rPr>
              <w:t>Conclusions:</w:t>
            </w:r>
            <w:r>
              <w:rPr>
                <w:rFonts w:ascii="Arial" w:hAnsi="Arial" w:eastAsia="Arial" w:cs="Arial"/>
                <w:color w:val="000000"/>
              </w:rPr>
              <w:t xml:space="preserve"> Drawing from both scholarly evidence and Aderemi Kutelu’s real-world digital engagement experience, the study proposes a framework for people-centered, tech-enabled agricultural advocacy. This approach supports scalable, participatory, and data-driven outreach strategies that align with both African rural realities and emerging needs in U.S. food-insecure zones. The findings contribute to a growing scientific discourse on tech for </w:t>
            </w:r>
            <w:r>
              <w:rPr>
                <w:rFonts w:ascii="Arial" w:hAnsi="Arial" w:eastAsia="Arial" w:cs="Arial"/>
              </w:rPr>
              <w:t xml:space="preserve">development </w:t>
            </w:r>
            <w:r>
              <w:rPr>
                <w:rFonts w:ascii="Arial" w:hAnsi="Arial" w:eastAsia="Arial" w:cs="Arial"/>
                <w:color w:val="000000"/>
              </w:rPr>
              <w:t>and underscore the need for cross-regional knowledge transfer in achieving inclusive food security.</w:t>
            </w:r>
          </w:p>
        </w:tc>
      </w:tr>
    </w:tbl>
    <w:p w14:paraId="33DD02F4">
      <w:pPr>
        <w:spacing w:after="0" w:line="240" w:lineRule="auto"/>
        <w:jc w:val="both"/>
        <w:rPr>
          <w:rFonts w:ascii="Arial" w:hAnsi="Arial" w:eastAsia="Arial" w:cs="Arial"/>
          <w:color w:val="000000"/>
        </w:rPr>
      </w:pPr>
    </w:p>
    <w:p w14:paraId="40C71079">
      <w:pPr>
        <w:spacing w:after="0" w:line="240" w:lineRule="auto"/>
        <w:jc w:val="both"/>
        <w:rPr>
          <w:rFonts w:ascii="Arial" w:hAnsi="Arial" w:eastAsia="Arial" w:cs="Arial"/>
          <w:i/>
          <w:color w:val="000000"/>
        </w:rPr>
      </w:pPr>
      <w:r>
        <w:rPr>
          <w:rFonts w:ascii="Arial" w:hAnsi="Arial" w:eastAsia="Arial" w:cs="Arial"/>
          <w:b/>
          <w:i/>
          <w:color w:val="000000"/>
        </w:rPr>
        <w:t>Keywords:</w:t>
      </w:r>
      <w:r>
        <w:rPr>
          <w:rFonts w:ascii="Arial" w:hAnsi="Arial" w:eastAsia="Arial" w:cs="Arial"/>
          <w:i/>
          <w:color w:val="000000"/>
        </w:rPr>
        <w:t xml:space="preserve"> Agricultural outreach, Digital Marketing, Digital Strategies, Social Media Campaign, Food Security Advocacy</w:t>
      </w:r>
    </w:p>
    <w:p w14:paraId="2FCFD6E3">
      <w:pPr>
        <w:spacing w:after="0" w:line="240" w:lineRule="auto"/>
        <w:jc w:val="both"/>
        <w:rPr>
          <w:rFonts w:ascii="Arial" w:hAnsi="Arial" w:eastAsia="Arial" w:cs="Arial"/>
          <w:i/>
          <w:color w:val="000000"/>
        </w:rPr>
      </w:pPr>
    </w:p>
    <w:p w14:paraId="53738FA4"/>
    <w:p w14:paraId="135A63DE"/>
    <w:p w14:paraId="0DB5F499"/>
    <w:p w14:paraId="187546DC"/>
    <w:p w14:paraId="662C1F0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INTRODUCTION</w:t>
      </w:r>
    </w:p>
    <w:p w14:paraId="45AEC60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Food security has become a global concern, and ensuring reliable access to sufficient, safe, and nutritious food remains one of the pressing challenges of the 21</w:t>
      </w:r>
      <w:r>
        <w:rPr>
          <w:rFonts w:ascii="Arial" w:hAnsi="Arial" w:eastAsia="Arial" w:cs="Arial"/>
          <w:color w:val="000000"/>
          <w:sz w:val="12"/>
          <w:szCs w:val="12"/>
          <w:vertAlign w:val="superscript"/>
        </w:rPr>
        <w:t>st</w:t>
      </w:r>
      <w:r>
        <w:rPr>
          <w:rFonts w:ascii="Arial" w:hAnsi="Arial" w:eastAsia="Arial" w:cs="Arial"/>
          <w:color w:val="000000"/>
        </w:rPr>
        <w:t xml:space="preserve"> century. Recent crises of extreme climate change, the COVID pandemic, and supply chain disruptions have repeatedly exposed vulnerabilities in both global and local food systems [1]. In sub-Saharan Africa alone, smallholder farmers account for over 60 percent of agricultural output yet face persistent barriers in market access, timely inputs, and extension services [2]. Simultaneously, governments in developing countries struggle to collect real-time feedback from rural constituencies, a gap that undermines policy efficacy and perpetuates food-insecurity hotspots [3]. A 2022 meta-analysis of SMS-based extension programs across six African countries (128,000 farmers) reported a 1.22-fold increase in adoption of recommended practices, illustrating the need for scalable behavioral interventions [5].All of these challenges call for the urgent need for digital strategies that not only boost productivity but also drive mass behavioral shifts and knowledge dissemination across various communities at a scalable rate.</w:t>
      </w:r>
    </w:p>
    <w:p w14:paraId="5CEFD1C2">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The use of digital strategies in agriculture involves the use of information and communication tools like social media, SMS, mobile apps, e-newsletters, and data analytics to inform, persuade, and mobilize stakeholders along the supply chain [4]. Such tactics borrow heavily from commercial marketing’s CRM (customer-relationship-management) playbook, applying audience segmentation and personalized messaging to smallholder contexts [2]. Systematic reviews reveal that well-targeted SMS campaigns can raise attendance at demonstration farms by nearly 30 percent, while WhatsApp broadcast lists boost farmer engagement metrics by 40 percent compared to traditional bulletin-board notices [1]. In parallel, e-surveys and web-based town halls enable two-way dialogue, allowing policymakers to rapidly adjust subsidy schemes and extension priorities based on direct rural feedback [3]. </w:t>
      </w:r>
    </w:p>
    <w:p w14:paraId="774EE9C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In past times, agricultural advocacy traditionally relied on in-person extension visits, community radio, and printed pamphlets approaches that struggle to scale in today’s fragmented, high-mobility contexts. Digital advocacy, by contrast, can deliver consistent, data-driven messaging at minimal marginal cost once platforms are established [4]. For example, targeted Facebook ad campaigns in U.S. rural counties increased participation in food bank drives by 25 percent, translating social media “likes” into tangible volunteer hours [4]. In Nigeria, maize farmers using smartphone advisory apps in Oyo and Osun states reported higher productivity and efficiency, especially when exposed to app-based information campaigns [6]. Meanwhile, in Africa’s “Silicon Savannah” (Kenya), digital agriculture initiatives are accelerating adoption, highlighting technology's transformative potential across the continent. [7]. On the policy front, mobile-app surveys have trimmed the lag between field conditions and ministerial response from months to weeks, a critical acceleration when coping with pest outbreaks or extreme weather events [3]. Thus, digital agricultural advocacy not only shapes individual behaviors like seed choices, input timing, and storage practices but also strengthens institutional feedback loops that underlie resilient, adaptive food systems. A systematic review of digital agro-advisory tools across the Global South categorizes successful systems into five behavioral typologies, pinpointing trust as central to adoption. [7]. </w:t>
      </w:r>
    </w:p>
    <w:p w14:paraId="296C2DA6">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A systematic review of 49 ICT interventions (text, apps, video) in Africa found that content repetition boosted impact more than complexity, reinforcing the power of consistency. [4]. In Nigeria specifically, farmers using agronomic smartphone apps demonstrated marked productivity gains linked to awareness and training exposure, showing how digital marketing outperforms traditional approaches when properly delivered. [6]</w:t>
      </w:r>
    </w:p>
    <w:p w14:paraId="361FFA9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It is important to Integrate digital marketing for community outreach, especially among rural and underserved communities, because they face barriers like limited connectivity, low digital literacy, and weak policy voice. Therefore, social</w:t>
      </w:r>
      <w:r>
        <w:rPr>
          <w:rFonts w:ascii="Arial" w:hAnsi="Arial" w:eastAsia="Arial" w:cs="Arial"/>
        </w:rPr>
        <w:t xml:space="preserve"> practice-</w:t>
      </w:r>
      <w:r>
        <w:rPr>
          <w:rFonts w:ascii="Arial" w:hAnsi="Arial" w:eastAsia="Arial" w:cs="Arial"/>
          <w:color w:val="000000"/>
        </w:rPr>
        <w:t>oriented digitalization frameworks highlight that tools must align with farmer competencies, infrastructure, and cultural norms. [8]</w:t>
      </w:r>
    </w:p>
    <w:p w14:paraId="03DC6E89">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color w:val="000000"/>
        </w:rPr>
      </w:pPr>
      <w:r>
        <w:rPr>
          <w:rFonts w:ascii="Arial" w:hAnsi="Arial" w:eastAsia="Arial" w:cs="Arial"/>
          <w:color w:val="000000"/>
        </w:rPr>
        <w:t>This review paper will map the digital channels (SMS, social media, apps, chat platforms) used in Africa for agricultural advocacy and evaluate behavior-change mechanisms, focusing on trust, messaging repetition, and peer collaboration. It will also assess outreach design, particularly hybrid models integrating training, peer groups, and mobile alerts; analyze case studies from Ethiopia, Nigeria, and Kenya for best practices and scalability to U.S. rural settings; and identify adoption barriers and enablers, outlining a grounded, data-driven advocacy framework for policymakers and practitioner toolkits.</w:t>
      </w:r>
    </w:p>
    <w:p w14:paraId="3A8939CA">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r>
        <w:rPr>
          <w:rFonts w:ascii="Arial" w:hAnsi="Arial" w:eastAsia="Arial" w:cs="Arial"/>
        </w:rPr>
        <w:drawing>
          <wp:inline distT="114300" distB="114300" distL="114300" distR="114300">
            <wp:extent cx="5633720" cy="374840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3" name="image3.png"/>
                    <pic:cNvPicPr preferRelativeResize="0"/>
                  </pic:nvPicPr>
                  <pic:blipFill>
                    <a:blip r:embed="rId12"/>
                    <a:srcRect/>
                    <a:stretch>
                      <a:fillRect/>
                    </a:stretch>
                  </pic:blipFill>
                  <pic:spPr>
                    <a:xfrm>
                      <a:off x="0" y="0"/>
                      <a:ext cx="5634038" cy="3748675"/>
                    </a:xfrm>
                    <a:prstGeom prst="rect">
                      <a:avLst/>
                    </a:prstGeom>
                  </pic:spPr>
                </pic:pic>
              </a:graphicData>
            </a:graphic>
          </wp:inline>
        </w:drawing>
      </w:r>
    </w:p>
    <w:p w14:paraId="3D7AC0D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r>
        <w:rPr>
          <w:rFonts w:ascii="Arial" w:hAnsi="Arial" w:eastAsia="Arial" w:cs="Arial"/>
        </w:rPr>
        <w:t>Fig. 1: Timeline for dissemination of videos to extension workers [28]</w:t>
      </w:r>
    </w:p>
    <w:p w14:paraId="2943E1E0">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2. METHODOLOGY </w:t>
      </w:r>
    </w:p>
    <w:p w14:paraId="2C3D20F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This review study examines the application of digital marketing and communication strategies in agricultural advocacy, particularly within Sub-Saharan Africa, with case-specific emphasis on Nigeria. It follows a systematic approach to review existing studies from reputable sources and to draw evidence-based conclusions on the effectiveness, replicability, and scalability of digital interventions used to drive behavior change, policy influence, and food system transformation.</w:t>
      </w:r>
    </w:p>
    <w:p w14:paraId="4025C432">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A structured search was conducted across multiple reputable academic and scientific databases, to  capture peer-reviewed articles, reports, and papers published between 2018 and 2025. The databases included ScienceDirect, JSTOR, Google Scholar, SpringerLink, Scopus, MDPI Open access ResearchGate and PubMed. Some keywords were combined using Boolean operators (AND/OR) and included “Digital agriculture AND Africa,” “Social media in agricultural extension” and “Agricultural advocacy AND Nigeria.” “Digital communication for food security,” “ICT in agriculture + behavior change,” “Digital marketing + smallholder farmers,” “SMS campaigns in </w:t>
      </w:r>
      <w:r>
        <w:rPr>
          <w:rFonts w:ascii="Arial" w:hAnsi="Arial" w:eastAsia="Arial" w:cs="Arial"/>
        </w:rPr>
        <w:t>agriculture,</w:t>
      </w:r>
      <w:r>
        <w:rPr>
          <w:rFonts w:ascii="Arial" w:hAnsi="Arial" w:eastAsia="Arial" w:cs="Arial"/>
          <w:color w:val="000000"/>
        </w:rPr>
        <w:t>” and “WhatsApp AND farmer adoption.” </w:t>
      </w:r>
    </w:p>
    <w:p w14:paraId="03E49BAB">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To ensure relevance and analytical clarity, the following inclusion criteria were applied: Articles published in English between 2018 and 2025, Studies focused on Sub-Saharan Africa, with case examples from Nigeria, Kenya, Ethiopia, and comparable rural contexts. Studies addressing digital interventions aimed at behavior change, market linkages, policy feedback, or farmer education, Publications with quantitative or qualitative evidence on outcomes such as technology adoption, productivity gains, user engagement, or institutional response. Excluded from the review were Papers focused solely on agronomic or technical productivity tools (e.g., IoT, drones) without a communications/marketing angle. Studies centered outside of developing countries unless used for comparative U.S. adaptation insights, Articles lacking clear methodological rigor or outcome </w:t>
      </w:r>
      <w:r>
        <w:rPr>
          <w:rFonts w:ascii="Arial" w:hAnsi="Arial" w:eastAsia="Arial" w:cs="Arial"/>
        </w:rPr>
        <w:t xml:space="preserve">data </w:t>
      </w:r>
      <w:r>
        <w:rPr>
          <w:rFonts w:ascii="Arial" w:hAnsi="Arial" w:eastAsia="Arial" w:cs="Arial"/>
          <w:color w:val="000000"/>
        </w:rPr>
        <w:t>and articles not written in English.</w:t>
      </w:r>
    </w:p>
    <w:p w14:paraId="7434990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The initial search yielded a substantial number of articles. After removing duplicates and screening abstracts for relevance to the topic. Subsequently, full-text articles were assessed against the inclusion and exclusion criteria. This process resulted in a final selection of  30 studies that met all criteria and were included in the final review. Thematic analysis was used to synthesize findings under key subtopics: Digital outreach tools (e.g., SMS, WhatsApp, apps, video). Behavior-change mechanisms (trust, repetition, peer validation). Adoption enablers and barriers. Case studies by country. Policy and institutional feedback strategies. </w:t>
      </w:r>
      <w:bookmarkStart w:id="1" w:name="_GoBack"/>
      <w:bookmarkEnd w:id="1"/>
    </w:p>
    <w:p w14:paraId="20DEA9CF">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It is important to note that, while the approach used ensured a thorough and high-quality examination of the current literature, </w:t>
      </w:r>
      <w:r>
        <w:rPr>
          <w:rFonts w:ascii="Arial" w:hAnsi="Arial" w:eastAsia="Arial" w:cs="Arial"/>
          <w:color w:val="000000"/>
          <w:highlight w:val="yellow"/>
        </w:rPr>
        <w:t>there were certain limitations, such as the reliance on only English-language sources, which may have excluded relevant research published in other languages, and the relatively low number of studies included in the final evaluation, which restricts the inclusivity of the findings. Also, some of the most important studies may be paywalled or not available in publicly accessible databases.</w:t>
      </w:r>
      <w:r>
        <w:rPr>
          <w:rFonts w:ascii="Arial" w:hAnsi="Arial" w:eastAsia="Arial" w:cs="Arial"/>
          <w:color w:val="000000"/>
        </w:rPr>
        <w:t xml:space="preserve"> However, the chosen methodology ensured a robust and comprehensive foundation for analyzing the effectiveness of Digital strategies for sustainable Agriculture outreach and Food security Advocacy.</w:t>
      </w:r>
    </w:p>
    <w:p w14:paraId="19253A2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 RESULTS AND DISCUSSION </w:t>
      </w:r>
    </w:p>
    <w:p w14:paraId="44349660">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3.1 Overview of reviewed studies</w:t>
      </w:r>
      <w:r>
        <w:rPr>
          <w:rFonts w:ascii="Arial" w:hAnsi="Arial" w:eastAsia="Arial" w:cs="Arial"/>
          <w:color w:val="000000"/>
        </w:rPr>
        <w:t>.</w:t>
      </w:r>
    </w:p>
    <w:p w14:paraId="3079C129">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3.1.1. SMS-Based Campaigns for Agricultural Innovation</w:t>
      </w:r>
    </w:p>
    <w:p w14:paraId="49F40508">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A study by Karanja et al. (2020) evaluated the UPTAKE project in Tanzania, which used SMS campaigns to disseminate good agronomic practices to maize farmers. They found significant increases in </w:t>
      </w:r>
      <w:r>
        <w:rPr>
          <w:rFonts w:ascii="Arial" w:hAnsi="Arial" w:eastAsia="Arial" w:cs="Arial"/>
        </w:rPr>
        <w:t>the adoption</w:t>
      </w:r>
      <w:r>
        <w:rPr>
          <w:rFonts w:ascii="Arial" w:hAnsi="Arial" w:eastAsia="Arial" w:cs="Arial"/>
          <w:color w:val="000000"/>
        </w:rPr>
        <w:t xml:space="preserve"> of innovations such as fertilizer and improved planting techniques, with scaled reach across the region. [9]</w:t>
      </w:r>
    </w:p>
    <w:p w14:paraId="3171D428">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3.1.2. Mobile Advisory Network</w:t>
      </w:r>
    </w:p>
    <w:p w14:paraId="76E4CA9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A South African study by Ntuli &amp; Mokoena (2024) assessed social media adoption among smallholders, noting that integrating instructional content via WhatsApp and Facebook can substantially boost engagement and farmer-to-farmer knowledge sharing. [10]</w:t>
      </w:r>
    </w:p>
    <w:p w14:paraId="423DB8D6">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Another study by Balaji &amp; Kavaskar (2024) analyzed farmers' perceptions in India but with methodological parallels applicable in Africa. They found that 68% of respondents had a high perception of WhatsApp as a tool for technology dissemination, underlining its potential across diverse regions. [11]</w:t>
      </w:r>
    </w:p>
    <w:p w14:paraId="54E8AE7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3.1.3. Digital Ecosystems &amp; Social Media Platforms</w:t>
      </w:r>
    </w:p>
    <w:p w14:paraId="7D796144">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highlight w:val="white"/>
        </w:rPr>
        <w:t xml:space="preserve">J. Steinke et </w:t>
      </w:r>
      <w:r>
        <w:rPr>
          <w:rFonts w:ascii="Arial" w:hAnsi="Arial" w:eastAsia="Arial" w:cs="Arial"/>
          <w:highlight w:val="white"/>
        </w:rPr>
        <w:t xml:space="preserve">al. </w:t>
      </w:r>
      <w:r>
        <w:rPr>
          <w:rFonts w:ascii="Arial" w:hAnsi="Arial" w:eastAsia="Arial" w:cs="Arial"/>
          <w:color w:val="000000"/>
        </w:rPr>
        <w:t xml:space="preserve">(2020) reviewed the digital revolution in African agriculture, highlighting how ICT-mediated advisory </w:t>
      </w:r>
      <w:r>
        <w:rPr>
          <w:rFonts w:ascii="Arial" w:hAnsi="Arial" w:eastAsia="Arial" w:cs="Arial"/>
        </w:rPr>
        <w:t>services,</w:t>
      </w:r>
      <w:r>
        <w:rPr>
          <w:rFonts w:ascii="Arial" w:hAnsi="Arial" w:eastAsia="Arial" w:cs="Arial"/>
          <w:color w:val="000000"/>
        </w:rPr>
        <w:t xml:space="preserve"> including SMS, mobile apps, and interactive </w:t>
      </w:r>
      <w:r>
        <w:rPr>
          <w:rFonts w:ascii="Arial" w:hAnsi="Arial" w:eastAsia="Arial" w:cs="Arial"/>
        </w:rPr>
        <w:t>radio,</w:t>
      </w:r>
      <w:r>
        <w:rPr>
          <w:rFonts w:ascii="Arial" w:hAnsi="Arial" w:eastAsia="Arial" w:cs="Arial"/>
          <w:color w:val="000000"/>
        </w:rPr>
        <w:t xml:space="preserve"> can significantly close the extension gap when thoughtfully integrated. [12] And Mwangi et al. (2024) provided an in-depth analysis of Kenya’s “Silicon Savannah,” spotlighting digital agriculture start-ups that link farmers via SMS, app services, and social media platforms, enabling timely market and agronomic information. [13]</w:t>
      </w:r>
    </w:p>
    <w:p w14:paraId="349578B2">
      <w:pPr>
        <w:pStyle w:val="3"/>
        <w:spacing w:before="360" w:after="80"/>
      </w:pPr>
      <w:r>
        <w:rPr>
          <w:rFonts w:ascii="Arial" w:hAnsi="Arial" w:eastAsia="Arial" w:cs="Arial"/>
          <w:sz w:val="22"/>
          <w:szCs w:val="22"/>
        </w:rPr>
        <w:t>3.2 Behavior Change Mechanisms in Digital Agri-Marketing</w:t>
      </w:r>
    </w:p>
    <w:p w14:paraId="65441C6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b/>
          <w:color w:val="000000"/>
        </w:rPr>
      </w:pPr>
      <w:r>
        <w:rPr>
          <w:rFonts w:ascii="Arial" w:hAnsi="Arial" w:eastAsia="Arial" w:cs="Arial"/>
          <w:color w:val="000000"/>
        </w:rPr>
        <w:t>Behavior change in digital agricultural outreach goes beyond just delivering and sharing content; it is very dependent  on trust, repetition, engagement, and feedback. We are going to explore how these factors impact  technology-enabled adoption and empowerment in farmer communities.</w:t>
      </w:r>
    </w:p>
    <w:p w14:paraId="01029029">
      <w:pPr>
        <w:pStyle w:val="4"/>
        <w:spacing w:before="280" w:after="80"/>
      </w:pPr>
      <w:r>
        <w:rPr>
          <w:rFonts w:ascii="Arial" w:hAnsi="Arial" w:eastAsia="Arial" w:cs="Arial"/>
          <w:sz w:val="22"/>
          <w:szCs w:val="22"/>
        </w:rPr>
        <w:t>3.2.1 Trust and Credibility</w:t>
      </w:r>
    </w:p>
    <w:p w14:paraId="5A612838">
      <w:pPr>
        <w:pStyle w:val="5"/>
        <w:numPr>
          <w:ilvl w:val="0"/>
          <w:numId w:val="1"/>
        </w:numPr>
        <w:spacing w:before="240" w:after="40"/>
      </w:pPr>
      <w:r>
        <w:rPr>
          <w:rFonts w:ascii="Arial" w:hAnsi="Arial" w:eastAsia="Arial" w:cs="Arial"/>
          <w:sz w:val="22"/>
          <w:szCs w:val="22"/>
        </w:rPr>
        <w:t>Peer-Led vs. NGO-Led Content</w:t>
      </w:r>
    </w:p>
    <w:p w14:paraId="5C50D67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Trust in message sources significantly affects adoption. A multi-country study by Coggins et al. (2022) across Ghana, Kenya, Uganda, and Sri Lanka demonstrated that peer-led WhatsApp groups prompted twice as many Q&amp;A sessions and had higher content retention than NGO-led broadcasts. [14]</w:t>
      </w:r>
    </w:p>
    <w:p w14:paraId="243F9A26">
      <w:pPr>
        <w:pStyle w:val="5"/>
        <w:numPr>
          <w:ilvl w:val="0"/>
          <w:numId w:val="1"/>
        </w:numPr>
        <w:spacing w:before="240" w:after="40"/>
      </w:pPr>
      <w:r>
        <w:rPr>
          <w:rFonts w:ascii="Arial" w:hAnsi="Arial" w:eastAsia="Arial" w:cs="Arial"/>
          <w:sz w:val="22"/>
          <w:szCs w:val="22"/>
        </w:rPr>
        <w:t>Local Influencers and Community Leaders</w:t>
      </w:r>
    </w:p>
    <w:p w14:paraId="37096944">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color w:val="000000"/>
        </w:rPr>
      </w:pPr>
      <w:r>
        <w:rPr>
          <w:rFonts w:ascii="Arial" w:hAnsi="Arial" w:eastAsia="Arial" w:cs="Arial"/>
          <w:color w:val="000000"/>
        </w:rPr>
        <w:t>The importance of trusted intermediaries is confirmed by the Zambian “phygital” model: 84 local “digital champions” chosen by communities (half of whom were women and 42% under 35) played a key role in enhancing both trust and adoption, according to CIMMYT reporting from Southern Zambia. [15]. </w:t>
      </w:r>
    </w:p>
    <w:p w14:paraId="7F1817C9">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p>
    <w:p w14:paraId="5A55822A">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p>
    <w:p w14:paraId="1D6F60BF">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p>
    <w:p w14:paraId="54DF50E8">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p>
    <w:p w14:paraId="162FC61A">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p>
    <w:tbl>
      <w:tblPr>
        <w:tblStyle w:val="18"/>
        <w:tblW w:w="9495" w:type="dxa"/>
        <w:tblInd w:w="-1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995"/>
        <w:gridCol w:w="1110"/>
        <w:gridCol w:w="2205"/>
        <w:gridCol w:w="2775"/>
        <w:gridCol w:w="1410"/>
      </w:tblGrid>
      <w:tr w14:paraId="17FF6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99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41CF838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Type/class of innovation</w:t>
            </w: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0F6833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Country or region</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1C151B18">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Digital tools/platform</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70BD2515">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Impact</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23448DC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rPr>
              <w:t>Reference</w:t>
            </w:r>
          </w:p>
        </w:tc>
      </w:tr>
      <w:tr w14:paraId="48B514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20" w:hRule="atLeast"/>
        </w:trPr>
        <w:tc>
          <w:tcPr>
            <w:tcW w:w="1995" w:type="dxa"/>
            <w:vMerge w:val="restart"/>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3CB2EE15">
            <w:pPr>
              <w:spacing w:after="240"/>
            </w:pPr>
            <w:r>
              <w:rPr>
                <w:rFonts w:ascii="SimSun" w:hAnsi="SimSun" w:eastAsia="SimSun" w:cs="SimSun"/>
                <w:sz w:val="24"/>
                <w:szCs w:val="24"/>
              </w:rPr>
              <w:br w:type="textWrapping"/>
            </w:r>
            <w:r>
              <w:rPr>
                <w:rFonts w:ascii="SimSun" w:hAnsi="SimSun" w:eastAsia="SimSun" w:cs="SimSun"/>
                <w:sz w:val="24"/>
                <w:szCs w:val="24"/>
              </w:rPr>
              <w:br w:type="textWrapping"/>
            </w:r>
            <w:r>
              <w:rPr>
                <w:rFonts w:ascii="SimSun" w:hAnsi="SimSun" w:eastAsia="SimSun" w:cs="SimSun"/>
                <w:sz w:val="24"/>
                <w:szCs w:val="24"/>
              </w:rPr>
              <w:br w:type="textWrapping"/>
            </w:r>
            <w:r>
              <w:rPr>
                <w:rFonts w:ascii="SimSun" w:hAnsi="SimSun" w:eastAsia="SimSun" w:cs="SimSun"/>
                <w:sz w:val="24"/>
                <w:szCs w:val="24"/>
              </w:rPr>
              <w:br w:type="textWrapping"/>
            </w:r>
            <w:r>
              <w:rPr>
                <w:rFonts w:ascii="SimSun" w:hAnsi="SimSun" w:eastAsia="SimSun" w:cs="SimSun"/>
                <w:sz w:val="24"/>
                <w:szCs w:val="24"/>
              </w:rPr>
              <w:br w:type="textWrapping"/>
            </w:r>
          </w:p>
          <w:p w14:paraId="3764810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Market linkages</w:t>
            </w: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25B5FA5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Nigeria (and India)</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1521341">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Digital tool for tractor hire</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4B9862B">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Reduced transaction costs for service providers</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6C5D0C7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[17]</w:t>
            </w:r>
          </w:p>
        </w:tc>
      </w:tr>
      <w:tr w14:paraId="0AD2D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20" w:hRule="atLeast"/>
        </w:trPr>
        <w:tc>
          <w:tcPr>
            <w:tcW w:w="1995" w:type="dxa"/>
            <w:vMerge w:val="continue"/>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65E798C0">
            <w:pPr>
              <w:widowControl w:val="0"/>
              <w:pBdr>
                <w:top w:val="none" w:color="auto" w:sz="0" w:space="0"/>
                <w:left w:val="none" w:color="auto" w:sz="0" w:space="0"/>
                <w:bottom w:val="none" w:color="auto" w:sz="0" w:space="0"/>
                <w:right w:val="none" w:color="auto" w:sz="0" w:space="0"/>
                <w:between w:val="none" w:color="auto" w:sz="0" w:space="0"/>
              </w:pBdr>
              <w:spacing w:after="0"/>
              <w:rPr>
                <w:rFonts w:ascii="Times New Roman" w:hAnsi="Times New Roman" w:eastAsia="Times New Roman" w:cs="Times New Roman"/>
                <w:color w:val="000000"/>
                <w:sz w:val="24"/>
                <w:szCs w:val="24"/>
              </w:rPr>
            </w:pP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00DBDE6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Kenya</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0DF021C3">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Mobile applications; ICT-based market information projects</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04BF17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Increased farmers income and improved supply chain efficiency (through market integration and reduction of transaction costs); Increase farmers participation in input and output </w:t>
            </w:r>
            <w:r>
              <w:rPr>
                <w:rFonts w:ascii="Arial" w:hAnsi="Arial" w:eastAsia="Arial" w:cs="Arial"/>
              </w:rPr>
              <w:t xml:space="preserve">markets </w:t>
            </w:r>
            <w:r>
              <w:rPr>
                <w:rFonts w:ascii="Arial" w:hAnsi="Arial" w:eastAsia="Arial" w:cs="Arial"/>
                <w:color w:val="000000"/>
              </w:rPr>
              <w:t>and their household income</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0C7BF78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[18]</w:t>
            </w:r>
          </w:p>
        </w:tc>
      </w:tr>
      <w:tr w14:paraId="45CC4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99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66B266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Market advisory and information services</w:t>
            </w: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67AE601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Malawi</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27AA390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Mobile-based MIS</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485AFBD1">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No effect on farmers market participation</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657B49D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[19]</w:t>
            </w:r>
          </w:p>
        </w:tc>
      </w:tr>
      <w:tr w14:paraId="403A7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10" w:hRule="atLeast"/>
        </w:trPr>
        <w:tc>
          <w:tcPr>
            <w:tcW w:w="1995" w:type="dxa"/>
            <w:vMerge w:val="restart"/>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47C4097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Agricultural market data collection, crowdsourcing services, and big data</w:t>
            </w: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46AC539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Nigeria</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C10235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Mobile-based crowdsourced platform; ODK-based food price crowdsourcing with behavioral nudge</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7227DB9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Near real-time price information during the covid-19 pandemic; Nudges that </w:t>
            </w:r>
            <w:r>
              <w:rPr>
                <w:rFonts w:ascii="Arial" w:hAnsi="Arial" w:eastAsia="Arial" w:cs="Arial"/>
              </w:rPr>
              <w:t>capitalized</w:t>
            </w:r>
            <w:r>
              <w:rPr>
                <w:rFonts w:ascii="Arial" w:hAnsi="Arial" w:eastAsia="Arial" w:cs="Arial"/>
                <w:color w:val="000000"/>
              </w:rPr>
              <w:t xml:space="preserve"> on social norms (as opposed to information disclosure) increased the number of submissions.</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7E20827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[20]</w:t>
            </w:r>
          </w:p>
        </w:tc>
      </w:tr>
      <w:tr w14:paraId="5ABEC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420" w:hRule="atLeast"/>
        </w:trPr>
        <w:tc>
          <w:tcPr>
            <w:tcW w:w="1995" w:type="dxa"/>
            <w:vMerge w:val="continue"/>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1D583B54">
            <w:pPr>
              <w:widowControl w:val="0"/>
              <w:pBdr>
                <w:top w:val="none" w:color="auto" w:sz="0" w:space="0"/>
                <w:left w:val="none" w:color="auto" w:sz="0" w:space="0"/>
                <w:bottom w:val="none" w:color="auto" w:sz="0" w:space="0"/>
                <w:right w:val="none" w:color="auto" w:sz="0" w:space="0"/>
                <w:between w:val="none" w:color="auto" w:sz="0" w:space="0"/>
              </w:pBdr>
              <w:spacing w:after="0"/>
              <w:rPr>
                <w:rFonts w:ascii="Times New Roman" w:hAnsi="Times New Roman" w:eastAsia="Times New Roman" w:cs="Times New Roman"/>
                <w:color w:val="000000"/>
                <w:sz w:val="24"/>
                <w:szCs w:val="24"/>
              </w:rPr>
            </w:pPr>
          </w:p>
        </w:tc>
        <w:tc>
          <w:tcPr>
            <w:tcW w:w="11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CE8CCB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Kenya</w:t>
            </w:r>
          </w:p>
        </w:tc>
        <w:tc>
          <w:tcPr>
            <w:tcW w:w="220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6A01B7E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Digital crowdsourced platform /KAZNET</w:t>
            </w:r>
          </w:p>
        </w:tc>
        <w:tc>
          <w:tcPr>
            <w:tcW w:w="2775"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5EFA1B8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Near real-time and reliable market data from remote areas</w:t>
            </w:r>
          </w:p>
        </w:tc>
        <w:tc>
          <w:tcPr>
            <w:tcW w:w="1410" w:type="dxa"/>
            <w:tcBorders>
              <w:top w:val="single" w:color="000000" w:sz="8" w:space="0"/>
              <w:left w:val="single" w:color="000000" w:sz="8" w:space="0"/>
              <w:bottom w:val="single" w:color="000000" w:sz="8" w:space="0"/>
              <w:right w:val="single" w:color="000000" w:sz="8" w:space="0"/>
            </w:tcBorders>
            <w:shd w:val="clear" w:color="auto" w:fill="auto"/>
            <w:tcMar>
              <w:top w:w="100" w:type="dxa"/>
              <w:left w:w="100" w:type="dxa"/>
              <w:bottom w:w="100" w:type="dxa"/>
              <w:right w:w="100" w:type="dxa"/>
            </w:tcMar>
          </w:tcPr>
          <w:p w14:paraId="3BFFADE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color w:val="000000"/>
              </w:rPr>
              <w:t>[21]</w:t>
            </w:r>
          </w:p>
        </w:tc>
      </w:tr>
    </w:tbl>
    <w:p w14:paraId="645C7C8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 xml:space="preserve">Table 1. </w:t>
      </w:r>
      <w:r>
        <w:rPr>
          <w:rFonts w:ascii="Arial" w:hAnsi="Arial" w:eastAsia="Arial" w:cs="Arial"/>
          <w:b/>
          <w:color w:val="1F1F1F"/>
        </w:rPr>
        <w:t>Impact of digital tools on agricultural markets [16]</w:t>
      </w:r>
    </w:p>
    <w:p w14:paraId="4B22E1AC">
      <w:pPr>
        <w:pStyle w:val="4"/>
        <w:spacing w:before="280" w:after="80"/>
        <w:rPr>
          <w:rFonts w:ascii="Arial" w:hAnsi="Arial" w:eastAsia="Arial" w:cs="Arial"/>
          <w:sz w:val="22"/>
          <w:szCs w:val="22"/>
        </w:rPr>
      </w:pPr>
    </w:p>
    <w:p w14:paraId="14386305">
      <w:pPr>
        <w:pStyle w:val="4"/>
        <w:spacing w:before="280" w:after="80"/>
      </w:pPr>
      <w:r>
        <w:rPr>
          <w:rFonts w:ascii="Arial" w:hAnsi="Arial" w:eastAsia="Arial" w:cs="Arial"/>
          <w:sz w:val="22"/>
          <w:szCs w:val="22"/>
        </w:rPr>
        <w:t>3.2.2 Repetition and Message Reinforcement</w:t>
      </w:r>
    </w:p>
    <w:p w14:paraId="523B80FF">
      <w:pPr>
        <w:pStyle w:val="5"/>
        <w:numPr>
          <w:ilvl w:val="0"/>
          <w:numId w:val="2"/>
        </w:numPr>
        <w:spacing w:before="240" w:after="40"/>
      </w:pPr>
      <w:r>
        <w:rPr>
          <w:rFonts w:ascii="Arial" w:hAnsi="Arial" w:eastAsia="Arial" w:cs="Arial"/>
          <w:sz w:val="22"/>
          <w:szCs w:val="22"/>
        </w:rPr>
        <w:t>SMS Frequency vs Content Complexity</w:t>
      </w:r>
    </w:p>
    <w:p w14:paraId="4FD089BB">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The foundational SMS research by Fabregas et al. (2024), based on six RCTs in Kenya and Rwanda, demonstrated that repeating the same SMS reminders significantly enhanced input adoption (odds ratio ~1.21), whereas increasing informational complexity did not yield additional benefits. [5]</w:t>
      </w:r>
    </w:p>
    <w:p w14:paraId="0E40B5A3">
      <w:pPr>
        <w:pStyle w:val="5"/>
        <w:numPr>
          <w:ilvl w:val="0"/>
          <w:numId w:val="2"/>
        </w:numPr>
        <w:spacing w:before="240" w:after="40"/>
      </w:pPr>
      <w:r>
        <w:rPr>
          <w:rFonts w:ascii="Arial" w:hAnsi="Arial" w:eastAsia="Arial" w:cs="Arial"/>
          <w:sz w:val="22"/>
          <w:szCs w:val="22"/>
        </w:rPr>
        <w:t>Radio and SMS Synergy</w:t>
      </w:r>
    </w:p>
    <w:p w14:paraId="6384D480">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In Tanzania, Silvestri et al. (2020) found that SMS paired with radio campaigns produced double the knowledge and adoption gains compared to SMS-only interventions, while radio alone was the most cost-effective for basic outreach (2.1 adopters per $). [22]</w:t>
      </w:r>
    </w:p>
    <w:p w14:paraId="79D92BBB">
      <w:pPr>
        <w:numPr>
          <w:ilvl w:val="0"/>
          <w:numId w:val="2"/>
        </w:numPr>
        <w:pBdr>
          <w:top w:val="none" w:color="auto" w:sz="0" w:space="0"/>
          <w:left w:val="none" w:color="auto" w:sz="0" w:space="0"/>
          <w:bottom w:val="none" w:color="auto" w:sz="0" w:space="0"/>
          <w:right w:val="none" w:color="auto" w:sz="0" w:space="0"/>
          <w:between w:val="none" w:color="auto" w:sz="0" w:space="0"/>
        </w:pBdr>
        <w:spacing w:before="240" w:after="240" w:line="240" w:lineRule="auto"/>
      </w:pPr>
      <w:r>
        <w:rPr>
          <w:rFonts w:ascii="Arial" w:hAnsi="Arial" w:eastAsia="Arial" w:cs="Arial"/>
          <w:b/>
          <w:color w:val="000000"/>
        </w:rPr>
        <w:t>Managed SMS Systems</w:t>
      </w:r>
    </w:p>
    <w:p w14:paraId="1B6FA118">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A case from the Philippines demonstrated that well-designed SMS systems (TEXTnology) outperformed one-time SMS blasts, with farmers reporting higher perceived utility and engagement over three months. [23].</w:t>
      </w:r>
    </w:p>
    <w:p w14:paraId="2483C872">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3.2.3 Interactivity and Feedback Loops</w:t>
      </w:r>
    </w:p>
    <w:p w14:paraId="6EAD9620">
      <w:pPr>
        <w:numPr>
          <w:ilvl w:val="0"/>
          <w:numId w:val="2"/>
        </w:numPr>
        <w:pBdr>
          <w:top w:val="none" w:color="auto" w:sz="0" w:space="0"/>
          <w:left w:val="none" w:color="auto" w:sz="0" w:space="0"/>
          <w:bottom w:val="none" w:color="auto" w:sz="0" w:space="0"/>
          <w:right w:val="none" w:color="auto" w:sz="0" w:space="0"/>
          <w:between w:val="none" w:color="auto" w:sz="0" w:space="0"/>
        </w:pBdr>
        <w:spacing w:before="240" w:after="240" w:line="240" w:lineRule="auto"/>
      </w:pPr>
      <w:r>
        <w:rPr>
          <w:rFonts w:ascii="Arial" w:hAnsi="Arial" w:eastAsia="Arial" w:cs="Arial"/>
          <w:b/>
          <w:color w:val="000000"/>
        </w:rPr>
        <w:t>Policy Feedback via Mobile Tools</w:t>
      </w:r>
    </w:p>
    <w:p w14:paraId="14654C3A">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rPr>
      </w:pPr>
      <w:r>
        <w:rPr>
          <w:rFonts w:ascii="Arial" w:hAnsi="Arial" w:eastAsia="Arial" w:cs="Arial"/>
          <w:color w:val="000000"/>
        </w:rPr>
        <w:t>FAO and World Bank surveys reveal that SMS and app-based polling allows rural farmers to inform subsidy or development program adjustments. In cases where mobile polls were implemented, agricultural extension response time improved by up to 70%, and policy allocations were adjusted in under six weeks. [24</w:t>
      </w:r>
      <w:r>
        <w:rPr>
          <w:rFonts w:ascii="Arial" w:hAnsi="Arial" w:eastAsia="Arial" w:cs="Arial"/>
        </w:rPr>
        <w:t>]</w:t>
      </w:r>
    </w:p>
    <w:p w14:paraId="0D2A17A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3.3 Adoption Barriers and Enablers</w:t>
      </w:r>
    </w:p>
    <w:p w14:paraId="22D924B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It is important that we understand what  hinders the adoption digital tools among smallholder farmers for us to build effective outreach </w:t>
      </w:r>
      <w:r>
        <w:rPr>
          <w:rFonts w:ascii="Arial" w:hAnsi="Arial" w:eastAsia="Arial" w:cs="Arial"/>
        </w:rPr>
        <w:t>frameworks.</w:t>
      </w:r>
    </w:p>
    <w:p w14:paraId="7F61BD1E">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3.3.1 Literacy and Language</w:t>
      </w:r>
    </w:p>
    <w:p w14:paraId="63A11CC9">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rPr>
        <w:t>Multilingual</w:t>
      </w:r>
      <w:r>
        <w:rPr>
          <w:rFonts w:ascii="Arial" w:hAnsi="Arial" w:eastAsia="Arial" w:cs="Arial"/>
          <w:color w:val="000000"/>
        </w:rPr>
        <w:t xml:space="preserve"> platforms significantly improve comprehension and use of digital advisories. A multilingual translation system in Nigeria (supporting Hausa, </w:t>
      </w:r>
      <w:r>
        <w:rPr>
          <w:rFonts w:ascii="Arial" w:hAnsi="Arial" w:eastAsia="Arial" w:cs="Arial"/>
        </w:rPr>
        <w:t>Igbo, and</w:t>
      </w:r>
      <w:r>
        <w:rPr>
          <w:rFonts w:ascii="Arial" w:hAnsi="Arial" w:eastAsia="Arial" w:cs="Arial"/>
          <w:color w:val="000000"/>
        </w:rPr>
        <w:t xml:space="preserve"> Yoruba) improved e-extension </w:t>
      </w:r>
      <w:r>
        <w:rPr>
          <w:rFonts w:ascii="Arial" w:hAnsi="Arial" w:eastAsia="Arial" w:cs="Arial"/>
        </w:rPr>
        <w:t>uptake;</w:t>
      </w:r>
      <w:r>
        <w:rPr>
          <w:rFonts w:ascii="Arial" w:hAnsi="Arial" w:eastAsia="Arial" w:cs="Arial"/>
          <w:color w:val="000000"/>
        </w:rPr>
        <w:t xml:space="preserve"> 74% reported system </w:t>
      </w:r>
      <w:r>
        <w:rPr>
          <w:rFonts w:ascii="Arial" w:hAnsi="Arial" w:eastAsia="Arial" w:cs="Arial"/>
        </w:rPr>
        <w:t>efficiency, and</w:t>
      </w:r>
      <w:r>
        <w:rPr>
          <w:rFonts w:ascii="Arial" w:hAnsi="Arial" w:eastAsia="Arial" w:cs="Arial"/>
          <w:color w:val="000000"/>
        </w:rPr>
        <w:t xml:space="preserve"> 79% found it user-friendly. [25]. Similarly, cost-effective YouTube videos created in multiple local languages (including Yoruba and Hausa) targeting post-harvest storage practices increased retention and correct application rates by 45% in Nigeria and Ghana. [26]</w:t>
      </w:r>
    </w:p>
    <w:p w14:paraId="36DA32A5">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Visual and voice messaging formats further reduce literacy barriers. Silvestri et al. (2020) found that pairing SMS with audio-radio broadcasts increased adoption more than text-only </w:t>
      </w:r>
      <w:r>
        <w:rPr>
          <w:rFonts w:ascii="Arial" w:hAnsi="Arial" w:eastAsia="Arial" w:cs="Arial"/>
        </w:rPr>
        <w:t>campaigns,</w:t>
      </w:r>
      <w:r>
        <w:rPr>
          <w:rFonts w:ascii="Arial" w:hAnsi="Arial" w:eastAsia="Arial" w:cs="Arial"/>
          <w:color w:val="000000"/>
        </w:rPr>
        <w:t xml:space="preserve"> a 2x improvement over SMS alone . [22]</w:t>
      </w:r>
    </w:p>
    <w:p w14:paraId="6BD5C5C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3.3.2 Connectivity and Infrastructure</w:t>
      </w:r>
    </w:p>
    <w:p w14:paraId="0312057F">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Offline-first app design is vital in rural contexts. An evaluation of </w:t>
      </w:r>
      <w:r>
        <w:rPr>
          <w:rFonts w:ascii="Arial" w:hAnsi="Arial" w:eastAsia="Arial" w:cs="Arial"/>
        </w:rPr>
        <w:t>a</w:t>
      </w:r>
      <w:r>
        <w:rPr>
          <w:rFonts w:ascii="Arial" w:hAnsi="Arial" w:eastAsia="Arial" w:cs="Arial"/>
          <w:color w:val="000000"/>
        </w:rPr>
        <w:t xml:space="preserve"> Rwandan train-the-trainer model found that embedding offline digital libraries into extension kits enabled uninterrupted information delivery in low-connectivity zones. [16]</w:t>
      </w:r>
    </w:p>
    <w:p w14:paraId="6569794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Shared device use is another challenge: a study in Ogun State, Nigeria, found that smartphone ownership increased digital app adoption by 28%, while shared device access and low internet availability remained significant constraints. [25]</w:t>
      </w:r>
    </w:p>
    <w:p w14:paraId="1A5E9614">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A broader digital equity analysis highlights the need for affordable data, offline accessibility, and community-led digital literacy at </w:t>
      </w:r>
      <w:r>
        <w:rPr>
          <w:rFonts w:ascii="Arial" w:hAnsi="Arial" w:eastAsia="Arial" w:cs="Arial"/>
        </w:rPr>
        <w:t xml:space="preserve">scale. </w:t>
      </w:r>
      <w:r>
        <w:rPr>
          <w:rFonts w:ascii="Arial" w:hAnsi="Arial" w:eastAsia="Arial" w:cs="Arial"/>
          <w:color w:val="000000"/>
        </w:rPr>
        <w:t>[27]</w:t>
      </w:r>
    </w:p>
    <w:p w14:paraId="39B03C5B">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3.4 Transferability to U.S. Rural Communities</w:t>
      </w:r>
    </w:p>
    <w:p w14:paraId="390846A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While digital agricultural outreach is maturing in Sub-Saharan Africa, U.S. rural communities face serious challenges in accessible extension, trust, and behavior change. These experiences from African “low-tech innovation” systems, especially peer-based trust-building and WhatsApp community </w:t>
      </w:r>
      <w:r>
        <w:rPr>
          <w:rFonts w:ascii="Arial" w:hAnsi="Arial" w:eastAsia="Arial" w:cs="Arial"/>
        </w:rPr>
        <w:t>models,</w:t>
      </w:r>
      <w:r>
        <w:rPr>
          <w:rFonts w:ascii="Arial" w:hAnsi="Arial" w:eastAsia="Arial" w:cs="Arial"/>
          <w:color w:val="000000"/>
        </w:rPr>
        <w:t xml:space="preserve"> can offer valuable translatable insights for the challenges faced by farmers in U.S. rural communities.</w:t>
      </w:r>
    </w:p>
    <w:p w14:paraId="0D8B351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b/>
        </w:rPr>
      </w:pPr>
    </w:p>
    <w:p w14:paraId="30812EBE">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3.4.1 Lessons from Africa’s “Low-Tech Innovation”</w:t>
      </w:r>
    </w:p>
    <w:p w14:paraId="66EAF202">
      <w:pPr>
        <w:numPr>
          <w:ilvl w:val="0"/>
          <w:numId w:val="2"/>
        </w:numPr>
        <w:pBdr>
          <w:top w:val="none" w:color="auto" w:sz="0" w:space="0"/>
          <w:left w:val="none" w:color="auto" w:sz="0" w:space="0"/>
          <w:bottom w:val="none" w:color="auto" w:sz="0" w:space="0"/>
          <w:right w:val="none" w:color="auto" w:sz="0" w:space="0"/>
          <w:between w:val="none" w:color="auto" w:sz="0" w:space="0"/>
        </w:pBdr>
        <w:spacing w:before="240" w:after="240" w:line="240" w:lineRule="auto"/>
      </w:pPr>
      <w:r>
        <w:rPr>
          <w:rFonts w:ascii="Arial" w:hAnsi="Arial" w:eastAsia="Arial" w:cs="Arial"/>
          <w:b/>
          <w:color w:val="000000"/>
        </w:rPr>
        <w:t>Peer-based Trust-Building</w:t>
      </w:r>
    </w:p>
    <w:p w14:paraId="5E531F66">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Peer-to-peer advising fosters trust and enhances adoption. In Ghana and Uganda, Coggins et al. (2022) found that smallholder WhatsApp and chat group platforms led farmers to place greater trust in peer solutions than in top-down expert messages and report nearly 30% higher implementation rates. [28]</w:t>
      </w:r>
    </w:p>
    <w:p w14:paraId="35E882BE">
      <w:pPr>
        <w:numPr>
          <w:ilvl w:val="0"/>
          <w:numId w:val="2"/>
        </w:numPr>
        <w:pBdr>
          <w:top w:val="none" w:color="auto" w:sz="0" w:space="0"/>
          <w:left w:val="none" w:color="auto" w:sz="0" w:space="0"/>
          <w:bottom w:val="none" w:color="auto" w:sz="0" w:space="0"/>
          <w:right w:val="none" w:color="auto" w:sz="0" w:space="0"/>
          <w:between w:val="none" w:color="auto" w:sz="0" w:space="0"/>
        </w:pBdr>
        <w:spacing w:before="240" w:after="240" w:line="240" w:lineRule="auto"/>
      </w:pPr>
      <w:r>
        <w:rPr>
          <w:rFonts w:ascii="Arial" w:hAnsi="Arial" w:eastAsia="Arial" w:cs="Arial"/>
          <w:b/>
          <w:color w:val="000000"/>
        </w:rPr>
        <w:t>WhatsApp Community Models</w:t>
      </w:r>
    </w:p>
    <w:p w14:paraId="33EC821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A survey of digital-ecosystem farmers in </w:t>
      </w:r>
      <w:r>
        <w:rPr>
          <w:rFonts w:ascii="Arial" w:hAnsi="Arial" w:eastAsia="Arial" w:cs="Arial"/>
        </w:rPr>
        <w:t>Ghana (</w:t>
      </w:r>
      <w:r>
        <w:rPr>
          <w:rFonts w:ascii="Arial" w:hAnsi="Arial" w:eastAsia="Arial" w:cs="Arial"/>
          <w:color w:val="000000"/>
        </w:rPr>
        <w:t xml:space="preserve">Abdulai, Fraser et al., </w:t>
      </w:r>
      <w:r>
        <w:rPr>
          <w:rFonts w:ascii="Arial" w:hAnsi="Arial" w:eastAsia="Arial" w:cs="Arial"/>
        </w:rPr>
        <w:t>2023)</w:t>
      </w:r>
      <w:r>
        <w:rPr>
          <w:rFonts w:ascii="Arial" w:hAnsi="Arial" w:eastAsia="Arial" w:cs="Arial"/>
          <w:color w:val="000000"/>
        </w:rPr>
        <w:t xml:space="preserve"> found that WhatsApp was the second-most common digital tool after voice calls. Farmers cited trusted peer networks and local-language content as critical to adoption, a powerful lesson for U.S. rural outreach. [29] </w:t>
      </w:r>
    </w:p>
    <w:p w14:paraId="1346DE95">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3.4.2   U.S. Gaps in Extension and Rural Behavior Change</w:t>
      </w:r>
    </w:p>
    <w:p w14:paraId="20D5BF24">
      <w:pPr>
        <w:numPr>
          <w:ilvl w:val="0"/>
          <w:numId w:val="2"/>
        </w:numPr>
        <w:pBdr>
          <w:top w:val="none" w:color="auto" w:sz="0" w:space="0"/>
          <w:left w:val="none" w:color="auto" w:sz="0" w:space="0"/>
          <w:bottom w:val="none" w:color="auto" w:sz="0" w:space="0"/>
          <w:right w:val="none" w:color="auto" w:sz="0" w:space="0"/>
          <w:between w:val="none" w:color="auto" w:sz="0" w:space="0"/>
        </w:pBdr>
        <w:spacing w:before="240" w:after="240" w:line="240" w:lineRule="auto"/>
      </w:pPr>
      <w:r>
        <w:rPr>
          <w:rFonts w:ascii="Arial" w:hAnsi="Arial" w:eastAsia="Arial" w:cs="Arial"/>
          <w:b/>
          <w:color w:val="000000"/>
        </w:rPr>
        <w:t>Mobile-Based Behavioral Nudges</w:t>
      </w:r>
    </w:p>
    <w:p w14:paraId="431286B8">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Patel et al. (2023) conducted a randomized trial sending 1–2 strategically worded text reminders (e.g., “vaccine reserved for you”) before medical appointments. Not only did vaccination rates increase by 6%, but uptake rose to +3.1 percentage points in top-performing messages. </w:t>
      </w:r>
      <w:r>
        <w:rPr>
          <w:rFonts w:ascii="Arial" w:hAnsi="Arial" w:eastAsia="Arial" w:cs="Arial"/>
        </w:rPr>
        <w:t xml:space="preserve">[30]. </w:t>
      </w:r>
      <w:r>
        <w:rPr>
          <w:rFonts w:ascii="Arial" w:hAnsi="Arial" w:eastAsia="Arial" w:cs="Arial"/>
          <w:color w:val="000000"/>
        </w:rPr>
        <w:t xml:space="preserve">Though not agricultural, the clear behavior change driven by low-cost, personalized texting models translates directly to extension-style </w:t>
      </w:r>
      <w:r>
        <w:rPr>
          <w:rFonts w:ascii="Arial" w:hAnsi="Arial" w:eastAsia="Arial" w:cs="Arial"/>
        </w:rPr>
        <w:t>prompts,</w:t>
      </w:r>
      <w:r>
        <w:rPr>
          <w:rFonts w:ascii="Arial" w:hAnsi="Arial" w:eastAsia="Arial" w:cs="Arial"/>
          <w:color w:val="000000"/>
        </w:rPr>
        <w:t xml:space="preserve"> e.g., “Your crop calendar is reserved for planting next week.”</w:t>
      </w:r>
    </w:p>
    <w:p w14:paraId="38C714FD">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b/>
          <w:color w:val="000000"/>
        </w:rPr>
        <w:t>4. CONCLUSION </w:t>
      </w:r>
    </w:p>
    <w:p w14:paraId="487D071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This paper reviewed how digital tools are being used to support agricultural communication, advocacy, and behavior change in rural contexts, with a specific focus on Nigeria and similar African settings. It also examined how these strategies could be adapted to address outreach gaps in rural parts of the United States.</w:t>
      </w:r>
    </w:p>
    <w:p w14:paraId="7F854395">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From the evidence reviewed, a few key takeaways are clear. First, outreach is more effective when the message comes from someone the audience already trusts. Peer-led WhatsApp groups, local influencers, and farmer cooperatives outperformed traditional top-down messages in almost every example. Second, regular and clear </w:t>
      </w:r>
      <w:r>
        <w:rPr>
          <w:rFonts w:ascii="Arial" w:hAnsi="Arial" w:eastAsia="Arial" w:cs="Arial"/>
        </w:rPr>
        <w:t>messaging,</w:t>
      </w:r>
      <w:r>
        <w:rPr>
          <w:rFonts w:ascii="Arial" w:hAnsi="Arial" w:eastAsia="Arial" w:cs="Arial"/>
          <w:color w:val="000000"/>
        </w:rPr>
        <w:t xml:space="preserve"> especially via SMS and short-form </w:t>
      </w:r>
      <w:r>
        <w:rPr>
          <w:rFonts w:ascii="Arial" w:hAnsi="Arial" w:eastAsia="Arial" w:cs="Arial"/>
        </w:rPr>
        <w:t>video,</w:t>
      </w:r>
      <w:r>
        <w:rPr>
          <w:rFonts w:ascii="Arial" w:hAnsi="Arial" w:eastAsia="Arial" w:cs="Arial"/>
          <w:color w:val="000000"/>
        </w:rPr>
        <w:t xml:space="preserve"> improves uptake. Campaigns that focused on simple, repeated messages got better results than those that relied on technical detail or overly complex platforms. Third, language and literacy remain practical barriers. When platforms used local languages, voice notes, or images, participation and adoption increased, especially among women and older farmers.</w:t>
      </w:r>
    </w:p>
    <w:p w14:paraId="367EA99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In terms of infrastructure, the most successful interventions were not the most advanced. They were the most practical. Offline-first mobile apps, SMS-based advisories, and shared-phone strategies were more accessible and better suited to rural realities. These tools allowed farmers to engage without needing smartphones, constant connectivity, or high digital literacy.</w:t>
      </w:r>
    </w:p>
    <w:p w14:paraId="343D9087">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What this means for the U.S. context is straightforward. Many rural counties face similar </w:t>
      </w:r>
      <w:r>
        <w:rPr>
          <w:rFonts w:ascii="Arial" w:hAnsi="Arial" w:eastAsia="Arial" w:cs="Arial"/>
        </w:rPr>
        <w:t>issues:</w:t>
      </w:r>
      <w:r>
        <w:rPr>
          <w:rFonts w:ascii="Arial" w:hAnsi="Arial" w:eastAsia="Arial" w:cs="Arial"/>
          <w:color w:val="000000"/>
        </w:rPr>
        <w:t xml:space="preserve"> limited broadband access, underfunded extension programs, and communities that don’t always trust outside experts. This paper argues that U.S. outreach programs can learn from African examples by prioritizing trust, community ownership, and low-bandwidth solutions. Simple tools like text reminders, local WhatsApp </w:t>
      </w:r>
      <w:r>
        <w:rPr>
          <w:rFonts w:ascii="Arial" w:hAnsi="Arial" w:eastAsia="Arial" w:cs="Arial"/>
        </w:rPr>
        <w:t xml:space="preserve">groups </w:t>
      </w:r>
      <w:r>
        <w:rPr>
          <w:rFonts w:ascii="Arial" w:hAnsi="Arial" w:eastAsia="Arial" w:cs="Arial"/>
          <w:color w:val="000000"/>
        </w:rPr>
        <w:t>and voice-based advisories could help bridge existing gaps without requiring major infrastructure changes.</w:t>
      </w:r>
    </w:p>
    <w:p w14:paraId="38DE5021">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Times New Roman" w:hAnsi="Times New Roman" w:eastAsia="Times New Roman" w:cs="Times New Roman"/>
          <w:color w:val="000000"/>
          <w:sz w:val="24"/>
          <w:szCs w:val="24"/>
        </w:rPr>
      </w:pPr>
      <w:r>
        <w:rPr>
          <w:rFonts w:ascii="Arial" w:hAnsi="Arial" w:eastAsia="Arial" w:cs="Arial"/>
          <w:color w:val="000000"/>
        </w:rPr>
        <w:t xml:space="preserve">Drawing insights from Aderemi Kutelu’s professional </w:t>
      </w:r>
      <w:r>
        <w:rPr>
          <w:rFonts w:ascii="Arial" w:hAnsi="Arial" w:eastAsia="Arial" w:cs="Arial"/>
        </w:rPr>
        <w:t>background,</w:t>
      </w:r>
      <w:r>
        <w:rPr>
          <w:rFonts w:ascii="Arial" w:hAnsi="Arial" w:eastAsia="Arial" w:cs="Arial"/>
          <w:color w:val="000000"/>
        </w:rPr>
        <w:t xml:space="preserve"> especially in customer engagement, digital sales, and health </w:t>
      </w:r>
      <w:r>
        <w:rPr>
          <w:rFonts w:ascii="Arial" w:hAnsi="Arial" w:eastAsia="Arial" w:cs="Arial"/>
        </w:rPr>
        <w:t>communication,</w:t>
      </w:r>
      <w:r>
        <w:rPr>
          <w:rFonts w:ascii="Arial" w:hAnsi="Arial" w:eastAsia="Arial" w:cs="Arial"/>
          <w:color w:val="000000"/>
        </w:rPr>
        <w:t xml:space="preserve"> reinforces these points. His work shows how understanding your audience and crafting tailored messages based on their habits and constraints can drive real-world results. This same logic applies in agriculture. Technology alone doesn’t lead to change. Relevance, timing, and trust do.</w:t>
      </w:r>
    </w:p>
    <w:p w14:paraId="0BDF364C">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color w:val="000000"/>
        </w:rPr>
      </w:pPr>
      <w:bookmarkStart w:id="0" w:name="_heading=h.9f131crgmf5a" w:colFirst="0" w:colLast="0"/>
      <w:bookmarkEnd w:id="0"/>
      <w:r>
        <w:rPr>
          <w:rFonts w:ascii="Arial" w:hAnsi="Arial" w:eastAsia="Arial" w:cs="Arial"/>
          <w:color w:val="000000"/>
        </w:rPr>
        <w:t xml:space="preserve">Finally, this paper does not claim to offer a complete solution. It presents a framework drawn from existing studies and tested models. What’s needed next are pilot programs, more data on long-term effects, and better integration with national agricultural and food systems. But the direction is clear: outreach programs that use digital tools to build relationships and offer useful, repeatable advice are more likely to make a </w:t>
      </w:r>
      <w:r>
        <w:rPr>
          <w:rFonts w:ascii="Arial" w:hAnsi="Arial" w:eastAsia="Arial" w:cs="Arial"/>
        </w:rPr>
        <w:t>difference,</w:t>
      </w:r>
      <w:r>
        <w:rPr>
          <w:rFonts w:ascii="Arial" w:hAnsi="Arial" w:eastAsia="Arial" w:cs="Arial"/>
          <w:color w:val="000000"/>
        </w:rPr>
        <w:t xml:space="preserve"> whether in Nigeria or Nebraska.</w:t>
      </w:r>
    </w:p>
    <w:p w14:paraId="05317FF3">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color w:val="000000"/>
        </w:rPr>
      </w:pPr>
    </w:p>
    <w:p w14:paraId="79079CC6">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Disclaimer (Artificial intelligence)</w:t>
      </w:r>
    </w:p>
    <w:p w14:paraId="34164A6C">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 xml:space="preserve">Option 1: </w:t>
      </w:r>
    </w:p>
    <w:p w14:paraId="5631D9B0">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 xml:space="preserve">Author(s) hereby declare that NO generative AI technologies such as Large Language Models (ChatGPT, COPILOT, etc.) and text-to-image generators have been used during the writing or editing of this manuscript. </w:t>
      </w:r>
    </w:p>
    <w:p w14:paraId="51792794">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 xml:space="preserve">Option 2: </w:t>
      </w:r>
    </w:p>
    <w:p w14:paraId="2FF02F29">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2C4DFBEE">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Details of the AI usage are given below:</w:t>
      </w:r>
    </w:p>
    <w:p w14:paraId="46C6B09A">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1.</w:t>
      </w:r>
    </w:p>
    <w:p w14:paraId="4F71E74D">
      <w:pPr>
        <w:rPr>
          <w:rFonts w:cs="Times New Roman"/>
          <w:kern w:val="2"/>
          <w:highlight w:val="yellow"/>
          <w:lang w:val="en-US" w:eastAsia="en-US"/>
          <w14:ligatures w14:val="standardContextual"/>
        </w:rPr>
      </w:pPr>
      <w:r>
        <w:rPr>
          <w:rFonts w:cs="Times New Roman"/>
          <w:kern w:val="2"/>
          <w:highlight w:val="yellow"/>
          <w:lang w:val="en-US" w:eastAsia="en-US"/>
          <w14:ligatures w14:val="standardContextual"/>
        </w:rPr>
        <w:t>2.</w:t>
      </w:r>
    </w:p>
    <w:p w14:paraId="5FC34944">
      <w:pPr>
        <w:rPr>
          <w:rFonts w:cs="Times New Roman"/>
          <w:kern w:val="2"/>
          <w:lang w:val="en-US" w:eastAsia="en-US"/>
          <w14:ligatures w14:val="standardContextual"/>
        </w:rPr>
      </w:pPr>
      <w:r>
        <w:rPr>
          <w:rFonts w:cs="Times New Roman"/>
          <w:kern w:val="2"/>
          <w:highlight w:val="yellow"/>
          <w:lang w:val="en-US" w:eastAsia="en-US"/>
          <w14:ligatures w14:val="standardContextual"/>
        </w:rPr>
        <w:t>3.</w:t>
      </w:r>
    </w:p>
    <w:p w14:paraId="24E3A9D0">
      <w:pPr>
        <w:pBdr>
          <w:top w:val="none" w:color="auto" w:sz="0" w:space="0"/>
          <w:left w:val="none" w:color="auto" w:sz="0" w:space="0"/>
          <w:bottom w:val="none" w:color="auto" w:sz="0" w:space="0"/>
          <w:right w:val="none" w:color="auto" w:sz="0" w:space="0"/>
          <w:between w:val="none" w:color="auto" w:sz="0" w:space="0"/>
        </w:pBdr>
        <w:spacing w:before="240" w:after="240" w:line="240" w:lineRule="auto"/>
        <w:rPr>
          <w:rFonts w:ascii="Arial" w:hAnsi="Arial" w:eastAsia="Arial" w:cs="Arial"/>
          <w:color w:val="000000"/>
        </w:rPr>
      </w:pPr>
    </w:p>
    <w:p w14:paraId="095A089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color w:val="000000"/>
          <w:sz w:val="24"/>
          <w:szCs w:val="24"/>
        </w:rPr>
      </w:pPr>
      <w:r>
        <w:rPr>
          <w:rFonts w:ascii="Arial" w:hAnsi="Arial" w:eastAsia="Arial" w:cs="Arial"/>
          <w:b/>
          <w:color w:val="000000"/>
        </w:rPr>
        <w:t>REFERENCES</w:t>
      </w:r>
    </w:p>
    <w:p w14:paraId="5E08FBD9"/>
    <w:p w14:paraId="19B28FFF">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R. Ferguson, S. Mishra, S. Qureshi, L. Injac, B. Talukder, and J. Orbinski, “Digital technologies and food security during crisis: COVID-19 experiences from smallholder farmers in Odisha, India,” </w:t>
      </w:r>
      <w:r>
        <w:rPr>
          <w:rFonts w:ascii="Arial" w:hAnsi="Arial" w:eastAsia="Arial" w:cs="Arial"/>
          <w:i/>
          <w:color w:val="000000"/>
        </w:rPr>
        <w:t>Frontiers in Sustainable Food Systems</w:t>
      </w:r>
      <w:r>
        <w:rPr>
          <w:rFonts w:ascii="Arial" w:hAnsi="Arial" w:eastAsia="Arial" w:cs="Arial"/>
          <w:color w:val="000000"/>
        </w:rPr>
        <w:t>, vol. 7, Jan. 2024, doi: 10.3389/fsufs.2023.1150197</w:t>
      </w:r>
    </w:p>
    <w:p w14:paraId="724AED25">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Y. Yuan and Y. Sun, “Practices, Challenges, and Future of Digital Transformation in Smallholder Agriculture: Insights from a Literature Review,” </w:t>
      </w:r>
      <w:r>
        <w:rPr>
          <w:rFonts w:ascii="Arial" w:hAnsi="Arial" w:eastAsia="Arial" w:cs="Arial"/>
          <w:i/>
          <w:color w:val="000000"/>
        </w:rPr>
        <w:t>Agriculture</w:t>
      </w:r>
      <w:r>
        <w:rPr>
          <w:rFonts w:ascii="Arial" w:hAnsi="Arial" w:eastAsia="Arial" w:cs="Arial"/>
          <w:color w:val="000000"/>
        </w:rPr>
        <w:t>, vol. 14, no. 12, p. 2193, Nov. 2024, doi: 10.3390/agriculture14122193.</w:t>
      </w:r>
    </w:p>
    <w:p w14:paraId="3F789788">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Y. Subramaniam, N. Loganathan, and M. S. Habibullah, “Digitalization and food security: evidence from developing countries,” </w:t>
      </w:r>
      <w:r>
        <w:rPr>
          <w:rFonts w:ascii="Arial" w:hAnsi="Arial" w:eastAsia="Arial" w:cs="Arial"/>
          <w:i/>
          <w:color w:val="000000"/>
        </w:rPr>
        <w:t>Review of Development Economics</w:t>
      </w:r>
      <w:r>
        <w:rPr>
          <w:rFonts w:ascii="Arial" w:hAnsi="Arial" w:eastAsia="Arial" w:cs="Arial"/>
          <w:color w:val="000000"/>
        </w:rPr>
        <w:t>, Jan. 2025, doi: 10.1111/rode.13186.</w:t>
      </w:r>
    </w:p>
    <w:p w14:paraId="105A1640">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K. Mulungu, M. Kassie, and M. Tschopp, “The role of information and communication technologies-based extension in agriculture: application, opportunities and challenges,” </w:t>
      </w:r>
      <w:r>
        <w:rPr>
          <w:rFonts w:ascii="Arial" w:hAnsi="Arial" w:eastAsia="Arial" w:cs="Arial"/>
          <w:i/>
          <w:color w:val="000000"/>
        </w:rPr>
        <w:t>Information Technology for Development</w:t>
      </w:r>
      <w:r>
        <w:rPr>
          <w:rFonts w:ascii="Arial" w:hAnsi="Arial" w:eastAsia="Arial" w:cs="Arial"/>
          <w:color w:val="000000"/>
        </w:rPr>
        <w:t>, pp. 1–30, Feb. 2025, doi: 10.1080/02681102.2025.2456232.</w:t>
      </w:r>
    </w:p>
    <w:p w14:paraId="6B14408E">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R. Fabregas, M. Kremer, M. Lowes, R. On, and G. Zane, “Digital Information Provision and Behavior Change: Lessons from Six Experiments in East Africa,” </w:t>
      </w:r>
      <w:r>
        <w:rPr>
          <w:rFonts w:ascii="Arial" w:hAnsi="Arial" w:eastAsia="Arial" w:cs="Arial"/>
          <w:i/>
          <w:color w:val="000000"/>
        </w:rPr>
        <w:t>American Economic Journal Applied Economics</w:t>
      </w:r>
      <w:r>
        <w:rPr>
          <w:rFonts w:ascii="Arial" w:hAnsi="Arial" w:eastAsia="Arial" w:cs="Arial"/>
          <w:color w:val="000000"/>
        </w:rPr>
        <w:t>, vol. 17, no. 1, pp. 527–566, Dec. 2024, doi: 10.1257/app.20220072.</w:t>
      </w:r>
    </w:p>
    <w:p w14:paraId="02FD8758">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rPr>
        <w:t xml:space="preserve">A. Kolapo and A. J. Didunyemi, “Effects of exposure on adoption of agricultural smartphone apps among smallholder farmers in Southwest, Nigeria: implications on farm-level-efficiency,” </w:t>
      </w:r>
      <w:r>
        <w:rPr>
          <w:rFonts w:ascii="Arial" w:hAnsi="Arial" w:eastAsia="Arial" w:cs="Arial"/>
          <w:i/>
          <w:color w:val="000000"/>
        </w:rPr>
        <w:t>Agriculture &amp; Food Security</w:t>
      </w:r>
      <w:r>
        <w:rPr>
          <w:rFonts w:ascii="Arial" w:hAnsi="Arial" w:eastAsia="Arial" w:cs="Arial"/>
          <w:color w:val="000000"/>
        </w:rPr>
        <w:t>, vol. 13, no. 1, Aug. 2024, doi: 10.1186/s40066-024-00485-1.</w:t>
      </w:r>
    </w:p>
    <w:p w14:paraId="533DE2E8">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Ofosu-Ampong, K., Abera, W., Mesfin, T. </w:t>
      </w:r>
      <w:r>
        <w:rPr>
          <w:rFonts w:ascii="Arial" w:hAnsi="Arial" w:eastAsia="Arial" w:cs="Arial"/>
          <w:i/>
          <w:color w:val="000000"/>
          <w:highlight w:val="white"/>
        </w:rPr>
        <w:t>et al.</w:t>
      </w:r>
      <w:r>
        <w:rPr>
          <w:rFonts w:ascii="Arial" w:hAnsi="Arial" w:eastAsia="Arial" w:cs="Arial"/>
          <w:color w:val="000000"/>
          <w:highlight w:val="white"/>
        </w:rPr>
        <w:t xml:space="preserve"> Digital agro-advisory tools in the global south: a behavioural analysis of impacts, and future directions. </w:t>
      </w:r>
      <w:r>
        <w:rPr>
          <w:rFonts w:ascii="Arial" w:hAnsi="Arial" w:eastAsia="Arial" w:cs="Arial"/>
          <w:i/>
          <w:color w:val="000000"/>
          <w:highlight w:val="white"/>
        </w:rPr>
        <w:t>Discov Agric</w:t>
      </w:r>
      <w:r>
        <w:rPr>
          <w:rFonts w:ascii="Arial" w:hAnsi="Arial" w:eastAsia="Arial" w:cs="Arial"/>
          <w:color w:val="000000"/>
          <w:highlight w:val="white"/>
        </w:rPr>
        <w:t xml:space="preserve"> 3, 40 (2025). </w:t>
      </w:r>
      <w:r>
        <w:fldChar w:fldCharType="begin"/>
      </w:r>
      <w:r>
        <w:instrText xml:space="preserve"> HYPERLINK "https://doi.org/10.1007/s44279-025-00190-y" \h </w:instrText>
      </w:r>
      <w:r>
        <w:fldChar w:fldCharType="separate"/>
      </w:r>
      <w:r>
        <w:rPr>
          <w:rFonts w:ascii="Arial" w:hAnsi="Arial" w:eastAsia="Arial" w:cs="Arial"/>
          <w:color w:val="000000"/>
          <w:highlight w:val="white"/>
          <w:u w:val="single"/>
        </w:rPr>
        <w:t>https://doi.org/10.1007/s44279-025-00190-y</w:t>
      </w:r>
      <w:r>
        <w:rPr>
          <w:rFonts w:ascii="Arial" w:hAnsi="Arial" w:eastAsia="Arial" w:cs="Arial"/>
          <w:color w:val="000000"/>
          <w:highlight w:val="white"/>
          <w:u w:val="single"/>
        </w:rPr>
        <w:fldChar w:fldCharType="end"/>
      </w:r>
    </w:p>
    <w:p w14:paraId="0836B102">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A.-R. Abdulai, “Toward digitalization futures in smallholder farming systems in Sub-Sahara Africa: A social practice proposal,” </w:t>
      </w:r>
      <w:r>
        <w:rPr>
          <w:rFonts w:ascii="Arial" w:hAnsi="Arial" w:eastAsia="Arial" w:cs="Arial"/>
          <w:i/>
          <w:color w:val="000000"/>
          <w:highlight w:val="white"/>
        </w:rPr>
        <w:t>Frontiers in Sustainable Food Systems</w:t>
      </w:r>
      <w:r>
        <w:rPr>
          <w:rFonts w:ascii="Arial" w:hAnsi="Arial" w:eastAsia="Arial" w:cs="Arial"/>
          <w:color w:val="000000"/>
          <w:highlight w:val="white"/>
        </w:rPr>
        <w:t>, vol. 6, Sep. 2022, doi: 10.3389/fsufs.2022.866331.</w:t>
      </w:r>
    </w:p>
    <w:p w14:paraId="35315239">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L. Karanja et al., “Impacts and Challenges of ICT Based Scale-up Campaigns: Lessons Learnt from the Use of SMS to Support Maize Farmers in the UPTAKE Project, Tanzania,” Data Science Journal, vol. 19, Jan. 2020, doi: 10.5334/dsj-2020-007.</w:t>
      </w:r>
    </w:p>
    <w:p w14:paraId="402C2CE6">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A. I. Mulaudzi, O. D. Olorunfemi, and A. I. Agholor, “Social media utilization level among South African smallholder farmers: a case study of Mopani District, Limpopo Province,” Cogent Social Sciences, vol. 10, no. 1, May 2024, doi: 10.1080/23311886.2024.2356722.</w:t>
      </w:r>
    </w:p>
    <w:p w14:paraId="79C34560">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G. Balaji and M. Kavaskar, “An analysis of farmer’s perception towards WhatsApp as a farm technology dissemination tools,” Journal of Experimental Agriculture International, vol. 46, no. 9, pp. 330–335, Sep. 2024, doi: 10.9734/jeai/2024/v46i92829.</w:t>
      </w:r>
    </w:p>
    <w:p w14:paraId="53495B33">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J. Steinke et al., “Tapping the full potential of the digital revolution for agricultural extension: an emerging innovation agenda,” International Journal of Agricultural Sustainability, vol. 19, no. 5–6, pp. 549–565, Mar. 2020, doi: 10.1080/14735903.2020.1738754.</w:t>
      </w:r>
    </w:p>
    <w:p w14:paraId="403C9FF3">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E. Njuguna, T. Daum, R. Birner, and J. Mburu, “Silicon Savannah and smallholder farming: How can digitalization contribute to sustainable agricultural transformation in Africa?,” Agricultural Systems, vol. 222, p. 104180, Nov. 2024, doi: 10.1016/j.agsy.2024.104180.</w:t>
      </w:r>
    </w:p>
    <w:p w14:paraId="70D100BF">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“Improving agricultural information and extension services to increase small-scale farmer productivity | The Abdul Latif Jameel Poverty Action Lab,” </w:t>
      </w:r>
      <w:r>
        <w:rPr>
          <w:rFonts w:ascii="Arial" w:hAnsi="Arial" w:eastAsia="Arial" w:cs="Arial"/>
          <w:i/>
          <w:color w:val="000000"/>
          <w:highlight w:val="white"/>
        </w:rPr>
        <w:t>The Abdul Latif Jameel Poverty Action Lab (J-PAL)</w:t>
      </w:r>
      <w:r>
        <w:rPr>
          <w:rFonts w:ascii="Arial" w:hAnsi="Arial" w:eastAsia="Arial" w:cs="Arial"/>
          <w:color w:val="000000"/>
          <w:highlight w:val="white"/>
        </w:rPr>
        <w:t xml:space="preserve">, Sep. 01, 2023. </w:t>
      </w:r>
      <w:r>
        <w:fldChar w:fldCharType="begin"/>
      </w:r>
      <w:r>
        <w:instrText xml:space="preserve"> HYPERLINK "https://www.povertyactionlab.org/policy-insight/improving-agricultural-information-and-extension-services-increase-small-scale" \h </w:instrText>
      </w:r>
      <w:r>
        <w:fldChar w:fldCharType="separate"/>
      </w:r>
      <w:r>
        <w:rPr>
          <w:rFonts w:ascii="Arial" w:hAnsi="Arial" w:eastAsia="Arial" w:cs="Arial"/>
          <w:color w:val="000000"/>
          <w:highlight w:val="white"/>
          <w:u w:val="single"/>
        </w:rPr>
        <w:t>https://www.povertyactionlab.org/policy-insight/improving-agricultural-information-and-extension-services-increase-small-scale</w:t>
      </w:r>
      <w:r>
        <w:rPr>
          <w:rFonts w:ascii="Arial" w:hAnsi="Arial" w:eastAsia="Arial" w:cs="Arial"/>
          <w:color w:val="000000"/>
          <w:highlight w:val="white"/>
          <w:u w:val="single"/>
        </w:rPr>
        <w:fldChar w:fldCharType="end"/>
      </w:r>
    </w:p>
    <w:p w14:paraId="1D168691">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B. Mpande, “Building trust, bridging divides: How Zambia’s digital champions are paving the way for inclusive farming,” </w:t>
      </w:r>
      <w:r>
        <w:rPr>
          <w:rFonts w:ascii="Arial" w:hAnsi="Arial" w:eastAsia="Arial" w:cs="Arial"/>
          <w:i/>
          <w:color w:val="000000"/>
          <w:highlight w:val="white"/>
        </w:rPr>
        <w:t>CIMMYT</w:t>
      </w:r>
      <w:r>
        <w:rPr>
          <w:rFonts w:ascii="Arial" w:hAnsi="Arial" w:eastAsia="Arial" w:cs="Arial"/>
          <w:color w:val="000000"/>
          <w:highlight w:val="white"/>
        </w:rPr>
        <w:t xml:space="preserve">, Jun. 10, 2025. </w:t>
      </w:r>
      <w:r>
        <w:fldChar w:fldCharType="begin"/>
      </w:r>
      <w:r>
        <w:instrText xml:space="preserve"> HYPERLINK "https://www.cimmyt.org/news/building-trust-bridging-divides-how-zambias-digital-champions-are-paving-the-way-for-inclusive-farming/" \h </w:instrText>
      </w:r>
      <w:r>
        <w:fldChar w:fldCharType="separate"/>
      </w:r>
      <w:r>
        <w:rPr>
          <w:rFonts w:ascii="Arial" w:hAnsi="Arial" w:eastAsia="Arial" w:cs="Arial"/>
          <w:color w:val="0000FF"/>
          <w:highlight w:val="white"/>
          <w:u w:val="single"/>
        </w:rPr>
        <w:t>https://www.cimmyt.org/news/building-trust-bridging-divides-how-zambias-digital-champions-are-paving-the-way-for-inclusive-farming/</w:t>
      </w:r>
      <w:r>
        <w:rPr>
          <w:rFonts w:ascii="Arial" w:hAnsi="Arial" w:eastAsia="Arial" w:cs="Arial"/>
          <w:color w:val="0000FF"/>
          <w:highlight w:val="white"/>
          <w:u w:val="single"/>
        </w:rPr>
        <w:fldChar w:fldCharType="end"/>
      </w:r>
    </w:p>
    <w:p w14:paraId="043520CD">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G. T. Abate, K. A. Abay, J. Chamberlin, Y. Kassim, D. J. Spielman, and M. P. J. Tabe-Ojong, “Digital tools and agricultural market transformation in Africa: Why are they not at scale yet, and what will it take to get there?,” </w:t>
      </w:r>
      <w:r>
        <w:rPr>
          <w:rFonts w:ascii="Arial" w:hAnsi="Arial" w:eastAsia="Arial" w:cs="Arial"/>
          <w:i/>
          <w:color w:val="000000"/>
          <w:highlight w:val="white"/>
        </w:rPr>
        <w:t>Food Policy</w:t>
      </w:r>
      <w:r>
        <w:rPr>
          <w:rFonts w:ascii="Arial" w:hAnsi="Arial" w:eastAsia="Arial" w:cs="Arial"/>
          <w:color w:val="000000"/>
          <w:highlight w:val="white"/>
        </w:rPr>
        <w:t>, vol. 116, p. 102439, Mar. 2023, doi: 10.1016/j.foodpol.2023.102439.</w:t>
      </w:r>
    </w:p>
    <w:p w14:paraId="05380DD3">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T. Daum, R. Villalba, O. Anidi, S. Masakhwe Mayienga, S. Gupta, R. Birner Uber for tractors? Opportunities and challenges of digital tools for tractor hire in India and Nigeria World Dev., 144 (2021)</w:t>
      </w:r>
    </w:p>
    <w:p w14:paraId="527717B7">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J.J. Okello, O.K. Kirui, Z.M. Gitonga Participation in ICT-based market information projects, smallholder farmers’ commercialisation, and agricultural income effects: findings from Kenya Dev. Practice, 30 (8) (2020), pp. 1043-1057</w:t>
      </w:r>
    </w:p>
    <w:p w14:paraId="3DD5ACEF">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T. Chikuni, F.T. Kilima Smallholder farmers' market participation and mobile phone-based market information services in Lilongwe, Malawi Electron. J. Inform. Syst. Dev. Countries, 85 (6) (2019), Article e12097</w:t>
      </w:r>
    </w:p>
    <w:p w14:paraId="4958246A">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J.B. Adewopo, G. Solano-Hermosilla, L. Colen, F. Micale Using crowd-sourced data for real-time monitoring of food prices during the COVID-19 pandemic: insights from a pilot project in northern Nigeria Global Food Security, 29 (2021), Article 100523</w:t>
      </w:r>
    </w:p>
    <w:p w14:paraId="5579DD4F">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V.H. Alulu, K.A. Abay, N.D. Jensen Feed the Future Accelerated Value Chain Development (AVCD) Program: KAZNET Pilot Data Report International Livestock Research Institute (ILRI), Nairobi, Kenya (2020)</w:t>
      </w:r>
    </w:p>
    <w:p w14:paraId="3F2C01A2">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S. Silvestri, M. Richard, B. Edward, G. Dharmesh, and R. Dannie, “Going digital in agriculture: how radio and SMS can scale-up smallholder participation in legume-based sustainable agricultural intensification practices and technologies in Tanzania,” International Journal of Agricultural Sustainability, vol. 19, no. 5–6, pp. 583–594, Apr. 2020, doi: 10.1080/14735903.2020.1750796.</w:t>
      </w:r>
    </w:p>
    <w:p w14:paraId="164766D7">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P. G. Garcia, D. H. Galeon, and T. D. Palaoag, “TEXTNology,” TEXTnology: A Managed SMS Knowledge Sharing for Farmers, pp. 279–284, Feb. 2018, doi: 10.1145/3185089.3185100.</w:t>
      </w:r>
    </w:p>
    <w:p w14:paraId="4C41086B">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FAO 2023 “Strengthening digital agricultural extension and advisory services in smallholder farming,” Jun. 2023. doi: 10.4060/cc6267en.</w:t>
      </w:r>
    </w:p>
    <w:p w14:paraId="75ECC131">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D. O. Abioye et al., “Farmers’ willingness to adopt digital application tools in Ogun State, Nigeria,” Journal of Strategy and Management, Aug. 2024, doi: 10.1108/jsma-06-2023-0135.</w:t>
      </w:r>
    </w:p>
    <w:p w14:paraId="16BC6A37">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N. P. Reeves, V. G. S. Y. R. Celi, A. N. Lutomia, J. W. Medendorp, J. Bello-Bravo, and B. Pittendrigh, “Agricultural education in Africa using YouTube multilingual animations: A retrospective feasibility study assessing costs to reach language-diverse populations,” PLoS ONE, vol. 19, no. 4, p. e0302136, Apr. 2024, doi: 10.1371/journal.pone.0302136.</w:t>
      </w:r>
    </w:p>
    <w:p w14:paraId="55438BBB">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 xml:space="preserve">Mwansa, G., Ngandu, M.R. &amp; Mkwambi, Z. Bridging the digital divide: exploring the challenges and solutions for digital exclusion in rural South Africa. Discov glob soc 3, 54 (2025). </w:t>
      </w:r>
      <w:r>
        <w:fldChar w:fldCharType="begin"/>
      </w:r>
      <w:r>
        <w:instrText xml:space="preserve"> HYPERLINK "https://doi.org/10.1007/s44282-025-00189-2" \h </w:instrText>
      </w:r>
      <w:r>
        <w:fldChar w:fldCharType="separate"/>
      </w:r>
      <w:r>
        <w:rPr>
          <w:rFonts w:ascii="Arial" w:hAnsi="Arial" w:eastAsia="Arial" w:cs="Arial"/>
          <w:color w:val="1155CC"/>
          <w:highlight w:val="white"/>
          <w:u w:val="single"/>
        </w:rPr>
        <w:t>https://doi.org/10.1007/s44282-025-00189-2</w:t>
      </w:r>
      <w:r>
        <w:rPr>
          <w:rFonts w:ascii="Arial" w:hAnsi="Arial" w:eastAsia="Arial" w:cs="Arial"/>
          <w:color w:val="1155CC"/>
          <w:highlight w:val="white"/>
          <w:u w:val="single"/>
        </w:rPr>
        <w:fldChar w:fldCharType="end"/>
      </w:r>
    </w:p>
    <w:p w14:paraId="1B547747">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S. Coggins et al., “How have smallholder farmers used digital extension tools? Developer and user voices from Sub-Saharan Africa, South Asia and Southeast Asia,” Global Food Security, vol. 32, p. 100577, Dec. 2021, doi: 10.1016/j.gfs.2021.100577.</w:t>
      </w:r>
    </w:p>
    <w:p w14:paraId="12709951">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A.-R. Abdulai, P. T. Quarshie, E. Duncan, and E. Fraser, “Is agricultural digitization a reality among smallholder farmers in Africa? Unpacking farmers’ lived realities of engagement with digital tools and services in rural Northern Ghana,” Agriculture &amp; Food Security, vol. 12, no. 1, May 2023, doi: 10.1186/s40066-023-00416-6.</w:t>
      </w:r>
    </w:p>
    <w:p w14:paraId="04B66696">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pPr>
      <w:r>
        <w:rPr>
          <w:rFonts w:ascii="Arial" w:hAnsi="Arial" w:eastAsia="Arial" w:cs="Arial"/>
          <w:color w:val="000000"/>
          <w:highlight w:val="white"/>
        </w:rPr>
        <w:t>M. S. Patel et al., “A randomized trial of behavioral nudges delivered through text messages to increase influenza vaccination among patients with an upcoming primary care visit,” American Journal of Health Promotion, vol. 37, no. 3, pp. 324–332, Oct. 2022, doi: 10.1177/08901171221131021.</w:t>
      </w:r>
    </w:p>
    <w:p w14:paraId="648A37C5">
      <w:pPr>
        <w:spacing w:before="280" w:after="280"/>
        <w:rPr>
          <w:rFonts w:ascii="Arial" w:hAnsi="Arial" w:eastAsia="Arial" w:cs="Arial"/>
          <w:color w:val="000000"/>
        </w:rPr>
      </w:pPr>
    </w:p>
    <w:p w14:paraId="258A7203"/>
    <w:p w14:paraId="4B4490B7"/>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6881CC45-ED42-41D6-85EE-43AE36CFB7ED}"/>
  </w:font>
  <w:font w:name="Arial">
    <w:panose1 w:val="020B0604020202020204"/>
    <w:charset w:val="00"/>
    <w:family w:val="swiss"/>
    <w:pitch w:val="default"/>
    <w:sig w:usb0="E0002EFF" w:usb1="C000785B" w:usb2="00000009" w:usb3="00000000" w:csb0="400001FF" w:csb1="FFFF0000"/>
    <w:embedRegular r:id="rId2" w:fontKey="{A6C455C6-655B-49CA-A4D3-63B648F03BF6}"/>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46D4FDF3-A195-4C0B-BE4A-C45D69AF62FB}"/>
  </w:font>
  <w:font w:name="Wingdings">
    <w:panose1 w:val="05000000000000000000"/>
    <w:charset w:val="02"/>
    <w:family w:val="auto"/>
    <w:pitch w:val="default"/>
    <w:sig w:usb0="00000000" w:usb1="00000000" w:usb2="00000000" w:usb3="00000000" w:csb0="80000000" w:csb1="00000000"/>
    <w:embedRegular r:id="rId4" w:fontKey="{F55C2E98-4D94-4467-BC15-14131284F50E}"/>
  </w:font>
  <w:font w:name="Calibri">
    <w:panose1 w:val="020F0502020204030204"/>
    <w:charset w:val="00"/>
    <w:family w:val="swiss"/>
    <w:pitch w:val="default"/>
    <w:sig w:usb0="E4002EFF" w:usb1="C000247B" w:usb2="00000009" w:usb3="00000000" w:csb0="200001FF" w:csb1="00000000"/>
    <w:embedRegular r:id="rId5" w:fontKey="{FDFA6471-747A-450F-9DB4-95E5B0A916EB}"/>
  </w:font>
  <w:font w:name="Calibri">
    <w:panose1 w:val="020F0502020204030204"/>
    <w:charset w:val="86"/>
    <w:family w:val="swiss"/>
    <w:pitch w:val="default"/>
    <w:sig w:usb0="E4002EFF" w:usb1="C000247B" w:usb2="00000009" w:usb3="00000000" w:csb0="200001FF" w:csb1="00000000"/>
    <w:embedRegular r:id="rId6" w:fontKey="{93769F96-C943-4C9C-A4C1-74A428B52BDE}"/>
  </w:font>
  <w:font w:name="Georgia">
    <w:panose1 w:val="02040502050405020303"/>
    <w:charset w:val="00"/>
    <w:family w:val="roman"/>
    <w:pitch w:val="default"/>
    <w:sig w:usb0="00000287" w:usb1="00000000" w:usb2="00000000" w:usb3="00000000" w:csb0="2000009F" w:csb1="00000000"/>
    <w:embedRegular r:id="rId7" w:fontKey="{496B7581-AC64-466D-8CFF-B9171787C709}"/>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8" w:fontKey="{B92A412F-5676-413C-A90A-6E5D64EE20DB}"/>
  </w:font>
  <w:font w:name="MS Mincho">
    <w:altName w:val="Yu Gothic UI"/>
    <w:panose1 w:val="02020609040205080304"/>
    <w:charset w:val="80"/>
    <w:family w:val="modern"/>
    <w:pitch w:val="default"/>
    <w:sig w:usb0="00000000" w:usb1="00000000" w:usb2="08000012" w:usb3="00000000" w:csb0="0002009F" w:csb1="00000000"/>
    <w:embedRegular r:id="rId9" w:fontKey="{57547B0F-5F8B-4C07-9FCE-581C8EC25765}"/>
  </w:font>
  <w:font w:name="Helvetica">
    <w:altName w:val="Arial"/>
    <w:panose1 w:val="020B0604020202020204"/>
    <w:charset w:val="00"/>
    <w:family w:val="swiss"/>
    <w:pitch w:val="default"/>
    <w:sig w:usb0="00000000" w:usb1="00000000" w:usb2="00000009" w:usb3="00000000" w:csb0="000001FF" w:csb1="00000000"/>
    <w:embedRegular r:id="rId10" w:fontKey="{7E7C0120-3097-4AE7-B4D3-8E6E8FA81865}"/>
  </w:font>
  <w:font w:name="Yu Gothic UI">
    <w:panose1 w:val="020B0500000000000000"/>
    <w:charset w:val="80"/>
    <w:family w:val="auto"/>
    <w:pitch w:val="default"/>
    <w:sig w:usb0="E00002FF" w:usb1="2AC7FDFF" w:usb2="00000016" w:usb3="00000000" w:csb0="2002009F" w:csb1="00000000"/>
  </w:font>
  <w:font w:name="Tahoma">
    <w:panose1 w:val="020B0604030504040204"/>
    <w:charset w:val="00"/>
    <w:family w:val="auto"/>
    <w:pitch w:val="default"/>
    <w:sig w:usb0="E1002EFF" w:usb1="C000605B" w:usb2="00000029" w:usb3="00000000" w:csb0="200101FF" w:csb1="20280000"/>
    <w:embedRegular r:id="rId11" w:fontKey="{DFBCEE18-D592-4C27-A71D-A7D227D9175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0BA706">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4CB82">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730F6">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77EAF">
    <w:pPr>
      <w:pStyle w:val="11"/>
    </w:pPr>
    <w:r>
      <w:pict>
        <v:shape id="PowerPlusWaterMarkObject2006480798" o:spid="_x0000_s2051" o:spt="136" type="#_x0000_t136" style="position:absolute;left:0pt;height:92.45pt;width:493.05pt;mso-position-horizontal:center;mso-position-horizontal-relative:margin;mso-position-vertical:center;mso-position-vertical-relative:margin;rotation:20643840f;z-index:-251654144;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DE54B7">
    <w:pPr>
      <w:pStyle w:val="11"/>
    </w:pPr>
    <w:r>
      <w:pict>
        <v:shape id="PowerPlusWaterMarkObject2006480797" o:spid="_x0000_s2050" o:spt="136" type="#_x0000_t136" style="position:absolute;left:0pt;height:92.45pt;width:493.05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71F8F">
    <w:pPr>
      <w:pStyle w:val="11"/>
    </w:pPr>
    <w:r>
      <w:pict>
        <v:shape id="PowerPlusWaterMarkObject2006480796" o:spid="_x0000_s2049" o:spt="136" type="#_x0000_t136" style="position:absolute;left:0pt;height:92.45pt;width:493.05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310A73"/>
    <w:multiLevelType w:val="multilevel"/>
    <w:tmpl w:val="0F310A73"/>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
    <w:nsid w:val="407D458E"/>
    <w:multiLevelType w:val="multilevel"/>
    <w:tmpl w:val="407D458E"/>
    <w:lvl w:ilvl="0" w:tentative="0">
      <w:start w:val="1"/>
      <w:numFmt w:val="decimal"/>
      <w:lvlText w:val="%1."/>
      <w:lvlJc w:val="left"/>
      <w:pPr>
        <w:ind w:left="0" w:firstLine="0"/>
      </w:p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
    <w:nsid w:val="4FE425E3"/>
    <w:multiLevelType w:val="multilevel"/>
    <w:tmpl w:val="4FE425E3"/>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embedTrueTypeFonts/>
  <w:documentProtection w:enforcement="0"/>
  <w:defaultTabStop w:val="720"/>
  <w:characterSpacingControl w:val="doNotCompress"/>
  <w:hdrShapeDefaults>
    <o:shapelayout v:ext="edit">
      <o:idmap v:ext="edit" data="2"/>
    </o:shapelayout>
  </w:hdrShapeDefault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41EB"/>
    <w:rsid w:val="000C41EB"/>
    <w:rsid w:val="00150E19"/>
    <w:rsid w:val="001D5DA8"/>
    <w:rsid w:val="00251BCE"/>
    <w:rsid w:val="00483605"/>
    <w:rsid w:val="004C6AFB"/>
    <w:rsid w:val="009F7782"/>
    <w:rsid w:val="00B267BF"/>
    <w:rsid w:val="00CE3C35"/>
    <w:rsid w:val="00D32F9C"/>
    <w:rsid w:val="00DC53FE"/>
    <w:rsid w:val="1A4F1C91"/>
    <w:rsid w:val="35B74AB3"/>
    <w:rsid w:val="36A66C89"/>
    <w:rsid w:val="577F6A9F"/>
    <w:rsid w:val="67917DD2"/>
    <w:rsid w:val="6E3277E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Calibri" w:cs="Calibri"/>
      <w:sz w:val="22"/>
      <w:szCs w:val="22"/>
      <w:lang w:val="en" w:eastAsia="en-GB" w:bidi="ar-SA"/>
    </w:rPr>
  </w:style>
  <w:style w:type="paragraph" w:styleId="2">
    <w:name w:val="heading 1"/>
    <w:basedOn w:val="1"/>
    <w:next w:val="1"/>
    <w:qFormat/>
    <w:uiPriority w:val="9"/>
    <w:pPr>
      <w:keepNext/>
      <w:keepLines/>
      <w:spacing w:before="480" w:after="120"/>
      <w:outlineLvl w:val="0"/>
    </w:pPr>
    <w:rPr>
      <w:b/>
      <w:sz w:val="48"/>
      <w:szCs w:val="48"/>
    </w:rPr>
  </w:style>
  <w:style w:type="paragraph" w:styleId="3">
    <w:name w:val="heading 2"/>
    <w:basedOn w:val="1"/>
    <w:next w:val="1"/>
    <w:unhideWhenUsed/>
    <w:qFormat/>
    <w:uiPriority w:val="9"/>
    <w:pPr>
      <w:pBdr>
        <w:top w:val="none" w:color="auto" w:sz="0" w:space="0"/>
        <w:left w:val="none" w:color="auto" w:sz="0" w:space="0"/>
        <w:bottom w:val="none" w:color="auto" w:sz="0" w:space="0"/>
        <w:right w:val="none" w:color="auto" w:sz="0" w:space="0"/>
        <w:between w:val="none" w:color="auto" w:sz="0" w:space="0"/>
      </w:pBdr>
      <w:spacing w:after="0" w:line="240" w:lineRule="auto"/>
      <w:outlineLvl w:val="1"/>
    </w:pPr>
    <w:rPr>
      <w:rFonts w:ascii="SimSun" w:hAnsi="SimSun" w:eastAsia="SimSun" w:cs="SimSun"/>
      <w:b/>
      <w:color w:val="000000"/>
      <w:sz w:val="36"/>
      <w:szCs w:val="36"/>
    </w:rPr>
  </w:style>
  <w:style w:type="paragraph" w:styleId="4">
    <w:name w:val="heading 3"/>
    <w:basedOn w:val="1"/>
    <w:next w:val="1"/>
    <w:unhideWhenUsed/>
    <w:qFormat/>
    <w:uiPriority w:val="9"/>
    <w:pPr>
      <w:pBdr>
        <w:top w:val="none" w:color="auto" w:sz="0" w:space="0"/>
        <w:left w:val="none" w:color="auto" w:sz="0" w:space="0"/>
        <w:bottom w:val="none" w:color="auto" w:sz="0" w:space="0"/>
        <w:right w:val="none" w:color="auto" w:sz="0" w:space="0"/>
        <w:between w:val="none" w:color="auto" w:sz="0" w:space="0"/>
      </w:pBdr>
      <w:spacing w:after="0" w:line="240" w:lineRule="auto"/>
      <w:outlineLvl w:val="2"/>
    </w:pPr>
    <w:rPr>
      <w:rFonts w:ascii="SimSun" w:hAnsi="SimSun" w:eastAsia="SimSun" w:cs="SimSun"/>
      <w:b/>
      <w:color w:val="000000"/>
      <w:sz w:val="27"/>
      <w:szCs w:val="27"/>
    </w:rPr>
  </w:style>
  <w:style w:type="paragraph" w:styleId="5">
    <w:name w:val="heading 4"/>
    <w:basedOn w:val="1"/>
    <w:next w:val="1"/>
    <w:unhideWhenUsed/>
    <w:qFormat/>
    <w:uiPriority w:val="9"/>
    <w:pPr>
      <w:pBdr>
        <w:top w:val="none" w:color="auto" w:sz="0" w:space="0"/>
        <w:left w:val="none" w:color="auto" w:sz="0" w:space="0"/>
        <w:bottom w:val="none" w:color="auto" w:sz="0" w:space="0"/>
        <w:right w:val="none" w:color="auto" w:sz="0" w:space="0"/>
        <w:between w:val="none" w:color="auto" w:sz="0" w:space="0"/>
      </w:pBdr>
      <w:spacing w:after="0" w:line="240" w:lineRule="auto"/>
      <w:outlineLvl w:val="3"/>
    </w:pPr>
    <w:rPr>
      <w:rFonts w:ascii="SimSun" w:hAnsi="SimSun" w:eastAsia="SimSun" w:cs="SimSun"/>
      <w:b/>
      <w:color w:val="000000"/>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footer"/>
    <w:basedOn w:val="1"/>
    <w:link w:val="20"/>
    <w:unhideWhenUsed/>
    <w:qFormat/>
    <w:uiPriority w:val="99"/>
    <w:pPr>
      <w:tabs>
        <w:tab w:val="center" w:pos="4680"/>
        <w:tab w:val="right" w:pos="9360"/>
      </w:tabs>
      <w:spacing w:after="0" w:line="240" w:lineRule="auto"/>
    </w:pPr>
  </w:style>
  <w:style w:type="paragraph" w:styleId="11">
    <w:name w:val="header"/>
    <w:basedOn w:val="1"/>
    <w:link w:val="19"/>
    <w:unhideWhenUsed/>
    <w:qFormat/>
    <w:uiPriority w:val="99"/>
    <w:pPr>
      <w:tabs>
        <w:tab w:val="center" w:pos="4680"/>
        <w:tab w:val="right" w:pos="9360"/>
      </w:tabs>
      <w:spacing w:after="0" w:line="240" w:lineRule="auto"/>
    </w:pPr>
  </w:style>
  <w:style w:type="paragraph" w:styleId="12">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3">
    <w:name w:val="Title"/>
    <w:basedOn w:val="1"/>
    <w:next w:val="1"/>
    <w:qFormat/>
    <w:uiPriority w:val="10"/>
    <w:pPr>
      <w:keepNext/>
      <w:keepLines/>
      <w:spacing w:before="480" w:after="120"/>
    </w:pPr>
    <w:rPr>
      <w:b/>
      <w:sz w:val="72"/>
      <w:szCs w:val="72"/>
    </w:rPr>
  </w:style>
  <w:style w:type="table" w:customStyle="1" w:styleId="14">
    <w:name w:val="TableNormal"/>
    <w:qFormat/>
    <w:uiPriority w:val="0"/>
    <w:tblPr>
      <w:tblCellMar>
        <w:top w:w="0" w:type="dxa"/>
        <w:left w:w="0" w:type="dxa"/>
        <w:bottom w:w="0" w:type="dxa"/>
        <w:right w:w="0" w:type="dxa"/>
      </w:tblCellMar>
    </w:tblPr>
  </w:style>
  <w:style w:type="table" w:customStyle="1" w:styleId="15">
    <w:name w:val="_Style 12"/>
    <w:basedOn w:val="14"/>
    <w:qFormat/>
    <w:uiPriority w:val="0"/>
    <w:tblPr>
      <w:tblCellMar>
        <w:left w:w="108" w:type="dxa"/>
        <w:right w:w="108" w:type="dxa"/>
      </w:tblCellMar>
    </w:tblPr>
  </w:style>
  <w:style w:type="table" w:customStyle="1" w:styleId="16">
    <w:name w:val="_Style 13"/>
    <w:basedOn w:val="14"/>
    <w:qFormat/>
    <w:uiPriority w:val="0"/>
    <w:tblPr>
      <w:tblCellMar>
        <w:top w:w="15" w:type="dxa"/>
        <w:left w:w="15" w:type="dxa"/>
        <w:bottom w:w="15" w:type="dxa"/>
        <w:right w:w="15" w:type="dxa"/>
      </w:tblCellMar>
    </w:tblPr>
  </w:style>
  <w:style w:type="table" w:customStyle="1" w:styleId="17">
    <w:name w:val="_Style 15"/>
    <w:basedOn w:val="14"/>
    <w:qFormat/>
    <w:uiPriority w:val="0"/>
    <w:tblPr>
      <w:tblCellMar>
        <w:left w:w="108" w:type="dxa"/>
        <w:right w:w="108" w:type="dxa"/>
      </w:tblCellMar>
    </w:tblPr>
  </w:style>
  <w:style w:type="table" w:customStyle="1" w:styleId="18">
    <w:name w:val="_Style 16"/>
    <w:basedOn w:val="14"/>
    <w:qFormat/>
    <w:uiPriority w:val="0"/>
    <w:tblPr>
      <w:tblCellMar>
        <w:top w:w="15" w:type="dxa"/>
        <w:left w:w="15" w:type="dxa"/>
        <w:bottom w:w="15" w:type="dxa"/>
        <w:right w:w="15" w:type="dxa"/>
      </w:tblCellMar>
    </w:tblPr>
  </w:style>
  <w:style w:type="character" w:customStyle="1" w:styleId="19">
    <w:name w:val="Header Char"/>
    <w:basedOn w:val="8"/>
    <w:link w:val="11"/>
    <w:qFormat/>
    <w:uiPriority w:val="99"/>
  </w:style>
  <w:style w:type="character" w:customStyle="1" w:styleId="20">
    <w:name w:val="Footer Char"/>
    <w:basedOn w:val="8"/>
    <w:link w:val="10"/>
    <w:qFormat/>
    <w:uiPriority w:val="99"/>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2051"/>
    <customShpInfo spid="_x0000_s2050"/>
    <customShpInfo spid="_x0000_s2049"/>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Mr/EDOeLNn0KmBjxfaPpZIFeuQ==">CgMxLjAyDmguOWYxMzFjcmdtZjVhOAByITFCbVBYQ0I0aHN6bE5RaFU4bGJUMHZIelZvWXJrLTFJbw==</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12</Pages>
  <Words>4650</Words>
  <Characters>26505</Characters>
  <Lines>220</Lines>
  <Paragraphs>62</Paragraphs>
  <TotalTime>1</TotalTime>
  <ScaleCrop>false</ScaleCrop>
  <LinksUpToDate>false</LinksUpToDate>
  <CharactersWithSpaces>31093</CharactersWithSpaces>
  <Application>WPS Office_12.2.0.21602_F1E327BC-269C-435d-A152-05C5408002CA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2025-07-09T04:38:00Z</dcterms:created>
  <dc:creator>gbola</dc:creator>
  <cp:lastModifiedBy>Emmanuel Ifeoluwa</cp:lastModifiedBy>
  <dcterms:modified xsi:type="dcterms:W3CDTF">2025-07-12T09:46:40Z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1033-12.2.0.21602</vt:lpwstr>
  </property>
  <property fmtid="{D5CDD505-2E9C-101B-9397-08002B2CF9AE}" pid="3" name="ICV">
    <vt:lpwstr>E59C2F9E2B2F4DCE8B6AB2C2BA801D05_12</vt:lpwstr>
  </property>
</Properties>
</file>