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E7B6" w14:textId="77777777" w:rsidR="00754C9A" w:rsidRDefault="00754C9A" w:rsidP="00441B6F">
      <w:pPr>
        <w:pStyle w:val="Titre"/>
        <w:spacing w:after="0"/>
        <w:jc w:val="both"/>
        <w:rPr>
          <w:rFonts w:ascii="Arial" w:hAnsi="Arial" w:cs="Arial"/>
        </w:rPr>
      </w:pPr>
    </w:p>
    <w:p w14:paraId="159332FE" w14:textId="77777777" w:rsidR="004D4B31" w:rsidRDefault="004D4B31" w:rsidP="008D2C0B">
      <w:pPr>
        <w:jc w:val="right"/>
        <w:rPr>
          <w:rFonts w:ascii="Arial" w:hAnsi="Arial" w:cs="Arial"/>
          <w:b/>
          <w:bCs/>
          <w:color w:val="000000"/>
          <w:sz w:val="36"/>
          <w:szCs w:val="36"/>
        </w:rPr>
      </w:pPr>
      <w:r w:rsidRPr="004D4B31">
        <w:rPr>
          <w:rFonts w:ascii="Arial" w:hAnsi="Arial" w:cs="Arial"/>
          <w:b/>
          <w:bCs/>
          <w:color w:val="000000"/>
          <w:sz w:val="36"/>
          <w:szCs w:val="36"/>
          <w:highlight w:val="yellow"/>
        </w:rPr>
        <w:t>Original article research</w:t>
      </w:r>
    </w:p>
    <w:p w14:paraId="6FC69365" w14:textId="77777777" w:rsidR="004D4B31" w:rsidRDefault="004D4B31" w:rsidP="008D2C0B">
      <w:pPr>
        <w:jc w:val="right"/>
        <w:rPr>
          <w:rFonts w:ascii="Arial" w:hAnsi="Arial" w:cs="Arial"/>
          <w:b/>
          <w:bCs/>
          <w:color w:val="000000"/>
          <w:sz w:val="36"/>
          <w:szCs w:val="36"/>
        </w:rPr>
      </w:pPr>
    </w:p>
    <w:p w14:paraId="17ACC9DF" w14:textId="4B17EC07" w:rsidR="008D2C0B" w:rsidRDefault="00C94077" w:rsidP="008D2C0B">
      <w:pPr>
        <w:jc w:val="right"/>
        <w:rPr>
          <w:rFonts w:ascii="Arial" w:hAnsi="Arial" w:cs="Arial"/>
          <w:b/>
          <w:bCs/>
          <w:color w:val="000000"/>
          <w:sz w:val="36"/>
          <w:szCs w:val="36"/>
        </w:rPr>
      </w:pPr>
      <w:r w:rsidRPr="00C94077">
        <w:rPr>
          <w:rFonts w:ascii="Arial" w:hAnsi="Arial" w:cs="Arial"/>
          <w:b/>
          <w:bCs/>
          <w:color w:val="000000"/>
          <w:sz w:val="36"/>
          <w:szCs w:val="36"/>
        </w:rPr>
        <w:t>Occurrence of Polycyclic Aromatic</w:t>
      </w:r>
    </w:p>
    <w:p w14:paraId="5DA7848D" w14:textId="77777777" w:rsidR="008D2C0B" w:rsidRDefault="00C94077" w:rsidP="008D2C0B">
      <w:pPr>
        <w:ind w:left="1440"/>
        <w:jc w:val="right"/>
        <w:rPr>
          <w:rFonts w:ascii="Arial" w:hAnsi="Arial" w:cs="Arial"/>
          <w:b/>
          <w:bCs/>
          <w:color w:val="000000"/>
          <w:sz w:val="36"/>
          <w:szCs w:val="36"/>
        </w:rPr>
      </w:pPr>
      <w:r w:rsidRPr="00C94077">
        <w:rPr>
          <w:rFonts w:ascii="Arial" w:hAnsi="Arial" w:cs="Arial"/>
          <w:b/>
          <w:bCs/>
          <w:color w:val="000000"/>
          <w:sz w:val="36"/>
          <w:szCs w:val="36"/>
        </w:rPr>
        <w:t xml:space="preserve">Hydrocarbons in the Waters from the </w:t>
      </w:r>
      <w:proofErr w:type="spellStart"/>
      <w:r w:rsidRPr="00C94077">
        <w:rPr>
          <w:rFonts w:ascii="Arial" w:hAnsi="Arial" w:cs="Arial"/>
          <w:b/>
          <w:bCs/>
          <w:color w:val="000000"/>
          <w:sz w:val="36"/>
          <w:szCs w:val="36"/>
        </w:rPr>
        <w:t>Déganobo</w:t>
      </w:r>
      <w:proofErr w:type="spellEnd"/>
      <w:r w:rsidRPr="00C94077">
        <w:rPr>
          <w:rFonts w:ascii="Arial" w:hAnsi="Arial" w:cs="Arial"/>
          <w:b/>
          <w:bCs/>
          <w:color w:val="000000"/>
          <w:sz w:val="36"/>
          <w:szCs w:val="36"/>
        </w:rPr>
        <w:t xml:space="preserve"> Lacustrine System </w:t>
      </w:r>
    </w:p>
    <w:p w14:paraId="71A46926" w14:textId="5A327B0D" w:rsidR="00C94077" w:rsidRPr="008D2C0B" w:rsidRDefault="00C94077" w:rsidP="008D2C0B">
      <w:pPr>
        <w:ind w:left="1440"/>
        <w:jc w:val="right"/>
        <w:rPr>
          <w:rFonts w:ascii="Arial" w:hAnsi="Arial" w:cs="Arial"/>
          <w:b/>
          <w:bCs/>
          <w:color w:val="000000"/>
          <w:sz w:val="36"/>
          <w:szCs w:val="36"/>
        </w:rPr>
      </w:pPr>
      <w:r w:rsidRPr="00C94077">
        <w:rPr>
          <w:rFonts w:ascii="Arial" w:hAnsi="Arial" w:cs="Arial"/>
          <w:b/>
          <w:bCs/>
          <w:color w:val="000000"/>
          <w:sz w:val="36"/>
          <w:szCs w:val="36"/>
        </w:rPr>
        <w:t xml:space="preserve">(Côte d’Ivoire): </w:t>
      </w:r>
      <w:r w:rsidR="008D2C0B">
        <w:rPr>
          <w:rFonts w:ascii="Arial" w:hAnsi="Arial" w:cs="Arial"/>
          <w:b/>
          <w:bCs/>
          <w:color w:val="000000"/>
          <w:sz w:val="36"/>
          <w:szCs w:val="36"/>
        </w:rPr>
        <w:t xml:space="preserve">Contamination Levels, </w:t>
      </w:r>
      <w:r w:rsidRPr="00C94077">
        <w:rPr>
          <w:rFonts w:ascii="Arial" w:hAnsi="Arial" w:cs="Arial"/>
          <w:b/>
          <w:bCs/>
          <w:color w:val="000000"/>
          <w:sz w:val="36"/>
          <w:szCs w:val="36"/>
        </w:rPr>
        <w:t xml:space="preserve">Sources, Ecological and Health Risks </w:t>
      </w:r>
    </w:p>
    <w:p w14:paraId="4C7FDBE0" w14:textId="77777777" w:rsidR="00A258C3" w:rsidRPr="00790ADA" w:rsidRDefault="00A258C3" w:rsidP="00441B6F">
      <w:pPr>
        <w:pStyle w:val="Author"/>
        <w:spacing w:line="240" w:lineRule="auto"/>
        <w:jc w:val="both"/>
        <w:rPr>
          <w:rFonts w:ascii="Arial" w:hAnsi="Arial" w:cs="Arial"/>
          <w:sz w:val="36"/>
        </w:rPr>
      </w:pPr>
    </w:p>
    <w:p w14:paraId="4A27EB3A" w14:textId="1AD1536E" w:rsidR="00B01FCD" w:rsidRPr="00FB3A86" w:rsidRDefault="00816D11" w:rsidP="00441B6F">
      <w:pPr>
        <w:pStyle w:val="Copyright"/>
        <w:spacing w:after="0" w:line="240" w:lineRule="auto"/>
        <w:jc w:val="both"/>
        <w:rPr>
          <w:rFonts w:ascii="Arial" w:hAnsi="Arial" w:cs="Arial"/>
        </w:rPr>
        <w:sectPr w:rsidR="00B01FCD" w:rsidRPr="00FB3A86" w:rsidSect="00D720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DFBF46" wp14:editId="207A9C77">
                <wp:extent cx="5303520" cy="635"/>
                <wp:effectExtent l="15240" t="13970" r="15240" b="14605"/>
                <wp:docPr id="7634547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C98B9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877DA3F" w14:textId="3B74C8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6"/>
      </w:tblGrid>
      <w:tr w:rsidR="00296529" w:rsidRPr="001E44FE" w14:paraId="784E6E00" w14:textId="77777777" w:rsidTr="00CD0B29">
        <w:tc>
          <w:tcPr>
            <w:tcW w:w="9396" w:type="dxa"/>
            <w:shd w:val="clear" w:color="auto" w:fill="F2F2F2"/>
          </w:tcPr>
          <w:p w14:paraId="4CE495AA" w14:textId="2A6CF6DB" w:rsidR="00505F06" w:rsidRPr="00BA635D" w:rsidRDefault="00CD0B29" w:rsidP="00BA635D">
            <w:pPr>
              <w:spacing w:line="259" w:lineRule="auto"/>
              <w:jc w:val="both"/>
              <w:rPr>
                <w:rFonts w:ascii="Times New Roman" w:hAnsi="Times New Roman"/>
                <w:lang w:val="en-GB"/>
              </w:rPr>
            </w:pPr>
            <w:r w:rsidRPr="00E95F3C">
              <w:rPr>
                <w:rFonts w:ascii="Times New Roman" w:hAnsi="Times New Roman"/>
                <w:lang w:val="en-GB"/>
              </w:rPr>
              <w:t xml:space="preserve">This study aimed to assess the contamination levels of the waters in the </w:t>
            </w:r>
            <w:proofErr w:type="spellStart"/>
            <w:r w:rsidRPr="00E95F3C">
              <w:rPr>
                <w:rFonts w:ascii="Times New Roman" w:hAnsi="Times New Roman"/>
                <w:lang w:val="en-GB"/>
              </w:rPr>
              <w:t>Déganobo</w:t>
            </w:r>
            <w:proofErr w:type="spellEnd"/>
            <w:r w:rsidRPr="00E95F3C">
              <w:rPr>
                <w:rFonts w:ascii="Times New Roman" w:hAnsi="Times New Roman"/>
                <w:lang w:val="en-GB"/>
              </w:rPr>
              <w:t xml:space="preserve"> lake system by the sixteen polycyclic aromatic hydrocarbons (PAHs) designated as priority pollutants by the U.S. Environmental Protection Agency. Furthermore, it sought to determine their origins within these waters and evaluate the associated ecological and human health risks.</w:t>
            </w:r>
            <w:r w:rsidRPr="00CD0B29">
              <w:rPr>
                <w:rFonts w:ascii="Times New Roman" w:hAnsi="Times New Roman"/>
                <w:lang w:val="en-GB"/>
              </w:rPr>
              <w:t xml:space="preserve"> </w:t>
            </w:r>
            <w:r w:rsidRPr="00E95F3C">
              <w:rPr>
                <w:rFonts w:ascii="Times New Roman" w:hAnsi="Times New Roman"/>
                <w:lang w:val="en-GB"/>
              </w:rPr>
              <w:t xml:space="preserve">To achieve this, 96 water samples were collected from the lake system over a one-year period, from August 2021 to July 2022, and subsequently </w:t>
            </w:r>
            <w:proofErr w:type="spellStart"/>
            <w:r w:rsidRPr="00E95F3C">
              <w:rPr>
                <w:rFonts w:ascii="Times New Roman" w:hAnsi="Times New Roman"/>
                <w:lang w:val="en-GB"/>
              </w:rPr>
              <w:t>analyzed</w:t>
            </w:r>
            <w:proofErr w:type="spellEnd"/>
            <w:r w:rsidRPr="00E95F3C">
              <w:rPr>
                <w:rFonts w:ascii="Times New Roman" w:hAnsi="Times New Roman"/>
                <w:lang w:val="en-GB"/>
              </w:rPr>
              <w:t xml:space="preserve"> in accordance with </w:t>
            </w:r>
            <w:r w:rsidRPr="00CD0B29">
              <w:rPr>
                <w:rFonts w:ascii="Times New Roman" w:hAnsi="Times New Roman"/>
                <w:lang w:val="en-GB"/>
              </w:rPr>
              <w:t xml:space="preserve">                  </w:t>
            </w:r>
            <w:r w:rsidRPr="00E95F3C">
              <w:rPr>
                <w:rFonts w:ascii="Times New Roman" w:hAnsi="Times New Roman"/>
                <w:lang w:val="en-GB"/>
              </w:rPr>
              <w:t>. The origin of PAHs in these waters was determined using molecular weight ratios of specific compounds. Contamination levels were assessed following the SEQ-Eau V2 guidelines. Ecological and human health risks were estimated using Directive 2013/39/EU, the hazard index, benzo[a]pyrene toxic equivalent quotients (TEQ-</w:t>
            </w:r>
            <w:proofErr w:type="spellStart"/>
            <w:r w:rsidRPr="00E95F3C">
              <w:rPr>
                <w:rFonts w:ascii="Times New Roman" w:hAnsi="Times New Roman"/>
                <w:lang w:val="en-GB"/>
              </w:rPr>
              <w:t>BaP</w:t>
            </w:r>
            <w:proofErr w:type="spellEnd"/>
            <w:r w:rsidRPr="00E95F3C">
              <w:rPr>
                <w:rFonts w:ascii="Times New Roman" w:hAnsi="Times New Roman"/>
                <w:lang w:val="en-GB"/>
              </w:rPr>
              <w:t>), benzo[a]pyrene mutagenic equivalent quotients (MEQ-</w:t>
            </w:r>
            <w:proofErr w:type="spellStart"/>
            <w:r w:rsidRPr="00E95F3C">
              <w:rPr>
                <w:rFonts w:ascii="Times New Roman" w:hAnsi="Times New Roman"/>
                <w:lang w:val="en-GB"/>
              </w:rPr>
              <w:t>BaP</w:t>
            </w:r>
            <w:proofErr w:type="spellEnd"/>
            <w:r w:rsidRPr="00E95F3C">
              <w:rPr>
                <w:rFonts w:ascii="Times New Roman" w:hAnsi="Times New Roman"/>
                <w:lang w:val="en-GB"/>
              </w:rPr>
              <w:t xml:space="preserve">), the incremental risk-related </w:t>
            </w:r>
            <w:proofErr w:type="spellStart"/>
            <w:r w:rsidRPr="00E95F3C">
              <w:rPr>
                <w:rFonts w:ascii="Times New Roman" w:hAnsi="Times New Roman"/>
                <w:lang w:val="en-GB"/>
              </w:rPr>
              <w:t>BaP</w:t>
            </w:r>
            <w:proofErr w:type="spellEnd"/>
            <w:r w:rsidRPr="00E95F3C">
              <w:rPr>
                <w:rFonts w:ascii="Times New Roman" w:hAnsi="Times New Roman"/>
                <w:lang w:val="en-GB"/>
              </w:rPr>
              <w:t xml:space="preserve"> dose (RI-</w:t>
            </w:r>
            <w:proofErr w:type="spellStart"/>
            <w:r w:rsidRPr="00E95F3C">
              <w:rPr>
                <w:rFonts w:ascii="Times New Roman" w:hAnsi="Times New Roman"/>
                <w:lang w:val="en-GB"/>
              </w:rPr>
              <w:t>BaP</w:t>
            </w:r>
            <w:proofErr w:type="spellEnd"/>
            <w:r w:rsidRPr="00E95F3C">
              <w:rPr>
                <w:rFonts w:ascii="Times New Roman" w:hAnsi="Times New Roman"/>
                <w:lang w:val="en-GB"/>
              </w:rPr>
              <w:t xml:space="preserve"> dose), and incremental lifetime cancerogenic risks.</w:t>
            </w:r>
            <w:r w:rsidRPr="00CD0B29">
              <w:rPr>
                <w:rFonts w:ascii="Times New Roman" w:hAnsi="Times New Roman"/>
                <w:lang w:val="en-GB"/>
              </w:rPr>
              <w:t xml:space="preserve"> </w:t>
            </w:r>
            <w:r w:rsidRPr="00E95F3C">
              <w:rPr>
                <w:rFonts w:ascii="Times New Roman" w:hAnsi="Times New Roman"/>
                <w:lang w:val="en-GB"/>
              </w:rPr>
              <w:t>Phenanthrene was found to be the most abundant PAH in these waters, with an average concentration of (10.3±1.5) µg/L, while benzo(j)fluoranthene was the least abundant, at (0.02±0.01) µg/L. Low molecular weight PAHs (2 to 3 benzene rings) predominated, reaching (20.2±2.8) µg/L, whereas high molecular weight PAHs were less represented, at (2.1±0.1) µg/L. The origin of PAHs in these waters was primarily pyrolytic.</w:t>
            </w:r>
            <w:r w:rsidRPr="00CD0B29">
              <w:rPr>
                <w:rFonts w:ascii="Times New Roman" w:hAnsi="Times New Roman"/>
                <w:lang w:val="en-GB"/>
              </w:rPr>
              <w:t xml:space="preserve"> </w:t>
            </w:r>
            <w:r w:rsidRPr="00E95F3C">
              <w:rPr>
                <w:rFonts w:ascii="Times New Roman" w:hAnsi="Times New Roman"/>
                <w:lang w:val="en-GB"/>
              </w:rPr>
              <w:t xml:space="preserve">The water quality was deemed poor, mainly due to the presence of benzo(b)fluoranthene ((1.7±0.3) µg/L) and </w:t>
            </w:r>
            <w:proofErr w:type="spellStart"/>
            <w:r w:rsidRPr="00E95F3C">
              <w:rPr>
                <w:rFonts w:ascii="Times New Roman" w:hAnsi="Times New Roman"/>
                <w:lang w:val="en-GB"/>
              </w:rPr>
              <w:t>indeno</w:t>
            </w:r>
            <w:proofErr w:type="spellEnd"/>
            <w:r w:rsidRPr="00E95F3C">
              <w:rPr>
                <w:rFonts w:ascii="Times New Roman" w:hAnsi="Times New Roman"/>
                <w:lang w:val="en-GB"/>
              </w:rPr>
              <w:t>(1,2,3-</w:t>
            </w:r>
            <w:proofErr w:type="gramStart"/>
            <w:r w:rsidRPr="00E95F3C">
              <w:rPr>
                <w:rFonts w:ascii="Times New Roman" w:hAnsi="Times New Roman"/>
                <w:lang w:val="en-GB"/>
              </w:rPr>
              <w:t>c,d</w:t>
            </w:r>
            <w:proofErr w:type="gramEnd"/>
            <w:r w:rsidRPr="00E95F3C">
              <w:rPr>
                <w:rFonts w:ascii="Times New Roman" w:hAnsi="Times New Roman"/>
                <w:lang w:val="en-GB"/>
              </w:rPr>
              <w:t>)pyrene ((0.5±0.1) µg/L). Overall, the associated health risks, particularly carcinogenic and mutagenic effects of these PAHs on the ecosystem's biota and human health, were found to be elevated.</w:t>
            </w:r>
          </w:p>
        </w:tc>
      </w:tr>
    </w:tbl>
    <w:p w14:paraId="73DEEEA2" w14:textId="77777777" w:rsidR="00636EB2" w:rsidRDefault="00636EB2" w:rsidP="00441B6F">
      <w:pPr>
        <w:pStyle w:val="Body"/>
        <w:spacing w:after="0"/>
        <w:rPr>
          <w:rFonts w:ascii="Arial" w:hAnsi="Arial" w:cs="Arial"/>
          <w:i/>
        </w:rPr>
      </w:pPr>
    </w:p>
    <w:p w14:paraId="6E8269F7" w14:textId="0254CCDE" w:rsidR="00BA635D" w:rsidRDefault="00A24E7E" w:rsidP="00BA635D">
      <w:pPr>
        <w:pStyle w:val="Body"/>
        <w:spacing w:after="0"/>
        <w:rPr>
          <w:rFonts w:ascii="Arial" w:hAnsi="Arial" w:cs="Arial"/>
          <w:i/>
        </w:rPr>
      </w:pPr>
      <w:r>
        <w:rPr>
          <w:rFonts w:ascii="Arial" w:hAnsi="Arial" w:cs="Arial"/>
          <w:i/>
        </w:rPr>
        <w:t xml:space="preserve">Keywords: </w:t>
      </w:r>
      <w:r w:rsidR="00BA635D">
        <w:rPr>
          <w:rFonts w:ascii="Arial" w:hAnsi="Arial" w:cs="Arial"/>
          <w:i/>
        </w:rPr>
        <w:t xml:space="preserve">Côte d’Ivoire, </w:t>
      </w:r>
      <w:r w:rsidR="00D43248">
        <w:rPr>
          <w:rFonts w:ascii="Arial" w:hAnsi="Arial" w:cs="Arial"/>
          <w:i/>
        </w:rPr>
        <w:t>City of San-</w:t>
      </w:r>
      <w:proofErr w:type="spellStart"/>
      <w:r w:rsidR="00D43248">
        <w:rPr>
          <w:rFonts w:ascii="Arial" w:hAnsi="Arial" w:cs="Arial"/>
          <w:i/>
        </w:rPr>
        <w:t>pédro</w:t>
      </w:r>
      <w:proofErr w:type="spellEnd"/>
      <w:r w:rsidR="00D43248">
        <w:rPr>
          <w:rFonts w:ascii="Arial" w:hAnsi="Arial" w:cs="Arial"/>
          <w:i/>
        </w:rPr>
        <w:t xml:space="preserve">, </w:t>
      </w:r>
      <w:r w:rsidR="00BA635D">
        <w:rPr>
          <w:rFonts w:ascii="Arial" w:hAnsi="Arial" w:cs="Arial"/>
          <w:i/>
        </w:rPr>
        <w:t xml:space="preserve">Hydrocarbons, Lake </w:t>
      </w:r>
      <w:r w:rsidR="00D43248">
        <w:rPr>
          <w:rFonts w:ascii="Arial" w:hAnsi="Arial" w:cs="Arial"/>
          <w:i/>
        </w:rPr>
        <w:t>pollut</w:t>
      </w:r>
      <w:r w:rsidR="00BA635D">
        <w:rPr>
          <w:rFonts w:ascii="Arial" w:hAnsi="Arial" w:cs="Arial"/>
          <w:i/>
        </w:rPr>
        <w:t>ion, Organic pollution,</w:t>
      </w:r>
      <w:r w:rsidR="00D43248">
        <w:rPr>
          <w:rFonts w:ascii="Arial" w:hAnsi="Arial" w:cs="Arial"/>
          <w:i/>
        </w:rPr>
        <w:t xml:space="preserve"> </w:t>
      </w:r>
      <w:r w:rsidR="00BA635D">
        <w:rPr>
          <w:rFonts w:ascii="Arial" w:hAnsi="Arial" w:cs="Arial"/>
          <w:i/>
        </w:rPr>
        <w:t xml:space="preserve">Surface </w:t>
      </w:r>
    </w:p>
    <w:p w14:paraId="4A75A7C6" w14:textId="4DD7E53E" w:rsidR="00A24E7E" w:rsidRDefault="00BA635D" w:rsidP="00BA635D">
      <w:pPr>
        <w:pStyle w:val="Body"/>
        <w:spacing w:after="0"/>
        <w:ind w:firstLine="720"/>
        <w:rPr>
          <w:rFonts w:ascii="Arial" w:hAnsi="Arial" w:cs="Arial"/>
          <w:i/>
        </w:rPr>
      </w:pPr>
      <w:r>
        <w:rPr>
          <w:rFonts w:ascii="Arial" w:hAnsi="Arial" w:cs="Arial"/>
          <w:i/>
        </w:rPr>
        <w:t>waters.</w:t>
      </w:r>
    </w:p>
    <w:p w14:paraId="1EB23890" w14:textId="77777777" w:rsidR="00790ADA" w:rsidRDefault="00790ADA" w:rsidP="00441B6F">
      <w:pPr>
        <w:pStyle w:val="Body"/>
        <w:spacing w:after="0"/>
        <w:rPr>
          <w:rFonts w:ascii="Arial" w:hAnsi="Arial" w:cs="Arial"/>
          <w:i/>
        </w:rPr>
      </w:pPr>
    </w:p>
    <w:p w14:paraId="45A3CB6B" w14:textId="6089E6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CA8BAC6" w14:textId="689434C1" w:rsidR="00B11F5C" w:rsidRPr="00B11F5C" w:rsidRDefault="00B11F5C" w:rsidP="00B11F5C">
      <w:pPr>
        <w:jc w:val="both"/>
        <w:rPr>
          <w:rFonts w:ascii="Arial" w:hAnsi="Arial" w:cs="Arial"/>
        </w:rPr>
      </w:pPr>
      <w:r w:rsidRPr="00B11F5C">
        <w:rPr>
          <w:rFonts w:ascii="Arial" w:hAnsi="Arial" w:cs="Arial"/>
        </w:rPr>
        <w:t xml:space="preserve">Naturally occurring in the environment (Fan et al., 2025), hydrocarbons have gained increasing prominence within numerous ecosystems since the advent of the Second Industrial Revolution, spanning from the late 19th to the early 20th century. This escalation is attributed to the rapid development of new technologies, the emergence of innovative industrial sectors, and the widespread adoption of transport modes predominantly powered by petroleum and its derivatives (Fan </w:t>
      </w:r>
      <w:r w:rsidR="00CF489F">
        <w:rPr>
          <w:rFonts w:ascii="Arial" w:hAnsi="Arial" w:cs="Arial"/>
        </w:rPr>
        <w:t xml:space="preserve">et al., 2025; </w:t>
      </w:r>
      <w:r w:rsidRPr="00B11F5C">
        <w:rPr>
          <w:rFonts w:ascii="Arial" w:hAnsi="Arial" w:cs="Arial"/>
        </w:rPr>
        <w:t>Delcourt and Rocle, 2017). The substantial presence of these organic compounds in ecosystems constitutes a major source of ecological and health risks (</w:t>
      </w:r>
      <w:proofErr w:type="spellStart"/>
      <w:r w:rsidRPr="00B11F5C">
        <w:rPr>
          <w:rFonts w:ascii="Arial" w:hAnsi="Arial" w:cs="Arial"/>
        </w:rPr>
        <w:t>Elobaid</w:t>
      </w:r>
      <w:proofErr w:type="spellEnd"/>
      <w:r w:rsidRPr="00B11F5C">
        <w:rPr>
          <w:rFonts w:ascii="Arial" w:hAnsi="Arial" w:cs="Arial"/>
        </w:rPr>
        <w:t xml:space="preserve"> et al., 2025; Jin et al., 2025).</w:t>
      </w:r>
    </w:p>
    <w:p w14:paraId="4011FD2B" w14:textId="77777777" w:rsidR="00B11F5C" w:rsidRPr="00B11F5C" w:rsidRDefault="00B11F5C" w:rsidP="00B11F5C">
      <w:pPr>
        <w:jc w:val="both"/>
        <w:rPr>
          <w:rFonts w:ascii="Arial" w:hAnsi="Arial" w:cs="Arial"/>
        </w:rPr>
      </w:pPr>
      <w:r w:rsidRPr="00B11F5C">
        <w:rPr>
          <w:rFonts w:ascii="Arial" w:hAnsi="Arial" w:cs="Arial"/>
        </w:rPr>
        <w:t xml:space="preserve">This concern is particularly salient for Polycyclic Aromatic Hydrocarbons (PAHs). These compounds, defined by the presence of at least two fused aromatic rings, are characterized by their low biodegradability, rendering them highly persistent in the environment. Due to this persistence, PAHs exhibit a strong capacity for bioaccumulation in living organisms and biomagnification throughout the food chain, thereby exposing all species, including humans, to serious toxicological risks. Their carcinogenic and mutagenic potential is </w:t>
      </w:r>
      <w:r w:rsidRPr="00B11F5C">
        <w:rPr>
          <w:rFonts w:ascii="Arial" w:hAnsi="Arial" w:cs="Arial"/>
        </w:rPr>
        <w:lastRenderedPageBreak/>
        <w:t>now well-established (Moon et al., 2024; Qiao et M., 2025), designating them as priority pollutants requiring vigilant monitoring across various ecosystems. In this regard, the US-EPA (1982) identified a list of 16 PAHs deemed priority for environmental surveillance. These compounds include: acenaphthene (ACP), acenaphthylene (ACPT), anthracene (ANT), benzo(a)anthracene (</w:t>
      </w:r>
      <w:proofErr w:type="spellStart"/>
      <w:r w:rsidRPr="00B11F5C">
        <w:rPr>
          <w:rFonts w:ascii="Arial" w:hAnsi="Arial" w:cs="Arial"/>
        </w:rPr>
        <w:t>BaA</w:t>
      </w:r>
      <w:proofErr w:type="spellEnd"/>
      <w:r w:rsidRPr="00B11F5C">
        <w:rPr>
          <w:rFonts w:ascii="Arial" w:hAnsi="Arial" w:cs="Arial"/>
        </w:rPr>
        <w:t>), benzo(a)pyrene (</w:t>
      </w:r>
      <w:proofErr w:type="spellStart"/>
      <w:r w:rsidRPr="00B11F5C">
        <w:rPr>
          <w:rFonts w:ascii="Arial" w:hAnsi="Arial" w:cs="Arial"/>
        </w:rPr>
        <w:t>BaP</w:t>
      </w:r>
      <w:proofErr w:type="spellEnd"/>
      <w:r w:rsidRPr="00B11F5C">
        <w:rPr>
          <w:rFonts w:ascii="Arial" w:hAnsi="Arial" w:cs="Arial"/>
        </w:rPr>
        <w:t>), benzo(b)fluoranthene (</w:t>
      </w:r>
      <w:proofErr w:type="spellStart"/>
      <w:r w:rsidRPr="00B11F5C">
        <w:rPr>
          <w:rFonts w:ascii="Arial" w:hAnsi="Arial" w:cs="Arial"/>
        </w:rPr>
        <w:t>BbF</w:t>
      </w:r>
      <w:proofErr w:type="spellEnd"/>
      <w:r w:rsidRPr="00B11F5C">
        <w:rPr>
          <w:rFonts w:ascii="Arial" w:hAnsi="Arial" w:cs="Arial"/>
        </w:rPr>
        <w:t>), benzo(k)fluoranthene (</w:t>
      </w:r>
      <w:proofErr w:type="spellStart"/>
      <w:r w:rsidRPr="00B11F5C">
        <w:rPr>
          <w:rFonts w:ascii="Arial" w:hAnsi="Arial" w:cs="Arial"/>
        </w:rPr>
        <w:t>BkF</w:t>
      </w:r>
      <w:proofErr w:type="spellEnd"/>
      <w:r w:rsidRPr="00B11F5C">
        <w:rPr>
          <w:rFonts w:ascii="Arial" w:hAnsi="Arial" w:cs="Arial"/>
        </w:rPr>
        <w:t>), benzo(</w:t>
      </w:r>
      <w:proofErr w:type="spellStart"/>
      <w:r w:rsidRPr="00B11F5C">
        <w:rPr>
          <w:rFonts w:ascii="Arial" w:hAnsi="Arial" w:cs="Arial"/>
        </w:rPr>
        <w:t>g,h,i</w:t>
      </w:r>
      <w:proofErr w:type="spellEnd"/>
      <w:r w:rsidRPr="00B11F5C">
        <w:rPr>
          <w:rFonts w:ascii="Arial" w:hAnsi="Arial" w:cs="Arial"/>
        </w:rPr>
        <w:t>)perylene (B(</w:t>
      </w:r>
      <w:proofErr w:type="spellStart"/>
      <w:r w:rsidRPr="00B11F5C">
        <w:rPr>
          <w:rFonts w:ascii="Arial" w:hAnsi="Arial" w:cs="Arial"/>
        </w:rPr>
        <w:t>g,h,i</w:t>
      </w:r>
      <w:proofErr w:type="spellEnd"/>
      <w:r w:rsidRPr="00B11F5C">
        <w:rPr>
          <w:rFonts w:ascii="Arial" w:hAnsi="Arial" w:cs="Arial"/>
        </w:rPr>
        <w:t>)P), chrysene (CHRY), dibenzo[</w:t>
      </w:r>
      <w:proofErr w:type="spellStart"/>
      <w:r w:rsidRPr="00B11F5C">
        <w:rPr>
          <w:rFonts w:ascii="Arial" w:hAnsi="Arial" w:cs="Arial"/>
        </w:rPr>
        <w:t>a,h</w:t>
      </w:r>
      <w:proofErr w:type="spellEnd"/>
      <w:r w:rsidRPr="00B11F5C">
        <w:rPr>
          <w:rFonts w:ascii="Arial" w:hAnsi="Arial" w:cs="Arial"/>
        </w:rPr>
        <w:t>]anthracene (D[</w:t>
      </w:r>
      <w:proofErr w:type="spellStart"/>
      <w:r w:rsidRPr="00B11F5C">
        <w:rPr>
          <w:rFonts w:ascii="Arial" w:hAnsi="Arial" w:cs="Arial"/>
        </w:rPr>
        <w:t>a,h</w:t>
      </w:r>
      <w:proofErr w:type="spellEnd"/>
      <w:r w:rsidRPr="00B11F5C">
        <w:rPr>
          <w:rFonts w:ascii="Arial" w:hAnsi="Arial" w:cs="Arial"/>
        </w:rPr>
        <w:t xml:space="preserve">]A), fluorene (FLR), fluoranthene (FLRT), </w:t>
      </w:r>
      <w:proofErr w:type="spellStart"/>
      <w:r w:rsidRPr="00B11F5C">
        <w:rPr>
          <w:rFonts w:ascii="Arial" w:hAnsi="Arial" w:cs="Arial"/>
        </w:rPr>
        <w:t>indeno</w:t>
      </w:r>
      <w:proofErr w:type="spellEnd"/>
      <w:r w:rsidRPr="00B11F5C">
        <w:rPr>
          <w:rFonts w:ascii="Arial" w:hAnsi="Arial" w:cs="Arial"/>
        </w:rPr>
        <w:t>[1,2,3-c,d]pyrene (I(1,2,3-c,d)P), naphthalene (NPT), phenanthrene (PNT), and pyrene (PYR).</w:t>
      </w:r>
    </w:p>
    <w:p w14:paraId="0D2A4027" w14:textId="3681D4A8" w:rsidR="00B11F5C" w:rsidRPr="00B11F5C" w:rsidRDefault="00B11F5C" w:rsidP="00B11F5C">
      <w:pPr>
        <w:jc w:val="both"/>
        <w:rPr>
          <w:rFonts w:ascii="Arial" w:hAnsi="Arial" w:cs="Arial"/>
        </w:rPr>
      </w:pPr>
      <w:r w:rsidRPr="00B11F5C">
        <w:rPr>
          <w:rFonts w:ascii="Arial" w:hAnsi="Arial" w:cs="Arial"/>
        </w:rPr>
        <w:t>Recent studies have highlighted a relatively high level of surface water pollution by these 16 PAHs, raising significant ecological and health implications. Probing examples include the work of Amine et al. (2024), Chen et al. (2025), and Wang et al. (202</w:t>
      </w:r>
      <w:r w:rsidR="00A04875">
        <w:rPr>
          <w:rFonts w:ascii="Arial" w:hAnsi="Arial" w:cs="Arial"/>
        </w:rPr>
        <w:t>4</w:t>
      </w:r>
      <w:r w:rsidRPr="00B11F5C">
        <w:rPr>
          <w:rFonts w:ascii="Arial" w:hAnsi="Arial" w:cs="Arial"/>
        </w:rPr>
        <w:t>). Broadly, these investigations reveal that the distribution and fate of PAHs in surface waters are contingent upon several determining factors. These encompass the geographical environment, the nature and intensity of industrial activities, the volume of road traffic, surface runoff, the physicochemical properties of water and sediments, biological activity, and hydroclimatic conditions (Cerciello et al., 2025; Wang et al., 2024). The distribution of PAHs in surface waters is also notably influenced by their number of benzene rings, as emphasized by Chen et al. (2025).</w:t>
      </w:r>
    </w:p>
    <w:p w14:paraId="28EBD05E" w14:textId="77777777" w:rsidR="00B11F5C" w:rsidRPr="00B11F5C" w:rsidRDefault="00B11F5C" w:rsidP="00B11F5C">
      <w:pPr>
        <w:jc w:val="both"/>
        <w:rPr>
          <w:rFonts w:ascii="Arial" w:hAnsi="Arial" w:cs="Arial"/>
        </w:rPr>
      </w:pPr>
      <w:r w:rsidRPr="00B11F5C">
        <w:rPr>
          <w:rFonts w:ascii="Arial" w:hAnsi="Arial" w:cs="Arial"/>
        </w:rPr>
        <w:t xml:space="preserve">Hydrocarbon Pollution in Côte d'Ivoire: Focus on PAHs in the </w:t>
      </w:r>
      <w:proofErr w:type="spellStart"/>
      <w:r w:rsidRPr="00B11F5C">
        <w:rPr>
          <w:rFonts w:ascii="Arial" w:hAnsi="Arial" w:cs="Arial"/>
        </w:rPr>
        <w:t>Déganobo</w:t>
      </w:r>
      <w:proofErr w:type="spellEnd"/>
      <w:r w:rsidRPr="00B11F5C">
        <w:rPr>
          <w:rFonts w:ascii="Arial" w:hAnsi="Arial" w:cs="Arial"/>
        </w:rPr>
        <w:t xml:space="preserve"> Lake System</w:t>
      </w:r>
    </w:p>
    <w:p w14:paraId="79A56276" w14:textId="77777777" w:rsidR="00B11F5C" w:rsidRPr="0051724C" w:rsidRDefault="00B11F5C" w:rsidP="00B11F5C">
      <w:pPr>
        <w:jc w:val="both"/>
        <w:rPr>
          <w:rFonts w:ascii="Times New Roman" w:hAnsi="Times New Roman"/>
          <w:sz w:val="24"/>
          <w:szCs w:val="24"/>
        </w:rPr>
      </w:pPr>
      <w:r w:rsidRPr="00B11F5C">
        <w:rPr>
          <w:rFonts w:ascii="Arial" w:hAnsi="Arial" w:cs="Arial"/>
        </w:rPr>
        <w:t xml:space="preserve">In Côte d'Ivoire, initial investigations into surface water pollution by hydrocarbons in general, and by PAHs in particular, along with their ecological and health implications, commenced in the 1970s with the work of Binet and Marchal (1970). This was followed by Marchand and Martin (1985), who focused on sediments in the </w:t>
      </w:r>
      <w:proofErr w:type="spellStart"/>
      <w:r w:rsidRPr="00B11F5C">
        <w:rPr>
          <w:rFonts w:ascii="Arial" w:hAnsi="Arial" w:cs="Arial"/>
        </w:rPr>
        <w:t>Ébrié</w:t>
      </w:r>
      <w:proofErr w:type="spellEnd"/>
      <w:r w:rsidRPr="00B11F5C">
        <w:rPr>
          <w:rFonts w:ascii="Arial" w:hAnsi="Arial" w:cs="Arial"/>
        </w:rPr>
        <w:t xml:space="preserve"> Lagoon. Currently, several recent scientific studies have addressed this form of pollution within Ivorian aquatic ecosystems. Among these, the works of Konan et al. (2020), </w:t>
      </w:r>
      <w:proofErr w:type="spellStart"/>
      <w:r w:rsidRPr="00B11F5C">
        <w:rPr>
          <w:rFonts w:ascii="Arial" w:hAnsi="Arial" w:cs="Arial"/>
        </w:rPr>
        <w:t>Gnonsoro</w:t>
      </w:r>
      <w:proofErr w:type="spellEnd"/>
      <w:r w:rsidRPr="00B11F5C">
        <w:rPr>
          <w:rFonts w:ascii="Arial" w:hAnsi="Arial" w:cs="Arial"/>
        </w:rPr>
        <w:t xml:space="preserve"> et al. (2023), and </w:t>
      </w:r>
      <w:proofErr w:type="spellStart"/>
      <w:r w:rsidRPr="00B11F5C">
        <w:rPr>
          <w:rFonts w:ascii="Arial" w:hAnsi="Arial" w:cs="Arial"/>
        </w:rPr>
        <w:t>Irié</w:t>
      </w:r>
      <w:proofErr w:type="spellEnd"/>
      <w:r w:rsidRPr="00B11F5C">
        <w:rPr>
          <w:rFonts w:ascii="Arial" w:hAnsi="Arial" w:cs="Arial"/>
        </w:rPr>
        <w:t xml:space="preserve"> et al. (2024), all conducted in the </w:t>
      </w:r>
      <w:proofErr w:type="spellStart"/>
      <w:r w:rsidRPr="00B11F5C">
        <w:rPr>
          <w:rFonts w:ascii="Arial" w:hAnsi="Arial" w:cs="Arial"/>
        </w:rPr>
        <w:t>Ébrié</w:t>
      </w:r>
      <w:proofErr w:type="spellEnd"/>
      <w:r w:rsidRPr="00B11F5C">
        <w:rPr>
          <w:rFonts w:ascii="Arial" w:hAnsi="Arial" w:cs="Arial"/>
        </w:rPr>
        <w:t xml:space="preserve"> Lagoon, have highlighted its alarming condition concerning priority PAHs. This type of research urgently needs to be extended to other unexplored Ivorian surface waters. The </w:t>
      </w:r>
      <w:proofErr w:type="spellStart"/>
      <w:r w:rsidRPr="00B11F5C">
        <w:rPr>
          <w:rFonts w:ascii="Arial" w:hAnsi="Arial" w:cs="Arial"/>
        </w:rPr>
        <w:t>Déganobo</w:t>
      </w:r>
      <w:proofErr w:type="spellEnd"/>
      <w:r w:rsidRPr="00B11F5C">
        <w:rPr>
          <w:rFonts w:ascii="Arial" w:hAnsi="Arial" w:cs="Arial"/>
        </w:rPr>
        <w:t xml:space="preserve"> lacustrine system, for instance, represents a vital aquatic ecosystem for the city of San-</w:t>
      </w:r>
      <w:proofErr w:type="spellStart"/>
      <w:r w:rsidRPr="00B11F5C">
        <w:rPr>
          <w:rFonts w:ascii="Arial" w:hAnsi="Arial" w:cs="Arial"/>
        </w:rPr>
        <w:t>Pédro</w:t>
      </w:r>
      <w:proofErr w:type="spellEnd"/>
      <w:r w:rsidRPr="00B11F5C">
        <w:rPr>
          <w:rFonts w:ascii="Arial" w:hAnsi="Arial" w:cs="Arial"/>
        </w:rPr>
        <w:t xml:space="preserve"> due to its self-purification capacity, socioeconomic significance, and rich biodiversity. However, this ecosystem is subject to severe anthropogenic pressures. One consequence of these pressures is its significant chemical pollution (Konan and Yao, 2023a), particularly from pesticides (Konan and Yao, 2023b), with serious implications for four fish species (Konan and Yao, 2025). Therefore, in-depth investigations in this direction are crucial. It is within this context that the present study was conducted. Its primary objective is to assess the level of PAH contamination in the waters of this lake system and to determine its ecological and health implications. Secondary objectives include determining the concentrations of the 16 PAHs deemed priority by the US-EPA (1982), thereby inferring water quality and evaluating carcinogenic and mutagenic risks for its biota and, by extension, for the local population dependent on it</w:t>
      </w:r>
      <w:r w:rsidRPr="0051724C">
        <w:rPr>
          <w:rFonts w:ascii="Times New Roman" w:hAnsi="Times New Roman"/>
          <w:sz w:val="24"/>
          <w:szCs w:val="24"/>
        </w:rPr>
        <w:t>.</w:t>
      </w:r>
    </w:p>
    <w:p w14:paraId="193805AE" w14:textId="77777777" w:rsidR="00505F06" w:rsidRDefault="00505F06" w:rsidP="00441B6F">
      <w:pPr>
        <w:pStyle w:val="Body"/>
        <w:spacing w:after="0"/>
        <w:rPr>
          <w:rFonts w:ascii="Arial" w:hAnsi="Arial" w:cs="Arial"/>
        </w:rPr>
      </w:pPr>
    </w:p>
    <w:p w14:paraId="2B4B3491" w14:textId="6CFF05A2"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BD5B595" w14:textId="112E058E" w:rsidR="00790ADA" w:rsidRDefault="00B11F5C" w:rsidP="001032C9">
      <w:pPr>
        <w:pStyle w:val="Body"/>
        <w:spacing w:after="0"/>
        <w:jc w:val="left"/>
        <w:rPr>
          <w:rFonts w:ascii="Arial" w:hAnsi="Arial" w:cs="Arial"/>
          <w:b/>
          <w:bCs/>
          <w:sz w:val="22"/>
          <w:szCs w:val="22"/>
        </w:rPr>
      </w:pPr>
      <w:r w:rsidRPr="001032C9">
        <w:rPr>
          <w:rFonts w:ascii="Arial" w:hAnsi="Arial" w:cs="Arial"/>
          <w:b/>
          <w:bCs/>
          <w:sz w:val="22"/>
          <w:szCs w:val="22"/>
        </w:rPr>
        <w:t xml:space="preserve">2.1. </w:t>
      </w:r>
      <w:r w:rsidR="001032C9" w:rsidRPr="001032C9">
        <w:rPr>
          <w:rFonts w:ascii="Arial" w:hAnsi="Arial" w:cs="Arial"/>
          <w:b/>
          <w:bCs/>
          <w:sz w:val="22"/>
          <w:szCs w:val="22"/>
        </w:rPr>
        <w:t>Study area description</w:t>
      </w:r>
    </w:p>
    <w:p w14:paraId="19F368A1" w14:textId="77777777" w:rsidR="00BC1731" w:rsidRPr="00BC1731" w:rsidRDefault="00BC1731" w:rsidP="00BC1731">
      <w:pPr>
        <w:pStyle w:val="Body"/>
        <w:spacing w:after="0"/>
        <w:rPr>
          <w:rFonts w:ascii="Arial" w:hAnsi="Arial" w:cs="Arial"/>
          <w:highlight w:val="yellow"/>
          <w:lang w:val="en-GB"/>
        </w:rPr>
      </w:pPr>
      <w:r w:rsidRPr="00BC1731">
        <w:rPr>
          <w:rFonts w:ascii="Arial" w:hAnsi="Arial" w:cs="Arial"/>
          <w:highlight w:val="yellow"/>
          <w:lang w:val="en-GB"/>
        </w:rPr>
        <w:t xml:space="preserve">The </w:t>
      </w:r>
      <w:proofErr w:type="spellStart"/>
      <w:r w:rsidRPr="00BC1731">
        <w:rPr>
          <w:rFonts w:ascii="Arial" w:hAnsi="Arial" w:cs="Arial"/>
          <w:highlight w:val="yellow"/>
          <w:lang w:val="en-GB"/>
        </w:rPr>
        <w:t>Déganobo</w:t>
      </w:r>
      <w:proofErr w:type="spellEnd"/>
      <w:r w:rsidRPr="00BC1731">
        <w:rPr>
          <w:rFonts w:ascii="Arial" w:hAnsi="Arial" w:cs="Arial"/>
          <w:highlight w:val="yellow"/>
          <w:lang w:val="en-GB"/>
        </w:rPr>
        <w:t xml:space="preserve"> lacustrine system, situated in the heart of San-</w:t>
      </w:r>
      <w:proofErr w:type="spellStart"/>
      <w:r w:rsidRPr="00BC1731">
        <w:rPr>
          <w:rFonts w:ascii="Arial" w:hAnsi="Arial" w:cs="Arial"/>
          <w:highlight w:val="yellow"/>
          <w:lang w:val="en-GB"/>
        </w:rPr>
        <w:t>Pédro</w:t>
      </w:r>
      <w:proofErr w:type="spellEnd"/>
      <w:r w:rsidRPr="00BC1731">
        <w:rPr>
          <w:rFonts w:ascii="Arial" w:hAnsi="Arial" w:cs="Arial"/>
          <w:highlight w:val="yellow"/>
          <w:lang w:val="en-GB"/>
        </w:rPr>
        <w:t xml:space="preserve"> city, comprises two distinct lakes, as described by Konan and Yao (2023a, 2023b, 2025):</w:t>
      </w:r>
    </w:p>
    <w:p w14:paraId="107B2A4D" w14:textId="77777777" w:rsidR="00BC1731" w:rsidRPr="00BC1731" w:rsidRDefault="00BC1731" w:rsidP="00BC1731">
      <w:pPr>
        <w:pStyle w:val="Body"/>
        <w:spacing w:after="0"/>
        <w:ind w:firstLine="360"/>
        <w:rPr>
          <w:rFonts w:ascii="Arial" w:hAnsi="Arial" w:cs="Arial"/>
          <w:highlight w:val="yellow"/>
          <w:lang w:val="en-GB"/>
        </w:rPr>
      </w:pPr>
      <w:r w:rsidRPr="00BC1731">
        <w:rPr>
          <w:rFonts w:ascii="Arial" w:hAnsi="Arial" w:cs="Arial"/>
          <w:highlight w:val="yellow"/>
          <w:lang w:val="en-GB"/>
        </w:rPr>
        <w:t xml:space="preserve">- </w:t>
      </w:r>
      <w:r w:rsidRPr="00BC1731">
        <w:rPr>
          <w:rFonts w:ascii="Arial" w:hAnsi="Arial" w:cs="Arial"/>
          <w:highlight w:val="yellow"/>
          <w:lang w:val="en-GB"/>
        </w:rPr>
        <w:t>"La</w:t>
      </w:r>
      <w:r w:rsidRPr="00BC1731">
        <w:rPr>
          <w:rFonts w:ascii="Arial" w:hAnsi="Arial" w:cs="Arial"/>
          <w:highlight w:val="yellow"/>
          <w:lang w:val="en-GB"/>
        </w:rPr>
        <w:t>c Ouest</w:t>
      </w:r>
      <w:r w:rsidRPr="00BC1731">
        <w:rPr>
          <w:rFonts w:ascii="Arial" w:hAnsi="Arial" w:cs="Arial"/>
          <w:highlight w:val="yellow"/>
          <w:lang w:val="en-GB"/>
        </w:rPr>
        <w:t xml:space="preserve">" extends between longitudes 6.637115° W and 6.544196° W, and latitudes </w:t>
      </w:r>
    </w:p>
    <w:p w14:paraId="41AD2512" w14:textId="77777777" w:rsidR="00BC1731" w:rsidRPr="00BC1731" w:rsidRDefault="00BC1731" w:rsidP="00BC1731">
      <w:pPr>
        <w:pStyle w:val="Body"/>
        <w:spacing w:after="0"/>
        <w:ind w:firstLine="360"/>
        <w:rPr>
          <w:rFonts w:ascii="Arial" w:hAnsi="Arial" w:cs="Arial"/>
          <w:highlight w:val="yellow"/>
          <w:lang w:val="en-GB"/>
        </w:rPr>
      </w:pPr>
      <w:r w:rsidRPr="00BC1731">
        <w:rPr>
          <w:rFonts w:ascii="Arial" w:hAnsi="Arial" w:cs="Arial"/>
          <w:highlight w:val="yellow"/>
          <w:lang w:val="en-GB"/>
        </w:rPr>
        <w:t xml:space="preserve">4.748951° N and 4.755580° N. It's the larger of the two, with a water surface area of 49.05 </w:t>
      </w:r>
    </w:p>
    <w:p w14:paraId="0458E636" w14:textId="77777777" w:rsidR="00BC1731" w:rsidRPr="00BC1731" w:rsidRDefault="00BC1731" w:rsidP="00BC1731">
      <w:pPr>
        <w:pStyle w:val="Body"/>
        <w:spacing w:after="0"/>
        <w:ind w:firstLine="360"/>
        <w:rPr>
          <w:rFonts w:ascii="Arial" w:hAnsi="Arial" w:cs="Arial"/>
          <w:highlight w:val="yellow"/>
          <w:lang w:val="en-GB"/>
        </w:rPr>
      </w:pPr>
      <w:r w:rsidRPr="00BC1731">
        <w:rPr>
          <w:rFonts w:ascii="Arial" w:hAnsi="Arial" w:cs="Arial"/>
          <w:highlight w:val="yellow"/>
          <w:lang w:val="en-GB"/>
        </w:rPr>
        <w:t>H</w:t>
      </w:r>
      <w:r w:rsidRPr="00BC1731">
        <w:rPr>
          <w:rFonts w:ascii="Arial" w:hAnsi="Arial" w:cs="Arial"/>
          <w:highlight w:val="yellow"/>
          <w:lang w:val="en-GB"/>
        </w:rPr>
        <w:t>ectares</w:t>
      </w:r>
      <w:r w:rsidRPr="00BC1731">
        <w:rPr>
          <w:rFonts w:ascii="Arial" w:hAnsi="Arial" w:cs="Arial"/>
          <w:highlight w:val="yellow"/>
          <w:lang w:val="en-GB"/>
        </w:rPr>
        <w:t>;</w:t>
      </w:r>
    </w:p>
    <w:p w14:paraId="332040F2" w14:textId="77777777" w:rsidR="00BC1731" w:rsidRPr="00BC1731" w:rsidRDefault="00BC1731" w:rsidP="00BC1731">
      <w:pPr>
        <w:pStyle w:val="Body"/>
        <w:spacing w:after="0"/>
        <w:ind w:firstLine="360"/>
        <w:rPr>
          <w:rFonts w:ascii="Arial" w:hAnsi="Arial" w:cs="Arial"/>
          <w:highlight w:val="yellow"/>
          <w:lang w:val="en-GB"/>
        </w:rPr>
      </w:pPr>
      <w:r w:rsidRPr="00BC1731">
        <w:rPr>
          <w:rFonts w:ascii="Arial" w:hAnsi="Arial" w:cs="Arial"/>
          <w:highlight w:val="yellow"/>
          <w:lang w:val="en-GB"/>
        </w:rPr>
        <w:t xml:space="preserve">- </w:t>
      </w:r>
      <w:r w:rsidRPr="00BC1731">
        <w:rPr>
          <w:rFonts w:ascii="Arial" w:hAnsi="Arial" w:cs="Arial"/>
          <w:highlight w:val="yellow"/>
          <w:lang w:val="en-GB"/>
        </w:rPr>
        <w:t>"La</w:t>
      </w:r>
      <w:r w:rsidRPr="00BC1731">
        <w:rPr>
          <w:rFonts w:ascii="Arial" w:hAnsi="Arial" w:cs="Arial"/>
          <w:highlight w:val="yellow"/>
          <w:lang w:val="en-GB"/>
        </w:rPr>
        <w:t>c Est</w:t>
      </w:r>
      <w:r w:rsidRPr="00BC1731">
        <w:rPr>
          <w:rFonts w:ascii="Arial" w:hAnsi="Arial" w:cs="Arial"/>
          <w:highlight w:val="yellow"/>
          <w:lang w:val="en-GB"/>
        </w:rPr>
        <w:t xml:space="preserve">" is located between longitudes 6.628952° W and 6.639512° W, and latitudes </w:t>
      </w:r>
    </w:p>
    <w:p w14:paraId="5EF7E2B9" w14:textId="15D9F7F6" w:rsidR="00BC1731" w:rsidRPr="00BC1731" w:rsidRDefault="00BC1731" w:rsidP="00BC1731">
      <w:pPr>
        <w:pStyle w:val="Body"/>
        <w:spacing w:after="0"/>
        <w:ind w:firstLine="360"/>
        <w:rPr>
          <w:rFonts w:ascii="Arial" w:hAnsi="Arial" w:cs="Arial"/>
          <w:lang w:val="en-GB"/>
        </w:rPr>
      </w:pPr>
      <w:r w:rsidRPr="00BC1731">
        <w:rPr>
          <w:rFonts w:ascii="Arial" w:hAnsi="Arial" w:cs="Arial"/>
          <w:highlight w:val="yellow"/>
          <w:lang w:val="en-GB"/>
        </w:rPr>
        <w:t>4.749382° N and 4.760087° N. Its water surface area is 28.87 hectares.</w:t>
      </w:r>
    </w:p>
    <w:p w14:paraId="6DDAA2DD" w14:textId="151DAC75" w:rsidR="001032C9" w:rsidRPr="001032C9" w:rsidRDefault="001032C9" w:rsidP="001032C9">
      <w:pPr>
        <w:jc w:val="both"/>
        <w:rPr>
          <w:rFonts w:ascii="Arial" w:hAnsi="Arial" w:cs="Arial"/>
        </w:rPr>
      </w:pPr>
      <w:r w:rsidRPr="001032C9">
        <w:rPr>
          <w:rFonts w:ascii="Arial" w:hAnsi="Arial" w:cs="Arial"/>
        </w:rPr>
        <w:t xml:space="preserve">This lacustrine system is connected to the </w:t>
      </w:r>
      <w:proofErr w:type="spellStart"/>
      <w:r w:rsidRPr="001032C9">
        <w:rPr>
          <w:rFonts w:ascii="Arial" w:hAnsi="Arial" w:cs="Arial"/>
        </w:rPr>
        <w:t>Digboué</w:t>
      </w:r>
      <w:proofErr w:type="spellEnd"/>
      <w:r w:rsidRPr="001032C9">
        <w:rPr>
          <w:rFonts w:ascii="Arial" w:hAnsi="Arial" w:cs="Arial"/>
        </w:rPr>
        <w:t xml:space="preserve"> River to the west and the San-</w:t>
      </w:r>
      <w:proofErr w:type="spellStart"/>
      <w:r w:rsidRPr="001032C9">
        <w:rPr>
          <w:rFonts w:ascii="Arial" w:hAnsi="Arial" w:cs="Arial"/>
        </w:rPr>
        <w:t>Pédro</w:t>
      </w:r>
      <w:proofErr w:type="spellEnd"/>
      <w:r w:rsidRPr="001032C9">
        <w:rPr>
          <w:rFonts w:ascii="Arial" w:hAnsi="Arial" w:cs="Arial"/>
        </w:rPr>
        <w:t xml:space="preserve"> River to the east via extensive marshlands. The construction of the San-</w:t>
      </w:r>
      <w:proofErr w:type="spellStart"/>
      <w:r w:rsidRPr="001032C9">
        <w:rPr>
          <w:rFonts w:ascii="Arial" w:hAnsi="Arial" w:cs="Arial"/>
        </w:rPr>
        <w:t>Pédro</w:t>
      </w:r>
      <w:proofErr w:type="spellEnd"/>
      <w:r w:rsidRPr="001032C9">
        <w:rPr>
          <w:rFonts w:ascii="Arial" w:hAnsi="Arial" w:cs="Arial"/>
        </w:rPr>
        <w:t xml:space="preserve"> autonomous port in 1972, in immediate proximity to this lacustrine system, led to the establishment of two major industrial zones (North and South) along its banks (Fig</w:t>
      </w:r>
      <w:r>
        <w:rPr>
          <w:rFonts w:ascii="Arial" w:hAnsi="Arial" w:cs="Arial"/>
        </w:rPr>
        <w:t>.</w:t>
      </w:r>
      <w:r w:rsidRPr="001032C9">
        <w:rPr>
          <w:rFonts w:ascii="Arial" w:hAnsi="Arial" w:cs="Arial"/>
        </w:rPr>
        <w:t xml:space="preserve"> 1). Over the years, the expansion of these zones and the development of industrial activities, primarily agro-industry, have significantly polluted this lacustrine system. Furthermore, these developments have also contributed to the reduction of its surface area through landfilling. This pollution is notably attributed to intense atmospheric emissions and waters discharges from industrial units (Ogou and Bidi, 2019). The expansion of this port and increased traffic also contribute to this degradation (SGS Côte d’Ivoire, 2016; Kadio, 2023). The proliferation of automotive repair shops and intense road traffic adjacent to this aquatic ecosystem are additional contributing factors (Kouassi et al., 2017). Finally, hospital waste discharges and the incineration of waste at the San-</w:t>
      </w:r>
      <w:proofErr w:type="spellStart"/>
      <w:r w:rsidRPr="001032C9">
        <w:rPr>
          <w:rFonts w:ascii="Arial" w:hAnsi="Arial" w:cs="Arial"/>
        </w:rPr>
        <w:t>Pédro</w:t>
      </w:r>
      <w:proofErr w:type="spellEnd"/>
      <w:r w:rsidRPr="001032C9">
        <w:rPr>
          <w:rFonts w:ascii="Arial" w:hAnsi="Arial" w:cs="Arial"/>
        </w:rPr>
        <w:t xml:space="preserve"> municipal landfill further exacerbate the situation (Konan and Yao, 2023</w:t>
      </w:r>
      <w:proofErr w:type="gramStart"/>
      <w:r w:rsidRPr="001032C9">
        <w:rPr>
          <w:rFonts w:ascii="Arial" w:hAnsi="Arial" w:cs="Arial"/>
        </w:rPr>
        <w:t>a,b</w:t>
      </w:r>
      <w:proofErr w:type="gramEnd"/>
      <w:r w:rsidRPr="001032C9">
        <w:rPr>
          <w:rFonts w:ascii="Arial" w:hAnsi="Arial" w:cs="Arial"/>
        </w:rPr>
        <w:t>; Koko et al., 2018).</w:t>
      </w:r>
    </w:p>
    <w:p w14:paraId="6AAB552A" w14:textId="77777777" w:rsidR="001032C9" w:rsidRPr="0088669E" w:rsidRDefault="001032C9" w:rsidP="001032C9">
      <w:pPr>
        <w:spacing w:line="360" w:lineRule="auto"/>
        <w:jc w:val="both"/>
        <w:rPr>
          <w:rFonts w:ascii="Times New Roman" w:hAnsi="Times New Roman"/>
          <w:sz w:val="24"/>
          <w:szCs w:val="24"/>
        </w:rPr>
      </w:pPr>
    </w:p>
    <w:p w14:paraId="49EF1DD9" w14:textId="0907C58C" w:rsidR="001032C9" w:rsidRPr="00104E5B" w:rsidRDefault="00104E5B" w:rsidP="001032C9">
      <w:pPr>
        <w:spacing w:line="360" w:lineRule="auto"/>
        <w:jc w:val="center"/>
        <w:rPr>
          <w:rFonts w:ascii="Times New Roman" w:hAnsi="Times New Roman"/>
          <w:sz w:val="24"/>
          <w:szCs w:val="24"/>
          <w:highlight w:val="yellow"/>
        </w:rPr>
      </w:pPr>
      <w:r w:rsidRPr="00104E5B">
        <w:rPr>
          <w:noProof/>
          <w:highlight w:val="yellow"/>
        </w:rPr>
        <w:drawing>
          <wp:inline distT="0" distB="0" distL="0" distR="0" wp14:anchorId="0A3230E1" wp14:editId="00B997B7">
            <wp:extent cx="5433060" cy="3611880"/>
            <wp:effectExtent l="0" t="0" r="0" b="7620"/>
            <wp:docPr id="716984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84908" name=""/>
                    <pic:cNvPicPr/>
                  </pic:nvPicPr>
                  <pic:blipFill>
                    <a:blip r:embed="rId14"/>
                    <a:stretch>
                      <a:fillRect/>
                    </a:stretch>
                  </pic:blipFill>
                  <pic:spPr>
                    <a:xfrm>
                      <a:off x="0" y="0"/>
                      <a:ext cx="5433060" cy="3611880"/>
                    </a:xfrm>
                    <a:prstGeom prst="rect">
                      <a:avLst/>
                    </a:prstGeom>
                  </pic:spPr>
                </pic:pic>
              </a:graphicData>
            </a:graphic>
          </wp:inline>
        </w:drawing>
      </w:r>
    </w:p>
    <w:p w14:paraId="7558F5C1" w14:textId="6A156877" w:rsidR="001032C9" w:rsidRPr="001032C9" w:rsidRDefault="001032C9" w:rsidP="001032C9">
      <w:pPr>
        <w:spacing w:line="360" w:lineRule="auto"/>
        <w:jc w:val="center"/>
        <w:rPr>
          <w:rFonts w:ascii="Times New Roman" w:hAnsi="Times New Roman"/>
          <w:b/>
          <w:bCs/>
          <w:sz w:val="24"/>
          <w:szCs w:val="24"/>
        </w:rPr>
      </w:pPr>
      <w:r w:rsidRPr="00104E5B">
        <w:rPr>
          <w:rFonts w:ascii="Times New Roman" w:hAnsi="Times New Roman"/>
          <w:b/>
          <w:bCs/>
          <w:sz w:val="24"/>
          <w:szCs w:val="24"/>
          <w:highlight w:val="yellow"/>
        </w:rPr>
        <w:t>Fig. 1. Geographical location of the study area (SGS Côte d'Ivoire, 2016).</w:t>
      </w:r>
    </w:p>
    <w:p w14:paraId="775E64D7" w14:textId="77777777" w:rsidR="00B11F5C" w:rsidRDefault="00B11F5C" w:rsidP="00441B6F">
      <w:pPr>
        <w:pStyle w:val="Body"/>
        <w:spacing w:after="0"/>
        <w:rPr>
          <w:rFonts w:ascii="Arial" w:hAnsi="Arial" w:cs="Arial"/>
        </w:rPr>
      </w:pPr>
    </w:p>
    <w:p w14:paraId="7251D764" w14:textId="2E9118A9" w:rsidR="008D7397" w:rsidRPr="008D7397" w:rsidRDefault="008D7397" w:rsidP="00441B6F">
      <w:pPr>
        <w:pStyle w:val="Body"/>
        <w:spacing w:after="0"/>
        <w:rPr>
          <w:rFonts w:ascii="Arial" w:hAnsi="Arial" w:cs="Arial"/>
          <w:b/>
          <w:bCs/>
          <w:sz w:val="22"/>
          <w:szCs w:val="22"/>
        </w:rPr>
      </w:pPr>
      <w:r w:rsidRPr="008D7397">
        <w:rPr>
          <w:rFonts w:ascii="Arial" w:hAnsi="Arial" w:cs="Arial"/>
          <w:b/>
          <w:bCs/>
          <w:sz w:val="22"/>
          <w:szCs w:val="22"/>
        </w:rPr>
        <w:t xml:space="preserve">2.2. Experimental techniques </w:t>
      </w:r>
    </w:p>
    <w:p w14:paraId="6A9CAF62" w14:textId="08E6477F" w:rsidR="008D7397" w:rsidRPr="008D7397" w:rsidRDefault="008D7397" w:rsidP="00441B6F">
      <w:pPr>
        <w:pStyle w:val="Body"/>
        <w:spacing w:after="0"/>
        <w:rPr>
          <w:rFonts w:ascii="Arial" w:hAnsi="Arial" w:cs="Arial"/>
          <w:b/>
          <w:bCs/>
          <w:u w:val="single"/>
        </w:rPr>
      </w:pPr>
      <w:r w:rsidRPr="008D7397">
        <w:rPr>
          <w:rFonts w:ascii="Arial" w:hAnsi="Arial" w:cs="Arial"/>
          <w:b/>
          <w:bCs/>
          <w:u w:val="single"/>
        </w:rPr>
        <w:t>2.2.1. Sampling collection</w:t>
      </w:r>
    </w:p>
    <w:p w14:paraId="6511A35C" w14:textId="1334FC35" w:rsidR="008D7397" w:rsidRPr="008D7397" w:rsidRDefault="008D7397" w:rsidP="008D7397">
      <w:pPr>
        <w:jc w:val="both"/>
        <w:rPr>
          <w:rFonts w:ascii="Arial" w:hAnsi="Arial" w:cs="Arial"/>
          <w:color w:val="000000"/>
        </w:rPr>
      </w:pPr>
      <w:r w:rsidRPr="008D7397">
        <w:rPr>
          <w:rFonts w:ascii="Arial" w:hAnsi="Arial" w:cs="Arial"/>
          <w:color w:val="000000"/>
        </w:rPr>
        <w:t>This study was conducted in parallel with the work of Konan and Yao (2024a, b; 2025). It spanned a one-year period, from August 2021 to July 2022. During this timeframe, monthly sampling of water and superficial sediment samples was performed within the lacustrine system. Sampling was carried out at eight stations, selected to account for spatial heterogeneity and accessibility to the water body (Fig.</w:t>
      </w:r>
      <w:r>
        <w:rPr>
          <w:rFonts w:ascii="Arial" w:hAnsi="Arial" w:cs="Arial"/>
          <w:color w:val="000000"/>
        </w:rPr>
        <w:t xml:space="preserve"> </w:t>
      </w:r>
      <w:r w:rsidRPr="008D7397">
        <w:rPr>
          <w:rFonts w:ascii="Arial" w:hAnsi="Arial" w:cs="Arial"/>
          <w:color w:val="000000"/>
        </w:rPr>
        <w:t>2).</w:t>
      </w:r>
    </w:p>
    <w:p w14:paraId="1912C440" w14:textId="3CDBF598" w:rsidR="008D7397" w:rsidRDefault="008D7397" w:rsidP="008D7397">
      <w:pPr>
        <w:pStyle w:val="Body"/>
        <w:spacing w:after="0"/>
        <w:jc w:val="center"/>
        <w:rPr>
          <w:rFonts w:ascii="Arial" w:hAnsi="Arial" w:cs="Arial"/>
        </w:rPr>
      </w:pPr>
      <w:r w:rsidRPr="000F3C1B">
        <w:rPr>
          <w:rFonts w:ascii="Times New Roman" w:hAnsi="Times New Roman"/>
          <w:noProof/>
          <w:sz w:val="24"/>
          <w:szCs w:val="24"/>
        </w:rPr>
        <w:drawing>
          <wp:inline distT="0" distB="0" distL="0" distR="0" wp14:anchorId="5D69A86D" wp14:editId="396F4021">
            <wp:extent cx="4826000" cy="2567940"/>
            <wp:effectExtent l="0" t="0" r="0" b="381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00" cy="2567940"/>
                    </a:xfrm>
                    <a:prstGeom prst="rect">
                      <a:avLst/>
                    </a:prstGeom>
                    <a:noFill/>
                    <a:ln>
                      <a:noFill/>
                    </a:ln>
                  </pic:spPr>
                </pic:pic>
              </a:graphicData>
            </a:graphic>
          </wp:inline>
        </w:drawing>
      </w:r>
    </w:p>
    <w:p w14:paraId="49880DFA" w14:textId="759E90F3" w:rsidR="008D7397" w:rsidRPr="008D7397" w:rsidRDefault="008D7397" w:rsidP="008D7397">
      <w:pPr>
        <w:spacing w:line="360" w:lineRule="auto"/>
        <w:jc w:val="center"/>
        <w:rPr>
          <w:rFonts w:ascii="Arial" w:hAnsi="Arial" w:cs="Arial"/>
          <w:b/>
          <w:bCs/>
        </w:rPr>
      </w:pPr>
      <w:r w:rsidRPr="008D7397">
        <w:rPr>
          <w:rFonts w:ascii="Arial" w:hAnsi="Arial" w:cs="Arial"/>
          <w:b/>
          <w:bCs/>
        </w:rPr>
        <w:t xml:space="preserve">Fig. </w:t>
      </w:r>
      <w:proofErr w:type="gramStart"/>
      <w:r w:rsidRPr="008D7397">
        <w:rPr>
          <w:rFonts w:ascii="Arial" w:hAnsi="Arial" w:cs="Arial"/>
          <w:b/>
          <w:bCs/>
        </w:rPr>
        <w:t>2 :</w:t>
      </w:r>
      <w:proofErr w:type="gramEnd"/>
      <w:r w:rsidRPr="008D7397">
        <w:rPr>
          <w:rFonts w:ascii="Arial" w:hAnsi="Arial" w:cs="Arial"/>
          <w:b/>
          <w:bCs/>
        </w:rPr>
        <w:t xml:space="preserve"> Geographical location of sampling stations used during the study period (Konan and Yao, 2024</w:t>
      </w:r>
      <w:proofErr w:type="gramStart"/>
      <w:r w:rsidRPr="008D7397">
        <w:rPr>
          <w:rFonts w:ascii="Arial" w:hAnsi="Arial" w:cs="Arial"/>
          <w:b/>
          <w:bCs/>
        </w:rPr>
        <w:t>a,b</w:t>
      </w:r>
      <w:proofErr w:type="gramEnd"/>
      <w:r w:rsidRPr="008D7397">
        <w:rPr>
          <w:rFonts w:ascii="Arial" w:hAnsi="Arial" w:cs="Arial"/>
          <w:b/>
          <w:bCs/>
        </w:rPr>
        <w:t>; 2025).</w:t>
      </w:r>
    </w:p>
    <w:p w14:paraId="35A1A4D0" w14:textId="77777777" w:rsidR="007510D6" w:rsidRPr="0055463B" w:rsidRDefault="007510D6" w:rsidP="007510D6">
      <w:pPr>
        <w:jc w:val="both"/>
        <w:rPr>
          <w:rFonts w:ascii="Arial" w:hAnsi="Arial" w:cs="Arial"/>
        </w:rPr>
      </w:pPr>
      <w:r w:rsidRPr="0055463B">
        <w:rPr>
          <w:rFonts w:ascii="Arial" w:hAnsi="Arial" w:cs="Arial"/>
        </w:rPr>
        <w:lastRenderedPageBreak/>
        <w:t xml:space="preserve">Given the shallow depth of the study area and to ensure optimal measurement precision, water samples were collected in duplicate from the water column at depths ranging from -0.5 to -1.5 m at each station. A 1-liter </w:t>
      </w:r>
      <w:proofErr w:type="spellStart"/>
      <w:r w:rsidRPr="0055463B">
        <w:rPr>
          <w:rFonts w:ascii="Arial" w:hAnsi="Arial" w:cs="Arial"/>
        </w:rPr>
        <w:t>Niskin</w:t>
      </w:r>
      <w:proofErr w:type="spellEnd"/>
      <w:r w:rsidRPr="0055463B">
        <w:rPr>
          <w:rFonts w:ascii="Arial" w:hAnsi="Arial" w:cs="Arial"/>
        </w:rPr>
        <w:t xml:space="preserve"> bottle was used for this purpose. After collection, the water was transferred, filling to the brim, into 1-liter borosilicate amber bottles equipped with a stopper featuring a Teflon-lined inner face. These containers were then hermetically sealed and stored at approximately 4°C. Each month, 16 water samples were collected, resulting in a total of 192 samples over the entire study period. In the laboratory, water samples were immediately stored in a refrigerator at 4°C. All these operations adhered to the recommendations of standard FD T90-52-523-4 (2023). </w:t>
      </w:r>
    </w:p>
    <w:p w14:paraId="2D9F0E0C" w14:textId="77777777" w:rsidR="008D7397" w:rsidRDefault="008D7397" w:rsidP="00441B6F">
      <w:pPr>
        <w:pStyle w:val="Body"/>
        <w:spacing w:after="0"/>
        <w:rPr>
          <w:rFonts w:ascii="Arial" w:hAnsi="Arial" w:cs="Arial"/>
          <w:u w:val="single"/>
        </w:rPr>
      </w:pPr>
    </w:p>
    <w:p w14:paraId="1E08E2CA" w14:textId="0C1AAAAA" w:rsidR="00382113" w:rsidRPr="00382113" w:rsidRDefault="00A127E5" w:rsidP="00382113">
      <w:pPr>
        <w:pStyle w:val="Body"/>
        <w:spacing w:after="0"/>
        <w:rPr>
          <w:rFonts w:ascii="Arial" w:hAnsi="Arial" w:cs="Arial"/>
          <w:b/>
          <w:bCs/>
          <w:u w:val="single"/>
        </w:rPr>
      </w:pPr>
      <w:r>
        <w:rPr>
          <w:rFonts w:ascii="Arial" w:hAnsi="Arial" w:cs="Arial"/>
          <w:b/>
          <w:bCs/>
          <w:u w:val="single"/>
        </w:rPr>
        <w:t>2.2.2.</w:t>
      </w:r>
      <w:r w:rsidR="00382113">
        <w:rPr>
          <w:rFonts w:ascii="Arial" w:hAnsi="Arial" w:cs="Arial"/>
          <w:b/>
          <w:bCs/>
          <w:u w:val="single"/>
        </w:rPr>
        <w:t xml:space="preserve"> </w:t>
      </w:r>
      <w:r w:rsidR="00382113" w:rsidRPr="00382113">
        <w:rPr>
          <w:rFonts w:ascii="Arial" w:hAnsi="Arial" w:cs="Arial"/>
          <w:b/>
          <w:bCs/>
          <w:u w:val="single"/>
          <w:lang w:val="en-GB"/>
        </w:rPr>
        <w:t>Determination of 16 PAHs in Water Samples</w:t>
      </w:r>
    </w:p>
    <w:p w14:paraId="55F123CB" w14:textId="00A5E908" w:rsidR="00382113" w:rsidRPr="00382113" w:rsidRDefault="00382113" w:rsidP="00382113">
      <w:pPr>
        <w:pStyle w:val="Body"/>
        <w:spacing w:after="0"/>
        <w:rPr>
          <w:rFonts w:ascii="Arial" w:hAnsi="Arial" w:cs="Arial"/>
          <w:lang w:val="en-GB"/>
        </w:rPr>
      </w:pPr>
      <w:r w:rsidRPr="00382113">
        <w:rPr>
          <w:rFonts w:ascii="Arial" w:hAnsi="Arial" w:cs="Arial"/>
          <w:lang w:val="en-GB"/>
        </w:rPr>
        <w:t xml:space="preserve">The sixteen PAHs classified as priority pollutants by the US-EPA (1982) were </w:t>
      </w:r>
      <w:proofErr w:type="spellStart"/>
      <w:r w:rsidRPr="00382113">
        <w:rPr>
          <w:rFonts w:ascii="Arial" w:hAnsi="Arial" w:cs="Arial"/>
          <w:lang w:val="en-GB"/>
        </w:rPr>
        <w:t>analyzed</w:t>
      </w:r>
      <w:proofErr w:type="spellEnd"/>
      <w:r w:rsidRPr="00382113">
        <w:rPr>
          <w:rFonts w:ascii="Arial" w:hAnsi="Arial" w:cs="Arial"/>
          <w:lang w:val="en-GB"/>
        </w:rPr>
        <w:t xml:space="preserve"> in the water samples. These included Acenaphthene ACP), Acenaphthylene (ACPT), Anthracene (ATC), Benzo[a]anthracene (</w:t>
      </w:r>
      <w:proofErr w:type="spellStart"/>
      <w:r w:rsidRPr="00382113">
        <w:rPr>
          <w:rFonts w:ascii="Arial" w:hAnsi="Arial" w:cs="Arial"/>
          <w:lang w:val="en-GB"/>
        </w:rPr>
        <w:t>BaA</w:t>
      </w:r>
      <w:proofErr w:type="spellEnd"/>
      <w:r w:rsidRPr="00382113">
        <w:rPr>
          <w:rFonts w:ascii="Arial" w:hAnsi="Arial" w:cs="Arial"/>
          <w:lang w:val="en-GB"/>
        </w:rPr>
        <w:t>), Benzo[a]pyrene (</w:t>
      </w:r>
      <w:proofErr w:type="spellStart"/>
      <w:r w:rsidRPr="00382113">
        <w:rPr>
          <w:rFonts w:ascii="Arial" w:hAnsi="Arial" w:cs="Arial"/>
          <w:lang w:val="en-GB"/>
        </w:rPr>
        <w:t>BaP</w:t>
      </w:r>
      <w:proofErr w:type="spellEnd"/>
      <w:r w:rsidRPr="00382113">
        <w:rPr>
          <w:rFonts w:ascii="Arial" w:hAnsi="Arial" w:cs="Arial"/>
          <w:lang w:val="en-GB"/>
        </w:rPr>
        <w:t>), Benzo[b]fluoranthene (</w:t>
      </w:r>
      <w:proofErr w:type="spellStart"/>
      <w:r w:rsidRPr="00382113">
        <w:rPr>
          <w:rFonts w:ascii="Arial" w:hAnsi="Arial" w:cs="Arial"/>
          <w:lang w:val="en-GB"/>
        </w:rPr>
        <w:t>BbF</w:t>
      </w:r>
      <w:proofErr w:type="spellEnd"/>
      <w:r w:rsidRPr="00382113">
        <w:rPr>
          <w:rFonts w:ascii="Arial" w:hAnsi="Arial" w:cs="Arial"/>
          <w:lang w:val="en-GB"/>
        </w:rPr>
        <w:t>), Benzo[</w:t>
      </w:r>
      <w:proofErr w:type="spellStart"/>
      <w:r w:rsidRPr="00382113">
        <w:rPr>
          <w:rFonts w:ascii="Arial" w:hAnsi="Arial" w:cs="Arial"/>
          <w:lang w:val="en-GB"/>
        </w:rPr>
        <w:t>g,h,i</w:t>
      </w:r>
      <w:proofErr w:type="spellEnd"/>
      <w:r w:rsidRPr="00382113">
        <w:rPr>
          <w:rFonts w:ascii="Arial" w:hAnsi="Arial" w:cs="Arial"/>
          <w:lang w:val="en-GB"/>
        </w:rPr>
        <w:t>]perylene (B(</w:t>
      </w:r>
      <w:proofErr w:type="spellStart"/>
      <w:r w:rsidRPr="00382113">
        <w:rPr>
          <w:rFonts w:ascii="Arial" w:hAnsi="Arial" w:cs="Arial"/>
          <w:lang w:val="en-GB"/>
        </w:rPr>
        <w:t>g,h,i</w:t>
      </w:r>
      <w:proofErr w:type="spellEnd"/>
      <w:r w:rsidRPr="00382113">
        <w:rPr>
          <w:rFonts w:ascii="Arial" w:hAnsi="Arial" w:cs="Arial"/>
          <w:lang w:val="en-GB"/>
        </w:rPr>
        <w:t>)P), Benzo[k]fluoranthene (</w:t>
      </w:r>
      <w:proofErr w:type="spellStart"/>
      <w:r w:rsidRPr="00382113">
        <w:rPr>
          <w:rFonts w:ascii="Arial" w:hAnsi="Arial" w:cs="Arial"/>
          <w:lang w:val="en-GB"/>
        </w:rPr>
        <w:t>BkF</w:t>
      </w:r>
      <w:proofErr w:type="spellEnd"/>
      <w:r w:rsidRPr="00382113">
        <w:rPr>
          <w:rFonts w:ascii="Arial" w:hAnsi="Arial" w:cs="Arial"/>
          <w:lang w:val="en-GB"/>
        </w:rPr>
        <w:t>), Benzo[j]fluoranthene (</w:t>
      </w:r>
      <w:proofErr w:type="spellStart"/>
      <w:r w:rsidRPr="00382113">
        <w:rPr>
          <w:rFonts w:ascii="Arial" w:hAnsi="Arial" w:cs="Arial"/>
          <w:lang w:val="en-GB"/>
        </w:rPr>
        <w:t>BjF</w:t>
      </w:r>
      <w:proofErr w:type="spellEnd"/>
      <w:r w:rsidRPr="00382113">
        <w:rPr>
          <w:rFonts w:ascii="Arial" w:hAnsi="Arial" w:cs="Arial"/>
          <w:lang w:val="en-GB"/>
        </w:rPr>
        <w:t>), Chrysene (</w:t>
      </w:r>
      <w:proofErr w:type="spellStart"/>
      <w:r w:rsidRPr="00382113">
        <w:rPr>
          <w:rFonts w:ascii="Arial" w:hAnsi="Arial" w:cs="Arial"/>
          <w:lang w:val="en-GB"/>
        </w:rPr>
        <w:t>Chry</w:t>
      </w:r>
      <w:proofErr w:type="spellEnd"/>
      <w:r w:rsidRPr="00382113">
        <w:rPr>
          <w:rFonts w:ascii="Arial" w:hAnsi="Arial" w:cs="Arial"/>
          <w:lang w:val="en-GB"/>
        </w:rPr>
        <w:t>), Fluoranthene (FLR</w:t>
      </w:r>
      <w:r>
        <w:rPr>
          <w:rFonts w:ascii="Arial" w:hAnsi="Arial" w:cs="Arial"/>
          <w:lang w:val="en-GB"/>
        </w:rPr>
        <w:t>T</w:t>
      </w:r>
      <w:r w:rsidRPr="00382113">
        <w:rPr>
          <w:rFonts w:ascii="Arial" w:hAnsi="Arial" w:cs="Arial"/>
          <w:lang w:val="en-GB"/>
        </w:rPr>
        <w:t xml:space="preserve">), Fluorene (FLR), Naphthalene (NPT), Phenanthrene (PNT), Pyrene (PYR), and </w:t>
      </w:r>
      <w:proofErr w:type="spellStart"/>
      <w:r w:rsidRPr="00382113">
        <w:rPr>
          <w:rFonts w:ascii="Arial" w:hAnsi="Arial" w:cs="Arial"/>
          <w:lang w:val="en-GB"/>
        </w:rPr>
        <w:t>Indeno</w:t>
      </w:r>
      <w:proofErr w:type="spellEnd"/>
      <w:r w:rsidRPr="00382113">
        <w:rPr>
          <w:rFonts w:ascii="Arial" w:hAnsi="Arial" w:cs="Arial"/>
          <w:lang w:val="en-GB"/>
        </w:rPr>
        <w:t>[1,2,3-cd]pyrene (I(1,2,3</w:t>
      </w:r>
      <w:r w:rsidR="00EE50DD">
        <w:rPr>
          <w:rFonts w:ascii="Arial" w:hAnsi="Arial" w:cs="Arial"/>
          <w:lang w:val="en-GB"/>
        </w:rPr>
        <w:t>-c,d</w:t>
      </w:r>
      <w:r w:rsidRPr="00382113">
        <w:rPr>
          <w:rFonts w:ascii="Arial" w:hAnsi="Arial" w:cs="Arial"/>
          <w:lang w:val="en-GB"/>
        </w:rPr>
        <w:t>)P). These analyses were performed following standard MA. 400 – PAH 1.1 (CEAEQ, 2024).</w:t>
      </w:r>
    </w:p>
    <w:p w14:paraId="1EF6F65E" w14:textId="77777777" w:rsidR="00382113" w:rsidRPr="00382113" w:rsidRDefault="00382113" w:rsidP="00382113">
      <w:pPr>
        <w:pStyle w:val="Body"/>
        <w:spacing w:after="0"/>
        <w:rPr>
          <w:rFonts w:ascii="Arial" w:hAnsi="Arial" w:cs="Arial"/>
          <w:lang w:val="en-GB"/>
        </w:rPr>
      </w:pPr>
      <w:r w:rsidRPr="00382113">
        <w:rPr>
          <w:rFonts w:ascii="Arial" w:hAnsi="Arial" w:cs="Arial"/>
          <w:lang w:val="en-GB"/>
        </w:rPr>
        <w:t xml:space="preserve">To prevent cross-contamination, all equipment used for the analysis was meticulously decontaminated using appropriate solvents, specifically acetone and dichloromethane. All glassware was cleaned by immersion in a specialized detergent bath for several hours. It was then rinsed sequentially with tap water, bi-distilled water, and finally Milli-Q ultrapure water, following a cascade rinsing protocol. After oven-drying at 60 °C, the glassware was rinsed with acetone using a wash bottle and then allowed to air dry. Clean equipment was finally stored hermetically sealed, either stoppered or wrapped in </w:t>
      </w:r>
      <w:proofErr w:type="spellStart"/>
      <w:r w:rsidRPr="00382113">
        <w:rPr>
          <w:rFonts w:ascii="Arial" w:hAnsi="Arial" w:cs="Arial"/>
          <w:lang w:val="en-GB"/>
        </w:rPr>
        <w:t>aluminum</w:t>
      </w:r>
      <w:proofErr w:type="spellEnd"/>
      <w:r w:rsidRPr="00382113">
        <w:rPr>
          <w:rFonts w:ascii="Arial" w:hAnsi="Arial" w:cs="Arial"/>
          <w:lang w:val="en-GB"/>
        </w:rPr>
        <w:t xml:space="preserve"> foil.</w:t>
      </w:r>
    </w:p>
    <w:p w14:paraId="035642E7" w14:textId="77777777" w:rsidR="00382113" w:rsidRPr="00382113" w:rsidRDefault="00382113" w:rsidP="00382113">
      <w:pPr>
        <w:pStyle w:val="Body"/>
        <w:spacing w:after="0"/>
        <w:rPr>
          <w:rFonts w:ascii="Arial" w:hAnsi="Arial" w:cs="Arial"/>
          <w:lang w:val="en-GB"/>
        </w:rPr>
      </w:pPr>
      <w:r w:rsidRPr="00382113">
        <w:rPr>
          <w:rFonts w:ascii="Arial" w:hAnsi="Arial" w:cs="Arial"/>
          <w:lang w:val="en-GB"/>
        </w:rPr>
        <w:t>The following were used:</w:t>
      </w:r>
    </w:p>
    <w:p w14:paraId="1F5147B9" w14:textId="7BE2B070" w:rsidR="00382113" w:rsidRPr="00382113" w:rsidRDefault="00382113" w:rsidP="00382113">
      <w:pPr>
        <w:pStyle w:val="Body"/>
        <w:numPr>
          <w:ilvl w:val="0"/>
          <w:numId w:val="32"/>
        </w:numPr>
        <w:spacing w:after="0"/>
        <w:rPr>
          <w:rFonts w:ascii="Arial" w:hAnsi="Arial" w:cs="Arial"/>
          <w:lang w:val="en-GB"/>
        </w:rPr>
      </w:pPr>
      <w:r w:rsidRPr="00382113">
        <w:rPr>
          <w:rFonts w:ascii="Arial" w:hAnsi="Arial" w:cs="Arial"/>
          <w:lang w:val="en-GB"/>
        </w:rPr>
        <w:t xml:space="preserve">Internal </w:t>
      </w:r>
      <w:r w:rsidR="00EE50DD" w:rsidRPr="00EE50DD">
        <w:rPr>
          <w:rFonts w:ascii="Arial" w:hAnsi="Arial" w:cs="Arial"/>
          <w:lang w:val="en-GB"/>
        </w:rPr>
        <w:t>standards</w:t>
      </w:r>
      <w:r w:rsidR="00EE50DD" w:rsidRPr="00382113">
        <w:rPr>
          <w:rFonts w:ascii="Arial" w:hAnsi="Arial" w:cs="Arial"/>
          <w:lang w:val="en-GB"/>
        </w:rPr>
        <w:t>:</w:t>
      </w:r>
      <w:r w:rsidRPr="00382113">
        <w:rPr>
          <w:rFonts w:ascii="Arial" w:hAnsi="Arial" w:cs="Arial"/>
          <w:lang w:val="en-GB"/>
        </w:rPr>
        <w:t xml:space="preserve"> Naphthalene-d</w:t>
      </w:r>
      <w:r w:rsidRPr="00382113">
        <w:rPr>
          <w:rFonts w:ascii="Cambria Math" w:hAnsi="Cambria Math" w:cs="Cambria Math"/>
          <w:lang w:val="en-GB"/>
        </w:rPr>
        <w:t>₈</w:t>
      </w:r>
      <w:r w:rsidRPr="00382113">
        <w:rPr>
          <w:rFonts w:ascii="Arial" w:hAnsi="Arial" w:cs="Arial"/>
          <w:lang w:val="en-GB"/>
        </w:rPr>
        <w:t xml:space="preserve"> (CAS: 1146-65-2); Fluoranthene-d</w:t>
      </w:r>
      <w:r w:rsidRPr="00382113">
        <w:rPr>
          <w:rFonts w:ascii="Cambria Math" w:hAnsi="Cambria Math" w:cs="Cambria Math"/>
          <w:lang w:val="en-GB"/>
        </w:rPr>
        <w:t>₁₀</w:t>
      </w:r>
      <w:r w:rsidRPr="00382113">
        <w:rPr>
          <w:rFonts w:ascii="Arial" w:hAnsi="Arial" w:cs="Arial"/>
          <w:lang w:val="en-GB"/>
        </w:rPr>
        <w:t xml:space="preserve"> (CAS: 93951-69-0); Benzo[a]pyrene-d</w:t>
      </w:r>
      <w:r w:rsidRPr="00382113">
        <w:rPr>
          <w:rFonts w:ascii="Cambria Math" w:hAnsi="Cambria Math" w:cs="Cambria Math"/>
          <w:lang w:val="en-GB"/>
        </w:rPr>
        <w:t>₁₂</w:t>
      </w:r>
      <w:r w:rsidRPr="00382113">
        <w:rPr>
          <w:rFonts w:ascii="Arial" w:hAnsi="Arial" w:cs="Arial"/>
          <w:lang w:val="en-GB"/>
        </w:rPr>
        <w:t xml:space="preserve"> (CAS: 63466-71-7) at 10 ng/µL.</w:t>
      </w:r>
    </w:p>
    <w:p w14:paraId="0C3959B4" w14:textId="372ED7AC" w:rsidR="00382113" w:rsidRPr="00382113" w:rsidRDefault="00382113" w:rsidP="00EE50DD">
      <w:pPr>
        <w:pStyle w:val="Body"/>
        <w:numPr>
          <w:ilvl w:val="0"/>
          <w:numId w:val="32"/>
        </w:numPr>
        <w:spacing w:after="0"/>
        <w:rPr>
          <w:rFonts w:ascii="Arial" w:hAnsi="Arial" w:cs="Arial"/>
          <w:lang w:val="en-GB"/>
        </w:rPr>
      </w:pPr>
      <w:r w:rsidRPr="00382113">
        <w:rPr>
          <w:rFonts w:ascii="Arial" w:hAnsi="Arial" w:cs="Arial"/>
          <w:lang w:val="en-GB"/>
        </w:rPr>
        <w:t xml:space="preserve">Surrogate </w:t>
      </w:r>
      <w:proofErr w:type="gramStart"/>
      <w:r w:rsidRPr="00EE50DD">
        <w:rPr>
          <w:rFonts w:ascii="Arial" w:hAnsi="Arial" w:cs="Arial"/>
          <w:lang w:val="en-GB"/>
        </w:rPr>
        <w:t>standard :</w:t>
      </w:r>
      <w:proofErr w:type="gramEnd"/>
      <w:r w:rsidRPr="00382113">
        <w:rPr>
          <w:rFonts w:ascii="Arial" w:hAnsi="Arial" w:cs="Arial"/>
          <w:lang w:val="en-GB"/>
        </w:rPr>
        <w:t xml:space="preserve"> Pyrene-d</w:t>
      </w:r>
      <w:r w:rsidRPr="00382113">
        <w:rPr>
          <w:rFonts w:ascii="Cambria Math" w:hAnsi="Cambria Math" w:cs="Cambria Math"/>
          <w:lang w:val="en-GB"/>
        </w:rPr>
        <w:t>₁₀</w:t>
      </w:r>
      <w:r w:rsidRPr="00382113">
        <w:rPr>
          <w:rFonts w:ascii="Arial" w:hAnsi="Arial" w:cs="Arial"/>
          <w:lang w:val="en-GB"/>
        </w:rPr>
        <w:t xml:space="preserve"> (CAS: 1718-52-1) at 10 ng/µL.</w:t>
      </w:r>
    </w:p>
    <w:p w14:paraId="407F9FE7" w14:textId="77777777" w:rsidR="00A127E5" w:rsidRDefault="00A127E5" w:rsidP="00441B6F">
      <w:pPr>
        <w:pStyle w:val="Body"/>
        <w:spacing w:after="0"/>
        <w:rPr>
          <w:rFonts w:ascii="Arial" w:hAnsi="Arial" w:cs="Arial"/>
          <w:u w:val="single"/>
        </w:rPr>
      </w:pPr>
    </w:p>
    <w:p w14:paraId="40679F10" w14:textId="324AB7A9" w:rsidR="00EE50DD" w:rsidRPr="00EE50DD" w:rsidRDefault="00EE50DD" w:rsidP="00EE50DD">
      <w:pPr>
        <w:pStyle w:val="Body"/>
        <w:spacing w:after="0"/>
        <w:rPr>
          <w:rFonts w:ascii="Arial" w:hAnsi="Arial" w:cs="Arial"/>
          <w:i/>
          <w:iCs/>
        </w:rPr>
      </w:pPr>
      <w:r w:rsidRPr="00EE50DD">
        <w:rPr>
          <w:rFonts w:ascii="Arial" w:hAnsi="Arial" w:cs="Arial"/>
          <w:i/>
          <w:iCs/>
        </w:rPr>
        <w:t xml:space="preserve">2.2.2.1. </w:t>
      </w:r>
      <w:r w:rsidRPr="00EE50DD">
        <w:rPr>
          <w:rFonts w:ascii="Arial" w:hAnsi="Arial" w:cs="Arial"/>
          <w:i/>
          <w:iCs/>
          <w:lang w:val="en-GB"/>
        </w:rPr>
        <w:t>Extraction</w:t>
      </w:r>
    </w:p>
    <w:p w14:paraId="624DFCF5" w14:textId="77777777" w:rsidR="00EE50DD" w:rsidRPr="00EE50DD" w:rsidRDefault="00EE50DD" w:rsidP="00EE50DD">
      <w:pPr>
        <w:pStyle w:val="Body"/>
        <w:spacing w:after="0"/>
        <w:rPr>
          <w:rFonts w:ascii="Arial" w:hAnsi="Arial" w:cs="Arial"/>
          <w:lang w:val="en-GB"/>
        </w:rPr>
      </w:pPr>
      <w:r w:rsidRPr="00EE50DD">
        <w:rPr>
          <w:rFonts w:ascii="Arial" w:hAnsi="Arial" w:cs="Arial"/>
          <w:lang w:val="en-GB"/>
        </w:rPr>
        <w:t>An 800 mL aliquot of homogenized water sample was introduced into a 1 L amber glass bottle. This was</w:t>
      </w:r>
      <w:r w:rsidRPr="00EE50DD">
        <w:rPr>
          <w:rFonts w:ascii="Arial" w:hAnsi="Arial" w:cs="Arial"/>
          <w:u w:val="single"/>
          <w:lang w:val="en-GB"/>
        </w:rPr>
        <w:t xml:space="preserve"> </w:t>
      </w:r>
      <w:r w:rsidRPr="00EE50DD">
        <w:rPr>
          <w:rFonts w:ascii="Arial" w:hAnsi="Arial" w:cs="Arial"/>
          <w:lang w:val="en-GB"/>
        </w:rPr>
        <w:t xml:space="preserve">then fortified with 50 µL of a combined 10 ng/µL surrogate standard solution and 100 mL of dichloromethane. The bottle was temporarily sealed and manually agitated to homogenize the mixture, then briefly opened to release excess pressure. Following this, it was hermetically sealed and placed on a rotary shaker set at approximately 54 rpm for prolonged overnight agitation. After extraction, the mixture was transferred to a 1 L separatory funnel. The organic phase was collected and dried by passing it through a column packed with anhydrous sodium </w:t>
      </w:r>
      <w:proofErr w:type="spellStart"/>
      <w:r w:rsidRPr="00EE50DD">
        <w:rPr>
          <w:rFonts w:ascii="Arial" w:hAnsi="Arial" w:cs="Arial"/>
          <w:lang w:val="en-GB"/>
        </w:rPr>
        <w:t>sulfate</w:t>
      </w:r>
      <w:proofErr w:type="spellEnd"/>
      <w:r w:rsidRPr="00EE50DD">
        <w:rPr>
          <w:rFonts w:ascii="Arial" w:hAnsi="Arial" w:cs="Arial"/>
          <w:lang w:val="en-GB"/>
        </w:rPr>
        <w:t>. The extract was then collected in a 250 mL evaporation flask. Concentration was performed under vacuum using a rotary evaporator, with the bath temperature controlled at ≤ 26 °C, until a final volume of approximately 2 mL was obtained.</w:t>
      </w:r>
    </w:p>
    <w:p w14:paraId="0B483AE3" w14:textId="1CE35EFE" w:rsidR="00EE50DD" w:rsidRPr="00BC1731" w:rsidRDefault="00EE50DD" w:rsidP="00EE50DD">
      <w:pPr>
        <w:pStyle w:val="Body"/>
        <w:spacing w:after="0"/>
        <w:rPr>
          <w:rFonts w:ascii="Arial" w:hAnsi="Arial" w:cs="Arial"/>
          <w:lang w:val="en-GB"/>
        </w:rPr>
      </w:pPr>
    </w:p>
    <w:p w14:paraId="6D07CA8A" w14:textId="742D8789" w:rsidR="00EE50DD" w:rsidRPr="00EE50DD" w:rsidRDefault="00EE50DD" w:rsidP="00EE50DD">
      <w:pPr>
        <w:pStyle w:val="Body"/>
        <w:spacing w:after="0"/>
        <w:rPr>
          <w:rFonts w:ascii="Arial" w:hAnsi="Arial" w:cs="Arial"/>
          <w:i/>
          <w:iCs/>
          <w:lang w:val="en-GB"/>
        </w:rPr>
      </w:pPr>
      <w:r w:rsidRPr="00EE50DD">
        <w:rPr>
          <w:rFonts w:ascii="Arial" w:hAnsi="Arial" w:cs="Arial"/>
          <w:i/>
          <w:iCs/>
          <w:lang w:val="en-GB"/>
        </w:rPr>
        <w:t>2.2.2.2. Final Preparation for GC-MS Analysis</w:t>
      </w:r>
    </w:p>
    <w:p w14:paraId="5EF1F330" w14:textId="77777777" w:rsidR="00EE50DD" w:rsidRPr="00EE50DD" w:rsidRDefault="00EE50DD" w:rsidP="00EE50DD">
      <w:pPr>
        <w:pStyle w:val="Body"/>
        <w:spacing w:after="0"/>
        <w:rPr>
          <w:rFonts w:ascii="Arial" w:hAnsi="Arial" w:cs="Arial"/>
          <w:lang w:val="en-GB"/>
        </w:rPr>
      </w:pPr>
      <w:r w:rsidRPr="00EE50DD">
        <w:rPr>
          <w:rFonts w:ascii="Arial" w:hAnsi="Arial" w:cs="Arial"/>
          <w:lang w:val="en-GB"/>
        </w:rPr>
        <w:t>To the concentrated extract, 250 µL of isooctane was added, and the solution was then evaporated under a gentle stream of nitrogen to a volume of approximately 300 µL. Finally, 50 µL of a combined 10 ng/µL internal standard solution was added, and the final volume was adjusted to 500 µL with isooctane.</w:t>
      </w:r>
    </w:p>
    <w:p w14:paraId="593B7F4C" w14:textId="1FBC5663" w:rsidR="00FB62FD" w:rsidRPr="00BC1731" w:rsidRDefault="00FB62FD" w:rsidP="00FB62FD">
      <w:pPr>
        <w:pStyle w:val="Body"/>
        <w:spacing w:after="0"/>
        <w:rPr>
          <w:rFonts w:ascii="Arial" w:hAnsi="Arial" w:cs="Arial"/>
          <w:lang w:val="en-GB"/>
        </w:rPr>
      </w:pPr>
    </w:p>
    <w:p w14:paraId="5A8F7B1F" w14:textId="44044D2F" w:rsidR="00FB62FD" w:rsidRPr="00FB62FD" w:rsidRDefault="00FB62FD" w:rsidP="00FB62FD">
      <w:pPr>
        <w:pStyle w:val="Body"/>
        <w:spacing w:after="0"/>
        <w:rPr>
          <w:rFonts w:ascii="Arial" w:hAnsi="Arial" w:cs="Arial"/>
          <w:i/>
          <w:iCs/>
          <w:lang w:val="en-GB"/>
        </w:rPr>
      </w:pPr>
      <w:r w:rsidRPr="00FB62FD">
        <w:rPr>
          <w:rFonts w:ascii="Arial" w:hAnsi="Arial" w:cs="Arial"/>
          <w:i/>
          <w:iCs/>
          <w:lang w:val="en-GB"/>
        </w:rPr>
        <w:t>2.2.2.3. GC-MS Analysis</w:t>
      </w:r>
    </w:p>
    <w:p w14:paraId="4D734ADF" w14:textId="77777777" w:rsidR="00FB62FD" w:rsidRPr="00FB62FD" w:rsidRDefault="00FB62FD" w:rsidP="00FB62FD">
      <w:pPr>
        <w:pStyle w:val="Body"/>
        <w:spacing w:after="0"/>
        <w:rPr>
          <w:rFonts w:ascii="Arial" w:hAnsi="Arial" w:cs="Arial"/>
          <w:lang w:val="en-GB"/>
        </w:rPr>
      </w:pPr>
      <w:r w:rsidRPr="00FB62FD">
        <w:rPr>
          <w:rFonts w:ascii="Arial" w:hAnsi="Arial" w:cs="Arial"/>
          <w:lang w:val="en-GB"/>
        </w:rPr>
        <w:t xml:space="preserve">PAH analysis was performed using an Agilent 7890B gas chromatography system coupled to an Agilent 7000C triple quadrupole mass spectrometer (GC-MS/MS), equipped with an Agilent 7683A ALS automatic injector (Agilent Technologies, Santa Clara, CA). Chromatographic separation was achieved on an HP-5MS capillary column (30 m × 0.25 mm × 0.25 µm; Agilent J&amp;W). High-purity helium (≥ 99.999%) was used as the carrier gas at a constant flow rate of 1.5 mL/min. Injections were performed in </w:t>
      </w:r>
      <w:proofErr w:type="spellStart"/>
      <w:r w:rsidRPr="00FB62FD">
        <w:rPr>
          <w:rFonts w:ascii="Arial" w:hAnsi="Arial" w:cs="Arial"/>
          <w:lang w:val="en-GB"/>
        </w:rPr>
        <w:t>splitless</w:t>
      </w:r>
      <w:proofErr w:type="spellEnd"/>
      <w:r w:rsidRPr="00FB62FD">
        <w:rPr>
          <w:rFonts w:ascii="Arial" w:hAnsi="Arial" w:cs="Arial"/>
          <w:lang w:val="en-GB"/>
        </w:rPr>
        <w:t xml:space="preserve"> mode, introducing 1 µL of sample at 240 °C. Mass spectrometric analysis was conducted in electron ionization (EI) mode at 70 eV. Temperatures were set at 280 °C for the transfer line, 230 °C for the ion source, and 150 °C for the quadrupole </w:t>
      </w:r>
      <w:proofErr w:type="spellStart"/>
      <w:r w:rsidRPr="00FB62FD">
        <w:rPr>
          <w:rFonts w:ascii="Arial" w:hAnsi="Arial" w:cs="Arial"/>
          <w:lang w:val="en-GB"/>
        </w:rPr>
        <w:t>analyzer</w:t>
      </w:r>
      <w:proofErr w:type="spellEnd"/>
      <w:r w:rsidRPr="00FB62FD">
        <w:rPr>
          <w:rFonts w:ascii="Arial" w:hAnsi="Arial" w:cs="Arial"/>
          <w:lang w:val="en-GB"/>
        </w:rPr>
        <w:t>. A solvent delay of 4 minutes was applied. The GC oven temperature program was as follows:</w:t>
      </w:r>
    </w:p>
    <w:p w14:paraId="5B0C3B74" w14:textId="77777777" w:rsidR="00FB62FD" w:rsidRPr="00FB62FD" w:rsidRDefault="00FB62FD" w:rsidP="00FB62FD">
      <w:pPr>
        <w:pStyle w:val="Body"/>
        <w:numPr>
          <w:ilvl w:val="0"/>
          <w:numId w:val="33"/>
        </w:numPr>
        <w:spacing w:after="0"/>
        <w:rPr>
          <w:rFonts w:ascii="Arial" w:hAnsi="Arial" w:cs="Arial"/>
          <w:lang w:val="fr-CI"/>
        </w:rPr>
      </w:pPr>
      <w:r w:rsidRPr="00FB62FD">
        <w:rPr>
          <w:rFonts w:ascii="Arial" w:hAnsi="Arial" w:cs="Arial"/>
          <w:lang w:val="fr-CI"/>
        </w:rPr>
        <w:t>50 °C for 2 min;</w:t>
      </w:r>
    </w:p>
    <w:p w14:paraId="7F51C74D" w14:textId="77777777" w:rsidR="00FB62FD" w:rsidRPr="00FB62FD" w:rsidRDefault="00FB62FD" w:rsidP="00FB62FD">
      <w:pPr>
        <w:pStyle w:val="Body"/>
        <w:numPr>
          <w:ilvl w:val="0"/>
          <w:numId w:val="33"/>
        </w:numPr>
        <w:spacing w:after="0"/>
        <w:rPr>
          <w:rFonts w:ascii="Arial" w:hAnsi="Arial" w:cs="Arial"/>
          <w:lang w:val="en-GB"/>
        </w:rPr>
      </w:pPr>
      <w:r w:rsidRPr="00FB62FD">
        <w:rPr>
          <w:rFonts w:ascii="Arial" w:hAnsi="Arial" w:cs="Arial"/>
          <w:lang w:val="en-GB"/>
        </w:rPr>
        <w:t>Ramp at 5 °C/min to 155 °C, held for 2 min;</w:t>
      </w:r>
    </w:p>
    <w:p w14:paraId="7F57BFF7" w14:textId="77777777" w:rsidR="00FB62FD" w:rsidRPr="00FB62FD" w:rsidRDefault="00FB62FD" w:rsidP="00FB62FD">
      <w:pPr>
        <w:pStyle w:val="Body"/>
        <w:numPr>
          <w:ilvl w:val="0"/>
          <w:numId w:val="33"/>
        </w:numPr>
        <w:spacing w:after="0"/>
        <w:rPr>
          <w:rFonts w:ascii="Arial" w:hAnsi="Arial" w:cs="Arial"/>
          <w:lang w:val="en-GB"/>
        </w:rPr>
      </w:pPr>
      <w:r w:rsidRPr="00FB62FD">
        <w:rPr>
          <w:rFonts w:ascii="Arial" w:hAnsi="Arial" w:cs="Arial"/>
          <w:lang w:val="en-GB"/>
        </w:rPr>
        <w:t>Ramp at 3 °C/min to 280 °C, held for 2 min.</w:t>
      </w:r>
    </w:p>
    <w:p w14:paraId="646C759E" w14:textId="77777777" w:rsidR="00FB62FD" w:rsidRPr="00FB62FD" w:rsidRDefault="00FB62FD" w:rsidP="00FB62FD">
      <w:pPr>
        <w:pStyle w:val="Body"/>
        <w:spacing w:after="0"/>
        <w:rPr>
          <w:rFonts w:ascii="Arial" w:hAnsi="Arial" w:cs="Arial"/>
          <w:lang w:val="en-GB"/>
        </w:rPr>
      </w:pPr>
      <w:r w:rsidRPr="00FB62FD">
        <w:rPr>
          <w:rFonts w:ascii="Arial" w:hAnsi="Arial" w:cs="Arial"/>
          <w:lang w:val="en-GB"/>
        </w:rPr>
        <w:lastRenderedPageBreak/>
        <w:t>The total analysis time was 69 min.</w:t>
      </w:r>
    </w:p>
    <w:p w14:paraId="2FE91739" w14:textId="77777777" w:rsidR="00FB62FD" w:rsidRPr="00FB62FD" w:rsidRDefault="00FB62FD" w:rsidP="00FB62FD">
      <w:pPr>
        <w:pStyle w:val="Body"/>
        <w:spacing w:after="0"/>
        <w:rPr>
          <w:rFonts w:ascii="Arial" w:hAnsi="Arial" w:cs="Arial"/>
          <w:lang w:val="en-GB"/>
        </w:rPr>
      </w:pPr>
      <w:r w:rsidRPr="00FB62FD">
        <w:rPr>
          <w:rFonts w:ascii="Arial" w:hAnsi="Arial" w:cs="Arial"/>
          <w:lang w:val="en-GB"/>
        </w:rPr>
        <w:t>Acquisition was performed in Multiple Reaction Monitoring (MRM) mode, with two specific transitions selected per analyte (precursor → product). The first transition was used for quantitative analysis, while the second provided structural confirmation. This acquisition mode offers enhanced selectivity, reducing potential interferences and significantly improving sensitivity compared to conventional SIM mode. Quantification was based on the peak area ratio (PAH / internal standard).</w:t>
      </w:r>
    </w:p>
    <w:p w14:paraId="06B772F5" w14:textId="65FC3F3D" w:rsidR="004828B3" w:rsidRPr="00FB62FD" w:rsidRDefault="00FB62FD" w:rsidP="00FB62FD">
      <w:pPr>
        <w:pStyle w:val="Body"/>
        <w:spacing w:after="0"/>
        <w:rPr>
          <w:rFonts w:ascii="Arial" w:hAnsi="Arial" w:cs="Arial"/>
          <w:lang w:val="en-GB"/>
        </w:rPr>
      </w:pPr>
      <w:r w:rsidRPr="00FB62FD">
        <w:rPr>
          <w:rFonts w:ascii="Arial" w:hAnsi="Arial" w:cs="Arial"/>
          <w:lang w:val="en-GB"/>
        </w:rPr>
        <w:t>The calibration range was established from 0.01 to 5.00 ng/µL, distributed over seven concentration levels: 0.01 – 0.05 – 0.10 – 0.50 – 1.00 – 2.50 – 5.00 ng/µL. Each solution was prepared by successive dilution of a 10 ng/µL intermediate standard mixture in isooctane. A deuterated internal standard solution was added at a constant concentration of 0.5 ng/µL to each vial. Linearity of the curves was verified for each compound across the entire range with a correlation coefficient r² ≥ 0.995, in accordance with the requirements of method MA.400 – PAH 1.1. Limits of detection (LOD) and limits of quantification (LOQ) were calculated from the signal-to-noise ratio (3:1 for LOD; 10:1 for LOQ). The obtained LO</w:t>
      </w:r>
      <w:r w:rsidR="004760B9">
        <w:rPr>
          <w:rFonts w:ascii="Arial" w:hAnsi="Arial" w:cs="Arial"/>
          <w:lang w:val="en-GB"/>
        </w:rPr>
        <w:t>D</w:t>
      </w:r>
      <w:r w:rsidRPr="00FB62FD">
        <w:rPr>
          <w:rFonts w:ascii="Arial" w:hAnsi="Arial" w:cs="Arial"/>
          <w:lang w:val="en-GB"/>
        </w:rPr>
        <w:t xml:space="preserve"> value was 0.0</w:t>
      </w:r>
      <w:r w:rsidR="00A85C81">
        <w:rPr>
          <w:rFonts w:ascii="Arial" w:hAnsi="Arial" w:cs="Arial"/>
          <w:lang w:val="en-GB"/>
        </w:rPr>
        <w:t xml:space="preserve">05 </w:t>
      </w:r>
      <w:r w:rsidRPr="00FB62FD">
        <w:rPr>
          <w:rFonts w:ascii="Arial" w:hAnsi="Arial" w:cs="Arial"/>
          <w:lang w:val="en-GB"/>
        </w:rPr>
        <w:t>µg/L</w:t>
      </w:r>
      <w:r w:rsidR="004760B9">
        <w:rPr>
          <w:rFonts w:ascii="Arial" w:hAnsi="Arial" w:cs="Arial"/>
          <w:lang w:val="en-GB"/>
        </w:rPr>
        <w:t xml:space="preserve"> and the that of LOQ was </w:t>
      </w:r>
      <w:r w:rsidR="00A85C81">
        <w:rPr>
          <w:rFonts w:ascii="Arial" w:hAnsi="Arial" w:cs="Arial"/>
          <w:lang w:val="en-GB"/>
        </w:rPr>
        <w:t>0,01</w:t>
      </w:r>
      <w:r w:rsidR="004760B9">
        <w:rPr>
          <w:rFonts w:ascii="Arial" w:hAnsi="Arial" w:cs="Arial"/>
          <w:lang w:val="en-GB"/>
        </w:rPr>
        <w:t xml:space="preserve"> µg/L</w:t>
      </w:r>
      <w:r w:rsidRPr="00FB62FD">
        <w:rPr>
          <w:rFonts w:ascii="Arial" w:hAnsi="Arial" w:cs="Arial"/>
          <w:lang w:val="en-GB"/>
        </w:rPr>
        <w:t>. Each calibration level was injected at least in duplicate, and the calculated coefficients of variation (%CV) were all less than 15%, ensuring good stability of the analytical system. PAH recovery rates were evaluated using blank samples fortified with surrogate standards. The obtained values ranged between 91% and 109%, adhering to the international acceptability range of 80% to 120% for trace compounds in environmental matrices.</w:t>
      </w:r>
    </w:p>
    <w:p w14:paraId="4324EE32" w14:textId="77777777" w:rsidR="004828B3" w:rsidRPr="007510D6" w:rsidRDefault="004828B3" w:rsidP="00441B6F">
      <w:pPr>
        <w:pStyle w:val="Body"/>
        <w:spacing w:after="0"/>
        <w:rPr>
          <w:rFonts w:ascii="Arial" w:hAnsi="Arial" w:cs="Arial"/>
          <w:u w:val="single"/>
        </w:rPr>
      </w:pPr>
    </w:p>
    <w:p w14:paraId="4227BABF" w14:textId="221B164F" w:rsidR="007510D6" w:rsidRPr="007510D6" w:rsidRDefault="007510D6" w:rsidP="004828B3">
      <w:pPr>
        <w:jc w:val="both"/>
        <w:rPr>
          <w:rFonts w:ascii="Times New Roman" w:hAnsi="Times New Roman"/>
          <w:i/>
          <w:iCs/>
          <w:sz w:val="24"/>
          <w:szCs w:val="24"/>
        </w:rPr>
      </w:pPr>
      <w:r w:rsidRPr="007510D6">
        <w:rPr>
          <w:rFonts w:ascii="Arial" w:hAnsi="Arial" w:cs="Arial"/>
          <w:b/>
          <w:bCs/>
          <w:u w:val="single"/>
        </w:rPr>
        <w:t>2.2.</w:t>
      </w:r>
      <w:r w:rsidR="004828B3">
        <w:rPr>
          <w:rFonts w:ascii="Arial" w:hAnsi="Arial" w:cs="Arial"/>
          <w:b/>
          <w:bCs/>
          <w:u w:val="single"/>
        </w:rPr>
        <w:t>3</w:t>
      </w:r>
      <w:r w:rsidRPr="007510D6">
        <w:rPr>
          <w:rFonts w:ascii="Arial" w:hAnsi="Arial" w:cs="Arial"/>
          <w:b/>
          <w:bCs/>
          <w:u w:val="single"/>
        </w:rPr>
        <w:t>.</w:t>
      </w:r>
      <w:r>
        <w:rPr>
          <w:rFonts w:ascii="Arial" w:hAnsi="Arial" w:cs="Arial"/>
          <w:b/>
          <w:bCs/>
          <w:u w:val="single"/>
        </w:rPr>
        <w:t xml:space="preserve"> </w:t>
      </w:r>
      <w:r w:rsidRPr="007510D6">
        <w:rPr>
          <w:rFonts w:ascii="Arial" w:hAnsi="Arial" w:cs="Arial"/>
          <w:b/>
          <w:bCs/>
          <w:u w:val="single"/>
        </w:rPr>
        <w:t>Determination of the origin</w:t>
      </w:r>
    </w:p>
    <w:p w14:paraId="09341BCA" w14:textId="77777777" w:rsidR="007510D6" w:rsidRPr="00007E18" w:rsidRDefault="007510D6" w:rsidP="00007E18">
      <w:pPr>
        <w:jc w:val="both"/>
        <w:rPr>
          <w:rFonts w:ascii="Arial" w:hAnsi="Arial" w:cs="Arial"/>
        </w:rPr>
      </w:pPr>
      <w:r w:rsidRPr="00007E18">
        <w:rPr>
          <w:rFonts w:ascii="Arial" w:hAnsi="Arial" w:cs="Arial"/>
        </w:rPr>
        <w:t>Several ratios of PAH molecular weights are commonly employed to ascertain their origins in water and sediment samples. Notably, the ANT</w:t>
      </w:r>
      <w:proofErr w:type="gramStart"/>
      <w:r w:rsidRPr="00007E18">
        <w:rPr>
          <w:rFonts w:ascii="Arial" w:hAnsi="Arial" w:cs="Arial"/>
        </w:rPr>
        <w:t>/(</w:t>
      </w:r>
      <w:proofErr w:type="gramEnd"/>
      <w:r w:rsidRPr="00007E18">
        <w:rPr>
          <w:rFonts w:ascii="Arial" w:hAnsi="Arial" w:cs="Arial"/>
        </w:rPr>
        <w:t>ANT + PHEN) and FLR</w:t>
      </w:r>
      <w:proofErr w:type="gramStart"/>
      <w:r w:rsidRPr="00007E18">
        <w:rPr>
          <w:rFonts w:ascii="Arial" w:hAnsi="Arial" w:cs="Arial"/>
        </w:rPr>
        <w:t>/(</w:t>
      </w:r>
      <w:proofErr w:type="gramEnd"/>
      <w:r w:rsidRPr="00007E18">
        <w:rPr>
          <w:rFonts w:ascii="Arial" w:hAnsi="Arial" w:cs="Arial"/>
        </w:rPr>
        <w:t>FLR + PYR) ratios are frequently utilized.</w:t>
      </w:r>
    </w:p>
    <w:p w14:paraId="2F1AC52A" w14:textId="77777777" w:rsidR="007510D6" w:rsidRPr="00007E18" w:rsidRDefault="007510D6" w:rsidP="00007E18">
      <w:pPr>
        <w:jc w:val="both"/>
        <w:rPr>
          <w:rFonts w:ascii="Arial" w:hAnsi="Arial" w:cs="Arial"/>
        </w:rPr>
      </w:pPr>
      <w:r w:rsidRPr="00007E18">
        <w:rPr>
          <w:rFonts w:ascii="Arial" w:hAnsi="Arial" w:cs="Arial"/>
        </w:rPr>
        <w:t>For the ANT</w:t>
      </w:r>
      <w:proofErr w:type="gramStart"/>
      <w:r w:rsidRPr="00007E18">
        <w:rPr>
          <w:rFonts w:ascii="Arial" w:hAnsi="Arial" w:cs="Arial"/>
        </w:rPr>
        <w:t>/(</w:t>
      </w:r>
      <w:proofErr w:type="gramEnd"/>
      <w:r w:rsidRPr="00007E18">
        <w:rPr>
          <w:rFonts w:ascii="Arial" w:hAnsi="Arial" w:cs="Arial"/>
        </w:rPr>
        <w:t>ANT + PHEN) ratio:</w:t>
      </w:r>
    </w:p>
    <w:p w14:paraId="310A9940" w14:textId="77777777" w:rsidR="007510D6" w:rsidRPr="00007E18" w:rsidRDefault="007510D6" w:rsidP="00007E18">
      <w:pPr>
        <w:ind w:firstLine="360"/>
        <w:jc w:val="both"/>
        <w:rPr>
          <w:rFonts w:ascii="Arial" w:hAnsi="Arial" w:cs="Arial"/>
        </w:rPr>
      </w:pPr>
      <w:r w:rsidRPr="00007E18">
        <w:rPr>
          <w:rFonts w:ascii="Arial" w:hAnsi="Arial" w:cs="Arial"/>
        </w:rPr>
        <w:t>- a value of &lt; 0.1 indicates a petrogenic origin for PAHs;</w:t>
      </w:r>
    </w:p>
    <w:p w14:paraId="7EA6008A" w14:textId="77777777" w:rsidR="007510D6" w:rsidRPr="00007E18" w:rsidRDefault="007510D6" w:rsidP="00007E18">
      <w:pPr>
        <w:ind w:firstLine="360"/>
        <w:jc w:val="both"/>
        <w:rPr>
          <w:rFonts w:ascii="Arial" w:hAnsi="Arial" w:cs="Arial"/>
        </w:rPr>
      </w:pPr>
      <w:r w:rsidRPr="00007E18">
        <w:rPr>
          <w:rFonts w:ascii="Arial" w:hAnsi="Arial" w:cs="Arial"/>
        </w:rPr>
        <w:t>- a value of &gt; 0.1 suggests a pyrogenic origin for PAHs;</w:t>
      </w:r>
    </w:p>
    <w:p w14:paraId="416FBB99" w14:textId="77777777" w:rsidR="007510D6" w:rsidRPr="00007E18" w:rsidRDefault="007510D6" w:rsidP="00007E18">
      <w:pPr>
        <w:ind w:firstLine="360"/>
        <w:jc w:val="both"/>
        <w:rPr>
          <w:rFonts w:ascii="Arial" w:hAnsi="Arial" w:cs="Arial"/>
        </w:rPr>
      </w:pPr>
      <w:r w:rsidRPr="00007E18">
        <w:rPr>
          <w:rFonts w:ascii="Arial" w:hAnsi="Arial" w:cs="Arial"/>
        </w:rPr>
        <w:t>- a value of &lt; 0.4 points to a petrogenic source.</w:t>
      </w:r>
    </w:p>
    <w:p w14:paraId="767CB405" w14:textId="77777777" w:rsidR="007510D6" w:rsidRPr="00007E18" w:rsidRDefault="007510D6" w:rsidP="00007E18">
      <w:pPr>
        <w:jc w:val="both"/>
        <w:rPr>
          <w:rFonts w:ascii="Arial" w:hAnsi="Arial" w:cs="Arial"/>
        </w:rPr>
      </w:pPr>
      <w:r w:rsidRPr="00007E18">
        <w:rPr>
          <w:rFonts w:ascii="Arial" w:hAnsi="Arial" w:cs="Arial"/>
        </w:rPr>
        <w:t>As for the FLR</w:t>
      </w:r>
      <w:proofErr w:type="gramStart"/>
      <w:r w:rsidRPr="00007E18">
        <w:rPr>
          <w:rFonts w:ascii="Arial" w:hAnsi="Arial" w:cs="Arial"/>
        </w:rPr>
        <w:t>/(</w:t>
      </w:r>
      <w:proofErr w:type="gramEnd"/>
      <w:r w:rsidRPr="00007E18">
        <w:rPr>
          <w:rFonts w:ascii="Arial" w:hAnsi="Arial" w:cs="Arial"/>
        </w:rPr>
        <w:t>FLR + PYR) ratio:</w:t>
      </w:r>
    </w:p>
    <w:p w14:paraId="2913230C" w14:textId="77777777" w:rsidR="007510D6" w:rsidRPr="00007E18" w:rsidRDefault="007510D6" w:rsidP="00007E18">
      <w:pPr>
        <w:ind w:left="360"/>
        <w:jc w:val="both"/>
        <w:rPr>
          <w:rFonts w:ascii="Arial" w:hAnsi="Arial" w:cs="Arial"/>
        </w:rPr>
      </w:pPr>
      <w:r w:rsidRPr="00007E18">
        <w:rPr>
          <w:rFonts w:ascii="Arial" w:hAnsi="Arial" w:cs="Arial"/>
        </w:rPr>
        <w:t>- value between 0.4 and 0.5 indicates that the PAHs originate from petroleum-derived fuels;</w:t>
      </w:r>
    </w:p>
    <w:p w14:paraId="16A0E4F7" w14:textId="27096D26" w:rsidR="007510D6" w:rsidRPr="00007E18" w:rsidRDefault="007510D6" w:rsidP="00007E18">
      <w:pPr>
        <w:ind w:left="360"/>
        <w:jc w:val="both"/>
        <w:rPr>
          <w:rFonts w:ascii="Arial" w:hAnsi="Arial" w:cs="Arial"/>
        </w:rPr>
      </w:pPr>
      <w:r w:rsidRPr="00007E18">
        <w:rPr>
          <w:rFonts w:ascii="Arial" w:hAnsi="Arial" w:cs="Arial"/>
        </w:rPr>
        <w:t>- a value of &gt; 0.5 suggests that the PAHs stem from the incomplete combustion of organic matter (e.g., coal, vegetation);</w:t>
      </w:r>
    </w:p>
    <w:p w14:paraId="357C98D8" w14:textId="77777777" w:rsidR="007510D6" w:rsidRPr="00007E18" w:rsidRDefault="007510D6" w:rsidP="00007E18">
      <w:pPr>
        <w:ind w:firstLine="360"/>
        <w:jc w:val="both"/>
        <w:rPr>
          <w:rFonts w:ascii="Arial" w:hAnsi="Arial" w:cs="Arial"/>
        </w:rPr>
      </w:pPr>
      <w:r w:rsidRPr="00007E18">
        <w:rPr>
          <w:rFonts w:ascii="Arial" w:hAnsi="Arial" w:cs="Arial"/>
        </w:rPr>
        <w:t>- a value of &lt; 0.2 signifies a petrogenic origin (Howard et al., 2021).</w:t>
      </w:r>
    </w:p>
    <w:p w14:paraId="0ADA2508" w14:textId="77777777" w:rsidR="0055463B" w:rsidRDefault="0055463B" w:rsidP="00441B6F">
      <w:pPr>
        <w:pStyle w:val="Body"/>
        <w:spacing w:after="0"/>
        <w:rPr>
          <w:rFonts w:ascii="Arial" w:hAnsi="Arial" w:cs="Arial"/>
        </w:rPr>
      </w:pPr>
    </w:p>
    <w:p w14:paraId="79FE27C4" w14:textId="4DD86403" w:rsidR="004828B3" w:rsidRPr="007510D6" w:rsidRDefault="004828B3" w:rsidP="004828B3">
      <w:pPr>
        <w:jc w:val="both"/>
        <w:rPr>
          <w:rFonts w:ascii="Arial" w:hAnsi="Arial" w:cs="Arial"/>
          <w:b/>
          <w:bCs/>
          <w:u w:val="single"/>
        </w:rPr>
      </w:pPr>
      <w:r w:rsidRPr="007510D6">
        <w:rPr>
          <w:rFonts w:ascii="Arial" w:hAnsi="Arial" w:cs="Arial"/>
          <w:b/>
          <w:bCs/>
          <w:u w:val="single"/>
        </w:rPr>
        <w:t>2.2.</w:t>
      </w:r>
      <w:r>
        <w:rPr>
          <w:rFonts w:ascii="Arial" w:hAnsi="Arial" w:cs="Arial"/>
          <w:b/>
          <w:bCs/>
          <w:u w:val="single"/>
        </w:rPr>
        <w:t>4</w:t>
      </w:r>
      <w:r w:rsidRPr="007510D6">
        <w:rPr>
          <w:rFonts w:ascii="Arial" w:hAnsi="Arial" w:cs="Arial"/>
          <w:b/>
          <w:bCs/>
          <w:u w:val="single"/>
        </w:rPr>
        <w:t>.</w:t>
      </w:r>
      <w:r>
        <w:rPr>
          <w:rFonts w:ascii="Arial" w:hAnsi="Arial" w:cs="Arial"/>
          <w:b/>
          <w:bCs/>
          <w:u w:val="single"/>
        </w:rPr>
        <w:t xml:space="preserve"> </w:t>
      </w:r>
      <w:r w:rsidRPr="007510D6">
        <w:rPr>
          <w:rFonts w:ascii="Arial" w:hAnsi="Arial" w:cs="Arial"/>
          <w:b/>
          <w:bCs/>
          <w:u w:val="single"/>
        </w:rPr>
        <w:t>Determination</w:t>
      </w:r>
      <w:r>
        <w:rPr>
          <w:rFonts w:ascii="Arial" w:hAnsi="Arial" w:cs="Arial"/>
          <w:b/>
          <w:bCs/>
          <w:u w:val="single"/>
        </w:rPr>
        <w:t xml:space="preserve"> of</w:t>
      </w:r>
      <w:r w:rsidRPr="007510D6">
        <w:rPr>
          <w:rFonts w:ascii="Arial" w:hAnsi="Arial" w:cs="Arial"/>
          <w:b/>
          <w:bCs/>
          <w:u w:val="single"/>
        </w:rPr>
        <w:t xml:space="preserve"> contamination levels</w:t>
      </w:r>
      <w:r>
        <w:rPr>
          <w:rFonts w:ascii="Arial" w:hAnsi="Arial" w:cs="Arial"/>
          <w:b/>
          <w:bCs/>
          <w:u w:val="single"/>
        </w:rPr>
        <w:t xml:space="preserve"> of water by 16 PAHs</w:t>
      </w:r>
    </w:p>
    <w:p w14:paraId="3EDCED67" w14:textId="77777777" w:rsidR="001D2ECC" w:rsidRDefault="001D2ECC" w:rsidP="001D2ECC">
      <w:pPr>
        <w:jc w:val="both"/>
        <w:rPr>
          <w:rFonts w:ascii="Arial" w:hAnsi="Arial" w:cs="Arial"/>
        </w:rPr>
      </w:pPr>
      <w:r w:rsidRPr="001D2ECC">
        <w:rPr>
          <w:rFonts w:ascii="Arial" w:hAnsi="Arial" w:cs="Arial"/>
        </w:rPr>
        <w:t xml:space="preserve">The SEQ-Eau V2 guidelines (MEDD et </w:t>
      </w:r>
      <w:proofErr w:type="spellStart"/>
      <w:r w:rsidRPr="001D2ECC">
        <w:rPr>
          <w:rFonts w:ascii="Arial" w:hAnsi="Arial" w:cs="Arial"/>
        </w:rPr>
        <w:t>Agence</w:t>
      </w:r>
      <w:proofErr w:type="spellEnd"/>
      <w:r w:rsidRPr="001D2ECC">
        <w:rPr>
          <w:rFonts w:ascii="Arial" w:hAnsi="Arial" w:cs="Arial"/>
        </w:rPr>
        <w:t xml:space="preserve"> de </w:t>
      </w:r>
      <w:proofErr w:type="spellStart"/>
      <w:r w:rsidRPr="001D2ECC">
        <w:rPr>
          <w:rFonts w:ascii="Arial" w:hAnsi="Arial" w:cs="Arial"/>
        </w:rPr>
        <w:t>l'eau</w:t>
      </w:r>
      <w:proofErr w:type="spellEnd"/>
      <w:r w:rsidRPr="001D2ECC">
        <w:rPr>
          <w:rFonts w:ascii="Arial" w:hAnsi="Arial" w:cs="Arial"/>
        </w:rPr>
        <w:t>, 2003) are utilized to define water quality based on the presence of polycyclic aromatic hydrocarbons (PAHs), including the 16 priority PAHs identified by the US-EPA (1982). These guidelines were employed for this purpose in the present study.</w:t>
      </w:r>
    </w:p>
    <w:p w14:paraId="32D19113" w14:textId="77777777" w:rsidR="004828B3" w:rsidRDefault="004828B3" w:rsidP="001D2ECC">
      <w:pPr>
        <w:jc w:val="both"/>
        <w:rPr>
          <w:rFonts w:ascii="Arial" w:hAnsi="Arial" w:cs="Arial"/>
        </w:rPr>
      </w:pPr>
    </w:p>
    <w:p w14:paraId="51D5BEF2" w14:textId="4E5B1DD6" w:rsidR="004828B3" w:rsidRPr="001D2ECC" w:rsidRDefault="004828B3" w:rsidP="001D2ECC">
      <w:pPr>
        <w:jc w:val="both"/>
        <w:rPr>
          <w:rFonts w:ascii="Arial" w:hAnsi="Arial" w:cs="Arial"/>
        </w:rPr>
      </w:pPr>
      <w:r w:rsidRPr="007510D6">
        <w:rPr>
          <w:rFonts w:ascii="Arial" w:hAnsi="Arial" w:cs="Arial"/>
          <w:b/>
          <w:bCs/>
          <w:u w:val="single"/>
        </w:rPr>
        <w:t>2.2.</w:t>
      </w:r>
      <w:r>
        <w:rPr>
          <w:rFonts w:ascii="Arial" w:hAnsi="Arial" w:cs="Arial"/>
          <w:b/>
          <w:bCs/>
          <w:u w:val="single"/>
        </w:rPr>
        <w:t>5</w:t>
      </w:r>
      <w:r w:rsidRPr="007510D6">
        <w:rPr>
          <w:rFonts w:ascii="Arial" w:hAnsi="Arial" w:cs="Arial"/>
          <w:b/>
          <w:bCs/>
          <w:u w:val="single"/>
        </w:rPr>
        <w:t>.</w:t>
      </w:r>
      <w:r>
        <w:rPr>
          <w:rFonts w:ascii="Arial" w:hAnsi="Arial" w:cs="Arial"/>
          <w:b/>
          <w:bCs/>
          <w:u w:val="single"/>
        </w:rPr>
        <w:t xml:space="preserve"> Ecological and Health risk assessment </w:t>
      </w:r>
    </w:p>
    <w:p w14:paraId="771D3A38" w14:textId="0A6A7FA9" w:rsidR="00086BEF" w:rsidRPr="00086BEF" w:rsidRDefault="00086BEF" w:rsidP="00086BEF">
      <w:pPr>
        <w:jc w:val="both"/>
        <w:rPr>
          <w:rFonts w:ascii="Arial" w:hAnsi="Arial" w:cs="Arial"/>
          <w:i/>
          <w:iCs/>
        </w:rPr>
      </w:pPr>
      <w:r w:rsidRPr="00086BEF">
        <w:rPr>
          <w:rFonts w:ascii="Arial" w:hAnsi="Arial" w:cs="Arial"/>
          <w:i/>
          <w:iCs/>
        </w:rPr>
        <w:t>2.2.</w:t>
      </w:r>
      <w:r w:rsidR="004828B3">
        <w:rPr>
          <w:rFonts w:ascii="Arial" w:hAnsi="Arial" w:cs="Arial"/>
          <w:i/>
          <w:iCs/>
        </w:rPr>
        <w:t>5.1</w:t>
      </w:r>
      <w:r w:rsidRPr="00086BEF">
        <w:rPr>
          <w:rFonts w:ascii="Arial" w:hAnsi="Arial" w:cs="Arial"/>
          <w:i/>
          <w:iCs/>
        </w:rPr>
        <w:t>. Ecological and human health risk assessment according to Environmental Quality Standards (EQS) defined by 2013/39/EU</w:t>
      </w:r>
    </w:p>
    <w:p w14:paraId="374F5B46" w14:textId="77777777" w:rsidR="00086BEF" w:rsidRPr="00086BEF" w:rsidRDefault="00086BEF" w:rsidP="00086BEF">
      <w:pPr>
        <w:jc w:val="both"/>
        <w:rPr>
          <w:rFonts w:ascii="Arial" w:hAnsi="Arial" w:cs="Arial"/>
        </w:rPr>
      </w:pPr>
      <w:r w:rsidRPr="00086BEF">
        <w:rPr>
          <w:rFonts w:ascii="Arial" w:hAnsi="Arial" w:cs="Arial"/>
        </w:rPr>
        <w:t xml:space="preserve">The EQS, as defined by Directive 2013/39/EU (OJEU, 2013), establish the risk levels for acute toxicity to both humans and aquatic biota. These levels are determined based on the Maximum Annual Concentrations (MACs) of specific PAHs in inland surface waters, notably ANT, </w:t>
      </w:r>
      <w:proofErr w:type="spellStart"/>
      <w:r w:rsidRPr="00086BEF">
        <w:rPr>
          <w:rFonts w:ascii="Arial" w:hAnsi="Arial" w:cs="Arial"/>
        </w:rPr>
        <w:t>BaP</w:t>
      </w:r>
      <w:proofErr w:type="spellEnd"/>
      <w:r w:rsidRPr="00086BEF">
        <w:rPr>
          <w:rFonts w:ascii="Arial" w:hAnsi="Arial" w:cs="Arial"/>
        </w:rPr>
        <w:t xml:space="preserve">, </w:t>
      </w:r>
      <w:proofErr w:type="spellStart"/>
      <w:r w:rsidRPr="00086BEF">
        <w:rPr>
          <w:rFonts w:ascii="Arial" w:hAnsi="Arial" w:cs="Arial"/>
        </w:rPr>
        <w:t>BbF</w:t>
      </w:r>
      <w:proofErr w:type="spellEnd"/>
      <w:r w:rsidRPr="00086BEF">
        <w:rPr>
          <w:rFonts w:ascii="Arial" w:hAnsi="Arial" w:cs="Arial"/>
        </w:rPr>
        <w:t xml:space="preserve">, </w:t>
      </w:r>
      <w:proofErr w:type="spellStart"/>
      <w:r w:rsidRPr="00086BEF">
        <w:rPr>
          <w:rFonts w:ascii="Arial" w:hAnsi="Arial" w:cs="Arial"/>
        </w:rPr>
        <w:t>BkF</w:t>
      </w:r>
      <w:proofErr w:type="spellEnd"/>
      <w:r w:rsidRPr="00086BEF">
        <w:rPr>
          <w:rFonts w:ascii="Arial" w:hAnsi="Arial" w:cs="Arial"/>
        </w:rPr>
        <w:t>, FLR, NPT, and I(1,2,3-c,d)P. Risks become significant when concentrations exceed these thresholds.</w:t>
      </w:r>
    </w:p>
    <w:p w14:paraId="7A6D59AD" w14:textId="77777777" w:rsidR="00086BEF" w:rsidRPr="00086BEF" w:rsidRDefault="00086BEF" w:rsidP="00086BEF">
      <w:pPr>
        <w:jc w:val="both"/>
        <w:rPr>
          <w:rFonts w:ascii="Arial" w:hAnsi="Arial" w:cs="Arial"/>
        </w:rPr>
      </w:pPr>
      <w:r w:rsidRPr="00086BEF">
        <w:rPr>
          <w:rFonts w:ascii="Arial" w:hAnsi="Arial" w:cs="Arial"/>
        </w:rPr>
        <w:t xml:space="preserve">Similarly, chronic risks, for both humans and aquatic biota, are assessed against the Annual Average Concentrations (AACs) of certain PAHs, specifically ANT, </w:t>
      </w:r>
      <w:proofErr w:type="spellStart"/>
      <w:r w:rsidRPr="00086BEF">
        <w:rPr>
          <w:rFonts w:ascii="Arial" w:hAnsi="Arial" w:cs="Arial"/>
        </w:rPr>
        <w:t>BaP</w:t>
      </w:r>
      <w:proofErr w:type="spellEnd"/>
      <w:r w:rsidRPr="00086BEF">
        <w:rPr>
          <w:rFonts w:ascii="Arial" w:hAnsi="Arial" w:cs="Arial"/>
        </w:rPr>
        <w:t xml:space="preserve">, </w:t>
      </w:r>
      <w:proofErr w:type="spellStart"/>
      <w:r w:rsidRPr="00086BEF">
        <w:rPr>
          <w:rFonts w:ascii="Arial" w:hAnsi="Arial" w:cs="Arial"/>
        </w:rPr>
        <w:t>BbF</w:t>
      </w:r>
      <w:proofErr w:type="spellEnd"/>
      <w:r w:rsidRPr="00086BEF">
        <w:rPr>
          <w:rFonts w:ascii="Arial" w:hAnsi="Arial" w:cs="Arial"/>
        </w:rPr>
        <w:t xml:space="preserve">, </w:t>
      </w:r>
      <w:proofErr w:type="spellStart"/>
      <w:r w:rsidRPr="00086BEF">
        <w:rPr>
          <w:rFonts w:ascii="Arial" w:hAnsi="Arial" w:cs="Arial"/>
        </w:rPr>
        <w:t>BkF</w:t>
      </w:r>
      <w:proofErr w:type="spellEnd"/>
      <w:r w:rsidRPr="00086BEF">
        <w:rPr>
          <w:rFonts w:ascii="Arial" w:hAnsi="Arial" w:cs="Arial"/>
        </w:rPr>
        <w:t>, FLR, and NPT.</w:t>
      </w:r>
    </w:p>
    <w:p w14:paraId="50164C77" w14:textId="77777777" w:rsidR="00086BEF" w:rsidRPr="00086BEF" w:rsidRDefault="00086BEF" w:rsidP="00086BEF">
      <w:pPr>
        <w:jc w:val="both"/>
        <w:rPr>
          <w:rFonts w:ascii="Arial" w:hAnsi="Arial" w:cs="Arial"/>
          <w:b/>
          <w:bCs/>
        </w:rPr>
      </w:pPr>
    </w:p>
    <w:p w14:paraId="02804C92" w14:textId="49E026E8" w:rsidR="00086BEF"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5.2</w:t>
      </w:r>
      <w:r w:rsidRPr="00B0476B">
        <w:rPr>
          <w:rFonts w:ascii="Arial" w:hAnsi="Arial" w:cs="Arial"/>
          <w:i/>
          <w:iCs/>
        </w:rPr>
        <w:t>.</w:t>
      </w:r>
      <w:r>
        <w:rPr>
          <w:rFonts w:ascii="Arial" w:hAnsi="Arial" w:cs="Arial"/>
          <w:i/>
          <w:iCs/>
        </w:rPr>
        <w:t xml:space="preserve"> </w:t>
      </w:r>
      <w:r w:rsidR="004828B3">
        <w:rPr>
          <w:rFonts w:ascii="Arial" w:hAnsi="Arial" w:cs="Arial"/>
          <w:i/>
          <w:iCs/>
        </w:rPr>
        <w:t>C</w:t>
      </w:r>
      <w:r w:rsidR="00086BEF" w:rsidRPr="00B0476B">
        <w:rPr>
          <w:rFonts w:ascii="Arial" w:hAnsi="Arial" w:cs="Arial"/>
          <w:i/>
          <w:iCs/>
        </w:rPr>
        <w:t xml:space="preserve">arcinogenic and mutagenic risks </w:t>
      </w:r>
      <w:r w:rsidR="004828B3">
        <w:rPr>
          <w:rFonts w:ascii="Arial" w:hAnsi="Arial" w:cs="Arial"/>
          <w:i/>
          <w:iCs/>
        </w:rPr>
        <w:t xml:space="preserve">assessment </w:t>
      </w:r>
      <w:r w:rsidR="00086BEF" w:rsidRPr="00B0476B">
        <w:rPr>
          <w:rFonts w:ascii="Arial" w:hAnsi="Arial" w:cs="Arial"/>
          <w:i/>
          <w:iCs/>
        </w:rPr>
        <w:t>for aquatic biota</w:t>
      </w:r>
    </w:p>
    <w:p w14:paraId="0F0640A1" w14:textId="77777777" w:rsidR="00086BEF" w:rsidRPr="00B0476B" w:rsidRDefault="00086BEF" w:rsidP="00B0476B">
      <w:pPr>
        <w:jc w:val="both"/>
        <w:rPr>
          <w:rFonts w:ascii="Arial" w:hAnsi="Arial" w:cs="Arial"/>
        </w:rPr>
      </w:pPr>
      <w:r w:rsidRPr="00B0476B">
        <w:rPr>
          <w:rFonts w:ascii="Arial" w:hAnsi="Arial" w:cs="Arial"/>
        </w:rPr>
        <w:t>TEQ-</w:t>
      </w:r>
      <w:proofErr w:type="spellStart"/>
      <w:r w:rsidRPr="00B0476B">
        <w:rPr>
          <w:rFonts w:ascii="Arial" w:hAnsi="Arial" w:cs="Arial"/>
        </w:rPr>
        <w:t>BaP</w:t>
      </w:r>
      <w:proofErr w:type="spellEnd"/>
      <w:r w:rsidRPr="00B0476B">
        <w:rPr>
          <w:rFonts w:ascii="Arial" w:hAnsi="Arial" w:cs="Arial"/>
        </w:rPr>
        <w:t xml:space="preserve"> (Toxic Equivalency Quotient for Benzo[a]pyrene) and MEQ-</w:t>
      </w:r>
      <w:proofErr w:type="spellStart"/>
      <w:r w:rsidRPr="00B0476B">
        <w:rPr>
          <w:rFonts w:ascii="Arial" w:hAnsi="Arial" w:cs="Arial"/>
        </w:rPr>
        <w:t>BaP</w:t>
      </w:r>
      <w:proofErr w:type="spellEnd"/>
      <w:r w:rsidRPr="00B0476B">
        <w:rPr>
          <w:rFonts w:ascii="Arial" w:hAnsi="Arial" w:cs="Arial"/>
        </w:rPr>
        <w:t xml:space="preserve"> (Mutagenic Equivalency Quotient for Benzo[a]pyrene) indices are commonly used to estimate the potential carcinogenic and mutagenic risks to aquatic biota.</w:t>
      </w:r>
    </w:p>
    <w:p w14:paraId="7DEA0DD2" w14:textId="77777777" w:rsidR="00086BEF" w:rsidRPr="00B0476B" w:rsidRDefault="00086BEF" w:rsidP="00B0476B">
      <w:pPr>
        <w:jc w:val="both"/>
        <w:rPr>
          <w:rFonts w:ascii="Arial" w:hAnsi="Arial" w:cs="Arial"/>
        </w:rPr>
      </w:pPr>
      <w:r w:rsidRPr="00B0476B">
        <w:rPr>
          <w:rFonts w:ascii="Arial" w:hAnsi="Arial" w:cs="Arial"/>
        </w:rPr>
        <w:t>TEQ-</w:t>
      </w:r>
      <w:proofErr w:type="spellStart"/>
      <w:r w:rsidRPr="00B0476B">
        <w:rPr>
          <w:rFonts w:ascii="Arial" w:hAnsi="Arial" w:cs="Arial"/>
        </w:rPr>
        <w:t>BaP</w:t>
      </w:r>
      <w:proofErr w:type="spellEnd"/>
      <w:r w:rsidRPr="00B0476B">
        <w:rPr>
          <w:rFonts w:ascii="Arial" w:hAnsi="Arial" w:cs="Arial"/>
        </w:rPr>
        <w:t xml:space="preserve"> represents the carcinogenic toxicity equivalent potential of a given PAH relative to </w:t>
      </w:r>
      <w:proofErr w:type="spellStart"/>
      <w:r w:rsidRPr="00B0476B">
        <w:rPr>
          <w:rFonts w:ascii="Arial" w:hAnsi="Arial" w:cs="Arial"/>
        </w:rPr>
        <w:t>BaP</w:t>
      </w:r>
      <w:proofErr w:type="spellEnd"/>
      <w:r w:rsidRPr="00B0476B">
        <w:rPr>
          <w:rFonts w:ascii="Arial" w:hAnsi="Arial" w:cs="Arial"/>
        </w:rPr>
        <w:t xml:space="preserve"> for a specific biota. For a PAH </w:t>
      </w:r>
      <w:proofErr w:type="spellStart"/>
      <w:r w:rsidRPr="00B0476B">
        <w:rPr>
          <w:rFonts w:ascii="Arial" w:hAnsi="Arial" w:cs="Arial"/>
        </w:rPr>
        <w:t>i</w:t>
      </w:r>
      <w:proofErr w:type="spellEnd"/>
      <w:r w:rsidRPr="00B0476B">
        <w:rPr>
          <w:rFonts w:ascii="Arial" w:hAnsi="Arial" w:cs="Arial"/>
        </w:rPr>
        <w:t>, it is calculated from its concentration (C</w:t>
      </w:r>
      <w:r w:rsidRPr="00B0476B">
        <w:rPr>
          <w:rFonts w:ascii="Arial" w:hAnsi="Arial" w:cs="Arial"/>
          <w:vertAlign w:val="subscript"/>
        </w:rPr>
        <w:t>i</w:t>
      </w:r>
      <w:r w:rsidRPr="00B0476B">
        <w:rPr>
          <w:rFonts w:ascii="Arial" w:hAnsi="Arial" w:cs="Arial"/>
        </w:rPr>
        <w:t>) and its toxic equivalency factor (</w:t>
      </w:r>
      <w:proofErr w:type="spellStart"/>
      <w:r w:rsidRPr="00B0476B">
        <w:rPr>
          <w:rFonts w:ascii="Arial" w:hAnsi="Arial" w:cs="Arial"/>
        </w:rPr>
        <w:t>TEF</w:t>
      </w:r>
      <w:r w:rsidRPr="00B0476B">
        <w:rPr>
          <w:rFonts w:ascii="Arial" w:hAnsi="Arial" w:cs="Arial"/>
          <w:vertAlign w:val="subscript"/>
        </w:rPr>
        <w:t>i</w:t>
      </w:r>
      <w:proofErr w:type="spellEnd"/>
      <w:r w:rsidRPr="00B0476B">
        <w:rPr>
          <w:rFonts w:ascii="Arial" w:hAnsi="Arial" w:cs="Arial"/>
        </w:rPr>
        <w:t>), according to the following formula:</w:t>
      </w:r>
    </w:p>
    <w:p w14:paraId="17211E03" w14:textId="77777777" w:rsidR="00086BEF" w:rsidRPr="00B0476B" w:rsidRDefault="00000000" w:rsidP="00B0476B">
      <w:pPr>
        <w:jc w:val="center"/>
        <w:rPr>
          <w:rFonts w:ascii="Arial" w:hAnsi="Arial" w:cs="Arial"/>
          <w:iCs/>
        </w:rPr>
      </w:pPr>
      <m:oMathPara>
        <m:oMath>
          <m:sSub>
            <m:sSubPr>
              <m:ctrlPr>
                <w:rPr>
                  <w:rFonts w:ascii="Cambria Math" w:hAnsi="Cambria Math" w:cs="Arial"/>
                  <w:iCs/>
                </w:rPr>
              </m:ctrlPr>
            </m:sSubPr>
            <m:e>
              <m:r>
                <m:rPr>
                  <m:sty m:val="p"/>
                </m:rPr>
                <w:rPr>
                  <w:rFonts w:ascii="Cambria Math" w:hAnsi="Cambria Math" w:cs="Arial"/>
                </w:rPr>
                <m:t>BaP-TEQ</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TEF</m:t>
              </m:r>
            </m:e>
            <m:sub>
              <m:r>
                <m:rPr>
                  <m:sty m:val="p"/>
                </m:rPr>
                <w:rPr>
                  <w:rFonts w:ascii="Cambria Math" w:hAnsi="Cambria Math" w:cs="Arial"/>
                </w:rPr>
                <m:t>i</m:t>
              </m:r>
            </m:sub>
          </m:sSub>
          <m:r>
            <m:rPr>
              <m:sty m:val="p"/>
            </m:rPr>
            <w:rPr>
              <w:rFonts w:ascii="Cambria Math" w:hAnsi="Cambria Math" w:cs="Arial"/>
            </w:rPr>
            <m:t xml:space="preserve">                        (1)</m:t>
          </m:r>
        </m:oMath>
      </m:oMathPara>
    </w:p>
    <w:p w14:paraId="6C892224" w14:textId="77777777" w:rsidR="00086BEF" w:rsidRPr="00B0476B" w:rsidRDefault="00086BEF" w:rsidP="00B0476B">
      <w:pPr>
        <w:jc w:val="both"/>
        <w:rPr>
          <w:rFonts w:ascii="Arial" w:hAnsi="Arial" w:cs="Arial"/>
        </w:rPr>
      </w:pPr>
      <w:r w:rsidRPr="00B0476B">
        <w:rPr>
          <w:rFonts w:ascii="Arial" w:hAnsi="Arial" w:cs="Arial"/>
        </w:rPr>
        <w:t>Total TEQ-</w:t>
      </w:r>
      <w:proofErr w:type="spellStart"/>
      <w:r w:rsidRPr="00B0476B">
        <w:rPr>
          <w:rFonts w:ascii="Arial" w:hAnsi="Arial" w:cs="Arial"/>
        </w:rPr>
        <w:t>BaP</w:t>
      </w:r>
      <w:proofErr w:type="spellEnd"/>
      <w:r w:rsidRPr="00B0476B">
        <w:rPr>
          <w:rFonts w:ascii="Arial" w:hAnsi="Arial" w:cs="Arial"/>
        </w:rPr>
        <w:t xml:space="preserve"> for a mixture of PAHs is calculated as follows:</w:t>
      </w:r>
    </w:p>
    <w:p w14:paraId="63EFC31A" w14:textId="77777777" w:rsidR="00086BEF" w:rsidRPr="00B0476B" w:rsidRDefault="00086BEF" w:rsidP="00B0476B">
      <w:pPr>
        <w:jc w:val="center"/>
        <w:rPr>
          <w:rFonts w:ascii="Arial" w:hAnsi="Arial" w:cs="Arial"/>
        </w:rPr>
      </w:pPr>
      <m:oMathPara>
        <m:oMath>
          <m:r>
            <m:rPr>
              <m:sty m:val="p"/>
            </m:rPr>
            <w:rPr>
              <w:rFonts w:ascii="Cambria Math" w:hAnsi="Cambria Math" w:cs="Arial"/>
            </w:rPr>
            <w:lastRenderedPageBreak/>
            <m:t>Total BaP-TEQ =</m:t>
          </m:r>
          <m:nary>
            <m:naryPr>
              <m:chr m:val="∑"/>
              <m:limLoc m:val="undOvr"/>
              <m:ctrlPr>
                <w:rPr>
                  <w:rFonts w:ascii="Cambria Math" w:hAnsi="Cambria Math" w:cs="Arial"/>
                  <w:iCs/>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iCs/>
                    </w:rPr>
                  </m:ctrlPr>
                </m:sSubPr>
                <m:e>
                  <m:r>
                    <m:rPr>
                      <m:sty m:val="p"/>
                    </m:rPr>
                    <w:rPr>
                      <w:rFonts w:ascii="Cambria Math" w:hAnsi="Cambria Math" w:cs="Arial"/>
                    </w:rPr>
                    <m:t>BaP-TEQ</m:t>
                  </m:r>
                </m:e>
                <m:sub>
                  <m:r>
                    <m:rPr>
                      <m:sty m:val="p"/>
                    </m:rPr>
                    <w:rPr>
                      <w:rFonts w:ascii="Cambria Math" w:hAnsi="Cambria Math" w:cs="Arial"/>
                    </w:rPr>
                    <m:t>i</m:t>
                  </m:r>
                </m:sub>
              </m:sSub>
            </m:e>
          </m:nary>
          <m:r>
            <m:rPr>
              <m:sty m:val="p"/>
            </m:rPr>
            <w:rPr>
              <w:rFonts w:ascii="Cambria Math" w:hAnsi="Cambria Math" w:cs="Arial"/>
            </w:rPr>
            <m:t xml:space="preserve">      (2)</m:t>
          </m:r>
        </m:oMath>
      </m:oMathPara>
    </w:p>
    <w:p w14:paraId="001C9863" w14:textId="77777777" w:rsidR="00086BEF" w:rsidRPr="00B0476B" w:rsidRDefault="00086BEF" w:rsidP="00B0476B">
      <w:pPr>
        <w:jc w:val="both"/>
        <w:rPr>
          <w:rFonts w:ascii="Arial" w:hAnsi="Arial" w:cs="Arial"/>
        </w:rPr>
      </w:pPr>
      <w:r w:rsidRPr="00B0476B">
        <w:rPr>
          <w:rFonts w:ascii="Arial" w:hAnsi="Arial" w:cs="Arial"/>
        </w:rPr>
        <w:t>As for MEQ-</w:t>
      </w:r>
      <w:proofErr w:type="spellStart"/>
      <w:r w:rsidRPr="00B0476B">
        <w:rPr>
          <w:rFonts w:ascii="Arial" w:hAnsi="Arial" w:cs="Arial"/>
        </w:rPr>
        <w:t>BaP</w:t>
      </w:r>
      <w:proofErr w:type="spellEnd"/>
      <w:r w:rsidRPr="00B0476B">
        <w:rPr>
          <w:rFonts w:ascii="Arial" w:hAnsi="Arial" w:cs="Arial"/>
        </w:rPr>
        <w:t xml:space="preserve">, it represents the mutagenic toxicity equivalent potential of a given PAH relative to </w:t>
      </w:r>
      <w:proofErr w:type="spellStart"/>
      <w:r w:rsidRPr="00B0476B">
        <w:rPr>
          <w:rFonts w:ascii="Arial" w:hAnsi="Arial" w:cs="Arial"/>
        </w:rPr>
        <w:t>BaP</w:t>
      </w:r>
      <w:proofErr w:type="spellEnd"/>
      <w:r w:rsidRPr="00B0476B">
        <w:rPr>
          <w:rFonts w:ascii="Arial" w:hAnsi="Arial" w:cs="Arial"/>
        </w:rPr>
        <w:t xml:space="preserve"> for a specific biota. For a PAH </w:t>
      </w:r>
      <w:proofErr w:type="spellStart"/>
      <w:r w:rsidRPr="00B0476B">
        <w:rPr>
          <w:rFonts w:ascii="Arial" w:hAnsi="Arial" w:cs="Arial"/>
        </w:rPr>
        <w:t>i</w:t>
      </w:r>
      <w:proofErr w:type="spellEnd"/>
      <w:r w:rsidRPr="00B0476B">
        <w:rPr>
          <w:rFonts w:ascii="Arial" w:hAnsi="Arial" w:cs="Arial"/>
        </w:rPr>
        <w:t>, it is calculated from its concentration (C</w:t>
      </w:r>
      <w:r w:rsidRPr="00B0476B">
        <w:rPr>
          <w:rFonts w:ascii="Arial" w:hAnsi="Arial" w:cs="Arial"/>
          <w:vertAlign w:val="subscript"/>
        </w:rPr>
        <w:t>i</w:t>
      </w:r>
      <w:r w:rsidRPr="00B0476B">
        <w:rPr>
          <w:rFonts w:ascii="Arial" w:hAnsi="Arial" w:cs="Arial"/>
        </w:rPr>
        <w:t>) and its mutagenic equivalency factor (</w:t>
      </w:r>
      <w:proofErr w:type="spellStart"/>
      <w:r w:rsidRPr="00B0476B">
        <w:rPr>
          <w:rFonts w:ascii="Arial" w:hAnsi="Arial" w:cs="Arial"/>
        </w:rPr>
        <w:t>MEF</w:t>
      </w:r>
      <w:r w:rsidRPr="00B0476B">
        <w:rPr>
          <w:rFonts w:ascii="Arial" w:hAnsi="Arial" w:cs="Arial"/>
          <w:vertAlign w:val="subscript"/>
        </w:rPr>
        <w:t>i</w:t>
      </w:r>
      <w:proofErr w:type="spellEnd"/>
      <w:r w:rsidRPr="00B0476B">
        <w:rPr>
          <w:rFonts w:ascii="Arial" w:hAnsi="Arial" w:cs="Arial"/>
        </w:rPr>
        <w:t>), according to the following formula:</w:t>
      </w:r>
    </w:p>
    <w:p w14:paraId="640EBC92" w14:textId="77777777" w:rsidR="00086BEF" w:rsidRPr="00B0476B" w:rsidRDefault="00000000" w:rsidP="00B0476B">
      <w:pPr>
        <w:jc w:val="center"/>
        <w:rPr>
          <w:rFonts w:ascii="Arial" w:hAnsi="Arial" w:cs="Arial"/>
          <w:iCs/>
        </w:rPr>
      </w:pPr>
      <m:oMathPara>
        <m:oMath>
          <m:sSub>
            <m:sSubPr>
              <m:ctrlPr>
                <w:rPr>
                  <w:rFonts w:ascii="Cambria Math" w:hAnsi="Cambria Math" w:cs="Arial"/>
                  <w:iCs/>
                </w:rPr>
              </m:ctrlPr>
            </m:sSubPr>
            <m:e>
              <m:r>
                <m:rPr>
                  <m:sty m:val="p"/>
                </m:rPr>
                <w:rPr>
                  <w:rFonts w:ascii="Cambria Math" w:hAnsi="Cambria Math" w:cs="Arial"/>
                </w:rPr>
                <m:t>BaP-MEQ</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i</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MEF</m:t>
              </m:r>
            </m:e>
            <m:sub>
              <m:r>
                <m:rPr>
                  <m:sty m:val="p"/>
                </m:rPr>
                <w:rPr>
                  <w:rFonts w:ascii="Cambria Math" w:hAnsi="Cambria Math" w:cs="Arial"/>
                </w:rPr>
                <m:t>i</m:t>
              </m:r>
            </m:sub>
          </m:sSub>
          <m:r>
            <m:rPr>
              <m:sty m:val="p"/>
            </m:rPr>
            <w:rPr>
              <w:rFonts w:ascii="Cambria Math" w:hAnsi="Cambria Math" w:cs="Arial"/>
            </w:rPr>
            <m:t xml:space="preserve">                        (3)</m:t>
          </m:r>
        </m:oMath>
      </m:oMathPara>
    </w:p>
    <w:p w14:paraId="24650622" w14:textId="77777777" w:rsidR="00086BEF" w:rsidRPr="00B0476B" w:rsidRDefault="00086BEF" w:rsidP="00B0476B">
      <w:pPr>
        <w:rPr>
          <w:rFonts w:ascii="Arial" w:hAnsi="Arial" w:cs="Arial"/>
        </w:rPr>
      </w:pPr>
      <w:r w:rsidRPr="00B0476B">
        <w:rPr>
          <w:rFonts w:ascii="Arial" w:hAnsi="Arial" w:cs="Arial"/>
        </w:rPr>
        <w:t>Total MEQ-</w:t>
      </w:r>
      <w:proofErr w:type="spellStart"/>
      <w:r w:rsidRPr="00B0476B">
        <w:rPr>
          <w:rFonts w:ascii="Arial" w:hAnsi="Arial" w:cs="Arial"/>
        </w:rPr>
        <w:t>BaP</w:t>
      </w:r>
      <w:proofErr w:type="spellEnd"/>
      <w:r w:rsidRPr="00B0476B">
        <w:rPr>
          <w:rFonts w:ascii="Arial" w:hAnsi="Arial" w:cs="Arial"/>
        </w:rPr>
        <w:t xml:space="preserve"> for a mixture of PAHs is calculated as follows:</w:t>
      </w:r>
    </w:p>
    <w:p w14:paraId="52A90717" w14:textId="77777777" w:rsidR="00086BEF" w:rsidRPr="00B0476B" w:rsidRDefault="00086BEF" w:rsidP="00B0476B">
      <w:pPr>
        <w:jc w:val="center"/>
        <w:rPr>
          <w:rFonts w:ascii="Arial" w:eastAsiaTheme="minorEastAsia" w:hAnsi="Arial" w:cs="Arial"/>
        </w:rPr>
      </w:pPr>
      <m:oMathPara>
        <m:oMath>
          <m:r>
            <m:rPr>
              <m:sty m:val="p"/>
            </m:rPr>
            <w:rPr>
              <w:rFonts w:ascii="Cambria Math" w:hAnsi="Cambria Math" w:cs="Arial"/>
            </w:rPr>
            <m:t>BaP-MEQ total=</m:t>
          </m:r>
          <m:nary>
            <m:naryPr>
              <m:chr m:val="∑"/>
              <m:limLoc m:val="undOvr"/>
              <m:ctrlPr>
                <w:rPr>
                  <w:rFonts w:ascii="Cambria Math" w:hAnsi="Cambria Math" w:cs="Arial"/>
                  <w:iCs/>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iCs/>
                    </w:rPr>
                  </m:ctrlPr>
                </m:sSubPr>
                <m:e>
                  <m:r>
                    <m:rPr>
                      <m:sty m:val="p"/>
                    </m:rPr>
                    <w:rPr>
                      <w:rFonts w:ascii="Cambria Math" w:hAnsi="Cambria Math" w:cs="Arial"/>
                    </w:rPr>
                    <m:t>BaP-MEQ</m:t>
                  </m:r>
                </m:e>
                <m:sub>
                  <m:r>
                    <m:rPr>
                      <m:sty m:val="p"/>
                    </m:rPr>
                    <w:rPr>
                      <w:rFonts w:ascii="Cambria Math" w:hAnsi="Cambria Math" w:cs="Arial"/>
                    </w:rPr>
                    <m:t>i</m:t>
                  </m:r>
                </m:sub>
              </m:sSub>
            </m:e>
          </m:nary>
          <m:r>
            <m:rPr>
              <m:sty m:val="p"/>
            </m:rPr>
            <w:rPr>
              <w:rFonts w:ascii="Cambria Math" w:hAnsi="Cambria Math" w:cs="Arial"/>
            </w:rPr>
            <m:t xml:space="preserve">     (4)</m:t>
          </m:r>
        </m:oMath>
      </m:oMathPara>
    </w:p>
    <w:p w14:paraId="3981D4CC" w14:textId="77777777" w:rsidR="00086BEF" w:rsidRPr="00B0476B" w:rsidRDefault="00086BEF" w:rsidP="00B0476B">
      <w:pPr>
        <w:jc w:val="both"/>
        <w:rPr>
          <w:rFonts w:ascii="Arial" w:hAnsi="Arial" w:cs="Arial"/>
        </w:rPr>
      </w:pPr>
      <w:r w:rsidRPr="00B0476B">
        <w:rPr>
          <w:rFonts w:ascii="Arial" w:hAnsi="Arial" w:cs="Arial"/>
        </w:rPr>
        <w:t xml:space="preserve">These indices are typically calculated using PAHs of high molecular weight (HMW) and medium molecular weight (MMW), specifically </w:t>
      </w:r>
      <w:proofErr w:type="spellStart"/>
      <w:r w:rsidRPr="00B0476B">
        <w:rPr>
          <w:rFonts w:ascii="Arial" w:hAnsi="Arial" w:cs="Arial"/>
        </w:rPr>
        <w:t>BaA</w:t>
      </w:r>
      <w:proofErr w:type="spellEnd"/>
      <w:r w:rsidRPr="00B0476B">
        <w:rPr>
          <w:rFonts w:ascii="Arial" w:hAnsi="Arial" w:cs="Arial"/>
        </w:rPr>
        <w:t xml:space="preserve">, </w:t>
      </w:r>
      <w:proofErr w:type="spellStart"/>
      <w:r w:rsidRPr="00B0476B">
        <w:rPr>
          <w:rFonts w:ascii="Arial" w:hAnsi="Arial" w:cs="Arial"/>
        </w:rPr>
        <w:t>BaP</w:t>
      </w:r>
      <w:proofErr w:type="spellEnd"/>
      <w:r w:rsidRPr="00B0476B">
        <w:rPr>
          <w:rFonts w:ascii="Arial" w:hAnsi="Arial" w:cs="Arial"/>
        </w:rPr>
        <w:t xml:space="preserve">, </w:t>
      </w:r>
      <w:proofErr w:type="spellStart"/>
      <w:r w:rsidRPr="00B0476B">
        <w:rPr>
          <w:rFonts w:ascii="Arial" w:hAnsi="Arial" w:cs="Arial"/>
        </w:rPr>
        <w:t>BbF</w:t>
      </w:r>
      <w:proofErr w:type="spellEnd"/>
      <w:r w:rsidRPr="00B0476B">
        <w:rPr>
          <w:rFonts w:ascii="Arial" w:hAnsi="Arial" w:cs="Arial"/>
        </w:rPr>
        <w:t xml:space="preserve">, </w:t>
      </w:r>
      <w:proofErr w:type="spellStart"/>
      <w:r w:rsidRPr="00B0476B">
        <w:rPr>
          <w:rFonts w:ascii="Arial" w:hAnsi="Arial" w:cs="Arial"/>
        </w:rPr>
        <w:t>BkF</w:t>
      </w:r>
      <w:proofErr w:type="spellEnd"/>
      <w:r w:rsidRPr="00B0476B">
        <w:rPr>
          <w:rFonts w:ascii="Arial" w:hAnsi="Arial" w:cs="Arial"/>
        </w:rPr>
        <w:t xml:space="preserve">, and I[1,2,3-c,d]P. The TEF values for these specific PAHs are as follows (in µg/L): 0.1 for </w:t>
      </w:r>
      <w:proofErr w:type="spellStart"/>
      <w:r w:rsidRPr="00B0476B">
        <w:rPr>
          <w:rFonts w:ascii="Arial" w:hAnsi="Arial" w:cs="Arial"/>
        </w:rPr>
        <w:t>BaA</w:t>
      </w:r>
      <w:proofErr w:type="spellEnd"/>
      <w:r w:rsidRPr="00B0476B">
        <w:rPr>
          <w:rFonts w:ascii="Arial" w:hAnsi="Arial" w:cs="Arial"/>
        </w:rPr>
        <w:t xml:space="preserve">, 1 for </w:t>
      </w:r>
      <w:proofErr w:type="spellStart"/>
      <w:r w:rsidRPr="00B0476B">
        <w:rPr>
          <w:rFonts w:ascii="Arial" w:hAnsi="Arial" w:cs="Arial"/>
        </w:rPr>
        <w:t>BaP</w:t>
      </w:r>
      <w:proofErr w:type="spellEnd"/>
      <w:r w:rsidRPr="00B0476B">
        <w:rPr>
          <w:rFonts w:ascii="Arial" w:hAnsi="Arial" w:cs="Arial"/>
        </w:rPr>
        <w:t xml:space="preserve">, 0.1 for </w:t>
      </w:r>
      <w:proofErr w:type="spellStart"/>
      <w:r w:rsidRPr="00B0476B">
        <w:rPr>
          <w:rFonts w:ascii="Arial" w:hAnsi="Arial" w:cs="Arial"/>
        </w:rPr>
        <w:t>BbF</w:t>
      </w:r>
      <w:proofErr w:type="spellEnd"/>
      <w:r w:rsidRPr="00B0476B">
        <w:rPr>
          <w:rFonts w:ascii="Arial" w:hAnsi="Arial" w:cs="Arial"/>
        </w:rPr>
        <w:t xml:space="preserve">, 0.1 for </w:t>
      </w:r>
      <w:proofErr w:type="spellStart"/>
      <w:r w:rsidRPr="00B0476B">
        <w:rPr>
          <w:rFonts w:ascii="Arial" w:hAnsi="Arial" w:cs="Arial"/>
        </w:rPr>
        <w:t>BkF</w:t>
      </w:r>
      <w:proofErr w:type="spellEnd"/>
      <w:r w:rsidRPr="00B0476B">
        <w:rPr>
          <w:rFonts w:ascii="Arial" w:hAnsi="Arial" w:cs="Arial"/>
        </w:rPr>
        <w:t>, and 0.1 for I(1,2,3-</w:t>
      </w:r>
      <w:proofErr w:type="gramStart"/>
      <w:r w:rsidRPr="00B0476B">
        <w:rPr>
          <w:rFonts w:ascii="Arial" w:hAnsi="Arial" w:cs="Arial"/>
        </w:rPr>
        <w:t>c,d</w:t>
      </w:r>
      <w:proofErr w:type="gramEnd"/>
      <w:r w:rsidRPr="00B0476B">
        <w:rPr>
          <w:rFonts w:ascii="Arial" w:hAnsi="Arial" w:cs="Arial"/>
        </w:rPr>
        <w:t xml:space="preserve">)P. The MEF values for these same PAHs are (in µg/L): 0.082 for </w:t>
      </w:r>
      <w:proofErr w:type="spellStart"/>
      <w:r w:rsidRPr="00B0476B">
        <w:rPr>
          <w:rFonts w:ascii="Arial" w:hAnsi="Arial" w:cs="Arial"/>
        </w:rPr>
        <w:t>BaA</w:t>
      </w:r>
      <w:proofErr w:type="spellEnd"/>
      <w:r w:rsidRPr="00B0476B">
        <w:rPr>
          <w:rFonts w:ascii="Arial" w:hAnsi="Arial" w:cs="Arial"/>
        </w:rPr>
        <w:t xml:space="preserve">, 1 for </w:t>
      </w:r>
      <w:proofErr w:type="spellStart"/>
      <w:r w:rsidRPr="00B0476B">
        <w:rPr>
          <w:rFonts w:ascii="Arial" w:hAnsi="Arial" w:cs="Arial"/>
        </w:rPr>
        <w:t>BaP</w:t>
      </w:r>
      <w:proofErr w:type="spellEnd"/>
      <w:r w:rsidRPr="00B0476B">
        <w:rPr>
          <w:rFonts w:ascii="Arial" w:hAnsi="Arial" w:cs="Arial"/>
        </w:rPr>
        <w:t xml:space="preserve">, 0.11 for </w:t>
      </w:r>
      <w:proofErr w:type="spellStart"/>
      <w:r w:rsidRPr="00B0476B">
        <w:rPr>
          <w:rFonts w:ascii="Arial" w:hAnsi="Arial" w:cs="Arial"/>
        </w:rPr>
        <w:t>BbF</w:t>
      </w:r>
      <w:proofErr w:type="spellEnd"/>
      <w:r w:rsidRPr="00B0476B">
        <w:rPr>
          <w:rFonts w:ascii="Arial" w:hAnsi="Arial" w:cs="Arial"/>
        </w:rPr>
        <w:t xml:space="preserve">, 0.31 for </w:t>
      </w:r>
      <w:proofErr w:type="spellStart"/>
      <w:r w:rsidRPr="00B0476B">
        <w:rPr>
          <w:rFonts w:ascii="Arial" w:hAnsi="Arial" w:cs="Arial"/>
        </w:rPr>
        <w:t>BkF</w:t>
      </w:r>
      <w:proofErr w:type="spellEnd"/>
      <w:r w:rsidRPr="00B0476B">
        <w:rPr>
          <w:rFonts w:ascii="Arial" w:hAnsi="Arial" w:cs="Arial"/>
        </w:rPr>
        <w:t>, and 0.25 for I(1,2,3-c,d)P (</w:t>
      </w:r>
      <w:r w:rsidRPr="00B0476B">
        <w:rPr>
          <w:rFonts w:ascii="Arial" w:hAnsi="Arial" w:cs="Arial"/>
          <w:color w:val="000000"/>
          <w:lang w:val="en-GB"/>
        </w:rPr>
        <w:t>ATSDR, 2022).</w:t>
      </w:r>
      <w:r w:rsidRPr="00B0476B">
        <w:rPr>
          <w:rFonts w:ascii="Arial" w:hAnsi="Arial" w:cs="Arial"/>
        </w:rPr>
        <w:t>.</w:t>
      </w:r>
    </w:p>
    <w:p w14:paraId="44CD6EF9" w14:textId="77777777" w:rsidR="00086BEF" w:rsidRPr="00B0476B" w:rsidRDefault="00086BEF" w:rsidP="00B0476B">
      <w:pPr>
        <w:jc w:val="both"/>
        <w:rPr>
          <w:rFonts w:ascii="Arial" w:hAnsi="Arial" w:cs="Arial"/>
        </w:rPr>
      </w:pPr>
      <w:r w:rsidRPr="00B0476B">
        <w:rPr>
          <w:rFonts w:ascii="Arial" w:hAnsi="Arial" w:cs="Arial"/>
        </w:rPr>
        <w:t>If the TEQ-</w:t>
      </w:r>
      <w:proofErr w:type="spellStart"/>
      <w:r w:rsidRPr="00B0476B">
        <w:rPr>
          <w:rFonts w:ascii="Arial" w:hAnsi="Arial" w:cs="Arial"/>
        </w:rPr>
        <w:t>BaP</w:t>
      </w:r>
      <w:proofErr w:type="spellEnd"/>
      <w:r w:rsidRPr="00B0476B">
        <w:rPr>
          <w:rFonts w:ascii="Arial" w:hAnsi="Arial" w:cs="Arial"/>
        </w:rPr>
        <w:t xml:space="preserve"> and MEQ-</w:t>
      </w:r>
      <w:proofErr w:type="spellStart"/>
      <w:r w:rsidRPr="00B0476B">
        <w:rPr>
          <w:rFonts w:ascii="Arial" w:hAnsi="Arial" w:cs="Arial"/>
        </w:rPr>
        <w:t>BaP</w:t>
      </w:r>
      <w:proofErr w:type="spellEnd"/>
      <w:r w:rsidRPr="00B0476B">
        <w:rPr>
          <w:rFonts w:ascii="Arial" w:hAnsi="Arial" w:cs="Arial"/>
        </w:rPr>
        <w:t xml:space="preserve"> values for a specific PAH are less than 1, the associated carcinogenic and mutagenic risks to aquatic biota are considered negligible. Conversely, if these values are greater than or equal to 1, the risks become significant. This same logic applies to the total TEQ-</w:t>
      </w:r>
      <w:proofErr w:type="spellStart"/>
      <w:r w:rsidRPr="00B0476B">
        <w:rPr>
          <w:rFonts w:ascii="Arial" w:hAnsi="Arial" w:cs="Arial"/>
        </w:rPr>
        <w:t>BaP</w:t>
      </w:r>
      <w:proofErr w:type="spellEnd"/>
      <w:r w:rsidRPr="00B0476B">
        <w:rPr>
          <w:rFonts w:ascii="Arial" w:hAnsi="Arial" w:cs="Arial"/>
        </w:rPr>
        <w:t xml:space="preserve"> and total MEQ-</w:t>
      </w:r>
      <w:proofErr w:type="spellStart"/>
      <w:r w:rsidRPr="00B0476B">
        <w:rPr>
          <w:rFonts w:ascii="Arial" w:hAnsi="Arial" w:cs="Arial"/>
        </w:rPr>
        <w:t>BaP</w:t>
      </w:r>
      <w:proofErr w:type="spellEnd"/>
      <w:r w:rsidRPr="00B0476B">
        <w:rPr>
          <w:rFonts w:ascii="Arial" w:hAnsi="Arial" w:cs="Arial"/>
        </w:rPr>
        <w:t xml:space="preserve"> values (</w:t>
      </w:r>
      <w:r w:rsidRPr="00B0476B">
        <w:rPr>
          <w:rFonts w:ascii="Arial" w:hAnsi="Arial" w:cs="Arial"/>
          <w:color w:val="000000"/>
          <w:lang w:val="en-GB"/>
        </w:rPr>
        <w:t xml:space="preserve">ATSDR, 2022; </w:t>
      </w:r>
      <w:r w:rsidRPr="00B0476B">
        <w:rPr>
          <w:rFonts w:ascii="Arial" w:hAnsi="Arial" w:cs="Arial"/>
        </w:rPr>
        <w:t>Ezike et al., 2019; Hur et al., 2025).</w:t>
      </w:r>
    </w:p>
    <w:p w14:paraId="182730A2" w14:textId="77777777" w:rsidR="00086BEF" w:rsidRPr="00B0476B" w:rsidRDefault="00086BEF" w:rsidP="00B0476B">
      <w:pPr>
        <w:jc w:val="both"/>
        <w:rPr>
          <w:rFonts w:ascii="Arial" w:hAnsi="Arial" w:cs="Arial"/>
          <w:b/>
          <w:bCs/>
        </w:rPr>
      </w:pPr>
    </w:p>
    <w:p w14:paraId="32817917" w14:textId="0DCE9AB8" w:rsidR="00086BEF"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5.3</w:t>
      </w:r>
      <w:r w:rsidRPr="00B0476B">
        <w:rPr>
          <w:rFonts w:ascii="Arial" w:hAnsi="Arial" w:cs="Arial"/>
          <w:i/>
          <w:iCs/>
        </w:rPr>
        <w:t xml:space="preserve">. </w:t>
      </w:r>
      <w:r w:rsidR="00086BEF" w:rsidRPr="00B0476B">
        <w:rPr>
          <w:rFonts w:ascii="Arial" w:hAnsi="Arial" w:cs="Arial"/>
          <w:i/>
          <w:iCs/>
        </w:rPr>
        <w:t>Human health risk assessment</w:t>
      </w:r>
    </w:p>
    <w:p w14:paraId="2C0F30B6" w14:textId="77777777" w:rsidR="00086BEF" w:rsidRPr="00B0476B" w:rsidRDefault="00086BEF" w:rsidP="00B0476B">
      <w:pPr>
        <w:jc w:val="both"/>
        <w:rPr>
          <w:rFonts w:ascii="Arial" w:hAnsi="Arial" w:cs="Arial"/>
        </w:rPr>
      </w:pPr>
      <w:r w:rsidRPr="00B0476B">
        <w:rPr>
          <w:rFonts w:ascii="Arial" w:hAnsi="Arial" w:cs="Arial"/>
        </w:rPr>
        <w:t>This section evaluates the short- and long-term human health risks associated with the presence of PAHs in the waters from this lacustrine system, considering frequently observed anthropogenic activities. Fishing is a daily activity for children and adolescents, particularly those aged 9 to 11, as well as for adults. Additionally, market gardening is practiced along the water body's banks. Adults also use this lacustrine system for bathing. Therefore, this study assessed the health risks related to PAH presence in this lacustrine system for children aged 9-11 and adults, accounting for their specific activities. Only dermal contact risks were considered, as inhalation and ingestion risks directly from the water body were deemed negligible.</w:t>
      </w:r>
    </w:p>
    <w:p w14:paraId="5DCC8949" w14:textId="77777777" w:rsidR="00086BEF" w:rsidRPr="00B0476B" w:rsidRDefault="00086BEF" w:rsidP="00B0476B">
      <w:pPr>
        <w:jc w:val="both"/>
        <w:rPr>
          <w:rFonts w:ascii="Arial" w:hAnsi="Arial" w:cs="Arial"/>
        </w:rPr>
      </w:pPr>
      <w:r w:rsidRPr="00B0476B">
        <w:rPr>
          <w:rFonts w:ascii="Arial" w:hAnsi="Arial" w:cs="Arial"/>
        </w:rPr>
        <w:t>Short-term risks evaluated for these individuals included non-carcinogenic risks and the carcinogenic and mutagenic risks posed by certain PAHs. Long-term health risk assessment primarily focused on lifetime carcinogenic risks associated with specific PAHs. The exposure variables detailed in Table 1 were utilized for these assessments.</w:t>
      </w:r>
    </w:p>
    <w:p w14:paraId="3A4E4D35" w14:textId="2547ECA0" w:rsidR="004760B9" w:rsidRDefault="004760B9">
      <w:pPr>
        <w:rPr>
          <w:rFonts w:ascii="Arial" w:hAnsi="Arial" w:cs="Arial"/>
        </w:rPr>
      </w:pPr>
      <w:r>
        <w:rPr>
          <w:rFonts w:ascii="Arial" w:hAnsi="Arial" w:cs="Arial"/>
        </w:rPr>
        <w:br w:type="page"/>
      </w:r>
    </w:p>
    <w:p w14:paraId="7FBD74DD" w14:textId="31CF1E2A" w:rsidR="00B0476B" w:rsidRPr="00B0476B" w:rsidRDefault="00B0476B" w:rsidP="00B0476B">
      <w:pPr>
        <w:jc w:val="both"/>
        <w:rPr>
          <w:rFonts w:ascii="Arial" w:hAnsi="Arial" w:cs="Arial"/>
        </w:rPr>
      </w:pPr>
      <w:r w:rsidRPr="00B0476B">
        <w:rPr>
          <w:rFonts w:ascii="Arial" w:hAnsi="Arial" w:cs="Arial"/>
          <w:b/>
          <w:bCs/>
        </w:rPr>
        <w:lastRenderedPageBreak/>
        <w:t>Table 1. Exposure variables used for the assessment of short- and long-term human health risks via dermal contact with water for the different categories of individuals considered in this study</w:t>
      </w:r>
      <w:r w:rsidRPr="00B0476B">
        <w:rPr>
          <w:rFonts w:ascii="Arial" w:hAnsi="Arial" w:cs="Arial"/>
        </w:rPr>
        <w:t>.</w:t>
      </w:r>
    </w:p>
    <w:tbl>
      <w:tblPr>
        <w:tblStyle w:val="Grilledutableau"/>
        <w:tblW w:w="9782"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108"/>
        <w:gridCol w:w="1348"/>
        <w:gridCol w:w="1486"/>
        <w:gridCol w:w="1328"/>
        <w:gridCol w:w="2512"/>
      </w:tblGrid>
      <w:tr w:rsidR="00B0476B" w:rsidRPr="00B0476B" w14:paraId="3B998F02" w14:textId="77777777" w:rsidTr="001E366F">
        <w:trPr>
          <w:jc w:val="center"/>
        </w:trPr>
        <w:tc>
          <w:tcPr>
            <w:tcW w:w="3108" w:type="dxa"/>
            <w:vMerge w:val="restart"/>
          </w:tcPr>
          <w:p w14:paraId="61DB3E21" w14:textId="77777777" w:rsidR="00B0476B" w:rsidRDefault="00B0476B" w:rsidP="00B0476B">
            <w:pPr>
              <w:jc w:val="center"/>
              <w:rPr>
                <w:rFonts w:ascii="Arial" w:hAnsi="Arial" w:cs="Arial"/>
                <w:sz w:val="20"/>
                <w:szCs w:val="20"/>
                <w:lang w:val="en-GB"/>
              </w:rPr>
            </w:pPr>
          </w:p>
          <w:p w14:paraId="22393959" w14:textId="4878EAF9"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Exposure variables</w:t>
            </w:r>
          </w:p>
        </w:tc>
        <w:tc>
          <w:tcPr>
            <w:tcW w:w="4162" w:type="dxa"/>
            <w:gridSpan w:val="3"/>
          </w:tcPr>
          <w:p w14:paraId="0859D6F0"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Individuals</w:t>
            </w:r>
          </w:p>
        </w:tc>
        <w:tc>
          <w:tcPr>
            <w:tcW w:w="2512" w:type="dxa"/>
            <w:vMerge w:val="restart"/>
          </w:tcPr>
          <w:p w14:paraId="7997733A" w14:textId="77777777" w:rsidR="00B0476B" w:rsidRPr="00B0476B" w:rsidRDefault="00B0476B" w:rsidP="00B0476B">
            <w:pPr>
              <w:jc w:val="center"/>
              <w:rPr>
                <w:rFonts w:ascii="Arial" w:hAnsi="Arial" w:cs="Arial"/>
                <w:sz w:val="20"/>
                <w:szCs w:val="20"/>
                <w:lang w:val="en-GB"/>
              </w:rPr>
            </w:pPr>
          </w:p>
          <w:p w14:paraId="422C613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References</w:t>
            </w:r>
          </w:p>
        </w:tc>
      </w:tr>
      <w:tr w:rsidR="00B0476B" w:rsidRPr="00B0476B" w14:paraId="05EC58FE" w14:textId="77777777" w:rsidTr="001E366F">
        <w:trPr>
          <w:jc w:val="center"/>
        </w:trPr>
        <w:tc>
          <w:tcPr>
            <w:tcW w:w="3108" w:type="dxa"/>
            <w:vMerge/>
          </w:tcPr>
          <w:p w14:paraId="0D102362" w14:textId="77777777" w:rsidR="00B0476B" w:rsidRPr="00B0476B" w:rsidRDefault="00B0476B" w:rsidP="00B0476B">
            <w:pPr>
              <w:jc w:val="center"/>
              <w:rPr>
                <w:rFonts w:ascii="Arial" w:hAnsi="Arial" w:cs="Arial"/>
                <w:b/>
                <w:sz w:val="20"/>
                <w:szCs w:val="20"/>
                <w:u w:val="single"/>
                <w:lang w:val="en-GB"/>
              </w:rPr>
            </w:pPr>
          </w:p>
        </w:tc>
        <w:tc>
          <w:tcPr>
            <w:tcW w:w="1348" w:type="dxa"/>
            <w:vMerge w:val="restart"/>
          </w:tcPr>
          <w:p w14:paraId="3F2A306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Child </w:t>
            </w:r>
          </w:p>
          <w:p w14:paraId="508FDC66" w14:textId="3241E3D2" w:rsidR="00B0476B" w:rsidRPr="00B0476B" w:rsidRDefault="00B0476B" w:rsidP="00B0476B">
            <w:pPr>
              <w:jc w:val="center"/>
              <w:rPr>
                <w:rFonts w:ascii="Arial" w:hAnsi="Arial" w:cs="Arial"/>
                <w:sz w:val="20"/>
                <w:szCs w:val="20"/>
                <w:lang w:val="en-GB"/>
              </w:rPr>
            </w:pPr>
          </w:p>
        </w:tc>
        <w:tc>
          <w:tcPr>
            <w:tcW w:w="2814" w:type="dxa"/>
            <w:gridSpan w:val="2"/>
          </w:tcPr>
          <w:p w14:paraId="3A070DFF"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Adult</w:t>
            </w:r>
          </w:p>
        </w:tc>
        <w:tc>
          <w:tcPr>
            <w:tcW w:w="2512" w:type="dxa"/>
            <w:vMerge/>
          </w:tcPr>
          <w:p w14:paraId="3BB0BA6A" w14:textId="77777777" w:rsidR="00B0476B" w:rsidRPr="00B0476B" w:rsidRDefault="00B0476B" w:rsidP="00B0476B">
            <w:pPr>
              <w:jc w:val="center"/>
              <w:rPr>
                <w:rFonts w:ascii="Arial" w:hAnsi="Arial" w:cs="Arial"/>
                <w:sz w:val="20"/>
                <w:szCs w:val="20"/>
                <w:lang w:val="en-GB"/>
              </w:rPr>
            </w:pPr>
          </w:p>
        </w:tc>
      </w:tr>
      <w:tr w:rsidR="00B0476B" w:rsidRPr="00B0476B" w14:paraId="254E94DF" w14:textId="77777777" w:rsidTr="001E366F">
        <w:trPr>
          <w:jc w:val="center"/>
        </w:trPr>
        <w:tc>
          <w:tcPr>
            <w:tcW w:w="3108" w:type="dxa"/>
            <w:vMerge/>
          </w:tcPr>
          <w:p w14:paraId="571EABA3" w14:textId="77777777" w:rsidR="00B0476B" w:rsidRPr="00B0476B" w:rsidRDefault="00B0476B" w:rsidP="00B0476B">
            <w:pPr>
              <w:jc w:val="center"/>
              <w:rPr>
                <w:rFonts w:ascii="Arial" w:hAnsi="Arial" w:cs="Arial"/>
                <w:b/>
                <w:sz w:val="20"/>
                <w:szCs w:val="20"/>
                <w:u w:val="single"/>
                <w:lang w:val="en-GB"/>
              </w:rPr>
            </w:pPr>
          </w:p>
        </w:tc>
        <w:tc>
          <w:tcPr>
            <w:tcW w:w="1348" w:type="dxa"/>
            <w:vMerge/>
          </w:tcPr>
          <w:p w14:paraId="4EAB823A" w14:textId="77777777" w:rsidR="00B0476B" w:rsidRPr="00B0476B" w:rsidRDefault="00B0476B" w:rsidP="00B0476B">
            <w:pPr>
              <w:jc w:val="center"/>
              <w:rPr>
                <w:rFonts w:ascii="Arial" w:hAnsi="Arial" w:cs="Arial"/>
                <w:sz w:val="20"/>
                <w:szCs w:val="20"/>
                <w:lang w:val="en-GB"/>
              </w:rPr>
            </w:pPr>
          </w:p>
        </w:tc>
        <w:tc>
          <w:tcPr>
            <w:tcW w:w="1486" w:type="dxa"/>
          </w:tcPr>
          <w:p w14:paraId="24AFC82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Market gardener </w:t>
            </w:r>
          </w:p>
        </w:tc>
        <w:tc>
          <w:tcPr>
            <w:tcW w:w="1328" w:type="dxa"/>
          </w:tcPr>
          <w:p w14:paraId="069D8AC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Bathing</w:t>
            </w:r>
          </w:p>
        </w:tc>
        <w:tc>
          <w:tcPr>
            <w:tcW w:w="2512" w:type="dxa"/>
            <w:vMerge/>
          </w:tcPr>
          <w:p w14:paraId="64E0F61D" w14:textId="77777777" w:rsidR="00B0476B" w:rsidRPr="00B0476B" w:rsidRDefault="00B0476B" w:rsidP="00B0476B">
            <w:pPr>
              <w:jc w:val="center"/>
              <w:rPr>
                <w:rFonts w:ascii="Arial" w:hAnsi="Arial" w:cs="Arial"/>
                <w:sz w:val="20"/>
                <w:szCs w:val="20"/>
                <w:lang w:val="en-GB"/>
              </w:rPr>
            </w:pPr>
          </w:p>
        </w:tc>
      </w:tr>
      <w:tr w:rsidR="00B0476B" w:rsidRPr="00B0476B" w14:paraId="008A2B0B" w14:textId="77777777" w:rsidTr="001E366F">
        <w:trPr>
          <w:jc w:val="center"/>
        </w:trPr>
        <w:tc>
          <w:tcPr>
            <w:tcW w:w="3108" w:type="dxa"/>
          </w:tcPr>
          <w:p w14:paraId="52B1FCC9"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Body weight (kg) (BW)</w:t>
            </w:r>
          </w:p>
        </w:tc>
        <w:tc>
          <w:tcPr>
            <w:tcW w:w="1348" w:type="dxa"/>
          </w:tcPr>
          <w:p w14:paraId="113B99B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35</w:t>
            </w:r>
          </w:p>
        </w:tc>
        <w:tc>
          <w:tcPr>
            <w:tcW w:w="1486" w:type="dxa"/>
          </w:tcPr>
          <w:p w14:paraId="3683D9A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70</w:t>
            </w:r>
          </w:p>
        </w:tc>
        <w:tc>
          <w:tcPr>
            <w:tcW w:w="1328" w:type="dxa"/>
          </w:tcPr>
          <w:p w14:paraId="7B414736"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70</w:t>
            </w:r>
          </w:p>
        </w:tc>
        <w:tc>
          <w:tcPr>
            <w:tcW w:w="2512" w:type="dxa"/>
          </w:tcPr>
          <w:p w14:paraId="1255CC45" w14:textId="77777777" w:rsidR="00B0476B" w:rsidRPr="00B0476B" w:rsidRDefault="00B0476B" w:rsidP="00B0476B">
            <w:pPr>
              <w:jc w:val="center"/>
              <w:rPr>
                <w:rFonts w:ascii="Arial" w:hAnsi="Arial" w:cs="Arial"/>
                <w:sz w:val="20"/>
                <w:szCs w:val="20"/>
                <w:lang w:val="en-GB"/>
              </w:rPr>
            </w:pPr>
          </w:p>
        </w:tc>
      </w:tr>
      <w:tr w:rsidR="00B0476B" w:rsidRPr="00B0476B" w14:paraId="33FF6CB2" w14:textId="77777777" w:rsidTr="001E366F">
        <w:trPr>
          <w:jc w:val="center"/>
        </w:trPr>
        <w:tc>
          <w:tcPr>
            <w:tcW w:w="3108" w:type="dxa"/>
          </w:tcPr>
          <w:p w14:paraId="4FA1EC6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Dermal exposure area (cm</w:t>
            </w:r>
            <w:r w:rsidRPr="00B0476B">
              <w:rPr>
                <w:rFonts w:ascii="Arial" w:hAnsi="Arial" w:cs="Arial"/>
                <w:sz w:val="20"/>
                <w:szCs w:val="20"/>
                <w:vertAlign w:val="superscript"/>
                <w:lang w:val="en-GB"/>
              </w:rPr>
              <w:t>2</w:t>
            </w:r>
            <w:r w:rsidRPr="00B0476B">
              <w:rPr>
                <w:rFonts w:ascii="Arial" w:hAnsi="Arial" w:cs="Arial"/>
                <w:sz w:val="20"/>
                <w:szCs w:val="20"/>
                <w:lang w:val="en-GB"/>
              </w:rPr>
              <w:t>) (SA)</w:t>
            </w:r>
          </w:p>
          <w:p w14:paraId="11F74074" w14:textId="77777777" w:rsidR="00B0476B" w:rsidRPr="00B0476B" w:rsidRDefault="00B0476B" w:rsidP="00B0476B">
            <w:pPr>
              <w:jc w:val="center"/>
              <w:rPr>
                <w:rFonts w:ascii="Arial" w:hAnsi="Arial" w:cs="Arial"/>
                <w:sz w:val="20"/>
                <w:szCs w:val="20"/>
                <w:lang w:val="en-GB"/>
              </w:rPr>
            </w:pPr>
          </w:p>
        </w:tc>
        <w:tc>
          <w:tcPr>
            <w:tcW w:w="1348" w:type="dxa"/>
          </w:tcPr>
          <w:p w14:paraId="55706BF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Hands</w:t>
            </w:r>
          </w:p>
          <w:p w14:paraId="54E9F98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720</w:t>
            </w:r>
          </w:p>
        </w:tc>
        <w:tc>
          <w:tcPr>
            <w:tcW w:w="1486" w:type="dxa"/>
          </w:tcPr>
          <w:p w14:paraId="2F16AF59"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Hands and feet</w:t>
            </w:r>
          </w:p>
          <w:p w14:paraId="1451B41D"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2,440 </w:t>
            </w:r>
          </w:p>
        </w:tc>
        <w:tc>
          <w:tcPr>
            <w:tcW w:w="1328" w:type="dxa"/>
          </w:tcPr>
          <w:p w14:paraId="1D777AA7"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Total body</w:t>
            </w:r>
          </w:p>
          <w:p w14:paraId="0BA92267"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21,000</w:t>
            </w:r>
          </w:p>
        </w:tc>
        <w:tc>
          <w:tcPr>
            <w:tcW w:w="2512" w:type="dxa"/>
          </w:tcPr>
          <w:p w14:paraId="729972B3" w14:textId="77777777" w:rsidR="00B0476B" w:rsidRPr="00B0476B" w:rsidRDefault="00B0476B" w:rsidP="00B0476B">
            <w:pPr>
              <w:jc w:val="center"/>
              <w:rPr>
                <w:rFonts w:ascii="Arial" w:hAnsi="Arial" w:cs="Arial"/>
                <w:sz w:val="20"/>
                <w:szCs w:val="20"/>
                <w:lang w:val="en-GB"/>
              </w:rPr>
            </w:pPr>
          </w:p>
          <w:p w14:paraId="03D24075"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2015</w:t>
            </w:r>
          </w:p>
        </w:tc>
      </w:tr>
      <w:tr w:rsidR="00B0476B" w:rsidRPr="00B0476B" w14:paraId="2D5FF440" w14:textId="77777777" w:rsidTr="001E366F">
        <w:trPr>
          <w:jc w:val="center"/>
        </w:trPr>
        <w:tc>
          <w:tcPr>
            <w:tcW w:w="3108" w:type="dxa"/>
          </w:tcPr>
          <w:p w14:paraId="68F9B83C"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Daily frequency/year (days/year) (EF)</w:t>
            </w:r>
          </w:p>
        </w:tc>
        <w:tc>
          <w:tcPr>
            <w:tcW w:w="1348" w:type="dxa"/>
          </w:tcPr>
          <w:p w14:paraId="4F1DD24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225/year</w:t>
            </w:r>
          </w:p>
        </w:tc>
        <w:tc>
          <w:tcPr>
            <w:tcW w:w="1486" w:type="dxa"/>
          </w:tcPr>
          <w:p w14:paraId="4617D623"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365/year</w:t>
            </w:r>
          </w:p>
        </w:tc>
        <w:tc>
          <w:tcPr>
            <w:tcW w:w="1328" w:type="dxa"/>
          </w:tcPr>
          <w:p w14:paraId="1B7EE45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365/year</w:t>
            </w:r>
          </w:p>
        </w:tc>
        <w:tc>
          <w:tcPr>
            <w:tcW w:w="2512" w:type="dxa"/>
          </w:tcPr>
          <w:p w14:paraId="6E0ABF76" w14:textId="77777777" w:rsidR="00B0476B" w:rsidRPr="00B0476B" w:rsidRDefault="00B0476B" w:rsidP="00B0476B">
            <w:pPr>
              <w:jc w:val="center"/>
              <w:rPr>
                <w:rFonts w:ascii="Arial" w:hAnsi="Arial" w:cs="Arial"/>
                <w:sz w:val="20"/>
                <w:szCs w:val="20"/>
                <w:lang w:val="en-GB"/>
              </w:rPr>
            </w:pPr>
          </w:p>
        </w:tc>
      </w:tr>
      <w:tr w:rsidR="00B0476B" w:rsidRPr="00B0476B" w14:paraId="6C1B1FA4" w14:textId="77777777" w:rsidTr="001E366F">
        <w:trPr>
          <w:jc w:val="center"/>
        </w:trPr>
        <w:tc>
          <w:tcPr>
            <w:tcW w:w="3108" w:type="dxa"/>
          </w:tcPr>
          <w:p w14:paraId="552A01C2"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Annual exposition duration </w:t>
            </w:r>
          </w:p>
          <w:p w14:paraId="47924665"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(ED) (year)</w:t>
            </w:r>
          </w:p>
        </w:tc>
        <w:tc>
          <w:tcPr>
            <w:tcW w:w="1348" w:type="dxa"/>
          </w:tcPr>
          <w:p w14:paraId="51A35F2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6</w:t>
            </w:r>
          </w:p>
        </w:tc>
        <w:tc>
          <w:tcPr>
            <w:tcW w:w="1486" w:type="dxa"/>
          </w:tcPr>
          <w:p w14:paraId="0385C8BD"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30</w:t>
            </w:r>
          </w:p>
        </w:tc>
        <w:tc>
          <w:tcPr>
            <w:tcW w:w="1328" w:type="dxa"/>
          </w:tcPr>
          <w:p w14:paraId="3E72BA46"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30</w:t>
            </w:r>
          </w:p>
        </w:tc>
        <w:tc>
          <w:tcPr>
            <w:tcW w:w="2512" w:type="dxa"/>
          </w:tcPr>
          <w:p w14:paraId="5260F16F"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Adeniji et al., 2019</w:t>
            </w:r>
          </w:p>
        </w:tc>
      </w:tr>
      <w:tr w:rsidR="00B0476B" w:rsidRPr="00B0476B" w14:paraId="3650CA4B" w14:textId="77777777" w:rsidTr="001E366F">
        <w:trPr>
          <w:jc w:val="center"/>
        </w:trPr>
        <w:tc>
          <w:tcPr>
            <w:tcW w:w="3108" w:type="dxa"/>
          </w:tcPr>
          <w:p w14:paraId="6799BB2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Daily exposition time (hour/day) (ET)</w:t>
            </w:r>
          </w:p>
        </w:tc>
        <w:tc>
          <w:tcPr>
            <w:tcW w:w="1348" w:type="dxa"/>
          </w:tcPr>
          <w:p w14:paraId="0FACD83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6h/jour</w:t>
            </w:r>
          </w:p>
        </w:tc>
        <w:tc>
          <w:tcPr>
            <w:tcW w:w="1486" w:type="dxa"/>
          </w:tcPr>
          <w:p w14:paraId="74EEF5FD"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6h/jour</w:t>
            </w:r>
          </w:p>
        </w:tc>
        <w:tc>
          <w:tcPr>
            <w:tcW w:w="1328" w:type="dxa"/>
          </w:tcPr>
          <w:p w14:paraId="0E5FE67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0,5/jour</w:t>
            </w:r>
          </w:p>
        </w:tc>
        <w:tc>
          <w:tcPr>
            <w:tcW w:w="2512" w:type="dxa"/>
          </w:tcPr>
          <w:p w14:paraId="1019514E" w14:textId="77777777" w:rsidR="00B0476B" w:rsidRPr="00B0476B" w:rsidRDefault="00B0476B" w:rsidP="00B0476B">
            <w:pPr>
              <w:jc w:val="center"/>
              <w:rPr>
                <w:rFonts w:ascii="Arial" w:hAnsi="Arial" w:cs="Arial"/>
                <w:sz w:val="20"/>
                <w:szCs w:val="20"/>
                <w:lang w:val="en-GB"/>
              </w:rPr>
            </w:pPr>
          </w:p>
        </w:tc>
      </w:tr>
      <w:tr w:rsidR="00B0476B" w:rsidRPr="00B0476B" w14:paraId="3DA94768" w14:textId="77777777" w:rsidTr="001E366F">
        <w:trPr>
          <w:jc w:val="center"/>
        </w:trPr>
        <w:tc>
          <w:tcPr>
            <w:tcW w:w="3108" w:type="dxa"/>
          </w:tcPr>
          <w:p w14:paraId="546D787C"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Event frequency (FE)</w:t>
            </w:r>
          </w:p>
        </w:tc>
        <w:tc>
          <w:tcPr>
            <w:tcW w:w="4162" w:type="dxa"/>
            <w:gridSpan w:val="3"/>
          </w:tcPr>
          <w:p w14:paraId="06B413B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1 event by year </w:t>
            </w:r>
          </w:p>
        </w:tc>
        <w:tc>
          <w:tcPr>
            <w:tcW w:w="2512" w:type="dxa"/>
          </w:tcPr>
          <w:p w14:paraId="45648E06" w14:textId="2526A9E2"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47CB7ED3" w14:textId="77777777" w:rsidTr="001E366F">
        <w:trPr>
          <w:jc w:val="center"/>
        </w:trPr>
        <w:tc>
          <w:tcPr>
            <w:tcW w:w="3108" w:type="dxa"/>
          </w:tcPr>
          <w:p w14:paraId="222548B5"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Dermal adsorption fraction (AC) (mg/cm</w:t>
            </w:r>
            <w:r w:rsidRPr="00B0476B">
              <w:rPr>
                <w:rFonts w:ascii="Arial" w:hAnsi="Arial" w:cs="Arial"/>
                <w:sz w:val="20"/>
                <w:szCs w:val="20"/>
                <w:vertAlign w:val="superscript"/>
                <w:lang w:val="en-GB"/>
              </w:rPr>
              <w:t>2</w:t>
            </w:r>
            <w:r w:rsidRPr="00B0476B">
              <w:rPr>
                <w:rFonts w:ascii="Arial" w:hAnsi="Arial" w:cs="Arial"/>
                <w:sz w:val="20"/>
                <w:szCs w:val="20"/>
                <w:lang w:val="en-GB"/>
              </w:rPr>
              <w:t xml:space="preserve">) </w:t>
            </w:r>
          </w:p>
        </w:tc>
        <w:tc>
          <w:tcPr>
            <w:tcW w:w="4162" w:type="dxa"/>
            <w:gridSpan w:val="3"/>
          </w:tcPr>
          <w:p w14:paraId="0B631F20"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0.13</w:t>
            </w:r>
          </w:p>
        </w:tc>
        <w:tc>
          <w:tcPr>
            <w:tcW w:w="2512" w:type="dxa"/>
          </w:tcPr>
          <w:p w14:paraId="74ADBA28"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0A180AFF" w14:textId="77777777" w:rsidTr="001E366F">
        <w:trPr>
          <w:jc w:val="center"/>
        </w:trPr>
        <w:tc>
          <w:tcPr>
            <w:tcW w:w="3108" w:type="dxa"/>
          </w:tcPr>
          <w:p w14:paraId="64CD4CE0"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Dermal adsorption rate (AR)</w:t>
            </w:r>
          </w:p>
        </w:tc>
        <w:tc>
          <w:tcPr>
            <w:tcW w:w="4162" w:type="dxa"/>
            <w:gridSpan w:val="3"/>
          </w:tcPr>
          <w:p w14:paraId="330B209E"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0.02 mg/event</w:t>
            </w:r>
          </w:p>
        </w:tc>
        <w:tc>
          <w:tcPr>
            <w:tcW w:w="2512" w:type="dxa"/>
          </w:tcPr>
          <w:p w14:paraId="4CEF0ECF"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2DD0E0FB" w14:textId="77777777" w:rsidTr="001E366F">
        <w:trPr>
          <w:jc w:val="center"/>
        </w:trPr>
        <w:tc>
          <w:tcPr>
            <w:tcW w:w="3108" w:type="dxa"/>
          </w:tcPr>
          <w:p w14:paraId="576A8C69"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Conversion factor</w:t>
            </w:r>
          </w:p>
        </w:tc>
        <w:tc>
          <w:tcPr>
            <w:tcW w:w="4162" w:type="dxa"/>
            <w:gridSpan w:val="3"/>
          </w:tcPr>
          <w:p w14:paraId="2D9985B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0.001</w:t>
            </w:r>
          </w:p>
        </w:tc>
        <w:tc>
          <w:tcPr>
            <w:tcW w:w="2512" w:type="dxa"/>
          </w:tcPr>
          <w:p w14:paraId="75AAA03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3FC428BD" w14:textId="77777777" w:rsidTr="001E366F">
        <w:trPr>
          <w:jc w:val="center"/>
        </w:trPr>
        <w:tc>
          <w:tcPr>
            <w:tcW w:w="3108" w:type="dxa"/>
          </w:tcPr>
          <w:p w14:paraId="4153BAD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Average exposure duration (AT) (AT = ED x 365) (days)</w:t>
            </w:r>
          </w:p>
        </w:tc>
        <w:tc>
          <w:tcPr>
            <w:tcW w:w="1348" w:type="dxa"/>
          </w:tcPr>
          <w:p w14:paraId="4434037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2,190</w:t>
            </w:r>
          </w:p>
        </w:tc>
        <w:tc>
          <w:tcPr>
            <w:tcW w:w="1486" w:type="dxa"/>
          </w:tcPr>
          <w:p w14:paraId="1A7647B3"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10,950</w:t>
            </w:r>
          </w:p>
        </w:tc>
        <w:tc>
          <w:tcPr>
            <w:tcW w:w="1328" w:type="dxa"/>
          </w:tcPr>
          <w:p w14:paraId="46A9527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10,950</w:t>
            </w:r>
          </w:p>
        </w:tc>
        <w:tc>
          <w:tcPr>
            <w:tcW w:w="2512" w:type="dxa"/>
          </w:tcPr>
          <w:p w14:paraId="68CDF1DA"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r w:rsidR="00B0476B" w:rsidRPr="00B0476B" w14:paraId="6CE249AA" w14:textId="77777777" w:rsidTr="001E366F">
        <w:trPr>
          <w:jc w:val="center"/>
        </w:trPr>
        <w:tc>
          <w:tcPr>
            <w:tcW w:w="3108" w:type="dxa"/>
          </w:tcPr>
          <w:p w14:paraId="635BADC1"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 xml:space="preserve">Average lifetime exposure for the calculation of lifetime carcinogenic risk (AT) (days) </w:t>
            </w:r>
          </w:p>
        </w:tc>
        <w:tc>
          <w:tcPr>
            <w:tcW w:w="4162" w:type="dxa"/>
            <w:gridSpan w:val="3"/>
          </w:tcPr>
          <w:p w14:paraId="4F25AFD0" w14:textId="77777777" w:rsidR="00B0476B" w:rsidRPr="00B0476B" w:rsidRDefault="00B0476B" w:rsidP="00B0476B">
            <w:pPr>
              <w:jc w:val="center"/>
              <w:rPr>
                <w:rFonts w:ascii="Arial" w:hAnsi="Arial" w:cs="Arial"/>
                <w:sz w:val="20"/>
                <w:szCs w:val="20"/>
                <w:lang w:val="en-GB"/>
              </w:rPr>
            </w:pPr>
          </w:p>
          <w:p w14:paraId="73D68B36"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365 x 58 years = 21,170</w:t>
            </w:r>
          </w:p>
        </w:tc>
        <w:tc>
          <w:tcPr>
            <w:tcW w:w="2512" w:type="dxa"/>
          </w:tcPr>
          <w:p w14:paraId="08A78FDB" w14:textId="77777777" w:rsidR="00B0476B" w:rsidRPr="00B0476B" w:rsidRDefault="00B0476B" w:rsidP="00B0476B">
            <w:pPr>
              <w:jc w:val="center"/>
              <w:rPr>
                <w:rFonts w:ascii="Arial" w:hAnsi="Arial" w:cs="Arial"/>
                <w:sz w:val="20"/>
                <w:szCs w:val="20"/>
                <w:lang w:val="en-GB"/>
              </w:rPr>
            </w:pPr>
          </w:p>
          <w:p w14:paraId="1F467424" w14:textId="77777777" w:rsidR="00B0476B" w:rsidRPr="00B0476B" w:rsidRDefault="00B0476B" w:rsidP="00B0476B">
            <w:pPr>
              <w:jc w:val="center"/>
              <w:rPr>
                <w:rFonts w:ascii="Arial" w:hAnsi="Arial" w:cs="Arial"/>
                <w:sz w:val="20"/>
                <w:szCs w:val="20"/>
                <w:lang w:val="en-GB"/>
              </w:rPr>
            </w:pPr>
            <w:r w:rsidRPr="00B0476B">
              <w:rPr>
                <w:rFonts w:ascii="Arial" w:hAnsi="Arial" w:cs="Arial"/>
                <w:sz w:val="20"/>
                <w:szCs w:val="20"/>
                <w:lang w:val="en-GB"/>
              </w:rPr>
              <w:t>US-EPA, 2005</w:t>
            </w:r>
          </w:p>
        </w:tc>
      </w:tr>
    </w:tbl>
    <w:p w14:paraId="4030EEA0" w14:textId="77777777" w:rsidR="00B0476B" w:rsidRPr="00B0476B" w:rsidRDefault="00B0476B" w:rsidP="00B0476B">
      <w:pPr>
        <w:jc w:val="both"/>
        <w:rPr>
          <w:rFonts w:ascii="Arial" w:hAnsi="Arial" w:cs="Arial"/>
          <w:i/>
          <w:iCs/>
          <w:lang w:val="fr-CI"/>
        </w:rPr>
      </w:pPr>
    </w:p>
    <w:p w14:paraId="303F514F" w14:textId="139361CE" w:rsidR="00B0476B"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5.3.1</w:t>
      </w:r>
      <w:r w:rsidRPr="00B0476B">
        <w:rPr>
          <w:rFonts w:ascii="Arial" w:hAnsi="Arial" w:cs="Arial"/>
          <w:i/>
          <w:iCs/>
        </w:rPr>
        <w:t xml:space="preserve"> Short-term health risk assessment</w:t>
      </w:r>
    </w:p>
    <w:p w14:paraId="081F0DBB" w14:textId="1AAC898A" w:rsidR="00B0476B" w:rsidRPr="00B0476B" w:rsidRDefault="00B0476B" w:rsidP="00B0476B">
      <w:pPr>
        <w:jc w:val="both"/>
        <w:rPr>
          <w:rFonts w:ascii="Arial" w:hAnsi="Arial" w:cs="Arial"/>
          <w:i/>
          <w:iCs/>
        </w:rPr>
      </w:pPr>
      <w:r w:rsidRPr="00B0476B">
        <w:rPr>
          <w:rFonts w:ascii="Arial" w:hAnsi="Arial" w:cs="Arial"/>
          <w:i/>
          <w:iCs/>
        </w:rPr>
        <w:t>2.2.</w:t>
      </w:r>
      <w:r w:rsidR="004828B3">
        <w:rPr>
          <w:rFonts w:ascii="Arial" w:hAnsi="Arial" w:cs="Arial"/>
          <w:i/>
          <w:iCs/>
        </w:rPr>
        <w:t>5.3.1</w:t>
      </w:r>
      <w:r w:rsidRPr="00B0476B">
        <w:rPr>
          <w:rFonts w:ascii="Arial" w:hAnsi="Arial" w:cs="Arial"/>
          <w:i/>
          <w:iCs/>
        </w:rPr>
        <w:t>.</w:t>
      </w:r>
      <w:r w:rsidR="004828B3">
        <w:rPr>
          <w:rFonts w:ascii="Arial" w:hAnsi="Arial" w:cs="Arial"/>
          <w:i/>
          <w:iCs/>
        </w:rPr>
        <w:t>1.</w:t>
      </w:r>
      <w:r w:rsidRPr="00B0476B">
        <w:rPr>
          <w:rFonts w:ascii="Arial" w:hAnsi="Arial" w:cs="Arial"/>
          <w:i/>
          <w:iCs/>
        </w:rPr>
        <w:t xml:space="preserve"> Non-carcinogenic risk assessment</w:t>
      </w:r>
    </w:p>
    <w:p w14:paraId="2A5E8418" w14:textId="77777777" w:rsidR="00B0476B" w:rsidRPr="00B0476B" w:rsidRDefault="00B0476B" w:rsidP="00B12026">
      <w:pPr>
        <w:jc w:val="both"/>
        <w:rPr>
          <w:rFonts w:ascii="Arial" w:hAnsi="Arial" w:cs="Arial"/>
        </w:rPr>
      </w:pPr>
      <w:r w:rsidRPr="00B0476B">
        <w:rPr>
          <w:rFonts w:ascii="Arial" w:hAnsi="Arial" w:cs="Arial"/>
        </w:rPr>
        <w:t>The Hazard Index (HI) is used to assess non-carcinogenic risks to humans resulting from exposure to various chemical pollutants. It is derived from the Daily Exposure Dose (DED), which estimates or approximates the amount of pollutant received by an individual relative to their body weight.</w:t>
      </w:r>
    </w:p>
    <w:p w14:paraId="06FE594D" w14:textId="77777777" w:rsidR="00B0476B" w:rsidRPr="00B0476B" w:rsidRDefault="00B0476B" w:rsidP="00B12026">
      <w:pPr>
        <w:jc w:val="both"/>
        <w:rPr>
          <w:rFonts w:ascii="Arial" w:hAnsi="Arial" w:cs="Arial"/>
        </w:rPr>
      </w:pPr>
      <w:r w:rsidRPr="00B0476B">
        <w:rPr>
          <w:rFonts w:ascii="Arial" w:hAnsi="Arial" w:cs="Arial"/>
        </w:rPr>
        <w:t xml:space="preserve">For pollutant exposure via dermal contact, the expression for the </w:t>
      </w:r>
      <w:proofErr w:type="spellStart"/>
      <w:proofErr w:type="gramStart"/>
      <w:r w:rsidRPr="00B0476B">
        <w:rPr>
          <w:rFonts w:ascii="Arial" w:hAnsi="Arial" w:cs="Arial"/>
        </w:rPr>
        <w:t>DED</w:t>
      </w:r>
      <w:r w:rsidRPr="00B0476B">
        <w:rPr>
          <w:rFonts w:ascii="Arial" w:hAnsi="Arial" w:cs="Arial"/>
          <w:vertAlign w:val="subscript"/>
        </w:rPr>
        <w:t>derm,i</w:t>
      </w:r>
      <w:proofErr w:type="spellEnd"/>
      <w:proofErr w:type="gramEnd"/>
      <w:r w:rsidRPr="00B0476B">
        <w:rPr>
          <w:rFonts w:ascii="Arial" w:hAnsi="Arial" w:cs="Arial"/>
        </w:rPr>
        <w:t xml:space="preserve"> (in mg/kg/day) for a pollutant </w:t>
      </w:r>
      <w:proofErr w:type="spellStart"/>
      <w:r w:rsidRPr="00B0476B">
        <w:rPr>
          <w:rFonts w:ascii="Arial" w:hAnsi="Arial" w:cs="Arial"/>
        </w:rPr>
        <w:t>i</w:t>
      </w:r>
      <w:proofErr w:type="spellEnd"/>
      <w:r w:rsidRPr="00B0476B">
        <w:rPr>
          <w:rFonts w:ascii="Arial" w:hAnsi="Arial" w:cs="Arial"/>
        </w:rPr>
        <w:t xml:space="preserve"> is as follows:</w:t>
      </w:r>
    </w:p>
    <w:p w14:paraId="66B48482" w14:textId="77777777" w:rsidR="00B0476B" w:rsidRPr="00B0476B" w:rsidRDefault="00000000" w:rsidP="00B12026">
      <w:pPr>
        <w:jc w:val="center"/>
        <w:rPr>
          <w:rFonts w:ascii="Arial" w:eastAsiaTheme="minorEastAsia" w:hAnsi="Arial" w:cs="Arial"/>
          <w:color w:val="000000"/>
        </w:rPr>
      </w:pPr>
      <m:oMathPara>
        <m:oMath>
          <m:sSub>
            <m:sSubPr>
              <m:ctrlPr>
                <w:rPr>
                  <w:rFonts w:ascii="Cambria Math" w:hAnsi="Cambria Math" w:cs="Arial"/>
                  <w:iCs/>
                  <w:color w:val="000000"/>
                </w:rPr>
              </m:ctrlPr>
            </m:sSubPr>
            <m:e>
              <m:r>
                <m:rPr>
                  <m:sty m:val="p"/>
                </m:rPr>
                <w:rPr>
                  <w:rFonts w:ascii="Cambria Math" w:hAnsi="Cambria Math" w:cs="Arial"/>
                  <w:color w:val="000000"/>
                </w:rPr>
                <m:t>DED</m:t>
              </m:r>
            </m:e>
            <m:sub>
              <m:r>
                <m:rPr>
                  <m:sty m:val="p"/>
                </m:rPr>
                <w:rPr>
                  <w:rFonts w:ascii="Cambria Math" w:hAnsi="Cambria Math" w:cs="Arial"/>
                  <w:color w:val="000000"/>
                </w:rPr>
                <m:t>derm,i</m:t>
              </m:r>
            </m:sub>
          </m:sSub>
          <m:r>
            <m:rPr>
              <m:sty m:val="p"/>
            </m:rPr>
            <w:rPr>
              <w:rFonts w:ascii="Cambria Math" w:hAnsi="Cambria Math" w:cs="Arial"/>
              <w:color w:val="000000"/>
            </w:rPr>
            <m:t xml:space="preserve">= </m:t>
          </m:r>
          <m:f>
            <m:fPr>
              <m:ctrlPr>
                <w:rPr>
                  <w:rFonts w:ascii="Cambria Math" w:hAnsi="Cambria Math" w:cs="Arial"/>
                  <w:color w:val="000000"/>
                </w:rPr>
              </m:ctrlPr>
            </m:fPr>
            <m:num>
              <m:sSub>
                <m:sSubPr>
                  <m:ctrlPr>
                    <w:rPr>
                      <w:rFonts w:ascii="Cambria Math" w:hAnsi="Cambria Math" w:cs="Arial"/>
                      <w:color w:val="000000"/>
                    </w:rPr>
                  </m:ctrlPr>
                </m:sSubPr>
                <m:e>
                  <m:r>
                    <m:rPr>
                      <m:sty m:val="p"/>
                    </m:rPr>
                    <w:rPr>
                      <w:rFonts w:ascii="Cambria Math" w:hAnsi="Cambria Math" w:cs="Arial"/>
                      <w:color w:val="000000"/>
                    </w:rPr>
                    <m:t>C</m:t>
                  </m:r>
                </m:e>
                <m:sub>
                  <m:r>
                    <m:rPr>
                      <m:sty m:val="p"/>
                    </m:rPr>
                    <w:rPr>
                      <w:rFonts w:ascii="Cambria Math" w:hAnsi="Cambria Math" w:cs="Arial"/>
                      <w:color w:val="000000"/>
                    </w:rPr>
                    <m:t>i</m:t>
                  </m:r>
                </m:sub>
              </m:sSub>
              <m:r>
                <m:rPr>
                  <m:sty m:val="p"/>
                </m:rPr>
                <w:rPr>
                  <w:rFonts w:ascii="Cambria Math" w:hAnsi="Cambria Math" w:cs="Arial"/>
                  <w:color w:val="000000"/>
                </w:rPr>
                <m:t xml:space="preserve">× SA×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p</m:t>
                  </m:r>
                </m:sub>
              </m:sSub>
              <m:r>
                <m:rPr>
                  <m:sty m:val="p"/>
                </m:rPr>
                <w:rPr>
                  <w:rFonts w:ascii="Cambria Math" w:hAnsi="Cambria Math" w:cs="Arial"/>
                  <w:color w:val="000000"/>
                </w:rPr>
                <m:t xml:space="preserve"> ×ET× EF× ED× CF</m:t>
              </m:r>
            </m:num>
            <m:den>
              <m:r>
                <m:rPr>
                  <m:sty m:val="p"/>
                </m:rPr>
                <w:rPr>
                  <w:rFonts w:ascii="Cambria Math" w:hAnsi="Cambria Math" w:cs="Arial"/>
                  <w:color w:val="000000"/>
                </w:rPr>
                <m:t>BW×AT</m:t>
              </m:r>
            </m:den>
          </m:f>
          <m:r>
            <m:rPr>
              <m:sty m:val="p"/>
            </m:rPr>
            <w:rPr>
              <w:rFonts w:ascii="Cambria Math" w:hAnsi="Cambria Math" w:cs="Arial"/>
              <w:color w:val="000000"/>
            </w:rPr>
            <m:t xml:space="preserve">           (5)</m:t>
          </m:r>
        </m:oMath>
      </m:oMathPara>
    </w:p>
    <w:p w14:paraId="364C6F81" w14:textId="77777777" w:rsidR="00B0476B" w:rsidRPr="00B0476B" w:rsidRDefault="00B0476B" w:rsidP="00B12026">
      <w:pPr>
        <w:jc w:val="center"/>
        <w:rPr>
          <w:rFonts w:ascii="Arial" w:eastAsiaTheme="minorEastAsia" w:hAnsi="Arial" w:cs="Arial"/>
          <w:color w:val="000000"/>
        </w:rPr>
      </w:pPr>
    </w:p>
    <w:p w14:paraId="4D473F28" w14:textId="45A5FDEE" w:rsidR="00B0476B" w:rsidRDefault="00B0476B" w:rsidP="00B12026">
      <w:pPr>
        <w:ind w:firstLine="720"/>
        <w:jc w:val="both"/>
        <w:rPr>
          <w:rFonts w:ascii="Arial" w:hAnsi="Arial" w:cs="Arial"/>
          <w:lang w:val="en-GB"/>
        </w:rPr>
      </w:pPr>
      <w:r w:rsidRPr="00B0476B">
        <w:rPr>
          <w:rFonts w:ascii="Arial" w:hAnsi="Arial" w:cs="Arial"/>
          <w:lang w:val="en-GB"/>
        </w:rPr>
        <w:t>where: C</w:t>
      </w:r>
      <w:r>
        <w:rPr>
          <w:rFonts w:ascii="Arial" w:hAnsi="Arial" w:cs="Arial"/>
          <w:vertAlign w:val="subscript"/>
          <w:lang w:val="en-GB"/>
        </w:rPr>
        <w:t>i</w:t>
      </w:r>
      <w:r w:rsidRPr="00B0476B">
        <w:rPr>
          <w:rFonts w:ascii="Arial" w:hAnsi="Arial" w:cs="Arial"/>
          <w:lang w:val="en-GB"/>
        </w:rPr>
        <w:t xml:space="preserve"> is the pollutant concentration (µg/l); </w:t>
      </w:r>
      <w:proofErr w:type="spellStart"/>
      <w:r w:rsidRPr="00B0476B">
        <w:rPr>
          <w:rFonts w:ascii="Arial" w:hAnsi="Arial" w:cs="Arial"/>
          <w:lang w:val="en-GB"/>
        </w:rPr>
        <w:t>Kp</w:t>
      </w:r>
      <w:proofErr w:type="spellEnd"/>
      <w:r w:rsidRPr="00B0476B">
        <w:rPr>
          <w:rFonts w:ascii="Arial" w:hAnsi="Arial" w:cs="Arial"/>
          <w:lang w:val="en-GB"/>
        </w:rPr>
        <w:t xml:space="preserve"> is the dermal permeability </w:t>
      </w:r>
    </w:p>
    <w:p w14:paraId="1D74AA22" w14:textId="663C429C" w:rsidR="00B0476B" w:rsidRPr="00B0476B" w:rsidRDefault="00B0476B" w:rsidP="00B12026">
      <w:pPr>
        <w:ind w:firstLine="720"/>
        <w:jc w:val="both"/>
        <w:rPr>
          <w:rFonts w:ascii="Arial" w:hAnsi="Arial" w:cs="Arial"/>
          <w:lang w:val="en-GB"/>
        </w:rPr>
      </w:pPr>
      <w:r w:rsidRPr="00B0476B">
        <w:rPr>
          <w:rFonts w:ascii="Arial" w:hAnsi="Arial" w:cs="Arial"/>
          <w:lang w:val="en-GB"/>
        </w:rPr>
        <w:t>coefficient</w:t>
      </w:r>
      <w:r w:rsidR="00B12026">
        <w:rPr>
          <w:rFonts w:ascii="Arial" w:hAnsi="Arial" w:cs="Arial"/>
          <w:lang w:val="en-GB"/>
        </w:rPr>
        <w:t xml:space="preserve"> </w:t>
      </w:r>
      <w:r w:rsidRPr="00B0476B">
        <w:rPr>
          <w:rFonts w:ascii="Arial" w:hAnsi="Arial" w:cs="Arial"/>
          <w:lang w:val="en-GB"/>
        </w:rPr>
        <w:t>(cm/h).</w:t>
      </w:r>
    </w:p>
    <w:p w14:paraId="1FAFA8F4" w14:textId="77777777" w:rsidR="00B0476B" w:rsidRPr="00B0476B" w:rsidRDefault="00B0476B" w:rsidP="00B12026">
      <w:pPr>
        <w:jc w:val="both"/>
        <w:rPr>
          <w:rFonts w:ascii="Arial" w:hAnsi="Arial" w:cs="Arial"/>
          <w:lang w:val="en-GB"/>
        </w:rPr>
      </w:pPr>
      <w:r w:rsidRPr="00B0476B">
        <w:rPr>
          <w:rFonts w:ascii="Arial" w:hAnsi="Arial" w:cs="Arial"/>
          <w:lang w:val="en-GB"/>
        </w:rPr>
        <w:t>The non-carcinogenic risk value from dermal contact for humans, referring to a given pollutant (</w:t>
      </w:r>
      <w:proofErr w:type="spellStart"/>
      <w:r w:rsidRPr="00B0476B">
        <w:rPr>
          <w:rFonts w:ascii="Arial" w:hAnsi="Arial" w:cs="Arial"/>
          <w:lang w:val="en-GB"/>
        </w:rPr>
        <w:t>HQ</w:t>
      </w:r>
      <w:r w:rsidRPr="00B0476B">
        <w:rPr>
          <w:rFonts w:ascii="Arial" w:hAnsi="Arial" w:cs="Arial"/>
          <w:vertAlign w:val="subscript"/>
          <w:lang w:val="en-GB"/>
        </w:rPr>
        <w:t>i</w:t>
      </w:r>
      <w:proofErr w:type="spellEnd"/>
      <w:r w:rsidRPr="00B0476B">
        <w:rPr>
          <w:rFonts w:ascii="Arial" w:hAnsi="Arial" w:cs="Arial"/>
          <w:lang w:val="en-GB"/>
        </w:rPr>
        <w:t>), is expressed as:</w:t>
      </w:r>
    </w:p>
    <w:p w14:paraId="30F160DF" w14:textId="77777777" w:rsidR="00B0476B" w:rsidRPr="00B0476B" w:rsidRDefault="00000000" w:rsidP="00B12026">
      <w:pPr>
        <w:jc w:val="center"/>
        <w:rPr>
          <w:rFonts w:ascii="Arial" w:eastAsiaTheme="minorEastAsia" w:hAnsi="Arial" w:cs="Arial"/>
          <w:color w:val="000000"/>
        </w:rPr>
      </w:pPr>
      <m:oMathPara>
        <m:oMathParaPr>
          <m:jc m:val="center"/>
        </m:oMathParaPr>
        <m:oMath>
          <m:sSub>
            <m:sSubPr>
              <m:ctrlPr>
                <w:rPr>
                  <w:rFonts w:ascii="Cambria Math" w:hAnsi="Cambria Math" w:cs="Arial"/>
                  <w:iCs/>
                  <w:color w:val="000000"/>
                </w:rPr>
              </m:ctrlPr>
            </m:sSubPr>
            <m:e>
              <m:r>
                <m:rPr>
                  <m:sty m:val="p"/>
                </m:rPr>
                <w:rPr>
                  <w:rFonts w:ascii="Cambria Math" w:hAnsi="Cambria Math" w:cs="Arial"/>
                  <w:color w:val="000000"/>
                </w:rPr>
                <m:t>HQ</m:t>
              </m:r>
            </m:e>
            <m:sub>
              <m:r>
                <m:rPr>
                  <m:sty m:val="p"/>
                </m:rPr>
                <w:rPr>
                  <w:rFonts w:ascii="Cambria Math" w:hAnsi="Cambria Math" w:cs="Arial"/>
                  <w:color w:val="000000"/>
                </w:rPr>
                <m:t>i</m:t>
              </m:r>
            </m:sub>
          </m:sSub>
          <m:r>
            <m:rPr>
              <m:sty m:val="p"/>
            </m:rPr>
            <w:rPr>
              <w:rFonts w:ascii="Cambria Math" w:hAnsi="Cambria Math" w:cs="Arial"/>
              <w:color w:val="000000"/>
            </w:rPr>
            <m:t>=</m:t>
          </m:r>
          <m:f>
            <m:fPr>
              <m:ctrlPr>
                <w:rPr>
                  <w:rFonts w:ascii="Cambria Math" w:hAnsi="Cambria Math" w:cs="Arial"/>
                  <w:iCs/>
                  <w:color w:val="000000"/>
                </w:rPr>
              </m:ctrlPr>
            </m:fPr>
            <m:num>
              <m:sSub>
                <m:sSubPr>
                  <m:ctrlPr>
                    <w:rPr>
                      <w:rFonts w:ascii="Cambria Math" w:hAnsi="Cambria Math" w:cs="Arial"/>
                      <w:iCs/>
                      <w:color w:val="000000"/>
                    </w:rPr>
                  </m:ctrlPr>
                </m:sSubPr>
                <m:e>
                  <m:r>
                    <m:rPr>
                      <m:sty m:val="p"/>
                    </m:rPr>
                    <w:rPr>
                      <w:rFonts w:ascii="Cambria Math" w:hAnsi="Cambria Math" w:cs="Arial"/>
                      <w:color w:val="000000"/>
                    </w:rPr>
                    <m:t>DED</m:t>
                  </m:r>
                </m:e>
                <m:sub>
                  <m:r>
                    <m:rPr>
                      <m:sty m:val="p"/>
                    </m:rPr>
                    <w:rPr>
                      <w:rFonts w:ascii="Cambria Math" w:hAnsi="Cambria Math" w:cs="Arial"/>
                      <w:color w:val="000000"/>
                    </w:rPr>
                    <m:t>derm,i</m:t>
                  </m:r>
                </m:sub>
              </m:sSub>
            </m:num>
            <m:den>
              <m:sSub>
                <m:sSubPr>
                  <m:ctrlPr>
                    <w:rPr>
                      <w:rFonts w:ascii="Cambria Math" w:hAnsi="Cambria Math" w:cs="Arial"/>
                      <w:iCs/>
                      <w:color w:val="000000"/>
                    </w:rPr>
                  </m:ctrlPr>
                </m:sSubPr>
                <m:e>
                  <m:r>
                    <m:rPr>
                      <m:sty m:val="p"/>
                    </m:rPr>
                    <w:rPr>
                      <w:rFonts w:ascii="Cambria Math" w:hAnsi="Cambria Math" w:cs="Arial"/>
                      <w:color w:val="000000"/>
                    </w:rPr>
                    <m:t>RfD</m:t>
                  </m:r>
                </m:e>
                <m:sub>
                  <m:r>
                    <m:rPr>
                      <m:sty m:val="p"/>
                    </m:rPr>
                    <w:rPr>
                      <w:rFonts w:ascii="Cambria Math" w:hAnsi="Cambria Math" w:cs="Arial"/>
                      <w:color w:val="000000"/>
                    </w:rPr>
                    <m:t>derm,i</m:t>
                  </m:r>
                </m:sub>
              </m:sSub>
            </m:den>
          </m:f>
          <m:r>
            <m:rPr>
              <m:sty m:val="p"/>
            </m:rPr>
            <w:rPr>
              <w:rFonts w:ascii="Cambria Math" w:hAnsi="Cambria Math" w:cs="Arial"/>
              <w:color w:val="000000"/>
            </w:rPr>
            <m:t xml:space="preserve">                             (6)</m:t>
          </m:r>
        </m:oMath>
      </m:oMathPara>
    </w:p>
    <w:p w14:paraId="371E28BF" w14:textId="77777777" w:rsidR="00B0476B" w:rsidRPr="00B0476B" w:rsidRDefault="00B0476B" w:rsidP="00B12026">
      <w:pPr>
        <w:jc w:val="both"/>
        <w:rPr>
          <w:rFonts w:ascii="Arial" w:hAnsi="Arial" w:cs="Arial"/>
          <w:lang w:val="en-GB"/>
        </w:rPr>
      </w:pPr>
      <w:r w:rsidRPr="00B0476B">
        <w:rPr>
          <w:rFonts w:ascii="Arial" w:hAnsi="Arial" w:cs="Arial"/>
          <w:lang w:val="en-GB"/>
        </w:rPr>
        <w:t>The non-carcinogenic risk value for a mixture of pollutants (HI) is consequently derived using the following expression:</w:t>
      </w:r>
    </w:p>
    <w:p w14:paraId="1B0E0A25" w14:textId="77777777" w:rsidR="00B0476B" w:rsidRPr="00B0476B" w:rsidRDefault="00B0476B" w:rsidP="00B12026">
      <w:pPr>
        <w:jc w:val="center"/>
        <w:rPr>
          <w:rFonts w:ascii="Arial" w:hAnsi="Arial" w:cs="Arial"/>
          <w:lang w:val="en-GB"/>
        </w:rPr>
      </w:pPr>
      <m:oMathPara>
        <m:oMath>
          <m:r>
            <m:rPr>
              <m:sty m:val="p"/>
            </m:rPr>
            <w:rPr>
              <w:rFonts w:ascii="Cambria Math" w:hAnsi="Cambria Math" w:cs="Arial"/>
              <w:color w:val="000000"/>
            </w:rPr>
            <m:t>HI=</m:t>
          </m:r>
          <m:nary>
            <m:naryPr>
              <m:chr m:val="∑"/>
              <m:limLoc m:val="undOvr"/>
              <m:subHide m:val="1"/>
              <m:supHide m:val="1"/>
              <m:ctrlPr>
                <w:rPr>
                  <w:rFonts w:ascii="Cambria Math" w:hAnsi="Cambria Math" w:cs="Arial"/>
                  <w:iCs/>
                  <w:color w:val="000000"/>
                </w:rPr>
              </m:ctrlPr>
            </m:naryPr>
            <m:sub/>
            <m:sup/>
            <m:e>
              <m:sSub>
                <m:sSubPr>
                  <m:ctrlPr>
                    <w:rPr>
                      <w:rFonts w:ascii="Cambria Math" w:hAnsi="Cambria Math" w:cs="Arial"/>
                      <w:iCs/>
                      <w:color w:val="000000"/>
                    </w:rPr>
                  </m:ctrlPr>
                </m:sSubPr>
                <m:e>
                  <m:r>
                    <m:rPr>
                      <m:sty m:val="p"/>
                    </m:rPr>
                    <w:rPr>
                      <w:rFonts w:ascii="Cambria Math" w:hAnsi="Cambria Math" w:cs="Arial"/>
                      <w:color w:val="000000"/>
                    </w:rPr>
                    <m:t>HQ</m:t>
                  </m:r>
                </m:e>
                <m:sub>
                  <m:r>
                    <m:rPr>
                      <m:sty m:val="p"/>
                    </m:rPr>
                    <w:rPr>
                      <w:rFonts w:ascii="Cambria Math" w:hAnsi="Cambria Math" w:cs="Arial"/>
                      <w:color w:val="000000"/>
                    </w:rPr>
                    <m:t>i</m:t>
                  </m:r>
                </m:sub>
              </m:sSub>
              <m:r>
                <m:rPr>
                  <m:sty m:val="p"/>
                </m:rPr>
                <w:rPr>
                  <w:rFonts w:ascii="Cambria Math" w:hAnsi="Cambria Math" w:cs="Arial"/>
                  <w:color w:val="000000"/>
                </w:rPr>
                <m:t xml:space="preserve">                                   (7)</m:t>
              </m:r>
            </m:e>
          </m:nary>
        </m:oMath>
      </m:oMathPara>
    </w:p>
    <w:p w14:paraId="04A7F05B" w14:textId="033C2687" w:rsidR="00B0476B" w:rsidRPr="00B0476B" w:rsidRDefault="00B0476B" w:rsidP="00B12026">
      <w:pPr>
        <w:jc w:val="both"/>
        <w:rPr>
          <w:rFonts w:ascii="Arial" w:hAnsi="Arial" w:cs="Arial"/>
          <w:lang w:val="en-GB"/>
        </w:rPr>
      </w:pPr>
      <w:r w:rsidRPr="00B0476B">
        <w:rPr>
          <w:rFonts w:ascii="Arial" w:hAnsi="Arial" w:cs="Arial"/>
          <w:lang w:val="en-GB"/>
        </w:rPr>
        <w:t>Among the 16 PAHs identified as priority by the US-EPA (1982), 13 exhibit the capacity to permeate the dermal barrier. However, only 5 have a dermal Reference Dose (</w:t>
      </w:r>
      <w:proofErr w:type="spellStart"/>
      <w:proofErr w:type="gramStart"/>
      <w:r w:rsidRPr="00B0476B">
        <w:rPr>
          <w:rFonts w:ascii="Arial" w:hAnsi="Arial" w:cs="Arial"/>
          <w:lang w:val="en-GB"/>
        </w:rPr>
        <w:t>RfD</w:t>
      </w:r>
      <w:r w:rsidRPr="00B0476B">
        <w:rPr>
          <w:rFonts w:ascii="Arial" w:hAnsi="Arial" w:cs="Arial"/>
          <w:vertAlign w:val="subscript"/>
          <w:lang w:val="en-GB"/>
        </w:rPr>
        <w:t>derm,i</w:t>
      </w:r>
      <w:proofErr w:type="spellEnd"/>
      <w:proofErr w:type="gramEnd"/>
      <w:r w:rsidRPr="00B0476B">
        <w:rPr>
          <w:rFonts w:ascii="Arial" w:hAnsi="Arial" w:cs="Arial"/>
          <w:lang w:val="en-GB"/>
        </w:rPr>
        <w:t>) value. These include ATC (0.04 mg/kg/day), FLR (0.04 mg/kg/day), FLRT (0.04 mg/kg/day), NPT (0.02 mg/kg/day), and (PNT) (0.04 mg/kg/day). Their respective dermal permeability coefficients (</w:t>
      </w:r>
      <w:proofErr w:type="spellStart"/>
      <w:r w:rsidRPr="00B0476B">
        <w:rPr>
          <w:rFonts w:ascii="Arial" w:hAnsi="Arial" w:cs="Arial"/>
          <w:lang w:val="en-GB"/>
        </w:rPr>
        <w:t>Kp</w:t>
      </w:r>
      <w:proofErr w:type="spellEnd"/>
      <w:r w:rsidRPr="00B0476B">
        <w:rPr>
          <w:rFonts w:ascii="Arial" w:hAnsi="Arial" w:cs="Arial"/>
          <w:lang w:val="en-GB"/>
        </w:rPr>
        <w:t>) (cm/h), used to determine their daily dermal exposure (</w:t>
      </w:r>
      <w:proofErr w:type="spellStart"/>
      <w:proofErr w:type="gramStart"/>
      <w:r w:rsidRPr="00B0476B">
        <w:rPr>
          <w:rFonts w:ascii="Arial" w:hAnsi="Arial" w:cs="Arial"/>
          <w:lang w:val="en-GB"/>
        </w:rPr>
        <w:t>DED</w:t>
      </w:r>
      <w:r w:rsidRPr="00B0476B">
        <w:rPr>
          <w:rFonts w:ascii="Arial" w:hAnsi="Arial" w:cs="Arial"/>
          <w:vertAlign w:val="subscript"/>
          <w:lang w:val="en-GB"/>
        </w:rPr>
        <w:t>derm,i</w:t>
      </w:r>
      <w:proofErr w:type="spellEnd"/>
      <w:proofErr w:type="gramEnd"/>
      <w:r w:rsidRPr="00B0476B">
        <w:rPr>
          <w:rFonts w:ascii="Arial" w:hAnsi="Arial" w:cs="Arial"/>
          <w:lang w:val="en-GB"/>
        </w:rPr>
        <w:t>), are: 3.46×10</w:t>
      </w:r>
      <w:r w:rsidRPr="00B0476B">
        <w:rPr>
          <w:rFonts w:ascii="Arial" w:hAnsi="Arial" w:cs="Arial"/>
          <w:vertAlign w:val="superscript"/>
          <w:lang w:val="en-GB"/>
        </w:rPr>
        <w:t>−4</w:t>
      </w:r>
      <w:r w:rsidRPr="00B0476B">
        <w:rPr>
          <w:rFonts w:ascii="Arial" w:hAnsi="Arial" w:cs="Arial"/>
          <w:lang w:val="en-GB"/>
        </w:rPr>
        <w:t xml:space="preserve"> for ATC; 6.26×10</w:t>
      </w:r>
      <w:r w:rsidRPr="00B0476B">
        <w:rPr>
          <w:rFonts w:ascii="Arial" w:hAnsi="Arial" w:cs="Arial"/>
          <w:vertAlign w:val="superscript"/>
          <w:lang w:val="en-GB"/>
        </w:rPr>
        <w:t>−3</w:t>
      </w:r>
      <w:r w:rsidRPr="00B0476B">
        <w:rPr>
          <w:rFonts w:ascii="Arial" w:hAnsi="Arial" w:cs="Arial"/>
          <w:lang w:val="en-GB"/>
        </w:rPr>
        <w:t xml:space="preserve"> for FLR; 0.36 for FLRT; 0.069 for NPT; and 0.27 for PNT (Hopf et al., 2019; US-EPA, 1992</w:t>
      </w:r>
      <w:proofErr w:type="gramStart"/>
      <w:r w:rsidRPr="00B0476B">
        <w:rPr>
          <w:rFonts w:ascii="Arial" w:hAnsi="Arial" w:cs="Arial"/>
          <w:lang w:val="en-GB"/>
        </w:rPr>
        <w:t>a,b</w:t>
      </w:r>
      <w:proofErr w:type="gramEnd"/>
      <w:r w:rsidRPr="00B0476B">
        <w:rPr>
          <w:rFonts w:ascii="Arial" w:hAnsi="Arial" w:cs="Arial"/>
          <w:lang w:val="en-GB"/>
        </w:rPr>
        <w:t>).</w:t>
      </w:r>
    </w:p>
    <w:p w14:paraId="39BC8E67" w14:textId="77777777" w:rsidR="00B0476B" w:rsidRPr="00B0476B" w:rsidRDefault="00B0476B" w:rsidP="00B12026">
      <w:pPr>
        <w:jc w:val="both"/>
        <w:rPr>
          <w:rFonts w:ascii="Arial" w:hAnsi="Arial" w:cs="Arial"/>
          <w:lang w:val="en-GB"/>
        </w:rPr>
      </w:pPr>
      <w:r w:rsidRPr="00B0476B">
        <w:rPr>
          <w:rFonts w:ascii="Arial" w:hAnsi="Arial" w:cs="Arial"/>
          <w:lang w:val="en-GB"/>
        </w:rPr>
        <w:t xml:space="preserve">When HI (HQ) &lt; 1, no carcinogenic risk is identified in relation to the sum of pollutants (or a specific pollutant). Conversely, when HI (HQ) &gt; 1, it is not possible to draw an absolute conclusion regarding the </w:t>
      </w:r>
      <w:r w:rsidRPr="00B0476B">
        <w:rPr>
          <w:rFonts w:ascii="Arial" w:hAnsi="Arial" w:cs="Arial"/>
          <w:lang w:val="en-GB"/>
        </w:rPr>
        <w:lastRenderedPageBreak/>
        <w:t xml:space="preserve">sum of pollutants (or a given pollutant), but the </w:t>
      </w:r>
      <w:proofErr w:type="spellStart"/>
      <w:r w:rsidRPr="00B0476B">
        <w:rPr>
          <w:rFonts w:ascii="Arial" w:hAnsi="Arial" w:cs="Arial"/>
          <w:lang w:val="en-GB"/>
        </w:rPr>
        <w:t>analyzed</w:t>
      </w:r>
      <w:proofErr w:type="spellEnd"/>
      <w:r w:rsidRPr="00B0476B">
        <w:rPr>
          <w:rFonts w:ascii="Arial" w:hAnsi="Arial" w:cs="Arial"/>
          <w:lang w:val="en-GB"/>
        </w:rPr>
        <w:t xml:space="preserve"> matrix appears to present a potential hazard to humans (</w:t>
      </w:r>
      <w:proofErr w:type="spellStart"/>
      <w:r w:rsidRPr="00B0476B">
        <w:rPr>
          <w:rFonts w:ascii="Arial" w:hAnsi="Arial" w:cs="Arial"/>
          <w:lang w:val="en-GB"/>
        </w:rPr>
        <w:t>Adenji</w:t>
      </w:r>
      <w:proofErr w:type="spellEnd"/>
      <w:r w:rsidRPr="00B0476B">
        <w:rPr>
          <w:rFonts w:ascii="Arial" w:hAnsi="Arial" w:cs="Arial"/>
          <w:lang w:val="en-GB"/>
        </w:rPr>
        <w:t xml:space="preserve"> et al., 2019; US-EPA, 1992</w:t>
      </w:r>
      <w:proofErr w:type="gramStart"/>
      <w:r w:rsidRPr="00B0476B">
        <w:rPr>
          <w:rFonts w:ascii="Arial" w:hAnsi="Arial" w:cs="Arial"/>
          <w:lang w:val="en-GB"/>
        </w:rPr>
        <w:t>a,b</w:t>
      </w:r>
      <w:proofErr w:type="gramEnd"/>
      <w:r w:rsidRPr="00B0476B">
        <w:rPr>
          <w:rFonts w:ascii="Arial" w:hAnsi="Arial" w:cs="Arial"/>
          <w:lang w:val="en-GB"/>
        </w:rPr>
        <w:t>).</w:t>
      </w:r>
    </w:p>
    <w:p w14:paraId="11AFD9DE" w14:textId="77777777" w:rsidR="00B0476B" w:rsidRPr="00B0476B" w:rsidRDefault="00B0476B" w:rsidP="00B12026">
      <w:pPr>
        <w:jc w:val="both"/>
        <w:rPr>
          <w:rFonts w:ascii="Arial" w:hAnsi="Arial" w:cs="Arial"/>
          <w:lang w:val="en-GB"/>
        </w:rPr>
      </w:pPr>
    </w:p>
    <w:p w14:paraId="2245C1F6" w14:textId="3B759528" w:rsidR="00B0476B" w:rsidRPr="00B12026" w:rsidRDefault="00B12026" w:rsidP="00B12026">
      <w:pPr>
        <w:jc w:val="both"/>
        <w:rPr>
          <w:rFonts w:ascii="Arial" w:hAnsi="Arial" w:cs="Arial"/>
          <w:i/>
          <w:iCs/>
          <w:lang w:val="en-GB"/>
        </w:rPr>
      </w:pPr>
      <w:r w:rsidRPr="00B12026">
        <w:rPr>
          <w:rFonts w:ascii="Arial" w:hAnsi="Arial" w:cs="Arial"/>
          <w:i/>
          <w:iCs/>
          <w:lang w:val="en-GB"/>
        </w:rPr>
        <w:t>2.2.</w:t>
      </w:r>
      <w:r w:rsidR="004828B3">
        <w:rPr>
          <w:rFonts w:ascii="Arial" w:hAnsi="Arial" w:cs="Arial"/>
          <w:i/>
          <w:iCs/>
          <w:lang w:val="en-GB"/>
        </w:rPr>
        <w:t>5.3.1.</w:t>
      </w:r>
      <w:r w:rsidRPr="00B12026">
        <w:rPr>
          <w:rFonts w:ascii="Arial" w:hAnsi="Arial" w:cs="Arial"/>
          <w:i/>
          <w:iCs/>
          <w:lang w:val="en-GB"/>
        </w:rPr>
        <w:t xml:space="preserve">2. </w:t>
      </w:r>
      <w:r w:rsidR="00B0476B" w:rsidRPr="00B12026">
        <w:rPr>
          <w:rFonts w:ascii="Arial" w:hAnsi="Arial" w:cs="Arial"/>
          <w:i/>
          <w:iCs/>
          <w:lang w:val="en-GB"/>
        </w:rPr>
        <w:t xml:space="preserve">Assessment of carcinogenic and mutagenic Risks at </w:t>
      </w:r>
      <w:proofErr w:type="spellStart"/>
      <w:r w:rsidR="00B0476B" w:rsidRPr="00B12026">
        <w:rPr>
          <w:rFonts w:ascii="Arial" w:hAnsi="Arial" w:cs="Arial"/>
          <w:i/>
          <w:iCs/>
          <w:lang w:val="en-GB"/>
        </w:rPr>
        <w:t>BaP</w:t>
      </w:r>
      <w:proofErr w:type="spellEnd"/>
      <w:r w:rsidR="00B0476B" w:rsidRPr="00B12026">
        <w:rPr>
          <w:rFonts w:ascii="Arial" w:hAnsi="Arial" w:cs="Arial"/>
          <w:i/>
          <w:iCs/>
          <w:lang w:val="en-GB"/>
        </w:rPr>
        <w:t xml:space="preserve">-equivalent </w:t>
      </w:r>
      <w:r>
        <w:rPr>
          <w:rFonts w:ascii="Arial" w:hAnsi="Arial" w:cs="Arial"/>
          <w:i/>
          <w:iCs/>
          <w:lang w:val="en-GB"/>
        </w:rPr>
        <w:t>d</w:t>
      </w:r>
      <w:r w:rsidR="00B0476B" w:rsidRPr="00B12026">
        <w:rPr>
          <w:rFonts w:ascii="Arial" w:hAnsi="Arial" w:cs="Arial"/>
          <w:i/>
          <w:iCs/>
          <w:lang w:val="en-GB"/>
        </w:rPr>
        <w:t>oses</w:t>
      </w:r>
    </w:p>
    <w:p w14:paraId="692EC990" w14:textId="77777777" w:rsidR="00B0476B" w:rsidRDefault="00B0476B" w:rsidP="00B12026">
      <w:pPr>
        <w:jc w:val="both"/>
        <w:rPr>
          <w:rFonts w:ascii="Arial" w:hAnsi="Arial" w:cs="Arial"/>
          <w:lang w:val="en-GB"/>
        </w:rPr>
      </w:pPr>
      <w:r w:rsidRPr="00B12026">
        <w:rPr>
          <w:rFonts w:ascii="Arial" w:hAnsi="Arial" w:cs="Arial"/>
          <w:lang w:val="en-GB"/>
        </w:rPr>
        <w:t>The carcinogenic and mutagenic risks of certain of the 16 PAHs to humans utilizing the waters of this lacustrine system for the aforementioned activities were assessed using the RI-</w:t>
      </w:r>
      <w:proofErr w:type="spellStart"/>
      <w:r w:rsidRPr="00B12026">
        <w:rPr>
          <w:rFonts w:ascii="Arial" w:hAnsi="Arial" w:cs="Arial"/>
          <w:lang w:val="en-GB"/>
        </w:rPr>
        <w:t>BaP</w:t>
      </w:r>
      <w:proofErr w:type="spellEnd"/>
      <w:r w:rsidRPr="00B12026">
        <w:rPr>
          <w:rFonts w:ascii="Arial" w:hAnsi="Arial" w:cs="Arial"/>
          <w:lang w:val="en-GB"/>
        </w:rPr>
        <w:t xml:space="preserve"> dose indices (TEQ and MEQ). This index is calculated from the </w:t>
      </w:r>
      <w:proofErr w:type="spellStart"/>
      <w:r w:rsidRPr="00B12026">
        <w:rPr>
          <w:rFonts w:ascii="Arial" w:hAnsi="Arial" w:cs="Arial"/>
          <w:lang w:val="en-GB"/>
        </w:rPr>
        <w:t>BaP</w:t>
      </w:r>
      <w:proofErr w:type="spellEnd"/>
      <w:r w:rsidRPr="00B12026">
        <w:rPr>
          <w:rFonts w:ascii="Arial" w:hAnsi="Arial" w:cs="Arial"/>
          <w:lang w:val="en-GB"/>
        </w:rPr>
        <w:t xml:space="preserve"> equivalent dose (</w:t>
      </w:r>
      <w:proofErr w:type="spellStart"/>
      <w:r w:rsidRPr="00B12026">
        <w:rPr>
          <w:rFonts w:ascii="Arial" w:hAnsi="Arial" w:cs="Arial"/>
          <w:lang w:val="en-GB"/>
        </w:rPr>
        <w:t>BaP</w:t>
      </w:r>
      <w:proofErr w:type="spellEnd"/>
      <w:r w:rsidRPr="00B12026">
        <w:rPr>
          <w:rFonts w:ascii="Arial" w:hAnsi="Arial" w:cs="Arial"/>
          <w:lang w:val="en-GB"/>
        </w:rPr>
        <w:t xml:space="preserve">-TEQ </w:t>
      </w:r>
      <w:proofErr w:type="spellStart"/>
      <w:r w:rsidRPr="00B12026">
        <w:rPr>
          <w:rFonts w:ascii="Arial" w:hAnsi="Arial" w:cs="Arial"/>
          <w:lang w:val="en-GB"/>
        </w:rPr>
        <w:t>ou</w:t>
      </w:r>
      <w:proofErr w:type="spellEnd"/>
      <w:r w:rsidRPr="00B12026">
        <w:rPr>
          <w:rFonts w:ascii="Arial" w:hAnsi="Arial" w:cs="Arial"/>
          <w:lang w:val="en-GB"/>
        </w:rPr>
        <w:t xml:space="preserve"> </w:t>
      </w:r>
      <w:proofErr w:type="spellStart"/>
      <w:r w:rsidRPr="00B12026">
        <w:rPr>
          <w:rFonts w:ascii="Arial" w:hAnsi="Arial" w:cs="Arial"/>
          <w:lang w:val="en-GB"/>
        </w:rPr>
        <w:t>BaP</w:t>
      </w:r>
      <w:proofErr w:type="spellEnd"/>
      <w:r w:rsidRPr="00B12026">
        <w:rPr>
          <w:rFonts w:ascii="Arial" w:hAnsi="Arial" w:cs="Arial"/>
          <w:lang w:val="en-GB"/>
        </w:rPr>
        <w:t xml:space="preserve">-MEQ) of the PAHs. Thus, for a given PAH </w:t>
      </w:r>
      <w:proofErr w:type="spellStart"/>
      <w:r w:rsidRPr="00B12026">
        <w:rPr>
          <w:rFonts w:ascii="Arial" w:hAnsi="Arial" w:cs="Arial"/>
          <w:lang w:val="en-GB"/>
        </w:rPr>
        <w:t>i</w:t>
      </w:r>
      <w:proofErr w:type="spellEnd"/>
      <w:r w:rsidRPr="00B12026">
        <w:rPr>
          <w:rFonts w:ascii="Arial" w:hAnsi="Arial" w:cs="Arial"/>
          <w:lang w:val="en-GB"/>
        </w:rPr>
        <w:t xml:space="preserve">, the expression for the carcinogenic (mutagenic) </w:t>
      </w:r>
      <w:proofErr w:type="spellStart"/>
      <w:r w:rsidRPr="00B12026">
        <w:rPr>
          <w:rFonts w:ascii="Arial" w:hAnsi="Arial" w:cs="Arial"/>
          <w:lang w:val="en-GB"/>
        </w:rPr>
        <w:t>BaP</w:t>
      </w:r>
      <w:proofErr w:type="spellEnd"/>
      <w:r w:rsidRPr="00B12026">
        <w:rPr>
          <w:rFonts w:ascii="Arial" w:hAnsi="Arial" w:cs="Arial"/>
          <w:lang w:val="en-GB"/>
        </w:rPr>
        <w:t xml:space="preserve"> equivalent dose (mg/kg/day) is:</w:t>
      </w:r>
    </w:p>
    <w:p w14:paraId="348718F5" w14:textId="77777777" w:rsidR="00B932E3" w:rsidRPr="00B12026" w:rsidRDefault="00B932E3" w:rsidP="00B12026">
      <w:pPr>
        <w:jc w:val="both"/>
        <w:rPr>
          <w:rFonts w:ascii="Arial" w:hAnsi="Arial" w:cs="Arial"/>
          <w:lang w:val="en-GB"/>
        </w:rPr>
      </w:pPr>
    </w:p>
    <w:p w14:paraId="42F7994A" w14:textId="77777777" w:rsidR="00B0476B" w:rsidRPr="00B12026" w:rsidRDefault="00000000" w:rsidP="00B12026">
      <w:pPr>
        <w:jc w:val="center"/>
        <w:rPr>
          <w:rFonts w:ascii="Arial" w:hAnsi="Arial" w:cs="Arial"/>
          <w:lang w:val="en-GB"/>
        </w:rPr>
      </w:pPr>
      <m:oMathPara>
        <m:oMath>
          <m:sSub>
            <m:sSubPr>
              <m:ctrlPr>
                <w:rPr>
                  <w:rFonts w:ascii="Cambria Math" w:hAnsi="Cambria Math" w:cs="Arial"/>
                  <w:iCs/>
                </w:rPr>
              </m:ctrlPr>
            </m:sSubPr>
            <m:e>
              <m:r>
                <m:rPr>
                  <m:sty m:val="p"/>
                </m:rPr>
                <w:rPr>
                  <w:rFonts w:ascii="Cambria Math" w:hAnsi="Cambria Math" w:cs="Arial"/>
                </w:rPr>
                <m:t xml:space="preserve">Carcinogenic </m:t>
              </m:r>
              <m:d>
                <m:dPr>
                  <m:ctrlPr>
                    <w:rPr>
                      <w:rFonts w:ascii="Cambria Math" w:hAnsi="Cambria Math" w:cs="Arial"/>
                    </w:rPr>
                  </m:ctrlPr>
                </m:dPr>
                <m:e>
                  <m:r>
                    <m:rPr>
                      <m:sty m:val="p"/>
                    </m:rPr>
                    <w:rPr>
                      <w:rFonts w:ascii="Cambria Math" w:hAnsi="Cambria Math" w:cs="Arial"/>
                    </w:rPr>
                    <m:t>mutagenic</m:t>
                  </m:r>
                </m:e>
              </m:d>
              <m:r>
                <m:rPr>
                  <m:sty m:val="p"/>
                </m:rPr>
                <w:rPr>
                  <w:rFonts w:ascii="Cambria Math" w:hAnsi="Cambria Math" w:cs="Arial"/>
                </w:rPr>
                <m:t xml:space="preserve"> BaP equivalent dose</m:t>
              </m:r>
            </m:e>
            <m:sub>
              <m:r>
                <m:rPr>
                  <m:sty m:val="p"/>
                </m:rPr>
                <w:rPr>
                  <w:rFonts w:ascii="Cambria Math" w:hAnsi="Cambria Math" w:cs="Arial"/>
                </w:rPr>
                <m:t>i</m:t>
              </m:r>
            </m:sub>
          </m:sSub>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 xml:space="preserve">TEQ </m:t>
              </m:r>
              <m:d>
                <m:dPr>
                  <m:ctrlPr>
                    <w:rPr>
                      <w:rFonts w:ascii="Cambria Math" w:hAnsi="Cambria Math" w:cs="Arial"/>
                      <w:iCs/>
                    </w:rPr>
                  </m:ctrlPr>
                </m:dPr>
                <m:e>
                  <m:r>
                    <m:rPr>
                      <m:sty m:val="p"/>
                    </m:rPr>
                    <w:rPr>
                      <w:rFonts w:ascii="Cambria Math" w:hAnsi="Cambria Math" w:cs="Arial"/>
                    </w:rPr>
                    <m:t>MEQ</m:t>
                  </m:r>
                </m:e>
              </m:d>
              <m:r>
                <m:rPr>
                  <m:sty m:val="p"/>
                </m:rPr>
                <w:rPr>
                  <w:rFonts w:ascii="Cambria Math" w:hAnsi="Cambria Math" w:cs="Arial"/>
                </w:rPr>
                <m:t>×AC×AR×SA×EF×FE×ED×CF</m:t>
              </m:r>
            </m:num>
            <m:den>
              <m:r>
                <m:rPr>
                  <m:sty m:val="p"/>
                </m:rPr>
                <w:rPr>
                  <w:rFonts w:ascii="Cambria Math" w:hAnsi="Cambria Math" w:cs="Arial"/>
                </w:rPr>
                <m:t>BW×AT</m:t>
              </m:r>
            </m:den>
          </m:f>
          <m:r>
            <m:rPr>
              <m:sty m:val="p"/>
            </m:rPr>
            <w:rPr>
              <w:rFonts w:ascii="Cambria Math" w:hAnsi="Cambria Math" w:cs="Arial"/>
            </w:rPr>
            <m:t xml:space="preserve">   (8</m:t>
          </m:r>
          <m:r>
            <w:rPr>
              <w:rFonts w:ascii="Cambria Math" w:hAnsi="Cambria Math" w:cs="Arial"/>
            </w:rPr>
            <m:t>)</m:t>
          </m:r>
        </m:oMath>
      </m:oMathPara>
    </w:p>
    <w:p w14:paraId="33290FE7" w14:textId="77777777" w:rsidR="00B932E3" w:rsidRDefault="00B932E3" w:rsidP="00B12026">
      <w:pPr>
        <w:jc w:val="both"/>
        <w:rPr>
          <w:rFonts w:ascii="Arial" w:hAnsi="Arial" w:cs="Arial"/>
          <w:lang w:val="en-GB"/>
        </w:rPr>
      </w:pPr>
    </w:p>
    <w:p w14:paraId="093B4BD9" w14:textId="720133B1" w:rsidR="00B0476B" w:rsidRDefault="00B0476B" w:rsidP="00B12026">
      <w:pPr>
        <w:jc w:val="both"/>
        <w:rPr>
          <w:rFonts w:ascii="Arial" w:hAnsi="Arial" w:cs="Arial"/>
          <w:lang w:val="en-GB"/>
        </w:rPr>
      </w:pPr>
      <w:r w:rsidRPr="00B12026">
        <w:rPr>
          <w:rFonts w:ascii="Arial" w:hAnsi="Arial" w:cs="Arial"/>
          <w:lang w:val="en-GB"/>
        </w:rPr>
        <w:t>From this expression, the RI-</w:t>
      </w:r>
      <w:proofErr w:type="spellStart"/>
      <w:r w:rsidRPr="00B12026">
        <w:rPr>
          <w:rFonts w:ascii="Arial" w:hAnsi="Arial" w:cs="Arial"/>
          <w:lang w:val="en-GB"/>
        </w:rPr>
        <w:t>BaP</w:t>
      </w:r>
      <w:proofErr w:type="spellEnd"/>
      <w:r w:rsidRPr="00B12026">
        <w:rPr>
          <w:rFonts w:ascii="Arial" w:hAnsi="Arial" w:cs="Arial"/>
          <w:lang w:val="en-GB"/>
        </w:rPr>
        <w:t xml:space="preserve"> dose (carcinogenic or mutagenic) for this PAH is derived according to the following formula:</w:t>
      </w:r>
    </w:p>
    <w:p w14:paraId="0200C138" w14:textId="77777777" w:rsidR="00B932E3" w:rsidRPr="00B12026" w:rsidRDefault="00B932E3" w:rsidP="00B12026">
      <w:pPr>
        <w:jc w:val="both"/>
        <w:rPr>
          <w:rFonts w:ascii="Arial" w:hAnsi="Arial" w:cs="Arial"/>
          <w:lang w:val="en-GB"/>
        </w:rPr>
      </w:pPr>
    </w:p>
    <w:p w14:paraId="42D96A92" w14:textId="77777777" w:rsidR="00B0476B" w:rsidRPr="00B12026" w:rsidRDefault="00000000" w:rsidP="00B12026">
      <w:pPr>
        <w:jc w:val="center"/>
        <w:rPr>
          <w:rFonts w:ascii="Arial" w:hAnsi="Arial" w:cs="Arial"/>
          <w:lang w:val="en-GB"/>
        </w:rPr>
      </w:pPr>
      <m:oMathPara>
        <m:oMath>
          <m:sSub>
            <m:sSubPr>
              <m:ctrlPr>
                <w:rPr>
                  <w:rFonts w:ascii="Cambria Math" w:hAnsi="Cambria Math" w:cs="Arial"/>
                  <w:color w:val="000000"/>
                </w:rPr>
              </m:ctrlPr>
            </m:sSubPr>
            <m:e>
              <m:r>
                <m:rPr>
                  <m:sty m:val="p"/>
                </m:rPr>
                <w:rPr>
                  <w:rFonts w:ascii="Cambria Math" w:hAnsi="Cambria Math" w:cs="Arial"/>
                  <w:color w:val="000000"/>
                </w:rPr>
                <m:t xml:space="preserve">Carcinogenic </m:t>
              </m:r>
              <m:d>
                <m:dPr>
                  <m:ctrlPr>
                    <w:rPr>
                      <w:rFonts w:ascii="Cambria Math" w:hAnsi="Cambria Math" w:cs="Arial"/>
                      <w:color w:val="000000"/>
                    </w:rPr>
                  </m:ctrlPr>
                </m:dPr>
                <m:e>
                  <m:r>
                    <m:rPr>
                      <m:sty m:val="p"/>
                    </m:rPr>
                    <w:rPr>
                      <w:rFonts w:ascii="Cambria Math" w:hAnsi="Cambria Math" w:cs="Arial"/>
                      <w:color w:val="000000"/>
                    </w:rPr>
                    <m:t>mutagenic</m:t>
                  </m:r>
                </m:e>
              </m:d>
              <m:r>
                <m:rPr>
                  <m:sty m:val="p"/>
                </m:rPr>
                <w:rPr>
                  <w:rFonts w:ascii="Cambria Math" w:hAnsi="Cambria Math" w:cs="Arial"/>
                  <w:color w:val="000000"/>
                </w:rPr>
                <m:t xml:space="preserve"> RI-BaP dose </m:t>
              </m:r>
            </m:e>
            <m:sub>
              <m:r>
                <w:rPr>
                  <w:rFonts w:ascii="Cambria Math" w:hAnsi="Cambria Math" w:cs="Arial"/>
                  <w:color w:val="000000"/>
                </w:rPr>
                <m:t>i</m:t>
              </m:r>
            </m:sub>
          </m:sSub>
          <m:r>
            <m:rPr>
              <m:sty m:val="p"/>
            </m:rPr>
            <w:rPr>
              <w:rFonts w:ascii="Cambria Math" w:hAnsi="Cambria Math" w:cs="Arial"/>
              <w:color w:val="000000"/>
            </w:rPr>
            <m:t>=</m:t>
          </m:r>
          <m:sSub>
            <m:sSubPr>
              <m:ctrlPr>
                <w:rPr>
                  <w:rFonts w:ascii="Cambria Math" w:hAnsi="Cambria Math" w:cs="Arial"/>
                  <w:color w:val="000000"/>
                </w:rPr>
              </m:ctrlPr>
            </m:sSubPr>
            <m:e>
              <m:sSub>
                <m:sSubPr>
                  <m:ctrlPr>
                    <w:rPr>
                      <w:rFonts w:ascii="Cambria Math" w:hAnsi="Cambria Math" w:cs="Arial"/>
                      <w:color w:val="000000"/>
                    </w:rPr>
                  </m:ctrlPr>
                </m:sSubPr>
                <m:e>
                  <m:r>
                    <m:rPr>
                      <m:sty m:val="p"/>
                    </m:rPr>
                    <w:rPr>
                      <w:rFonts w:ascii="Cambria Math" w:hAnsi="Cambria Math" w:cs="Arial"/>
                      <w:color w:val="000000"/>
                    </w:rPr>
                    <m:t>SF</m:t>
                  </m:r>
                </m:e>
                <m:sub>
                  <m:r>
                    <m:rPr>
                      <m:sty m:val="p"/>
                    </m:rPr>
                    <w:rPr>
                      <w:rFonts w:ascii="Cambria Math" w:hAnsi="Cambria Math" w:cs="Arial"/>
                      <w:color w:val="000000"/>
                    </w:rPr>
                    <m:t>BaP</m:t>
                  </m:r>
                </m:sub>
              </m:sSub>
              <m:r>
                <m:rPr>
                  <m:sty m:val="p"/>
                </m:rPr>
                <w:rPr>
                  <w:rFonts w:ascii="Cambria Math" w:hAnsi="Cambria Math" w:cs="Arial"/>
                  <w:color w:val="000000"/>
                </w:rPr>
                <m:t xml:space="preserve"> equivalent dose</m:t>
              </m:r>
            </m:e>
            <m:sub/>
          </m:sSub>
          <m:r>
            <m:rPr>
              <m:sty m:val="p"/>
            </m:rPr>
            <w:rPr>
              <w:rFonts w:ascii="Cambria Math" w:hAnsi="Cambria Math" w:cs="Arial"/>
              <w:color w:val="000000"/>
            </w:rPr>
            <m:t xml:space="preserve">×carcinogenic </m:t>
          </m:r>
          <m:d>
            <m:dPr>
              <m:ctrlPr>
                <w:rPr>
                  <w:rFonts w:ascii="Cambria Math" w:hAnsi="Cambria Math" w:cs="Arial"/>
                  <w:color w:val="000000"/>
                </w:rPr>
              </m:ctrlPr>
            </m:dPr>
            <m:e>
              <m:r>
                <m:rPr>
                  <m:sty m:val="p"/>
                </m:rPr>
                <w:rPr>
                  <w:rFonts w:ascii="Cambria Math" w:hAnsi="Cambria Math" w:cs="Arial"/>
                  <w:color w:val="000000"/>
                </w:rPr>
                <m:t>mutagenic</m:t>
              </m:r>
            </m:e>
          </m:d>
          <m:r>
            <m:rPr>
              <m:sty m:val="p"/>
            </m:rPr>
            <w:rPr>
              <w:rFonts w:ascii="Cambria Math" w:hAnsi="Cambria Math" w:cs="Arial"/>
              <w:color w:val="000000"/>
            </w:rPr>
            <m:t xml:space="preserve"> </m:t>
          </m:r>
          <m:sSub>
            <m:sSubPr>
              <m:ctrlPr>
                <w:rPr>
                  <w:rFonts w:ascii="Cambria Math" w:hAnsi="Cambria Math" w:cs="Arial"/>
                  <w:color w:val="000000"/>
                </w:rPr>
              </m:ctrlPr>
            </m:sSubPr>
            <m:e>
              <m:r>
                <m:rPr>
                  <m:sty m:val="p"/>
                </m:rPr>
                <w:rPr>
                  <w:rFonts w:ascii="Cambria Math" w:hAnsi="Cambria Math" w:cs="Arial"/>
                  <w:color w:val="000000"/>
                </w:rPr>
                <m:t>BaP equivalent dose</m:t>
              </m:r>
            </m:e>
            <m:sub>
              <m:r>
                <m:rPr>
                  <m:sty m:val="p"/>
                </m:rPr>
                <w:rPr>
                  <w:rFonts w:ascii="Cambria Math" w:hAnsi="Cambria Math" w:cs="Arial"/>
                  <w:color w:val="000000"/>
                </w:rPr>
                <m:t>i</m:t>
              </m:r>
            </m:sub>
          </m:sSub>
          <m:r>
            <m:rPr>
              <m:sty m:val="p"/>
            </m:rPr>
            <w:rPr>
              <w:rFonts w:ascii="Cambria Math" w:hAnsi="Cambria Math" w:cs="Arial"/>
              <w:color w:val="000000"/>
            </w:rPr>
            <m:t xml:space="preserve">    (9</m:t>
          </m:r>
          <m:r>
            <w:rPr>
              <w:rFonts w:ascii="Cambria Math" w:hAnsi="Cambria Math" w:cs="Arial"/>
              <w:color w:val="000000"/>
            </w:rPr>
            <m:t>)</m:t>
          </m:r>
        </m:oMath>
      </m:oMathPara>
    </w:p>
    <w:p w14:paraId="06E96B05" w14:textId="77777777" w:rsidR="00B932E3" w:rsidRDefault="00B932E3" w:rsidP="00B12026">
      <w:pPr>
        <w:ind w:firstLine="720"/>
        <w:jc w:val="both"/>
        <w:rPr>
          <w:rFonts w:ascii="Arial" w:hAnsi="Arial" w:cs="Arial"/>
          <w:lang w:val="en-GB"/>
        </w:rPr>
      </w:pPr>
    </w:p>
    <w:p w14:paraId="29DA395C" w14:textId="00137E85" w:rsidR="00B0476B" w:rsidRPr="00B12026" w:rsidRDefault="00B0476B" w:rsidP="00B12026">
      <w:pPr>
        <w:ind w:firstLine="720"/>
        <w:jc w:val="both"/>
        <w:rPr>
          <w:rFonts w:ascii="Arial" w:hAnsi="Arial" w:cs="Arial"/>
          <w:lang w:val="en-GB"/>
        </w:rPr>
      </w:pPr>
      <w:r w:rsidRPr="00B12026">
        <w:rPr>
          <w:rFonts w:ascii="Arial" w:hAnsi="Arial" w:cs="Arial"/>
          <w:lang w:val="en-GB"/>
        </w:rPr>
        <w:t xml:space="preserve">where: </w:t>
      </w:r>
      <w:proofErr w:type="spellStart"/>
      <w:r w:rsidRPr="00B12026">
        <w:rPr>
          <w:rFonts w:ascii="Arial" w:hAnsi="Arial" w:cs="Arial"/>
          <w:lang w:val="en-GB"/>
        </w:rPr>
        <w:t>SF</w:t>
      </w:r>
      <w:r w:rsidRPr="00B12026">
        <w:rPr>
          <w:rFonts w:ascii="Arial" w:hAnsi="Arial" w:cs="Arial"/>
          <w:vertAlign w:val="subscript"/>
          <w:lang w:val="en-GB"/>
        </w:rPr>
        <w:t>BaP</w:t>
      </w:r>
      <w:proofErr w:type="spellEnd"/>
      <w:r w:rsidRPr="00B12026">
        <w:rPr>
          <w:rFonts w:ascii="Arial" w:hAnsi="Arial" w:cs="Arial"/>
          <w:lang w:val="en-GB"/>
        </w:rPr>
        <w:t xml:space="preserve"> equivalent dose is the slope factor of </w:t>
      </w:r>
      <w:proofErr w:type="spellStart"/>
      <w:r w:rsidRPr="00B12026">
        <w:rPr>
          <w:rFonts w:ascii="Arial" w:hAnsi="Arial" w:cs="Arial"/>
          <w:lang w:val="en-GB"/>
        </w:rPr>
        <w:t>BaP</w:t>
      </w:r>
      <w:proofErr w:type="spellEnd"/>
      <w:r w:rsidRPr="00B12026">
        <w:rPr>
          <w:rFonts w:ascii="Arial" w:hAnsi="Arial" w:cs="Arial"/>
          <w:lang w:val="en-GB"/>
        </w:rPr>
        <w:t xml:space="preserve"> equivalent dose, equal to </w:t>
      </w:r>
    </w:p>
    <w:p w14:paraId="33D73B7D" w14:textId="77777777" w:rsidR="00B0476B" w:rsidRPr="00B12026" w:rsidRDefault="00B0476B" w:rsidP="00B12026">
      <w:pPr>
        <w:ind w:left="1440"/>
        <w:jc w:val="both"/>
        <w:rPr>
          <w:rFonts w:ascii="Arial" w:hAnsi="Arial" w:cs="Arial"/>
          <w:lang w:val="en-GB"/>
        </w:rPr>
      </w:pPr>
      <w:r w:rsidRPr="00B12026">
        <w:rPr>
          <w:rFonts w:ascii="Arial" w:hAnsi="Arial" w:cs="Arial"/>
          <w:lang w:val="en-GB"/>
        </w:rPr>
        <w:t>25 (mg/kg/</w:t>
      </w:r>
      <w:proofErr w:type="gramStart"/>
      <w:r w:rsidRPr="00B12026">
        <w:rPr>
          <w:rFonts w:ascii="Arial" w:hAnsi="Arial" w:cs="Arial"/>
          <w:lang w:val="en-GB"/>
        </w:rPr>
        <w:t>day)</w:t>
      </w:r>
      <w:r w:rsidRPr="00B12026">
        <w:rPr>
          <w:rFonts w:ascii="Arial" w:hAnsi="Arial" w:cs="Arial"/>
          <w:vertAlign w:val="superscript"/>
          <w:lang w:val="en-GB"/>
        </w:rPr>
        <w:t>−</w:t>
      </w:r>
      <w:proofErr w:type="gramEnd"/>
      <w:r w:rsidRPr="00B12026">
        <w:rPr>
          <w:rFonts w:ascii="Arial" w:hAnsi="Arial" w:cs="Arial"/>
          <w:vertAlign w:val="superscript"/>
          <w:lang w:val="en-GB"/>
        </w:rPr>
        <w:t>1</w:t>
      </w:r>
      <w:r w:rsidRPr="00B12026">
        <w:rPr>
          <w:rFonts w:ascii="Arial" w:hAnsi="Arial" w:cs="Arial"/>
          <w:lang w:val="en-GB"/>
        </w:rPr>
        <w:t xml:space="preserve"> (Knafla et al., 2006); TEQ and MEQ values of PAH in water.</w:t>
      </w:r>
    </w:p>
    <w:p w14:paraId="3A865612" w14:textId="77777777" w:rsidR="00B932E3" w:rsidRDefault="00B932E3" w:rsidP="00B12026">
      <w:pPr>
        <w:jc w:val="both"/>
        <w:rPr>
          <w:rFonts w:ascii="Arial" w:hAnsi="Arial" w:cs="Arial"/>
          <w:lang w:val="en-GB"/>
        </w:rPr>
      </w:pPr>
    </w:p>
    <w:p w14:paraId="631205AC" w14:textId="3DD54A0B" w:rsidR="00B0476B" w:rsidRDefault="00B0476B" w:rsidP="00B12026">
      <w:pPr>
        <w:jc w:val="both"/>
        <w:rPr>
          <w:rFonts w:ascii="Arial" w:hAnsi="Arial" w:cs="Arial"/>
          <w:lang w:val="en-GB"/>
        </w:rPr>
      </w:pPr>
      <w:r w:rsidRPr="00B12026">
        <w:rPr>
          <w:rFonts w:ascii="Arial" w:hAnsi="Arial" w:cs="Arial"/>
          <w:lang w:val="en-GB"/>
        </w:rPr>
        <w:t>Finally, RI-</w:t>
      </w:r>
      <w:proofErr w:type="spellStart"/>
      <w:r w:rsidRPr="00B12026">
        <w:rPr>
          <w:rFonts w:ascii="Arial" w:hAnsi="Arial" w:cs="Arial"/>
          <w:lang w:val="en-GB"/>
        </w:rPr>
        <w:t>BaP</w:t>
      </w:r>
      <w:proofErr w:type="spellEnd"/>
      <w:r w:rsidRPr="00B12026">
        <w:rPr>
          <w:rFonts w:ascii="Arial" w:hAnsi="Arial" w:cs="Arial"/>
          <w:lang w:val="en-GB"/>
        </w:rPr>
        <w:t xml:space="preserve"> dose for a mixture of PAHs (Total RI-</w:t>
      </w:r>
      <w:proofErr w:type="spellStart"/>
      <w:r w:rsidRPr="00B12026">
        <w:rPr>
          <w:rFonts w:ascii="Arial" w:hAnsi="Arial" w:cs="Arial"/>
          <w:lang w:val="en-GB"/>
        </w:rPr>
        <w:t>BaP</w:t>
      </w:r>
      <w:proofErr w:type="spellEnd"/>
      <w:r w:rsidRPr="00B12026">
        <w:rPr>
          <w:rFonts w:ascii="Arial" w:hAnsi="Arial" w:cs="Arial"/>
          <w:lang w:val="en-GB"/>
        </w:rPr>
        <w:t xml:space="preserve"> dose) is expressed as:</w:t>
      </w:r>
    </w:p>
    <w:p w14:paraId="0B0D6B11" w14:textId="77777777" w:rsidR="00B932E3" w:rsidRPr="00B12026" w:rsidRDefault="00B932E3" w:rsidP="00B12026">
      <w:pPr>
        <w:jc w:val="both"/>
        <w:rPr>
          <w:rFonts w:ascii="Arial" w:hAnsi="Arial" w:cs="Arial"/>
          <w:lang w:val="en-GB"/>
        </w:rPr>
      </w:pPr>
    </w:p>
    <w:p w14:paraId="45707A77" w14:textId="77777777" w:rsidR="00B0476B" w:rsidRPr="00B12026" w:rsidRDefault="00B0476B" w:rsidP="00B12026">
      <w:pPr>
        <w:jc w:val="center"/>
        <w:rPr>
          <w:rFonts w:ascii="Arial" w:eastAsiaTheme="minorEastAsia" w:hAnsi="Arial" w:cs="Arial"/>
        </w:rPr>
      </w:pPr>
      <m:oMathPara>
        <m:oMath>
          <m:r>
            <m:rPr>
              <m:sty m:val="p"/>
            </m:rPr>
            <w:rPr>
              <w:rFonts w:ascii="Cambria Math" w:hAnsi="Cambria Math" w:cs="Arial"/>
            </w:rPr>
            <m:t xml:space="preserve">Total carcirogenic </m:t>
          </m:r>
          <m:d>
            <m:dPr>
              <m:ctrlPr>
                <w:rPr>
                  <w:rFonts w:ascii="Cambria Math" w:hAnsi="Cambria Math" w:cs="Arial"/>
                </w:rPr>
              </m:ctrlPr>
            </m:dPr>
            <m:e>
              <m:r>
                <m:rPr>
                  <m:sty m:val="p"/>
                </m:rPr>
                <w:rPr>
                  <w:rFonts w:ascii="Cambria Math" w:hAnsi="Cambria Math" w:cs="Arial"/>
                </w:rPr>
                <m:t>mutagenic</m:t>
              </m:r>
            </m:e>
          </m:d>
          <m:r>
            <m:rPr>
              <m:sty m:val="p"/>
            </m:rPr>
            <w:rPr>
              <w:rFonts w:ascii="Cambria Math" w:hAnsi="Cambria Math" w:cs="Arial"/>
            </w:rPr>
            <m:t xml:space="preserve"> RI-Bap dose = </m:t>
          </m:r>
          <m:nary>
            <m:naryPr>
              <m:chr m:val="∑"/>
              <m:limLoc m:val="undOvr"/>
              <m:ctrlPr>
                <w:rPr>
                  <w:rFonts w:ascii="Cambria Math" w:hAnsi="Cambria Math" w:cs="Arial"/>
                  <w:iCs/>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iCs/>
                      <w:color w:val="000000"/>
                    </w:rPr>
                  </m:ctrlPr>
                </m:sSubPr>
                <m:e>
                  <m:r>
                    <m:rPr>
                      <m:sty m:val="p"/>
                    </m:rPr>
                    <w:rPr>
                      <w:rFonts w:ascii="Cambria Math" w:hAnsi="Cambria Math" w:cs="Arial"/>
                      <w:color w:val="000000"/>
                    </w:rPr>
                    <m:t xml:space="preserve">cancerogenic </m:t>
                  </m:r>
                  <m:d>
                    <m:dPr>
                      <m:ctrlPr>
                        <w:rPr>
                          <w:rFonts w:ascii="Cambria Math" w:hAnsi="Cambria Math" w:cs="Arial"/>
                          <w:color w:val="000000"/>
                        </w:rPr>
                      </m:ctrlPr>
                    </m:dPr>
                    <m:e>
                      <m:r>
                        <m:rPr>
                          <m:sty m:val="p"/>
                        </m:rPr>
                        <w:rPr>
                          <w:rFonts w:ascii="Cambria Math" w:hAnsi="Cambria Math" w:cs="Arial"/>
                          <w:color w:val="000000"/>
                        </w:rPr>
                        <m:t>mutagenic</m:t>
                      </m:r>
                    </m:e>
                  </m:d>
                  <m:r>
                    <m:rPr>
                      <m:sty m:val="p"/>
                    </m:rPr>
                    <w:rPr>
                      <w:rFonts w:ascii="Cambria Math" w:hAnsi="Cambria Math" w:cs="Arial"/>
                      <w:color w:val="000000"/>
                    </w:rPr>
                    <m:t>RI-BaP dose</m:t>
                  </m:r>
                </m:e>
                <m:sub>
                  <m:r>
                    <m:rPr>
                      <m:sty m:val="p"/>
                    </m:rPr>
                    <w:rPr>
                      <w:rFonts w:ascii="Cambria Math" w:hAnsi="Cambria Math" w:cs="Arial"/>
                      <w:color w:val="000000"/>
                    </w:rPr>
                    <m:t>i</m:t>
                  </m:r>
                </m:sub>
              </m:sSub>
            </m:e>
          </m:nary>
          <m:r>
            <m:rPr>
              <m:sty m:val="p"/>
            </m:rPr>
            <w:rPr>
              <w:rFonts w:ascii="Cambria Math" w:hAnsi="Cambria Math" w:cs="Arial"/>
            </w:rPr>
            <m:t xml:space="preserve">  (10</m:t>
          </m:r>
          <m:r>
            <w:rPr>
              <w:rFonts w:ascii="Cambria Math" w:hAnsi="Cambria Math" w:cs="Arial"/>
            </w:rPr>
            <m:t>)</m:t>
          </m:r>
        </m:oMath>
      </m:oMathPara>
    </w:p>
    <w:p w14:paraId="1E83337B" w14:textId="77777777" w:rsidR="00B932E3" w:rsidRDefault="00B932E3" w:rsidP="00B12026">
      <w:pPr>
        <w:jc w:val="both"/>
        <w:rPr>
          <w:rFonts w:ascii="Arial" w:hAnsi="Arial" w:cs="Arial"/>
        </w:rPr>
      </w:pPr>
    </w:p>
    <w:p w14:paraId="0716FF0D" w14:textId="1CD124F3" w:rsidR="00B0476B" w:rsidRPr="00B12026" w:rsidRDefault="00B0476B" w:rsidP="00B12026">
      <w:pPr>
        <w:jc w:val="both"/>
        <w:rPr>
          <w:rFonts w:ascii="Arial" w:hAnsi="Arial" w:cs="Arial"/>
          <w:color w:val="000000"/>
          <w:lang w:val="en-GB"/>
        </w:rPr>
      </w:pPr>
      <w:r w:rsidRPr="00B12026">
        <w:rPr>
          <w:rFonts w:ascii="Arial" w:hAnsi="Arial" w:cs="Arial"/>
        </w:rPr>
        <w:t>If the carcinogenic (mutagenic) RI-</w:t>
      </w:r>
      <w:proofErr w:type="spellStart"/>
      <w:r w:rsidRPr="00B12026">
        <w:rPr>
          <w:rFonts w:ascii="Arial" w:hAnsi="Arial" w:cs="Arial"/>
        </w:rPr>
        <w:t>BaP</w:t>
      </w:r>
      <w:r w:rsidRPr="00B12026">
        <w:rPr>
          <w:rFonts w:ascii="Arial" w:hAnsi="Arial" w:cs="Arial"/>
          <w:vertAlign w:val="subscript"/>
        </w:rPr>
        <w:t>i</w:t>
      </w:r>
      <w:proofErr w:type="spellEnd"/>
      <w:r w:rsidRPr="00B12026">
        <w:rPr>
          <w:rFonts w:ascii="Arial" w:hAnsi="Arial" w:cs="Arial"/>
        </w:rPr>
        <w:t xml:space="preserve"> dose values for a specific PAH are less than 1, the associated carcinogenic and mutagenic risks to human are considered negligible. Conversely, if these values are greater than or equal to 1, the risks become significant. This same logic applies to the total carcinogenic (mutagenic) RI-</w:t>
      </w:r>
      <w:proofErr w:type="spellStart"/>
      <w:r w:rsidRPr="00B12026">
        <w:rPr>
          <w:rFonts w:ascii="Arial" w:hAnsi="Arial" w:cs="Arial"/>
        </w:rPr>
        <w:t>BaP</w:t>
      </w:r>
      <w:proofErr w:type="spellEnd"/>
      <w:r w:rsidRPr="00B12026">
        <w:rPr>
          <w:rFonts w:ascii="Arial" w:hAnsi="Arial" w:cs="Arial"/>
        </w:rPr>
        <w:t xml:space="preserve"> dose values (</w:t>
      </w:r>
      <w:r w:rsidRPr="00B12026">
        <w:rPr>
          <w:rFonts w:ascii="Arial" w:hAnsi="Arial" w:cs="Arial"/>
          <w:color w:val="000000"/>
          <w:lang w:val="en-GB"/>
        </w:rPr>
        <w:t>ATSDR, 2022).</w:t>
      </w:r>
    </w:p>
    <w:p w14:paraId="184344B5" w14:textId="77777777" w:rsidR="00B0476B" w:rsidRPr="00B12026" w:rsidRDefault="00B0476B" w:rsidP="00B12026">
      <w:pPr>
        <w:jc w:val="both"/>
        <w:rPr>
          <w:rFonts w:ascii="Arial" w:hAnsi="Arial" w:cs="Arial"/>
          <w:lang w:val="en-GB"/>
        </w:rPr>
      </w:pPr>
    </w:p>
    <w:p w14:paraId="67AF82F5" w14:textId="6A6DB14B" w:rsidR="00B0476B" w:rsidRPr="004828B3" w:rsidRDefault="00B12026" w:rsidP="00B12026">
      <w:pPr>
        <w:jc w:val="both"/>
        <w:rPr>
          <w:rFonts w:ascii="Arial" w:hAnsi="Arial" w:cs="Arial"/>
          <w:i/>
          <w:iCs/>
          <w:lang w:val="en-GB"/>
        </w:rPr>
      </w:pPr>
      <w:r w:rsidRPr="004828B3">
        <w:rPr>
          <w:rFonts w:ascii="Arial" w:hAnsi="Arial" w:cs="Arial"/>
          <w:i/>
          <w:iCs/>
          <w:lang w:val="en-GB"/>
        </w:rPr>
        <w:t>2.2.</w:t>
      </w:r>
      <w:r w:rsidR="004828B3" w:rsidRPr="004828B3">
        <w:rPr>
          <w:rFonts w:ascii="Arial" w:hAnsi="Arial" w:cs="Arial"/>
          <w:i/>
          <w:iCs/>
          <w:lang w:val="en-GB"/>
        </w:rPr>
        <w:t>5.3.</w:t>
      </w:r>
      <w:r w:rsidR="004828B3">
        <w:rPr>
          <w:rFonts w:ascii="Arial" w:hAnsi="Arial" w:cs="Arial"/>
          <w:i/>
          <w:iCs/>
          <w:lang w:val="en-GB"/>
        </w:rPr>
        <w:t>2</w:t>
      </w:r>
      <w:r w:rsidR="004828B3" w:rsidRPr="004828B3">
        <w:rPr>
          <w:rFonts w:ascii="Arial" w:hAnsi="Arial" w:cs="Arial"/>
          <w:i/>
          <w:iCs/>
          <w:lang w:val="en-GB"/>
        </w:rPr>
        <w:t>.</w:t>
      </w:r>
      <w:r w:rsidRPr="004828B3">
        <w:rPr>
          <w:rFonts w:ascii="Arial" w:hAnsi="Arial" w:cs="Arial"/>
          <w:i/>
          <w:iCs/>
          <w:lang w:val="en-GB"/>
        </w:rPr>
        <w:t xml:space="preserve"> </w:t>
      </w:r>
      <w:r w:rsidR="00B0476B" w:rsidRPr="004828B3">
        <w:rPr>
          <w:rFonts w:ascii="Arial" w:hAnsi="Arial" w:cs="Arial"/>
          <w:i/>
          <w:iCs/>
          <w:lang w:val="en-GB"/>
        </w:rPr>
        <w:t>Lifetime carcinogenic risk assessment</w:t>
      </w:r>
    </w:p>
    <w:p w14:paraId="533FDB7A" w14:textId="31BBC22C" w:rsidR="00B0476B" w:rsidRPr="00B12026" w:rsidRDefault="00B0476B" w:rsidP="00B12026">
      <w:pPr>
        <w:jc w:val="both"/>
        <w:rPr>
          <w:rFonts w:ascii="Arial" w:hAnsi="Arial" w:cs="Arial"/>
          <w:lang w:val="en-GB"/>
        </w:rPr>
      </w:pPr>
      <w:r w:rsidRPr="00B12026">
        <w:rPr>
          <w:rFonts w:ascii="Arial" w:hAnsi="Arial" w:cs="Arial"/>
          <w:lang w:val="en-GB"/>
        </w:rPr>
        <w:t>Lifetime carcinogenic risks associated with dermal contact with certain PAHs (</w:t>
      </w:r>
      <w:proofErr w:type="spellStart"/>
      <w:r w:rsidRPr="00B12026">
        <w:rPr>
          <w:rFonts w:ascii="Arial" w:hAnsi="Arial" w:cs="Arial"/>
          <w:lang w:val="en-GB"/>
        </w:rPr>
        <w:t>RI</w:t>
      </w:r>
      <w:r w:rsidRPr="00B12026">
        <w:rPr>
          <w:rFonts w:ascii="Arial" w:hAnsi="Arial" w:cs="Arial"/>
          <w:vertAlign w:val="subscript"/>
          <w:lang w:val="en-GB"/>
        </w:rPr>
        <w:t>derm</w:t>
      </w:r>
      <w:proofErr w:type="spellEnd"/>
      <w:r w:rsidRPr="00B12026">
        <w:rPr>
          <w:rFonts w:ascii="Arial" w:hAnsi="Arial" w:cs="Arial"/>
          <w:lang w:val="en-GB"/>
        </w:rPr>
        <w:t xml:space="preserve">) in humans were determined based on the estimation of </w:t>
      </w:r>
      <w:proofErr w:type="spellStart"/>
      <w:r w:rsidRPr="00B12026">
        <w:rPr>
          <w:rFonts w:ascii="Arial" w:hAnsi="Arial" w:cs="Arial"/>
          <w:lang w:val="en-GB"/>
        </w:rPr>
        <w:t>LADD</w:t>
      </w:r>
      <w:r w:rsidRPr="00B12026">
        <w:rPr>
          <w:rFonts w:ascii="Arial" w:hAnsi="Arial" w:cs="Arial"/>
          <w:vertAlign w:val="subscript"/>
          <w:lang w:val="en-GB"/>
        </w:rPr>
        <w:t>derm</w:t>
      </w:r>
      <w:proofErr w:type="spellEnd"/>
      <w:r w:rsidRPr="00B12026">
        <w:rPr>
          <w:rFonts w:ascii="Arial" w:hAnsi="Arial" w:cs="Arial"/>
          <w:vertAlign w:val="subscript"/>
          <w:lang w:val="en-GB"/>
        </w:rPr>
        <w:t xml:space="preserve"> </w:t>
      </w:r>
      <w:r w:rsidRPr="00B12026">
        <w:rPr>
          <w:rFonts w:ascii="Arial" w:hAnsi="Arial" w:cs="Arial"/>
          <w:lang w:val="en-GB"/>
        </w:rPr>
        <w:t xml:space="preserve">and </w:t>
      </w:r>
      <w:proofErr w:type="spellStart"/>
      <w:r w:rsidRPr="00B12026">
        <w:rPr>
          <w:rFonts w:ascii="Arial" w:hAnsi="Arial" w:cs="Arial"/>
          <w:lang w:val="en-GB"/>
        </w:rPr>
        <w:t>ILCR</w:t>
      </w:r>
      <w:r w:rsidRPr="00B12026">
        <w:rPr>
          <w:rFonts w:ascii="Arial" w:hAnsi="Arial" w:cs="Arial"/>
          <w:vertAlign w:val="subscript"/>
          <w:lang w:val="en-GB"/>
        </w:rPr>
        <w:t>derm</w:t>
      </w:r>
      <w:proofErr w:type="spellEnd"/>
      <w:r w:rsidRPr="00B12026">
        <w:rPr>
          <w:rFonts w:ascii="Arial" w:hAnsi="Arial" w:cs="Arial"/>
          <w:lang w:val="en-GB"/>
        </w:rPr>
        <w:t xml:space="preserve"> indices. </w:t>
      </w:r>
      <w:proofErr w:type="spellStart"/>
      <w:r w:rsidRPr="00B12026">
        <w:rPr>
          <w:rFonts w:ascii="Arial" w:hAnsi="Arial" w:cs="Arial"/>
          <w:lang w:val="en-GB"/>
        </w:rPr>
        <w:t>ILCR</w:t>
      </w:r>
      <w:r w:rsidRPr="00B12026">
        <w:rPr>
          <w:rFonts w:ascii="Arial" w:hAnsi="Arial" w:cs="Arial"/>
          <w:vertAlign w:val="subscript"/>
          <w:lang w:val="en-GB"/>
        </w:rPr>
        <w:t>derm</w:t>
      </w:r>
      <w:proofErr w:type="spellEnd"/>
      <w:r w:rsidRPr="00B12026">
        <w:rPr>
          <w:rFonts w:ascii="Arial" w:hAnsi="Arial" w:cs="Arial"/>
          <w:lang w:val="en-GB"/>
        </w:rPr>
        <w:t xml:space="preserve"> represents the probability of an individual developing cancer over their lifetime due to dermal exposure to a potential carcinogen (US-EPA, 1989). For a given PAH </w:t>
      </w:r>
      <w:proofErr w:type="spellStart"/>
      <w:r w:rsidRPr="00B12026">
        <w:rPr>
          <w:rFonts w:ascii="Arial" w:hAnsi="Arial" w:cs="Arial"/>
          <w:lang w:val="en-GB"/>
        </w:rPr>
        <w:t>i</w:t>
      </w:r>
      <w:proofErr w:type="spellEnd"/>
      <w:r w:rsidRPr="00B12026">
        <w:rPr>
          <w:rFonts w:ascii="Arial" w:hAnsi="Arial" w:cs="Arial"/>
          <w:lang w:val="en-GB"/>
        </w:rPr>
        <w:t xml:space="preserve">, </w:t>
      </w:r>
      <w:proofErr w:type="spellStart"/>
      <w:r w:rsidRPr="00B12026">
        <w:rPr>
          <w:rFonts w:ascii="Arial" w:hAnsi="Arial" w:cs="Arial"/>
          <w:lang w:val="en-GB"/>
        </w:rPr>
        <w:t>LADD</w:t>
      </w:r>
      <w:r w:rsidRPr="00B12026">
        <w:rPr>
          <w:rFonts w:ascii="Arial" w:hAnsi="Arial" w:cs="Arial"/>
          <w:vertAlign w:val="subscript"/>
          <w:lang w:val="en-GB"/>
        </w:rPr>
        <w:t>derm</w:t>
      </w:r>
      <w:proofErr w:type="spellEnd"/>
      <w:r w:rsidRPr="00B12026">
        <w:rPr>
          <w:rFonts w:ascii="Arial" w:hAnsi="Arial" w:cs="Arial"/>
          <w:lang w:val="en-GB"/>
        </w:rPr>
        <w:t xml:space="preserve"> follows the same expression as </w:t>
      </w:r>
      <w:proofErr w:type="spellStart"/>
      <w:r w:rsidRPr="00B12026">
        <w:rPr>
          <w:rFonts w:ascii="Arial" w:hAnsi="Arial" w:cs="Arial"/>
          <w:lang w:val="en-GB"/>
        </w:rPr>
        <w:t>DED</w:t>
      </w:r>
      <w:r w:rsidRPr="00B12026">
        <w:rPr>
          <w:rFonts w:ascii="Arial" w:hAnsi="Arial" w:cs="Arial"/>
          <w:vertAlign w:val="subscript"/>
          <w:lang w:val="en-GB"/>
        </w:rPr>
        <w:t>derm</w:t>
      </w:r>
      <w:proofErr w:type="spellEnd"/>
      <w:r w:rsidRPr="00B12026">
        <w:rPr>
          <w:rFonts w:ascii="Arial" w:hAnsi="Arial" w:cs="Arial"/>
          <w:lang w:val="en-GB"/>
        </w:rPr>
        <w:t xml:space="preserve">, with the exception that the AT value was replaced by 21,170 days, considering the life expectancy in Côte d'Ivoire, which was 58 years in 2023 (World Bank, 2023). The expressions for </w:t>
      </w:r>
      <w:proofErr w:type="spellStart"/>
      <w:r w:rsidRPr="00B12026">
        <w:rPr>
          <w:rFonts w:ascii="Arial" w:hAnsi="Arial" w:cs="Arial"/>
          <w:lang w:val="en-GB"/>
        </w:rPr>
        <w:t>ILCR</w:t>
      </w:r>
      <w:r w:rsidRPr="00B12026">
        <w:rPr>
          <w:rFonts w:ascii="Arial" w:hAnsi="Arial" w:cs="Arial"/>
          <w:vertAlign w:val="subscript"/>
          <w:lang w:val="en-GB"/>
        </w:rPr>
        <w:t>derm</w:t>
      </w:r>
      <w:proofErr w:type="spellEnd"/>
      <w:r w:rsidRPr="00B12026">
        <w:rPr>
          <w:rFonts w:ascii="Arial" w:hAnsi="Arial" w:cs="Arial"/>
          <w:lang w:val="en-GB"/>
        </w:rPr>
        <w:t xml:space="preserve"> for a single PAH and </w:t>
      </w:r>
      <w:proofErr w:type="spellStart"/>
      <w:r w:rsidRPr="00B12026">
        <w:rPr>
          <w:rFonts w:ascii="Arial" w:hAnsi="Arial" w:cs="Arial"/>
          <w:lang w:val="en-GB"/>
        </w:rPr>
        <w:t>RI</w:t>
      </w:r>
      <w:r w:rsidRPr="00B12026">
        <w:rPr>
          <w:rFonts w:ascii="Arial" w:hAnsi="Arial" w:cs="Arial"/>
          <w:vertAlign w:val="subscript"/>
          <w:lang w:val="en-GB"/>
        </w:rPr>
        <w:t>derm</w:t>
      </w:r>
      <w:proofErr w:type="spellEnd"/>
      <w:r w:rsidRPr="00B12026">
        <w:rPr>
          <w:rFonts w:ascii="Arial" w:hAnsi="Arial" w:cs="Arial"/>
          <w:lang w:val="en-GB"/>
        </w:rPr>
        <w:t xml:space="preserve"> for a mixture of PAHs are then established as follows:</w:t>
      </w:r>
    </w:p>
    <w:p w14:paraId="53D3B56E" w14:textId="77777777" w:rsidR="00B0476B" w:rsidRPr="00B12026" w:rsidRDefault="00000000" w:rsidP="00B12026">
      <w:pPr>
        <w:jc w:val="both"/>
        <w:rPr>
          <w:rStyle w:val="y2iqfc"/>
          <w:rFonts w:ascii="Arial" w:hAnsi="Arial" w:cs="Arial"/>
          <w:iCs/>
          <w:color w:val="202124"/>
        </w:rPr>
      </w:pPr>
      <m:oMathPara>
        <m:oMath>
          <m:sSub>
            <m:sSubPr>
              <m:ctrlPr>
                <w:rPr>
                  <w:rStyle w:val="y2iqfc"/>
                  <w:rFonts w:ascii="Cambria Math" w:hAnsi="Cambria Math" w:cs="Arial"/>
                  <w:iCs/>
                  <w:color w:val="202124"/>
                </w:rPr>
              </m:ctrlPr>
            </m:sSubPr>
            <m:e>
              <m:r>
                <m:rPr>
                  <m:sty m:val="p"/>
                </m:rPr>
                <w:rPr>
                  <w:rStyle w:val="y2iqfc"/>
                  <w:rFonts w:ascii="Cambria Math" w:hAnsi="Cambria Math" w:cs="Arial"/>
                  <w:color w:val="202124"/>
                </w:rPr>
                <m:t>ILCR</m:t>
              </m:r>
            </m:e>
            <m:sub>
              <m:r>
                <m:rPr>
                  <m:sty m:val="p"/>
                </m:rPr>
                <w:rPr>
                  <w:rStyle w:val="y2iqfc"/>
                  <w:rFonts w:ascii="Cambria Math" w:hAnsi="Cambria Math" w:cs="Arial"/>
                  <w:color w:val="202124"/>
                </w:rPr>
                <m:t>derm,i</m:t>
              </m:r>
            </m:sub>
          </m:sSub>
          <m:r>
            <m:rPr>
              <m:sty m:val="p"/>
            </m:rPr>
            <w:rPr>
              <w:rStyle w:val="y2iqfc"/>
              <w:rFonts w:ascii="Cambria Math" w:hAnsi="Cambria Math" w:cs="Arial"/>
              <w:color w:val="202124"/>
            </w:rPr>
            <m:t>=</m:t>
          </m:r>
          <m:sSub>
            <m:sSubPr>
              <m:ctrlPr>
                <w:rPr>
                  <w:rStyle w:val="y2iqfc"/>
                  <w:rFonts w:ascii="Cambria Math" w:hAnsi="Cambria Math" w:cs="Arial"/>
                  <w:iCs/>
                  <w:color w:val="202124"/>
                </w:rPr>
              </m:ctrlPr>
            </m:sSubPr>
            <m:e>
              <m:r>
                <m:rPr>
                  <m:sty m:val="p"/>
                </m:rPr>
                <w:rPr>
                  <w:rStyle w:val="y2iqfc"/>
                  <w:rFonts w:ascii="Cambria Math" w:hAnsi="Cambria Math" w:cs="Arial"/>
                  <w:color w:val="202124"/>
                </w:rPr>
                <m:t>CSF×LADD</m:t>
              </m:r>
            </m:e>
            <m:sub>
              <m:r>
                <m:rPr>
                  <m:sty m:val="p"/>
                </m:rPr>
                <w:rPr>
                  <w:rStyle w:val="y2iqfc"/>
                  <w:rFonts w:ascii="Cambria Math" w:hAnsi="Cambria Math" w:cs="Arial"/>
                  <w:color w:val="202124"/>
                </w:rPr>
                <m:t>derm,i</m:t>
              </m:r>
            </m:sub>
          </m:sSub>
          <m:r>
            <m:rPr>
              <m:sty m:val="p"/>
            </m:rPr>
            <w:rPr>
              <w:rStyle w:val="y2iqfc"/>
              <w:rFonts w:ascii="Cambria Math" w:hAnsi="Cambria Math" w:cs="Arial"/>
              <w:color w:val="202124"/>
            </w:rPr>
            <m:t xml:space="preserve">                     (11)</m:t>
          </m:r>
        </m:oMath>
      </m:oMathPara>
    </w:p>
    <w:p w14:paraId="7BE41C31" w14:textId="77777777" w:rsidR="00B0476B" w:rsidRPr="00B12026" w:rsidRDefault="00000000" w:rsidP="00B12026">
      <w:pPr>
        <w:jc w:val="both"/>
        <w:rPr>
          <w:rStyle w:val="y2iqfc"/>
          <w:rFonts w:ascii="Arial" w:hAnsi="Arial" w:cs="Arial"/>
          <w:iCs/>
          <w:color w:val="202124"/>
        </w:rPr>
      </w:pPr>
      <m:oMathPara>
        <m:oMath>
          <m:sSub>
            <m:sSubPr>
              <m:ctrlPr>
                <w:rPr>
                  <w:rStyle w:val="y2iqfc"/>
                  <w:rFonts w:ascii="Cambria Math" w:hAnsi="Cambria Math" w:cs="Arial"/>
                  <w:iCs/>
                  <w:color w:val="202124"/>
                </w:rPr>
              </m:ctrlPr>
            </m:sSubPr>
            <m:e>
              <m:r>
                <m:rPr>
                  <m:sty m:val="p"/>
                </m:rPr>
                <w:rPr>
                  <w:rStyle w:val="y2iqfc"/>
                  <w:rFonts w:ascii="Cambria Math" w:hAnsi="Cambria Math" w:cs="Arial"/>
                  <w:color w:val="202124"/>
                </w:rPr>
                <m:t>RI</m:t>
              </m:r>
            </m:e>
            <m:sub>
              <m:r>
                <m:rPr>
                  <m:sty m:val="p"/>
                </m:rPr>
                <w:rPr>
                  <w:rStyle w:val="y2iqfc"/>
                  <w:rFonts w:ascii="Cambria Math" w:hAnsi="Cambria Math" w:cs="Arial"/>
                  <w:color w:val="202124"/>
                </w:rPr>
                <m:t>derm</m:t>
              </m:r>
            </m:sub>
          </m:sSub>
          <m:r>
            <m:rPr>
              <m:sty m:val="p"/>
            </m:rPr>
            <w:rPr>
              <w:rStyle w:val="y2iqfc"/>
              <w:rFonts w:ascii="Cambria Math" w:hAnsi="Cambria Math" w:cs="Arial"/>
              <w:color w:val="202124"/>
            </w:rPr>
            <m:t>=</m:t>
          </m:r>
          <m:nary>
            <m:naryPr>
              <m:chr m:val="∑"/>
              <m:limLoc m:val="undOvr"/>
              <m:ctrlPr>
                <w:rPr>
                  <w:rStyle w:val="y2iqfc"/>
                  <w:rFonts w:ascii="Cambria Math" w:hAnsi="Cambria Math" w:cs="Arial"/>
                  <w:iCs/>
                  <w:color w:val="202124"/>
                </w:rPr>
              </m:ctrlPr>
            </m:naryPr>
            <m:sub>
              <m:r>
                <m:rPr>
                  <m:sty m:val="p"/>
                </m:rPr>
                <w:rPr>
                  <w:rStyle w:val="y2iqfc"/>
                  <w:rFonts w:ascii="Cambria Math" w:hAnsi="Cambria Math" w:cs="Arial"/>
                  <w:color w:val="202124"/>
                </w:rPr>
                <m:t>i=1</m:t>
              </m:r>
            </m:sub>
            <m:sup>
              <m:r>
                <m:rPr>
                  <m:sty m:val="p"/>
                </m:rPr>
                <w:rPr>
                  <w:rStyle w:val="y2iqfc"/>
                  <w:rFonts w:ascii="Cambria Math" w:hAnsi="Cambria Math" w:cs="Arial"/>
                  <w:color w:val="202124"/>
                </w:rPr>
                <m:t>n</m:t>
              </m:r>
            </m:sup>
            <m:e>
              <m:sSub>
                <m:sSubPr>
                  <m:ctrlPr>
                    <w:rPr>
                      <w:rStyle w:val="y2iqfc"/>
                      <w:rFonts w:ascii="Cambria Math" w:hAnsi="Cambria Math" w:cs="Arial"/>
                      <w:iCs/>
                      <w:color w:val="202124"/>
                    </w:rPr>
                  </m:ctrlPr>
                </m:sSubPr>
                <m:e>
                  <m:r>
                    <m:rPr>
                      <m:sty m:val="p"/>
                    </m:rPr>
                    <w:rPr>
                      <w:rStyle w:val="y2iqfc"/>
                      <w:rFonts w:ascii="Cambria Math" w:hAnsi="Cambria Math" w:cs="Arial"/>
                      <w:color w:val="202124"/>
                    </w:rPr>
                    <m:t>ILCR</m:t>
                  </m:r>
                </m:e>
                <m:sub>
                  <m:r>
                    <m:rPr>
                      <m:sty m:val="p"/>
                    </m:rPr>
                    <w:rPr>
                      <w:rStyle w:val="y2iqfc"/>
                      <w:rFonts w:ascii="Cambria Math" w:hAnsi="Cambria Math" w:cs="Arial"/>
                      <w:color w:val="202124"/>
                    </w:rPr>
                    <m:t>derm,i</m:t>
                  </m:r>
                </m:sub>
              </m:sSub>
            </m:e>
          </m:nary>
          <m:r>
            <m:rPr>
              <m:sty m:val="p"/>
            </m:rPr>
            <w:rPr>
              <w:rStyle w:val="y2iqfc"/>
              <w:rFonts w:ascii="Cambria Math" w:hAnsi="Cambria Math" w:cs="Arial"/>
              <w:color w:val="202124"/>
            </w:rPr>
            <m:t xml:space="preserve">                                        (12)</m:t>
          </m:r>
        </m:oMath>
      </m:oMathPara>
    </w:p>
    <w:p w14:paraId="791A7ED4" w14:textId="77777777" w:rsidR="00B0476B" w:rsidRPr="00B12026" w:rsidRDefault="00B0476B" w:rsidP="00B12026">
      <w:pPr>
        <w:jc w:val="both"/>
        <w:rPr>
          <w:rFonts w:ascii="Arial" w:hAnsi="Arial" w:cs="Arial"/>
          <w:lang w:val="en-GB"/>
        </w:rPr>
      </w:pPr>
      <w:r w:rsidRPr="00B12026">
        <w:rPr>
          <w:rFonts w:ascii="Arial" w:hAnsi="Arial" w:cs="Arial"/>
          <w:lang w:val="fr-CI"/>
        </w:rPr>
        <w:tab/>
      </w:r>
      <w:r w:rsidRPr="00B12026">
        <w:rPr>
          <w:rFonts w:ascii="Arial" w:hAnsi="Arial" w:cs="Arial"/>
          <w:lang w:val="en-GB"/>
        </w:rPr>
        <w:t xml:space="preserve">Where CSF is the cancer slope factor of PAH </w:t>
      </w:r>
      <w:proofErr w:type="spellStart"/>
      <w:r w:rsidRPr="00B12026">
        <w:rPr>
          <w:rFonts w:ascii="Arial" w:hAnsi="Arial" w:cs="Arial"/>
          <w:lang w:val="en-GB"/>
        </w:rPr>
        <w:t>i</w:t>
      </w:r>
      <w:proofErr w:type="spellEnd"/>
      <w:r w:rsidRPr="00B12026">
        <w:rPr>
          <w:rFonts w:ascii="Arial" w:hAnsi="Arial" w:cs="Arial"/>
          <w:lang w:val="en-GB"/>
        </w:rPr>
        <w:t>.</w:t>
      </w:r>
    </w:p>
    <w:p w14:paraId="01488483" w14:textId="77777777" w:rsidR="005A2BBF" w:rsidRDefault="00B0476B" w:rsidP="00B12026">
      <w:pPr>
        <w:jc w:val="both"/>
        <w:rPr>
          <w:rFonts w:ascii="Arial" w:hAnsi="Arial" w:cs="Arial"/>
          <w:lang w:val="en-GB"/>
        </w:rPr>
      </w:pPr>
      <w:r w:rsidRPr="00B12026">
        <w:rPr>
          <w:rFonts w:ascii="Arial" w:hAnsi="Arial" w:cs="Arial"/>
          <w:lang w:val="en-GB"/>
        </w:rPr>
        <w:t xml:space="preserve">These risks were assessed considering 13 of the 16 PAHs, as </w:t>
      </w:r>
      <w:proofErr w:type="spellStart"/>
      <w:r w:rsidRPr="00B12026">
        <w:rPr>
          <w:rFonts w:ascii="Arial" w:hAnsi="Arial" w:cs="Arial"/>
          <w:lang w:val="en-GB"/>
        </w:rPr>
        <w:t>Kp</w:t>
      </w:r>
      <w:proofErr w:type="spellEnd"/>
      <w:r w:rsidRPr="00B12026">
        <w:rPr>
          <w:rFonts w:ascii="Arial" w:hAnsi="Arial" w:cs="Arial"/>
          <w:lang w:val="en-GB"/>
        </w:rPr>
        <w:t xml:space="preserve"> values for </w:t>
      </w:r>
      <w:proofErr w:type="spellStart"/>
      <w:r w:rsidRPr="00B12026">
        <w:rPr>
          <w:rFonts w:ascii="Arial" w:hAnsi="Arial" w:cs="Arial"/>
          <w:lang w:val="en-GB"/>
        </w:rPr>
        <w:t>BjF</w:t>
      </w:r>
      <w:proofErr w:type="spellEnd"/>
      <w:r w:rsidRPr="00B12026">
        <w:rPr>
          <w:rFonts w:ascii="Arial" w:hAnsi="Arial" w:cs="Arial"/>
          <w:lang w:val="en-GB"/>
        </w:rPr>
        <w:t xml:space="preserve">, </w:t>
      </w:r>
      <w:proofErr w:type="spellStart"/>
      <w:r w:rsidRPr="00B12026">
        <w:rPr>
          <w:rFonts w:ascii="Arial" w:hAnsi="Arial" w:cs="Arial"/>
          <w:lang w:val="en-GB"/>
        </w:rPr>
        <w:t>BkF</w:t>
      </w:r>
      <w:proofErr w:type="spellEnd"/>
      <w:r w:rsidRPr="00B12026">
        <w:rPr>
          <w:rFonts w:ascii="Arial" w:hAnsi="Arial" w:cs="Arial"/>
          <w:lang w:val="en-GB"/>
        </w:rPr>
        <w:t>, and D(</w:t>
      </w:r>
      <w:proofErr w:type="spellStart"/>
      <w:proofErr w:type="gramStart"/>
      <w:r w:rsidRPr="00B12026">
        <w:rPr>
          <w:rFonts w:ascii="Arial" w:hAnsi="Arial" w:cs="Arial"/>
          <w:lang w:val="en-GB"/>
        </w:rPr>
        <w:t>a,h</w:t>
      </w:r>
      <w:proofErr w:type="spellEnd"/>
      <w:proofErr w:type="gramEnd"/>
      <w:r w:rsidRPr="00B12026">
        <w:rPr>
          <w:rFonts w:ascii="Arial" w:hAnsi="Arial" w:cs="Arial"/>
          <w:lang w:val="en-GB"/>
        </w:rPr>
        <w:t xml:space="preserve">)A were unavailable. The same applies to the CSF for </w:t>
      </w:r>
      <w:proofErr w:type="spellStart"/>
      <w:r w:rsidRPr="00B12026">
        <w:rPr>
          <w:rFonts w:ascii="Arial" w:hAnsi="Arial" w:cs="Arial"/>
          <w:lang w:val="en-GB"/>
        </w:rPr>
        <w:t>Chry</w:t>
      </w:r>
      <w:proofErr w:type="spellEnd"/>
      <w:r w:rsidRPr="00B12026">
        <w:rPr>
          <w:rFonts w:ascii="Arial" w:hAnsi="Arial" w:cs="Arial"/>
          <w:lang w:val="en-GB"/>
        </w:rPr>
        <w:t xml:space="preserve">. Thus, the </w:t>
      </w:r>
      <w:proofErr w:type="spellStart"/>
      <w:r w:rsidRPr="00B12026">
        <w:rPr>
          <w:rFonts w:ascii="Arial" w:hAnsi="Arial" w:cs="Arial"/>
          <w:lang w:val="en-GB"/>
        </w:rPr>
        <w:t>Kp</w:t>
      </w:r>
      <w:proofErr w:type="spellEnd"/>
      <w:r w:rsidRPr="00B12026">
        <w:rPr>
          <w:rFonts w:ascii="Arial" w:hAnsi="Arial" w:cs="Arial"/>
          <w:lang w:val="en-GB"/>
        </w:rPr>
        <w:t xml:space="preserve"> values (cm/h) for these PAHs are: 6.3×10</w:t>
      </w:r>
      <w:r w:rsidRPr="00B12026">
        <w:rPr>
          <w:rFonts w:ascii="Arial" w:hAnsi="Arial" w:cs="Arial"/>
          <w:vertAlign w:val="superscript"/>
          <w:lang w:val="en-GB"/>
        </w:rPr>
        <w:t>−3</w:t>
      </w:r>
      <w:r w:rsidRPr="00B12026">
        <w:rPr>
          <w:rFonts w:ascii="Arial" w:hAnsi="Arial" w:cs="Arial"/>
          <w:lang w:val="en-GB"/>
        </w:rPr>
        <w:t xml:space="preserve"> for ACPT; 3.46×10</w:t>
      </w:r>
      <w:r w:rsidRPr="00B12026">
        <w:rPr>
          <w:rFonts w:ascii="Arial" w:hAnsi="Arial" w:cs="Arial"/>
          <w:vertAlign w:val="superscript"/>
          <w:lang w:val="en-GB"/>
        </w:rPr>
        <w:t xml:space="preserve">−4 </w:t>
      </w:r>
      <w:r w:rsidRPr="00B12026">
        <w:rPr>
          <w:rFonts w:ascii="Arial" w:hAnsi="Arial" w:cs="Arial"/>
          <w:lang w:val="en-GB"/>
        </w:rPr>
        <w:t xml:space="preserve">for ATC; 0.81 for </w:t>
      </w:r>
      <w:proofErr w:type="spellStart"/>
      <w:r w:rsidRPr="00B12026">
        <w:rPr>
          <w:rFonts w:ascii="Arial" w:hAnsi="Arial" w:cs="Arial"/>
          <w:lang w:val="en-GB"/>
        </w:rPr>
        <w:t>BaA</w:t>
      </w:r>
      <w:proofErr w:type="spellEnd"/>
      <w:r w:rsidRPr="00B12026">
        <w:rPr>
          <w:rFonts w:ascii="Arial" w:hAnsi="Arial" w:cs="Arial"/>
          <w:lang w:val="en-GB"/>
        </w:rPr>
        <w:t xml:space="preserve">; 1.2 for </w:t>
      </w:r>
      <w:proofErr w:type="spellStart"/>
      <w:r w:rsidRPr="00B12026">
        <w:rPr>
          <w:rFonts w:ascii="Arial" w:hAnsi="Arial" w:cs="Arial"/>
          <w:lang w:val="en-GB"/>
        </w:rPr>
        <w:t>BaP</w:t>
      </w:r>
      <w:proofErr w:type="spellEnd"/>
      <w:r w:rsidRPr="00B12026">
        <w:rPr>
          <w:rFonts w:ascii="Arial" w:hAnsi="Arial" w:cs="Arial"/>
          <w:lang w:val="en-GB"/>
        </w:rPr>
        <w:t xml:space="preserve">; 1.2 for </w:t>
      </w:r>
      <w:proofErr w:type="spellStart"/>
      <w:r w:rsidRPr="00B12026">
        <w:rPr>
          <w:rFonts w:ascii="Arial" w:hAnsi="Arial" w:cs="Arial"/>
          <w:lang w:val="en-GB"/>
        </w:rPr>
        <w:t>BbF</w:t>
      </w:r>
      <w:proofErr w:type="spellEnd"/>
      <w:r w:rsidRPr="00B12026">
        <w:rPr>
          <w:rFonts w:ascii="Arial" w:hAnsi="Arial" w:cs="Arial"/>
          <w:lang w:val="en-GB"/>
        </w:rPr>
        <w:t>; 1.2 for B(</w:t>
      </w:r>
      <w:proofErr w:type="spellStart"/>
      <w:r w:rsidRPr="00B12026">
        <w:rPr>
          <w:rFonts w:ascii="Arial" w:hAnsi="Arial" w:cs="Arial"/>
          <w:lang w:val="en-GB"/>
        </w:rPr>
        <w:t>g,h,i</w:t>
      </w:r>
      <w:proofErr w:type="spellEnd"/>
      <w:r w:rsidRPr="00B12026">
        <w:rPr>
          <w:rFonts w:ascii="Arial" w:hAnsi="Arial" w:cs="Arial"/>
          <w:lang w:val="en-GB"/>
        </w:rPr>
        <w:t xml:space="preserve">)P; 0.81 for </w:t>
      </w:r>
      <w:proofErr w:type="spellStart"/>
      <w:r w:rsidRPr="00B12026">
        <w:rPr>
          <w:rFonts w:ascii="Arial" w:hAnsi="Arial" w:cs="Arial"/>
          <w:lang w:val="en-GB"/>
        </w:rPr>
        <w:t>Chry</w:t>
      </w:r>
      <w:proofErr w:type="spellEnd"/>
      <w:r w:rsidRPr="00B12026">
        <w:rPr>
          <w:rFonts w:ascii="Arial" w:hAnsi="Arial" w:cs="Arial"/>
          <w:lang w:val="en-GB"/>
        </w:rPr>
        <w:t>; 6.26×10</w:t>
      </w:r>
      <w:r w:rsidRPr="00B12026">
        <w:rPr>
          <w:rFonts w:ascii="Arial" w:hAnsi="Arial" w:cs="Arial"/>
          <w:vertAlign w:val="superscript"/>
          <w:lang w:val="en-GB"/>
        </w:rPr>
        <w:t xml:space="preserve">−3 </w:t>
      </w:r>
      <w:r w:rsidRPr="00B12026">
        <w:rPr>
          <w:rFonts w:ascii="Arial" w:hAnsi="Arial" w:cs="Arial"/>
          <w:lang w:val="en-GB"/>
        </w:rPr>
        <w:t>for FLR; 0.36 for FLRT; 0.069 for NPT; 0.27 for PNT; 1.9 for I(1,2,3-c,d)P; 1.69×10</w:t>
      </w:r>
      <w:r w:rsidRPr="00B12026">
        <w:rPr>
          <w:rFonts w:ascii="Arial" w:hAnsi="Arial" w:cs="Arial"/>
          <w:vertAlign w:val="superscript"/>
          <w:lang w:val="en-GB"/>
        </w:rPr>
        <w:t xml:space="preserve">−3 </w:t>
      </w:r>
      <w:r w:rsidRPr="00B12026">
        <w:rPr>
          <w:rFonts w:ascii="Arial" w:hAnsi="Arial" w:cs="Arial"/>
          <w:lang w:val="en-GB"/>
        </w:rPr>
        <w:t>for PYR (Hopf et al., 2019; US-EPA, 1992a,b).</w:t>
      </w:r>
    </w:p>
    <w:p w14:paraId="0880951D" w14:textId="7A5DF337" w:rsidR="00B0476B" w:rsidRPr="00B12026" w:rsidRDefault="00B0476B" w:rsidP="00B12026">
      <w:pPr>
        <w:jc w:val="both"/>
        <w:rPr>
          <w:rFonts w:ascii="Arial" w:hAnsi="Arial" w:cs="Arial"/>
          <w:lang w:val="en-GB"/>
        </w:rPr>
      </w:pPr>
      <w:r w:rsidRPr="00B12026">
        <w:rPr>
          <w:rFonts w:ascii="Arial" w:hAnsi="Arial" w:cs="Arial"/>
          <w:lang w:val="en-GB"/>
        </w:rPr>
        <w:t xml:space="preserve">The CSF values were: 0.0073 for ACPT, FLR, FLRT, PNT, and PYR; 0.073 for ATC; 0.73 for </w:t>
      </w:r>
      <w:proofErr w:type="spellStart"/>
      <w:r w:rsidRPr="00B12026">
        <w:rPr>
          <w:rFonts w:ascii="Arial" w:hAnsi="Arial" w:cs="Arial"/>
          <w:lang w:val="en-GB"/>
        </w:rPr>
        <w:t>BaA</w:t>
      </w:r>
      <w:proofErr w:type="spellEnd"/>
      <w:r w:rsidRPr="00B12026">
        <w:rPr>
          <w:rFonts w:ascii="Arial" w:hAnsi="Arial" w:cs="Arial"/>
          <w:lang w:val="en-GB"/>
        </w:rPr>
        <w:t xml:space="preserve"> and I(1,2,3-</w:t>
      </w:r>
      <w:proofErr w:type="gramStart"/>
      <w:r w:rsidRPr="00B12026">
        <w:rPr>
          <w:rFonts w:ascii="Arial" w:hAnsi="Arial" w:cs="Arial"/>
          <w:lang w:val="en-GB"/>
        </w:rPr>
        <w:t>c,d</w:t>
      </w:r>
      <w:proofErr w:type="gramEnd"/>
      <w:r w:rsidRPr="00B12026">
        <w:rPr>
          <w:rFonts w:ascii="Arial" w:hAnsi="Arial" w:cs="Arial"/>
          <w:lang w:val="en-GB"/>
        </w:rPr>
        <w:t xml:space="preserve">)P; and 7.3 for </w:t>
      </w:r>
      <w:proofErr w:type="spellStart"/>
      <w:r w:rsidRPr="00B12026">
        <w:rPr>
          <w:rFonts w:ascii="Arial" w:hAnsi="Arial" w:cs="Arial"/>
          <w:lang w:val="en-GB"/>
        </w:rPr>
        <w:t>BaP</w:t>
      </w:r>
      <w:proofErr w:type="spellEnd"/>
      <w:r w:rsidRPr="00B12026">
        <w:rPr>
          <w:rFonts w:ascii="Arial" w:hAnsi="Arial" w:cs="Arial"/>
          <w:lang w:val="en-GB"/>
        </w:rPr>
        <w:t xml:space="preserve"> (US-EPA, 1992b; US-EPA, 2009).</w:t>
      </w:r>
    </w:p>
    <w:p w14:paraId="47E52405" w14:textId="77777777" w:rsidR="00B0476B" w:rsidRPr="00B12026" w:rsidRDefault="00B0476B" w:rsidP="00B12026">
      <w:pPr>
        <w:jc w:val="both"/>
        <w:rPr>
          <w:rFonts w:ascii="Arial" w:hAnsi="Arial" w:cs="Arial"/>
          <w:lang w:val="en-GB"/>
        </w:rPr>
      </w:pPr>
      <w:r w:rsidRPr="00B12026">
        <w:rPr>
          <w:rFonts w:ascii="Arial" w:hAnsi="Arial" w:cs="Arial"/>
          <w:lang w:val="en-GB"/>
        </w:rPr>
        <w:t>The regulatory guidance from the New York State Department of Health (NYS DOH, 2007) indicates that for ILCR (</w:t>
      </w:r>
      <w:proofErr w:type="spellStart"/>
      <w:r w:rsidRPr="00B12026">
        <w:rPr>
          <w:rFonts w:ascii="Arial" w:hAnsi="Arial" w:cs="Arial"/>
          <w:lang w:val="en-GB"/>
        </w:rPr>
        <w:t>RI</w:t>
      </w:r>
      <w:r w:rsidRPr="00B12026">
        <w:rPr>
          <w:rFonts w:ascii="Arial" w:hAnsi="Arial" w:cs="Arial"/>
          <w:vertAlign w:val="subscript"/>
          <w:lang w:val="en-GB"/>
        </w:rPr>
        <w:t>derm</w:t>
      </w:r>
      <w:proofErr w:type="spellEnd"/>
      <w:r w:rsidRPr="00B12026">
        <w:rPr>
          <w:rFonts w:ascii="Arial" w:hAnsi="Arial" w:cs="Arial"/>
          <w:lang w:val="en-GB"/>
        </w:rPr>
        <w:t>) values:</w:t>
      </w:r>
    </w:p>
    <w:p w14:paraId="10FCD0DF" w14:textId="77777777" w:rsidR="00B12026" w:rsidRDefault="00B0476B" w:rsidP="00B12026">
      <w:pPr>
        <w:ind w:firstLine="360"/>
        <w:jc w:val="both"/>
        <w:rPr>
          <w:rFonts w:ascii="Arial" w:hAnsi="Arial" w:cs="Arial"/>
          <w:lang w:val="en-GB"/>
        </w:rPr>
      </w:pPr>
      <w:r w:rsidRPr="00B12026">
        <w:rPr>
          <w:rFonts w:ascii="Arial" w:hAnsi="Arial" w:cs="Arial"/>
          <w:lang w:val="en-GB"/>
        </w:rPr>
        <w:t>- ≤10</w:t>
      </w:r>
      <w:r w:rsidRPr="00B12026">
        <w:rPr>
          <w:rFonts w:ascii="Arial" w:hAnsi="Arial" w:cs="Arial"/>
          <w:vertAlign w:val="superscript"/>
          <w:lang w:val="en-GB"/>
        </w:rPr>
        <w:t>−6</w:t>
      </w:r>
      <w:r w:rsidRPr="00B12026">
        <w:rPr>
          <w:rFonts w:ascii="Arial" w:hAnsi="Arial" w:cs="Arial"/>
          <w:lang w:val="en-GB"/>
        </w:rPr>
        <w:t xml:space="preserve">, the lifetime carcinogenic risks of the PAH (or mixture of PAHs) for humans are </w:t>
      </w:r>
    </w:p>
    <w:p w14:paraId="6E3B7859" w14:textId="3612F990" w:rsidR="00B0476B" w:rsidRPr="00B12026" w:rsidRDefault="00B0476B" w:rsidP="00B12026">
      <w:pPr>
        <w:ind w:firstLine="360"/>
        <w:jc w:val="both"/>
        <w:rPr>
          <w:rFonts w:ascii="Arial" w:hAnsi="Arial" w:cs="Arial"/>
          <w:lang w:val="en-GB"/>
        </w:rPr>
      </w:pPr>
      <w:r w:rsidRPr="00B12026">
        <w:rPr>
          <w:rFonts w:ascii="Arial" w:hAnsi="Arial" w:cs="Arial"/>
          <w:lang w:val="en-GB"/>
        </w:rPr>
        <w:t xml:space="preserve">very </w:t>
      </w:r>
      <w:r w:rsidR="00B12026">
        <w:rPr>
          <w:rFonts w:ascii="Arial" w:hAnsi="Arial" w:cs="Arial"/>
          <w:lang w:val="en-GB"/>
        </w:rPr>
        <w:t>l</w:t>
      </w:r>
      <w:r w:rsidRPr="00B12026">
        <w:rPr>
          <w:rFonts w:ascii="Arial" w:hAnsi="Arial" w:cs="Arial"/>
          <w:lang w:val="en-GB"/>
        </w:rPr>
        <w:t>ow;</w:t>
      </w:r>
    </w:p>
    <w:p w14:paraId="7A84DC53" w14:textId="77777777" w:rsidR="00B0476B" w:rsidRPr="00B12026" w:rsidRDefault="00B0476B" w:rsidP="00B12026">
      <w:pPr>
        <w:ind w:firstLine="360"/>
        <w:jc w:val="both"/>
        <w:rPr>
          <w:rFonts w:ascii="Arial" w:hAnsi="Arial" w:cs="Arial"/>
          <w:lang w:val="en-GB"/>
        </w:rPr>
      </w:pPr>
      <w:r w:rsidRPr="00B12026">
        <w:rPr>
          <w:rFonts w:ascii="Arial" w:hAnsi="Arial" w:cs="Arial"/>
          <w:lang w:val="en-GB"/>
        </w:rPr>
        <w:lastRenderedPageBreak/>
        <w:t>- 10</w:t>
      </w:r>
      <w:r w:rsidRPr="00B12026">
        <w:rPr>
          <w:rFonts w:ascii="Arial" w:hAnsi="Arial" w:cs="Arial"/>
          <w:vertAlign w:val="superscript"/>
          <w:lang w:val="en-GB"/>
        </w:rPr>
        <w:t>−6</w:t>
      </w:r>
      <w:r w:rsidRPr="00B12026">
        <w:rPr>
          <w:rFonts w:ascii="Arial" w:hAnsi="Arial" w:cs="Arial"/>
          <w:lang w:val="en-GB"/>
        </w:rPr>
        <w:t xml:space="preserve"> to 10</w:t>
      </w:r>
      <w:r w:rsidRPr="00B12026">
        <w:rPr>
          <w:rFonts w:ascii="Arial" w:hAnsi="Arial" w:cs="Arial"/>
          <w:vertAlign w:val="superscript"/>
          <w:lang w:val="en-GB"/>
        </w:rPr>
        <w:t>−4</w:t>
      </w:r>
      <w:r w:rsidRPr="00B12026">
        <w:rPr>
          <w:rFonts w:ascii="Arial" w:hAnsi="Arial" w:cs="Arial"/>
          <w:lang w:val="en-GB"/>
        </w:rPr>
        <w:t xml:space="preserve">, the lifetime carcinogenic risks of the PAH (or mixture of PAHs) for humans </w:t>
      </w:r>
    </w:p>
    <w:p w14:paraId="56054EDE" w14:textId="77777777" w:rsidR="00B0476B" w:rsidRPr="00B12026" w:rsidRDefault="00B0476B" w:rsidP="00B12026">
      <w:pPr>
        <w:ind w:firstLine="360"/>
        <w:jc w:val="both"/>
        <w:rPr>
          <w:rFonts w:ascii="Arial" w:hAnsi="Arial" w:cs="Arial"/>
          <w:lang w:val="en-GB"/>
        </w:rPr>
      </w:pPr>
      <w:r w:rsidRPr="00B12026">
        <w:rPr>
          <w:rFonts w:ascii="Arial" w:hAnsi="Arial" w:cs="Arial"/>
          <w:lang w:val="en-GB"/>
        </w:rPr>
        <w:t>are low;</w:t>
      </w:r>
    </w:p>
    <w:p w14:paraId="069756B3" w14:textId="77777777" w:rsidR="00B12026" w:rsidRDefault="00B0476B" w:rsidP="00B12026">
      <w:pPr>
        <w:ind w:firstLine="360"/>
        <w:jc w:val="both"/>
        <w:rPr>
          <w:rFonts w:ascii="Arial" w:hAnsi="Arial" w:cs="Arial"/>
          <w:lang w:val="en-GB"/>
        </w:rPr>
      </w:pPr>
      <w:r w:rsidRPr="00B12026">
        <w:rPr>
          <w:rFonts w:ascii="Arial" w:hAnsi="Arial" w:cs="Arial"/>
          <w:lang w:val="en-GB"/>
        </w:rPr>
        <w:t>- &gt;10</w:t>
      </w:r>
      <w:r w:rsidRPr="00B12026">
        <w:rPr>
          <w:rFonts w:ascii="Arial" w:hAnsi="Arial" w:cs="Arial"/>
          <w:vertAlign w:val="superscript"/>
          <w:lang w:val="en-GB"/>
        </w:rPr>
        <w:t>−4</w:t>
      </w:r>
      <w:r w:rsidRPr="00B12026">
        <w:rPr>
          <w:rFonts w:ascii="Arial" w:hAnsi="Arial" w:cs="Arial"/>
          <w:lang w:val="en-GB"/>
        </w:rPr>
        <w:t xml:space="preserve"> to </w:t>
      </w:r>
      <w:r w:rsidRPr="00B12026">
        <w:rPr>
          <w:rFonts w:ascii="Arial" w:hAnsi="Arial" w:cs="Arial"/>
          <w:vertAlign w:val="superscript"/>
          <w:lang w:val="en-GB"/>
        </w:rPr>
        <w:t>10−3</w:t>
      </w:r>
      <w:r w:rsidRPr="00B12026">
        <w:rPr>
          <w:rFonts w:ascii="Arial" w:hAnsi="Arial" w:cs="Arial"/>
          <w:lang w:val="en-GB"/>
        </w:rPr>
        <w:t xml:space="preserve">, the lifetime carcinogenic risks of the PAH (or mixture of PAHs) for </w:t>
      </w:r>
    </w:p>
    <w:p w14:paraId="7A9EAADF" w14:textId="6ADEF62F" w:rsidR="00B0476B" w:rsidRPr="00B12026" w:rsidRDefault="00B0476B" w:rsidP="00B12026">
      <w:pPr>
        <w:ind w:firstLine="360"/>
        <w:jc w:val="both"/>
        <w:rPr>
          <w:rFonts w:ascii="Arial" w:hAnsi="Arial" w:cs="Arial"/>
          <w:lang w:val="en-GB"/>
        </w:rPr>
      </w:pPr>
      <w:r w:rsidRPr="00B12026">
        <w:rPr>
          <w:rFonts w:ascii="Arial" w:hAnsi="Arial" w:cs="Arial"/>
          <w:lang w:val="en-GB"/>
        </w:rPr>
        <w:t>humans are moderate;</w:t>
      </w:r>
    </w:p>
    <w:p w14:paraId="356F89C2" w14:textId="77777777" w:rsidR="00B12026" w:rsidRDefault="00B0476B" w:rsidP="00B12026">
      <w:pPr>
        <w:ind w:firstLine="360"/>
        <w:jc w:val="both"/>
        <w:rPr>
          <w:rFonts w:ascii="Arial" w:hAnsi="Arial" w:cs="Arial"/>
          <w:lang w:val="en-GB"/>
        </w:rPr>
      </w:pPr>
      <w:r w:rsidRPr="00B12026">
        <w:rPr>
          <w:rFonts w:ascii="Arial" w:hAnsi="Arial" w:cs="Arial"/>
          <w:lang w:val="en-GB"/>
        </w:rPr>
        <w:t>- &gt;10</w:t>
      </w:r>
      <w:r w:rsidRPr="00B12026">
        <w:rPr>
          <w:rFonts w:ascii="Arial" w:hAnsi="Arial" w:cs="Arial"/>
          <w:vertAlign w:val="superscript"/>
          <w:lang w:val="en-GB"/>
        </w:rPr>
        <w:t>−3</w:t>
      </w:r>
      <w:r w:rsidRPr="00B12026">
        <w:rPr>
          <w:rFonts w:ascii="Arial" w:hAnsi="Arial" w:cs="Arial"/>
          <w:lang w:val="en-GB"/>
        </w:rPr>
        <w:t xml:space="preserve"> to 10</w:t>
      </w:r>
      <w:r w:rsidRPr="00B12026">
        <w:rPr>
          <w:rFonts w:ascii="Arial" w:hAnsi="Arial" w:cs="Arial"/>
          <w:vertAlign w:val="superscript"/>
          <w:lang w:val="en-GB"/>
        </w:rPr>
        <w:t>−1</w:t>
      </w:r>
      <w:r w:rsidRPr="00B12026">
        <w:rPr>
          <w:rFonts w:ascii="Arial" w:hAnsi="Arial" w:cs="Arial"/>
          <w:lang w:val="en-GB"/>
        </w:rPr>
        <w:t xml:space="preserve">, the lifetime carcinogenic risks of the PAH (or mixture of PAHs) for </w:t>
      </w:r>
    </w:p>
    <w:p w14:paraId="1DF233DA" w14:textId="2CF7B1DF" w:rsidR="00B0476B" w:rsidRPr="00B12026" w:rsidRDefault="00B0476B" w:rsidP="00B12026">
      <w:pPr>
        <w:ind w:firstLine="360"/>
        <w:jc w:val="both"/>
        <w:rPr>
          <w:rFonts w:ascii="Arial" w:hAnsi="Arial" w:cs="Arial"/>
          <w:lang w:val="en-GB"/>
        </w:rPr>
      </w:pPr>
      <w:r w:rsidRPr="00B12026">
        <w:rPr>
          <w:rFonts w:ascii="Arial" w:hAnsi="Arial" w:cs="Arial"/>
          <w:lang w:val="en-GB"/>
        </w:rPr>
        <w:t>humans are high;</w:t>
      </w:r>
    </w:p>
    <w:p w14:paraId="5A45A4EF" w14:textId="77777777" w:rsidR="00B12026" w:rsidRDefault="00B0476B" w:rsidP="00B12026">
      <w:pPr>
        <w:ind w:firstLine="360"/>
        <w:jc w:val="both"/>
        <w:rPr>
          <w:rFonts w:ascii="Arial" w:hAnsi="Arial" w:cs="Arial"/>
          <w:lang w:val="en-GB"/>
        </w:rPr>
      </w:pPr>
      <w:r w:rsidRPr="00B12026">
        <w:rPr>
          <w:rFonts w:ascii="Arial" w:hAnsi="Arial" w:cs="Arial"/>
          <w:lang w:val="en-GB"/>
        </w:rPr>
        <w:t>- ≥10</w:t>
      </w:r>
      <w:r w:rsidRPr="00B12026">
        <w:rPr>
          <w:rFonts w:ascii="Arial" w:hAnsi="Arial" w:cs="Arial"/>
          <w:vertAlign w:val="superscript"/>
          <w:lang w:val="en-GB"/>
        </w:rPr>
        <w:t>−1</w:t>
      </w:r>
      <w:r w:rsidRPr="00B12026">
        <w:rPr>
          <w:rFonts w:ascii="Arial" w:hAnsi="Arial" w:cs="Arial"/>
          <w:lang w:val="en-GB"/>
        </w:rPr>
        <w:t xml:space="preserve">, the lifetime carcinogenic risks of the PAH (or mixture of PAHs) for humans are </w:t>
      </w:r>
    </w:p>
    <w:p w14:paraId="18BF8E21" w14:textId="4C404FE3" w:rsidR="00B0476B" w:rsidRPr="00B12026" w:rsidRDefault="00B0476B" w:rsidP="00B12026">
      <w:pPr>
        <w:ind w:firstLine="360"/>
        <w:jc w:val="both"/>
        <w:rPr>
          <w:rFonts w:ascii="Arial" w:hAnsi="Arial" w:cs="Arial"/>
          <w:lang w:val="en-GB"/>
        </w:rPr>
      </w:pPr>
      <w:r w:rsidRPr="00B12026">
        <w:rPr>
          <w:rFonts w:ascii="Arial" w:hAnsi="Arial" w:cs="Arial"/>
          <w:lang w:val="en-GB"/>
        </w:rPr>
        <w:t>very high.</w:t>
      </w:r>
    </w:p>
    <w:p w14:paraId="07BC5026" w14:textId="77777777" w:rsidR="00B0476B" w:rsidRPr="005A2BBF" w:rsidRDefault="00B0476B" w:rsidP="00B0476B">
      <w:pPr>
        <w:spacing w:line="360" w:lineRule="auto"/>
        <w:jc w:val="both"/>
        <w:rPr>
          <w:rFonts w:ascii="Arial" w:hAnsi="Arial" w:cs="Arial"/>
          <w:lang w:val="en-GB"/>
        </w:rPr>
      </w:pPr>
    </w:p>
    <w:p w14:paraId="5E5B7235" w14:textId="36517CE5" w:rsidR="00B0476B" w:rsidRPr="00A127E5" w:rsidRDefault="00A127E5" w:rsidP="00A127E5">
      <w:pPr>
        <w:jc w:val="both"/>
        <w:rPr>
          <w:rFonts w:ascii="Arial" w:hAnsi="Arial" w:cs="Arial"/>
          <w:b/>
          <w:bCs/>
          <w:u w:val="single"/>
          <w:lang w:val="en-GB"/>
        </w:rPr>
      </w:pPr>
      <w:r w:rsidRPr="00A127E5">
        <w:rPr>
          <w:rFonts w:ascii="Arial" w:hAnsi="Arial" w:cs="Arial"/>
          <w:b/>
          <w:bCs/>
          <w:u w:val="single"/>
          <w:lang w:val="en-GB"/>
        </w:rPr>
        <w:t>2.2.</w:t>
      </w:r>
      <w:r w:rsidR="005B2C06">
        <w:rPr>
          <w:rFonts w:ascii="Arial" w:hAnsi="Arial" w:cs="Arial"/>
          <w:b/>
          <w:bCs/>
          <w:u w:val="single"/>
          <w:lang w:val="en-GB"/>
        </w:rPr>
        <w:t>6</w:t>
      </w:r>
      <w:r w:rsidRPr="00A127E5">
        <w:rPr>
          <w:rFonts w:ascii="Arial" w:hAnsi="Arial" w:cs="Arial"/>
          <w:b/>
          <w:bCs/>
          <w:u w:val="single"/>
          <w:lang w:val="en-GB"/>
        </w:rPr>
        <w:t xml:space="preserve">. </w:t>
      </w:r>
      <w:r w:rsidR="00B0476B" w:rsidRPr="00A127E5">
        <w:rPr>
          <w:rFonts w:ascii="Arial" w:hAnsi="Arial" w:cs="Arial"/>
          <w:b/>
          <w:bCs/>
          <w:u w:val="single"/>
          <w:lang w:val="en-GB"/>
        </w:rPr>
        <w:t>Statistical analysis of results</w:t>
      </w:r>
    </w:p>
    <w:p w14:paraId="75394221" w14:textId="77777777" w:rsidR="00B0476B" w:rsidRPr="00A127E5" w:rsidRDefault="00B0476B" w:rsidP="00A127E5">
      <w:pPr>
        <w:jc w:val="both"/>
        <w:rPr>
          <w:rFonts w:ascii="Arial" w:hAnsi="Arial" w:cs="Arial"/>
          <w:lang w:val="en-GB"/>
        </w:rPr>
      </w:pPr>
      <w:r w:rsidRPr="00A127E5">
        <w:rPr>
          <w:rFonts w:ascii="Arial" w:hAnsi="Arial" w:cs="Arial"/>
          <w:lang w:val="en-GB"/>
        </w:rPr>
        <w:t>Statistical analysis was performed using one-way ANOVA and Student's t-test, complemented by descriptive techniques including the mean (m), standard deviation (s), coefficient of variation (CV), as well as minimum (Min) and maximum (Max) values.</w:t>
      </w:r>
    </w:p>
    <w:p w14:paraId="30AAD4E4" w14:textId="77777777" w:rsidR="00B0476B" w:rsidRPr="00A127E5" w:rsidRDefault="00B0476B" w:rsidP="00A127E5">
      <w:pPr>
        <w:jc w:val="both"/>
        <w:rPr>
          <w:rFonts w:ascii="Arial" w:hAnsi="Arial" w:cs="Arial"/>
          <w:lang w:val="en-GB"/>
        </w:rPr>
      </w:pPr>
      <w:r w:rsidRPr="00A127E5">
        <w:rPr>
          <w:rFonts w:ascii="Arial" w:hAnsi="Arial" w:cs="Arial"/>
          <w:lang w:val="en-GB"/>
        </w:rPr>
        <w:t>One-way ANOVA was used to assess for statistically significant differences between the annual means of the 16 PAHs across various matrices. When a significant difference was observed, three post-hoc tests were applied to identify the differentiating PAHs and determine homogeneous subgroups that did not exhibit significant differences. These tests included:</w:t>
      </w:r>
    </w:p>
    <w:p w14:paraId="24B5EDB2" w14:textId="77777777" w:rsidR="00B0476B" w:rsidRPr="00A127E5" w:rsidRDefault="00B0476B" w:rsidP="00A127E5">
      <w:pPr>
        <w:ind w:firstLine="360"/>
        <w:jc w:val="both"/>
        <w:rPr>
          <w:rFonts w:ascii="Arial" w:hAnsi="Arial" w:cs="Arial"/>
          <w:lang w:val="en-GB"/>
        </w:rPr>
      </w:pPr>
      <w:r w:rsidRPr="00A127E5">
        <w:rPr>
          <w:rFonts w:ascii="Arial" w:hAnsi="Arial" w:cs="Arial"/>
          <w:lang w:val="en-GB"/>
        </w:rPr>
        <w:t>- Fisher's LSD test (Fisher, 1919</w:t>
      </w:r>
      <w:proofErr w:type="gramStart"/>
      <w:r w:rsidRPr="00A127E5">
        <w:rPr>
          <w:rFonts w:ascii="Arial" w:hAnsi="Arial" w:cs="Arial"/>
          <w:lang w:val="en-GB"/>
        </w:rPr>
        <w:t>) ;</w:t>
      </w:r>
      <w:proofErr w:type="gramEnd"/>
    </w:p>
    <w:p w14:paraId="726C8859" w14:textId="77777777" w:rsidR="00B0476B" w:rsidRPr="00A127E5" w:rsidRDefault="00B0476B" w:rsidP="00A127E5">
      <w:pPr>
        <w:ind w:firstLine="360"/>
        <w:jc w:val="both"/>
        <w:rPr>
          <w:rFonts w:ascii="Arial" w:hAnsi="Arial" w:cs="Arial"/>
          <w:lang w:val="en-GB"/>
        </w:rPr>
      </w:pPr>
      <w:r w:rsidRPr="00A127E5">
        <w:rPr>
          <w:rFonts w:ascii="Arial" w:hAnsi="Arial" w:cs="Arial"/>
          <w:lang w:val="en-GB"/>
        </w:rPr>
        <w:t>- Tukey's HSD test (Tukey, 1949</w:t>
      </w:r>
      <w:proofErr w:type="gramStart"/>
      <w:r w:rsidRPr="00A127E5">
        <w:rPr>
          <w:rFonts w:ascii="Arial" w:hAnsi="Arial" w:cs="Arial"/>
          <w:lang w:val="en-GB"/>
        </w:rPr>
        <w:t>) ;</w:t>
      </w:r>
      <w:proofErr w:type="gramEnd"/>
    </w:p>
    <w:p w14:paraId="48B7B17F" w14:textId="77777777" w:rsidR="00B0476B" w:rsidRPr="00A127E5" w:rsidRDefault="00B0476B" w:rsidP="00A127E5">
      <w:pPr>
        <w:ind w:firstLine="360"/>
        <w:jc w:val="both"/>
        <w:rPr>
          <w:rFonts w:ascii="Arial" w:hAnsi="Arial" w:cs="Arial"/>
          <w:lang w:val="en-GB"/>
        </w:rPr>
      </w:pPr>
      <w:r w:rsidRPr="00A127E5">
        <w:rPr>
          <w:rFonts w:ascii="Arial" w:hAnsi="Arial" w:cs="Arial"/>
          <w:lang w:val="en-GB"/>
        </w:rPr>
        <w:t>- Dunnett's test (Dunnett, 1955)</w:t>
      </w:r>
    </w:p>
    <w:p w14:paraId="4A213605" w14:textId="35F8EB00" w:rsidR="00B0476B" w:rsidRPr="00A127E5" w:rsidRDefault="00B0476B" w:rsidP="00A127E5">
      <w:pPr>
        <w:jc w:val="both"/>
        <w:rPr>
          <w:rFonts w:ascii="Arial" w:hAnsi="Arial" w:cs="Arial"/>
          <w:lang w:val="en-GB"/>
        </w:rPr>
      </w:pPr>
      <w:r w:rsidRPr="00A127E5">
        <w:rPr>
          <w:rFonts w:ascii="Arial" w:hAnsi="Arial" w:cs="Arial"/>
          <w:lang w:val="en-GB"/>
        </w:rPr>
        <w:t>Student's t-test (Gosset, 1908) was applied to assess the statistical significance of the obtained results. This test allowed for the comparison of observed values against reference thresholds for ecological and health risk indices, as well as against the water quality Guidelines</w:t>
      </w:r>
      <w:r w:rsidR="00583276">
        <w:rPr>
          <w:rFonts w:ascii="Arial" w:hAnsi="Arial" w:cs="Arial"/>
          <w:lang w:val="en-GB"/>
        </w:rPr>
        <w:t xml:space="preserve"> </w:t>
      </w:r>
      <w:r w:rsidRPr="00A127E5">
        <w:rPr>
          <w:rFonts w:ascii="Arial" w:hAnsi="Arial" w:cs="Arial"/>
          <w:lang w:val="en-GB"/>
        </w:rPr>
        <w:t>used.</w:t>
      </w:r>
    </w:p>
    <w:p w14:paraId="77223255" w14:textId="77777777" w:rsidR="00B0476B" w:rsidRPr="00A127E5" w:rsidRDefault="00B0476B" w:rsidP="00A127E5">
      <w:pPr>
        <w:jc w:val="both"/>
        <w:rPr>
          <w:rFonts w:ascii="Arial" w:hAnsi="Arial" w:cs="Arial"/>
          <w:lang w:val="en-GB"/>
        </w:rPr>
      </w:pPr>
      <w:r w:rsidRPr="00A127E5">
        <w:rPr>
          <w:rFonts w:ascii="Arial" w:hAnsi="Arial" w:cs="Arial"/>
          <w:lang w:val="en-GB"/>
        </w:rPr>
        <w:t xml:space="preserve">Results from ANOVA one way and post-hoc tests, as well as Student's t-test, were considered statistically significant at </w:t>
      </w:r>
      <w:r w:rsidRPr="00A127E5">
        <w:rPr>
          <w:rFonts w:ascii="Arial" w:hAnsi="Arial" w:cs="Arial"/>
          <w:i/>
          <w:iCs/>
          <w:lang w:val="en-GB"/>
        </w:rPr>
        <w:t xml:space="preserve">p </w:t>
      </w:r>
      <w:r w:rsidRPr="00A127E5">
        <w:rPr>
          <w:rFonts w:ascii="Arial" w:hAnsi="Arial" w:cs="Arial"/>
          <w:lang w:val="en-GB"/>
        </w:rPr>
        <w:t>&lt; 0.05. All these analyses were performed using Statistica software, version 7.</w:t>
      </w:r>
    </w:p>
    <w:p w14:paraId="66D9788B" w14:textId="77777777" w:rsidR="007510D6" w:rsidRDefault="007510D6" w:rsidP="00441B6F">
      <w:pPr>
        <w:pStyle w:val="Body"/>
        <w:spacing w:after="0"/>
        <w:rPr>
          <w:rFonts w:ascii="Arial" w:hAnsi="Arial" w:cs="Arial"/>
        </w:rPr>
      </w:pPr>
    </w:p>
    <w:p w14:paraId="16A1844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5DBAF7C" w14:textId="39EC4D63" w:rsidR="00A127E5" w:rsidRPr="00A04B88" w:rsidRDefault="00A127E5" w:rsidP="00A04B88">
      <w:pPr>
        <w:jc w:val="both"/>
        <w:rPr>
          <w:rFonts w:ascii="Arial" w:hAnsi="Arial" w:cs="Arial"/>
          <w:b/>
          <w:bCs/>
          <w:lang w:val="en-GB"/>
        </w:rPr>
      </w:pPr>
      <w:r w:rsidRPr="00A04B88">
        <w:rPr>
          <w:rFonts w:ascii="Arial" w:hAnsi="Arial" w:cs="Arial"/>
          <w:b/>
          <w:bCs/>
          <w:lang w:val="en-GB"/>
        </w:rPr>
        <w:t>3.1. Results</w:t>
      </w:r>
    </w:p>
    <w:p w14:paraId="07E82B40" w14:textId="5B7942E0" w:rsidR="00A127E5" w:rsidRPr="00A04B88" w:rsidRDefault="00A127E5" w:rsidP="00A04B88">
      <w:pPr>
        <w:jc w:val="both"/>
        <w:rPr>
          <w:rFonts w:ascii="Arial" w:hAnsi="Arial" w:cs="Arial"/>
          <w:b/>
          <w:bCs/>
          <w:u w:val="single"/>
          <w:lang w:val="en-GB"/>
        </w:rPr>
      </w:pPr>
      <w:r w:rsidRPr="00A04B88">
        <w:rPr>
          <w:rFonts w:ascii="Arial" w:hAnsi="Arial" w:cs="Arial"/>
          <w:b/>
          <w:bCs/>
          <w:u w:val="single"/>
          <w:lang w:val="en-GB"/>
        </w:rPr>
        <w:t>3.1.1. PAHs Abundance in the waters from this lacustrine system</w:t>
      </w:r>
    </w:p>
    <w:p w14:paraId="70CFEBD2" w14:textId="5D43F976" w:rsidR="00A127E5" w:rsidRPr="00A04B88" w:rsidRDefault="00A04B88" w:rsidP="00A04B88">
      <w:pPr>
        <w:jc w:val="both"/>
        <w:rPr>
          <w:rFonts w:ascii="Arial" w:hAnsi="Arial" w:cs="Arial"/>
          <w:i/>
          <w:iCs/>
          <w:lang w:val="en-GB"/>
        </w:rPr>
      </w:pPr>
      <w:r w:rsidRPr="00A04B88">
        <w:rPr>
          <w:rFonts w:ascii="Arial" w:hAnsi="Arial" w:cs="Arial"/>
          <w:i/>
          <w:iCs/>
          <w:lang w:val="en-GB"/>
        </w:rPr>
        <w:t xml:space="preserve">3.1.1.1. </w:t>
      </w:r>
      <w:r w:rsidR="00A127E5" w:rsidRPr="00A04B88">
        <w:rPr>
          <w:rFonts w:ascii="Arial" w:hAnsi="Arial" w:cs="Arial"/>
          <w:i/>
          <w:iCs/>
          <w:lang w:val="en-GB"/>
        </w:rPr>
        <w:t>Annual concentrations of the 16 PAHs</w:t>
      </w:r>
    </w:p>
    <w:p w14:paraId="7396D29E" w14:textId="77777777" w:rsidR="00A127E5" w:rsidRPr="00A04B88" w:rsidRDefault="00A127E5" w:rsidP="00A04B88">
      <w:pPr>
        <w:jc w:val="both"/>
        <w:rPr>
          <w:rFonts w:ascii="Arial" w:hAnsi="Arial" w:cs="Arial"/>
          <w:lang w:val="en-GB"/>
        </w:rPr>
      </w:pPr>
      <w:r w:rsidRPr="00A04B88">
        <w:rPr>
          <w:rFonts w:ascii="Arial" w:hAnsi="Arial" w:cs="Arial"/>
          <w:lang w:val="en-GB"/>
        </w:rPr>
        <w:t xml:space="preserve">ACP, </w:t>
      </w:r>
      <w:proofErr w:type="spellStart"/>
      <w:r w:rsidRPr="00A04B88">
        <w:rPr>
          <w:rFonts w:ascii="Arial" w:hAnsi="Arial" w:cs="Arial"/>
          <w:lang w:val="en-GB"/>
        </w:rPr>
        <w:t>Chry</w:t>
      </w:r>
      <w:proofErr w:type="spellEnd"/>
      <w:r w:rsidRPr="00A04B88">
        <w:rPr>
          <w:rFonts w:ascii="Arial" w:hAnsi="Arial" w:cs="Arial"/>
          <w:lang w:val="en-GB"/>
        </w:rPr>
        <w:t>, and D[</w:t>
      </w:r>
      <w:proofErr w:type="spellStart"/>
      <w:proofErr w:type="gramStart"/>
      <w:r w:rsidRPr="00A04B88">
        <w:rPr>
          <w:rFonts w:ascii="Arial" w:hAnsi="Arial" w:cs="Arial"/>
          <w:lang w:val="en-GB"/>
        </w:rPr>
        <w:t>a,h</w:t>
      </w:r>
      <w:proofErr w:type="spellEnd"/>
      <w:proofErr w:type="gramEnd"/>
      <w:r w:rsidRPr="00A04B88">
        <w:rPr>
          <w:rFonts w:ascii="Arial" w:hAnsi="Arial" w:cs="Arial"/>
          <w:lang w:val="en-GB"/>
        </w:rPr>
        <w:t xml:space="preserve">]P were not detected in these waters during the study period. Among the thirteen PAHs that were detected, </w:t>
      </w:r>
      <w:proofErr w:type="spellStart"/>
      <w:r w:rsidRPr="00A04B88">
        <w:rPr>
          <w:rFonts w:ascii="Arial" w:hAnsi="Arial" w:cs="Arial"/>
          <w:lang w:val="en-GB"/>
        </w:rPr>
        <w:t>BjF</w:t>
      </w:r>
      <w:proofErr w:type="spellEnd"/>
      <w:r w:rsidRPr="00A04B88">
        <w:rPr>
          <w:rFonts w:ascii="Arial" w:hAnsi="Arial" w:cs="Arial"/>
          <w:lang w:val="en-GB"/>
        </w:rPr>
        <w:t xml:space="preserve"> exhibited the lowest mean concentration, while PNT showed the highest mean concentration throughout the study. At first glance, NPT appeared to be the least abundant, whereas PNT was the most prevalent among the six low molecular weight (LMW) PAHs. Regarding the medium molecular weight (MMW) PAHs, </w:t>
      </w:r>
      <w:proofErr w:type="spellStart"/>
      <w:r w:rsidRPr="00A04B88">
        <w:rPr>
          <w:rFonts w:ascii="Arial" w:hAnsi="Arial" w:cs="Arial"/>
          <w:lang w:val="en-GB"/>
        </w:rPr>
        <w:t>BjF</w:t>
      </w:r>
      <w:proofErr w:type="spellEnd"/>
      <w:r w:rsidRPr="00A04B88">
        <w:rPr>
          <w:rFonts w:ascii="Arial" w:hAnsi="Arial" w:cs="Arial"/>
          <w:lang w:val="en-GB"/>
        </w:rPr>
        <w:t xml:space="preserve"> seemed the least represented, while PYR was notably abundant in these waters during this period. Finally, among the high molecular weight (HMW) PAHs, </w:t>
      </w:r>
      <w:proofErr w:type="spellStart"/>
      <w:r w:rsidRPr="00A04B88">
        <w:rPr>
          <w:rFonts w:ascii="Arial" w:hAnsi="Arial" w:cs="Arial"/>
          <w:lang w:val="en-GB"/>
        </w:rPr>
        <w:t>BaA</w:t>
      </w:r>
      <w:proofErr w:type="spellEnd"/>
      <w:r w:rsidRPr="00A04B88">
        <w:rPr>
          <w:rFonts w:ascii="Arial" w:hAnsi="Arial" w:cs="Arial"/>
          <w:lang w:val="en-GB"/>
        </w:rPr>
        <w:t xml:space="preserve"> appeared to be the most abundant, whereas I-(1,2,3-</w:t>
      </w:r>
      <w:proofErr w:type="gramStart"/>
      <w:r w:rsidRPr="00A04B88">
        <w:rPr>
          <w:rFonts w:ascii="Arial" w:hAnsi="Arial" w:cs="Arial"/>
          <w:lang w:val="en-GB"/>
        </w:rPr>
        <w:t>c,d</w:t>
      </w:r>
      <w:proofErr w:type="gramEnd"/>
      <w:r w:rsidRPr="00A04B88">
        <w:rPr>
          <w:rFonts w:ascii="Arial" w:hAnsi="Arial" w:cs="Arial"/>
          <w:lang w:val="en-GB"/>
        </w:rPr>
        <w:t xml:space="preserve">)P presented the lowest mean concentration within these waters throughout the study period. The variations in the annual mean concentrations of these PAHs were all low, with the exception of </w:t>
      </w:r>
      <w:proofErr w:type="spellStart"/>
      <w:r w:rsidRPr="00A04B88">
        <w:rPr>
          <w:rFonts w:ascii="Arial" w:hAnsi="Arial" w:cs="Arial"/>
          <w:lang w:val="en-GB"/>
        </w:rPr>
        <w:t>BkF</w:t>
      </w:r>
      <w:proofErr w:type="spellEnd"/>
      <w:r w:rsidRPr="00A04B88">
        <w:rPr>
          <w:rFonts w:ascii="Arial" w:hAnsi="Arial" w:cs="Arial"/>
          <w:lang w:val="en-GB"/>
        </w:rPr>
        <w:t xml:space="preserve"> (Table 2). This suggests their near-stability in these waters throughout the entire study period.</w:t>
      </w:r>
    </w:p>
    <w:p w14:paraId="55477306" w14:textId="5DA4F5EC" w:rsidR="004760B9" w:rsidRDefault="004760B9">
      <w:pPr>
        <w:rPr>
          <w:rFonts w:ascii="Arial" w:hAnsi="Arial" w:cs="Arial"/>
          <w:b/>
          <w:bCs/>
          <w:lang w:val="en-GB"/>
        </w:rPr>
      </w:pPr>
      <w:r>
        <w:rPr>
          <w:rFonts w:ascii="Arial" w:hAnsi="Arial" w:cs="Arial"/>
          <w:b/>
          <w:bCs/>
          <w:lang w:val="en-GB"/>
        </w:rPr>
        <w:br w:type="page"/>
      </w:r>
    </w:p>
    <w:p w14:paraId="2536A989" w14:textId="4355FFE9" w:rsidR="00A04B88" w:rsidRPr="00A04B88" w:rsidRDefault="00A04B88" w:rsidP="00B9427F">
      <w:pPr>
        <w:jc w:val="both"/>
        <w:rPr>
          <w:rFonts w:ascii="Arial" w:hAnsi="Arial" w:cs="Arial"/>
          <w:b/>
          <w:bCs/>
          <w:lang w:val="en-GB"/>
        </w:rPr>
      </w:pPr>
      <w:r w:rsidRPr="00A04B88">
        <w:rPr>
          <w:rFonts w:ascii="Arial" w:hAnsi="Arial" w:cs="Arial"/>
          <w:b/>
          <w:bCs/>
          <w:lang w:val="en-GB"/>
        </w:rPr>
        <w:lastRenderedPageBreak/>
        <w:t>Table 2</w:t>
      </w:r>
      <w:r w:rsidR="00B9427F">
        <w:rPr>
          <w:rFonts w:ascii="Arial" w:hAnsi="Arial" w:cs="Arial"/>
          <w:b/>
          <w:bCs/>
          <w:lang w:val="en-GB"/>
        </w:rPr>
        <w:t>.</w:t>
      </w:r>
      <w:r w:rsidRPr="00A04B88">
        <w:rPr>
          <w:rFonts w:ascii="Arial" w:hAnsi="Arial" w:cs="Arial"/>
          <w:b/>
          <w:bCs/>
          <w:lang w:val="en-GB"/>
        </w:rPr>
        <w:t xml:space="preserve"> Annual mean concentrations (µg/l) of 16 PAHs in the Waters from the </w:t>
      </w:r>
      <w:proofErr w:type="spellStart"/>
      <w:r w:rsidRPr="00A04B88">
        <w:rPr>
          <w:rFonts w:ascii="Arial" w:hAnsi="Arial" w:cs="Arial"/>
          <w:b/>
          <w:bCs/>
          <w:lang w:val="en-GB"/>
        </w:rPr>
        <w:t>Déganobo</w:t>
      </w:r>
      <w:proofErr w:type="spellEnd"/>
      <w:r w:rsidRPr="00A04B88">
        <w:rPr>
          <w:rFonts w:ascii="Arial" w:hAnsi="Arial" w:cs="Arial"/>
          <w:b/>
          <w:bCs/>
          <w:lang w:val="en-GB"/>
        </w:rPr>
        <w:t xml:space="preserve"> lacustrine system during the Study Period (n=96).</w:t>
      </w:r>
    </w:p>
    <w:tbl>
      <w:tblPr>
        <w:tblStyle w:val="Grilledutableau"/>
        <w:tblW w:w="9406"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283"/>
        <w:gridCol w:w="988"/>
        <w:gridCol w:w="1010"/>
        <w:gridCol w:w="1481"/>
        <w:gridCol w:w="1261"/>
        <w:gridCol w:w="1020"/>
        <w:gridCol w:w="1257"/>
        <w:gridCol w:w="1106"/>
      </w:tblGrid>
      <w:tr w:rsidR="00A04B88" w:rsidRPr="00A04B88" w14:paraId="74BE6111" w14:textId="77777777" w:rsidTr="001E366F">
        <w:trPr>
          <w:jc w:val="center"/>
        </w:trPr>
        <w:tc>
          <w:tcPr>
            <w:tcW w:w="1283" w:type="dxa"/>
            <w:vMerge w:val="restart"/>
          </w:tcPr>
          <w:p w14:paraId="3D12BC6B"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Statistical parameters</w:t>
            </w:r>
          </w:p>
        </w:tc>
        <w:tc>
          <w:tcPr>
            <w:tcW w:w="7017" w:type="dxa"/>
            <w:gridSpan w:val="6"/>
          </w:tcPr>
          <w:p w14:paraId="12D331E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LMW PAHs</w:t>
            </w:r>
          </w:p>
        </w:tc>
        <w:tc>
          <w:tcPr>
            <w:tcW w:w="1106" w:type="dxa"/>
          </w:tcPr>
          <w:p w14:paraId="4B2F683A" w14:textId="77777777" w:rsidR="00A04B88" w:rsidRPr="00A04B88" w:rsidRDefault="00A04B88" w:rsidP="001E366F">
            <w:pPr>
              <w:jc w:val="center"/>
              <w:rPr>
                <w:rFonts w:ascii="Arial" w:hAnsi="Arial" w:cs="Arial"/>
                <w:bCs/>
                <w:sz w:val="20"/>
                <w:szCs w:val="20"/>
                <w:lang w:val="en-GB"/>
              </w:rPr>
            </w:pPr>
          </w:p>
        </w:tc>
      </w:tr>
      <w:tr w:rsidR="00A04B88" w:rsidRPr="00A04B88" w14:paraId="73397087" w14:textId="77777777" w:rsidTr="001E366F">
        <w:trPr>
          <w:jc w:val="center"/>
        </w:trPr>
        <w:tc>
          <w:tcPr>
            <w:tcW w:w="1283" w:type="dxa"/>
            <w:vMerge/>
            <w:tcBorders>
              <w:bottom w:val="single" w:sz="4" w:space="0" w:color="000000" w:themeColor="text1"/>
            </w:tcBorders>
          </w:tcPr>
          <w:p w14:paraId="469ECDE0" w14:textId="77777777" w:rsidR="00A04B88" w:rsidRPr="00A04B88" w:rsidRDefault="00A04B88" w:rsidP="001E366F">
            <w:pPr>
              <w:jc w:val="center"/>
              <w:rPr>
                <w:rFonts w:ascii="Arial" w:hAnsi="Arial" w:cs="Arial"/>
                <w:bCs/>
                <w:sz w:val="20"/>
                <w:szCs w:val="20"/>
                <w:lang w:val="en-GB"/>
              </w:rPr>
            </w:pPr>
          </w:p>
        </w:tc>
        <w:tc>
          <w:tcPr>
            <w:tcW w:w="988" w:type="dxa"/>
            <w:tcBorders>
              <w:bottom w:val="single" w:sz="4" w:space="0" w:color="000000" w:themeColor="text1"/>
            </w:tcBorders>
          </w:tcPr>
          <w:p w14:paraId="554CD83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NPT</w:t>
            </w:r>
          </w:p>
        </w:tc>
        <w:tc>
          <w:tcPr>
            <w:tcW w:w="1010" w:type="dxa"/>
            <w:tcBorders>
              <w:bottom w:val="single" w:sz="4" w:space="0" w:color="000000" w:themeColor="text1"/>
            </w:tcBorders>
          </w:tcPr>
          <w:p w14:paraId="000FF85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ACPT</w:t>
            </w:r>
          </w:p>
        </w:tc>
        <w:tc>
          <w:tcPr>
            <w:tcW w:w="1481" w:type="dxa"/>
            <w:tcBorders>
              <w:bottom w:val="single" w:sz="4" w:space="0" w:color="000000" w:themeColor="text1"/>
            </w:tcBorders>
          </w:tcPr>
          <w:p w14:paraId="7FB7288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FLR</w:t>
            </w:r>
          </w:p>
        </w:tc>
        <w:tc>
          <w:tcPr>
            <w:tcW w:w="1261" w:type="dxa"/>
            <w:tcBorders>
              <w:bottom w:val="single" w:sz="4" w:space="0" w:color="000000" w:themeColor="text1"/>
            </w:tcBorders>
          </w:tcPr>
          <w:p w14:paraId="309B883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PNT</w:t>
            </w:r>
          </w:p>
        </w:tc>
        <w:tc>
          <w:tcPr>
            <w:tcW w:w="1020" w:type="dxa"/>
            <w:tcBorders>
              <w:bottom w:val="single" w:sz="4" w:space="0" w:color="000000" w:themeColor="text1"/>
            </w:tcBorders>
          </w:tcPr>
          <w:p w14:paraId="59C6335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ATC</w:t>
            </w:r>
          </w:p>
        </w:tc>
        <w:tc>
          <w:tcPr>
            <w:tcW w:w="1257" w:type="dxa"/>
            <w:tcBorders>
              <w:bottom w:val="single" w:sz="4" w:space="0" w:color="000000" w:themeColor="text1"/>
            </w:tcBorders>
          </w:tcPr>
          <w:p w14:paraId="23ACB71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FLRT</w:t>
            </w:r>
          </w:p>
        </w:tc>
        <w:tc>
          <w:tcPr>
            <w:tcW w:w="1106" w:type="dxa"/>
            <w:tcBorders>
              <w:bottom w:val="single" w:sz="4" w:space="0" w:color="000000" w:themeColor="text1"/>
            </w:tcBorders>
          </w:tcPr>
          <w:p w14:paraId="33F904C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ACP</w:t>
            </w:r>
          </w:p>
        </w:tc>
      </w:tr>
      <w:tr w:rsidR="00A04B88" w:rsidRPr="00A04B88" w14:paraId="7B75AC78" w14:textId="77777777" w:rsidTr="001E366F">
        <w:trPr>
          <w:jc w:val="center"/>
        </w:trPr>
        <w:tc>
          <w:tcPr>
            <w:tcW w:w="1283" w:type="dxa"/>
            <w:tcBorders>
              <w:bottom w:val="nil"/>
            </w:tcBorders>
          </w:tcPr>
          <w:p w14:paraId="7D9EDF41"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m±s</w:t>
            </w:r>
            <w:proofErr w:type="spellEnd"/>
          </w:p>
        </w:tc>
        <w:tc>
          <w:tcPr>
            <w:tcW w:w="988" w:type="dxa"/>
            <w:tcBorders>
              <w:bottom w:val="nil"/>
            </w:tcBorders>
          </w:tcPr>
          <w:p w14:paraId="52E7B65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0.4±0.1</w:t>
            </w:r>
          </w:p>
        </w:tc>
        <w:tc>
          <w:tcPr>
            <w:tcW w:w="1010" w:type="dxa"/>
            <w:tcBorders>
              <w:bottom w:val="nil"/>
            </w:tcBorders>
          </w:tcPr>
          <w:p w14:paraId="1E4A75C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0.8±0.1</w:t>
            </w:r>
          </w:p>
        </w:tc>
        <w:tc>
          <w:tcPr>
            <w:tcW w:w="1481" w:type="dxa"/>
            <w:tcBorders>
              <w:bottom w:val="nil"/>
            </w:tcBorders>
          </w:tcPr>
          <w:p w14:paraId="2995352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2.3±0.3</w:t>
            </w:r>
          </w:p>
        </w:tc>
        <w:tc>
          <w:tcPr>
            <w:tcW w:w="1261" w:type="dxa"/>
            <w:tcBorders>
              <w:bottom w:val="nil"/>
            </w:tcBorders>
          </w:tcPr>
          <w:p w14:paraId="5C24D52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10.3±1.5</w:t>
            </w:r>
          </w:p>
        </w:tc>
        <w:tc>
          <w:tcPr>
            <w:tcW w:w="1020" w:type="dxa"/>
            <w:tcBorders>
              <w:bottom w:val="nil"/>
            </w:tcBorders>
          </w:tcPr>
          <w:p w14:paraId="0C1358E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1.8±0.2</w:t>
            </w:r>
          </w:p>
        </w:tc>
        <w:tc>
          <w:tcPr>
            <w:tcW w:w="1257" w:type="dxa"/>
            <w:tcBorders>
              <w:bottom w:val="nil"/>
            </w:tcBorders>
          </w:tcPr>
          <w:p w14:paraId="5D4532F5"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4.7±0.6</w:t>
            </w:r>
          </w:p>
        </w:tc>
        <w:tc>
          <w:tcPr>
            <w:tcW w:w="1106" w:type="dxa"/>
            <w:tcBorders>
              <w:bottom w:val="nil"/>
            </w:tcBorders>
          </w:tcPr>
          <w:p w14:paraId="42C0D9F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&lt; LOD</w:t>
            </w:r>
          </w:p>
        </w:tc>
      </w:tr>
      <w:tr w:rsidR="00A04B88" w:rsidRPr="00A04B88" w14:paraId="786B98A5" w14:textId="77777777" w:rsidTr="001E366F">
        <w:trPr>
          <w:jc w:val="center"/>
        </w:trPr>
        <w:tc>
          <w:tcPr>
            <w:tcW w:w="1283" w:type="dxa"/>
            <w:tcBorders>
              <w:top w:val="nil"/>
              <w:bottom w:val="nil"/>
            </w:tcBorders>
          </w:tcPr>
          <w:p w14:paraId="6C66611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VC (%)</w:t>
            </w:r>
          </w:p>
        </w:tc>
        <w:tc>
          <w:tcPr>
            <w:tcW w:w="988" w:type="dxa"/>
            <w:tcBorders>
              <w:top w:val="nil"/>
              <w:bottom w:val="nil"/>
            </w:tcBorders>
          </w:tcPr>
          <w:p w14:paraId="2EA7A5F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33.9</w:t>
            </w:r>
          </w:p>
        </w:tc>
        <w:tc>
          <w:tcPr>
            <w:tcW w:w="1010" w:type="dxa"/>
            <w:tcBorders>
              <w:top w:val="nil"/>
              <w:bottom w:val="nil"/>
            </w:tcBorders>
          </w:tcPr>
          <w:p w14:paraId="7096E33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14.3</w:t>
            </w:r>
          </w:p>
        </w:tc>
        <w:tc>
          <w:tcPr>
            <w:tcW w:w="1481" w:type="dxa"/>
            <w:tcBorders>
              <w:top w:val="nil"/>
              <w:bottom w:val="nil"/>
            </w:tcBorders>
          </w:tcPr>
          <w:p w14:paraId="6798E50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14.2</w:t>
            </w:r>
          </w:p>
        </w:tc>
        <w:tc>
          <w:tcPr>
            <w:tcW w:w="1261" w:type="dxa"/>
            <w:tcBorders>
              <w:top w:val="nil"/>
              <w:bottom w:val="nil"/>
            </w:tcBorders>
          </w:tcPr>
          <w:p w14:paraId="6F96B17A"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1.5</w:t>
            </w:r>
          </w:p>
        </w:tc>
        <w:tc>
          <w:tcPr>
            <w:tcW w:w="1020" w:type="dxa"/>
            <w:tcBorders>
              <w:top w:val="nil"/>
              <w:bottom w:val="nil"/>
            </w:tcBorders>
          </w:tcPr>
          <w:p w14:paraId="03238C2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13.1</w:t>
            </w:r>
          </w:p>
        </w:tc>
        <w:tc>
          <w:tcPr>
            <w:tcW w:w="1257" w:type="dxa"/>
            <w:tcBorders>
              <w:top w:val="nil"/>
              <w:bottom w:val="nil"/>
            </w:tcBorders>
          </w:tcPr>
          <w:p w14:paraId="05C4B7A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13.7</w:t>
            </w:r>
          </w:p>
        </w:tc>
        <w:tc>
          <w:tcPr>
            <w:tcW w:w="1106" w:type="dxa"/>
            <w:tcBorders>
              <w:top w:val="nil"/>
              <w:bottom w:val="nil"/>
            </w:tcBorders>
          </w:tcPr>
          <w:p w14:paraId="66C6EC7E" w14:textId="77777777" w:rsidR="00A04B88" w:rsidRPr="00A04B88" w:rsidRDefault="00A04B88" w:rsidP="001E366F">
            <w:pPr>
              <w:jc w:val="center"/>
              <w:rPr>
                <w:rFonts w:ascii="Arial" w:hAnsi="Arial" w:cs="Arial"/>
                <w:bCs/>
                <w:sz w:val="20"/>
                <w:szCs w:val="20"/>
                <w:lang w:val="en-GB"/>
              </w:rPr>
            </w:pPr>
          </w:p>
        </w:tc>
      </w:tr>
      <w:tr w:rsidR="00A04B88" w:rsidRPr="00A04B88" w14:paraId="5BFD14FE" w14:textId="77777777" w:rsidTr="001E366F">
        <w:trPr>
          <w:jc w:val="center"/>
        </w:trPr>
        <w:tc>
          <w:tcPr>
            <w:tcW w:w="1283" w:type="dxa"/>
            <w:tcBorders>
              <w:top w:val="nil"/>
            </w:tcBorders>
          </w:tcPr>
          <w:p w14:paraId="52CBDEA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Min-Max</w:t>
            </w:r>
          </w:p>
        </w:tc>
        <w:tc>
          <w:tcPr>
            <w:tcW w:w="988" w:type="dxa"/>
            <w:tcBorders>
              <w:top w:val="nil"/>
            </w:tcBorders>
          </w:tcPr>
          <w:p w14:paraId="7229E8C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0.2-0.9</w:t>
            </w:r>
          </w:p>
        </w:tc>
        <w:tc>
          <w:tcPr>
            <w:tcW w:w="1010" w:type="dxa"/>
            <w:tcBorders>
              <w:top w:val="nil"/>
            </w:tcBorders>
          </w:tcPr>
          <w:p w14:paraId="4CD5513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0.5-1.2</w:t>
            </w:r>
          </w:p>
        </w:tc>
        <w:tc>
          <w:tcPr>
            <w:tcW w:w="1481" w:type="dxa"/>
            <w:tcBorders>
              <w:top w:val="nil"/>
            </w:tcBorders>
          </w:tcPr>
          <w:p w14:paraId="2E99D3A5"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1.3-3.6</w:t>
            </w:r>
          </w:p>
        </w:tc>
        <w:tc>
          <w:tcPr>
            <w:tcW w:w="1261" w:type="dxa"/>
            <w:tcBorders>
              <w:top w:val="nil"/>
            </w:tcBorders>
          </w:tcPr>
          <w:p w14:paraId="5E5935E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6.1-16.5</w:t>
            </w:r>
          </w:p>
        </w:tc>
        <w:tc>
          <w:tcPr>
            <w:tcW w:w="1020" w:type="dxa"/>
            <w:tcBorders>
              <w:top w:val="nil"/>
            </w:tcBorders>
          </w:tcPr>
          <w:p w14:paraId="1F7604BD"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1.0-2.8</w:t>
            </w:r>
          </w:p>
        </w:tc>
        <w:tc>
          <w:tcPr>
            <w:tcW w:w="1257" w:type="dxa"/>
            <w:tcBorders>
              <w:top w:val="nil"/>
            </w:tcBorders>
          </w:tcPr>
          <w:p w14:paraId="0DA0790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2.7-7.6</w:t>
            </w:r>
          </w:p>
        </w:tc>
        <w:tc>
          <w:tcPr>
            <w:tcW w:w="1106" w:type="dxa"/>
            <w:tcBorders>
              <w:top w:val="nil"/>
            </w:tcBorders>
          </w:tcPr>
          <w:p w14:paraId="604F4453" w14:textId="77777777" w:rsidR="00A04B88" w:rsidRPr="00A04B88" w:rsidRDefault="00A04B88" w:rsidP="001E366F">
            <w:pPr>
              <w:jc w:val="center"/>
              <w:rPr>
                <w:rFonts w:ascii="Arial" w:hAnsi="Arial" w:cs="Arial"/>
                <w:bCs/>
                <w:sz w:val="20"/>
                <w:szCs w:val="20"/>
                <w:lang w:val="en-GB"/>
              </w:rPr>
            </w:pPr>
          </w:p>
        </w:tc>
      </w:tr>
      <w:tr w:rsidR="00A04B88" w:rsidRPr="00A04B88" w14:paraId="05B3235A" w14:textId="77777777" w:rsidTr="001E366F">
        <w:trPr>
          <w:jc w:val="center"/>
        </w:trPr>
        <w:tc>
          <w:tcPr>
            <w:tcW w:w="1283" w:type="dxa"/>
            <w:vMerge w:val="restart"/>
          </w:tcPr>
          <w:p w14:paraId="171B433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Statistical parameters</w:t>
            </w:r>
          </w:p>
        </w:tc>
        <w:tc>
          <w:tcPr>
            <w:tcW w:w="7017" w:type="dxa"/>
            <w:gridSpan w:val="6"/>
          </w:tcPr>
          <w:p w14:paraId="0BEF7BB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MMW PAHs</w:t>
            </w:r>
          </w:p>
        </w:tc>
        <w:tc>
          <w:tcPr>
            <w:tcW w:w="1106" w:type="dxa"/>
          </w:tcPr>
          <w:p w14:paraId="7D6ACFCF" w14:textId="77777777" w:rsidR="00A04B88" w:rsidRPr="00A04B88" w:rsidRDefault="00A04B88" w:rsidP="001E366F">
            <w:pPr>
              <w:jc w:val="center"/>
              <w:rPr>
                <w:rFonts w:ascii="Arial" w:hAnsi="Arial" w:cs="Arial"/>
                <w:bCs/>
                <w:sz w:val="20"/>
                <w:szCs w:val="20"/>
                <w:lang w:val="en-GB"/>
              </w:rPr>
            </w:pPr>
          </w:p>
        </w:tc>
      </w:tr>
      <w:tr w:rsidR="00A04B88" w:rsidRPr="00A04B88" w14:paraId="5D4160F9" w14:textId="77777777" w:rsidTr="001E366F">
        <w:trPr>
          <w:jc w:val="center"/>
        </w:trPr>
        <w:tc>
          <w:tcPr>
            <w:tcW w:w="1283" w:type="dxa"/>
            <w:vMerge/>
            <w:tcBorders>
              <w:bottom w:val="single" w:sz="4" w:space="0" w:color="000000" w:themeColor="text1"/>
            </w:tcBorders>
          </w:tcPr>
          <w:p w14:paraId="445FDD95" w14:textId="77777777" w:rsidR="00A04B88" w:rsidRPr="00A04B88" w:rsidRDefault="00A04B88" w:rsidP="001E366F">
            <w:pPr>
              <w:jc w:val="center"/>
              <w:rPr>
                <w:rFonts w:ascii="Arial" w:hAnsi="Arial" w:cs="Arial"/>
                <w:bCs/>
                <w:sz w:val="20"/>
                <w:szCs w:val="20"/>
                <w:lang w:val="en-GB"/>
              </w:rPr>
            </w:pPr>
          </w:p>
        </w:tc>
        <w:tc>
          <w:tcPr>
            <w:tcW w:w="988" w:type="dxa"/>
            <w:tcBorders>
              <w:bottom w:val="single" w:sz="4" w:space="0" w:color="000000" w:themeColor="text1"/>
            </w:tcBorders>
          </w:tcPr>
          <w:p w14:paraId="2CC46536"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PYR</w:t>
            </w:r>
          </w:p>
        </w:tc>
        <w:tc>
          <w:tcPr>
            <w:tcW w:w="1010" w:type="dxa"/>
            <w:tcBorders>
              <w:bottom w:val="single" w:sz="4" w:space="0" w:color="000000" w:themeColor="text1"/>
            </w:tcBorders>
          </w:tcPr>
          <w:p w14:paraId="056B986B"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BbF</w:t>
            </w:r>
            <w:proofErr w:type="spellEnd"/>
          </w:p>
        </w:tc>
        <w:tc>
          <w:tcPr>
            <w:tcW w:w="1481" w:type="dxa"/>
            <w:tcBorders>
              <w:bottom w:val="single" w:sz="4" w:space="0" w:color="000000" w:themeColor="text1"/>
            </w:tcBorders>
          </w:tcPr>
          <w:p w14:paraId="0BC30582"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BjF</w:t>
            </w:r>
            <w:proofErr w:type="spellEnd"/>
          </w:p>
        </w:tc>
        <w:tc>
          <w:tcPr>
            <w:tcW w:w="1261" w:type="dxa"/>
            <w:tcBorders>
              <w:bottom w:val="single" w:sz="4" w:space="0" w:color="000000" w:themeColor="text1"/>
            </w:tcBorders>
          </w:tcPr>
          <w:p w14:paraId="53B70E63"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BkF</w:t>
            </w:r>
            <w:proofErr w:type="spellEnd"/>
          </w:p>
        </w:tc>
        <w:tc>
          <w:tcPr>
            <w:tcW w:w="1020" w:type="dxa"/>
            <w:tcBorders>
              <w:bottom w:val="single" w:sz="4" w:space="0" w:color="000000" w:themeColor="text1"/>
            </w:tcBorders>
          </w:tcPr>
          <w:p w14:paraId="30AFD4B7"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Chry</w:t>
            </w:r>
            <w:proofErr w:type="spellEnd"/>
          </w:p>
        </w:tc>
        <w:tc>
          <w:tcPr>
            <w:tcW w:w="1257" w:type="dxa"/>
            <w:tcBorders>
              <w:top w:val="nil"/>
              <w:bottom w:val="nil"/>
            </w:tcBorders>
          </w:tcPr>
          <w:p w14:paraId="648047C5"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284E41DC" w14:textId="77777777" w:rsidR="00A04B88" w:rsidRPr="00A04B88" w:rsidRDefault="00A04B88" w:rsidP="001E366F">
            <w:pPr>
              <w:jc w:val="center"/>
              <w:rPr>
                <w:rFonts w:ascii="Arial" w:hAnsi="Arial" w:cs="Arial"/>
                <w:bCs/>
                <w:sz w:val="20"/>
                <w:szCs w:val="20"/>
                <w:lang w:val="en-GB"/>
              </w:rPr>
            </w:pPr>
          </w:p>
        </w:tc>
      </w:tr>
      <w:tr w:rsidR="00A04B88" w:rsidRPr="00A04B88" w14:paraId="0DEDB2B7" w14:textId="77777777" w:rsidTr="001E366F">
        <w:trPr>
          <w:jc w:val="center"/>
        </w:trPr>
        <w:tc>
          <w:tcPr>
            <w:tcW w:w="1283" w:type="dxa"/>
            <w:tcBorders>
              <w:bottom w:val="nil"/>
            </w:tcBorders>
          </w:tcPr>
          <w:p w14:paraId="3032184F"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m±s</w:t>
            </w:r>
            <w:proofErr w:type="spellEnd"/>
          </w:p>
        </w:tc>
        <w:tc>
          <w:tcPr>
            <w:tcW w:w="988" w:type="dxa"/>
            <w:tcBorders>
              <w:bottom w:val="nil"/>
            </w:tcBorders>
          </w:tcPr>
          <w:p w14:paraId="0CDB5F1A"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3.4±0.5</w:t>
            </w:r>
          </w:p>
        </w:tc>
        <w:tc>
          <w:tcPr>
            <w:tcW w:w="1010" w:type="dxa"/>
            <w:tcBorders>
              <w:bottom w:val="nil"/>
            </w:tcBorders>
          </w:tcPr>
          <w:p w14:paraId="56DC181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1.7±0.3</w:t>
            </w:r>
          </w:p>
        </w:tc>
        <w:tc>
          <w:tcPr>
            <w:tcW w:w="1481" w:type="dxa"/>
            <w:tcBorders>
              <w:bottom w:val="nil"/>
            </w:tcBorders>
          </w:tcPr>
          <w:p w14:paraId="5495650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0.02±0.01</w:t>
            </w:r>
          </w:p>
        </w:tc>
        <w:tc>
          <w:tcPr>
            <w:tcW w:w="1261" w:type="dxa"/>
            <w:tcBorders>
              <w:bottom w:val="nil"/>
            </w:tcBorders>
          </w:tcPr>
          <w:p w14:paraId="02509CC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0,4±0,1</w:t>
            </w:r>
          </w:p>
        </w:tc>
        <w:tc>
          <w:tcPr>
            <w:tcW w:w="1020" w:type="dxa"/>
            <w:tcBorders>
              <w:bottom w:val="nil"/>
            </w:tcBorders>
          </w:tcPr>
          <w:p w14:paraId="699A2CD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&lt; LOD</w:t>
            </w:r>
          </w:p>
        </w:tc>
        <w:tc>
          <w:tcPr>
            <w:tcW w:w="1257" w:type="dxa"/>
            <w:tcBorders>
              <w:top w:val="nil"/>
              <w:bottom w:val="nil"/>
            </w:tcBorders>
          </w:tcPr>
          <w:p w14:paraId="5AB8268D"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65ABE143" w14:textId="77777777" w:rsidR="00A04B88" w:rsidRPr="00A04B88" w:rsidRDefault="00A04B88" w:rsidP="001E366F">
            <w:pPr>
              <w:jc w:val="center"/>
              <w:rPr>
                <w:rFonts w:ascii="Arial" w:hAnsi="Arial" w:cs="Arial"/>
                <w:bCs/>
                <w:sz w:val="20"/>
                <w:szCs w:val="20"/>
                <w:lang w:val="en-GB"/>
              </w:rPr>
            </w:pPr>
          </w:p>
        </w:tc>
      </w:tr>
      <w:tr w:rsidR="00A04B88" w:rsidRPr="00A04B88" w14:paraId="6250FFAF" w14:textId="77777777" w:rsidTr="001E366F">
        <w:trPr>
          <w:jc w:val="center"/>
        </w:trPr>
        <w:tc>
          <w:tcPr>
            <w:tcW w:w="1283" w:type="dxa"/>
            <w:tcBorders>
              <w:top w:val="nil"/>
              <w:bottom w:val="nil"/>
            </w:tcBorders>
          </w:tcPr>
          <w:p w14:paraId="72EDD51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VC (%)</w:t>
            </w:r>
          </w:p>
        </w:tc>
        <w:tc>
          <w:tcPr>
            <w:tcW w:w="988" w:type="dxa"/>
            <w:tcBorders>
              <w:top w:val="nil"/>
              <w:bottom w:val="nil"/>
            </w:tcBorders>
          </w:tcPr>
          <w:p w14:paraId="2915DA6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13.7</w:t>
            </w:r>
          </w:p>
        </w:tc>
        <w:tc>
          <w:tcPr>
            <w:tcW w:w="1010" w:type="dxa"/>
            <w:tcBorders>
              <w:top w:val="nil"/>
              <w:bottom w:val="nil"/>
            </w:tcBorders>
          </w:tcPr>
          <w:p w14:paraId="4668A105"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17.1</w:t>
            </w:r>
          </w:p>
        </w:tc>
        <w:tc>
          <w:tcPr>
            <w:tcW w:w="1481" w:type="dxa"/>
            <w:tcBorders>
              <w:top w:val="nil"/>
              <w:bottom w:val="nil"/>
            </w:tcBorders>
          </w:tcPr>
          <w:p w14:paraId="36F62378"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56.9</w:t>
            </w:r>
          </w:p>
        </w:tc>
        <w:tc>
          <w:tcPr>
            <w:tcW w:w="1261" w:type="dxa"/>
            <w:tcBorders>
              <w:top w:val="nil"/>
              <w:bottom w:val="nil"/>
            </w:tcBorders>
          </w:tcPr>
          <w:p w14:paraId="1BBB869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18,1</w:t>
            </w:r>
          </w:p>
        </w:tc>
        <w:tc>
          <w:tcPr>
            <w:tcW w:w="1020" w:type="dxa"/>
            <w:tcBorders>
              <w:top w:val="nil"/>
              <w:bottom w:val="nil"/>
            </w:tcBorders>
          </w:tcPr>
          <w:p w14:paraId="04271A16"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6B207F8D"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58CA41F3" w14:textId="77777777" w:rsidR="00A04B88" w:rsidRPr="00A04B88" w:rsidRDefault="00A04B88" w:rsidP="001E366F">
            <w:pPr>
              <w:jc w:val="center"/>
              <w:rPr>
                <w:rFonts w:ascii="Arial" w:hAnsi="Arial" w:cs="Arial"/>
                <w:bCs/>
                <w:sz w:val="20"/>
                <w:szCs w:val="20"/>
                <w:lang w:val="en-GB"/>
              </w:rPr>
            </w:pPr>
          </w:p>
        </w:tc>
      </w:tr>
      <w:tr w:rsidR="00A04B88" w:rsidRPr="00A04B88" w14:paraId="4ACF05BA" w14:textId="77777777" w:rsidTr="001E366F">
        <w:trPr>
          <w:jc w:val="center"/>
        </w:trPr>
        <w:tc>
          <w:tcPr>
            <w:tcW w:w="1283" w:type="dxa"/>
            <w:tcBorders>
              <w:top w:val="nil"/>
            </w:tcBorders>
          </w:tcPr>
          <w:p w14:paraId="586DD8CE"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Min-Max</w:t>
            </w:r>
          </w:p>
        </w:tc>
        <w:tc>
          <w:tcPr>
            <w:tcW w:w="988" w:type="dxa"/>
            <w:tcBorders>
              <w:top w:val="nil"/>
            </w:tcBorders>
          </w:tcPr>
          <w:p w14:paraId="092336D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2.0-5.3</w:t>
            </w:r>
          </w:p>
        </w:tc>
        <w:tc>
          <w:tcPr>
            <w:tcW w:w="1010" w:type="dxa"/>
            <w:tcBorders>
              <w:top w:val="nil"/>
            </w:tcBorders>
          </w:tcPr>
          <w:p w14:paraId="26FAE3EB"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1.1-2.8</w:t>
            </w:r>
          </w:p>
        </w:tc>
        <w:tc>
          <w:tcPr>
            <w:tcW w:w="1481" w:type="dxa"/>
            <w:tcBorders>
              <w:top w:val="nil"/>
            </w:tcBorders>
          </w:tcPr>
          <w:p w14:paraId="020668B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0.00-0.06</w:t>
            </w:r>
          </w:p>
        </w:tc>
        <w:tc>
          <w:tcPr>
            <w:tcW w:w="1261" w:type="dxa"/>
            <w:tcBorders>
              <w:top w:val="nil"/>
            </w:tcBorders>
          </w:tcPr>
          <w:p w14:paraId="4AED079B"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0,3-0,6</w:t>
            </w:r>
          </w:p>
        </w:tc>
        <w:tc>
          <w:tcPr>
            <w:tcW w:w="1020" w:type="dxa"/>
            <w:tcBorders>
              <w:top w:val="nil"/>
            </w:tcBorders>
          </w:tcPr>
          <w:p w14:paraId="0249A333"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5E06967F"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3DC85E1B" w14:textId="77777777" w:rsidR="00A04B88" w:rsidRPr="00A04B88" w:rsidRDefault="00A04B88" w:rsidP="001E366F">
            <w:pPr>
              <w:jc w:val="center"/>
              <w:rPr>
                <w:rFonts w:ascii="Arial" w:hAnsi="Arial" w:cs="Arial"/>
                <w:bCs/>
                <w:sz w:val="20"/>
                <w:szCs w:val="20"/>
                <w:lang w:val="en-GB"/>
              </w:rPr>
            </w:pPr>
          </w:p>
        </w:tc>
      </w:tr>
      <w:tr w:rsidR="00A04B88" w:rsidRPr="00A04B88" w14:paraId="4D2A3C13" w14:textId="77777777" w:rsidTr="001E366F">
        <w:trPr>
          <w:jc w:val="center"/>
        </w:trPr>
        <w:tc>
          <w:tcPr>
            <w:tcW w:w="1283" w:type="dxa"/>
            <w:vMerge w:val="restart"/>
          </w:tcPr>
          <w:p w14:paraId="031B9B3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Statistical parameters</w:t>
            </w:r>
          </w:p>
        </w:tc>
        <w:tc>
          <w:tcPr>
            <w:tcW w:w="7017" w:type="dxa"/>
            <w:gridSpan w:val="6"/>
          </w:tcPr>
          <w:p w14:paraId="551D92D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HMW PAHs</w:t>
            </w:r>
          </w:p>
        </w:tc>
        <w:tc>
          <w:tcPr>
            <w:tcW w:w="1106" w:type="dxa"/>
          </w:tcPr>
          <w:p w14:paraId="6A9765D3" w14:textId="77777777" w:rsidR="00A04B88" w:rsidRPr="00A04B88" w:rsidRDefault="00A04B88" w:rsidP="001E366F">
            <w:pPr>
              <w:jc w:val="center"/>
              <w:rPr>
                <w:rFonts w:ascii="Arial" w:hAnsi="Arial" w:cs="Arial"/>
                <w:bCs/>
                <w:sz w:val="20"/>
                <w:szCs w:val="20"/>
                <w:lang w:val="en-GB"/>
              </w:rPr>
            </w:pPr>
          </w:p>
        </w:tc>
      </w:tr>
      <w:tr w:rsidR="00A04B88" w:rsidRPr="00A04B88" w14:paraId="162F7D1B" w14:textId="77777777" w:rsidTr="001E366F">
        <w:trPr>
          <w:jc w:val="center"/>
        </w:trPr>
        <w:tc>
          <w:tcPr>
            <w:tcW w:w="1283" w:type="dxa"/>
            <w:vMerge/>
            <w:tcBorders>
              <w:bottom w:val="single" w:sz="4" w:space="0" w:color="000000" w:themeColor="text1"/>
            </w:tcBorders>
          </w:tcPr>
          <w:p w14:paraId="684F785F" w14:textId="77777777" w:rsidR="00A04B88" w:rsidRPr="00A04B88" w:rsidRDefault="00A04B88" w:rsidP="001E366F">
            <w:pPr>
              <w:jc w:val="center"/>
              <w:rPr>
                <w:rFonts w:ascii="Arial" w:hAnsi="Arial" w:cs="Arial"/>
                <w:bCs/>
                <w:sz w:val="20"/>
                <w:szCs w:val="20"/>
                <w:lang w:val="en-GB"/>
              </w:rPr>
            </w:pPr>
          </w:p>
        </w:tc>
        <w:tc>
          <w:tcPr>
            <w:tcW w:w="988" w:type="dxa"/>
            <w:tcBorders>
              <w:bottom w:val="single" w:sz="4" w:space="0" w:color="000000" w:themeColor="text1"/>
            </w:tcBorders>
          </w:tcPr>
          <w:p w14:paraId="4BC9BBB0"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BaA</w:t>
            </w:r>
            <w:proofErr w:type="spellEnd"/>
          </w:p>
        </w:tc>
        <w:tc>
          <w:tcPr>
            <w:tcW w:w="1010" w:type="dxa"/>
            <w:tcBorders>
              <w:bottom w:val="single" w:sz="4" w:space="0" w:color="000000" w:themeColor="text1"/>
            </w:tcBorders>
          </w:tcPr>
          <w:p w14:paraId="15322D5A"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BaP</w:t>
            </w:r>
            <w:proofErr w:type="spellEnd"/>
          </w:p>
        </w:tc>
        <w:tc>
          <w:tcPr>
            <w:tcW w:w="1481" w:type="dxa"/>
            <w:tcBorders>
              <w:bottom w:val="single" w:sz="4" w:space="0" w:color="000000" w:themeColor="text1"/>
            </w:tcBorders>
          </w:tcPr>
          <w:p w14:paraId="4102841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I(1,2,3-cd)P</w:t>
            </w:r>
          </w:p>
        </w:tc>
        <w:tc>
          <w:tcPr>
            <w:tcW w:w="1261" w:type="dxa"/>
            <w:tcBorders>
              <w:bottom w:val="single" w:sz="4" w:space="0" w:color="000000" w:themeColor="text1"/>
            </w:tcBorders>
          </w:tcPr>
          <w:p w14:paraId="1891B77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D[</w:t>
            </w:r>
            <w:proofErr w:type="spellStart"/>
            <w:r w:rsidRPr="00A04B88">
              <w:rPr>
                <w:rFonts w:ascii="Arial" w:hAnsi="Arial" w:cs="Arial"/>
                <w:bCs/>
                <w:sz w:val="20"/>
                <w:szCs w:val="20"/>
                <w:lang w:val="en-GB"/>
              </w:rPr>
              <w:t>a,h</w:t>
            </w:r>
            <w:proofErr w:type="spellEnd"/>
            <w:r w:rsidRPr="00A04B88">
              <w:rPr>
                <w:rFonts w:ascii="Arial" w:hAnsi="Arial" w:cs="Arial"/>
                <w:bCs/>
                <w:sz w:val="20"/>
                <w:szCs w:val="20"/>
                <w:lang w:val="en-GB"/>
              </w:rPr>
              <w:t>]P</w:t>
            </w:r>
          </w:p>
        </w:tc>
        <w:tc>
          <w:tcPr>
            <w:tcW w:w="1020" w:type="dxa"/>
            <w:tcBorders>
              <w:bottom w:val="nil"/>
            </w:tcBorders>
          </w:tcPr>
          <w:p w14:paraId="29379BDB" w14:textId="77777777" w:rsidR="00A04B88" w:rsidRPr="00A04B88" w:rsidRDefault="00A04B88" w:rsidP="001E366F">
            <w:pPr>
              <w:jc w:val="center"/>
              <w:rPr>
                <w:rFonts w:ascii="Arial" w:hAnsi="Arial" w:cs="Arial"/>
                <w:bCs/>
                <w:sz w:val="20"/>
                <w:szCs w:val="20"/>
                <w:lang w:val="en-GB"/>
              </w:rPr>
            </w:pPr>
          </w:p>
        </w:tc>
        <w:tc>
          <w:tcPr>
            <w:tcW w:w="1257" w:type="dxa"/>
            <w:tcBorders>
              <w:bottom w:val="nil"/>
            </w:tcBorders>
          </w:tcPr>
          <w:p w14:paraId="5562FBAC" w14:textId="77777777" w:rsidR="00A04B88" w:rsidRPr="00A04B88" w:rsidRDefault="00A04B88" w:rsidP="001E366F">
            <w:pPr>
              <w:jc w:val="center"/>
              <w:rPr>
                <w:rFonts w:ascii="Arial" w:hAnsi="Arial" w:cs="Arial"/>
                <w:bCs/>
                <w:sz w:val="20"/>
                <w:szCs w:val="20"/>
                <w:lang w:val="en-GB"/>
              </w:rPr>
            </w:pPr>
          </w:p>
        </w:tc>
        <w:tc>
          <w:tcPr>
            <w:tcW w:w="1106" w:type="dxa"/>
            <w:tcBorders>
              <w:bottom w:val="nil"/>
            </w:tcBorders>
          </w:tcPr>
          <w:p w14:paraId="515DCA87" w14:textId="77777777" w:rsidR="00A04B88" w:rsidRPr="00A04B88" w:rsidRDefault="00A04B88" w:rsidP="001E366F">
            <w:pPr>
              <w:jc w:val="center"/>
              <w:rPr>
                <w:rFonts w:ascii="Arial" w:hAnsi="Arial" w:cs="Arial"/>
                <w:bCs/>
                <w:sz w:val="20"/>
                <w:szCs w:val="20"/>
                <w:lang w:val="en-GB"/>
              </w:rPr>
            </w:pPr>
          </w:p>
        </w:tc>
      </w:tr>
      <w:tr w:rsidR="00A04B88" w:rsidRPr="00A04B88" w14:paraId="682F4551" w14:textId="77777777" w:rsidTr="001E366F">
        <w:trPr>
          <w:jc w:val="center"/>
        </w:trPr>
        <w:tc>
          <w:tcPr>
            <w:tcW w:w="1283" w:type="dxa"/>
            <w:tcBorders>
              <w:bottom w:val="nil"/>
            </w:tcBorders>
          </w:tcPr>
          <w:p w14:paraId="36DF230A" w14:textId="77777777" w:rsidR="00A04B88" w:rsidRPr="00A04B88" w:rsidRDefault="00A04B88" w:rsidP="001E366F">
            <w:pPr>
              <w:jc w:val="center"/>
              <w:rPr>
                <w:rFonts w:ascii="Arial" w:hAnsi="Arial" w:cs="Arial"/>
                <w:bCs/>
                <w:sz w:val="20"/>
                <w:szCs w:val="20"/>
                <w:lang w:val="en-GB"/>
              </w:rPr>
            </w:pPr>
            <w:proofErr w:type="spellStart"/>
            <w:r w:rsidRPr="00A04B88">
              <w:rPr>
                <w:rFonts w:ascii="Arial" w:hAnsi="Arial" w:cs="Arial"/>
                <w:bCs/>
                <w:sz w:val="20"/>
                <w:szCs w:val="20"/>
                <w:lang w:val="en-GB"/>
              </w:rPr>
              <w:t>m±s</w:t>
            </w:r>
            <w:proofErr w:type="spellEnd"/>
          </w:p>
        </w:tc>
        <w:tc>
          <w:tcPr>
            <w:tcW w:w="988" w:type="dxa"/>
            <w:tcBorders>
              <w:bottom w:val="nil"/>
            </w:tcBorders>
          </w:tcPr>
          <w:p w14:paraId="2950133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0.9±0.2</w:t>
            </w:r>
          </w:p>
        </w:tc>
        <w:tc>
          <w:tcPr>
            <w:tcW w:w="1010" w:type="dxa"/>
            <w:tcBorders>
              <w:bottom w:val="nil"/>
            </w:tcBorders>
          </w:tcPr>
          <w:p w14:paraId="7FFF1ED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0.7±0.1</w:t>
            </w:r>
          </w:p>
        </w:tc>
        <w:tc>
          <w:tcPr>
            <w:tcW w:w="1481" w:type="dxa"/>
            <w:tcBorders>
              <w:bottom w:val="nil"/>
            </w:tcBorders>
          </w:tcPr>
          <w:p w14:paraId="794F1ED4"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0.5±0.1</w:t>
            </w:r>
          </w:p>
        </w:tc>
        <w:tc>
          <w:tcPr>
            <w:tcW w:w="1261" w:type="dxa"/>
            <w:tcBorders>
              <w:bottom w:val="nil"/>
            </w:tcBorders>
          </w:tcPr>
          <w:p w14:paraId="6B5EAD9D"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&lt; LOD</w:t>
            </w:r>
          </w:p>
        </w:tc>
        <w:tc>
          <w:tcPr>
            <w:tcW w:w="1020" w:type="dxa"/>
            <w:tcBorders>
              <w:top w:val="nil"/>
              <w:bottom w:val="nil"/>
            </w:tcBorders>
          </w:tcPr>
          <w:p w14:paraId="2A3750F4"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2729704B"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7BC5A3F1" w14:textId="77777777" w:rsidR="00A04B88" w:rsidRPr="00A04B88" w:rsidRDefault="00A04B88" w:rsidP="001E366F">
            <w:pPr>
              <w:jc w:val="center"/>
              <w:rPr>
                <w:rFonts w:ascii="Arial" w:hAnsi="Arial" w:cs="Arial"/>
                <w:bCs/>
                <w:sz w:val="20"/>
                <w:szCs w:val="20"/>
                <w:lang w:val="en-GB"/>
              </w:rPr>
            </w:pPr>
          </w:p>
        </w:tc>
      </w:tr>
      <w:tr w:rsidR="00A04B88" w:rsidRPr="00A04B88" w14:paraId="04A964E0" w14:textId="77777777" w:rsidTr="001E366F">
        <w:trPr>
          <w:jc w:val="center"/>
        </w:trPr>
        <w:tc>
          <w:tcPr>
            <w:tcW w:w="1283" w:type="dxa"/>
            <w:tcBorders>
              <w:top w:val="nil"/>
              <w:bottom w:val="nil"/>
            </w:tcBorders>
          </w:tcPr>
          <w:p w14:paraId="78831C80"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VC (%)</w:t>
            </w:r>
          </w:p>
        </w:tc>
        <w:tc>
          <w:tcPr>
            <w:tcW w:w="988" w:type="dxa"/>
            <w:tcBorders>
              <w:top w:val="nil"/>
              <w:bottom w:val="nil"/>
            </w:tcBorders>
          </w:tcPr>
          <w:p w14:paraId="58E93FCD"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17.4</w:t>
            </w:r>
          </w:p>
        </w:tc>
        <w:tc>
          <w:tcPr>
            <w:tcW w:w="1010" w:type="dxa"/>
            <w:tcBorders>
              <w:top w:val="nil"/>
              <w:bottom w:val="nil"/>
            </w:tcBorders>
          </w:tcPr>
          <w:p w14:paraId="07418B7F"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16.5</w:t>
            </w:r>
          </w:p>
        </w:tc>
        <w:tc>
          <w:tcPr>
            <w:tcW w:w="1481" w:type="dxa"/>
            <w:tcBorders>
              <w:top w:val="nil"/>
              <w:bottom w:val="nil"/>
            </w:tcBorders>
          </w:tcPr>
          <w:p w14:paraId="78912973"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16.2</w:t>
            </w:r>
          </w:p>
        </w:tc>
        <w:tc>
          <w:tcPr>
            <w:tcW w:w="1261" w:type="dxa"/>
            <w:tcBorders>
              <w:top w:val="nil"/>
              <w:bottom w:val="nil"/>
            </w:tcBorders>
          </w:tcPr>
          <w:p w14:paraId="73F02852" w14:textId="77777777" w:rsidR="00A04B88" w:rsidRPr="00A04B88" w:rsidRDefault="00A04B88" w:rsidP="001E366F">
            <w:pPr>
              <w:jc w:val="center"/>
              <w:rPr>
                <w:rFonts w:ascii="Arial" w:hAnsi="Arial" w:cs="Arial"/>
                <w:bCs/>
                <w:sz w:val="20"/>
                <w:szCs w:val="20"/>
                <w:lang w:val="en-GB"/>
              </w:rPr>
            </w:pPr>
          </w:p>
        </w:tc>
        <w:tc>
          <w:tcPr>
            <w:tcW w:w="1020" w:type="dxa"/>
            <w:tcBorders>
              <w:top w:val="nil"/>
              <w:bottom w:val="nil"/>
            </w:tcBorders>
          </w:tcPr>
          <w:p w14:paraId="5F47C241" w14:textId="77777777" w:rsidR="00A04B88" w:rsidRPr="00A04B88" w:rsidRDefault="00A04B88" w:rsidP="001E366F">
            <w:pPr>
              <w:jc w:val="center"/>
              <w:rPr>
                <w:rFonts w:ascii="Arial" w:hAnsi="Arial" w:cs="Arial"/>
                <w:bCs/>
                <w:sz w:val="20"/>
                <w:szCs w:val="20"/>
                <w:lang w:val="en-GB"/>
              </w:rPr>
            </w:pPr>
          </w:p>
        </w:tc>
        <w:tc>
          <w:tcPr>
            <w:tcW w:w="1257" w:type="dxa"/>
            <w:tcBorders>
              <w:top w:val="nil"/>
              <w:bottom w:val="nil"/>
            </w:tcBorders>
          </w:tcPr>
          <w:p w14:paraId="5EF42A2D" w14:textId="77777777" w:rsidR="00A04B88" w:rsidRPr="00A04B88" w:rsidRDefault="00A04B88" w:rsidP="001E366F">
            <w:pPr>
              <w:jc w:val="center"/>
              <w:rPr>
                <w:rFonts w:ascii="Arial" w:hAnsi="Arial" w:cs="Arial"/>
                <w:bCs/>
                <w:sz w:val="20"/>
                <w:szCs w:val="20"/>
                <w:lang w:val="en-GB"/>
              </w:rPr>
            </w:pPr>
          </w:p>
        </w:tc>
        <w:tc>
          <w:tcPr>
            <w:tcW w:w="1106" w:type="dxa"/>
            <w:tcBorders>
              <w:top w:val="nil"/>
              <w:bottom w:val="nil"/>
            </w:tcBorders>
          </w:tcPr>
          <w:p w14:paraId="5802F622" w14:textId="77777777" w:rsidR="00A04B88" w:rsidRPr="00A04B88" w:rsidRDefault="00A04B88" w:rsidP="001E366F">
            <w:pPr>
              <w:jc w:val="center"/>
              <w:rPr>
                <w:rFonts w:ascii="Arial" w:hAnsi="Arial" w:cs="Arial"/>
                <w:bCs/>
                <w:sz w:val="20"/>
                <w:szCs w:val="20"/>
                <w:lang w:val="en-GB"/>
              </w:rPr>
            </w:pPr>
          </w:p>
        </w:tc>
      </w:tr>
      <w:tr w:rsidR="00A04B88" w:rsidRPr="00A04B88" w14:paraId="7CDC9BBF" w14:textId="77777777" w:rsidTr="001E366F">
        <w:trPr>
          <w:jc w:val="center"/>
        </w:trPr>
        <w:tc>
          <w:tcPr>
            <w:tcW w:w="1283" w:type="dxa"/>
            <w:tcBorders>
              <w:top w:val="nil"/>
            </w:tcBorders>
          </w:tcPr>
          <w:p w14:paraId="718F95C7"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Min-Max</w:t>
            </w:r>
          </w:p>
        </w:tc>
        <w:tc>
          <w:tcPr>
            <w:tcW w:w="988" w:type="dxa"/>
            <w:tcBorders>
              <w:top w:val="nil"/>
            </w:tcBorders>
          </w:tcPr>
          <w:p w14:paraId="2C71DA2C"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0.6-1.6</w:t>
            </w:r>
          </w:p>
        </w:tc>
        <w:tc>
          <w:tcPr>
            <w:tcW w:w="1010" w:type="dxa"/>
            <w:tcBorders>
              <w:top w:val="nil"/>
            </w:tcBorders>
          </w:tcPr>
          <w:p w14:paraId="26CB8C99"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0.4-1.2</w:t>
            </w:r>
          </w:p>
        </w:tc>
        <w:tc>
          <w:tcPr>
            <w:tcW w:w="1481" w:type="dxa"/>
            <w:tcBorders>
              <w:top w:val="nil"/>
            </w:tcBorders>
          </w:tcPr>
          <w:p w14:paraId="69DD8F6A" w14:textId="77777777" w:rsidR="00A04B88" w:rsidRPr="00A04B88" w:rsidRDefault="00A04B88" w:rsidP="001E366F">
            <w:pPr>
              <w:jc w:val="center"/>
              <w:rPr>
                <w:rFonts w:ascii="Arial" w:hAnsi="Arial" w:cs="Arial"/>
                <w:bCs/>
                <w:sz w:val="20"/>
                <w:szCs w:val="20"/>
                <w:lang w:val="en-GB"/>
              </w:rPr>
            </w:pPr>
            <w:r w:rsidRPr="00A04B88">
              <w:rPr>
                <w:rFonts w:ascii="Arial" w:hAnsi="Arial" w:cs="Arial"/>
                <w:bCs/>
                <w:sz w:val="20"/>
                <w:szCs w:val="20"/>
                <w:lang w:val="en-GB"/>
              </w:rPr>
              <w:t>0.3-0.9</w:t>
            </w:r>
          </w:p>
        </w:tc>
        <w:tc>
          <w:tcPr>
            <w:tcW w:w="1261" w:type="dxa"/>
            <w:tcBorders>
              <w:top w:val="nil"/>
            </w:tcBorders>
          </w:tcPr>
          <w:p w14:paraId="73D3BA6F" w14:textId="77777777" w:rsidR="00A04B88" w:rsidRPr="00A04B88" w:rsidRDefault="00A04B88" w:rsidP="001E366F">
            <w:pPr>
              <w:jc w:val="center"/>
              <w:rPr>
                <w:rFonts w:ascii="Arial" w:hAnsi="Arial" w:cs="Arial"/>
                <w:bCs/>
                <w:sz w:val="20"/>
                <w:szCs w:val="20"/>
                <w:lang w:val="en-GB"/>
              </w:rPr>
            </w:pPr>
          </w:p>
        </w:tc>
        <w:tc>
          <w:tcPr>
            <w:tcW w:w="1020" w:type="dxa"/>
            <w:tcBorders>
              <w:top w:val="nil"/>
            </w:tcBorders>
          </w:tcPr>
          <w:p w14:paraId="1CA427DE" w14:textId="77777777" w:rsidR="00A04B88" w:rsidRPr="00A04B88" w:rsidRDefault="00A04B88" w:rsidP="001E366F">
            <w:pPr>
              <w:jc w:val="center"/>
              <w:rPr>
                <w:rFonts w:ascii="Arial" w:hAnsi="Arial" w:cs="Arial"/>
                <w:bCs/>
                <w:sz w:val="20"/>
                <w:szCs w:val="20"/>
                <w:lang w:val="en-GB"/>
              </w:rPr>
            </w:pPr>
          </w:p>
        </w:tc>
        <w:tc>
          <w:tcPr>
            <w:tcW w:w="1257" w:type="dxa"/>
            <w:tcBorders>
              <w:top w:val="nil"/>
            </w:tcBorders>
          </w:tcPr>
          <w:p w14:paraId="609A26B8" w14:textId="77777777" w:rsidR="00A04B88" w:rsidRPr="00A04B88" w:rsidRDefault="00A04B88" w:rsidP="001E366F">
            <w:pPr>
              <w:jc w:val="center"/>
              <w:rPr>
                <w:rFonts w:ascii="Arial" w:hAnsi="Arial" w:cs="Arial"/>
                <w:bCs/>
                <w:sz w:val="20"/>
                <w:szCs w:val="20"/>
                <w:lang w:val="en-GB"/>
              </w:rPr>
            </w:pPr>
          </w:p>
        </w:tc>
        <w:tc>
          <w:tcPr>
            <w:tcW w:w="1106" w:type="dxa"/>
            <w:tcBorders>
              <w:top w:val="nil"/>
            </w:tcBorders>
          </w:tcPr>
          <w:p w14:paraId="14CC4E18" w14:textId="77777777" w:rsidR="00A04B88" w:rsidRPr="00A04B88" w:rsidRDefault="00A04B88" w:rsidP="001E366F">
            <w:pPr>
              <w:jc w:val="center"/>
              <w:rPr>
                <w:rFonts w:ascii="Arial" w:hAnsi="Arial" w:cs="Arial"/>
                <w:bCs/>
                <w:sz w:val="20"/>
                <w:szCs w:val="20"/>
                <w:lang w:val="en-GB"/>
              </w:rPr>
            </w:pPr>
          </w:p>
        </w:tc>
      </w:tr>
    </w:tbl>
    <w:p w14:paraId="6D5F6D1E" w14:textId="77777777" w:rsidR="00993384" w:rsidRDefault="00993384" w:rsidP="00A70E4B">
      <w:pPr>
        <w:jc w:val="both"/>
        <w:rPr>
          <w:rFonts w:ascii="Arial" w:hAnsi="Arial" w:cs="Arial"/>
          <w:lang w:val="en-GB"/>
        </w:rPr>
      </w:pPr>
    </w:p>
    <w:p w14:paraId="1504659B" w14:textId="620ED071" w:rsidR="00A70E4B" w:rsidRPr="00A70E4B" w:rsidRDefault="00A70E4B" w:rsidP="00A70E4B">
      <w:pPr>
        <w:jc w:val="both"/>
        <w:rPr>
          <w:rFonts w:ascii="Arial" w:hAnsi="Arial" w:cs="Arial"/>
          <w:lang w:val="en-GB"/>
        </w:rPr>
      </w:pPr>
      <w:r w:rsidRPr="00A70E4B">
        <w:rPr>
          <w:rFonts w:ascii="Arial" w:hAnsi="Arial" w:cs="Arial"/>
          <w:lang w:val="en-GB"/>
        </w:rPr>
        <w:t xml:space="preserve">One-way ANOVA revealed overall statistically significant differences among the annual mean concentrations of these PAHs in the water during the study period. Post-hoc tests conducted subsequently showed that only the annual mean concentration of </w:t>
      </w:r>
      <w:proofErr w:type="spellStart"/>
      <w:r w:rsidRPr="00A70E4B">
        <w:rPr>
          <w:rFonts w:ascii="Arial" w:hAnsi="Arial" w:cs="Arial"/>
          <w:lang w:val="en-GB"/>
        </w:rPr>
        <w:t>BkF</w:t>
      </w:r>
      <w:proofErr w:type="spellEnd"/>
      <w:r w:rsidRPr="00A70E4B">
        <w:rPr>
          <w:rFonts w:ascii="Arial" w:hAnsi="Arial" w:cs="Arial"/>
          <w:lang w:val="en-GB"/>
        </w:rPr>
        <w:t xml:space="preserve"> was not statistically different from that of NPT (</w:t>
      </w:r>
      <w:r w:rsidRPr="00A70E4B">
        <w:rPr>
          <w:rFonts w:ascii="Arial" w:hAnsi="Arial" w:cs="Arial"/>
          <w:i/>
          <w:iCs/>
          <w:lang w:val="en-GB"/>
        </w:rPr>
        <w:t xml:space="preserve">p </w:t>
      </w:r>
      <w:r w:rsidRPr="00A70E4B">
        <w:rPr>
          <w:rFonts w:ascii="Arial" w:hAnsi="Arial" w:cs="Arial"/>
          <w:lang w:val="en-GB"/>
        </w:rPr>
        <w:t>&gt; .05). The same applied to the difference between the annual mean concentrations of NPT and I-(1,2,3-</w:t>
      </w:r>
      <w:proofErr w:type="gramStart"/>
      <w:r w:rsidRPr="00A70E4B">
        <w:rPr>
          <w:rFonts w:ascii="Arial" w:hAnsi="Arial" w:cs="Arial"/>
          <w:lang w:val="en-GB"/>
        </w:rPr>
        <w:t>c,d</w:t>
      </w:r>
      <w:proofErr w:type="gramEnd"/>
      <w:r w:rsidRPr="00A70E4B">
        <w:rPr>
          <w:rFonts w:ascii="Arial" w:hAnsi="Arial" w:cs="Arial"/>
          <w:lang w:val="en-GB"/>
        </w:rPr>
        <w:t>)P (</w:t>
      </w:r>
      <w:r w:rsidRPr="00A70E4B">
        <w:rPr>
          <w:rFonts w:ascii="Arial" w:hAnsi="Arial" w:cs="Arial"/>
          <w:i/>
          <w:iCs/>
          <w:lang w:val="en-GB"/>
        </w:rPr>
        <w:t xml:space="preserve">p </w:t>
      </w:r>
      <w:r w:rsidRPr="00A70E4B">
        <w:rPr>
          <w:rFonts w:ascii="Arial" w:hAnsi="Arial" w:cs="Arial"/>
          <w:lang w:val="en-GB"/>
        </w:rPr>
        <w:t xml:space="preserve">&gt; .05). Furthermore, the annual mean concentration of FLR showed no statistically significant difference compared to the annual mean concentrations of </w:t>
      </w:r>
      <w:proofErr w:type="spellStart"/>
      <w:r w:rsidRPr="00A70E4B">
        <w:rPr>
          <w:rFonts w:ascii="Arial" w:hAnsi="Arial" w:cs="Arial"/>
          <w:lang w:val="en-GB"/>
        </w:rPr>
        <w:t>BaA</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 .05) and </w:t>
      </w:r>
      <w:proofErr w:type="spellStart"/>
      <w:r w:rsidRPr="00A70E4B">
        <w:rPr>
          <w:rFonts w:ascii="Arial" w:hAnsi="Arial" w:cs="Arial"/>
          <w:lang w:val="en-GB"/>
        </w:rPr>
        <w:t>BaP</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&gt;0.05). A similar observation was made for the differences between the annual mean concentration of I-(1,2,3-</w:t>
      </w:r>
      <w:proofErr w:type="gramStart"/>
      <w:r w:rsidRPr="00A70E4B">
        <w:rPr>
          <w:rFonts w:ascii="Arial" w:hAnsi="Arial" w:cs="Arial"/>
          <w:lang w:val="en-GB"/>
        </w:rPr>
        <w:t>c,d</w:t>
      </w:r>
      <w:proofErr w:type="gramEnd"/>
      <w:r w:rsidRPr="00A70E4B">
        <w:rPr>
          <w:rFonts w:ascii="Arial" w:hAnsi="Arial" w:cs="Arial"/>
          <w:lang w:val="en-GB"/>
        </w:rPr>
        <w:t xml:space="preserve">)P and those of </w:t>
      </w:r>
      <w:proofErr w:type="spellStart"/>
      <w:r w:rsidRPr="00A70E4B">
        <w:rPr>
          <w:rFonts w:ascii="Arial" w:hAnsi="Arial" w:cs="Arial"/>
          <w:lang w:val="en-GB"/>
        </w:rPr>
        <w:t>BkF</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 .05) and </w:t>
      </w:r>
      <w:proofErr w:type="spellStart"/>
      <w:r w:rsidRPr="00A70E4B">
        <w:rPr>
          <w:rFonts w:ascii="Arial" w:hAnsi="Arial" w:cs="Arial"/>
          <w:lang w:val="en-GB"/>
        </w:rPr>
        <w:t>BaP</w:t>
      </w:r>
      <w:proofErr w:type="spellEnd"/>
      <w:r w:rsidRPr="00A70E4B">
        <w:rPr>
          <w:rFonts w:ascii="Arial" w:hAnsi="Arial" w:cs="Arial"/>
          <w:lang w:val="en-GB"/>
        </w:rPr>
        <w:t xml:space="preserve"> (</w:t>
      </w:r>
      <w:r w:rsidRPr="00A70E4B">
        <w:rPr>
          <w:rFonts w:ascii="Arial" w:hAnsi="Arial" w:cs="Arial"/>
          <w:i/>
          <w:iCs/>
          <w:lang w:val="en-GB"/>
        </w:rPr>
        <w:t>p</w:t>
      </w:r>
      <w:r w:rsidRPr="00A70E4B">
        <w:rPr>
          <w:rFonts w:ascii="Arial" w:hAnsi="Arial" w:cs="Arial"/>
          <w:lang w:val="en-GB"/>
        </w:rPr>
        <w:t xml:space="preserve"> &gt; .05). Finally, the difference between the annual mean concentrations of </w:t>
      </w:r>
      <w:proofErr w:type="spellStart"/>
      <w:r w:rsidRPr="00A70E4B">
        <w:rPr>
          <w:rFonts w:ascii="Arial" w:hAnsi="Arial" w:cs="Arial"/>
          <w:lang w:val="en-GB"/>
        </w:rPr>
        <w:t>BaP</w:t>
      </w:r>
      <w:proofErr w:type="spellEnd"/>
      <w:r w:rsidRPr="00A70E4B">
        <w:rPr>
          <w:rFonts w:ascii="Arial" w:hAnsi="Arial" w:cs="Arial"/>
          <w:lang w:val="en-GB"/>
        </w:rPr>
        <w:t xml:space="preserve"> and </w:t>
      </w:r>
      <w:proofErr w:type="spellStart"/>
      <w:r w:rsidRPr="00A70E4B">
        <w:rPr>
          <w:rFonts w:ascii="Arial" w:hAnsi="Arial" w:cs="Arial"/>
          <w:lang w:val="en-GB"/>
        </w:rPr>
        <w:t>BaA</w:t>
      </w:r>
      <w:proofErr w:type="spellEnd"/>
      <w:r w:rsidRPr="00A70E4B">
        <w:rPr>
          <w:rFonts w:ascii="Arial" w:hAnsi="Arial" w:cs="Arial"/>
          <w:lang w:val="en-GB"/>
        </w:rPr>
        <w:t xml:space="preserve"> was not statistically significant (</w:t>
      </w:r>
      <w:r w:rsidRPr="00A70E4B">
        <w:rPr>
          <w:rFonts w:ascii="Arial" w:hAnsi="Arial" w:cs="Arial"/>
          <w:i/>
          <w:iCs/>
          <w:lang w:val="en-GB"/>
        </w:rPr>
        <w:t>p</w:t>
      </w:r>
      <w:r w:rsidRPr="00A70E4B">
        <w:rPr>
          <w:rFonts w:ascii="Arial" w:hAnsi="Arial" w:cs="Arial"/>
          <w:lang w:val="en-GB"/>
        </w:rPr>
        <w:t xml:space="preserve"> &gt; .05). </w:t>
      </w:r>
    </w:p>
    <w:p w14:paraId="76309A83" w14:textId="77777777" w:rsidR="00B94693" w:rsidRPr="00B94693" w:rsidRDefault="00B94693" w:rsidP="00B94693">
      <w:pPr>
        <w:jc w:val="both"/>
        <w:rPr>
          <w:rFonts w:ascii="Arial" w:hAnsi="Arial" w:cs="Arial"/>
          <w:lang w:val="en-GB"/>
        </w:rPr>
      </w:pPr>
      <w:r w:rsidRPr="00B94693">
        <w:rPr>
          <w:rFonts w:ascii="Arial" w:hAnsi="Arial" w:cs="Arial"/>
          <w:lang w:val="en-GB"/>
        </w:rPr>
        <w:t>Thus, the ascending order of importance for the annual mean concentrations of these PAHs over the period is established as follows:</w:t>
      </w:r>
    </w:p>
    <w:p w14:paraId="41A47BAA" w14:textId="77777777" w:rsidR="00B94693" w:rsidRPr="00B94693" w:rsidRDefault="00B94693" w:rsidP="00B94693">
      <w:pPr>
        <w:ind w:firstLine="720"/>
        <w:jc w:val="both"/>
        <w:rPr>
          <w:rFonts w:ascii="Arial" w:hAnsi="Arial" w:cs="Arial"/>
          <w:bCs/>
          <w:lang w:val="en-GB"/>
        </w:rPr>
      </w:pPr>
      <w:r w:rsidRPr="00B94693">
        <w:rPr>
          <w:rFonts w:ascii="Arial" w:hAnsi="Arial" w:cs="Arial"/>
          <w:bCs/>
          <w:lang w:val="en-GB"/>
        </w:rPr>
        <w:t>- NPT &lt; ACPT &lt; ATC &lt; FLR &lt; FLRT &lt; PNT for LMW PAHs;</w:t>
      </w:r>
    </w:p>
    <w:p w14:paraId="5E290E22" w14:textId="77777777" w:rsidR="00B94693" w:rsidRPr="00B94693" w:rsidRDefault="00B94693" w:rsidP="00B94693">
      <w:pPr>
        <w:jc w:val="both"/>
        <w:rPr>
          <w:rFonts w:ascii="Arial" w:hAnsi="Arial" w:cs="Arial"/>
          <w:bCs/>
          <w:lang w:val="en-GB"/>
        </w:rPr>
      </w:pPr>
      <w:r w:rsidRPr="00B94693">
        <w:rPr>
          <w:rFonts w:ascii="Arial" w:hAnsi="Arial" w:cs="Arial"/>
          <w:bCs/>
          <w:lang w:val="en-GB"/>
        </w:rPr>
        <w:tab/>
        <w:t xml:space="preserve">- </w:t>
      </w:r>
      <w:proofErr w:type="spellStart"/>
      <w:r w:rsidRPr="00B94693">
        <w:rPr>
          <w:rFonts w:ascii="Arial" w:hAnsi="Arial" w:cs="Arial"/>
          <w:bCs/>
          <w:lang w:val="en-GB"/>
        </w:rPr>
        <w:t>BjF</w:t>
      </w:r>
      <w:proofErr w:type="spellEnd"/>
      <w:r w:rsidRPr="00B94693">
        <w:rPr>
          <w:rFonts w:ascii="Arial" w:hAnsi="Arial" w:cs="Arial"/>
          <w:bCs/>
          <w:lang w:val="en-GB"/>
        </w:rPr>
        <w:t xml:space="preserve"> &lt; </w:t>
      </w:r>
      <w:proofErr w:type="spellStart"/>
      <w:r w:rsidRPr="00B94693">
        <w:rPr>
          <w:rFonts w:ascii="Arial" w:hAnsi="Arial" w:cs="Arial"/>
          <w:bCs/>
          <w:lang w:val="en-GB"/>
        </w:rPr>
        <w:t>BkF</w:t>
      </w:r>
      <w:proofErr w:type="spellEnd"/>
      <w:r w:rsidRPr="00B94693">
        <w:rPr>
          <w:rFonts w:ascii="Arial" w:hAnsi="Arial" w:cs="Arial"/>
          <w:bCs/>
          <w:lang w:val="en-GB"/>
        </w:rPr>
        <w:t xml:space="preserve"> &lt; </w:t>
      </w:r>
      <w:proofErr w:type="spellStart"/>
      <w:r w:rsidRPr="00B94693">
        <w:rPr>
          <w:rFonts w:ascii="Arial" w:hAnsi="Arial" w:cs="Arial"/>
          <w:bCs/>
          <w:lang w:val="en-GB"/>
        </w:rPr>
        <w:t>BbF</w:t>
      </w:r>
      <w:proofErr w:type="spellEnd"/>
      <w:r w:rsidRPr="00B94693">
        <w:rPr>
          <w:rFonts w:ascii="Arial" w:hAnsi="Arial" w:cs="Arial"/>
          <w:bCs/>
          <w:lang w:val="en-GB"/>
        </w:rPr>
        <w:t xml:space="preserve"> &lt; </w:t>
      </w:r>
      <w:proofErr w:type="spellStart"/>
      <w:r w:rsidRPr="00B94693">
        <w:rPr>
          <w:rFonts w:ascii="Arial" w:hAnsi="Arial" w:cs="Arial"/>
          <w:bCs/>
          <w:lang w:val="en-GB"/>
        </w:rPr>
        <w:t>Pyr</w:t>
      </w:r>
      <w:proofErr w:type="spellEnd"/>
      <w:r w:rsidRPr="00B94693">
        <w:rPr>
          <w:rFonts w:ascii="Arial" w:hAnsi="Arial" w:cs="Arial"/>
          <w:bCs/>
          <w:lang w:val="en-GB"/>
        </w:rPr>
        <w:t xml:space="preserve"> for MMW PAHs;</w:t>
      </w:r>
    </w:p>
    <w:p w14:paraId="68102556" w14:textId="77777777" w:rsidR="00B94693" w:rsidRPr="00B94693" w:rsidRDefault="00B94693" w:rsidP="00B94693">
      <w:pPr>
        <w:jc w:val="both"/>
        <w:rPr>
          <w:rFonts w:ascii="Arial" w:hAnsi="Arial" w:cs="Arial"/>
          <w:lang w:val="en-GB"/>
        </w:rPr>
      </w:pPr>
      <w:r w:rsidRPr="00B94693">
        <w:rPr>
          <w:rFonts w:ascii="Arial" w:hAnsi="Arial" w:cs="Arial"/>
          <w:bCs/>
          <w:lang w:val="en-GB"/>
        </w:rPr>
        <w:tab/>
        <w:t xml:space="preserve">- </w:t>
      </w:r>
      <w:proofErr w:type="spellStart"/>
      <w:r w:rsidRPr="00B94693">
        <w:rPr>
          <w:rFonts w:ascii="Arial" w:hAnsi="Arial" w:cs="Arial"/>
          <w:bCs/>
          <w:lang w:val="en-GB"/>
        </w:rPr>
        <w:t>BaA</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Cs/>
          <w:lang w:val="en-GB"/>
        </w:rPr>
        <w:t xml:space="preserve"> </w:t>
      </w:r>
      <w:proofErr w:type="spellStart"/>
      <w:r w:rsidRPr="00B94693">
        <w:rPr>
          <w:rFonts w:ascii="Arial" w:hAnsi="Arial" w:cs="Arial"/>
          <w:bCs/>
          <w:lang w:val="en-GB"/>
        </w:rPr>
        <w:t>BaP</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
          <w:bCs/>
          <w:lang w:val="en-GB"/>
        </w:rPr>
        <w:t xml:space="preserve"> </w:t>
      </w:r>
      <w:r w:rsidRPr="00B94693">
        <w:rPr>
          <w:rFonts w:ascii="Arial" w:hAnsi="Arial" w:cs="Arial"/>
          <w:lang w:val="en-GB"/>
        </w:rPr>
        <w:t>I-(1,2,3-</w:t>
      </w:r>
      <w:proofErr w:type="gramStart"/>
      <w:r w:rsidRPr="00B94693">
        <w:rPr>
          <w:rFonts w:ascii="Arial" w:hAnsi="Arial" w:cs="Arial"/>
          <w:lang w:val="en-GB"/>
        </w:rPr>
        <w:t>c,d</w:t>
      </w:r>
      <w:proofErr w:type="gramEnd"/>
      <w:r w:rsidRPr="00B94693">
        <w:rPr>
          <w:rFonts w:ascii="Arial" w:hAnsi="Arial" w:cs="Arial"/>
          <w:lang w:val="en-GB"/>
        </w:rPr>
        <w:t>)P for HMW PAHs;</w:t>
      </w:r>
    </w:p>
    <w:p w14:paraId="4E753F2A" w14:textId="77777777" w:rsidR="00B94693" w:rsidRPr="00B94693" w:rsidRDefault="00B94693" w:rsidP="00B94693">
      <w:pPr>
        <w:ind w:left="708"/>
        <w:jc w:val="both"/>
        <w:rPr>
          <w:rFonts w:ascii="Arial" w:hAnsi="Arial" w:cs="Arial"/>
          <w:lang w:val="en-GB"/>
        </w:rPr>
      </w:pPr>
      <w:r w:rsidRPr="00B94693">
        <w:rPr>
          <w:rFonts w:ascii="Arial" w:hAnsi="Arial" w:cs="Arial"/>
          <w:lang w:val="en-GB"/>
        </w:rPr>
        <w:t xml:space="preserve">- </w:t>
      </w:r>
      <w:proofErr w:type="spellStart"/>
      <w:r w:rsidRPr="00B94693">
        <w:rPr>
          <w:rFonts w:ascii="Arial" w:hAnsi="Arial" w:cs="Arial"/>
          <w:lang w:val="en-GB"/>
        </w:rPr>
        <w:t>BjF</w:t>
      </w:r>
      <w:proofErr w:type="spellEnd"/>
      <w:r w:rsidRPr="00B94693">
        <w:rPr>
          <w:rFonts w:ascii="Arial" w:hAnsi="Arial" w:cs="Arial"/>
          <w:lang w:val="en-GB"/>
        </w:rPr>
        <w:t xml:space="preserve"> &lt; NPT = </w:t>
      </w:r>
      <w:proofErr w:type="spellStart"/>
      <w:r w:rsidRPr="00B94693">
        <w:rPr>
          <w:rFonts w:ascii="Arial" w:hAnsi="Arial" w:cs="Arial"/>
          <w:lang w:val="en-GB"/>
        </w:rPr>
        <w:t>BkF</w:t>
      </w:r>
      <w:proofErr w:type="spellEnd"/>
      <w:r w:rsidRPr="00B94693">
        <w:rPr>
          <w:rFonts w:ascii="Arial" w:hAnsi="Arial" w:cs="Arial"/>
          <w:lang w:val="en-GB"/>
        </w:rPr>
        <w:t xml:space="preserve"> </w:t>
      </w:r>
      <w:r w:rsidRPr="00B94693">
        <w:rPr>
          <w:rFonts w:ascii="Cambria Math" w:hAnsi="Cambria Math" w:cs="Cambria Math"/>
          <w:bCs/>
          <w:lang w:val="en-GB"/>
        </w:rPr>
        <w:t>≃</w:t>
      </w:r>
      <w:r w:rsidRPr="00B94693">
        <w:rPr>
          <w:rFonts w:ascii="Arial" w:hAnsi="Arial" w:cs="Arial"/>
          <w:lang w:val="en-GB"/>
        </w:rPr>
        <w:t xml:space="preserve"> </w:t>
      </w:r>
      <w:proofErr w:type="spellStart"/>
      <w:r w:rsidRPr="00B94693">
        <w:rPr>
          <w:rFonts w:ascii="Arial" w:hAnsi="Arial" w:cs="Arial"/>
          <w:bCs/>
          <w:lang w:val="en-GB"/>
        </w:rPr>
        <w:t>BaA</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Cs/>
          <w:lang w:val="en-GB"/>
        </w:rPr>
        <w:t xml:space="preserve"> </w:t>
      </w:r>
      <w:proofErr w:type="spellStart"/>
      <w:r w:rsidRPr="00B94693">
        <w:rPr>
          <w:rFonts w:ascii="Arial" w:hAnsi="Arial" w:cs="Arial"/>
          <w:bCs/>
          <w:lang w:val="en-GB"/>
        </w:rPr>
        <w:t>BaP</w:t>
      </w:r>
      <w:proofErr w:type="spellEnd"/>
      <w:r w:rsidRPr="00B94693">
        <w:rPr>
          <w:rFonts w:ascii="Arial" w:hAnsi="Arial" w:cs="Arial"/>
          <w:bCs/>
          <w:lang w:val="en-GB"/>
        </w:rPr>
        <w:t xml:space="preserve"> </w:t>
      </w:r>
      <w:r w:rsidRPr="00B94693">
        <w:rPr>
          <w:rFonts w:ascii="Cambria Math" w:hAnsi="Cambria Math" w:cs="Cambria Math"/>
          <w:bCs/>
          <w:lang w:val="en-GB"/>
        </w:rPr>
        <w:t>≃</w:t>
      </w:r>
      <w:r w:rsidRPr="00B94693">
        <w:rPr>
          <w:rFonts w:ascii="Arial" w:hAnsi="Arial" w:cs="Arial"/>
          <w:b/>
          <w:bCs/>
          <w:lang w:val="en-GB"/>
        </w:rPr>
        <w:t xml:space="preserve"> </w:t>
      </w:r>
      <w:r w:rsidRPr="00B94693">
        <w:rPr>
          <w:rFonts w:ascii="Arial" w:hAnsi="Arial" w:cs="Arial"/>
          <w:lang w:val="en-GB"/>
        </w:rPr>
        <w:t>I-(1,2,3-</w:t>
      </w:r>
      <w:proofErr w:type="gramStart"/>
      <w:r w:rsidRPr="00B94693">
        <w:rPr>
          <w:rFonts w:ascii="Arial" w:hAnsi="Arial" w:cs="Arial"/>
          <w:lang w:val="en-GB"/>
        </w:rPr>
        <w:t>c,d</w:t>
      </w:r>
      <w:proofErr w:type="gramEnd"/>
      <w:r w:rsidRPr="00B94693">
        <w:rPr>
          <w:rFonts w:ascii="Arial" w:hAnsi="Arial" w:cs="Arial"/>
          <w:lang w:val="en-GB"/>
        </w:rPr>
        <w:t xml:space="preserve">)P </w:t>
      </w:r>
      <w:r w:rsidRPr="00B94693">
        <w:rPr>
          <w:rFonts w:ascii="Cambria Math" w:hAnsi="Cambria Math" w:cs="Cambria Math"/>
          <w:bCs/>
          <w:lang w:val="en-GB"/>
        </w:rPr>
        <w:t>≃</w:t>
      </w:r>
      <w:r w:rsidRPr="00B94693">
        <w:rPr>
          <w:rFonts w:ascii="Arial" w:hAnsi="Arial" w:cs="Arial"/>
          <w:lang w:val="en-GB"/>
        </w:rPr>
        <w:t xml:space="preserve"> ACPT </w:t>
      </w:r>
      <w:r w:rsidRPr="00B94693">
        <w:rPr>
          <w:rFonts w:ascii="Arial" w:hAnsi="Arial" w:cs="Arial"/>
          <w:bCs/>
          <w:lang w:val="en-GB"/>
        </w:rPr>
        <w:t>&lt;</w:t>
      </w:r>
      <w:r w:rsidRPr="00B94693">
        <w:rPr>
          <w:rFonts w:ascii="Arial" w:hAnsi="Arial" w:cs="Arial"/>
          <w:lang w:val="en-GB"/>
        </w:rPr>
        <w:t xml:space="preserve"> </w:t>
      </w:r>
      <w:proofErr w:type="spellStart"/>
      <w:r w:rsidRPr="00B94693">
        <w:rPr>
          <w:rFonts w:ascii="Arial" w:hAnsi="Arial" w:cs="Arial"/>
          <w:lang w:val="en-GB"/>
        </w:rPr>
        <w:t>BbF</w:t>
      </w:r>
      <w:proofErr w:type="spellEnd"/>
      <w:r w:rsidRPr="00B94693">
        <w:rPr>
          <w:rFonts w:ascii="Arial" w:hAnsi="Arial" w:cs="Arial"/>
          <w:lang w:val="en-GB"/>
        </w:rPr>
        <w:t xml:space="preserve"> = ATC &lt; FLR &lt; PYR &lt; FLRT &lt; PNT for the 13 PAHs.</w:t>
      </w:r>
    </w:p>
    <w:p w14:paraId="03050FD2" w14:textId="52B65949" w:rsidR="00B94693" w:rsidRPr="00B94693" w:rsidRDefault="00000000" w:rsidP="00B94693">
      <w:pPr>
        <w:jc w:val="both"/>
        <w:rPr>
          <w:rFonts w:ascii="Arial" w:hAnsi="Arial" w:cs="Arial"/>
          <w:lang w:val="en-GB"/>
        </w:rPr>
      </w:pPr>
      <m:oMath>
        <m:nary>
          <m:naryPr>
            <m:chr m:val="∑"/>
            <m:limLoc m:val="undOvr"/>
            <m:supHide m:val="1"/>
            <m:ctrlPr>
              <w:rPr>
                <w:rFonts w:ascii="Cambria Math" w:hAnsi="Cambria Math" w:cs="Arial"/>
                <w:bCs/>
                <w:i/>
              </w:rPr>
            </m:ctrlPr>
          </m:naryPr>
          <m:sub>
            <m:r>
              <w:rPr>
                <w:rFonts w:ascii="Cambria Math" w:hAnsi="Cambria Math" w:cs="Arial"/>
              </w:rPr>
              <m:t>13</m:t>
            </m:r>
          </m:sub>
          <m:sup/>
          <m:e>
            <m:r>
              <m:rPr>
                <m:sty m:val="p"/>
              </m:rPr>
              <w:rPr>
                <w:rFonts w:ascii="Cambria Math" w:hAnsi="Cambria Math" w:cs="Arial"/>
              </w:rPr>
              <m:t xml:space="preserve">PAHs </m:t>
            </m:r>
          </m:e>
        </m:nary>
      </m:oMath>
      <w:r w:rsidR="00B94693" w:rsidRPr="00B94693">
        <w:rPr>
          <w:rFonts w:ascii="Arial" w:hAnsi="Arial" w:cs="Arial"/>
          <w:lang w:val="en-GB"/>
        </w:rPr>
        <w:t xml:space="preserve"> presents a significant concentration in these waters. This is also the case for </w:t>
      </w:r>
      <m:oMath>
        <m:nary>
          <m:naryPr>
            <m:chr m:val="∑"/>
            <m:limLoc m:val="undOvr"/>
            <m:supHide m:val="1"/>
            <m:ctrlPr>
              <w:rPr>
                <w:rFonts w:ascii="Cambria Math" w:hAnsi="Cambria Math" w:cs="Arial"/>
                <w:bCs/>
                <w:i/>
              </w:rPr>
            </m:ctrlPr>
          </m:naryPr>
          <m:sub>
            <m:r>
              <w:rPr>
                <w:rFonts w:ascii="Cambria Math" w:hAnsi="Cambria Math" w:cs="Arial"/>
              </w:rPr>
              <m:t>6</m:t>
            </m:r>
          </m:sub>
          <m:sup/>
          <m:e>
            <m:r>
              <m:rPr>
                <m:sty m:val="p"/>
              </m:rPr>
              <w:rPr>
                <w:rFonts w:ascii="Cambria Math" w:hAnsi="Cambria Math" w:cs="Arial"/>
              </w:rPr>
              <m:t>LMW PAHs</m:t>
            </m:r>
          </m:e>
        </m:nary>
      </m:oMath>
      <w:r w:rsidR="00B94693" w:rsidRPr="00B94693">
        <w:rPr>
          <w:rFonts w:ascii="Arial" w:hAnsi="Arial" w:cs="Arial"/>
          <w:lang w:val="en-GB"/>
        </w:rPr>
        <w:t xml:space="preserve">, representing over 70%. </w:t>
      </w:r>
      <m:oMath>
        <m:nary>
          <m:naryPr>
            <m:chr m:val="∑"/>
            <m:limLoc m:val="undOvr"/>
            <m:supHide m:val="1"/>
            <m:ctrlPr>
              <w:rPr>
                <w:rFonts w:ascii="Cambria Math" w:hAnsi="Cambria Math" w:cs="Arial"/>
                <w:bCs/>
                <w:i/>
              </w:rPr>
            </m:ctrlPr>
          </m:naryPr>
          <m:sub>
            <m:r>
              <w:rPr>
                <w:rFonts w:ascii="Cambria Math" w:hAnsi="Cambria Math" w:cs="Arial"/>
              </w:rPr>
              <m:t>13</m:t>
            </m:r>
          </m:sub>
          <m:sup/>
          <m:e>
            <m:r>
              <m:rPr>
                <m:sty m:val="p"/>
              </m:rPr>
              <w:rPr>
                <w:rFonts w:ascii="Cambria Math" w:hAnsi="Cambria Math" w:cs="Arial"/>
              </w:rPr>
              <m:t xml:space="preserve">PAHs </m:t>
            </m:r>
          </m:e>
        </m:nary>
      </m:oMath>
      <w:r w:rsidR="00B94693" w:rsidRPr="00B94693">
        <w:rPr>
          <w:rFonts w:ascii="Arial" w:eastAsiaTheme="minorEastAsia" w:hAnsi="Arial" w:cs="Arial"/>
          <w:bCs/>
        </w:rPr>
        <w:t xml:space="preserve">. </w:t>
      </w:r>
      <m:oMath>
        <m:nary>
          <m:naryPr>
            <m:chr m:val="∑"/>
            <m:limLoc m:val="undOvr"/>
            <m:supHide m:val="1"/>
            <m:ctrlPr>
              <w:rPr>
                <w:rFonts w:ascii="Cambria Math" w:hAnsi="Cambria Math" w:cs="Arial"/>
                <w:bCs/>
                <w:i/>
              </w:rPr>
            </m:ctrlPr>
          </m:naryPr>
          <m:sub>
            <m:r>
              <w:rPr>
                <w:rFonts w:ascii="Cambria Math" w:hAnsi="Cambria Math" w:cs="Arial"/>
              </w:rPr>
              <m:t>3</m:t>
            </m:r>
          </m:sub>
          <m:sup/>
          <m:e>
            <m:r>
              <m:rPr>
                <m:sty m:val="p"/>
              </m:rPr>
              <w:rPr>
                <w:rFonts w:ascii="Cambria Math" w:hAnsi="Cambria Math" w:cs="Arial"/>
              </w:rPr>
              <m:t xml:space="preserve">LMW PAHs </m:t>
            </m:r>
          </m:e>
        </m:nary>
      </m:oMath>
      <w:r w:rsidR="00B94693" w:rsidRPr="00B94693">
        <w:rPr>
          <w:rFonts w:ascii="Arial" w:hAnsi="Arial" w:cs="Arial"/>
          <w:lang w:val="en-GB"/>
        </w:rPr>
        <w:t>showed the lowest annual concentration. Variations in the annual concentrations of the sum of the different molecular weights of PAHs were low (Table 3), confirming the near-stability of these PAHs in the water throughout this period. One-way ANOVA and the post-hoc tests used in this study highlighted statistically significant differences among the annual mean concentrations of the different molecular weights (</w:t>
      </w:r>
      <w:r w:rsidR="00B94693" w:rsidRPr="00B94693">
        <w:rPr>
          <w:rFonts w:ascii="Arial" w:hAnsi="Arial" w:cs="Arial"/>
          <w:i/>
          <w:iCs/>
          <w:lang w:val="en-GB"/>
        </w:rPr>
        <w:t>p</w:t>
      </w:r>
      <w:r w:rsidR="00B94693" w:rsidRPr="00B94693">
        <w:rPr>
          <w:rFonts w:ascii="Arial" w:hAnsi="Arial" w:cs="Arial"/>
          <w:lang w:val="en-GB"/>
        </w:rPr>
        <w:t xml:space="preserve"> &lt; .05).</w:t>
      </w:r>
    </w:p>
    <w:p w14:paraId="743C8B6E" w14:textId="77777777" w:rsidR="00B94693" w:rsidRPr="00B94693" w:rsidRDefault="00B94693" w:rsidP="00B94693">
      <w:pPr>
        <w:rPr>
          <w:rFonts w:ascii="Arial" w:hAnsi="Arial" w:cs="Arial"/>
          <w:lang w:val="en-GB"/>
        </w:rPr>
      </w:pPr>
    </w:p>
    <w:p w14:paraId="7FE9480C" w14:textId="1285836A" w:rsidR="00B94693" w:rsidRPr="00B94693" w:rsidRDefault="00B94693" w:rsidP="00B94693">
      <w:pPr>
        <w:rPr>
          <w:rFonts w:ascii="Arial" w:hAnsi="Arial" w:cs="Arial"/>
          <w:b/>
          <w:bCs/>
          <w:lang w:val="en-GB"/>
        </w:rPr>
      </w:pPr>
      <w:r w:rsidRPr="00B94693">
        <w:rPr>
          <w:rFonts w:ascii="Arial" w:hAnsi="Arial" w:cs="Arial"/>
          <w:b/>
          <w:bCs/>
          <w:lang w:val="en-GB"/>
        </w:rPr>
        <w:t>Table 3</w:t>
      </w:r>
      <w:r w:rsidR="00B9427F">
        <w:rPr>
          <w:rFonts w:ascii="Arial" w:hAnsi="Arial" w:cs="Arial"/>
          <w:b/>
          <w:bCs/>
          <w:lang w:val="en-GB"/>
        </w:rPr>
        <w:t>.</w:t>
      </w:r>
      <w:r w:rsidRPr="00B94693">
        <w:rPr>
          <w:rFonts w:ascii="Arial" w:hAnsi="Arial" w:cs="Arial"/>
          <w:b/>
          <w:bCs/>
          <w:lang w:val="en-GB"/>
        </w:rPr>
        <w:t xml:space="preserve"> Annual mean concentrations (µg/l) of different molecular weight PAHs in these waters during the study period (n=96).</w:t>
      </w:r>
    </w:p>
    <w:tbl>
      <w:tblPr>
        <w:tblStyle w:val="Grilledutableau"/>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772"/>
        <w:gridCol w:w="1842"/>
        <w:gridCol w:w="1842"/>
        <w:gridCol w:w="1812"/>
        <w:gridCol w:w="1794"/>
      </w:tblGrid>
      <w:tr w:rsidR="00B94693" w:rsidRPr="00B94693" w14:paraId="344FBC75" w14:textId="77777777" w:rsidTr="001E366F">
        <w:trPr>
          <w:jc w:val="center"/>
        </w:trPr>
        <w:tc>
          <w:tcPr>
            <w:tcW w:w="1772" w:type="dxa"/>
            <w:tcBorders>
              <w:bottom w:val="single" w:sz="4" w:space="0" w:color="000000" w:themeColor="text1"/>
            </w:tcBorders>
          </w:tcPr>
          <w:p w14:paraId="337DF949"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Statistical parameters</w:t>
            </w:r>
          </w:p>
        </w:tc>
        <w:tc>
          <w:tcPr>
            <w:tcW w:w="1842" w:type="dxa"/>
            <w:tcBorders>
              <w:bottom w:val="single" w:sz="4" w:space="0" w:color="000000" w:themeColor="text1"/>
            </w:tcBorders>
          </w:tcPr>
          <w:p w14:paraId="02D121FE"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6</m:t>
                    </m:r>
                  </m:sub>
                  <m:sup/>
                  <m:e>
                    <m:r>
                      <m:rPr>
                        <m:sty m:val="p"/>
                      </m:rPr>
                      <w:rPr>
                        <w:rFonts w:ascii="Cambria Math" w:hAnsi="Cambria Math" w:cs="Arial"/>
                        <w:sz w:val="20"/>
                        <w:szCs w:val="20"/>
                        <w:lang w:val="en-GB"/>
                      </w:rPr>
                      <m:t>LMW PAHs</m:t>
                    </m:r>
                  </m:e>
                </m:nary>
              </m:oMath>
            </m:oMathPara>
          </w:p>
        </w:tc>
        <w:tc>
          <w:tcPr>
            <w:tcW w:w="1842" w:type="dxa"/>
            <w:tcBorders>
              <w:bottom w:val="single" w:sz="4" w:space="0" w:color="000000" w:themeColor="text1"/>
            </w:tcBorders>
          </w:tcPr>
          <w:p w14:paraId="2C11B0CA"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4</m:t>
                    </m:r>
                  </m:sub>
                  <m:sup/>
                  <m:e>
                    <m:r>
                      <m:rPr>
                        <m:sty m:val="p"/>
                      </m:rPr>
                      <w:rPr>
                        <w:rFonts w:ascii="Cambria Math" w:hAnsi="Cambria Math" w:cs="Arial"/>
                        <w:sz w:val="20"/>
                        <w:szCs w:val="20"/>
                        <w:lang w:val="en-GB"/>
                      </w:rPr>
                      <m:t>MMW PAHs</m:t>
                    </m:r>
                  </m:e>
                </m:nary>
              </m:oMath>
            </m:oMathPara>
          </w:p>
        </w:tc>
        <w:tc>
          <w:tcPr>
            <w:tcW w:w="1812" w:type="dxa"/>
            <w:tcBorders>
              <w:bottom w:val="single" w:sz="4" w:space="0" w:color="000000" w:themeColor="text1"/>
            </w:tcBorders>
          </w:tcPr>
          <w:p w14:paraId="3DB812F9"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3</m:t>
                    </m:r>
                  </m:sub>
                  <m:sup/>
                  <m:e>
                    <m:r>
                      <m:rPr>
                        <m:sty m:val="p"/>
                      </m:rPr>
                      <w:rPr>
                        <w:rFonts w:ascii="Cambria Math" w:hAnsi="Cambria Math" w:cs="Arial"/>
                        <w:sz w:val="20"/>
                        <w:szCs w:val="20"/>
                        <w:lang w:val="en-GB"/>
                      </w:rPr>
                      <m:t>HMW PAHs</m:t>
                    </m:r>
                  </m:e>
                </m:nary>
              </m:oMath>
            </m:oMathPara>
          </w:p>
        </w:tc>
        <w:tc>
          <w:tcPr>
            <w:tcW w:w="1794" w:type="dxa"/>
            <w:tcBorders>
              <w:bottom w:val="single" w:sz="4" w:space="0" w:color="000000" w:themeColor="text1"/>
            </w:tcBorders>
          </w:tcPr>
          <w:p w14:paraId="59BC9FEA" w14:textId="77777777" w:rsidR="00B94693" w:rsidRPr="00B94693" w:rsidRDefault="00000000" w:rsidP="00B94693">
            <w:pPr>
              <w:jc w:val="center"/>
              <w:rPr>
                <w:rFonts w:ascii="Arial" w:hAnsi="Arial" w:cs="Arial"/>
                <w:bCs/>
                <w:sz w:val="20"/>
                <w:szCs w:val="20"/>
                <w:lang w:val="en-GB"/>
              </w:rPr>
            </w:pPr>
            <m:oMathPara>
              <m:oMath>
                <m:nary>
                  <m:naryPr>
                    <m:chr m:val="∑"/>
                    <m:limLoc m:val="undOvr"/>
                    <m:supHide m:val="1"/>
                    <m:ctrlPr>
                      <w:rPr>
                        <w:rFonts w:ascii="Cambria Math" w:hAnsi="Cambria Math" w:cs="Arial"/>
                        <w:bCs/>
                        <w:i/>
                        <w:sz w:val="20"/>
                        <w:szCs w:val="20"/>
                        <w:lang w:val="en-GB"/>
                      </w:rPr>
                    </m:ctrlPr>
                  </m:naryPr>
                  <m:sub>
                    <m:r>
                      <w:rPr>
                        <w:rFonts w:ascii="Cambria Math" w:hAnsi="Cambria Math" w:cs="Arial"/>
                        <w:sz w:val="20"/>
                        <w:szCs w:val="20"/>
                        <w:lang w:val="en-GB"/>
                      </w:rPr>
                      <m:t>13</m:t>
                    </m:r>
                  </m:sub>
                  <m:sup/>
                  <m:e>
                    <m:r>
                      <m:rPr>
                        <m:sty m:val="p"/>
                      </m:rPr>
                      <w:rPr>
                        <w:rFonts w:ascii="Cambria Math" w:hAnsi="Cambria Math" w:cs="Arial"/>
                        <w:sz w:val="20"/>
                        <w:szCs w:val="20"/>
                        <w:lang w:val="en-GB"/>
                      </w:rPr>
                      <m:t xml:space="preserve">PAHs </m:t>
                    </m:r>
                  </m:e>
                </m:nary>
              </m:oMath>
            </m:oMathPara>
          </w:p>
        </w:tc>
      </w:tr>
      <w:tr w:rsidR="00B94693" w:rsidRPr="00B94693" w14:paraId="0366B0A3" w14:textId="77777777" w:rsidTr="001E366F">
        <w:trPr>
          <w:jc w:val="center"/>
        </w:trPr>
        <w:tc>
          <w:tcPr>
            <w:tcW w:w="1772" w:type="dxa"/>
            <w:tcBorders>
              <w:bottom w:val="nil"/>
            </w:tcBorders>
          </w:tcPr>
          <w:p w14:paraId="71FDB648" w14:textId="77777777" w:rsidR="00B94693" w:rsidRPr="00B94693" w:rsidRDefault="00B94693" w:rsidP="00B94693">
            <w:pPr>
              <w:jc w:val="center"/>
              <w:rPr>
                <w:rFonts w:ascii="Arial" w:hAnsi="Arial" w:cs="Arial"/>
                <w:bCs/>
                <w:sz w:val="20"/>
                <w:szCs w:val="20"/>
                <w:lang w:val="en-GB"/>
              </w:rPr>
            </w:pPr>
            <w:proofErr w:type="spellStart"/>
            <w:r w:rsidRPr="00B94693">
              <w:rPr>
                <w:rFonts w:ascii="Arial" w:hAnsi="Arial" w:cs="Arial"/>
                <w:bCs/>
                <w:sz w:val="20"/>
                <w:szCs w:val="20"/>
                <w:lang w:val="en-GB"/>
              </w:rPr>
              <w:t>m±s</w:t>
            </w:r>
            <w:proofErr w:type="spellEnd"/>
          </w:p>
        </w:tc>
        <w:tc>
          <w:tcPr>
            <w:tcW w:w="1842" w:type="dxa"/>
            <w:tcBorders>
              <w:bottom w:val="nil"/>
            </w:tcBorders>
          </w:tcPr>
          <w:p w14:paraId="2D46E9EF"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20.2±2.8</w:t>
            </w:r>
          </w:p>
        </w:tc>
        <w:tc>
          <w:tcPr>
            <w:tcW w:w="1842" w:type="dxa"/>
            <w:tcBorders>
              <w:bottom w:val="nil"/>
            </w:tcBorders>
          </w:tcPr>
          <w:p w14:paraId="14894061"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5.5±0.8</w:t>
            </w:r>
          </w:p>
        </w:tc>
        <w:tc>
          <w:tcPr>
            <w:tcW w:w="1812" w:type="dxa"/>
            <w:tcBorders>
              <w:bottom w:val="nil"/>
            </w:tcBorders>
          </w:tcPr>
          <w:p w14:paraId="707798CF"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2.1±0.3</w:t>
            </w:r>
          </w:p>
        </w:tc>
        <w:tc>
          <w:tcPr>
            <w:tcW w:w="1794" w:type="dxa"/>
            <w:tcBorders>
              <w:bottom w:val="nil"/>
            </w:tcBorders>
          </w:tcPr>
          <w:p w14:paraId="372E39A8"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27.8±3.9</w:t>
            </w:r>
          </w:p>
        </w:tc>
      </w:tr>
      <w:tr w:rsidR="00B94693" w:rsidRPr="00B94693" w14:paraId="2A32F9DB" w14:textId="77777777" w:rsidTr="001E366F">
        <w:trPr>
          <w:jc w:val="center"/>
        </w:trPr>
        <w:tc>
          <w:tcPr>
            <w:tcW w:w="1772" w:type="dxa"/>
            <w:tcBorders>
              <w:top w:val="nil"/>
              <w:bottom w:val="nil"/>
            </w:tcBorders>
          </w:tcPr>
          <w:p w14:paraId="1592FF16"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VC (%)</w:t>
            </w:r>
          </w:p>
        </w:tc>
        <w:tc>
          <w:tcPr>
            <w:tcW w:w="1842" w:type="dxa"/>
            <w:tcBorders>
              <w:top w:val="nil"/>
              <w:bottom w:val="nil"/>
            </w:tcBorders>
          </w:tcPr>
          <w:p w14:paraId="4350A65D"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13.8</w:t>
            </w:r>
          </w:p>
        </w:tc>
        <w:tc>
          <w:tcPr>
            <w:tcW w:w="1842" w:type="dxa"/>
            <w:tcBorders>
              <w:top w:val="nil"/>
              <w:bottom w:val="nil"/>
            </w:tcBorders>
          </w:tcPr>
          <w:p w14:paraId="080B208B"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14.5</w:t>
            </w:r>
          </w:p>
        </w:tc>
        <w:tc>
          <w:tcPr>
            <w:tcW w:w="1812" w:type="dxa"/>
            <w:tcBorders>
              <w:top w:val="nil"/>
              <w:bottom w:val="nil"/>
            </w:tcBorders>
          </w:tcPr>
          <w:p w14:paraId="2DEC3769"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14.7</w:t>
            </w:r>
          </w:p>
        </w:tc>
        <w:tc>
          <w:tcPr>
            <w:tcW w:w="1794" w:type="dxa"/>
            <w:tcBorders>
              <w:top w:val="nil"/>
              <w:bottom w:val="nil"/>
            </w:tcBorders>
          </w:tcPr>
          <w:p w14:paraId="5A16727D"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13.9</w:t>
            </w:r>
          </w:p>
        </w:tc>
      </w:tr>
      <w:tr w:rsidR="00B94693" w:rsidRPr="00B94693" w14:paraId="20B133A6" w14:textId="77777777" w:rsidTr="001E366F">
        <w:trPr>
          <w:jc w:val="center"/>
        </w:trPr>
        <w:tc>
          <w:tcPr>
            <w:tcW w:w="1772" w:type="dxa"/>
            <w:tcBorders>
              <w:top w:val="nil"/>
            </w:tcBorders>
          </w:tcPr>
          <w:p w14:paraId="00A8153D"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Min-Max</w:t>
            </w:r>
          </w:p>
        </w:tc>
        <w:tc>
          <w:tcPr>
            <w:tcW w:w="1842" w:type="dxa"/>
            <w:tcBorders>
              <w:top w:val="nil"/>
            </w:tcBorders>
          </w:tcPr>
          <w:p w14:paraId="4B436DFF"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12.0-32.5</w:t>
            </w:r>
          </w:p>
        </w:tc>
        <w:tc>
          <w:tcPr>
            <w:tcW w:w="1842" w:type="dxa"/>
            <w:tcBorders>
              <w:top w:val="nil"/>
            </w:tcBorders>
          </w:tcPr>
          <w:p w14:paraId="74DFA940"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3.3-8.7</w:t>
            </w:r>
          </w:p>
        </w:tc>
        <w:tc>
          <w:tcPr>
            <w:tcW w:w="1812" w:type="dxa"/>
            <w:tcBorders>
              <w:top w:val="nil"/>
            </w:tcBorders>
          </w:tcPr>
          <w:p w14:paraId="436CEAD8"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1.3-3.7</w:t>
            </w:r>
          </w:p>
        </w:tc>
        <w:tc>
          <w:tcPr>
            <w:tcW w:w="1794" w:type="dxa"/>
            <w:tcBorders>
              <w:top w:val="nil"/>
            </w:tcBorders>
          </w:tcPr>
          <w:p w14:paraId="447A3E34" w14:textId="77777777" w:rsidR="00B94693" w:rsidRPr="00B94693" w:rsidRDefault="00B94693" w:rsidP="00B94693">
            <w:pPr>
              <w:jc w:val="center"/>
              <w:rPr>
                <w:rFonts w:ascii="Arial" w:hAnsi="Arial" w:cs="Arial"/>
                <w:bCs/>
                <w:sz w:val="20"/>
                <w:szCs w:val="20"/>
                <w:lang w:val="en-GB"/>
              </w:rPr>
            </w:pPr>
            <w:r w:rsidRPr="00B94693">
              <w:rPr>
                <w:rFonts w:ascii="Arial" w:hAnsi="Arial" w:cs="Arial"/>
                <w:bCs/>
                <w:sz w:val="20"/>
                <w:szCs w:val="20"/>
                <w:lang w:val="en-GB"/>
              </w:rPr>
              <w:t>16.5-44.9</w:t>
            </w:r>
          </w:p>
        </w:tc>
      </w:tr>
    </w:tbl>
    <w:p w14:paraId="49172A37" w14:textId="77777777" w:rsidR="00B94693" w:rsidRPr="00B9427F" w:rsidRDefault="00B94693" w:rsidP="00B94693">
      <w:pPr>
        <w:spacing w:line="360" w:lineRule="auto"/>
        <w:rPr>
          <w:rFonts w:ascii="Arial" w:hAnsi="Arial" w:cs="Arial"/>
          <w:lang w:val="fr-CI"/>
        </w:rPr>
      </w:pPr>
    </w:p>
    <w:p w14:paraId="0235DB21" w14:textId="0D8C7877" w:rsidR="00B9427F" w:rsidRPr="00866443" w:rsidRDefault="00B9427F" w:rsidP="00B9427F">
      <w:pPr>
        <w:rPr>
          <w:rFonts w:ascii="Arial" w:hAnsi="Arial" w:cs="Arial"/>
          <w:b/>
          <w:bCs/>
          <w:u w:val="single"/>
          <w:lang w:val="en-GB"/>
        </w:rPr>
      </w:pPr>
      <w:r w:rsidRPr="00866443">
        <w:rPr>
          <w:rFonts w:ascii="Arial" w:hAnsi="Arial" w:cs="Arial"/>
          <w:b/>
          <w:bCs/>
          <w:u w:val="single"/>
          <w:lang w:val="en-GB"/>
        </w:rPr>
        <w:t>3.1.2. Distribution of PAHs in waters based on the number of benzene rings</w:t>
      </w:r>
    </w:p>
    <w:p w14:paraId="72881A21" w14:textId="402C5484" w:rsidR="00B9427F" w:rsidRPr="00866443" w:rsidRDefault="00B9427F" w:rsidP="00866443">
      <w:pPr>
        <w:jc w:val="both"/>
        <w:rPr>
          <w:rFonts w:ascii="Arial" w:hAnsi="Arial" w:cs="Arial"/>
          <w:lang w:val="en-GB"/>
        </w:rPr>
      </w:pPr>
      <w:r w:rsidRPr="00B9427F">
        <w:rPr>
          <w:rFonts w:ascii="Arial" w:hAnsi="Arial" w:cs="Arial"/>
          <w:lang w:val="en-GB"/>
        </w:rPr>
        <w:t xml:space="preserve">FLR, PNT, PYR, and </w:t>
      </w:r>
      <w:proofErr w:type="spellStart"/>
      <w:r w:rsidRPr="00B9427F">
        <w:rPr>
          <w:rFonts w:ascii="Arial" w:hAnsi="Arial" w:cs="Arial"/>
          <w:lang w:val="en-GB"/>
        </w:rPr>
        <w:t>BaA</w:t>
      </w:r>
      <w:proofErr w:type="spellEnd"/>
      <w:r w:rsidRPr="00B9427F">
        <w:rPr>
          <w:rFonts w:ascii="Arial" w:hAnsi="Arial" w:cs="Arial"/>
          <w:lang w:val="en-GB"/>
        </w:rPr>
        <w:t xml:space="preserve"> exhibited, on average, the highest proportions among PAHs with 2, 3, 4, and 5 benzene rings, respectively. Conversely, NPT, ATC, </w:t>
      </w:r>
      <w:proofErr w:type="spellStart"/>
      <w:r w:rsidRPr="00B9427F">
        <w:rPr>
          <w:rFonts w:ascii="Arial" w:hAnsi="Arial" w:cs="Arial"/>
          <w:lang w:val="en-GB"/>
        </w:rPr>
        <w:t>BjF</w:t>
      </w:r>
      <w:proofErr w:type="spellEnd"/>
      <w:r w:rsidRPr="00B9427F">
        <w:rPr>
          <w:rFonts w:ascii="Arial" w:hAnsi="Arial" w:cs="Arial"/>
          <w:lang w:val="en-GB"/>
        </w:rPr>
        <w:t>, and I(1,2,3-c,d)P showed the lowest proportions among PAHs with 2, 3, 4, and 5 benzene rings, respectively, in these waters during the study period (Fig</w:t>
      </w:r>
      <w:r>
        <w:rPr>
          <w:rFonts w:ascii="Arial" w:hAnsi="Arial" w:cs="Arial"/>
          <w:lang w:val="en-GB"/>
        </w:rPr>
        <w:t>.</w:t>
      </w:r>
      <w:r w:rsidRPr="00B9427F">
        <w:rPr>
          <w:rFonts w:ascii="Arial" w:hAnsi="Arial" w:cs="Arial"/>
          <w:lang w:val="en-GB"/>
        </w:rPr>
        <w:t>3).</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15"/>
        <w:gridCol w:w="4791"/>
      </w:tblGrid>
      <w:tr w:rsidR="00B9427F" w:rsidRPr="00EE45EC" w14:paraId="1D661CBD" w14:textId="77777777" w:rsidTr="001E366F">
        <w:tc>
          <w:tcPr>
            <w:tcW w:w="4668" w:type="dxa"/>
          </w:tcPr>
          <w:p w14:paraId="6A5F4B2A"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rPr>
              <w:lastRenderedPageBreak/>
              <w:drawing>
                <wp:inline distT="0" distB="0" distL="0" distR="0" wp14:anchorId="185949A8" wp14:editId="6C856843">
                  <wp:extent cx="2895600" cy="1798320"/>
                  <wp:effectExtent l="0" t="0" r="0" b="0"/>
                  <wp:docPr id="854617095" name="Graphique 1">
                    <a:extLst xmlns:a="http://schemas.openxmlformats.org/drawingml/2006/main">
                      <a:ext uri="{FF2B5EF4-FFF2-40B4-BE49-F238E27FC236}">
                        <a16:creationId xmlns:a16="http://schemas.microsoft.com/office/drawing/2014/main" id="{A08CE562-E4CF-A2F8-771D-6510A8F4E3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728" w:type="dxa"/>
          </w:tcPr>
          <w:p w14:paraId="64D368BE"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rPr>
              <w:drawing>
                <wp:inline distT="0" distB="0" distL="0" distR="0" wp14:anchorId="18D40A5F" wp14:editId="4920F527">
                  <wp:extent cx="2926080" cy="1821180"/>
                  <wp:effectExtent l="0" t="0" r="0" b="0"/>
                  <wp:docPr id="1314319437" name="Graphique 1">
                    <a:extLst xmlns:a="http://schemas.openxmlformats.org/drawingml/2006/main">
                      <a:ext uri="{FF2B5EF4-FFF2-40B4-BE49-F238E27FC236}">
                        <a16:creationId xmlns:a16="http://schemas.microsoft.com/office/drawing/2014/main" id="{EF56303B-10E5-A9BF-6927-E106D938C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9427F" w:rsidRPr="00EE45EC" w14:paraId="00C33F24" w14:textId="77777777" w:rsidTr="001E366F">
        <w:tblPrEx>
          <w:tblCellMar>
            <w:left w:w="108" w:type="dxa"/>
            <w:right w:w="108" w:type="dxa"/>
          </w:tblCellMar>
        </w:tblPrEx>
        <w:tc>
          <w:tcPr>
            <w:tcW w:w="4668" w:type="dxa"/>
          </w:tcPr>
          <w:p w14:paraId="71693EB9" w14:textId="77777777" w:rsidR="00B9427F" w:rsidRPr="00B9427F" w:rsidRDefault="00B9427F" w:rsidP="00B9427F">
            <w:pPr>
              <w:pStyle w:val="Paragraphedeliste"/>
              <w:numPr>
                <w:ilvl w:val="0"/>
                <w:numId w:val="31"/>
              </w:numPr>
              <w:spacing w:after="0" w:line="360" w:lineRule="auto"/>
              <w:rPr>
                <w:rFonts w:ascii="Arial" w:hAnsi="Arial" w:cs="Arial"/>
                <w:bCs/>
                <w:sz w:val="20"/>
                <w:szCs w:val="20"/>
                <w:lang w:val="en-GB"/>
              </w:rPr>
            </w:pPr>
            <w:r w:rsidRPr="00B9427F">
              <w:rPr>
                <w:rFonts w:ascii="Arial" w:hAnsi="Arial" w:cs="Arial"/>
                <w:bCs/>
                <w:sz w:val="20"/>
                <w:szCs w:val="20"/>
                <w:lang w:val="en-GB"/>
              </w:rPr>
              <w:t>PAHs with 2 benzene rings</w:t>
            </w:r>
          </w:p>
        </w:tc>
        <w:tc>
          <w:tcPr>
            <w:tcW w:w="4728" w:type="dxa"/>
          </w:tcPr>
          <w:p w14:paraId="6D9824A8" w14:textId="77777777" w:rsidR="00B9427F" w:rsidRPr="00B9427F" w:rsidRDefault="00B9427F" w:rsidP="00B9427F">
            <w:pPr>
              <w:pStyle w:val="Paragraphedeliste"/>
              <w:numPr>
                <w:ilvl w:val="0"/>
                <w:numId w:val="31"/>
              </w:numPr>
              <w:spacing w:after="0" w:line="360" w:lineRule="auto"/>
              <w:jc w:val="center"/>
              <w:rPr>
                <w:rFonts w:ascii="Arial" w:hAnsi="Arial" w:cs="Arial"/>
                <w:bCs/>
                <w:sz w:val="20"/>
                <w:szCs w:val="20"/>
                <w:lang w:val="en-GB"/>
              </w:rPr>
            </w:pPr>
            <w:r w:rsidRPr="00B9427F">
              <w:rPr>
                <w:rFonts w:ascii="Arial" w:hAnsi="Arial" w:cs="Arial"/>
                <w:bCs/>
                <w:sz w:val="20"/>
                <w:szCs w:val="20"/>
                <w:lang w:val="en-GB"/>
              </w:rPr>
              <w:t>PAHs with 3 benzene rings</w:t>
            </w:r>
          </w:p>
        </w:tc>
      </w:tr>
      <w:tr w:rsidR="00B9427F" w:rsidRPr="00EE45EC" w14:paraId="0B561174" w14:textId="77777777" w:rsidTr="001E366F">
        <w:tc>
          <w:tcPr>
            <w:tcW w:w="4668" w:type="dxa"/>
          </w:tcPr>
          <w:p w14:paraId="5D59F02A"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rPr>
              <w:drawing>
                <wp:inline distT="0" distB="0" distL="0" distR="0" wp14:anchorId="77BD15C1" wp14:editId="0D70B938">
                  <wp:extent cx="2880360" cy="1805940"/>
                  <wp:effectExtent l="0" t="0" r="0" b="0"/>
                  <wp:docPr id="262914836" name="Graphique 1">
                    <a:extLst xmlns:a="http://schemas.openxmlformats.org/drawingml/2006/main">
                      <a:ext uri="{FF2B5EF4-FFF2-40B4-BE49-F238E27FC236}">
                        <a16:creationId xmlns:a16="http://schemas.microsoft.com/office/drawing/2014/main" id="{EE75398F-9B8A-5EA2-D231-025C4F18F4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728" w:type="dxa"/>
          </w:tcPr>
          <w:p w14:paraId="5E5F5BEA" w14:textId="77777777" w:rsidR="00B9427F" w:rsidRPr="00EE45EC" w:rsidRDefault="00B9427F" w:rsidP="001E366F">
            <w:pPr>
              <w:spacing w:line="360" w:lineRule="auto"/>
              <w:jc w:val="center"/>
              <w:rPr>
                <w:rFonts w:ascii="Times New Roman" w:hAnsi="Times New Roman"/>
                <w:bCs/>
                <w:sz w:val="24"/>
                <w:szCs w:val="24"/>
                <w:lang w:val="en-GB"/>
              </w:rPr>
            </w:pPr>
            <w:r w:rsidRPr="00EE45EC">
              <w:rPr>
                <w:noProof/>
              </w:rPr>
              <w:drawing>
                <wp:inline distT="0" distB="0" distL="0" distR="0" wp14:anchorId="7801DD60" wp14:editId="541C9687">
                  <wp:extent cx="3009900" cy="1885950"/>
                  <wp:effectExtent l="0" t="0" r="0" b="0"/>
                  <wp:docPr id="1068027475" name="Graphique 1">
                    <a:extLst xmlns:a="http://schemas.openxmlformats.org/drawingml/2006/main">
                      <a:ext uri="{FF2B5EF4-FFF2-40B4-BE49-F238E27FC236}">
                        <a16:creationId xmlns:a16="http://schemas.microsoft.com/office/drawing/2014/main" id="{C1B3CAC5-8CDA-46EB-24A4-40B0F720D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B9427F" w:rsidRPr="00EE45EC" w14:paraId="62CE54B5" w14:textId="77777777" w:rsidTr="001E366F">
        <w:tblPrEx>
          <w:tblCellMar>
            <w:left w:w="108" w:type="dxa"/>
            <w:right w:w="108" w:type="dxa"/>
          </w:tblCellMar>
        </w:tblPrEx>
        <w:tc>
          <w:tcPr>
            <w:tcW w:w="4668" w:type="dxa"/>
          </w:tcPr>
          <w:p w14:paraId="7FE842C3" w14:textId="77777777" w:rsidR="00B9427F" w:rsidRPr="00B9427F" w:rsidRDefault="00B9427F" w:rsidP="00B9427F">
            <w:pPr>
              <w:pStyle w:val="Paragraphedeliste"/>
              <w:numPr>
                <w:ilvl w:val="0"/>
                <w:numId w:val="31"/>
              </w:numPr>
              <w:spacing w:after="0" w:line="360" w:lineRule="auto"/>
              <w:jc w:val="center"/>
              <w:rPr>
                <w:rFonts w:ascii="Arial" w:hAnsi="Arial" w:cs="Arial"/>
                <w:bCs/>
                <w:sz w:val="20"/>
                <w:szCs w:val="20"/>
                <w:lang w:val="en-GB"/>
              </w:rPr>
            </w:pPr>
            <w:r w:rsidRPr="00B9427F">
              <w:rPr>
                <w:rFonts w:ascii="Arial" w:hAnsi="Arial" w:cs="Arial"/>
                <w:bCs/>
                <w:sz w:val="20"/>
                <w:szCs w:val="20"/>
                <w:lang w:val="en-GB"/>
              </w:rPr>
              <w:t>PAHs with 4 benzene rings</w:t>
            </w:r>
          </w:p>
        </w:tc>
        <w:tc>
          <w:tcPr>
            <w:tcW w:w="4728" w:type="dxa"/>
          </w:tcPr>
          <w:p w14:paraId="0C5638D1" w14:textId="77777777" w:rsidR="00B9427F" w:rsidRPr="00B9427F" w:rsidRDefault="00B9427F" w:rsidP="00B9427F">
            <w:pPr>
              <w:pStyle w:val="Paragraphedeliste"/>
              <w:numPr>
                <w:ilvl w:val="0"/>
                <w:numId w:val="31"/>
              </w:numPr>
              <w:spacing w:after="0" w:line="360" w:lineRule="auto"/>
              <w:jc w:val="center"/>
              <w:rPr>
                <w:rFonts w:ascii="Arial" w:hAnsi="Arial" w:cs="Arial"/>
                <w:bCs/>
                <w:sz w:val="20"/>
                <w:szCs w:val="20"/>
                <w:lang w:val="en-GB"/>
              </w:rPr>
            </w:pPr>
            <w:r w:rsidRPr="00B9427F">
              <w:rPr>
                <w:rFonts w:ascii="Arial" w:hAnsi="Arial" w:cs="Arial"/>
                <w:bCs/>
                <w:sz w:val="20"/>
                <w:szCs w:val="20"/>
                <w:lang w:val="en-GB"/>
              </w:rPr>
              <w:t>PAHs with 5 benzene rings</w:t>
            </w:r>
          </w:p>
        </w:tc>
      </w:tr>
    </w:tbl>
    <w:p w14:paraId="7FC1F26D" w14:textId="4B4B0119" w:rsidR="00B9427F" w:rsidRPr="00993384" w:rsidRDefault="00B9427F" w:rsidP="00993384">
      <w:pPr>
        <w:jc w:val="both"/>
        <w:rPr>
          <w:rFonts w:ascii="Arial" w:hAnsi="Arial" w:cs="Arial"/>
          <w:b/>
          <w:bCs/>
          <w:lang w:val="en-GB"/>
        </w:rPr>
      </w:pPr>
      <w:r w:rsidRPr="00993384">
        <w:rPr>
          <w:rFonts w:ascii="Arial" w:hAnsi="Arial" w:cs="Arial"/>
          <w:b/>
          <w:bCs/>
          <w:lang w:val="en-GB"/>
        </w:rPr>
        <w:t xml:space="preserve">Fig. 3. Mean proportions of PAHs Relative to </w:t>
      </w:r>
      <m:oMath>
        <m:nary>
          <m:naryPr>
            <m:chr m:val="∑"/>
            <m:limLoc m:val="undOvr"/>
            <m:supHide m:val="1"/>
            <m:ctrlPr>
              <w:rPr>
                <w:rFonts w:ascii="Cambria Math" w:hAnsi="Cambria Math" w:cs="Arial"/>
                <w:b/>
                <w:bCs/>
                <w:i/>
                <w:lang w:val="en-GB"/>
              </w:rPr>
            </m:ctrlPr>
          </m:naryPr>
          <m:sub>
            <m:r>
              <m:rPr>
                <m:sty m:val="bi"/>
              </m:rPr>
              <w:rPr>
                <w:rFonts w:ascii="Cambria Math" w:hAnsi="Cambria Math" w:cs="Arial"/>
                <w:lang w:val="en-GB"/>
              </w:rPr>
              <m:t>13</m:t>
            </m:r>
          </m:sub>
          <m:sup/>
          <m:e>
            <m:r>
              <m:rPr>
                <m:sty m:val="b"/>
              </m:rPr>
              <w:rPr>
                <w:rFonts w:ascii="Cambria Math" w:hAnsi="Cambria Math" w:cs="Arial"/>
                <w:lang w:val="en-GB"/>
              </w:rPr>
              <m:t xml:space="preserve">PAHs </m:t>
            </m:r>
          </m:e>
        </m:nary>
      </m:oMath>
      <w:r w:rsidRPr="00993384">
        <w:rPr>
          <w:rFonts w:ascii="Arial" w:hAnsi="Arial" w:cs="Arial"/>
          <w:b/>
          <w:bCs/>
          <w:lang w:val="en-GB"/>
        </w:rPr>
        <w:t xml:space="preserve"> by number of benzene rings in the waters from the Déganobo lacustrine system during the study period.</w:t>
      </w:r>
    </w:p>
    <w:p w14:paraId="6135A52E" w14:textId="77777777" w:rsidR="00993384" w:rsidRDefault="00993384" w:rsidP="00993384">
      <w:pPr>
        <w:jc w:val="both"/>
        <w:rPr>
          <w:rFonts w:ascii="Arial" w:hAnsi="Arial" w:cs="Arial"/>
          <w:lang w:val="en-GB"/>
        </w:rPr>
      </w:pPr>
    </w:p>
    <w:p w14:paraId="59E169FC" w14:textId="0ED374D4" w:rsidR="00B9427F" w:rsidRPr="00993384" w:rsidRDefault="00B9427F" w:rsidP="00993384">
      <w:pPr>
        <w:jc w:val="both"/>
        <w:rPr>
          <w:rFonts w:ascii="Arial" w:hAnsi="Arial" w:cs="Arial"/>
          <w:lang w:val="en-GB"/>
        </w:rPr>
      </w:pPr>
      <w:r w:rsidRPr="00993384">
        <w:rPr>
          <w:rFonts w:ascii="Arial" w:hAnsi="Arial" w:cs="Arial"/>
          <w:lang w:val="en-GB"/>
        </w:rPr>
        <w:t>PAHs with three aromatic rings were the most abundant, while those with five aromatic rings were the least abundant in these waters during this period (Fig</w:t>
      </w:r>
      <w:r w:rsidR="00D5080E" w:rsidRPr="00993384">
        <w:rPr>
          <w:rFonts w:ascii="Arial" w:hAnsi="Arial" w:cs="Arial"/>
          <w:lang w:val="en-GB"/>
        </w:rPr>
        <w:t xml:space="preserve">. </w:t>
      </w:r>
      <w:r w:rsidRPr="00993384">
        <w:rPr>
          <w:rFonts w:ascii="Arial" w:hAnsi="Arial" w:cs="Arial"/>
          <w:lang w:val="en-GB"/>
        </w:rPr>
        <w:t>4).</w:t>
      </w:r>
    </w:p>
    <w:p w14:paraId="37ABC037" w14:textId="77777777" w:rsidR="00B9427F" w:rsidRDefault="00B9427F" w:rsidP="00B9427F">
      <w:pPr>
        <w:spacing w:line="360" w:lineRule="auto"/>
        <w:jc w:val="center"/>
        <w:rPr>
          <w:rFonts w:ascii="Times New Roman" w:hAnsi="Times New Roman"/>
          <w:sz w:val="24"/>
          <w:szCs w:val="24"/>
          <w:lang w:val="en-GB"/>
        </w:rPr>
      </w:pPr>
      <w:r>
        <w:rPr>
          <w:noProof/>
        </w:rPr>
        <w:drawing>
          <wp:inline distT="0" distB="0" distL="0" distR="0" wp14:anchorId="00DE7265" wp14:editId="5F31B11F">
            <wp:extent cx="4709160" cy="1820254"/>
            <wp:effectExtent l="0" t="0" r="0" b="0"/>
            <wp:docPr id="649515518" name="Graphique 1">
              <a:extLst xmlns:a="http://schemas.openxmlformats.org/drawingml/2006/main">
                <a:ext uri="{FF2B5EF4-FFF2-40B4-BE49-F238E27FC236}">
                  <a16:creationId xmlns:a16="http://schemas.microsoft.com/office/drawing/2014/main" id="{720C92E7-40EC-EB7A-AE65-66AB5C83C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1644C6" w14:textId="0A9BECE8" w:rsidR="00B9427F" w:rsidRPr="00D5080E" w:rsidRDefault="00B9427F" w:rsidP="00866443">
      <w:pPr>
        <w:jc w:val="both"/>
        <w:rPr>
          <w:rFonts w:ascii="Arial" w:hAnsi="Arial" w:cs="Arial"/>
          <w:b/>
          <w:bCs/>
          <w:lang w:val="en-GB"/>
        </w:rPr>
      </w:pPr>
      <w:r w:rsidRPr="00D5080E">
        <w:rPr>
          <w:rFonts w:ascii="Arial" w:hAnsi="Arial" w:cs="Arial"/>
          <w:b/>
          <w:bCs/>
          <w:lang w:val="en-GB"/>
        </w:rPr>
        <w:t>Fig</w:t>
      </w:r>
      <w:r w:rsidR="00D5080E" w:rsidRPr="00D5080E">
        <w:rPr>
          <w:rFonts w:ascii="Arial" w:hAnsi="Arial" w:cs="Arial"/>
          <w:b/>
          <w:bCs/>
          <w:lang w:val="en-GB"/>
        </w:rPr>
        <w:t>.</w:t>
      </w:r>
      <w:r w:rsidRPr="00D5080E">
        <w:rPr>
          <w:rFonts w:ascii="Arial" w:hAnsi="Arial" w:cs="Arial"/>
          <w:b/>
          <w:bCs/>
          <w:lang w:val="en-GB"/>
        </w:rPr>
        <w:t xml:space="preserve"> 4</w:t>
      </w:r>
      <w:r w:rsidR="00D5080E" w:rsidRPr="00D5080E">
        <w:rPr>
          <w:rFonts w:ascii="Arial" w:hAnsi="Arial" w:cs="Arial"/>
          <w:b/>
          <w:bCs/>
          <w:lang w:val="en-GB"/>
        </w:rPr>
        <w:t>.</w:t>
      </w:r>
      <w:r w:rsidRPr="00D5080E">
        <w:rPr>
          <w:rFonts w:ascii="Arial" w:hAnsi="Arial" w:cs="Arial"/>
          <w:b/>
          <w:bCs/>
          <w:lang w:val="en-GB"/>
        </w:rPr>
        <w:t xml:space="preserve"> Mean proportions of PAHs by number of benzene rings in the Waters from the </w:t>
      </w:r>
      <w:proofErr w:type="spellStart"/>
      <w:r w:rsidRPr="00D5080E">
        <w:rPr>
          <w:rFonts w:ascii="Arial" w:hAnsi="Arial" w:cs="Arial"/>
          <w:b/>
          <w:bCs/>
          <w:lang w:val="en-GB"/>
        </w:rPr>
        <w:t>Déganobo</w:t>
      </w:r>
      <w:proofErr w:type="spellEnd"/>
      <w:r w:rsidRPr="00D5080E">
        <w:rPr>
          <w:rFonts w:ascii="Arial" w:hAnsi="Arial" w:cs="Arial"/>
          <w:b/>
          <w:bCs/>
          <w:lang w:val="en-GB"/>
        </w:rPr>
        <w:t xml:space="preserve"> lacustrine system during the study period.</w:t>
      </w:r>
    </w:p>
    <w:p w14:paraId="7C1AF6FF" w14:textId="77777777" w:rsidR="00A127E5" w:rsidRDefault="00A127E5" w:rsidP="00866443">
      <w:pPr>
        <w:jc w:val="both"/>
        <w:rPr>
          <w:rFonts w:ascii="Times New Roman" w:hAnsi="Times New Roman"/>
          <w:sz w:val="24"/>
          <w:szCs w:val="24"/>
          <w:lang w:val="en-GB"/>
        </w:rPr>
      </w:pPr>
    </w:p>
    <w:p w14:paraId="501F7EED" w14:textId="5292ED77" w:rsidR="0097471D" w:rsidRPr="00866443" w:rsidRDefault="0097471D" w:rsidP="0097471D">
      <w:pPr>
        <w:jc w:val="both"/>
        <w:rPr>
          <w:rFonts w:ascii="Arial" w:hAnsi="Arial" w:cs="Arial"/>
          <w:b/>
          <w:bCs/>
          <w:u w:val="single"/>
          <w:lang w:val="en-GB"/>
        </w:rPr>
      </w:pPr>
      <w:r w:rsidRPr="00866443">
        <w:rPr>
          <w:rFonts w:ascii="Arial" w:hAnsi="Arial" w:cs="Arial"/>
          <w:b/>
          <w:bCs/>
          <w:u w:val="single"/>
          <w:lang w:val="en-GB"/>
        </w:rPr>
        <w:t>3.1.3. Origins of PAHs in the waters from this lacustrine system</w:t>
      </w:r>
    </w:p>
    <w:p w14:paraId="6355364B" w14:textId="5A3CB944" w:rsidR="0097471D" w:rsidRPr="0097471D" w:rsidRDefault="0097471D" w:rsidP="0097471D">
      <w:pPr>
        <w:jc w:val="both"/>
        <w:rPr>
          <w:rFonts w:ascii="Arial" w:hAnsi="Arial" w:cs="Arial"/>
          <w:lang w:val="en-GB"/>
        </w:rPr>
      </w:pPr>
      <w:r w:rsidRPr="0097471D">
        <w:rPr>
          <w:rFonts w:ascii="Arial" w:hAnsi="Arial" w:cs="Arial"/>
          <w:lang w:val="en-GB"/>
        </w:rPr>
        <w:t>The ATC</w:t>
      </w:r>
      <w:proofErr w:type="gramStart"/>
      <w:r w:rsidRPr="0097471D">
        <w:rPr>
          <w:rFonts w:ascii="Arial" w:hAnsi="Arial" w:cs="Arial"/>
          <w:lang w:val="en-GB"/>
        </w:rPr>
        <w:t>/(</w:t>
      </w:r>
      <w:proofErr w:type="gramEnd"/>
      <w:r w:rsidRPr="0097471D">
        <w:rPr>
          <w:rFonts w:ascii="Arial" w:hAnsi="Arial" w:cs="Arial"/>
          <w:lang w:val="en-GB"/>
        </w:rPr>
        <w:t>ATC + PNT) ratio, with a mean value of 0.147±0.008, indicates that all 13 PAHs present in these waters during the study period are of pyrogenic origin, meaning they result from combustion (Figure 5a). This conclusion is corroborated by the FLR</w:t>
      </w:r>
      <w:proofErr w:type="gramStart"/>
      <w:r w:rsidRPr="0097471D">
        <w:rPr>
          <w:rFonts w:ascii="Arial" w:hAnsi="Arial" w:cs="Arial"/>
          <w:lang w:val="en-GB"/>
        </w:rPr>
        <w:t>/(</w:t>
      </w:r>
      <w:proofErr w:type="gramEnd"/>
      <w:r w:rsidRPr="0097471D">
        <w:rPr>
          <w:rFonts w:ascii="Arial" w:hAnsi="Arial" w:cs="Arial"/>
          <w:lang w:val="en-GB"/>
        </w:rPr>
        <w:t xml:space="preserve">FLR + PYR) ratio, which has a mean value of 0.397±0.009. </w:t>
      </w:r>
      <w:r w:rsidRPr="0097471D">
        <w:rPr>
          <w:rFonts w:ascii="Arial" w:hAnsi="Arial" w:cs="Arial"/>
          <w:lang w:val="en-GB"/>
        </w:rPr>
        <w:lastRenderedPageBreak/>
        <w:t>This latter ratio reveals that 46.9% of the studied PAHs originate from fuel combustion (Figure 5b). These findings were statistically confirmed by Student's t-test (</w:t>
      </w:r>
      <w:r w:rsidRPr="0097471D">
        <w:rPr>
          <w:rFonts w:ascii="Arial" w:hAnsi="Arial" w:cs="Arial"/>
          <w:i/>
          <w:iCs/>
          <w:lang w:val="en-GB"/>
        </w:rPr>
        <w:t xml:space="preserve">p </w:t>
      </w:r>
      <w:r w:rsidRPr="0097471D">
        <w:rPr>
          <w:rFonts w:ascii="Arial" w:hAnsi="Arial" w:cs="Arial"/>
          <w:lang w:val="en-GB"/>
        </w:rPr>
        <w:t>&lt; .05).</w:t>
      </w:r>
    </w:p>
    <w:p w14:paraId="5710C02C" w14:textId="77777777" w:rsidR="0097471D" w:rsidRPr="00A97C86" w:rsidRDefault="0097471D" w:rsidP="0097471D">
      <w:pPr>
        <w:spacing w:line="360" w:lineRule="auto"/>
        <w:jc w:val="center"/>
        <w:rPr>
          <w:rFonts w:ascii="Times New Roman" w:hAnsi="Times New Roman"/>
          <w:sz w:val="24"/>
          <w:szCs w:val="24"/>
          <w:lang w:val="fr-CI"/>
        </w:rPr>
      </w:pPr>
      <w:r>
        <w:rPr>
          <w:noProof/>
        </w:rPr>
        <w:drawing>
          <wp:inline distT="0" distB="0" distL="0" distR="0" wp14:anchorId="0403AE42" wp14:editId="1699CC86">
            <wp:extent cx="4572000" cy="2194560"/>
            <wp:effectExtent l="0" t="0" r="0" b="15240"/>
            <wp:docPr id="791186530" name="Graphique 1">
              <a:extLst xmlns:a="http://schemas.openxmlformats.org/drawingml/2006/main">
                <a:ext uri="{FF2B5EF4-FFF2-40B4-BE49-F238E27FC236}">
                  <a16:creationId xmlns:a16="http://schemas.microsoft.com/office/drawing/2014/main" id="{8743981F-E4FB-9976-9C79-59AA3C99D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A94B86" w14:textId="77777777" w:rsidR="0097471D" w:rsidRPr="0097471D" w:rsidRDefault="0097471D" w:rsidP="0097471D">
      <w:pPr>
        <w:jc w:val="center"/>
        <w:rPr>
          <w:rFonts w:ascii="Arial" w:hAnsi="Arial" w:cs="Arial"/>
          <w:lang w:val="en-GB"/>
        </w:rPr>
      </w:pPr>
      <w:r w:rsidRPr="0097471D">
        <w:rPr>
          <w:rFonts w:ascii="Arial" w:hAnsi="Arial" w:cs="Arial"/>
          <w:lang w:val="en-GB"/>
        </w:rPr>
        <w:t>a</w:t>
      </w:r>
    </w:p>
    <w:p w14:paraId="51C330F7" w14:textId="77777777" w:rsidR="0097471D" w:rsidRPr="002A1FAC" w:rsidRDefault="0097471D" w:rsidP="0097471D">
      <w:pPr>
        <w:spacing w:line="360" w:lineRule="auto"/>
        <w:jc w:val="center"/>
        <w:rPr>
          <w:rFonts w:ascii="Times New Roman" w:hAnsi="Times New Roman"/>
          <w:sz w:val="24"/>
          <w:szCs w:val="24"/>
          <w:lang w:val="en-GB"/>
        </w:rPr>
      </w:pPr>
      <w:r>
        <w:rPr>
          <w:noProof/>
        </w:rPr>
        <w:drawing>
          <wp:inline distT="0" distB="0" distL="0" distR="0" wp14:anchorId="7E69DD8C" wp14:editId="068373B5">
            <wp:extent cx="4572000" cy="2194560"/>
            <wp:effectExtent l="0" t="0" r="0" b="15240"/>
            <wp:docPr id="2068504498" name="Graphique 1">
              <a:extLst xmlns:a="http://schemas.openxmlformats.org/drawingml/2006/main">
                <a:ext uri="{FF2B5EF4-FFF2-40B4-BE49-F238E27FC236}">
                  <a16:creationId xmlns:a16="http://schemas.microsoft.com/office/drawing/2014/main" id="{76CF7B50-AA2B-7AF3-9892-4ED7DC0BB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3A530A" w14:textId="77777777" w:rsidR="0097471D" w:rsidRPr="0097471D" w:rsidRDefault="0097471D" w:rsidP="0097471D">
      <w:pPr>
        <w:jc w:val="center"/>
        <w:rPr>
          <w:rFonts w:ascii="Arial" w:hAnsi="Arial" w:cs="Arial"/>
          <w:lang w:val="en-GB"/>
        </w:rPr>
      </w:pPr>
      <w:r w:rsidRPr="0097471D">
        <w:rPr>
          <w:rFonts w:ascii="Arial" w:hAnsi="Arial" w:cs="Arial"/>
          <w:lang w:val="en-GB"/>
        </w:rPr>
        <w:t>b</w:t>
      </w:r>
    </w:p>
    <w:p w14:paraId="00908246" w14:textId="7A3AC897" w:rsidR="0097471D" w:rsidRPr="0097471D" w:rsidRDefault="0097471D" w:rsidP="0097471D">
      <w:pPr>
        <w:spacing w:line="360" w:lineRule="auto"/>
        <w:jc w:val="center"/>
        <w:rPr>
          <w:rFonts w:ascii="Arial" w:hAnsi="Arial" w:cs="Arial"/>
          <w:b/>
          <w:bCs/>
          <w:lang w:val="en-GB"/>
        </w:rPr>
      </w:pPr>
      <w:r w:rsidRPr="0097471D">
        <w:rPr>
          <w:rFonts w:ascii="Arial" w:hAnsi="Arial" w:cs="Arial"/>
          <w:b/>
          <w:bCs/>
          <w:lang w:val="en-GB"/>
        </w:rPr>
        <w:t>Fig. 5. Values of the ATC</w:t>
      </w:r>
      <w:proofErr w:type="gramStart"/>
      <w:r w:rsidRPr="0097471D">
        <w:rPr>
          <w:rFonts w:ascii="Arial" w:hAnsi="Arial" w:cs="Arial"/>
          <w:b/>
          <w:bCs/>
          <w:lang w:val="en-GB"/>
        </w:rPr>
        <w:t>/(</w:t>
      </w:r>
      <w:proofErr w:type="gramEnd"/>
      <w:r w:rsidRPr="0097471D">
        <w:rPr>
          <w:rFonts w:ascii="Arial" w:hAnsi="Arial" w:cs="Arial"/>
          <w:b/>
          <w:bCs/>
          <w:lang w:val="en-GB"/>
        </w:rPr>
        <w:t>ATC +PNT) ratio (a) and of FLR/(FLR+PYR) ratio.</w:t>
      </w:r>
    </w:p>
    <w:p w14:paraId="012B4368" w14:textId="77777777" w:rsidR="00866443" w:rsidRPr="00866443" w:rsidRDefault="00866443" w:rsidP="00866443">
      <w:pPr>
        <w:jc w:val="both"/>
        <w:rPr>
          <w:rFonts w:ascii="Arial" w:hAnsi="Arial" w:cs="Arial"/>
          <w:b/>
          <w:bCs/>
          <w:lang w:val="en-GB"/>
        </w:rPr>
      </w:pPr>
    </w:p>
    <w:p w14:paraId="21A1157B" w14:textId="4F300B38" w:rsidR="00866443" w:rsidRPr="00866443" w:rsidRDefault="00866443" w:rsidP="00866443">
      <w:pPr>
        <w:jc w:val="both"/>
        <w:rPr>
          <w:rFonts w:ascii="Arial" w:hAnsi="Arial" w:cs="Arial"/>
          <w:b/>
          <w:bCs/>
          <w:u w:val="single"/>
          <w:lang w:val="en-GB"/>
        </w:rPr>
      </w:pPr>
      <w:r w:rsidRPr="00866443">
        <w:rPr>
          <w:rFonts w:ascii="Arial" w:hAnsi="Arial" w:cs="Arial"/>
          <w:b/>
          <w:bCs/>
          <w:u w:val="single"/>
          <w:lang w:val="en-GB"/>
        </w:rPr>
        <w:t>3.1.4. PAH contamination levels in waters</w:t>
      </w:r>
    </w:p>
    <w:p w14:paraId="3BC1D48B" w14:textId="06FDABAD" w:rsidR="00866443" w:rsidRPr="00866443" w:rsidRDefault="00866443" w:rsidP="00866443">
      <w:pPr>
        <w:jc w:val="both"/>
        <w:rPr>
          <w:rFonts w:ascii="Arial" w:hAnsi="Arial" w:cs="Arial"/>
          <w:lang w:val="en-GB"/>
        </w:rPr>
      </w:pPr>
      <w:r w:rsidRPr="00866443">
        <w:rPr>
          <w:rFonts w:ascii="Arial" w:hAnsi="Arial" w:cs="Arial"/>
          <w:lang w:val="en-GB"/>
        </w:rPr>
        <w:t xml:space="preserve">Based on the annual mean concentrations of ACPT, ATC, </w:t>
      </w:r>
      <w:proofErr w:type="spellStart"/>
      <w:r w:rsidRPr="00866443">
        <w:rPr>
          <w:rFonts w:ascii="Arial" w:hAnsi="Arial" w:cs="Arial"/>
          <w:lang w:val="en-GB"/>
        </w:rPr>
        <w:t>BaP</w:t>
      </w:r>
      <w:proofErr w:type="spellEnd"/>
      <w:r w:rsidRPr="00866443">
        <w:rPr>
          <w:rFonts w:ascii="Arial" w:hAnsi="Arial" w:cs="Arial"/>
          <w:lang w:val="en-GB"/>
        </w:rPr>
        <w:t xml:space="preserve">, </w:t>
      </w:r>
      <w:proofErr w:type="spellStart"/>
      <w:r w:rsidRPr="00866443">
        <w:rPr>
          <w:rFonts w:ascii="Arial" w:hAnsi="Arial" w:cs="Arial"/>
          <w:lang w:val="en-GB"/>
        </w:rPr>
        <w:t>BkF</w:t>
      </w:r>
      <w:proofErr w:type="spellEnd"/>
      <w:r w:rsidRPr="00866443">
        <w:rPr>
          <w:rFonts w:ascii="Arial" w:hAnsi="Arial" w:cs="Arial"/>
          <w:lang w:val="en-GB"/>
        </w:rPr>
        <w:t xml:space="preserve">, FLR, and FLRT, these waters demonstrated moderate suitability for biological life and anthropogenic uses. Conversely, their quality was deemed poor due to high annual concentrations of </w:t>
      </w:r>
      <w:proofErr w:type="spellStart"/>
      <w:r w:rsidRPr="00866443">
        <w:rPr>
          <w:rFonts w:ascii="Arial" w:hAnsi="Arial" w:cs="Arial"/>
          <w:lang w:val="en-GB"/>
        </w:rPr>
        <w:t>BbF</w:t>
      </w:r>
      <w:proofErr w:type="spellEnd"/>
      <w:r w:rsidRPr="00866443">
        <w:rPr>
          <w:rFonts w:ascii="Arial" w:hAnsi="Arial" w:cs="Arial"/>
          <w:lang w:val="en-GB"/>
        </w:rPr>
        <w:t xml:space="preserve"> and I-(1,2,3-</w:t>
      </w:r>
      <w:proofErr w:type="gramStart"/>
      <w:r w:rsidRPr="00866443">
        <w:rPr>
          <w:rFonts w:ascii="Arial" w:hAnsi="Arial" w:cs="Arial"/>
          <w:lang w:val="en-GB"/>
        </w:rPr>
        <w:t>c,d</w:t>
      </w:r>
      <w:proofErr w:type="gramEnd"/>
      <w:r w:rsidRPr="00866443">
        <w:rPr>
          <w:rFonts w:ascii="Arial" w:hAnsi="Arial" w:cs="Arial"/>
          <w:lang w:val="en-GB"/>
        </w:rPr>
        <w:t xml:space="preserve">)P. However, the water quality was good concerning the annual mean concentration of NPT, consistent with the guidelines of SEQ-Eau V2 (MEED and </w:t>
      </w:r>
      <w:proofErr w:type="spellStart"/>
      <w:r w:rsidRPr="00866443">
        <w:rPr>
          <w:rFonts w:ascii="Arial" w:hAnsi="Arial" w:cs="Arial"/>
          <w:lang w:val="en-GB"/>
        </w:rPr>
        <w:t>Agence</w:t>
      </w:r>
      <w:proofErr w:type="spellEnd"/>
      <w:r w:rsidRPr="00866443">
        <w:rPr>
          <w:rFonts w:ascii="Arial" w:hAnsi="Arial" w:cs="Arial"/>
          <w:lang w:val="en-GB"/>
        </w:rPr>
        <w:t xml:space="preserve"> de </w:t>
      </w:r>
      <w:proofErr w:type="spellStart"/>
      <w:r w:rsidRPr="00866443">
        <w:rPr>
          <w:rFonts w:ascii="Arial" w:hAnsi="Arial" w:cs="Arial"/>
          <w:lang w:val="en-GB"/>
        </w:rPr>
        <w:t>l'eau</w:t>
      </w:r>
      <w:proofErr w:type="spellEnd"/>
      <w:r w:rsidRPr="00866443">
        <w:rPr>
          <w:rFonts w:ascii="Arial" w:hAnsi="Arial" w:cs="Arial"/>
          <w:lang w:val="en-GB"/>
        </w:rPr>
        <w:t>, 2003) (Table 4). These observations were statistically confirmed by Student's t-test (</w:t>
      </w:r>
      <w:r w:rsidRPr="00866443">
        <w:rPr>
          <w:rFonts w:ascii="Arial" w:hAnsi="Arial" w:cs="Arial"/>
          <w:i/>
          <w:iCs/>
          <w:lang w:val="en-GB"/>
        </w:rPr>
        <w:t>p</w:t>
      </w:r>
      <w:r w:rsidRPr="00866443">
        <w:rPr>
          <w:rFonts w:ascii="Arial" w:hAnsi="Arial" w:cs="Arial"/>
          <w:lang w:val="en-GB"/>
        </w:rPr>
        <w:t xml:space="preserve"> &lt; .05).</w:t>
      </w:r>
    </w:p>
    <w:p w14:paraId="1FC128D8" w14:textId="77777777" w:rsidR="00866443" w:rsidRDefault="00866443" w:rsidP="00866443">
      <w:pPr>
        <w:jc w:val="both"/>
        <w:rPr>
          <w:rFonts w:ascii="Arial" w:hAnsi="Arial" w:cs="Arial"/>
          <w:lang w:val="en-GB"/>
        </w:rPr>
      </w:pPr>
      <w:r w:rsidRPr="00866443">
        <w:rPr>
          <w:rFonts w:ascii="Arial" w:hAnsi="Arial" w:cs="Arial"/>
          <w:lang w:val="en-GB"/>
        </w:rPr>
        <w:t xml:space="preserve">The contamination levels of these waters were moderate relative to ACPT, ATC, </w:t>
      </w:r>
      <w:proofErr w:type="spellStart"/>
      <w:r w:rsidRPr="00866443">
        <w:rPr>
          <w:rFonts w:ascii="Arial" w:hAnsi="Arial" w:cs="Arial"/>
          <w:lang w:val="en-GB"/>
        </w:rPr>
        <w:t>BaP</w:t>
      </w:r>
      <w:proofErr w:type="spellEnd"/>
      <w:r w:rsidRPr="00866443">
        <w:rPr>
          <w:rFonts w:ascii="Arial" w:hAnsi="Arial" w:cs="Arial"/>
          <w:lang w:val="en-GB"/>
        </w:rPr>
        <w:t xml:space="preserve">, </w:t>
      </w:r>
      <w:proofErr w:type="spellStart"/>
      <w:r w:rsidRPr="00866443">
        <w:rPr>
          <w:rFonts w:ascii="Arial" w:hAnsi="Arial" w:cs="Arial"/>
          <w:lang w:val="en-GB"/>
        </w:rPr>
        <w:t>BkF</w:t>
      </w:r>
      <w:proofErr w:type="spellEnd"/>
      <w:r w:rsidRPr="00866443">
        <w:rPr>
          <w:rFonts w:ascii="Arial" w:hAnsi="Arial" w:cs="Arial"/>
          <w:lang w:val="en-GB"/>
        </w:rPr>
        <w:t xml:space="preserve">, FLR, and FLRT, but very significant for </w:t>
      </w:r>
      <w:proofErr w:type="spellStart"/>
      <w:r w:rsidRPr="00866443">
        <w:rPr>
          <w:rFonts w:ascii="Arial" w:hAnsi="Arial" w:cs="Arial"/>
          <w:lang w:val="en-GB"/>
        </w:rPr>
        <w:t>BbF</w:t>
      </w:r>
      <w:proofErr w:type="spellEnd"/>
      <w:r w:rsidRPr="00866443">
        <w:rPr>
          <w:rFonts w:ascii="Arial" w:hAnsi="Arial" w:cs="Arial"/>
          <w:lang w:val="en-GB"/>
        </w:rPr>
        <w:t xml:space="preserve"> and I-(1,2,3-</w:t>
      </w:r>
      <w:proofErr w:type="gramStart"/>
      <w:r w:rsidRPr="00866443">
        <w:rPr>
          <w:rFonts w:ascii="Arial" w:hAnsi="Arial" w:cs="Arial"/>
          <w:lang w:val="en-GB"/>
        </w:rPr>
        <w:t>c,d</w:t>
      </w:r>
      <w:proofErr w:type="gramEnd"/>
      <w:r w:rsidRPr="00866443">
        <w:rPr>
          <w:rFonts w:ascii="Arial" w:hAnsi="Arial" w:cs="Arial"/>
          <w:lang w:val="en-GB"/>
        </w:rPr>
        <w:t>)P. In conclusion, these waters are of poor quality for supporting biological life and for all anthropogenic uses.</w:t>
      </w:r>
    </w:p>
    <w:p w14:paraId="1603AF91" w14:textId="77777777" w:rsidR="00866443" w:rsidRPr="00866443" w:rsidRDefault="00866443" w:rsidP="00866443">
      <w:pPr>
        <w:jc w:val="both"/>
        <w:rPr>
          <w:rFonts w:ascii="Arial" w:hAnsi="Arial" w:cs="Arial"/>
          <w:lang w:val="en-GB"/>
        </w:rPr>
        <w:sectPr w:rsidR="00866443" w:rsidRPr="00866443" w:rsidSect="00D720AB">
          <w:type w:val="continuous"/>
          <w:pgSz w:w="12240" w:h="15840"/>
          <w:pgMar w:top="1417" w:right="1417" w:bottom="1417" w:left="1417" w:header="708" w:footer="708" w:gutter="0"/>
          <w:cols w:space="708"/>
          <w:docGrid w:linePitch="360"/>
        </w:sectPr>
      </w:pPr>
    </w:p>
    <w:p w14:paraId="2561C272" w14:textId="576A1E59" w:rsidR="00866443" w:rsidRPr="00866443" w:rsidRDefault="00866443" w:rsidP="00FB5303">
      <w:pPr>
        <w:jc w:val="both"/>
        <w:rPr>
          <w:rFonts w:ascii="Arial" w:hAnsi="Arial" w:cs="Arial"/>
          <w:b/>
          <w:bCs/>
          <w:lang w:val="en-GB"/>
        </w:rPr>
      </w:pPr>
      <w:r w:rsidRPr="00866443">
        <w:rPr>
          <w:rFonts w:ascii="Arial" w:hAnsi="Arial" w:cs="Arial"/>
          <w:b/>
          <w:bCs/>
          <w:lang w:val="en-GB"/>
        </w:rPr>
        <w:lastRenderedPageBreak/>
        <w:t>Table 4</w:t>
      </w:r>
      <w:r>
        <w:rPr>
          <w:rFonts w:ascii="Arial" w:hAnsi="Arial" w:cs="Arial"/>
          <w:b/>
          <w:bCs/>
          <w:lang w:val="en-GB"/>
        </w:rPr>
        <w:t>.</w:t>
      </w:r>
      <w:r w:rsidRPr="00866443">
        <w:rPr>
          <w:rFonts w:ascii="Arial" w:hAnsi="Arial" w:cs="Arial"/>
          <w:b/>
          <w:bCs/>
          <w:lang w:val="en-GB"/>
        </w:rPr>
        <w:t xml:space="preserve"> Quality of the waters from the </w:t>
      </w:r>
      <w:proofErr w:type="spellStart"/>
      <w:r w:rsidRPr="00866443">
        <w:rPr>
          <w:rFonts w:ascii="Arial" w:hAnsi="Arial" w:cs="Arial"/>
          <w:b/>
          <w:bCs/>
          <w:lang w:val="en-GB"/>
        </w:rPr>
        <w:t>Déganobo</w:t>
      </w:r>
      <w:proofErr w:type="spellEnd"/>
      <w:r w:rsidRPr="00866443">
        <w:rPr>
          <w:rFonts w:ascii="Arial" w:hAnsi="Arial" w:cs="Arial"/>
          <w:b/>
          <w:bCs/>
          <w:lang w:val="en-GB"/>
        </w:rPr>
        <w:t xml:space="preserve"> lacustrine system according to SEQ-Eau V2 guidelines (MEDD and </w:t>
      </w:r>
      <w:proofErr w:type="spellStart"/>
      <w:r w:rsidRPr="00866443">
        <w:rPr>
          <w:rFonts w:ascii="Arial" w:hAnsi="Arial" w:cs="Arial"/>
          <w:b/>
          <w:bCs/>
          <w:lang w:val="en-GB"/>
        </w:rPr>
        <w:t>Agence</w:t>
      </w:r>
      <w:proofErr w:type="spellEnd"/>
      <w:r w:rsidRPr="00866443">
        <w:rPr>
          <w:rFonts w:ascii="Arial" w:hAnsi="Arial" w:cs="Arial"/>
          <w:b/>
          <w:bCs/>
          <w:lang w:val="en-GB"/>
        </w:rPr>
        <w:t xml:space="preserve"> de </w:t>
      </w:r>
      <w:proofErr w:type="spellStart"/>
      <w:r w:rsidRPr="00866443">
        <w:rPr>
          <w:rFonts w:ascii="Arial" w:hAnsi="Arial" w:cs="Arial"/>
          <w:b/>
          <w:bCs/>
          <w:lang w:val="en-GB"/>
        </w:rPr>
        <w:t>l'eau</w:t>
      </w:r>
      <w:proofErr w:type="spellEnd"/>
      <w:r w:rsidRPr="00866443">
        <w:rPr>
          <w:rFonts w:ascii="Arial" w:hAnsi="Arial" w:cs="Arial"/>
          <w:b/>
          <w:bCs/>
          <w:lang w:val="en-GB"/>
        </w:rPr>
        <w:t>, 2003) during the study period.</w:t>
      </w:r>
    </w:p>
    <w:tbl>
      <w:tblPr>
        <w:tblStyle w:val="Grilledutableau"/>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457"/>
        <w:gridCol w:w="1322"/>
        <w:gridCol w:w="1803"/>
        <w:gridCol w:w="1267"/>
        <w:gridCol w:w="1136"/>
        <w:gridCol w:w="1941"/>
        <w:gridCol w:w="1984"/>
      </w:tblGrid>
      <w:tr w:rsidR="00866443" w:rsidRPr="00866443" w14:paraId="494F45FE" w14:textId="77777777" w:rsidTr="001E366F">
        <w:trPr>
          <w:jc w:val="center"/>
        </w:trPr>
        <w:tc>
          <w:tcPr>
            <w:tcW w:w="1457" w:type="dxa"/>
            <w:vMerge w:val="restart"/>
          </w:tcPr>
          <w:p w14:paraId="326D4FC7" w14:textId="77777777" w:rsidR="00866443" w:rsidRPr="00866443" w:rsidRDefault="00866443" w:rsidP="00866443">
            <w:pPr>
              <w:jc w:val="center"/>
              <w:rPr>
                <w:rFonts w:ascii="Arial" w:hAnsi="Arial" w:cs="Arial"/>
                <w:bCs/>
                <w:sz w:val="20"/>
                <w:szCs w:val="20"/>
                <w:lang w:val="en-GB"/>
              </w:rPr>
            </w:pPr>
          </w:p>
          <w:p w14:paraId="269A604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PAHs</w:t>
            </w:r>
          </w:p>
        </w:tc>
        <w:tc>
          <w:tcPr>
            <w:tcW w:w="5528" w:type="dxa"/>
            <w:gridSpan w:val="4"/>
          </w:tcPr>
          <w:p w14:paraId="0B6B8B1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Concentration thresholds (µg/l)</w:t>
            </w:r>
          </w:p>
        </w:tc>
        <w:tc>
          <w:tcPr>
            <w:tcW w:w="1941" w:type="dxa"/>
            <w:vMerge w:val="restart"/>
          </w:tcPr>
          <w:p w14:paraId="37C38CE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Annual concentration in the waters from this lacustrine system (µg/L)</w:t>
            </w:r>
          </w:p>
        </w:tc>
        <w:tc>
          <w:tcPr>
            <w:tcW w:w="1984" w:type="dxa"/>
            <w:vMerge w:val="restart"/>
          </w:tcPr>
          <w:p w14:paraId="64025A4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Water quality during this period</w:t>
            </w:r>
          </w:p>
        </w:tc>
      </w:tr>
      <w:tr w:rsidR="00866443" w:rsidRPr="00866443" w14:paraId="3343DF99" w14:textId="77777777" w:rsidTr="001E366F">
        <w:trPr>
          <w:jc w:val="center"/>
        </w:trPr>
        <w:tc>
          <w:tcPr>
            <w:tcW w:w="1457" w:type="dxa"/>
            <w:vMerge/>
            <w:tcBorders>
              <w:bottom w:val="single" w:sz="4" w:space="0" w:color="000000" w:themeColor="text1"/>
            </w:tcBorders>
          </w:tcPr>
          <w:p w14:paraId="013CEB15" w14:textId="77777777" w:rsidR="00866443" w:rsidRPr="00866443" w:rsidRDefault="00866443" w:rsidP="00866443">
            <w:pPr>
              <w:jc w:val="center"/>
              <w:rPr>
                <w:rFonts w:ascii="Arial" w:hAnsi="Arial" w:cs="Arial"/>
                <w:bCs/>
                <w:sz w:val="20"/>
                <w:szCs w:val="20"/>
                <w:lang w:val="en-GB"/>
              </w:rPr>
            </w:pPr>
          </w:p>
        </w:tc>
        <w:tc>
          <w:tcPr>
            <w:tcW w:w="1322" w:type="dxa"/>
            <w:tcBorders>
              <w:bottom w:val="single" w:sz="4" w:space="0" w:color="000000" w:themeColor="text1"/>
            </w:tcBorders>
          </w:tcPr>
          <w:p w14:paraId="191334E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Very good </w:t>
            </w:r>
          </w:p>
        </w:tc>
        <w:tc>
          <w:tcPr>
            <w:tcW w:w="1803" w:type="dxa"/>
            <w:tcBorders>
              <w:bottom w:val="single" w:sz="4" w:space="0" w:color="000000" w:themeColor="text1"/>
            </w:tcBorders>
          </w:tcPr>
          <w:p w14:paraId="10E09B0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Good </w:t>
            </w:r>
          </w:p>
        </w:tc>
        <w:tc>
          <w:tcPr>
            <w:tcW w:w="1267" w:type="dxa"/>
            <w:tcBorders>
              <w:bottom w:val="single" w:sz="4" w:space="0" w:color="000000" w:themeColor="text1"/>
            </w:tcBorders>
          </w:tcPr>
          <w:p w14:paraId="13A8CB4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c>
          <w:tcPr>
            <w:tcW w:w="1136" w:type="dxa"/>
            <w:tcBorders>
              <w:bottom w:val="single" w:sz="4" w:space="0" w:color="000000" w:themeColor="text1"/>
            </w:tcBorders>
          </w:tcPr>
          <w:p w14:paraId="4D8B2F8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Poor </w:t>
            </w:r>
          </w:p>
        </w:tc>
        <w:tc>
          <w:tcPr>
            <w:tcW w:w="1941" w:type="dxa"/>
            <w:vMerge/>
            <w:tcBorders>
              <w:bottom w:val="single" w:sz="4" w:space="0" w:color="000000" w:themeColor="text1"/>
            </w:tcBorders>
          </w:tcPr>
          <w:p w14:paraId="6FAC4B17" w14:textId="77777777" w:rsidR="00866443" w:rsidRPr="00866443" w:rsidRDefault="00866443" w:rsidP="00866443">
            <w:pPr>
              <w:jc w:val="center"/>
              <w:rPr>
                <w:rFonts w:ascii="Arial" w:hAnsi="Arial" w:cs="Arial"/>
                <w:bCs/>
                <w:sz w:val="20"/>
                <w:szCs w:val="20"/>
                <w:lang w:val="en-GB"/>
              </w:rPr>
            </w:pPr>
          </w:p>
        </w:tc>
        <w:tc>
          <w:tcPr>
            <w:tcW w:w="1984" w:type="dxa"/>
            <w:vMerge/>
            <w:tcBorders>
              <w:bottom w:val="single" w:sz="4" w:space="0" w:color="000000" w:themeColor="text1"/>
            </w:tcBorders>
          </w:tcPr>
          <w:p w14:paraId="3FC9941C" w14:textId="77777777" w:rsidR="00866443" w:rsidRPr="00866443" w:rsidRDefault="00866443" w:rsidP="00866443">
            <w:pPr>
              <w:jc w:val="center"/>
              <w:rPr>
                <w:rFonts w:ascii="Arial" w:hAnsi="Arial" w:cs="Arial"/>
                <w:bCs/>
                <w:sz w:val="20"/>
                <w:szCs w:val="20"/>
                <w:lang w:val="en-GB"/>
              </w:rPr>
            </w:pPr>
          </w:p>
        </w:tc>
      </w:tr>
      <w:tr w:rsidR="00866443" w:rsidRPr="00866443" w14:paraId="4E1E2054" w14:textId="77777777" w:rsidTr="001E366F">
        <w:trPr>
          <w:jc w:val="center"/>
        </w:trPr>
        <w:tc>
          <w:tcPr>
            <w:tcW w:w="1457" w:type="dxa"/>
            <w:tcBorders>
              <w:bottom w:val="nil"/>
            </w:tcBorders>
          </w:tcPr>
          <w:p w14:paraId="4DE5B9D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ACPT</w:t>
            </w:r>
          </w:p>
        </w:tc>
        <w:tc>
          <w:tcPr>
            <w:tcW w:w="1322" w:type="dxa"/>
            <w:tcBorders>
              <w:bottom w:val="nil"/>
            </w:tcBorders>
          </w:tcPr>
          <w:p w14:paraId="01181F7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0.04</w:t>
            </w:r>
          </w:p>
        </w:tc>
        <w:tc>
          <w:tcPr>
            <w:tcW w:w="1803" w:type="dxa"/>
            <w:tcBorders>
              <w:bottom w:val="nil"/>
            </w:tcBorders>
          </w:tcPr>
          <w:p w14:paraId="157CCDD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0.04-0.4</w:t>
            </w:r>
          </w:p>
        </w:tc>
        <w:tc>
          <w:tcPr>
            <w:tcW w:w="1267" w:type="dxa"/>
            <w:tcBorders>
              <w:bottom w:val="nil"/>
            </w:tcBorders>
          </w:tcPr>
          <w:p w14:paraId="6FF152E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0.4-99</w:t>
            </w:r>
          </w:p>
        </w:tc>
        <w:tc>
          <w:tcPr>
            <w:tcW w:w="1136" w:type="dxa"/>
            <w:tcBorders>
              <w:bottom w:val="nil"/>
            </w:tcBorders>
          </w:tcPr>
          <w:p w14:paraId="180623D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99</w:t>
            </w:r>
          </w:p>
        </w:tc>
        <w:tc>
          <w:tcPr>
            <w:tcW w:w="1941" w:type="dxa"/>
            <w:tcBorders>
              <w:bottom w:val="nil"/>
            </w:tcBorders>
          </w:tcPr>
          <w:p w14:paraId="3E9924D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0.8±0.1</w:t>
            </w:r>
          </w:p>
        </w:tc>
        <w:tc>
          <w:tcPr>
            <w:tcW w:w="1984" w:type="dxa"/>
            <w:tcBorders>
              <w:bottom w:val="nil"/>
            </w:tcBorders>
          </w:tcPr>
          <w:p w14:paraId="142798D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404D034B" w14:textId="77777777" w:rsidTr="001E366F">
        <w:trPr>
          <w:jc w:val="center"/>
        </w:trPr>
        <w:tc>
          <w:tcPr>
            <w:tcW w:w="1457" w:type="dxa"/>
            <w:tcBorders>
              <w:top w:val="nil"/>
              <w:bottom w:val="nil"/>
            </w:tcBorders>
          </w:tcPr>
          <w:p w14:paraId="74CB1C4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ATC</w:t>
            </w:r>
          </w:p>
        </w:tc>
        <w:tc>
          <w:tcPr>
            <w:tcW w:w="1322" w:type="dxa"/>
            <w:tcBorders>
              <w:top w:val="nil"/>
              <w:bottom w:val="nil"/>
            </w:tcBorders>
          </w:tcPr>
          <w:p w14:paraId="2F08502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0.09</w:t>
            </w:r>
          </w:p>
        </w:tc>
        <w:tc>
          <w:tcPr>
            <w:tcW w:w="1803" w:type="dxa"/>
            <w:tcBorders>
              <w:top w:val="nil"/>
              <w:bottom w:val="nil"/>
            </w:tcBorders>
          </w:tcPr>
          <w:p w14:paraId="6CF8580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0.09-0.9</w:t>
            </w:r>
          </w:p>
        </w:tc>
        <w:tc>
          <w:tcPr>
            <w:tcW w:w="1267" w:type="dxa"/>
            <w:tcBorders>
              <w:top w:val="nil"/>
              <w:bottom w:val="nil"/>
            </w:tcBorders>
          </w:tcPr>
          <w:p w14:paraId="0E55557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0.9-21</w:t>
            </w:r>
          </w:p>
        </w:tc>
        <w:tc>
          <w:tcPr>
            <w:tcW w:w="1136" w:type="dxa"/>
            <w:tcBorders>
              <w:top w:val="nil"/>
              <w:bottom w:val="nil"/>
            </w:tcBorders>
          </w:tcPr>
          <w:p w14:paraId="7ABD738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21</w:t>
            </w:r>
          </w:p>
        </w:tc>
        <w:tc>
          <w:tcPr>
            <w:tcW w:w="1941" w:type="dxa"/>
            <w:tcBorders>
              <w:top w:val="nil"/>
              <w:bottom w:val="nil"/>
            </w:tcBorders>
          </w:tcPr>
          <w:p w14:paraId="5106CB9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1.8±0.2</w:t>
            </w:r>
          </w:p>
        </w:tc>
        <w:tc>
          <w:tcPr>
            <w:tcW w:w="1984" w:type="dxa"/>
            <w:tcBorders>
              <w:top w:val="nil"/>
              <w:bottom w:val="nil"/>
            </w:tcBorders>
          </w:tcPr>
          <w:p w14:paraId="0CBCC13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664ED421" w14:textId="77777777" w:rsidTr="001E366F">
        <w:trPr>
          <w:jc w:val="center"/>
        </w:trPr>
        <w:tc>
          <w:tcPr>
            <w:tcW w:w="1457" w:type="dxa"/>
            <w:tcBorders>
              <w:top w:val="nil"/>
              <w:bottom w:val="nil"/>
            </w:tcBorders>
          </w:tcPr>
          <w:p w14:paraId="65842371"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BaA</w:t>
            </w:r>
            <w:proofErr w:type="spellEnd"/>
          </w:p>
        </w:tc>
        <w:tc>
          <w:tcPr>
            <w:tcW w:w="1322" w:type="dxa"/>
            <w:tcBorders>
              <w:top w:val="nil"/>
              <w:bottom w:val="nil"/>
            </w:tcBorders>
          </w:tcPr>
          <w:p w14:paraId="1950A60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0.0005</w:t>
            </w:r>
          </w:p>
        </w:tc>
        <w:tc>
          <w:tcPr>
            <w:tcW w:w="1803" w:type="dxa"/>
            <w:tcBorders>
              <w:top w:val="nil"/>
              <w:bottom w:val="nil"/>
            </w:tcBorders>
          </w:tcPr>
          <w:p w14:paraId="45FE3DA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0.0005-0.005</w:t>
            </w:r>
          </w:p>
        </w:tc>
        <w:tc>
          <w:tcPr>
            <w:tcW w:w="1267" w:type="dxa"/>
            <w:tcBorders>
              <w:top w:val="nil"/>
              <w:bottom w:val="nil"/>
            </w:tcBorders>
          </w:tcPr>
          <w:p w14:paraId="4590D53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0.005-1.2</w:t>
            </w:r>
          </w:p>
        </w:tc>
        <w:tc>
          <w:tcPr>
            <w:tcW w:w="1136" w:type="dxa"/>
            <w:tcBorders>
              <w:top w:val="nil"/>
              <w:bottom w:val="nil"/>
            </w:tcBorders>
          </w:tcPr>
          <w:p w14:paraId="6051524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1.2</w:t>
            </w:r>
          </w:p>
        </w:tc>
        <w:tc>
          <w:tcPr>
            <w:tcW w:w="1941" w:type="dxa"/>
            <w:tcBorders>
              <w:top w:val="nil"/>
              <w:bottom w:val="nil"/>
            </w:tcBorders>
          </w:tcPr>
          <w:p w14:paraId="2ACDAAA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0.9±0.2</w:t>
            </w:r>
          </w:p>
        </w:tc>
        <w:tc>
          <w:tcPr>
            <w:tcW w:w="1984" w:type="dxa"/>
            <w:tcBorders>
              <w:top w:val="nil"/>
              <w:bottom w:val="nil"/>
            </w:tcBorders>
          </w:tcPr>
          <w:p w14:paraId="2F18D27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42382569" w14:textId="77777777" w:rsidTr="001E366F">
        <w:trPr>
          <w:jc w:val="center"/>
        </w:trPr>
        <w:tc>
          <w:tcPr>
            <w:tcW w:w="1457" w:type="dxa"/>
            <w:tcBorders>
              <w:top w:val="nil"/>
              <w:bottom w:val="nil"/>
            </w:tcBorders>
          </w:tcPr>
          <w:p w14:paraId="792CD8F7"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BaP</w:t>
            </w:r>
            <w:proofErr w:type="spellEnd"/>
          </w:p>
        </w:tc>
        <w:tc>
          <w:tcPr>
            <w:tcW w:w="1322" w:type="dxa"/>
            <w:tcBorders>
              <w:top w:val="nil"/>
              <w:bottom w:val="nil"/>
            </w:tcBorders>
          </w:tcPr>
          <w:p w14:paraId="488C79E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0.005</w:t>
            </w:r>
          </w:p>
        </w:tc>
        <w:tc>
          <w:tcPr>
            <w:tcW w:w="1803" w:type="dxa"/>
            <w:tcBorders>
              <w:top w:val="nil"/>
              <w:bottom w:val="nil"/>
            </w:tcBorders>
          </w:tcPr>
          <w:p w14:paraId="502DB4F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0.005-0.05</w:t>
            </w:r>
          </w:p>
        </w:tc>
        <w:tc>
          <w:tcPr>
            <w:tcW w:w="1267" w:type="dxa"/>
            <w:tcBorders>
              <w:top w:val="nil"/>
              <w:bottom w:val="nil"/>
            </w:tcBorders>
          </w:tcPr>
          <w:p w14:paraId="0485237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0.05-1.2</w:t>
            </w:r>
          </w:p>
        </w:tc>
        <w:tc>
          <w:tcPr>
            <w:tcW w:w="1136" w:type="dxa"/>
            <w:tcBorders>
              <w:top w:val="nil"/>
              <w:bottom w:val="nil"/>
            </w:tcBorders>
          </w:tcPr>
          <w:p w14:paraId="02AEE9C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1.2</w:t>
            </w:r>
          </w:p>
        </w:tc>
        <w:tc>
          <w:tcPr>
            <w:tcW w:w="1941" w:type="dxa"/>
            <w:tcBorders>
              <w:top w:val="nil"/>
              <w:bottom w:val="nil"/>
            </w:tcBorders>
          </w:tcPr>
          <w:p w14:paraId="0B4BEED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0.7±0.1</w:t>
            </w:r>
          </w:p>
        </w:tc>
        <w:tc>
          <w:tcPr>
            <w:tcW w:w="1984" w:type="dxa"/>
            <w:tcBorders>
              <w:top w:val="nil"/>
              <w:bottom w:val="nil"/>
            </w:tcBorders>
          </w:tcPr>
          <w:p w14:paraId="7B1726C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3F3778FF" w14:textId="77777777" w:rsidTr="001E366F">
        <w:trPr>
          <w:jc w:val="center"/>
        </w:trPr>
        <w:tc>
          <w:tcPr>
            <w:tcW w:w="1457" w:type="dxa"/>
            <w:tcBorders>
              <w:top w:val="nil"/>
              <w:bottom w:val="nil"/>
            </w:tcBorders>
          </w:tcPr>
          <w:p w14:paraId="7EFFF872"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BbF</w:t>
            </w:r>
            <w:proofErr w:type="spellEnd"/>
          </w:p>
        </w:tc>
        <w:tc>
          <w:tcPr>
            <w:tcW w:w="1322" w:type="dxa"/>
            <w:tcBorders>
              <w:top w:val="nil"/>
              <w:bottom w:val="nil"/>
            </w:tcBorders>
          </w:tcPr>
          <w:p w14:paraId="3CEB1C4F"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0.0001</w:t>
            </w:r>
          </w:p>
        </w:tc>
        <w:tc>
          <w:tcPr>
            <w:tcW w:w="1803" w:type="dxa"/>
            <w:tcBorders>
              <w:top w:val="nil"/>
              <w:bottom w:val="nil"/>
            </w:tcBorders>
          </w:tcPr>
          <w:p w14:paraId="22A9D5F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0.0001-0.001</w:t>
            </w:r>
          </w:p>
        </w:tc>
        <w:tc>
          <w:tcPr>
            <w:tcW w:w="1267" w:type="dxa"/>
            <w:tcBorders>
              <w:top w:val="nil"/>
              <w:bottom w:val="nil"/>
            </w:tcBorders>
          </w:tcPr>
          <w:p w14:paraId="6881772F"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0.001-0.3</w:t>
            </w:r>
          </w:p>
        </w:tc>
        <w:tc>
          <w:tcPr>
            <w:tcW w:w="1136" w:type="dxa"/>
            <w:tcBorders>
              <w:top w:val="nil"/>
              <w:bottom w:val="nil"/>
            </w:tcBorders>
          </w:tcPr>
          <w:p w14:paraId="49C630D9" w14:textId="77777777" w:rsidR="00866443" w:rsidRPr="00866443" w:rsidRDefault="00866443" w:rsidP="00866443">
            <w:pPr>
              <w:ind w:firstLine="30"/>
              <w:jc w:val="center"/>
              <w:rPr>
                <w:rFonts w:ascii="Arial" w:hAnsi="Arial" w:cs="Arial"/>
                <w:bCs/>
                <w:sz w:val="20"/>
                <w:szCs w:val="20"/>
                <w:lang w:val="en-GB"/>
              </w:rPr>
            </w:pPr>
            <w:r w:rsidRPr="00866443">
              <w:rPr>
                <w:rFonts w:ascii="Arial" w:hAnsi="Arial" w:cs="Arial"/>
                <w:bCs/>
                <w:sz w:val="20"/>
                <w:szCs w:val="20"/>
                <w:lang w:val="en-GB"/>
              </w:rPr>
              <w:t>&gt; 0.3</w:t>
            </w:r>
          </w:p>
        </w:tc>
        <w:tc>
          <w:tcPr>
            <w:tcW w:w="1941" w:type="dxa"/>
            <w:tcBorders>
              <w:top w:val="nil"/>
              <w:bottom w:val="nil"/>
            </w:tcBorders>
          </w:tcPr>
          <w:p w14:paraId="534CC87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1.7±0.3</w:t>
            </w:r>
          </w:p>
        </w:tc>
        <w:tc>
          <w:tcPr>
            <w:tcW w:w="1984" w:type="dxa"/>
            <w:tcBorders>
              <w:top w:val="nil"/>
              <w:bottom w:val="nil"/>
            </w:tcBorders>
          </w:tcPr>
          <w:p w14:paraId="43B2D8E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Poor</w:t>
            </w:r>
          </w:p>
        </w:tc>
      </w:tr>
      <w:tr w:rsidR="00866443" w:rsidRPr="00866443" w14:paraId="63CB77DF" w14:textId="77777777" w:rsidTr="001E366F">
        <w:trPr>
          <w:jc w:val="center"/>
        </w:trPr>
        <w:tc>
          <w:tcPr>
            <w:tcW w:w="1457" w:type="dxa"/>
            <w:tcBorders>
              <w:top w:val="nil"/>
              <w:bottom w:val="nil"/>
            </w:tcBorders>
          </w:tcPr>
          <w:p w14:paraId="4E29A421" w14:textId="77777777" w:rsidR="00866443" w:rsidRPr="00866443" w:rsidRDefault="00866443" w:rsidP="00866443">
            <w:pPr>
              <w:jc w:val="center"/>
              <w:rPr>
                <w:rFonts w:ascii="Arial" w:hAnsi="Arial" w:cs="Arial"/>
                <w:bCs/>
                <w:sz w:val="20"/>
                <w:szCs w:val="20"/>
                <w:lang w:val="en-GB"/>
              </w:rPr>
            </w:pPr>
            <w:proofErr w:type="spellStart"/>
            <w:r w:rsidRPr="00866443">
              <w:rPr>
                <w:rFonts w:ascii="Arial" w:hAnsi="Arial" w:cs="Arial"/>
                <w:bCs/>
                <w:sz w:val="20"/>
                <w:szCs w:val="20"/>
                <w:lang w:val="en-GB"/>
              </w:rPr>
              <w:t>BkF</w:t>
            </w:r>
            <w:proofErr w:type="spellEnd"/>
          </w:p>
        </w:tc>
        <w:tc>
          <w:tcPr>
            <w:tcW w:w="1322" w:type="dxa"/>
            <w:tcBorders>
              <w:top w:val="nil"/>
              <w:bottom w:val="nil"/>
            </w:tcBorders>
          </w:tcPr>
          <w:p w14:paraId="2E8A697F"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0.0003</w:t>
            </w:r>
          </w:p>
        </w:tc>
        <w:tc>
          <w:tcPr>
            <w:tcW w:w="1803" w:type="dxa"/>
            <w:tcBorders>
              <w:top w:val="nil"/>
              <w:bottom w:val="nil"/>
            </w:tcBorders>
          </w:tcPr>
          <w:p w14:paraId="0EFDE902"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0.0003-0.003</w:t>
            </w:r>
          </w:p>
        </w:tc>
        <w:tc>
          <w:tcPr>
            <w:tcW w:w="1267" w:type="dxa"/>
            <w:tcBorders>
              <w:top w:val="nil"/>
              <w:bottom w:val="nil"/>
            </w:tcBorders>
          </w:tcPr>
          <w:p w14:paraId="3DE0AA3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0.003-0.8</w:t>
            </w:r>
          </w:p>
        </w:tc>
        <w:tc>
          <w:tcPr>
            <w:tcW w:w="1136" w:type="dxa"/>
            <w:tcBorders>
              <w:top w:val="nil"/>
              <w:bottom w:val="nil"/>
            </w:tcBorders>
          </w:tcPr>
          <w:p w14:paraId="6EEF24E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0.8</w:t>
            </w:r>
          </w:p>
        </w:tc>
        <w:tc>
          <w:tcPr>
            <w:tcW w:w="1941" w:type="dxa"/>
            <w:tcBorders>
              <w:top w:val="nil"/>
              <w:bottom w:val="nil"/>
            </w:tcBorders>
          </w:tcPr>
          <w:p w14:paraId="67675D6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0.4±0.1</w:t>
            </w:r>
          </w:p>
        </w:tc>
        <w:tc>
          <w:tcPr>
            <w:tcW w:w="1984" w:type="dxa"/>
            <w:tcBorders>
              <w:top w:val="nil"/>
              <w:bottom w:val="nil"/>
            </w:tcBorders>
          </w:tcPr>
          <w:p w14:paraId="0376133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5E12F67F" w14:textId="77777777" w:rsidTr="001E366F">
        <w:trPr>
          <w:jc w:val="center"/>
        </w:trPr>
        <w:tc>
          <w:tcPr>
            <w:tcW w:w="1457" w:type="dxa"/>
            <w:tcBorders>
              <w:top w:val="nil"/>
              <w:bottom w:val="nil"/>
            </w:tcBorders>
          </w:tcPr>
          <w:p w14:paraId="0FC298E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FLR</w:t>
            </w:r>
          </w:p>
        </w:tc>
        <w:tc>
          <w:tcPr>
            <w:tcW w:w="1322" w:type="dxa"/>
            <w:tcBorders>
              <w:top w:val="nil"/>
              <w:bottom w:val="nil"/>
            </w:tcBorders>
          </w:tcPr>
          <w:p w14:paraId="376FB4A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0.03</w:t>
            </w:r>
          </w:p>
        </w:tc>
        <w:tc>
          <w:tcPr>
            <w:tcW w:w="1803" w:type="dxa"/>
            <w:tcBorders>
              <w:top w:val="nil"/>
              <w:bottom w:val="nil"/>
            </w:tcBorders>
          </w:tcPr>
          <w:p w14:paraId="5373088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0.03-0.3</w:t>
            </w:r>
          </w:p>
        </w:tc>
        <w:tc>
          <w:tcPr>
            <w:tcW w:w="1267" w:type="dxa"/>
            <w:tcBorders>
              <w:top w:val="nil"/>
              <w:bottom w:val="nil"/>
            </w:tcBorders>
          </w:tcPr>
          <w:p w14:paraId="7F1AAE9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0.3-77</w:t>
            </w:r>
          </w:p>
        </w:tc>
        <w:tc>
          <w:tcPr>
            <w:tcW w:w="1136" w:type="dxa"/>
            <w:tcBorders>
              <w:top w:val="nil"/>
              <w:bottom w:val="nil"/>
            </w:tcBorders>
          </w:tcPr>
          <w:p w14:paraId="3DA862EB"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77</w:t>
            </w:r>
          </w:p>
        </w:tc>
        <w:tc>
          <w:tcPr>
            <w:tcW w:w="1941" w:type="dxa"/>
            <w:tcBorders>
              <w:top w:val="nil"/>
              <w:bottom w:val="nil"/>
            </w:tcBorders>
          </w:tcPr>
          <w:p w14:paraId="7FE7B4A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2.3±0.3</w:t>
            </w:r>
          </w:p>
        </w:tc>
        <w:tc>
          <w:tcPr>
            <w:tcW w:w="1984" w:type="dxa"/>
            <w:tcBorders>
              <w:top w:val="nil"/>
              <w:bottom w:val="nil"/>
            </w:tcBorders>
          </w:tcPr>
          <w:p w14:paraId="770A37F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00D8AB94" w14:textId="77777777" w:rsidTr="001E366F">
        <w:trPr>
          <w:jc w:val="center"/>
        </w:trPr>
        <w:tc>
          <w:tcPr>
            <w:tcW w:w="1457" w:type="dxa"/>
            <w:tcBorders>
              <w:top w:val="nil"/>
              <w:bottom w:val="nil"/>
            </w:tcBorders>
          </w:tcPr>
          <w:p w14:paraId="18873D4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FLRT</w:t>
            </w:r>
          </w:p>
        </w:tc>
        <w:tc>
          <w:tcPr>
            <w:tcW w:w="1322" w:type="dxa"/>
            <w:tcBorders>
              <w:top w:val="nil"/>
              <w:bottom w:val="nil"/>
            </w:tcBorders>
          </w:tcPr>
          <w:p w14:paraId="1746B02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0.0024</w:t>
            </w:r>
          </w:p>
        </w:tc>
        <w:tc>
          <w:tcPr>
            <w:tcW w:w="1803" w:type="dxa"/>
            <w:tcBorders>
              <w:top w:val="nil"/>
              <w:bottom w:val="nil"/>
            </w:tcBorders>
          </w:tcPr>
          <w:p w14:paraId="0DE0761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0.0024-0.024</w:t>
            </w:r>
          </w:p>
        </w:tc>
        <w:tc>
          <w:tcPr>
            <w:tcW w:w="1267" w:type="dxa"/>
            <w:tcBorders>
              <w:top w:val="nil"/>
              <w:bottom w:val="nil"/>
            </w:tcBorders>
          </w:tcPr>
          <w:p w14:paraId="771F842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0.024-6</w:t>
            </w:r>
          </w:p>
        </w:tc>
        <w:tc>
          <w:tcPr>
            <w:tcW w:w="1136" w:type="dxa"/>
            <w:tcBorders>
              <w:top w:val="nil"/>
              <w:bottom w:val="nil"/>
            </w:tcBorders>
          </w:tcPr>
          <w:p w14:paraId="0F1ED68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6</w:t>
            </w:r>
          </w:p>
        </w:tc>
        <w:tc>
          <w:tcPr>
            <w:tcW w:w="1941" w:type="dxa"/>
            <w:tcBorders>
              <w:top w:val="nil"/>
              <w:bottom w:val="nil"/>
            </w:tcBorders>
          </w:tcPr>
          <w:p w14:paraId="2D185EE5"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4.7±0.6</w:t>
            </w:r>
          </w:p>
        </w:tc>
        <w:tc>
          <w:tcPr>
            <w:tcW w:w="1984" w:type="dxa"/>
            <w:tcBorders>
              <w:top w:val="nil"/>
              <w:bottom w:val="nil"/>
            </w:tcBorders>
          </w:tcPr>
          <w:p w14:paraId="1AFD41F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0BB0CC7B" w14:textId="77777777" w:rsidTr="001E366F">
        <w:trPr>
          <w:jc w:val="center"/>
        </w:trPr>
        <w:tc>
          <w:tcPr>
            <w:tcW w:w="1457" w:type="dxa"/>
            <w:tcBorders>
              <w:top w:val="nil"/>
              <w:bottom w:val="nil"/>
            </w:tcBorders>
          </w:tcPr>
          <w:p w14:paraId="133AF02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I(1,2,3-cd)P</w:t>
            </w:r>
          </w:p>
        </w:tc>
        <w:tc>
          <w:tcPr>
            <w:tcW w:w="1322" w:type="dxa"/>
            <w:tcBorders>
              <w:top w:val="nil"/>
              <w:bottom w:val="nil"/>
            </w:tcBorders>
          </w:tcPr>
          <w:p w14:paraId="571B180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0.00016</w:t>
            </w:r>
          </w:p>
        </w:tc>
        <w:tc>
          <w:tcPr>
            <w:tcW w:w="1803" w:type="dxa"/>
            <w:tcBorders>
              <w:top w:val="nil"/>
              <w:bottom w:val="nil"/>
            </w:tcBorders>
          </w:tcPr>
          <w:p w14:paraId="4574A09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0.00016-0.0016</w:t>
            </w:r>
          </w:p>
        </w:tc>
        <w:tc>
          <w:tcPr>
            <w:tcW w:w="1267" w:type="dxa"/>
            <w:tcBorders>
              <w:top w:val="nil"/>
              <w:bottom w:val="nil"/>
            </w:tcBorders>
          </w:tcPr>
          <w:p w14:paraId="26408D5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0.0016-0.4</w:t>
            </w:r>
          </w:p>
        </w:tc>
        <w:tc>
          <w:tcPr>
            <w:tcW w:w="1136" w:type="dxa"/>
            <w:tcBorders>
              <w:top w:val="nil"/>
              <w:bottom w:val="nil"/>
            </w:tcBorders>
          </w:tcPr>
          <w:p w14:paraId="157AA14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0.4</w:t>
            </w:r>
          </w:p>
        </w:tc>
        <w:tc>
          <w:tcPr>
            <w:tcW w:w="1941" w:type="dxa"/>
            <w:tcBorders>
              <w:top w:val="nil"/>
              <w:bottom w:val="nil"/>
            </w:tcBorders>
          </w:tcPr>
          <w:p w14:paraId="1C8967B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0.5±0.1</w:t>
            </w:r>
          </w:p>
        </w:tc>
        <w:tc>
          <w:tcPr>
            <w:tcW w:w="1984" w:type="dxa"/>
            <w:tcBorders>
              <w:top w:val="nil"/>
              <w:bottom w:val="nil"/>
            </w:tcBorders>
          </w:tcPr>
          <w:p w14:paraId="5E5C082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Poor</w:t>
            </w:r>
          </w:p>
        </w:tc>
      </w:tr>
      <w:tr w:rsidR="00866443" w:rsidRPr="00866443" w14:paraId="174772C1" w14:textId="77777777" w:rsidTr="001E366F">
        <w:trPr>
          <w:jc w:val="center"/>
        </w:trPr>
        <w:tc>
          <w:tcPr>
            <w:tcW w:w="1457" w:type="dxa"/>
            <w:tcBorders>
              <w:top w:val="nil"/>
              <w:bottom w:val="nil"/>
            </w:tcBorders>
          </w:tcPr>
          <w:p w14:paraId="18A1532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NPT</w:t>
            </w:r>
          </w:p>
        </w:tc>
        <w:tc>
          <w:tcPr>
            <w:tcW w:w="1322" w:type="dxa"/>
            <w:tcBorders>
              <w:top w:val="nil"/>
              <w:bottom w:val="nil"/>
            </w:tcBorders>
          </w:tcPr>
          <w:p w14:paraId="7FFF585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0.19</w:t>
            </w:r>
          </w:p>
        </w:tc>
        <w:tc>
          <w:tcPr>
            <w:tcW w:w="1803" w:type="dxa"/>
            <w:tcBorders>
              <w:top w:val="nil"/>
              <w:bottom w:val="nil"/>
            </w:tcBorders>
          </w:tcPr>
          <w:p w14:paraId="01ED7174"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0.19-1.9</w:t>
            </w:r>
          </w:p>
        </w:tc>
        <w:tc>
          <w:tcPr>
            <w:tcW w:w="1267" w:type="dxa"/>
            <w:tcBorders>
              <w:top w:val="nil"/>
              <w:bottom w:val="nil"/>
            </w:tcBorders>
          </w:tcPr>
          <w:p w14:paraId="0D26334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1.9-460</w:t>
            </w:r>
          </w:p>
        </w:tc>
        <w:tc>
          <w:tcPr>
            <w:tcW w:w="1136" w:type="dxa"/>
            <w:tcBorders>
              <w:top w:val="nil"/>
              <w:bottom w:val="nil"/>
            </w:tcBorders>
          </w:tcPr>
          <w:p w14:paraId="0D88FC5E"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460</w:t>
            </w:r>
          </w:p>
        </w:tc>
        <w:tc>
          <w:tcPr>
            <w:tcW w:w="1941" w:type="dxa"/>
            <w:tcBorders>
              <w:top w:val="nil"/>
              <w:bottom w:val="nil"/>
            </w:tcBorders>
          </w:tcPr>
          <w:p w14:paraId="5B464BA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0.4±0.1</w:t>
            </w:r>
          </w:p>
        </w:tc>
        <w:tc>
          <w:tcPr>
            <w:tcW w:w="1984" w:type="dxa"/>
            <w:tcBorders>
              <w:top w:val="nil"/>
              <w:bottom w:val="nil"/>
            </w:tcBorders>
          </w:tcPr>
          <w:p w14:paraId="32D1020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 xml:space="preserve">Good </w:t>
            </w:r>
          </w:p>
        </w:tc>
      </w:tr>
      <w:tr w:rsidR="00866443" w:rsidRPr="00866443" w14:paraId="2C7CA72E" w14:textId="77777777" w:rsidTr="001E366F">
        <w:trPr>
          <w:jc w:val="center"/>
        </w:trPr>
        <w:tc>
          <w:tcPr>
            <w:tcW w:w="1457" w:type="dxa"/>
            <w:tcBorders>
              <w:top w:val="nil"/>
              <w:bottom w:val="nil"/>
            </w:tcBorders>
          </w:tcPr>
          <w:p w14:paraId="2B0A100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PNT</w:t>
            </w:r>
          </w:p>
        </w:tc>
        <w:tc>
          <w:tcPr>
            <w:tcW w:w="1322" w:type="dxa"/>
            <w:tcBorders>
              <w:top w:val="nil"/>
              <w:bottom w:val="nil"/>
            </w:tcBorders>
          </w:tcPr>
          <w:p w14:paraId="3C15EC6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0.011</w:t>
            </w:r>
          </w:p>
        </w:tc>
        <w:tc>
          <w:tcPr>
            <w:tcW w:w="1803" w:type="dxa"/>
            <w:tcBorders>
              <w:top w:val="nil"/>
              <w:bottom w:val="nil"/>
            </w:tcBorders>
          </w:tcPr>
          <w:p w14:paraId="301B2208"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0.011-0.11</w:t>
            </w:r>
          </w:p>
        </w:tc>
        <w:tc>
          <w:tcPr>
            <w:tcW w:w="1267" w:type="dxa"/>
            <w:tcBorders>
              <w:top w:val="nil"/>
              <w:bottom w:val="nil"/>
            </w:tcBorders>
          </w:tcPr>
          <w:p w14:paraId="1BF554FD"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0.11-27</w:t>
            </w:r>
          </w:p>
        </w:tc>
        <w:tc>
          <w:tcPr>
            <w:tcW w:w="1136" w:type="dxa"/>
            <w:tcBorders>
              <w:top w:val="nil"/>
              <w:bottom w:val="nil"/>
            </w:tcBorders>
          </w:tcPr>
          <w:p w14:paraId="2DCA3DB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27</w:t>
            </w:r>
          </w:p>
        </w:tc>
        <w:tc>
          <w:tcPr>
            <w:tcW w:w="1941" w:type="dxa"/>
            <w:tcBorders>
              <w:top w:val="nil"/>
              <w:bottom w:val="nil"/>
            </w:tcBorders>
          </w:tcPr>
          <w:p w14:paraId="42AE33C0"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10.3±1.5</w:t>
            </w:r>
          </w:p>
        </w:tc>
        <w:tc>
          <w:tcPr>
            <w:tcW w:w="1984" w:type="dxa"/>
            <w:tcBorders>
              <w:top w:val="nil"/>
              <w:bottom w:val="nil"/>
            </w:tcBorders>
          </w:tcPr>
          <w:p w14:paraId="30043547"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r w:rsidR="00866443" w:rsidRPr="00866443" w14:paraId="4AB538F5" w14:textId="77777777" w:rsidTr="001E366F">
        <w:trPr>
          <w:jc w:val="center"/>
        </w:trPr>
        <w:tc>
          <w:tcPr>
            <w:tcW w:w="1457" w:type="dxa"/>
            <w:tcBorders>
              <w:top w:val="nil"/>
            </w:tcBorders>
          </w:tcPr>
          <w:p w14:paraId="45266701"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PYR</w:t>
            </w:r>
          </w:p>
        </w:tc>
        <w:tc>
          <w:tcPr>
            <w:tcW w:w="1322" w:type="dxa"/>
            <w:tcBorders>
              <w:top w:val="nil"/>
            </w:tcBorders>
          </w:tcPr>
          <w:p w14:paraId="6D4A5C4A"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&lt; 0.0024</w:t>
            </w:r>
          </w:p>
        </w:tc>
        <w:tc>
          <w:tcPr>
            <w:tcW w:w="1803" w:type="dxa"/>
            <w:tcBorders>
              <w:top w:val="nil"/>
            </w:tcBorders>
          </w:tcPr>
          <w:p w14:paraId="58C3754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0.0024-0.024</w:t>
            </w:r>
          </w:p>
        </w:tc>
        <w:tc>
          <w:tcPr>
            <w:tcW w:w="1267" w:type="dxa"/>
            <w:tcBorders>
              <w:top w:val="nil"/>
            </w:tcBorders>
          </w:tcPr>
          <w:p w14:paraId="5D77CC89"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0.024-6</w:t>
            </w:r>
          </w:p>
        </w:tc>
        <w:tc>
          <w:tcPr>
            <w:tcW w:w="1136" w:type="dxa"/>
            <w:tcBorders>
              <w:top w:val="nil"/>
            </w:tcBorders>
          </w:tcPr>
          <w:p w14:paraId="57EE7B23"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&gt; 6</w:t>
            </w:r>
          </w:p>
        </w:tc>
        <w:tc>
          <w:tcPr>
            <w:tcW w:w="1941" w:type="dxa"/>
            <w:tcBorders>
              <w:top w:val="nil"/>
            </w:tcBorders>
          </w:tcPr>
          <w:p w14:paraId="72F6BF9C"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3.4±0.5</w:t>
            </w:r>
          </w:p>
        </w:tc>
        <w:tc>
          <w:tcPr>
            <w:tcW w:w="1984" w:type="dxa"/>
            <w:tcBorders>
              <w:top w:val="nil"/>
            </w:tcBorders>
          </w:tcPr>
          <w:p w14:paraId="7F21B1F6" w14:textId="77777777" w:rsidR="00866443" w:rsidRPr="00866443" w:rsidRDefault="00866443" w:rsidP="00866443">
            <w:pPr>
              <w:jc w:val="center"/>
              <w:rPr>
                <w:rFonts w:ascii="Arial" w:hAnsi="Arial" w:cs="Arial"/>
                <w:bCs/>
                <w:sz w:val="20"/>
                <w:szCs w:val="20"/>
                <w:lang w:val="en-GB"/>
              </w:rPr>
            </w:pPr>
            <w:r w:rsidRPr="00866443">
              <w:rPr>
                <w:rFonts w:ascii="Arial" w:hAnsi="Arial" w:cs="Arial"/>
                <w:bCs/>
                <w:sz w:val="20"/>
                <w:szCs w:val="20"/>
                <w:lang w:val="en-GB"/>
              </w:rPr>
              <w:t>Moderate</w:t>
            </w:r>
          </w:p>
        </w:tc>
      </w:tr>
    </w:tbl>
    <w:p w14:paraId="2556DBF5" w14:textId="77777777" w:rsidR="00866443" w:rsidRDefault="00866443" w:rsidP="00866443">
      <w:pPr>
        <w:spacing w:line="360" w:lineRule="auto"/>
        <w:jc w:val="both"/>
        <w:rPr>
          <w:rFonts w:ascii="Times New Roman" w:hAnsi="Times New Roman"/>
          <w:sz w:val="24"/>
          <w:szCs w:val="24"/>
          <w:lang w:val="en-GB"/>
        </w:rPr>
      </w:pPr>
    </w:p>
    <w:p w14:paraId="10410E63" w14:textId="77777777" w:rsidR="00866443" w:rsidRDefault="00866443" w:rsidP="00866443">
      <w:pPr>
        <w:spacing w:line="360" w:lineRule="auto"/>
        <w:jc w:val="both"/>
        <w:rPr>
          <w:rFonts w:ascii="Times New Roman" w:hAnsi="Times New Roman"/>
          <w:sz w:val="24"/>
          <w:szCs w:val="24"/>
          <w:lang w:val="en-GB"/>
        </w:rPr>
        <w:sectPr w:rsidR="00866443" w:rsidSect="00D720AB">
          <w:pgSz w:w="15840" w:h="12240" w:orient="landscape"/>
          <w:pgMar w:top="1417" w:right="1417" w:bottom="1417" w:left="1417" w:header="708" w:footer="708" w:gutter="0"/>
          <w:cols w:space="708"/>
          <w:docGrid w:linePitch="360"/>
        </w:sectPr>
      </w:pPr>
    </w:p>
    <w:p w14:paraId="2AD1B146" w14:textId="0C2895DA" w:rsidR="00866443" w:rsidRPr="00FB5303" w:rsidRDefault="00FB5303" w:rsidP="00993384">
      <w:pPr>
        <w:jc w:val="both"/>
        <w:rPr>
          <w:rFonts w:ascii="Arial" w:hAnsi="Arial" w:cs="Arial"/>
          <w:b/>
          <w:bCs/>
          <w:u w:val="single"/>
          <w:lang w:val="en-GB"/>
        </w:rPr>
      </w:pPr>
      <w:r w:rsidRPr="00FB5303">
        <w:rPr>
          <w:rFonts w:ascii="Arial" w:hAnsi="Arial" w:cs="Arial"/>
          <w:b/>
          <w:bCs/>
          <w:u w:val="single"/>
          <w:lang w:val="en-GB"/>
        </w:rPr>
        <w:lastRenderedPageBreak/>
        <w:t xml:space="preserve">3.1.5. </w:t>
      </w:r>
      <w:r w:rsidR="00866443" w:rsidRPr="00FB5303">
        <w:rPr>
          <w:rFonts w:ascii="Arial" w:hAnsi="Arial" w:cs="Arial"/>
          <w:b/>
          <w:bCs/>
          <w:u w:val="single"/>
          <w:lang w:val="en-GB"/>
        </w:rPr>
        <w:t>Health risks associated with PAHs in these waters</w:t>
      </w:r>
    </w:p>
    <w:p w14:paraId="498AA4F1" w14:textId="3D313B51" w:rsidR="00866443" w:rsidRPr="00FB5303" w:rsidRDefault="00FB5303" w:rsidP="00993384">
      <w:pPr>
        <w:jc w:val="both"/>
        <w:rPr>
          <w:rFonts w:ascii="Arial" w:hAnsi="Arial" w:cs="Arial"/>
          <w:i/>
          <w:iCs/>
          <w:lang w:val="en-GB"/>
        </w:rPr>
      </w:pPr>
      <w:r w:rsidRPr="00FB5303">
        <w:rPr>
          <w:rFonts w:ascii="Arial" w:hAnsi="Arial" w:cs="Arial"/>
          <w:i/>
          <w:iCs/>
          <w:lang w:val="en-GB"/>
        </w:rPr>
        <w:t xml:space="preserve">3.1.5.1. </w:t>
      </w:r>
      <w:r w:rsidR="00866443" w:rsidRPr="00FB5303">
        <w:rPr>
          <w:rFonts w:ascii="Arial" w:hAnsi="Arial" w:cs="Arial"/>
          <w:i/>
          <w:iCs/>
          <w:lang w:val="en-GB"/>
        </w:rPr>
        <w:t>Health risks associated with PAHs for biota and human</w:t>
      </w:r>
    </w:p>
    <w:p w14:paraId="0F4E6974" w14:textId="5EBEDD4A" w:rsidR="005C429C" w:rsidRPr="00FB5303" w:rsidRDefault="005C429C" w:rsidP="00993384">
      <w:pPr>
        <w:jc w:val="both"/>
        <w:rPr>
          <w:rFonts w:ascii="Arial" w:hAnsi="Arial" w:cs="Arial"/>
          <w:lang w:val="en-GB"/>
        </w:rPr>
      </w:pPr>
      <w:r w:rsidRPr="00FB5303">
        <w:rPr>
          <w:rFonts w:ascii="Arial" w:hAnsi="Arial" w:cs="Arial"/>
          <w:lang w:val="en-GB"/>
        </w:rPr>
        <w:t xml:space="preserve">The Environmental Quality Standards (EQS) defined by Directive 2013/39/EU (OJEU, 2013) indicate that the ecotoxicity and toxicity risks for the biota of this aquatic ecosystem, as well as for humans, were acute in the short term and chronic in the long term. This was due to the observed concentrations of ATC, </w:t>
      </w:r>
      <w:proofErr w:type="spellStart"/>
      <w:r w:rsidRPr="00FB5303">
        <w:rPr>
          <w:rFonts w:ascii="Arial" w:hAnsi="Arial" w:cs="Arial"/>
          <w:lang w:val="en-GB"/>
        </w:rPr>
        <w:t>BbF</w:t>
      </w:r>
      <w:proofErr w:type="spellEnd"/>
      <w:r w:rsidRPr="00FB5303">
        <w:rPr>
          <w:rFonts w:ascii="Arial" w:hAnsi="Arial" w:cs="Arial"/>
          <w:lang w:val="en-GB"/>
        </w:rPr>
        <w:t xml:space="preserve">, </w:t>
      </w:r>
      <w:proofErr w:type="spellStart"/>
      <w:r w:rsidRPr="00FB5303">
        <w:rPr>
          <w:rFonts w:ascii="Arial" w:hAnsi="Arial" w:cs="Arial"/>
          <w:lang w:val="en-GB"/>
        </w:rPr>
        <w:t>BkF</w:t>
      </w:r>
      <w:proofErr w:type="spellEnd"/>
      <w:r w:rsidRPr="00FB5303">
        <w:rPr>
          <w:rFonts w:ascii="Arial" w:hAnsi="Arial" w:cs="Arial"/>
          <w:lang w:val="en-GB"/>
        </w:rPr>
        <w:t>, and FLRT during this period. Risks were also acute in the short term when considering the maximum concentration of I-(1,2,3-</w:t>
      </w:r>
      <w:proofErr w:type="gramStart"/>
      <w:r w:rsidRPr="00FB5303">
        <w:rPr>
          <w:rFonts w:ascii="Arial" w:hAnsi="Arial" w:cs="Arial"/>
          <w:lang w:val="en-GB"/>
        </w:rPr>
        <w:t>c,d</w:t>
      </w:r>
      <w:proofErr w:type="gramEnd"/>
      <w:r w:rsidRPr="00FB5303">
        <w:rPr>
          <w:rFonts w:ascii="Arial" w:hAnsi="Arial" w:cs="Arial"/>
          <w:lang w:val="en-GB"/>
        </w:rPr>
        <w:t>)P (Table 5). These observations were confirmed by Student's t-test (</w:t>
      </w:r>
      <w:r w:rsidRPr="00FB5303">
        <w:rPr>
          <w:rFonts w:ascii="Arial" w:hAnsi="Arial" w:cs="Arial"/>
          <w:i/>
          <w:iCs/>
          <w:lang w:val="en-GB"/>
        </w:rPr>
        <w:t>p</w:t>
      </w:r>
      <w:r w:rsidRPr="00FB5303">
        <w:rPr>
          <w:rFonts w:ascii="Arial" w:hAnsi="Arial" w:cs="Arial"/>
          <w:lang w:val="en-GB"/>
        </w:rPr>
        <w:t xml:space="preserve"> &lt;</w:t>
      </w:r>
      <w:r w:rsidR="00D31B09">
        <w:rPr>
          <w:rFonts w:ascii="Arial" w:hAnsi="Arial" w:cs="Arial"/>
          <w:lang w:val="en-GB"/>
        </w:rPr>
        <w:t xml:space="preserve"> </w:t>
      </w:r>
      <w:r w:rsidRPr="00FB5303">
        <w:rPr>
          <w:rFonts w:ascii="Arial" w:hAnsi="Arial" w:cs="Arial"/>
          <w:lang w:val="en-GB"/>
        </w:rPr>
        <w:t>.05).</w:t>
      </w:r>
    </w:p>
    <w:p w14:paraId="4E3051C5" w14:textId="77777777" w:rsidR="005C429C" w:rsidRPr="00FB5303" w:rsidRDefault="005C429C" w:rsidP="00993384">
      <w:pPr>
        <w:jc w:val="both"/>
        <w:rPr>
          <w:rFonts w:ascii="Arial" w:hAnsi="Arial" w:cs="Arial"/>
          <w:lang w:val="en-GB"/>
        </w:rPr>
      </w:pPr>
    </w:p>
    <w:p w14:paraId="41D90925" w14:textId="19679F3E" w:rsidR="005C429C" w:rsidRPr="00FB5303" w:rsidRDefault="005C429C" w:rsidP="00FB5303">
      <w:pPr>
        <w:jc w:val="both"/>
        <w:rPr>
          <w:rFonts w:ascii="Arial" w:hAnsi="Arial" w:cs="Arial"/>
          <w:b/>
          <w:bCs/>
          <w:lang w:val="en-GB"/>
        </w:rPr>
      </w:pPr>
      <w:r w:rsidRPr="00FB5303">
        <w:rPr>
          <w:rFonts w:ascii="Arial" w:hAnsi="Arial" w:cs="Arial"/>
          <w:b/>
          <w:bCs/>
          <w:lang w:val="en-GB"/>
        </w:rPr>
        <w:t>Table 5</w:t>
      </w:r>
      <w:r w:rsidR="00FB5303">
        <w:rPr>
          <w:rFonts w:ascii="Arial" w:hAnsi="Arial" w:cs="Arial"/>
          <w:b/>
          <w:bCs/>
          <w:lang w:val="en-GB"/>
        </w:rPr>
        <w:t>.</w:t>
      </w:r>
      <w:r w:rsidRPr="00FB5303">
        <w:rPr>
          <w:rFonts w:ascii="Arial" w:hAnsi="Arial" w:cs="Arial"/>
          <w:b/>
          <w:bCs/>
          <w:lang w:val="en-GB"/>
        </w:rPr>
        <w:t xml:space="preserve"> Toxicity Levels of the waters from the </w:t>
      </w:r>
      <w:proofErr w:type="spellStart"/>
      <w:r w:rsidRPr="00FB5303">
        <w:rPr>
          <w:rFonts w:ascii="Arial" w:hAnsi="Arial" w:cs="Arial"/>
          <w:b/>
          <w:bCs/>
          <w:lang w:val="en-GB"/>
        </w:rPr>
        <w:t>Déganobo</w:t>
      </w:r>
      <w:proofErr w:type="spellEnd"/>
      <w:r w:rsidRPr="00FB5303">
        <w:rPr>
          <w:rFonts w:ascii="Arial" w:hAnsi="Arial" w:cs="Arial"/>
          <w:b/>
          <w:bCs/>
          <w:lang w:val="en-GB"/>
        </w:rPr>
        <w:t xml:space="preserve"> lacustrine system related to some PAHs during the study period.</w:t>
      </w:r>
    </w:p>
    <w:tbl>
      <w:tblPr>
        <w:tblStyle w:val="Grilledutableau"/>
        <w:tblW w:w="0" w:type="auto"/>
        <w:tblInd w:w="-284"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627"/>
        <w:gridCol w:w="925"/>
        <w:gridCol w:w="836"/>
        <w:gridCol w:w="1576"/>
        <w:gridCol w:w="1715"/>
        <w:gridCol w:w="1492"/>
        <w:gridCol w:w="1519"/>
      </w:tblGrid>
      <w:tr w:rsidR="005C429C" w:rsidRPr="00FB5303" w14:paraId="2A6F8D60" w14:textId="77777777" w:rsidTr="001E366F">
        <w:tc>
          <w:tcPr>
            <w:tcW w:w="1627" w:type="dxa"/>
            <w:tcBorders>
              <w:bottom w:val="single" w:sz="4" w:space="0" w:color="000000" w:themeColor="text1"/>
            </w:tcBorders>
          </w:tcPr>
          <w:p w14:paraId="3E409F5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PAHs</w:t>
            </w:r>
          </w:p>
        </w:tc>
        <w:tc>
          <w:tcPr>
            <w:tcW w:w="925" w:type="dxa"/>
            <w:tcBorders>
              <w:bottom w:val="single" w:sz="4" w:space="0" w:color="000000" w:themeColor="text1"/>
            </w:tcBorders>
          </w:tcPr>
          <w:p w14:paraId="502DB0B6"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vertAlign w:val="superscript"/>
                <w:lang w:val="en-GB"/>
              </w:rPr>
              <w:t>1</w:t>
            </w:r>
            <w:r w:rsidRPr="00FB5303">
              <w:rPr>
                <w:rFonts w:ascii="Arial" w:hAnsi="Arial" w:cs="Arial"/>
                <w:bCs/>
                <w:sz w:val="20"/>
                <w:szCs w:val="20"/>
                <w:lang w:val="en-GB"/>
              </w:rPr>
              <w:t>MACs</w:t>
            </w:r>
          </w:p>
          <w:p w14:paraId="03E1035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(µg/l)</w:t>
            </w:r>
          </w:p>
        </w:tc>
        <w:tc>
          <w:tcPr>
            <w:tcW w:w="836" w:type="dxa"/>
            <w:tcBorders>
              <w:bottom w:val="single" w:sz="4" w:space="0" w:color="000000" w:themeColor="text1"/>
            </w:tcBorders>
          </w:tcPr>
          <w:p w14:paraId="6A4B1166"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vertAlign w:val="superscript"/>
                <w:lang w:val="en-GB"/>
              </w:rPr>
              <w:t>2</w:t>
            </w:r>
            <w:r w:rsidRPr="00FB5303">
              <w:rPr>
                <w:rFonts w:ascii="Arial" w:hAnsi="Arial" w:cs="Arial"/>
                <w:bCs/>
                <w:sz w:val="20"/>
                <w:szCs w:val="20"/>
                <w:lang w:val="en-GB"/>
              </w:rPr>
              <w:t>AACs (µg/l)</w:t>
            </w:r>
          </w:p>
        </w:tc>
        <w:tc>
          <w:tcPr>
            <w:tcW w:w="1576" w:type="dxa"/>
            <w:tcBorders>
              <w:bottom w:val="single" w:sz="4" w:space="0" w:color="000000" w:themeColor="text1"/>
            </w:tcBorders>
          </w:tcPr>
          <w:p w14:paraId="5CE7779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Maximum concentration in waters (µg/l)</w:t>
            </w:r>
          </w:p>
        </w:tc>
        <w:tc>
          <w:tcPr>
            <w:tcW w:w="1715" w:type="dxa"/>
            <w:tcBorders>
              <w:bottom w:val="single" w:sz="4" w:space="0" w:color="000000" w:themeColor="text1"/>
            </w:tcBorders>
          </w:tcPr>
          <w:p w14:paraId="36E45152"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Mean concentration in the waters </w:t>
            </w:r>
          </w:p>
        </w:tc>
        <w:tc>
          <w:tcPr>
            <w:tcW w:w="1492" w:type="dxa"/>
            <w:tcBorders>
              <w:bottom w:val="single" w:sz="4" w:space="0" w:color="000000" w:themeColor="text1"/>
            </w:tcBorders>
          </w:tcPr>
          <w:p w14:paraId="701092B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Acute health risks </w:t>
            </w:r>
          </w:p>
        </w:tc>
        <w:tc>
          <w:tcPr>
            <w:tcW w:w="1519" w:type="dxa"/>
            <w:tcBorders>
              <w:bottom w:val="single" w:sz="4" w:space="0" w:color="000000" w:themeColor="text1"/>
            </w:tcBorders>
          </w:tcPr>
          <w:p w14:paraId="46D9BE8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Chronic health risks </w:t>
            </w:r>
          </w:p>
        </w:tc>
      </w:tr>
      <w:tr w:rsidR="005C429C" w:rsidRPr="00FB5303" w14:paraId="7DA6F7A3" w14:textId="77777777" w:rsidTr="001E366F">
        <w:tc>
          <w:tcPr>
            <w:tcW w:w="1627" w:type="dxa"/>
            <w:tcBorders>
              <w:bottom w:val="nil"/>
            </w:tcBorders>
          </w:tcPr>
          <w:p w14:paraId="148F5C2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ATC</w:t>
            </w:r>
          </w:p>
        </w:tc>
        <w:tc>
          <w:tcPr>
            <w:tcW w:w="925" w:type="dxa"/>
            <w:tcBorders>
              <w:bottom w:val="nil"/>
            </w:tcBorders>
          </w:tcPr>
          <w:p w14:paraId="5ACF8B4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0.1</w:t>
            </w:r>
          </w:p>
        </w:tc>
        <w:tc>
          <w:tcPr>
            <w:tcW w:w="836" w:type="dxa"/>
            <w:tcBorders>
              <w:bottom w:val="nil"/>
            </w:tcBorders>
          </w:tcPr>
          <w:p w14:paraId="671E07D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0.1</w:t>
            </w:r>
          </w:p>
        </w:tc>
        <w:tc>
          <w:tcPr>
            <w:tcW w:w="1576" w:type="dxa"/>
            <w:tcBorders>
              <w:bottom w:val="nil"/>
            </w:tcBorders>
          </w:tcPr>
          <w:p w14:paraId="061FAB0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2.8</w:t>
            </w:r>
          </w:p>
        </w:tc>
        <w:tc>
          <w:tcPr>
            <w:tcW w:w="1715" w:type="dxa"/>
            <w:tcBorders>
              <w:bottom w:val="nil"/>
            </w:tcBorders>
          </w:tcPr>
          <w:p w14:paraId="07F1294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1.8±0.2</w:t>
            </w:r>
          </w:p>
        </w:tc>
        <w:tc>
          <w:tcPr>
            <w:tcW w:w="1492" w:type="dxa"/>
            <w:tcBorders>
              <w:bottom w:val="nil"/>
            </w:tcBorders>
          </w:tcPr>
          <w:p w14:paraId="49C93453"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bottom w:val="nil"/>
            </w:tcBorders>
          </w:tcPr>
          <w:p w14:paraId="46E94272"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7E8D77FF" w14:textId="77777777" w:rsidTr="001E366F">
        <w:tc>
          <w:tcPr>
            <w:tcW w:w="1627" w:type="dxa"/>
            <w:tcBorders>
              <w:top w:val="nil"/>
              <w:bottom w:val="nil"/>
            </w:tcBorders>
          </w:tcPr>
          <w:p w14:paraId="09771B75" w14:textId="77777777" w:rsidR="005C429C" w:rsidRPr="00FB5303" w:rsidRDefault="005C429C" w:rsidP="001E366F">
            <w:pPr>
              <w:jc w:val="center"/>
              <w:rPr>
                <w:rFonts w:ascii="Arial" w:hAnsi="Arial" w:cs="Arial"/>
                <w:bCs/>
                <w:sz w:val="20"/>
                <w:szCs w:val="20"/>
                <w:lang w:val="en-GB"/>
              </w:rPr>
            </w:pPr>
            <w:proofErr w:type="spellStart"/>
            <w:r w:rsidRPr="00FB5303">
              <w:rPr>
                <w:rFonts w:ascii="Arial" w:hAnsi="Arial" w:cs="Arial"/>
                <w:bCs/>
                <w:sz w:val="20"/>
                <w:szCs w:val="20"/>
                <w:lang w:val="en-GB"/>
              </w:rPr>
              <w:t>BaP</w:t>
            </w:r>
            <w:proofErr w:type="spellEnd"/>
          </w:p>
        </w:tc>
        <w:tc>
          <w:tcPr>
            <w:tcW w:w="925" w:type="dxa"/>
            <w:tcBorders>
              <w:top w:val="nil"/>
              <w:bottom w:val="nil"/>
            </w:tcBorders>
          </w:tcPr>
          <w:p w14:paraId="39651911"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bottom w:val="nil"/>
            </w:tcBorders>
          </w:tcPr>
          <w:p w14:paraId="767F788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0.27</w:t>
            </w:r>
          </w:p>
        </w:tc>
        <w:tc>
          <w:tcPr>
            <w:tcW w:w="1576" w:type="dxa"/>
            <w:tcBorders>
              <w:top w:val="nil"/>
              <w:bottom w:val="nil"/>
            </w:tcBorders>
          </w:tcPr>
          <w:p w14:paraId="13403E6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1.2</w:t>
            </w:r>
          </w:p>
        </w:tc>
        <w:tc>
          <w:tcPr>
            <w:tcW w:w="1715" w:type="dxa"/>
            <w:tcBorders>
              <w:top w:val="nil"/>
              <w:bottom w:val="nil"/>
            </w:tcBorders>
          </w:tcPr>
          <w:p w14:paraId="22A670B3"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0.7±0.1</w:t>
            </w:r>
          </w:p>
        </w:tc>
        <w:tc>
          <w:tcPr>
            <w:tcW w:w="1492" w:type="dxa"/>
            <w:tcBorders>
              <w:top w:val="nil"/>
              <w:bottom w:val="nil"/>
            </w:tcBorders>
          </w:tcPr>
          <w:p w14:paraId="663E4BD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Very low</w:t>
            </w:r>
          </w:p>
        </w:tc>
        <w:tc>
          <w:tcPr>
            <w:tcW w:w="1519" w:type="dxa"/>
            <w:tcBorders>
              <w:top w:val="nil"/>
              <w:bottom w:val="nil"/>
            </w:tcBorders>
          </w:tcPr>
          <w:p w14:paraId="7EF0FFAC"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Very low</w:t>
            </w:r>
          </w:p>
        </w:tc>
      </w:tr>
      <w:tr w:rsidR="005C429C" w:rsidRPr="00FB5303" w14:paraId="262699B4" w14:textId="77777777" w:rsidTr="001E366F">
        <w:tc>
          <w:tcPr>
            <w:tcW w:w="1627" w:type="dxa"/>
            <w:tcBorders>
              <w:top w:val="nil"/>
              <w:bottom w:val="nil"/>
            </w:tcBorders>
          </w:tcPr>
          <w:p w14:paraId="14415E10" w14:textId="77777777" w:rsidR="005C429C" w:rsidRPr="00FB5303" w:rsidRDefault="005C429C" w:rsidP="001E366F">
            <w:pPr>
              <w:jc w:val="center"/>
              <w:rPr>
                <w:rFonts w:ascii="Arial" w:hAnsi="Arial" w:cs="Arial"/>
                <w:bCs/>
                <w:sz w:val="20"/>
                <w:szCs w:val="20"/>
                <w:lang w:val="en-GB"/>
              </w:rPr>
            </w:pPr>
            <w:proofErr w:type="spellStart"/>
            <w:r w:rsidRPr="00FB5303">
              <w:rPr>
                <w:rFonts w:ascii="Arial" w:hAnsi="Arial" w:cs="Arial"/>
                <w:bCs/>
                <w:sz w:val="20"/>
                <w:szCs w:val="20"/>
                <w:lang w:val="en-GB"/>
              </w:rPr>
              <w:t>BbF</w:t>
            </w:r>
            <w:proofErr w:type="spellEnd"/>
          </w:p>
        </w:tc>
        <w:tc>
          <w:tcPr>
            <w:tcW w:w="925" w:type="dxa"/>
            <w:tcBorders>
              <w:top w:val="nil"/>
              <w:bottom w:val="nil"/>
            </w:tcBorders>
          </w:tcPr>
          <w:p w14:paraId="2AC238F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bottom w:val="nil"/>
            </w:tcBorders>
          </w:tcPr>
          <w:p w14:paraId="7811566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0.017</w:t>
            </w:r>
          </w:p>
        </w:tc>
        <w:tc>
          <w:tcPr>
            <w:tcW w:w="1576" w:type="dxa"/>
            <w:tcBorders>
              <w:top w:val="nil"/>
              <w:bottom w:val="nil"/>
            </w:tcBorders>
          </w:tcPr>
          <w:p w14:paraId="4C2D212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2.8</w:t>
            </w:r>
          </w:p>
        </w:tc>
        <w:tc>
          <w:tcPr>
            <w:tcW w:w="1715" w:type="dxa"/>
            <w:tcBorders>
              <w:top w:val="nil"/>
              <w:bottom w:val="nil"/>
            </w:tcBorders>
          </w:tcPr>
          <w:p w14:paraId="7A5DF716"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1.7±0.3</w:t>
            </w:r>
          </w:p>
        </w:tc>
        <w:tc>
          <w:tcPr>
            <w:tcW w:w="1492" w:type="dxa"/>
            <w:tcBorders>
              <w:top w:val="nil"/>
              <w:bottom w:val="nil"/>
            </w:tcBorders>
          </w:tcPr>
          <w:p w14:paraId="01DCF4FE"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bottom w:val="nil"/>
            </w:tcBorders>
          </w:tcPr>
          <w:p w14:paraId="14AF5A4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4D2045FB" w14:textId="77777777" w:rsidTr="001E366F">
        <w:tc>
          <w:tcPr>
            <w:tcW w:w="1627" w:type="dxa"/>
            <w:tcBorders>
              <w:top w:val="nil"/>
              <w:bottom w:val="nil"/>
            </w:tcBorders>
          </w:tcPr>
          <w:p w14:paraId="31E3654F" w14:textId="77777777" w:rsidR="005C429C" w:rsidRPr="00FB5303" w:rsidRDefault="005C429C" w:rsidP="001E366F">
            <w:pPr>
              <w:jc w:val="center"/>
              <w:rPr>
                <w:rFonts w:ascii="Arial" w:hAnsi="Arial" w:cs="Arial"/>
                <w:bCs/>
                <w:sz w:val="20"/>
                <w:szCs w:val="20"/>
                <w:lang w:val="en-GB"/>
              </w:rPr>
            </w:pPr>
            <w:proofErr w:type="spellStart"/>
            <w:r w:rsidRPr="00FB5303">
              <w:rPr>
                <w:rFonts w:ascii="Arial" w:hAnsi="Arial" w:cs="Arial"/>
                <w:bCs/>
                <w:sz w:val="20"/>
                <w:szCs w:val="20"/>
                <w:lang w:val="en-GB"/>
              </w:rPr>
              <w:t>BkF</w:t>
            </w:r>
            <w:proofErr w:type="spellEnd"/>
          </w:p>
        </w:tc>
        <w:tc>
          <w:tcPr>
            <w:tcW w:w="925" w:type="dxa"/>
            <w:tcBorders>
              <w:top w:val="nil"/>
              <w:bottom w:val="nil"/>
            </w:tcBorders>
          </w:tcPr>
          <w:p w14:paraId="7BB2562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bottom w:val="nil"/>
            </w:tcBorders>
          </w:tcPr>
          <w:p w14:paraId="039FD07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0.017</w:t>
            </w:r>
          </w:p>
        </w:tc>
        <w:tc>
          <w:tcPr>
            <w:tcW w:w="1576" w:type="dxa"/>
            <w:tcBorders>
              <w:top w:val="nil"/>
              <w:bottom w:val="nil"/>
            </w:tcBorders>
          </w:tcPr>
          <w:p w14:paraId="250D24F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0.6</w:t>
            </w:r>
          </w:p>
        </w:tc>
        <w:tc>
          <w:tcPr>
            <w:tcW w:w="1715" w:type="dxa"/>
            <w:tcBorders>
              <w:top w:val="nil"/>
              <w:bottom w:val="nil"/>
            </w:tcBorders>
          </w:tcPr>
          <w:p w14:paraId="04511438"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0.4±0.1</w:t>
            </w:r>
          </w:p>
        </w:tc>
        <w:tc>
          <w:tcPr>
            <w:tcW w:w="1492" w:type="dxa"/>
            <w:tcBorders>
              <w:top w:val="nil"/>
              <w:bottom w:val="nil"/>
            </w:tcBorders>
          </w:tcPr>
          <w:p w14:paraId="35816A0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bottom w:val="nil"/>
            </w:tcBorders>
          </w:tcPr>
          <w:p w14:paraId="40CE806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53A65923" w14:textId="77777777" w:rsidTr="001E366F">
        <w:tc>
          <w:tcPr>
            <w:tcW w:w="1627" w:type="dxa"/>
            <w:tcBorders>
              <w:top w:val="nil"/>
              <w:bottom w:val="nil"/>
            </w:tcBorders>
          </w:tcPr>
          <w:p w14:paraId="6A299D3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FLRT</w:t>
            </w:r>
          </w:p>
        </w:tc>
        <w:tc>
          <w:tcPr>
            <w:tcW w:w="925" w:type="dxa"/>
            <w:tcBorders>
              <w:top w:val="nil"/>
              <w:bottom w:val="nil"/>
            </w:tcBorders>
          </w:tcPr>
          <w:p w14:paraId="59819B4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0.063</w:t>
            </w:r>
          </w:p>
        </w:tc>
        <w:tc>
          <w:tcPr>
            <w:tcW w:w="836" w:type="dxa"/>
            <w:tcBorders>
              <w:top w:val="nil"/>
              <w:bottom w:val="nil"/>
            </w:tcBorders>
          </w:tcPr>
          <w:p w14:paraId="5C2DD6A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0.12</w:t>
            </w:r>
          </w:p>
        </w:tc>
        <w:tc>
          <w:tcPr>
            <w:tcW w:w="1576" w:type="dxa"/>
            <w:tcBorders>
              <w:top w:val="nil"/>
              <w:bottom w:val="nil"/>
            </w:tcBorders>
          </w:tcPr>
          <w:p w14:paraId="65903D1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7.6</w:t>
            </w:r>
          </w:p>
        </w:tc>
        <w:tc>
          <w:tcPr>
            <w:tcW w:w="1715" w:type="dxa"/>
            <w:tcBorders>
              <w:top w:val="nil"/>
              <w:bottom w:val="nil"/>
            </w:tcBorders>
          </w:tcPr>
          <w:p w14:paraId="6984DB0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4.7±0.6</w:t>
            </w:r>
          </w:p>
        </w:tc>
        <w:tc>
          <w:tcPr>
            <w:tcW w:w="1492" w:type="dxa"/>
            <w:tcBorders>
              <w:top w:val="nil"/>
              <w:bottom w:val="nil"/>
            </w:tcBorders>
          </w:tcPr>
          <w:p w14:paraId="28D3411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bottom w:val="nil"/>
            </w:tcBorders>
          </w:tcPr>
          <w:p w14:paraId="4B749C8B"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r>
      <w:tr w:rsidR="005C429C" w:rsidRPr="00FB5303" w14:paraId="0E869B88" w14:textId="77777777" w:rsidTr="001E366F">
        <w:tc>
          <w:tcPr>
            <w:tcW w:w="1627" w:type="dxa"/>
            <w:tcBorders>
              <w:top w:val="nil"/>
              <w:bottom w:val="nil"/>
            </w:tcBorders>
          </w:tcPr>
          <w:p w14:paraId="2FB668FC"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NPT</w:t>
            </w:r>
          </w:p>
        </w:tc>
        <w:tc>
          <w:tcPr>
            <w:tcW w:w="925" w:type="dxa"/>
            <w:tcBorders>
              <w:top w:val="nil"/>
              <w:bottom w:val="nil"/>
            </w:tcBorders>
          </w:tcPr>
          <w:p w14:paraId="03E65A2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2</w:t>
            </w:r>
          </w:p>
        </w:tc>
        <w:tc>
          <w:tcPr>
            <w:tcW w:w="836" w:type="dxa"/>
            <w:tcBorders>
              <w:top w:val="nil"/>
              <w:bottom w:val="nil"/>
            </w:tcBorders>
          </w:tcPr>
          <w:p w14:paraId="371D2C09"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130</w:t>
            </w:r>
          </w:p>
        </w:tc>
        <w:tc>
          <w:tcPr>
            <w:tcW w:w="1576" w:type="dxa"/>
            <w:tcBorders>
              <w:top w:val="nil"/>
              <w:bottom w:val="nil"/>
            </w:tcBorders>
          </w:tcPr>
          <w:p w14:paraId="752F330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0.9</w:t>
            </w:r>
          </w:p>
        </w:tc>
        <w:tc>
          <w:tcPr>
            <w:tcW w:w="1715" w:type="dxa"/>
            <w:tcBorders>
              <w:top w:val="nil"/>
              <w:bottom w:val="nil"/>
            </w:tcBorders>
          </w:tcPr>
          <w:p w14:paraId="2EC4901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0.4±0.1</w:t>
            </w:r>
          </w:p>
        </w:tc>
        <w:tc>
          <w:tcPr>
            <w:tcW w:w="1492" w:type="dxa"/>
            <w:tcBorders>
              <w:top w:val="nil"/>
              <w:bottom w:val="nil"/>
            </w:tcBorders>
          </w:tcPr>
          <w:p w14:paraId="45D9B853"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 xml:space="preserve">Very low </w:t>
            </w:r>
          </w:p>
        </w:tc>
        <w:tc>
          <w:tcPr>
            <w:tcW w:w="1519" w:type="dxa"/>
            <w:tcBorders>
              <w:top w:val="nil"/>
              <w:bottom w:val="nil"/>
            </w:tcBorders>
          </w:tcPr>
          <w:p w14:paraId="4C81116F"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Very low</w:t>
            </w:r>
          </w:p>
        </w:tc>
      </w:tr>
      <w:tr w:rsidR="005C429C" w:rsidRPr="00FB5303" w14:paraId="430538A2" w14:textId="77777777" w:rsidTr="001E366F">
        <w:tc>
          <w:tcPr>
            <w:tcW w:w="1627" w:type="dxa"/>
            <w:tcBorders>
              <w:top w:val="nil"/>
            </w:tcBorders>
          </w:tcPr>
          <w:p w14:paraId="5D095977"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I(1,2,3-c,d)P</w:t>
            </w:r>
          </w:p>
        </w:tc>
        <w:tc>
          <w:tcPr>
            <w:tcW w:w="925" w:type="dxa"/>
            <w:tcBorders>
              <w:top w:val="nil"/>
            </w:tcBorders>
          </w:tcPr>
          <w:p w14:paraId="4ABA18C0"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0.0017</w:t>
            </w:r>
          </w:p>
        </w:tc>
        <w:tc>
          <w:tcPr>
            <w:tcW w:w="836" w:type="dxa"/>
            <w:tcBorders>
              <w:top w:val="nil"/>
            </w:tcBorders>
          </w:tcPr>
          <w:p w14:paraId="60545484"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w:t>
            </w:r>
          </w:p>
        </w:tc>
        <w:tc>
          <w:tcPr>
            <w:tcW w:w="1576" w:type="dxa"/>
            <w:tcBorders>
              <w:top w:val="nil"/>
            </w:tcBorders>
          </w:tcPr>
          <w:p w14:paraId="1E3B32D5"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0.9</w:t>
            </w:r>
          </w:p>
        </w:tc>
        <w:tc>
          <w:tcPr>
            <w:tcW w:w="1715" w:type="dxa"/>
            <w:tcBorders>
              <w:top w:val="nil"/>
            </w:tcBorders>
          </w:tcPr>
          <w:p w14:paraId="6019D7EA"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0.5±0.1</w:t>
            </w:r>
          </w:p>
        </w:tc>
        <w:tc>
          <w:tcPr>
            <w:tcW w:w="1492" w:type="dxa"/>
            <w:tcBorders>
              <w:top w:val="nil"/>
            </w:tcBorders>
          </w:tcPr>
          <w:p w14:paraId="5A7D113C" w14:textId="77777777" w:rsidR="005C429C" w:rsidRPr="00FB5303" w:rsidRDefault="005C429C" w:rsidP="001E366F">
            <w:pPr>
              <w:jc w:val="center"/>
              <w:rPr>
                <w:rFonts w:ascii="Arial" w:hAnsi="Arial" w:cs="Arial"/>
                <w:bCs/>
                <w:sz w:val="20"/>
                <w:szCs w:val="20"/>
                <w:lang w:val="en-GB"/>
              </w:rPr>
            </w:pPr>
            <w:r w:rsidRPr="00FB5303">
              <w:rPr>
                <w:rFonts w:ascii="Arial" w:hAnsi="Arial" w:cs="Arial"/>
                <w:bCs/>
                <w:sz w:val="20"/>
                <w:szCs w:val="20"/>
                <w:lang w:val="en-GB"/>
              </w:rPr>
              <w:t>Severe</w:t>
            </w:r>
          </w:p>
        </w:tc>
        <w:tc>
          <w:tcPr>
            <w:tcW w:w="1519" w:type="dxa"/>
            <w:tcBorders>
              <w:top w:val="nil"/>
            </w:tcBorders>
          </w:tcPr>
          <w:p w14:paraId="0B0B13DA" w14:textId="77777777" w:rsidR="005C429C" w:rsidRPr="00FB5303" w:rsidRDefault="005C429C" w:rsidP="001E366F">
            <w:pPr>
              <w:jc w:val="center"/>
              <w:rPr>
                <w:rFonts w:ascii="Arial" w:hAnsi="Arial" w:cs="Arial"/>
                <w:bCs/>
                <w:sz w:val="20"/>
                <w:szCs w:val="20"/>
                <w:lang w:val="en-GB"/>
              </w:rPr>
            </w:pPr>
          </w:p>
        </w:tc>
      </w:tr>
    </w:tbl>
    <w:p w14:paraId="3A5A7FA9" w14:textId="77777777" w:rsidR="005C429C" w:rsidRPr="009B3323" w:rsidRDefault="005C429C" w:rsidP="005C429C">
      <w:pPr>
        <w:jc w:val="center"/>
        <w:rPr>
          <w:rFonts w:ascii="Times New Roman" w:hAnsi="Times New Roman"/>
          <w:bCs/>
          <w:sz w:val="12"/>
          <w:szCs w:val="12"/>
        </w:rPr>
      </w:pPr>
    </w:p>
    <w:p w14:paraId="3CE043F2" w14:textId="77777777" w:rsidR="005C429C" w:rsidRPr="00FB5303" w:rsidRDefault="005C429C" w:rsidP="005C429C">
      <w:pPr>
        <w:rPr>
          <w:rFonts w:ascii="Arial" w:hAnsi="Arial" w:cs="Arial"/>
        </w:rPr>
      </w:pPr>
      <w:r w:rsidRPr="00FB5303">
        <w:rPr>
          <w:rFonts w:ascii="Arial" w:hAnsi="Arial" w:cs="Arial"/>
          <w:vertAlign w:val="superscript"/>
        </w:rPr>
        <w:t>1</w:t>
      </w:r>
      <w:r w:rsidRPr="00FB5303">
        <w:rPr>
          <w:rFonts w:ascii="Arial" w:hAnsi="Arial" w:cs="Arial"/>
        </w:rPr>
        <w:t xml:space="preserve">Maximum Annual Concentrations (MACs); </w:t>
      </w:r>
      <w:r w:rsidRPr="00FB5303">
        <w:rPr>
          <w:rFonts w:ascii="Arial" w:hAnsi="Arial" w:cs="Arial"/>
          <w:vertAlign w:val="superscript"/>
        </w:rPr>
        <w:t>2</w:t>
      </w:r>
      <w:r w:rsidRPr="00FB5303">
        <w:rPr>
          <w:rFonts w:ascii="Arial" w:hAnsi="Arial" w:cs="Arial"/>
        </w:rPr>
        <w:t xml:space="preserve">Annual Average Concentrations (AACs) </w:t>
      </w:r>
    </w:p>
    <w:p w14:paraId="029B74AF" w14:textId="77777777" w:rsidR="005C429C" w:rsidRPr="00FB5303" w:rsidRDefault="005C429C" w:rsidP="005C429C">
      <w:pPr>
        <w:spacing w:line="360" w:lineRule="auto"/>
        <w:jc w:val="both"/>
        <w:rPr>
          <w:rFonts w:ascii="Arial" w:hAnsi="Arial" w:cs="Arial"/>
        </w:rPr>
      </w:pPr>
    </w:p>
    <w:p w14:paraId="20D801EB" w14:textId="73C960EC" w:rsidR="005C429C" w:rsidRPr="00FB5303" w:rsidRDefault="00FB5303" w:rsidP="00B932E3">
      <w:pPr>
        <w:jc w:val="both"/>
        <w:rPr>
          <w:rFonts w:ascii="Arial" w:hAnsi="Arial" w:cs="Arial"/>
          <w:i/>
          <w:iCs/>
          <w:lang w:val="en-GB"/>
        </w:rPr>
      </w:pPr>
      <w:r w:rsidRPr="00FB5303">
        <w:rPr>
          <w:rFonts w:ascii="Arial" w:hAnsi="Arial" w:cs="Arial"/>
          <w:i/>
          <w:iCs/>
          <w:lang w:val="en-GB"/>
        </w:rPr>
        <w:t xml:space="preserve">3.1.5.2. </w:t>
      </w:r>
      <w:r w:rsidR="005C429C" w:rsidRPr="00FB5303">
        <w:rPr>
          <w:rFonts w:ascii="Arial" w:hAnsi="Arial" w:cs="Arial"/>
          <w:i/>
          <w:iCs/>
          <w:lang w:val="en-GB"/>
        </w:rPr>
        <w:t>Ecotoxicity risks of some PAHs to the aquatic biota of this lacustrine system</w:t>
      </w:r>
    </w:p>
    <w:p w14:paraId="19CE4B86" w14:textId="7947B1B4" w:rsidR="005C429C" w:rsidRPr="00FB5303" w:rsidRDefault="005C429C" w:rsidP="00B932E3">
      <w:pPr>
        <w:jc w:val="both"/>
        <w:rPr>
          <w:rFonts w:ascii="Arial" w:hAnsi="Arial" w:cs="Arial"/>
          <w:lang w:val="en-GB"/>
        </w:rPr>
      </w:pPr>
      <w:r w:rsidRPr="00FB5303">
        <w:rPr>
          <w:rFonts w:ascii="Arial" w:hAnsi="Arial" w:cs="Arial"/>
          <w:lang w:val="en-GB"/>
        </w:rPr>
        <w:t xml:space="preserve">Among the HMW PAHs evaluated in these waters, </w:t>
      </w:r>
      <w:proofErr w:type="spellStart"/>
      <w:r w:rsidRPr="00FB5303">
        <w:rPr>
          <w:rFonts w:ascii="Arial" w:hAnsi="Arial" w:cs="Arial"/>
          <w:lang w:val="en-GB"/>
        </w:rPr>
        <w:t>BaP</w:t>
      </w:r>
      <w:proofErr w:type="spellEnd"/>
      <w:r w:rsidRPr="00FB5303">
        <w:rPr>
          <w:rFonts w:ascii="Arial" w:hAnsi="Arial" w:cs="Arial"/>
          <w:lang w:val="en-GB"/>
        </w:rPr>
        <w:t xml:space="preserve"> exhibited the highest individual mean values for </w:t>
      </w:r>
      <w:proofErr w:type="spellStart"/>
      <w:r w:rsidRPr="00FB5303">
        <w:rPr>
          <w:rFonts w:ascii="Arial" w:hAnsi="Arial" w:cs="Arial"/>
          <w:lang w:val="en-GB"/>
        </w:rPr>
        <w:t>BaP</w:t>
      </w:r>
      <w:proofErr w:type="spellEnd"/>
      <w:r w:rsidRPr="00FB5303">
        <w:rPr>
          <w:rFonts w:ascii="Arial" w:hAnsi="Arial" w:cs="Arial"/>
          <w:lang w:val="en-GB"/>
        </w:rPr>
        <w:t xml:space="preserve">-TEQ and </w:t>
      </w:r>
      <w:proofErr w:type="spellStart"/>
      <w:r w:rsidRPr="00FB5303">
        <w:rPr>
          <w:rFonts w:ascii="Arial" w:hAnsi="Arial" w:cs="Arial"/>
          <w:lang w:val="en-GB"/>
        </w:rPr>
        <w:t>BaP</w:t>
      </w:r>
      <w:proofErr w:type="spellEnd"/>
      <w:r w:rsidRPr="00FB5303">
        <w:rPr>
          <w:rFonts w:ascii="Arial" w:hAnsi="Arial" w:cs="Arial"/>
          <w:lang w:val="en-GB"/>
        </w:rPr>
        <w:t xml:space="preserve">-MEQ indices, whereas </w:t>
      </w:r>
      <w:proofErr w:type="spellStart"/>
      <w:r w:rsidRPr="00FB5303">
        <w:rPr>
          <w:rFonts w:ascii="Arial" w:hAnsi="Arial" w:cs="Arial"/>
          <w:lang w:val="en-GB"/>
        </w:rPr>
        <w:t>BbF</w:t>
      </w:r>
      <w:proofErr w:type="spellEnd"/>
      <w:r w:rsidRPr="00FB5303">
        <w:rPr>
          <w:rFonts w:ascii="Arial" w:hAnsi="Arial" w:cs="Arial"/>
          <w:lang w:val="en-GB"/>
        </w:rPr>
        <w:t xml:space="preserve"> showed the lowest values. The mean </w:t>
      </w:r>
      <w:proofErr w:type="spellStart"/>
      <w:r w:rsidRPr="00FB5303">
        <w:rPr>
          <w:rFonts w:ascii="Arial" w:hAnsi="Arial" w:cs="Arial"/>
          <w:lang w:val="en-GB"/>
        </w:rPr>
        <w:t>BaP</w:t>
      </w:r>
      <w:proofErr w:type="spellEnd"/>
      <w:r w:rsidRPr="00FB5303">
        <w:rPr>
          <w:rFonts w:ascii="Arial" w:hAnsi="Arial" w:cs="Arial"/>
          <w:lang w:val="en-GB"/>
        </w:rPr>
        <w:t xml:space="preserve">-TEQ and </w:t>
      </w:r>
      <w:proofErr w:type="spellStart"/>
      <w:r w:rsidRPr="00FB5303">
        <w:rPr>
          <w:rFonts w:ascii="Arial" w:hAnsi="Arial" w:cs="Arial"/>
          <w:lang w:val="en-GB"/>
        </w:rPr>
        <w:t>BaP</w:t>
      </w:r>
      <w:proofErr w:type="spellEnd"/>
      <w:r w:rsidRPr="00FB5303">
        <w:rPr>
          <w:rFonts w:ascii="Arial" w:hAnsi="Arial" w:cs="Arial"/>
          <w:lang w:val="en-GB"/>
        </w:rPr>
        <w:t>-MEQ values for all five of these PAHs were greater than 1 (Table 6), an observation confirmed by Student's t-test (</w:t>
      </w:r>
      <w:r w:rsidRPr="00FB5303">
        <w:rPr>
          <w:rFonts w:ascii="Arial" w:hAnsi="Arial" w:cs="Arial"/>
          <w:i/>
          <w:iCs/>
          <w:lang w:val="en-GB"/>
        </w:rPr>
        <w:t>p</w:t>
      </w:r>
      <w:r w:rsidRPr="00FB5303">
        <w:rPr>
          <w:rFonts w:ascii="Arial" w:hAnsi="Arial" w:cs="Arial"/>
          <w:lang w:val="en-GB"/>
        </w:rPr>
        <w:t xml:space="preserve"> &lt;</w:t>
      </w:r>
      <w:r w:rsidR="00D31B09">
        <w:rPr>
          <w:rFonts w:ascii="Arial" w:hAnsi="Arial" w:cs="Arial"/>
          <w:lang w:val="en-GB"/>
        </w:rPr>
        <w:t xml:space="preserve"> </w:t>
      </w:r>
      <w:r w:rsidRPr="00FB5303">
        <w:rPr>
          <w:rFonts w:ascii="Arial" w:hAnsi="Arial" w:cs="Arial"/>
          <w:lang w:val="en-GB"/>
        </w:rPr>
        <w:t>.05).</w:t>
      </w:r>
    </w:p>
    <w:p w14:paraId="1A34122C" w14:textId="77777777" w:rsidR="005C429C" w:rsidRDefault="005C429C" w:rsidP="00B932E3">
      <w:pPr>
        <w:jc w:val="both"/>
        <w:rPr>
          <w:rFonts w:ascii="Arial" w:hAnsi="Arial" w:cs="Arial"/>
          <w:lang w:val="en-GB"/>
        </w:rPr>
      </w:pPr>
      <w:r w:rsidRPr="00FB5303">
        <w:rPr>
          <w:rFonts w:ascii="Arial" w:hAnsi="Arial" w:cs="Arial"/>
          <w:lang w:val="en-GB"/>
        </w:rPr>
        <w:t xml:space="preserve">Referring to a value of 1 for </w:t>
      </w:r>
      <w:proofErr w:type="spellStart"/>
      <w:r w:rsidRPr="00FB5303">
        <w:rPr>
          <w:rFonts w:ascii="Arial" w:hAnsi="Arial" w:cs="Arial"/>
          <w:lang w:val="en-GB"/>
        </w:rPr>
        <w:t>BaP</w:t>
      </w:r>
      <w:proofErr w:type="spellEnd"/>
      <w:r w:rsidRPr="00FB5303">
        <w:rPr>
          <w:rFonts w:ascii="Arial" w:hAnsi="Arial" w:cs="Arial"/>
          <w:lang w:val="en-GB"/>
        </w:rPr>
        <w:t xml:space="preserve">-TEQ and </w:t>
      </w:r>
      <w:proofErr w:type="spellStart"/>
      <w:r w:rsidRPr="00FB5303">
        <w:rPr>
          <w:rFonts w:ascii="Arial" w:hAnsi="Arial" w:cs="Arial"/>
          <w:lang w:val="en-GB"/>
        </w:rPr>
        <w:t>BaP</w:t>
      </w:r>
      <w:proofErr w:type="spellEnd"/>
      <w:r w:rsidRPr="00FB5303">
        <w:rPr>
          <w:rFonts w:ascii="Arial" w:hAnsi="Arial" w:cs="Arial"/>
          <w:lang w:val="en-GB"/>
        </w:rPr>
        <w:t xml:space="preserve">-MEQ, the carcinogenic and mutagenic risks to the aquatic biota associated with the annual mean concentration of </w:t>
      </w:r>
      <w:proofErr w:type="spellStart"/>
      <w:r w:rsidRPr="00FB5303">
        <w:rPr>
          <w:rFonts w:ascii="Arial" w:hAnsi="Arial" w:cs="Arial"/>
          <w:lang w:val="en-GB"/>
        </w:rPr>
        <w:t>BaP</w:t>
      </w:r>
      <w:proofErr w:type="spellEnd"/>
      <w:r w:rsidRPr="00FB5303">
        <w:rPr>
          <w:rFonts w:ascii="Arial" w:hAnsi="Arial" w:cs="Arial"/>
          <w:lang w:val="en-GB"/>
        </w:rPr>
        <w:t xml:space="preserve"> in these waters were moderate. In contrast, these risks remained low when considering the concentrations of </w:t>
      </w:r>
      <w:proofErr w:type="spellStart"/>
      <w:r w:rsidRPr="00FB5303">
        <w:rPr>
          <w:rFonts w:ascii="Arial" w:hAnsi="Arial" w:cs="Arial"/>
          <w:lang w:val="en-GB"/>
        </w:rPr>
        <w:t>BaA</w:t>
      </w:r>
      <w:proofErr w:type="spellEnd"/>
      <w:r w:rsidRPr="00FB5303">
        <w:rPr>
          <w:rFonts w:ascii="Arial" w:hAnsi="Arial" w:cs="Arial"/>
          <w:lang w:val="en-GB"/>
        </w:rPr>
        <w:t xml:space="preserve">, </w:t>
      </w:r>
      <w:proofErr w:type="spellStart"/>
      <w:r w:rsidRPr="00FB5303">
        <w:rPr>
          <w:rFonts w:ascii="Arial" w:hAnsi="Arial" w:cs="Arial"/>
          <w:lang w:val="en-GB"/>
        </w:rPr>
        <w:t>BbF</w:t>
      </w:r>
      <w:proofErr w:type="spellEnd"/>
      <w:r w:rsidRPr="00FB5303">
        <w:rPr>
          <w:rFonts w:ascii="Arial" w:hAnsi="Arial" w:cs="Arial"/>
          <w:lang w:val="en-GB"/>
        </w:rPr>
        <w:t xml:space="preserve">, </w:t>
      </w:r>
      <w:proofErr w:type="spellStart"/>
      <w:r w:rsidRPr="00FB5303">
        <w:rPr>
          <w:rFonts w:ascii="Arial" w:hAnsi="Arial" w:cs="Arial"/>
          <w:lang w:val="en-GB"/>
        </w:rPr>
        <w:t>BkF</w:t>
      </w:r>
      <w:proofErr w:type="spellEnd"/>
      <w:r w:rsidRPr="00FB5303">
        <w:rPr>
          <w:rFonts w:ascii="Arial" w:hAnsi="Arial" w:cs="Arial"/>
          <w:lang w:val="en-GB"/>
        </w:rPr>
        <w:t>, and I-(1,2,3-</w:t>
      </w:r>
      <w:proofErr w:type="gramStart"/>
      <w:r w:rsidRPr="00FB5303">
        <w:rPr>
          <w:rFonts w:ascii="Arial" w:hAnsi="Arial" w:cs="Arial"/>
          <w:lang w:val="en-GB"/>
        </w:rPr>
        <w:t>c,d</w:t>
      </w:r>
      <w:proofErr w:type="gramEnd"/>
      <w:r w:rsidRPr="00FB5303">
        <w:rPr>
          <w:rFonts w:ascii="Arial" w:hAnsi="Arial" w:cs="Arial"/>
          <w:lang w:val="en-GB"/>
        </w:rPr>
        <w:t>)P. However, the carcinogenic and mutagenic risks for the aquatic biota associated with the entire group of these five PAHs were high for the aquatic fauna during the study period.</w:t>
      </w:r>
    </w:p>
    <w:p w14:paraId="252682D3" w14:textId="77777777" w:rsidR="00FB5303" w:rsidRPr="00FB5303" w:rsidRDefault="00FB5303" w:rsidP="005C429C">
      <w:pPr>
        <w:spacing w:line="360" w:lineRule="auto"/>
        <w:jc w:val="both"/>
        <w:rPr>
          <w:rFonts w:ascii="Arial" w:hAnsi="Arial" w:cs="Arial"/>
          <w:lang w:val="en-GB"/>
        </w:rPr>
      </w:pPr>
    </w:p>
    <w:p w14:paraId="433D8135" w14:textId="44701D38" w:rsidR="005C429C" w:rsidRPr="00FB5303" w:rsidRDefault="005C429C" w:rsidP="00FB5303">
      <w:pPr>
        <w:jc w:val="both"/>
        <w:rPr>
          <w:rFonts w:ascii="Arial" w:hAnsi="Arial" w:cs="Arial"/>
          <w:b/>
          <w:bCs/>
          <w:lang w:val="en-GB"/>
        </w:rPr>
      </w:pPr>
      <w:r w:rsidRPr="00FB5303">
        <w:rPr>
          <w:rFonts w:ascii="Arial" w:hAnsi="Arial" w:cs="Arial"/>
          <w:b/>
          <w:bCs/>
          <w:lang w:val="en-GB"/>
        </w:rPr>
        <w:t>Table 6</w:t>
      </w:r>
      <w:r w:rsidR="00FB5303" w:rsidRPr="00FB5303">
        <w:rPr>
          <w:rFonts w:ascii="Arial" w:hAnsi="Arial" w:cs="Arial"/>
          <w:b/>
          <w:bCs/>
          <w:lang w:val="en-GB"/>
        </w:rPr>
        <w:t>.</w:t>
      </w:r>
      <w:r w:rsidRPr="00FB5303">
        <w:rPr>
          <w:rFonts w:ascii="Arial" w:hAnsi="Arial" w:cs="Arial"/>
          <w:b/>
          <w:bCs/>
          <w:lang w:val="en-GB"/>
        </w:rPr>
        <w:t xml:space="preserve"> Mean </w:t>
      </w:r>
      <w:proofErr w:type="spellStart"/>
      <w:r w:rsidRPr="00FB5303">
        <w:rPr>
          <w:rFonts w:ascii="Arial" w:hAnsi="Arial" w:cs="Arial"/>
          <w:b/>
          <w:bCs/>
          <w:lang w:val="en-GB"/>
        </w:rPr>
        <w:t>BaP</w:t>
      </w:r>
      <w:proofErr w:type="spellEnd"/>
      <w:r w:rsidRPr="00FB5303">
        <w:rPr>
          <w:rFonts w:ascii="Arial" w:hAnsi="Arial" w:cs="Arial"/>
          <w:b/>
          <w:bCs/>
          <w:lang w:val="en-GB"/>
        </w:rPr>
        <w:t xml:space="preserve">-TEQ and </w:t>
      </w:r>
      <w:proofErr w:type="spellStart"/>
      <w:r w:rsidRPr="00FB5303">
        <w:rPr>
          <w:rFonts w:ascii="Arial" w:hAnsi="Arial" w:cs="Arial"/>
          <w:b/>
          <w:bCs/>
          <w:lang w:val="en-GB"/>
        </w:rPr>
        <w:t>BaP</w:t>
      </w:r>
      <w:proofErr w:type="spellEnd"/>
      <w:r w:rsidRPr="00FB5303">
        <w:rPr>
          <w:rFonts w:ascii="Arial" w:hAnsi="Arial" w:cs="Arial"/>
          <w:b/>
          <w:bCs/>
          <w:lang w:val="en-GB"/>
        </w:rPr>
        <w:t xml:space="preserve">-MEQ values for some HMW PAHs in aquatic fauna from the waters from the </w:t>
      </w:r>
      <w:proofErr w:type="spellStart"/>
      <w:r w:rsidRPr="00FB5303">
        <w:rPr>
          <w:rFonts w:ascii="Arial" w:hAnsi="Arial" w:cs="Arial"/>
          <w:b/>
          <w:bCs/>
          <w:lang w:val="en-GB"/>
        </w:rPr>
        <w:t>Déganobo</w:t>
      </w:r>
      <w:proofErr w:type="spellEnd"/>
      <w:r w:rsidRPr="00FB5303">
        <w:rPr>
          <w:rFonts w:ascii="Arial" w:hAnsi="Arial" w:cs="Arial"/>
          <w:b/>
          <w:bCs/>
          <w:lang w:val="en-GB"/>
        </w:rPr>
        <w:t xml:space="preserve"> lacustrine system during the study period.</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
        <w:gridCol w:w="1471"/>
        <w:gridCol w:w="1471"/>
        <w:gridCol w:w="1471"/>
        <w:gridCol w:w="1471"/>
        <w:gridCol w:w="1471"/>
        <w:gridCol w:w="2207"/>
      </w:tblGrid>
      <w:tr w:rsidR="005C429C" w:rsidRPr="00FB5303" w14:paraId="456A91EF" w14:textId="77777777" w:rsidTr="001E366F">
        <w:trPr>
          <w:trHeight w:val="300"/>
          <w:jc w:val="center"/>
        </w:trPr>
        <w:tc>
          <w:tcPr>
            <w:tcW w:w="1070" w:type="dxa"/>
            <w:tcBorders>
              <w:top w:val="nil"/>
              <w:left w:val="nil"/>
              <w:bottom w:val="nil"/>
              <w:right w:val="nil"/>
            </w:tcBorders>
            <w:shd w:val="clear" w:color="auto" w:fill="auto"/>
            <w:noWrap/>
            <w:vAlign w:val="bottom"/>
            <w:hideMark/>
          </w:tcPr>
          <w:p w14:paraId="2992AD31" w14:textId="77777777" w:rsidR="005C429C" w:rsidRPr="00FB5303" w:rsidRDefault="005C429C" w:rsidP="00993384">
            <w:pPr>
              <w:jc w:val="center"/>
              <w:rPr>
                <w:rFonts w:ascii="Arial" w:hAnsi="Arial" w:cs="Arial"/>
                <w:color w:val="000000"/>
                <w:lang w:val="en-GB"/>
              </w:rPr>
            </w:pPr>
          </w:p>
        </w:tc>
        <w:tc>
          <w:tcPr>
            <w:tcW w:w="7355" w:type="dxa"/>
            <w:gridSpan w:val="5"/>
            <w:tcBorders>
              <w:left w:val="nil"/>
              <w:bottom w:val="single" w:sz="4" w:space="0" w:color="auto"/>
            </w:tcBorders>
            <w:shd w:val="clear" w:color="auto" w:fill="auto"/>
            <w:noWrap/>
            <w:vAlign w:val="bottom"/>
            <w:hideMark/>
          </w:tcPr>
          <w:p w14:paraId="7B0AE998" w14:textId="77777777" w:rsidR="005C429C" w:rsidRPr="00FB5303" w:rsidRDefault="005C429C" w:rsidP="00993384">
            <w:pPr>
              <w:jc w:val="center"/>
              <w:rPr>
                <w:rFonts w:ascii="Arial" w:hAnsi="Arial" w:cs="Arial"/>
                <w:color w:val="000000"/>
                <w:lang w:val="fr-CI"/>
              </w:rPr>
            </w:pPr>
            <w:r w:rsidRPr="00FB5303">
              <w:rPr>
                <w:rFonts w:ascii="Arial" w:hAnsi="Arial" w:cs="Arial"/>
                <w:color w:val="000000"/>
                <w:lang w:val="fr-CI"/>
              </w:rPr>
              <w:t xml:space="preserve">Ci x </w:t>
            </w:r>
            <w:proofErr w:type="spellStart"/>
            <w:r w:rsidRPr="00FB5303">
              <w:rPr>
                <w:rFonts w:ascii="Arial" w:hAnsi="Arial" w:cs="Arial"/>
                <w:color w:val="000000"/>
                <w:lang w:val="fr-CI"/>
              </w:rPr>
              <w:t>TEFi</w:t>
            </w:r>
            <w:proofErr w:type="spellEnd"/>
            <w:r w:rsidRPr="00FB5303">
              <w:rPr>
                <w:rFonts w:ascii="Arial" w:hAnsi="Arial" w:cs="Arial"/>
                <w:color w:val="000000"/>
                <w:lang w:val="fr-CI"/>
              </w:rPr>
              <w:t xml:space="preserve"> (µg/l)</w:t>
            </w:r>
          </w:p>
        </w:tc>
        <w:tc>
          <w:tcPr>
            <w:tcW w:w="2207" w:type="dxa"/>
            <w:vMerge w:val="restart"/>
            <w:tcBorders>
              <w:right w:val="nil"/>
            </w:tcBorders>
            <w:shd w:val="clear" w:color="auto" w:fill="auto"/>
            <w:noWrap/>
            <w:vAlign w:val="bottom"/>
            <w:hideMark/>
          </w:tcPr>
          <w:p w14:paraId="6CB06048" w14:textId="77777777" w:rsidR="005C429C" w:rsidRPr="00FB5303" w:rsidRDefault="005C429C" w:rsidP="00993384">
            <w:pPr>
              <w:jc w:val="center"/>
              <w:rPr>
                <w:rFonts w:ascii="Arial" w:hAnsi="Arial" w:cs="Arial"/>
                <w:color w:val="000000"/>
              </w:rPr>
            </w:pPr>
            <w:r w:rsidRPr="00FB5303">
              <w:rPr>
                <w:rFonts w:ascii="Arial" w:hAnsi="Arial" w:cs="Arial"/>
                <w:color w:val="000000"/>
              </w:rPr>
              <w:t xml:space="preserve">Total </w:t>
            </w:r>
            <w:proofErr w:type="spellStart"/>
            <w:r w:rsidRPr="00FB5303">
              <w:rPr>
                <w:rFonts w:ascii="Arial" w:hAnsi="Arial" w:cs="Arial"/>
                <w:color w:val="000000"/>
              </w:rPr>
              <w:t>BaP</w:t>
            </w:r>
            <w:proofErr w:type="spellEnd"/>
            <w:r w:rsidRPr="00FB5303">
              <w:rPr>
                <w:rFonts w:ascii="Arial" w:hAnsi="Arial" w:cs="Arial"/>
                <w:color w:val="000000"/>
              </w:rPr>
              <w:t>-TEQ (µg/l)</w:t>
            </w:r>
          </w:p>
        </w:tc>
      </w:tr>
      <w:tr w:rsidR="005C429C" w:rsidRPr="00FB5303" w14:paraId="3F3AF356" w14:textId="77777777" w:rsidTr="001E366F">
        <w:trPr>
          <w:trHeight w:val="300"/>
          <w:jc w:val="center"/>
        </w:trPr>
        <w:tc>
          <w:tcPr>
            <w:tcW w:w="1070" w:type="dxa"/>
            <w:tcBorders>
              <w:top w:val="nil"/>
              <w:left w:val="nil"/>
              <w:bottom w:val="single" w:sz="4" w:space="0" w:color="auto"/>
              <w:right w:val="nil"/>
            </w:tcBorders>
            <w:shd w:val="clear" w:color="auto" w:fill="auto"/>
            <w:noWrap/>
            <w:vAlign w:val="bottom"/>
            <w:hideMark/>
          </w:tcPr>
          <w:p w14:paraId="246D4755" w14:textId="77777777" w:rsidR="005C429C" w:rsidRPr="00FB5303" w:rsidRDefault="005C429C" w:rsidP="00993384">
            <w:pPr>
              <w:jc w:val="center"/>
              <w:rPr>
                <w:rFonts w:ascii="Arial" w:hAnsi="Arial" w:cs="Arial"/>
                <w:color w:val="000000"/>
              </w:rPr>
            </w:pPr>
          </w:p>
        </w:tc>
        <w:tc>
          <w:tcPr>
            <w:tcW w:w="1471" w:type="dxa"/>
            <w:tcBorders>
              <w:left w:val="nil"/>
              <w:bottom w:val="single" w:sz="4" w:space="0" w:color="auto"/>
              <w:right w:val="nil"/>
            </w:tcBorders>
            <w:shd w:val="clear" w:color="auto" w:fill="auto"/>
            <w:noWrap/>
            <w:vAlign w:val="bottom"/>
            <w:hideMark/>
          </w:tcPr>
          <w:p w14:paraId="0F5642A0"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BaA</w:t>
            </w:r>
            <w:proofErr w:type="spellEnd"/>
          </w:p>
        </w:tc>
        <w:tc>
          <w:tcPr>
            <w:tcW w:w="1471" w:type="dxa"/>
            <w:tcBorders>
              <w:left w:val="nil"/>
              <w:bottom w:val="single" w:sz="4" w:space="0" w:color="auto"/>
              <w:right w:val="nil"/>
            </w:tcBorders>
            <w:shd w:val="clear" w:color="auto" w:fill="auto"/>
            <w:noWrap/>
            <w:vAlign w:val="bottom"/>
            <w:hideMark/>
          </w:tcPr>
          <w:p w14:paraId="7B46B72F"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BaP</w:t>
            </w:r>
            <w:proofErr w:type="spellEnd"/>
          </w:p>
        </w:tc>
        <w:tc>
          <w:tcPr>
            <w:tcW w:w="1471" w:type="dxa"/>
            <w:tcBorders>
              <w:left w:val="nil"/>
              <w:bottom w:val="single" w:sz="4" w:space="0" w:color="auto"/>
              <w:right w:val="nil"/>
            </w:tcBorders>
            <w:shd w:val="clear" w:color="auto" w:fill="auto"/>
            <w:noWrap/>
            <w:vAlign w:val="bottom"/>
            <w:hideMark/>
          </w:tcPr>
          <w:p w14:paraId="62EE75B7"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BbF</w:t>
            </w:r>
            <w:proofErr w:type="spellEnd"/>
          </w:p>
        </w:tc>
        <w:tc>
          <w:tcPr>
            <w:tcW w:w="1471" w:type="dxa"/>
            <w:tcBorders>
              <w:left w:val="nil"/>
              <w:bottom w:val="single" w:sz="4" w:space="0" w:color="auto"/>
              <w:right w:val="nil"/>
            </w:tcBorders>
            <w:shd w:val="clear" w:color="auto" w:fill="auto"/>
            <w:noWrap/>
            <w:vAlign w:val="bottom"/>
            <w:hideMark/>
          </w:tcPr>
          <w:p w14:paraId="7126E031"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BkF</w:t>
            </w:r>
            <w:proofErr w:type="spellEnd"/>
          </w:p>
        </w:tc>
        <w:tc>
          <w:tcPr>
            <w:tcW w:w="1471" w:type="dxa"/>
            <w:tcBorders>
              <w:left w:val="nil"/>
              <w:bottom w:val="single" w:sz="4" w:space="0" w:color="auto"/>
            </w:tcBorders>
            <w:shd w:val="clear" w:color="auto" w:fill="auto"/>
            <w:noWrap/>
            <w:vAlign w:val="bottom"/>
            <w:hideMark/>
          </w:tcPr>
          <w:p w14:paraId="7B73BB85" w14:textId="77777777" w:rsidR="005C429C" w:rsidRPr="00FB5303" w:rsidRDefault="005C429C" w:rsidP="00993384">
            <w:pPr>
              <w:jc w:val="center"/>
              <w:rPr>
                <w:rFonts w:ascii="Arial" w:hAnsi="Arial" w:cs="Arial"/>
                <w:color w:val="000000"/>
              </w:rPr>
            </w:pPr>
            <w:r w:rsidRPr="00FB5303">
              <w:rPr>
                <w:rFonts w:ascii="Arial" w:hAnsi="Arial" w:cs="Arial"/>
                <w:color w:val="000000"/>
              </w:rPr>
              <w:t>I(1,2,3)P</w:t>
            </w:r>
          </w:p>
        </w:tc>
        <w:tc>
          <w:tcPr>
            <w:tcW w:w="2207" w:type="dxa"/>
            <w:vMerge/>
            <w:tcBorders>
              <w:bottom w:val="single" w:sz="4" w:space="0" w:color="auto"/>
              <w:right w:val="nil"/>
            </w:tcBorders>
            <w:shd w:val="clear" w:color="auto" w:fill="auto"/>
            <w:noWrap/>
            <w:vAlign w:val="bottom"/>
            <w:hideMark/>
          </w:tcPr>
          <w:p w14:paraId="21EDEA1C" w14:textId="77777777" w:rsidR="005C429C" w:rsidRPr="00FB5303" w:rsidRDefault="005C429C" w:rsidP="00993384">
            <w:pPr>
              <w:jc w:val="center"/>
              <w:rPr>
                <w:rFonts w:ascii="Arial" w:hAnsi="Arial" w:cs="Arial"/>
                <w:color w:val="000000"/>
              </w:rPr>
            </w:pPr>
          </w:p>
        </w:tc>
      </w:tr>
      <w:tr w:rsidR="005C429C" w:rsidRPr="00FB5303" w14:paraId="60DC8C48" w14:textId="77777777" w:rsidTr="001E366F">
        <w:trPr>
          <w:trHeight w:val="300"/>
          <w:jc w:val="center"/>
        </w:trPr>
        <w:tc>
          <w:tcPr>
            <w:tcW w:w="1070" w:type="dxa"/>
            <w:tcBorders>
              <w:left w:val="nil"/>
              <w:bottom w:val="nil"/>
              <w:right w:val="nil"/>
            </w:tcBorders>
            <w:shd w:val="clear" w:color="auto" w:fill="auto"/>
            <w:noWrap/>
            <w:vAlign w:val="bottom"/>
            <w:hideMark/>
          </w:tcPr>
          <w:p w14:paraId="539608CD"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m±s</w:t>
            </w:r>
            <w:proofErr w:type="spellEnd"/>
          </w:p>
        </w:tc>
        <w:tc>
          <w:tcPr>
            <w:tcW w:w="1471" w:type="dxa"/>
            <w:tcBorders>
              <w:left w:val="nil"/>
              <w:bottom w:val="nil"/>
              <w:right w:val="nil"/>
            </w:tcBorders>
            <w:shd w:val="clear" w:color="auto" w:fill="auto"/>
            <w:noWrap/>
            <w:vAlign w:val="bottom"/>
            <w:hideMark/>
          </w:tcPr>
          <w:p w14:paraId="3DDC8327" w14:textId="77777777" w:rsidR="005C429C" w:rsidRPr="00FB5303" w:rsidRDefault="005C429C" w:rsidP="00993384">
            <w:pPr>
              <w:jc w:val="center"/>
              <w:rPr>
                <w:rFonts w:ascii="Arial" w:hAnsi="Arial" w:cs="Arial"/>
                <w:color w:val="000000"/>
              </w:rPr>
            </w:pPr>
            <w:r w:rsidRPr="00FB5303">
              <w:rPr>
                <w:rFonts w:ascii="Arial" w:hAnsi="Arial" w:cs="Arial"/>
                <w:color w:val="000000"/>
              </w:rPr>
              <w:t>0.09±</w:t>
            </w:r>
            <w:r w:rsidRPr="00FB5303">
              <w:rPr>
                <w:rFonts w:ascii="Arial" w:hAnsi="Arial" w:cs="Arial"/>
                <w:bCs/>
                <w:color w:val="000000"/>
              </w:rPr>
              <w:t>0.02</w:t>
            </w:r>
          </w:p>
        </w:tc>
        <w:tc>
          <w:tcPr>
            <w:tcW w:w="1471" w:type="dxa"/>
            <w:tcBorders>
              <w:left w:val="nil"/>
              <w:bottom w:val="nil"/>
              <w:right w:val="nil"/>
            </w:tcBorders>
            <w:shd w:val="clear" w:color="auto" w:fill="auto"/>
            <w:noWrap/>
            <w:vAlign w:val="bottom"/>
            <w:hideMark/>
          </w:tcPr>
          <w:p w14:paraId="4FA05179" w14:textId="77777777" w:rsidR="005C429C" w:rsidRPr="00FB5303" w:rsidRDefault="005C429C" w:rsidP="00993384">
            <w:pPr>
              <w:jc w:val="center"/>
              <w:rPr>
                <w:rFonts w:ascii="Arial" w:hAnsi="Arial" w:cs="Arial"/>
                <w:color w:val="000000"/>
              </w:rPr>
            </w:pPr>
            <w:r w:rsidRPr="00FB5303">
              <w:rPr>
                <w:rFonts w:ascii="Arial" w:hAnsi="Arial" w:cs="Arial"/>
                <w:color w:val="000000"/>
              </w:rPr>
              <w:t>0.7±</w:t>
            </w:r>
            <w:r w:rsidRPr="00FB5303">
              <w:rPr>
                <w:rFonts w:ascii="Arial" w:hAnsi="Arial" w:cs="Arial"/>
                <w:bCs/>
                <w:color w:val="000000"/>
              </w:rPr>
              <w:t>0.1</w:t>
            </w:r>
          </w:p>
        </w:tc>
        <w:tc>
          <w:tcPr>
            <w:tcW w:w="1471" w:type="dxa"/>
            <w:tcBorders>
              <w:left w:val="nil"/>
              <w:bottom w:val="nil"/>
              <w:right w:val="nil"/>
            </w:tcBorders>
            <w:shd w:val="clear" w:color="auto" w:fill="auto"/>
            <w:noWrap/>
            <w:vAlign w:val="bottom"/>
            <w:hideMark/>
          </w:tcPr>
          <w:p w14:paraId="546274C9" w14:textId="77777777" w:rsidR="005C429C" w:rsidRPr="00FB5303" w:rsidRDefault="005C429C" w:rsidP="00993384">
            <w:pPr>
              <w:jc w:val="center"/>
              <w:rPr>
                <w:rFonts w:ascii="Arial" w:hAnsi="Arial" w:cs="Arial"/>
                <w:color w:val="000000"/>
              </w:rPr>
            </w:pPr>
            <w:r w:rsidRPr="00FB5303">
              <w:rPr>
                <w:rFonts w:ascii="Arial" w:hAnsi="Arial" w:cs="Arial"/>
                <w:color w:val="000000"/>
              </w:rPr>
              <w:t>0.17±</w:t>
            </w:r>
            <w:r w:rsidRPr="00FB5303">
              <w:rPr>
                <w:rFonts w:ascii="Arial" w:hAnsi="Arial" w:cs="Arial"/>
                <w:bCs/>
                <w:color w:val="000000"/>
              </w:rPr>
              <w:t>0.03</w:t>
            </w:r>
          </w:p>
        </w:tc>
        <w:tc>
          <w:tcPr>
            <w:tcW w:w="1471" w:type="dxa"/>
            <w:tcBorders>
              <w:left w:val="nil"/>
              <w:bottom w:val="nil"/>
              <w:right w:val="nil"/>
            </w:tcBorders>
            <w:shd w:val="clear" w:color="auto" w:fill="auto"/>
            <w:noWrap/>
            <w:vAlign w:val="bottom"/>
            <w:hideMark/>
          </w:tcPr>
          <w:p w14:paraId="60271716" w14:textId="77777777" w:rsidR="005C429C" w:rsidRPr="00FB5303" w:rsidRDefault="005C429C" w:rsidP="00993384">
            <w:pPr>
              <w:jc w:val="center"/>
              <w:rPr>
                <w:rFonts w:ascii="Arial" w:hAnsi="Arial" w:cs="Arial"/>
                <w:color w:val="000000"/>
              </w:rPr>
            </w:pPr>
            <w:r w:rsidRPr="00FB5303">
              <w:rPr>
                <w:rFonts w:ascii="Arial" w:hAnsi="Arial" w:cs="Arial"/>
                <w:color w:val="000000"/>
              </w:rPr>
              <w:t>0.025±</w:t>
            </w:r>
            <w:r w:rsidRPr="00FB5303">
              <w:rPr>
                <w:rFonts w:ascii="Arial" w:hAnsi="Arial" w:cs="Arial"/>
                <w:bCs/>
                <w:color w:val="000000"/>
              </w:rPr>
              <w:t>0.007</w:t>
            </w:r>
          </w:p>
        </w:tc>
        <w:tc>
          <w:tcPr>
            <w:tcW w:w="1471" w:type="dxa"/>
            <w:tcBorders>
              <w:left w:val="nil"/>
              <w:bottom w:val="nil"/>
            </w:tcBorders>
            <w:shd w:val="clear" w:color="auto" w:fill="auto"/>
            <w:noWrap/>
            <w:vAlign w:val="bottom"/>
            <w:hideMark/>
          </w:tcPr>
          <w:p w14:paraId="56AD9F8D" w14:textId="77777777" w:rsidR="005C429C" w:rsidRPr="00FB5303" w:rsidRDefault="005C429C" w:rsidP="00993384">
            <w:pPr>
              <w:jc w:val="center"/>
              <w:rPr>
                <w:rFonts w:ascii="Arial" w:hAnsi="Arial" w:cs="Arial"/>
                <w:color w:val="000000"/>
              </w:rPr>
            </w:pPr>
            <w:r w:rsidRPr="00FB5303">
              <w:rPr>
                <w:rFonts w:ascii="Arial" w:hAnsi="Arial" w:cs="Arial"/>
                <w:color w:val="000000"/>
              </w:rPr>
              <w:t>0.051±</w:t>
            </w:r>
            <w:r w:rsidRPr="00FB5303">
              <w:rPr>
                <w:rFonts w:ascii="Arial" w:hAnsi="Arial" w:cs="Arial"/>
                <w:bCs/>
                <w:color w:val="000000"/>
              </w:rPr>
              <w:t>0.008</w:t>
            </w:r>
          </w:p>
        </w:tc>
        <w:tc>
          <w:tcPr>
            <w:tcW w:w="2207" w:type="dxa"/>
            <w:tcBorders>
              <w:bottom w:val="nil"/>
              <w:right w:val="nil"/>
            </w:tcBorders>
            <w:shd w:val="clear" w:color="auto" w:fill="auto"/>
            <w:noWrap/>
            <w:vAlign w:val="bottom"/>
            <w:hideMark/>
          </w:tcPr>
          <w:p w14:paraId="5DCEC807" w14:textId="77777777" w:rsidR="005C429C" w:rsidRPr="00FB5303" w:rsidRDefault="005C429C" w:rsidP="00993384">
            <w:pPr>
              <w:jc w:val="center"/>
              <w:rPr>
                <w:rFonts w:ascii="Arial" w:hAnsi="Arial" w:cs="Arial"/>
                <w:color w:val="000000"/>
              </w:rPr>
            </w:pPr>
            <w:r w:rsidRPr="00FB5303">
              <w:rPr>
                <w:rFonts w:ascii="Arial" w:hAnsi="Arial" w:cs="Arial"/>
                <w:color w:val="000000"/>
              </w:rPr>
              <w:t>1.1±</w:t>
            </w:r>
            <w:r w:rsidRPr="00FB5303">
              <w:rPr>
                <w:rFonts w:ascii="Arial" w:hAnsi="Arial" w:cs="Arial"/>
                <w:bCs/>
                <w:color w:val="000000"/>
              </w:rPr>
              <w:t>0.2</w:t>
            </w:r>
          </w:p>
        </w:tc>
      </w:tr>
      <w:tr w:rsidR="005C429C" w:rsidRPr="00FB5303" w14:paraId="24CBDDB8" w14:textId="77777777" w:rsidTr="001E366F">
        <w:trPr>
          <w:trHeight w:val="300"/>
          <w:jc w:val="center"/>
        </w:trPr>
        <w:tc>
          <w:tcPr>
            <w:tcW w:w="1070" w:type="dxa"/>
            <w:tcBorders>
              <w:top w:val="nil"/>
              <w:left w:val="nil"/>
              <w:bottom w:val="single" w:sz="4" w:space="0" w:color="auto"/>
              <w:right w:val="nil"/>
            </w:tcBorders>
            <w:shd w:val="clear" w:color="auto" w:fill="auto"/>
            <w:noWrap/>
            <w:vAlign w:val="bottom"/>
            <w:hideMark/>
          </w:tcPr>
          <w:p w14:paraId="07FE9AE6" w14:textId="77777777" w:rsidR="005C429C" w:rsidRPr="00FB5303" w:rsidRDefault="005C429C" w:rsidP="00993384">
            <w:pPr>
              <w:jc w:val="center"/>
              <w:rPr>
                <w:rFonts w:ascii="Arial" w:hAnsi="Arial" w:cs="Arial"/>
                <w:color w:val="000000"/>
              </w:rPr>
            </w:pPr>
            <w:r w:rsidRPr="00FB5303">
              <w:rPr>
                <w:rFonts w:ascii="Arial" w:hAnsi="Arial" w:cs="Arial"/>
                <w:color w:val="000000"/>
              </w:rPr>
              <w:t>Min-Max</w:t>
            </w:r>
          </w:p>
        </w:tc>
        <w:tc>
          <w:tcPr>
            <w:tcW w:w="1471" w:type="dxa"/>
            <w:tcBorders>
              <w:top w:val="nil"/>
              <w:left w:val="nil"/>
              <w:bottom w:val="single" w:sz="4" w:space="0" w:color="auto"/>
              <w:right w:val="nil"/>
            </w:tcBorders>
            <w:shd w:val="clear" w:color="auto" w:fill="auto"/>
            <w:noWrap/>
            <w:vAlign w:val="bottom"/>
            <w:hideMark/>
          </w:tcPr>
          <w:p w14:paraId="4D891CE1" w14:textId="77777777" w:rsidR="005C429C" w:rsidRPr="00FB5303" w:rsidRDefault="005C429C" w:rsidP="00993384">
            <w:pPr>
              <w:jc w:val="center"/>
              <w:rPr>
                <w:rFonts w:ascii="Arial" w:hAnsi="Arial" w:cs="Arial"/>
                <w:color w:val="000000"/>
              </w:rPr>
            </w:pPr>
            <w:r w:rsidRPr="00FB5303">
              <w:rPr>
                <w:rFonts w:ascii="Arial" w:hAnsi="Arial" w:cs="Arial"/>
                <w:color w:val="000000"/>
              </w:rPr>
              <w:t>0.06-0.16</w:t>
            </w:r>
          </w:p>
        </w:tc>
        <w:tc>
          <w:tcPr>
            <w:tcW w:w="1471" w:type="dxa"/>
            <w:tcBorders>
              <w:top w:val="nil"/>
              <w:left w:val="nil"/>
              <w:bottom w:val="single" w:sz="4" w:space="0" w:color="auto"/>
              <w:right w:val="nil"/>
            </w:tcBorders>
            <w:shd w:val="clear" w:color="auto" w:fill="auto"/>
            <w:noWrap/>
            <w:vAlign w:val="bottom"/>
            <w:hideMark/>
          </w:tcPr>
          <w:p w14:paraId="2025CDD7" w14:textId="77777777" w:rsidR="005C429C" w:rsidRPr="00FB5303" w:rsidRDefault="005C429C" w:rsidP="00993384">
            <w:pPr>
              <w:jc w:val="center"/>
              <w:rPr>
                <w:rFonts w:ascii="Arial" w:hAnsi="Arial" w:cs="Arial"/>
                <w:color w:val="000000"/>
              </w:rPr>
            </w:pPr>
            <w:r w:rsidRPr="00FB5303">
              <w:rPr>
                <w:rFonts w:ascii="Arial" w:hAnsi="Arial" w:cs="Arial"/>
                <w:color w:val="000000"/>
              </w:rPr>
              <w:t>0.4-1.2</w:t>
            </w:r>
          </w:p>
        </w:tc>
        <w:tc>
          <w:tcPr>
            <w:tcW w:w="1471" w:type="dxa"/>
            <w:tcBorders>
              <w:top w:val="nil"/>
              <w:left w:val="nil"/>
              <w:bottom w:val="single" w:sz="4" w:space="0" w:color="auto"/>
              <w:right w:val="nil"/>
            </w:tcBorders>
            <w:shd w:val="clear" w:color="auto" w:fill="auto"/>
            <w:noWrap/>
            <w:vAlign w:val="bottom"/>
            <w:hideMark/>
          </w:tcPr>
          <w:p w14:paraId="65566C5F" w14:textId="77777777" w:rsidR="005C429C" w:rsidRPr="00FB5303" w:rsidRDefault="005C429C" w:rsidP="00993384">
            <w:pPr>
              <w:jc w:val="center"/>
              <w:rPr>
                <w:rFonts w:ascii="Arial" w:hAnsi="Arial" w:cs="Arial"/>
                <w:color w:val="000000"/>
              </w:rPr>
            </w:pPr>
            <w:r w:rsidRPr="00FB5303">
              <w:rPr>
                <w:rFonts w:ascii="Arial" w:hAnsi="Arial" w:cs="Arial"/>
                <w:color w:val="000000"/>
              </w:rPr>
              <w:t>0.11-0.28</w:t>
            </w:r>
          </w:p>
        </w:tc>
        <w:tc>
          <w:tcPr>
            <w:tcW w:w="1471" w:type="dxa"/>
            <w:tcBorders>
              <w:top w:val="nil"/>
              <w:left w:val="nil"/>
              <w:bottom w:val="single" w:sz="4" w:space="0" w:color="auto"/>
              <w:right w:val="nil"/>
            </w:tcBorders>
            <w:shd w:val="clear" w:color="auto" w:fill="auto"/>
            <w:noWrap/>
            <w:vAlign w:val="bottom"/>
            <w:hideMark/>
          </w:tcPr>
          <w:p w14:paraId="3F886C5A" w14:textId="77777777" w:rsidR="005C429C" w:rsidRPr="00FB5303" w:rsidRDefault="005C429C" w:rsidP="00993384">
            <w:pPr>
              <w:jc w:val="center"/>
              <w:rPr>
                <w:rFonts w:ascii="Arial" w:hAnsi="Arial" w:cs="Arial"/>
                <w:color w:val="000000"/>
              </w:rPr>
            </w:pPr>
            <w:r w:rsidRPr="00FB5303">
              <w:rPr>
                <w:rFonts w:ascii="Arial" w:hAnsi="Arial" w:cs="Arial"/>
                <w:color w:val="000000"/>
              </w:rPr>
              <w:t>0.025-0.063</w:t>
            </w:r>
          </w:p>
        </w:tc>
        <w:tc>
          <w:tcPr>
            <w:tcW w:w="1471" w:type="dxa"/>
            <w:tcBorders>
              <w:top w:val="nil"/>
              <w:left w:val="nil"/>
              <w:bottom w:val="single" w:sz="4" w:space="0" w:color="auto"/>
              <w:right w:val="single" w:sz="4" w:space="0" w:color="auto"/>
            </w:tcBorders>
            <w:shd w:val="clear" w:color="auto" w:fill="auto"/>
            <w:noWrap/>
            <w:vAlign w:val="bottom"/>
            <w:hideMark/>
          </w:tcPr>
          <w:p w14:paraId="6FB18B7D" w14:textId="77777777" w:rsidR="005C429C" w:rsidRPr="00FB5303" w:rsidRDefault="005C429C" w:rsidP="00993384">
            <w:pPr>
              <w:jc w:val="center"/>
              <w:rPr>
                <w:rFonts w:ascii="Arial" w:hAnsi="Arial" w:cs="Arial"/>
                <w:color w:val="000000"/>
              </w:rPr>
            </w:pPr>
            <w:r w:rsidRPr="00FB5303">
              <w:rPr>
                <w:rFonts w:ascii="Arial" w:hAnsi="Arial" w:cs="Arial"/>
                <w:color w:val="000000"/>
              </w:rPr>
              <w:t>0.03-0.09</w:t>
            </w:r>
          </w:p>
        </w:tc>
        <w:tc>
          <w:tcPr>
            <w:tcW w:w="2207" w:type="dxa"/>
            <w:tcBorders>
              <w:top w:val="nil"/>
              <w:left w:val="single" w:sz="4" w:space="0" w:color="auto"/>
              <w:bottom w:val="single" w:sz="4" w:space="0" w:color="auto"/>
              <w:right w:val="nil"/>
            </w:tcBorders>
            <w:shd w:val="clear" w:color="auto" w:fill="auto"/>
            <w:noWrap/>
            <w:vAlign w:val="bottom"/>
            <w:hideMark/>
          </w:tcPr>
          <w:p w14:paraId="09412F9A" w14:textId="77777777" w:rsidR="005C429C" w:rsidRPr="00FB5303" w:rsidRDefault="005C429C" w:rsidP="00993384">
            <w:pPr>
              <w:jc w:val="center"/>
              <w:rPr>
                <w:rFonts w:ascii="Arial" w:hAnsi="Arial" w:cs="Arial"/>
                <w:color w:val="000000"/>
              </w:rPr>
            </w:pPr>
            <w:r w:rsidRPr="00FB5303">
              <w:rPr>
                <w:rFonts w:ascii="Arial" w:hAnsi="Arial" w:cs="Arial"/>
                <w:color w:val="000000"/>
              </w:rPr>
              <w:t>0.6-1.8</w:t>
            </w:r>
          </w:p>
        </w:tc>
      </w:tr>
      <w:tr w:rsidR="005C429C" w:rsidRPr="00FB5303" w14:paraId="76C8191A" w14:textId="77777777" w:rsidTr="001E366F">
        <w:trPr>
          <w:trHeight w:val="300"/>
          <w:jc w:val="center"/>
        </w:trPr>
        <w:tc>
          <w:tcPr>
            <w:tcW w:w="1070" w:type="dxa"/>
            <w:tcBorders>
              <w:top w:val="single" w:sz="4" w:space="0" w:color="auto"/>
              <w:left w:val="nil"/>
              <w:bottom w:val="nil"/>
              <w:right w:val="nil"/>
            </w:tcBorders>
            <w:shd w:val="clear" w:color="auto" w:fill="auto"/>
            <w:noWrap/>
            <w:vAlign w:val="bottom"/>
          </w:tcPr>
          <w:p w14:paraId="3C05AD37" w14:textId="77777777" w:rsidR="005C429C" w:rsidRPr="00FB5303" w:rsidRDefault="005C429C" w:rsidP="00993384">
            <w:pPr>
              <w:jc w:val="center"/>
              <w:rPr>
                <w:rFonts w:ascii="Arial" w:hAnsi="Arial" w:cs="Arial"/>
                <w:color w:val="000000"/>
              </w:rPr>
            </w:pPr>
          </w:p>
        </w:tc>
        <w:tc>
          <w:tcPr>
            <w:tcW w:w="7355" w:type="dxa"/>
            <w:gridSpan w:val="5"/>
            <w:tcBorders>
              <w:top w:val="single" w:sz="4" w:space="0" w:color="auto"/>
              <w:left w:val="nil"/>
              <w:bottom w:val="single" w:sz="4" w:space="0" w:color="auto"/>
            </w:tcBorders>
            <w:shd w:val="clear" w:color="auto" w:fill="auto"/>
            <w:noWrap/>
            <w:vAlign w:val="bottom"/>
          </w:tcPr>
          <w:p w14:paraId="40D2FADC" w14:textId="77777777" w:rsidR="005C429C" w:rsidRPr="00FB5303" w:rsidRDefault="005C429C" w:rsidP="00993384">
            <w:pPr>
              <w:jc w:val="center"/>
              <w:rPr>
                <w:rFonts w:ascii="Arial" w:hAnsi="Arial" w:cs="Arial"/>
                <w:color w:val="000000"/>
                <w:lang w:val="fr-CI"/>
              </w:rPr>
            </w:pPr>
            <w:r w:rsidRPr="00FB5303">
              <w:rPr>
                <w:rFonts w:ascii="Arial" w:hAnsi="Arial" w:cs="Arial"/>
                <w:color w:val="000000"/>
                <w:lang w:val="fr-CI"/>
              </w:rPr>
              <w:t xml:space="preserve">Ci x </w:t>
            </w:r>
            <w:proofErr w:type="spellStart"/>
            <w:r w:rsidRPr="00FB5303">
              <w:rPr>
                <w:rFonts w:ascii="Arial" w:hAnsi="Arial" w:cs="Arial"/>
                <w:color w:val="000000"/>
                <w:lang w:val="fr-CI"/>
              </w:rPr>
              <w:t>MEFi</w:t>
            </w:r>
            <w:proofErr w:type="spellEnd"/>
            <w:r w:rsidRPr="00FB5303">
              <w:rPr>
                <w:rFonts w:ascii="Arial" w:hAnsi="Arial" w:cs="Arial"/>
                <w:color w:val="000000"/>
                <w:lang w:val="fr-CI"/>
              </w:rPr>
              <w:t xml:space="preserve"> (µg/l)</w:t>
            </w:r>
          </w:p>
        </w:tc>
        <w:tc>
          <w:tcPr>
            <w:tcW w:w="2207" w:type="dxa"/>
            <w:tcBorders>
              <w:top w:val="single" w:sz="4" w:space="0" w:color="auto"/>
              <w:bottom w:val="single" w:sz="4" w:space="0" w:color="auto"/>
              <w:right w:val="nil"/>
            </w:tcBorders>
            <w:shd w:val="clear" w:color="auto" w:fill="auto"/>
            <w:noWrap/>
            <w:vAlign w:val="bottom"/>
          </w:tcPr>
          <w:p w14:paraId="78EEA8A1" w14:textId="77777777" w:rsidR="005C429C" w:rsidRPr="00FB5303" w:rsidRDefault="005C429C" w:rsidP="00993384">
            <w:pPr>
              <w:jc w:val="center"/>
              <w:rPr>
                <w:rFonts w:ascii="Arial" w:hAnsi="Arial" w:cs="Arial"/>
                <w:color w:val="000000"/>
              </w:rPr>
            </w:pPr>
            <w:r w:rsidRPr="00FB5303">
              <w:rPr>
                <w:rFonts w:ascii="Arial" w:hAnsi="Arial" w:cs="Arial"/>
                <w:color w:val="000000"/>
              </w:rPr>
              <w:t xml:space="preserve">Total </w:t>
            </w:r>
            <w:proofErr w:type="spellStart"/>
            <w:r w:rsidRPr="00FB5303">
              <w:rPr>
                <w:rFonts w:ascii="Arial" w:hAnsi="Arial" w:cs="Arial"/>
                <w:color w:val="000000"/>
              </w:rPr>
              <w:t>BaP</w:t>
            </w:r>
            <w:proofErr w:type="spellEnd"/>
            <w:r w:rsidRPr="00FB5303">
              <w:rPr>
                <w:rFonts w:ascii="Arial" w:hAnsi="Arial" w:cs="Arial"/>
                <w:color w:val="000000"/>
              </w:rPr>
              <w:t>-MEQ (µg/l)</w:t>
            </w:r>
          </w:p>
        </w:tc>
      </w:tr>
      <w:tr w:rsidR="005C429C" w:rsidRPr="00FB5303" w14:paraId="5BDAADC6" w14:textId="77777777" w:rsidTr="001E366F">
        <w:trPr>
          <w:trHeight w:val="300"/>
          <w:jc w:val="center"/>
        </w:trPr>
        <w:tc>
          <w:tcPr>
            <w:tcW w:w="1070" w:type="dxa"/>
            <w:tcBorders>
              <w:top w:val="nil"/>
              <w:left w:val="nil"/>
              <w:bottom w:val="nil"/>
              <w:right w:val="nil"/>
            </w:tcBorders>
            <w:shd w:val="clear" w:color="auto" w:fill="auto"/>
            <w:noWrap/>
            <w:vAlign w:val="bottom"/>
          </w:tcPr>
          <w:p w14:paraId="7577FAF2" w14:textId="77777777" w:rsidR="005C429C" w:rsidRPr="00FB5303" w:rsidRDefault="005C429C" w:rsidP="00993384">
            <w:pPr>
              <w:jc w:val="center"/>
              <w:rPr>
                <w:rFonts w:ascii="Arial" w:hAnsi="Arial" w:cs="Arial"/>
                <w:color w:val="000000"/>
              </w:rPr>
            </w:pPr>
            <w:proofErr w:type="spellStart"/>
            <w:r w:rsidRPr="00FB5303">
              <w:rPr>
                <w:rFonts w:ascii="Arial" w:hAnsi="Arial" w:cs="Arial"/>
                <w:color w:val="000000"/>
              </w:rPr>
              <w:t>m±s</w:t>
            </w:r>
            <w:proofErr w:type="spellEnd"/>
          </w:p>
        </w:tc>
        <w:tc>
          <w:tcPr>
            <w:tcW w:w="1471" w:type="dxa"/>
            <w:tcBorders>
              <w:top w:val="single" w:sz="4" w:space="0" w:color="auto"/>
              <w:left w:val="nil"/>
              <w:bottom w:val="nil"/>
              <w:right w:val="nil"/>
            </w:tcBorders>
            <w:shd w:val="clear" w:color="auto" w:fill="auto"/>
            <w:noWrap/>
            <w:vAlign w:val="bottom"/>
          </w:tcPr>
          <w:p w14:paraId="16E30389" w14:textId="77777777" w:rsidR="005C429C" w:rsidRPr="00FB5303" w:rsidRDefault="005C429C" w:rsidP="00993384">
            <w:pPr>
              <w:jc w:val="center"/>
              <w:rPr>
                <w:rFonts w:ascii="Arial" w:hAnsi="Arial" w:cs="Arial"/>
                <w:color w:val="000000"/>
              </w:rPr>
            </w:pPr>
            <w:r w:rsidRPr="00FB5303">
              <w:rPr>
                <w:rFonts w:ascii="Arial" w:hAnsi="Arial" w:cs="Arial"/>
                <w:color w:val="000000"/>
              </w:rPr>
              <w:t>0.07±</w:t>
            </w:r>
            <w:r w:rsidRPr="00FB5303">
              <w:rPr>
                <w:rFonts w:ascii="Arial" w:hAnsi="Arial" w:cs="Arial"/>
                <w:bCs/>
                <w:color w:val="000000"/>
              </w:rPr>
              <w:t>0.01</w:t>
            </w:r>
          </w:p>
        </w:tc>
        <w:tc>
          <w:tcPr>
            <w:tcW w:w="1471" w:type="dxa"/>
            <w:tcBorders>
              <w:top w:val="single" w:sz="4" w:space="0" w:color="auto"/>
              <w:left w:val="nil"/>
              <w:bottom w:val="nil"/>
              <w:right w:val="nil"/>
            </w:tcBorders>
            <w:shd w:val="clear" w:color="auto" w:fill="auto"/>
            <w:noWrap/>
            <w:vAlign w:val="bottom"/>
          </w:tcPr>
          <w:p w14:paraId="1E0B6EB8" w14:textId="77777777" w:rsidR="005C429C" w:rsidRPr="00FB5303" w:rsidRDefault="005C429C" w:rsidP="00993384">
            <w:pPr>
              <w:jc w:val="center"/>
              <w:rPr>
                <w:rFonts w:ascii="Arial" w:hAnsi="Arial" w:cs="Arial"/>
                <w:color w:val="000000"/>
              </w:rPr>
            </w:pPr>
            <w:r w:rsidRPr="00FB5303">
              <w:rPr>
                <w:rFonts w:ascii="Arial" w:hAnsi="Arial" w:cs="Arial"/>
                <w:color w:val="000000"/>
              </w:rPr>
              <w:t>0.7±</w:t>
            </w:r>
            <w:r w:rsidRPr="00FB5303">
              <w:rPr>
                <w:rFonts w:ascii="Arial" w:hAnsi="Arial" w:cs="Arial"/>
                <w:bCs/>
                <w:color w:val="000000"/>
              </w:rPr>
              <w:t>0.1</w:t>
            </w:r>
          </w:p>
        </w:tc>
        <w:tc>
          <w:tcPr>
            <w:tcW w:w="1471" w:type="dxa"/>
            <w:tcBorders>
              <w:top w:val="single" w:sz="4" w:space="0" w:color="auto"/>
              <w:left w:val="nil"/>
              <w:bottom w:val="nil"/>
              <w:right w:val="nil"/>
            </w:tcBorders>
            <w:shd w:val="clear" w:color="auto" w:fill="auto"/>
            <w:noWrap/>
            <w:vAlign w:val="bottom"/>
          </w:tcPr>
          <w:p w14:paraId="37A35B6A" w14:textId="77777777" w:rsidR="005C429C" w:rsidRPr="00FB5303" w:rsidRDefault="005C429C" w:rsidP="00993384">
            <w:pPr>
              <w:jc w:val="center"/>
              <w:rPr>
                <w:rFonts w:ascii="Arial" w:hAnsi="Arial" w:cs="Arial"/>
                <w:color w:val="000000"/>
              </w:rPr>
            </w:pPr>
            <w:r w:rsidRPr="00FB5303">
              <w:rPr>
                <w:rFonts w:ascii="Arial" w:hAnsi="Arial" w:cs="Arial"/>
                <w:color w:val="000000"/>
              </w:rPr>
              <w:t>0.18±</w:t>
            </w:r>
            <w:r w:rsidRPr="00FB5303">
              <w:rPr>
                <w:rFonts w:ascii="Arial" w:hAnsi="Arial" w:cs="Arial"/>
                <w:bCs/>
                <w:color w:val="000000"/>
              </w:rPr>
              <w:t>0.03</w:t>
            </w:r>
          </w:p>
        </w:tc>
        <w:tc>
          <w:tcPr>
            <w:tcW w:w="1471" w:type="dxa"/>
            <w:tcBorders>
              <w:top w:val="single" w:sz="4" w:space="0" w:color="auto"/>
              <w:left w:val="nil"/>
              <w:bottom w:val="nil"/>
              <w:right w:val="nil"/>
            </w:tcBorders>
            <w:shd w:val="clear" w:color="auto" w:fill="auto"/>
            <w:noWrap/>
            <w:vAlign w:val="bottom"/>
          </w:tcPr>
          <w:p w14:paraId="10F6D1CB" w14:textId="77777777" w:rsidR="005C429C" w:rsidRPr="00FB5303" w:rsidRDefault="005C429C" w:rsidP="00993384">
            <w:pPr>
              <w:jc w:val="center"/>
              <w:rPr>
                <w:rFonts w:ascii="Arial" w:hAnsi="Arial" w:cs="Arial"/>
                <w:color w:val="000000"/>
              </w:rPr>
            </w:pPr>
            <w:r w:rsidRPr="00FB5303">
              <w:rPr>
                <w:rFonts w:ascii="Arial" w:hAnsi="Arial" w:cs="Arial"/>
                <w:color w:val="000000"/>
              </w:rPr>
              <w:t>0.11±</w:t>
            </w:r>
            <w:r w:rsidRPr="00FB5303">
              <w:rPr>
                <w:rFonts w:ascii="Arial" w:hAnsi="Arial" w:cs="Arial"/>
                <w:bCs/>
                <w:color w:val="000000"/>
              </w:rPr>
              <w:t>0.02</w:t>
            </w:r>
          </w:p>
        </w:tc>
        <w:tc>
          <w:tcPr>
            <w:tcW w:w="1471" w:type="dxa"/>
            <w:tcBorders>
              <w:top w:val="single" w:sz="4" w:space="0" w:color="auto"/>
              <w:left w:val="nil"/>
              <w:bottom w:val="nil"/>
            </w:tcBorders>
            <w:shd w:val="clear" w:color="auto" w:fill="auto"/>
            <w:noWrap/>
            <w:vAlign w:val="bottom"/>
          </w:tcPr>
          <w:p w14:paraId="67DB1BE1" w14:textId="77777777" w:rsidR="005C429C" w:rsidRPr="00FB5303" w:rsidRDefault="005C429C" w:rsidP="00993384">
            <w:pPr>
              <w:jc w:val="center"/>
              <w:rPr>
                <w:rFonts w:ascii="Arial" w:hAnsi="Arial" w:cs="Arial"/>
                <w:color w:val="000000"/>
              </w:rPr>
            </w:pPr>
            <w:r w:rsidRPr="00FB5303">
              <w:rPr>
                <w:rFonts w:ascii="Arial" w:hAnsi="Arial" w:cs="Arial"/>
                <w:color w:val="000000"/>
              </w:rPr>
              <w:t>0.13±</w:t>
            </w:r>
            <w:r w:rsidRPr="00FB5303">
              <w:rPr>
                <w:rFonts w:ascii="Arial" w:hAnsi="Arial" w:cs="Arial"/>
                <w:bCs/>
                <w:color w:val="000000"/>
              </w:rPr>
              <w:t>0.02</w:t>
            </w:r>
          </w:p>
        </w:tc>
        <w:tc>
          <w:tcPr>
            <w:tcW w:w="2207" w:type="dxa"/>
            <w:tcBorders>
              <w:top w:val="single" w:sz="4" w:space="0" w:color="auto"/>
              <w:bottom w:val="nil"/>
              <w:right w:val="nil"/>
            </w:tcBorders>
            <w:shd w:val="clear" w:color="auto" w:fill="auto"/>
            <w:noWrap/>
            <w:vAlign w:val="bottom"/>
          </w:tcPr>
          <w:p w14:paraId="5BC97D59" w14:textId="77777777" w:rsidR="005C429C" w:rsidRPr="00FB5303" w:rsidRDefault="005C429C" w:rsidP="00993384">
            <w:pPr>
              <w:jc w:val="center"/>
              <w:rPr>
                <w:rFonts w:ascii="Arial" w:hAnsi="Arial" w:cs="Arial"/>
                <w:color w:val="000000"/>
              </w:rPr>
            </w:pPr>
            <w:r w:rsidRPr="00FB5303">
              <w:rPr>
                <w:rFonts w:ascii="Arial" w:hAnsi="Arial" w:cs="Arial"/>
                <w:color w:val="000000"/>
              </w:rPr>
              <w:t>1.2±</w:t>
            </w:r>
            <w:r w:rsidRPr="00FB5303">
              <w:rPr>
                <w:rFonts w:ascii="Arial" w:hAnsi="Arial" w:cs="Arial"/>
                <w:bCs/>
                <w:color w:val="000000"/>
              </w:rPr>
              <w:t>0.2</w:t>
            </w:r>
          </w:p>
        </w:tc>
      </w:tr>
      <w:tr w:rsidR="005C429C" w:rsidRPr="00FB5303" w14:paraId="6A7CCABD" w14:textId="77777777" w:rsidTr="001E366F">
        <w:trPr>
          <w:trHeight w:val="300"/>
          <w:jc w:val="center"/>
        </w:trPr>
        <w:tc>
          <w:tcPr>
            <w:tcW w:w="1070" w:type="dxa"/>
            <w:tcBorders>
              <w:top w:val="nil"/>
              <w:left w:val="nil"/>
              <w:bottom w:val="single" w:sz="4" w:space="0" w:color="auto"/>
              <w:right w:val="nil"/>
            </w:tcBorders>
            <w:shd w:val="clear" w:color="auto" w:fill="auto"/>
            <w:noWrap/>
            <w:vAlign w:val="bottom"/>
          </w:tcPr>
          <w:p w14:paraId="6F497B17" w14:textId="77777777" w:rsidR="005C429C" w:rsidRPr="00FB5303" w:rsidRDefault="005C429C" w:rsidP="00993384">
            <w:pPr>
              <w:jc w:val="center"/>
              <w:rPr>
                <w:rFonts w:ascii="Arial" w:hAnsi="Arial" w:cs="Arial"/>
                <w:color w:val="000000"/>
              </w:rPr>
            </w:pPr>
            <w:r w:rsidRPr="00FB5303">
              <w:rPr>
                <w:rFonts w:ascii="Arial" w:hAnsi="Arial" w:cs="Arial"/>
                <w:color w:val="000000"/>
              </w:rPr>
              <w:t>Min-Max</w:t>
            </w:r>
          </w:p>
        </w:tc>
        <w:tc>
          <w:tcPr>
            <w:tcW w:w="1471" w:type="dxa"/>
            <w:tcBorders>
              <w:top w:val="nil"/>
              <w:left w:val="nil"/>
              <w:bottom w:val="single" w:sz="4" w:space="0" w:color="auto"/>
              <w:right w:val="nil"/>
            </w:tcBorders>
            <w:shd w:val="clear" w:color="auto" w:fill="auto"/>
            <w:noWrap/>
            <w:vAlign w:val="bottom"/>
          </w:tcPr>
          <w:p w14:paraId="71040C5A" w14:textId="77777777" w:rsidR="005C429C" w:rsidRPr="00FB5303" w:rsidRDefault="005C429C" w:rsidP="00993384">
            <w:pPr>
              <w:jc w:val="center"/>
              <w:rPr>
                <w:rFonts w:ascii="Arial" w:hAnsi="Arial" w:cs="Arial"/>
                <w:color w:val="000000"/>
              </w:rPr>
            </w:pPr>
            <w:r w:rsidRPr="00FB5303">
              <w:rPr>
                <w:rFonts w:ascii="Arial" w:hAnsi="Arial" w:cs="Arial"/>
                <w:color w:val="000000"/>
              </w:rPr>
              <w:t>0.05-0.13</w:t>
            </w:r>
          </w:p>
        </w:tc>
        <w:tc>
          <w:tcPr>
            <w:tcW w:w="1471" w:type="dxa"/>
            <w:tcBorders>
              <w:top w:val="nil"/>
              <w:left w:val="nil"/>
              <w:bottom w:val="single" w:sz="4" w:space="0" w:color="auto"/>
              <w:right w:val="nil"/>
            </w:tcBorders>
            <w:shd w:val="clear" w:color="auto" w:fill="auto"/>
            <w:noWrap/>
            <w:vAlign w:val="bottom"/>
          </w:tcPr>
          <w:p w14:paraId="435AC138" w14:textId="77777777" w:rsidR="005C429C" w:rsidRPr="00FB5303" w:rsidRDefault="005C429C" w:rsidP="00993384">
            <w:pPr>
              <w:jc w:val="center"/>
              <w:rPr>
                <w:rFonts w:ascii="Arial" w:hAnsi="Arial" w:cs="Arial"/>
                <w:color w:val="000000"/>
              </w:rPr>
            </w:pPr>
            <w:r w:rsidRPr="00FB5303">
              <w:rPr>
                <w:rFonts w:ascii="Arial" w:hAnsi="Arial" w:cs="Arial"/>
                <w:color w:val="000000"/>
              </w:rPr>
              <w:t>0.4-1.2</w:t>
            </w:r>
          </w:p>
        </w:tc>
        <w:tc>
          <w:tcPr>
            <w:tcW w:w="1471" w:type="dxa"/>
            <w:tcBorders>
              <w:top w:val="nil"/>
              <w:left w:val="nil"/>
              <w:bottom w:val="single" w:sz="4" w:space="0" w:color="auto"/>
              <w:right w:val="nil"/>
            </w:tcBorders>
            <w:shd w:val="clear" w:color="auto" w:fill="auto"/>
            <w:noWrap/>
            <w:vAlign w:val="bottom"/>
          </w:tcPr>
          <w:p w14:paraId="0BB36A2C" w14:textId="77777777" w:rsidR="005C429C" w:rsidRPr="00FB5303" w:rsidRDefault="005C429C" w:rsidP="00993384">
            <w:pPr>
              <w:jc w:val="center"/>
              <w:rPr>
                <w:rFonts w:ascii="Arial" w:hAnsi="Arial" w:cs="Arial"/>
                <w:color w:val="000000"/>
              </w:rPr>
            </w:pPr>
            <w:r w:rsidRPr="00FB5303">
              <w:rPr>
                <w:rFonts w:ascii="Arial" w:hAnsi="Arial" w:cs="Arial"/>
                <w:color w:val="000000"/>
              </w:rPr>
              <w:t>0.11-0.30</w:t>
            </w:r>
          </w:p>
        </w:tc>
        <w:tc>
          <w:tcPr>
            <w:tcW w:w="1471" w:type="dxa"/>
            <w:tcBorders>
              <w:top w:val="nil"/>
              <w:left w:val="nil"/>
              <w:bottom w:val="single" w:sz="4" w:space="0" w:color="auto"/>
              <w:right w:val="nil"/>
            </w:tcBorders>
            <w:shd w:val="clear" w:color="auto" w:fill="auto"/>
            <w:noWrap/>
            <w:vAlign w:val="bottom"/>
          </w:tcPr>
          <w:p w14:paraId="7CFCD1E1" w14:textId="77777777" w:rsidR="005C429C" w:rsidRPr="00FB5303" w:rsidRDefault="005C429C" w:rsidP="00993384">
            <w:pPr>
              <w:jc w:val="center"/>
              <w:rPr>
                <w:rFonts w:ascii="Arial" w:hAnsi="Arial" w:cs="Arial"/>
                <w:color w:val="000000"/>
              </w:rPr>
            </w:pPr>
            <w:r w:rsidRPr="00FB5303">
              <w:rPr>
                <w:rFonts w:ascii="Arial" w:hAnsi="Arial" w:cs="Arial"/>
                <w:color w:val="000000"/>
              </w:rPr>
              <w:t>0.08-0.20</w:t>
            </w:r>
          </w:p>
        </w:tc>
        <w:tc>
          <w:tcPr>
            <w:tcW w:w="1471" w:type="dxa"/>
            <w:tcBorders>
              <w:top w:val="nil"/>
              <w:left w:val="nil"/>
              <w:bottom w:val="single" w:sz="4" w:space="0" w:color="auto"/>
              <w:right w:val="single" w:sz="4" w:space="0" w:color="auto"/>
            </w:tcBorders>
            <w:shd w:val="clear" w:color="auto" w:fill="auto"/>
            <w:noWrap/>
            <w:vAlign w:val="bottom"/>
          </w:tcPr>
          <w:p w14:paraId="0A0C91EA" w14:textId="77777777" w:rsidR="005C429C" w:rsidRPr="00FB5303" w:rsidRDefault="005C429C" w:rsidP="00993384">
            <w:pPr>
              <w:jc w:val="center"/>
              <w:rPr>
                <w:rFonts w:ascii="Arial" w:hAnsi="Arial" w:cs="Arial"/>
                <w:color w:val="000000"/>
              </w:rPr>
            </w:pPr>
            <w:r w:rsidRPr="00FB5303">
              <w:rPr>
                <w:rFonts w:ascii="Arial" w:hAnsi="Arial" w:cs="Arial"/>
                <w:color w:val="000000"/>
              </w:rPr>
              <w:t>0.07-0.22</w:t>
            </w:r>
          </w:p>
        </w:tc>
        <w:tc>
          <w:tcPr>
            <w:tcW w:w="2207" w:type="dxa"/>
            <w:tcBorders>
              <w:top w:val="nil"/>
              <w:left w:val="single" w:sz="4" w:space="0" w:color="auto"/>
              <w:bottom w:val="single" w:sz="4" w:space="0" w:color="auto"/>
              <w:right w:val="nil"/>
            </w:tcBorders>
            <w:shd w:val="clear" w:color="auto" w:fill="auto"/>
            <w:noWrap/>
            <w:vAlign w:val="bottom"/>
          </w:tcPr>
          <w:p w14:paraId="1F466426" w14:textId="77777777" w:rsidR="005C429C" w:rsidRPr="00FB5303" w:rsidRDefault="005C429C" w:rsidP="00993384">
            <w:pPr>
              <w:jc w:val="center"/>
              <w:rPr>
                <w:rFonts w:ascii="Arial" w:hAnsi="Arial" w:cs="Arial"/>
                <w:color w:val="000000"/>
              </w:rPr>
            </w:pPr>
            <w:r w:rsidRPr="00FB5303">
              <w:rPr>
                <w:rFonts w:ascii="Arial" w:hAnsi="Arial" w:cs="Arial"/>
                <w:color w:val="000000"/>
              </w:rPr>
              <w:t>0.7-2.0</w:t>
            </w:r>
          </w:p>
        </w:tc>
      </w:tr>
    </w:tbl>
    <w:p w14:paraId="507A92B2" w14:textId="77777777" w:rsidR="005C429C" w:rsidRPr="000D3C8D" w:rsidRDefault="005C429C" w:rsidP="005C429C">
      <w:pPr>
        <w:rPr>
          <w:rFonts w:ascii="Times New Roman" w:hAnsi="Times New Roman"/>
          <w:bCs/>
          <w:sz w:val="12"/>
          <w:szCs w:val="12"/>
        </w:rPr>
      </w:pPr>
    </w:p>
    <w:p w14:paraId="095A8EEF" w14:textId="26A5DB4B" w:rsidR="005C429C" w:rsidRPr="00D31B09" w:rsidRDefault="00FB5303" w:rsidP="0038596A">
      <w:pPr>
        <w:jc w:val="both"/>
        <w:rPr>
          <w:rFonts w:ascii="Arial" w:hAnsi="Arial" w:cs="Arial"/>
          <w:i/>
          <w:iCs/>
          <w:lang w:val="en-GB"/>
        </w:rPr>
      </w:pPr>
      <w:r w:rsidRPr="00D31B09">
        <w:rPr>
          <w:rFonts w:ascii="Arial" w:hAnsi="Arial" w:cs="Arial"/>
          <w:i/>
          <w:iCs/>
          <w:lang w:val="en-GB"/>
        </w:rPr>
        <w:t xml:space="preserve">3.1.5.3. </w:t>
      </w:r>
      <w:r w:rsidR="005C429C" w:rsidRPr="00D31B09">
        <w:rPr>
          <w:rFonts w:ascii="Arial" w:hAnsi="Arial" w:cs="Arial"/>
          <w:i/>
          <w:iCs/>
          <w:lang w:val="en-GB"/>
        </w:rPr>
        <w:t>Health Risks for Humans</w:t>
      </w:r>
    </w:p>
    <w:p w14:paraId="722A1940" w14:textId="0CEA9888" w:rsidR="005C429C" w:rsidRPr="00D31B09" w:rsidRDefault="00FB5303" w:rsidP="0038596A">
      <w:pPr>
        <w:jc w:val="both"/>
        <w:rPr>
          <w:rFonts w:ascii="Arial" w:hAnsi="Arial" w:cs="Arial"/>
          <w:i/>
          <w:iCs/>
          <w:lang w:val="en-GB"/>
        </w:rPr>
      </w:pPr>
      <w:r w:rsidRPr="00D31B09">
        <w:rPr>
          <w:rFonts w:ascii="Arial" w:hAnsi="Arial" w:cs="Arial"/>
          <w:i/>
          <w:iCs/>
          <w:lang w:val="en-GB"/>
        </w:rPr>
        <w:t xml:space="preserve">3.1.5.3. </w:t>
      </w:r>
      <w:r w:rsidR="005C429C" w:rsidRPr="00D31B09">
        <w:rPr>
          <w:rFonts w:ascii="Arial" w:hAnsi="Arial" w:cs="Arial"/>
          <w:i/>
          <w:iCs/>
          <w:lang w:val="en-GB"/>
        </w:rPr>
        <w:t>Short-Term Risks</w:t>
      </w:r>
    </w:p>
    <w:p w14:paraId="54178F74" w14:textId="45D5A0CB" w:rsidR="005C429C" w:rsidRPr="00D31B09" w:rsidRDefault="00FB5303" w:rsidP="0038596A">
      <w:pPr>
        <w:jc w:val="both"/>
        <w:rPr>
          <w:rFonts w:ascii="Arial" w:hAnsi="Arial" w:cs="Arial"/>
          <w:i/>
          <w:iCs/>
          <w:lang w:val="en-GB"/>
        </w:rPr>
      </w:pPr>
      <w:r w:rsidRPr="00D31B09">
        <w:rPr>
          <w:rFonts w:ascii="Arial" w:hAnsi="Arial" w:cs="Arial"/>
          <w:i/>
          <w:iCs/>
          <w:lang w:val="en-GB"/>
        </w:rPr>
        <w:t xml:space="preserve">3.1.5.3.1. </w:t>
      </w:r>
      <w:r w:rsidR="005C429C" w:rsidRPr="00D31B09">
        <w:rPr>
          <w:rFonts w:ascii="Arial" w:hAnsi="Arial" w:cs="Arial"/>
          <w:i/>
          <w:iCs/>
          <w:lang w:val="en-GB"/>
        </w:rPr>
        <w:t>Short-Term Non-Carcinogenic Risks</w:t>
      </w:r>
    </w:p>
    <w:p w14:paraId="26E741DD" w14:textId="77777777" w:rsidR="005C429C" w:rsidRPr="00D31B09" w:rsidRDefault="005C429C" w:rsidP="0038596A">
      <w:pPr>
        <w:jc w:val="both"/>
        <w:rPr>
          <w:rFonts w:ascii="Arial" w:hAnsi="Arial" w:cs="Arial"/>
          <w:lang w:val="en-GB"/>
        </w:rPr>
      </w:pPr>
      <w:r w:rsidRPr="00D31B09">
        <w:rPr>
          <w:rFonts w:ascii="Arial" w:hAnsi="Arial" w:cs="Arial"/>
          <w:lang w:val="en-GB"/>
        </w:rPr>
        <w:t xml:space="preserve">As indicated in Table 7, the mean </w:t>
      </w:r>
      <w:proofErr w:type="spellStart"/>
      <w:r w:rsidRPr="00D31B09">
        <w:rPr>
          <w:rFonts w:ascii="Arial" w:hAnsi="Arial" w:cs="Arial"/>
          <w:lang w:val="en-GB"/>
        </w:rPr>
        <w:t>DED</w:t>
      </w:r>
      <w:r w:rsidRPr="00D31B09">
        <w:rPr>
          <w:rFonts w:ascii="Arial" w:hAnsi="Arial" w:cs="Arial"/>
          <w:vertAlign w:val="subscript"/>
          <w:lang w:val="en-GB"/>
        </w:rPr>
        <w:t>derm</w:t>
      </w:r>
      <w:proofErr w:type="spellEnd"/>
      <w:r w:rsidRPr="00D31B09">
        <w:rPr>
          <w:rFonts w:ascii="Arial" w:hAnsi="Arial" w:cs="Arial"/>
          <w:lang w:val="en-GB"/>
        </w:rPr>
        <w:t xml:space="preserve"> and </w:t>
      </w:r>
      <w:proofErr w:type="spellStart"/>
      <w:r w:rsidRPr="00D31B09">
        <w:rPr>
          <w:rFonts w:ascii="Arial" w:hAnsi="Arial" w:cs="Arial"/>
          <w:lang w:val="en-GB"/>
        </w:rPr>
        <w:t>HQ</w:t>
      </w:r>
      <w:r w:rsidRPr="00D31B09">
        <w:rPr>
          <w:rFonts w:ascii="Arial" w:hAnsi="Arial" w:cs="Arial"/>
          <w:vertAlign w:val="subscript"/>
          <w:lang w:val="en-GB"/>
        </w:rPr>
        <w:t>derm</w:t>
      </w:r>
      <w:proofErr w:type="spellEnd"/>
      <w:r w:rsidRPr="00D31B09">
        <w:rPr>
          <w:rFonts w:ascii="Arial" w:hAnsi="Arial" w:cs="Arial"/>
          <w:lang w:val="en-GB"/>
        </w:rPr>
        <w:t xml:space="preserve"> values for children associated with ATC, FLR, FLRT, NPT, and PNT were lower than those for adults. Adults engaged in market gardening and fishing activities showed lower mean </w:t>
      </w:r>
      <w:proofErr w:type="spellStart"/>
      <w:r w:rsidRPr="00D31B09">
        <w:rPr>
          <w:rFonts w:ascii="Arial" w:hAnsi="Arial" w:cs="Arial"/>
          <w:lang w:val="en-GB"/>
        </w:rPr>
        <w:t>DJEderm</w:t>
      </w:r>
      <w:proofErr w:type="spellEnd"/>
      <w:r w:rsidRPr="00D31B09">
        <w:rPr>
          <w:rFonts w:ascii="Arial" w:hAnsi="Arial" w:cs="Arial"/>
          <w:lang w:val="en-GB"/>
        </w:rPr>
        <w:t xml:space="preserve"> and </w:t>
      </w:r>
      <w:proofErr w:type="spellStart"/>
      <w:r w:rsidRPr="00D31B09">
        <w:rPr>
          <w:rFonts w:ascii="Arial" w:hAnsi="Arial" w:cs="Arial"/>
          <w:lang w:val="en-GB"/>
        </w:rPr>
        <w:t>HQderm</w:t>
      </w:r>
      <w:proofErr w:type="spellEnd"/>
      <w:r w:rsidRPr="00D31B09">
        <w:rPr>
          <w:rFonts w:ascii="Arial" w:hAnsi="Arial" w:cs="Arial"/>
          <w:lang w:val="en-GB"/>
        </w:rPr>
        <w:t xml:space="preserve"> values related to these PAHs compared to individuals using these waters for bathing and swimming.</w:t>
      </w:r>
    </w:p>
    <w:p w14:paraId="10D68445" w14:textId="70D89CFE" w:rsidR="005C429C" w:rsidRPr="00D31B09" w:rsidRDefault="005C429C" w:rsidP="00993384">
      <w:pPr>
        <w:jc w:val="both"/>
        <w:rPr>
          <w:rFonts w:ascii="Arial" w:hAnsi="Arial" w:cs="Arial"/>
          <w:lang w:val="en-GB"/>
        </w:rPr>
      </w:pPr>
      <w:r w:rsidRPr="00D31B09">
        <w:rPr>
          <w:rFonts w:ascii="Arial" w:hAnsi="Arial" w:cs="Arial"/>
          <w:lang w:val="en-GB"/>
        </w:rPr>
        <w:t xml:space="preserve">Short-term carcinogenic risks for children remained very low, as evidenced by their mean </w:t>
      </w:r>
      <w:proofErr w:type="spellStart"/>
      <w:r w:rsidRPr="00D31B09">
        <w:rPr>
          <w:rFonts w:ascii="Arial" w:hAnsi="Arial" w:cs="Arial"/>
          <w:lang w:val="en-GB"/>
        </w:rPr>
        <w:t>HI</w:t>
      </w:r>
      <w:r w:rsidRPr="00D31B09">
        <w:rPr>
          <w:rFonts w:ascii="Arial" w:hAnsi="Arial" w:cs="Arial"/>
          <w:vertAlign w:val="subscript"/>
          <w:lang w:val="en-GB"/>
        </w:rPr>
        <w:t>derm</w:t>
      </w:r>
      <w:proofErr w:type="spellEnd"/>
      <w:r w:rsidRPr="00D31B09">
        <w:rPr>
          <w:rFonts w:ascii="Arial" w:hAnsi="Arial" w:cs="Arial"/>
          <w:lang w:val="en-GB"/>
        </w:rPr>
        <w:t xml:space="preserve"> value being less than 1, confirmed by Student's t-test (</w:t>
      </w:r>
      <w:r w:rsidRPr="00D31B09">
        <w:rPr>
          <w:rFonts w:ascii="Arial" w:hAnsi="Arial" w:cs="Arial"/>
          <w:i/>
          <w:iCs/>
          <w:lang w:val="en-GB"/>
        </w:rPr>
        <w:t>p</w:t>
      </w:r>
      <w:r w:rsidRPr="00D31B09">
        <w:rPr>
          <w:rFonts w:ascii="Arial" w:hAnsi="Arial" w:cs="Arial"/>
          <w:lang w:val="en-GB"/>
        </w:rPr>
        <w:t xml:space="preserve"> &lt; 0.05). Conversely, for adults, the various mean </w:t>
      </w:r>
      <w:proofErr w:type="spellStart"/>
      <w:r w:rsidRPr="00D31B09">
        <w:rPr>
          <w:rFonts w:ascii="Arial" w:hAnsi="Arial" w:cs="Arial"/>
          <w:lang w:val="en-GB"/>
        </w:rPr>
        <w:t>H</w:t>
      </w:r>
      <w:r w:rsidRPr="00D31B09">
        <w:rPr>
          <w:rFonts w:ascii="Arial" w:hAnsi="Arial" w:cs="Arial"/>
          <w:vertAlign w:val="subscript"/>
          <w:lang w:val="en-GB"/>
        </w:rPr>
        <w:t>Iderm</w:t>
      </w:r>
      <w:proofErr w:type="spellEnd"/>
      <w:r w:rsidRPr="00D31B09">
        <w:rPr>
          <w:rFonts w:ascii="Arial" w:hAnsi="Arial" w:cs="Arial"/>
          <w:vertAlign w:val="subscript"/>
          <w:lang w:val="en-GB"/>
        </w:rPr>
        <w:t xml:space="preserve"> </w:t>
      </w:r>
      <w:r w:rsidRPr="00D31B09">
        <w:rPr>
          <w:rFonts w:ascii="Arial" w:hAnsi="Arial" w:cs="Arial"/>
          <w:lang w:val="en-GB"/>
        </w:rPr>
        <w:t xml:space="preserve">values </w:t>
      </w:r>
      <w:r w:rsidRPr="00D31B09">
        <w:rPr>
          <w:rFonts w:ascii="Arial" w:hAnsi="Arial" w:cs="Arial"/>
          <w:lang w:val="en-GB"/>
        </w:rPr>
        <w:lastRenderedPageBreak/>
        <w:t>were greater than 1 (Table 7), also confirmed by Student's t-test (</w:t>
      </w:r>
      <w:r w:rsidRPr="00D31B09">
        <w:rPr>
          <w:rFonts w:ascii="Arial" w:hAnsi="Arial" w:cs="Arial"/>
          <w:i/>
          <w:iCs/>
          <w:lang w:val="en-GB"/>
        </w:rPr>
        <w:t>p</w:t>
      </w:r>
      <w:r w:rsidRPr="00D31B09">
        <w:rPr>
          <w:rFonts w:ascii="Arial" w:hAnsi="Arial" w:cs="Arial"/>
          <w:lang w:val="en-GB"/>
        </w:rPr>
        <w:t xml:space="preserve"> &lt; .05). While these values don't rule out short-term non-carcinogenic risks, they do indicate that using these waters for these purposes poses a hazard to adults.</w:t>
      </w:r>
    </w:p>
    <w:p w14:paraId="77D32CC8" w14:textId="77777777" w:rsidR="005C429C" w:rsidRPr="00D31B09" w:rsidRDefault="005C429C" w:rsidP="00993384">
      <w:pPr>
        <w:jc w:val="both"/>
        <w:rPr>
          <w:rFonts w:ascii="Arial" w:hAnsi="Arial" w:cs="Arial"/>
          <w:lang w:val="en-GB"/>
        </w:rPr>
      </w:pPr>
    </w:p>
    <w:p w14:paraId="7D19383C" w14:textId="77777777" w:rsidR="00D31B09" w:rsidRPr="00D31B09" w:rsidRDefault="005C429C" w:rsidP="00993384">
      <w:pPr>
        <w:jc w:val="both"/>
        <w:rPr>
          <w:rFonts w:ascii="Arial" w:hAnsi="Arial" w:cs="Arial"/>
          <w:b/>
          <w:bCs/>
          <w:lang w:val="en-GB"/>
        </w:rPr>
      </w:pPr>
      <w:r w:rsidRPr="00D31B09">
        <w:rPr>
          <w:rFonts w:ascii="Arial" w:hAnsi="Arial" w:cs="Arial"/>
          <w:b/>
          <w:bCs/>
          <w:lang w:val="en-GB"/>
        </w:rPr>
        <w:t>Table 7</w:t>
      </w:r>
      <w:r w:rsidR="00D31B09" w:rsidRPr="00D31B09">
        <w:rPr>
          <w:rFonts w:ascii="Arial" w:hAnsi="Arial" w:cs="Arial"/>
          <w:b/>
          <w:bCs/>
          <w:lang w:val="en-GB"/>
        </w:rPr>
        <w:t>.</w:t>
      </w:r>
      <w:r w:rsidRPr="00D31B09">
        <w:rPr>
          <w:rFonts w:ascii="Arial" w:hAnsi="Arial" w:cs="Arial"/>
          <w:b/>
          <w:bCs/>
          <w:lang w:val="en-GB"/>
        </w:rPr>
        <w:t xml:space="preserve"> Mean </w:t>
      </w:r>
      <w:proofErr w:type="spellStart"/>
      <w:r w:rsidRPr="00D31B09">
        <w:rPr>
          <w:rFonts w:ascii="Arial" w:hAnsi="Arial" w:cs="Arial"/>
          <w:b/>
          <w:bCs/>
          <w:lang w:val="en-GB"/>
        </w:rPr>
        <w:t>DED</w:t>
      </w:r>
      <w:r w:rsidRPr="00D31B09">
        <w:rPr>
          <w:rFonts w:ascii="Arial" w:hAnsi="Arial" w:cs="Arial"/>
          <w:b/>
          <w:bCs/>
          <w:vertAlign w:val="subscript"/>
          <w:lang w:val="en-GB"/>
        </w:rPr>
        <w:t>derm</w:t>
      </w:r>
      <w:proofErr w:type="spellEnd"/>
      <w:r w:rsidRPr="00D31B09">
        <w:rPr>
          <w:rFonts w:ascii="Arial" w:hAnsi="Arial" w:cs="Arial"/>
          <w:b/>
          <w:bCs/>
          <w:lang w:val="en-GB"/>
        </w:rPr>
        <w:t xml:space="preserve">, </w:t>
      </w:r>
      <w:proofErr w:type="spellStart"/>
      <w:r w:rsidRPr="00D31B09">
        <w:rPr>
          <w:rFonts w:ascii="Arial" w:hAnsi="Arial" w:cs="Arial"/>
          <w:b/>
          <w:bCs/>
          <w:lang w:val="en-GB"/>
        </w:rPr>
        <w:t>HQ</w:t>
      </w:r>
      <w:r w:rsidRPr="00D31B09">
        <w:rPr>
          <w:rFonts w:ascii="Arial" w:hAnsi="Arial" w:cs="Arial"/>
          <w:b/>
          <w:bCs/>
          <w:vertAlign w:val="subscript"/>
          <w:lang w:val="en-GB"/>
        </w:rPr>
        <w:t>derm</w:t>
      </w:r>
      <w:proofErr w:type="spellEnd"/>
      <w:r w:rsidRPr="00D31B09">
        <w:rPr>
          <w:rFonts w:ascii="Arial" w:hAnsi="Arial" w:cs="Arial"/>
          <w:b/>
          <w:bCs/>
          <w:lang w:val="en-GB"/>
        </w:rPr>
        <w:t xml:space="preserve">, and </w:t>
      </w:r>
      <w:proofErr w:type="spellStart"/>
      <w:r w:rsidRPr="00D31B09">
        <w:rPr>
          <w:rFonts w:ascii="Arial" w:hAnsi="Arial" w:cs="Arial"/>
          <w:b/>
          <w:bCs/>
          <w:lang w:val="en-GB"/>
        </w:rPr>
        <w:t>HI</w:t>
      </w:r>
      <w:r w:rsidRPr="00D31B09">
        <w:rPr>
          <w:rFonts w:ascii="Arial" w:hAnsi="Arial" w:cs="Arial"/>
          <w:b/>
          <w:bCs/>
          <w:vertAlign w:val="subscript"/>
          <w:lang w:val="en-GB"/>
        </w:rPr>
        <w:t>derm</w:t>
      </w:r>
      <w:proofErr w:type="spellEnd"/>
      <w:r w:rsidRPr="00D31B09">
        <w:rPr>
          <w:rFonts w:ascii="Arial" w:hAnsi="Arial" w:cs="Arial"/>
          <w:b/>
          <w:bCs/>
          <w:lang w:val="en-GB"/>
        </w:rPr>
        <w:t xml:space="preserve"> values for different individuals based on anthropogenic </w:t>
      </w:r>
    </w:p>
    <w:p w14:paraId="28D28577" w14:textId="07485608" w:rsidR="005C429C" w:rsidRPr="00D31B09" w:rsidRDefault="005C429C" w:rsidP="00993384">
      <w:pPr>
        <w:jc w:val="both"/>
        <w:rPr>
          <w:rFonts w:ascii="Arial" w:hAnsi="Arial" w:cs="Arial"/>
          <w:b/>
          <w:bCs/>
          <w:lang w:val="en-GB"/>
        </w:rPr>
      </w:pPr>
      <w:r w:rsidRPr="00D31B09">
        <w:rPr>
          <w:rFonts w:ascii="Arial" w:hAnsi="Arial" w:cs="Arial"/>
          <w:b/>
          <w:bCs/>
          <w:lang w:val="en-GB"/>
        </w:rPr>
        <w:t xml:space="preserve">activities practiced in the waters from the </w:t>
      </w:r>
      <w:proofErr w:type="spellStart"/>
      <w:r w:rsidRPr="00D31B09">
        <w:rPr>
          <w:rFonts w:ascii="Arial" w:hAnsi="Arial" w:cs="Arial"/>
          <w:b/>
          <w:bCs/>
          <w:lang w:val="en-GB"/>
        </w:rPr>
        <w:t>Déganobo</w:t>
      </w:r>
      <w:proofErr w:type="spellEnd"/>
      <w:r w:rsidRPr="00D31B09">
        <w:rPr>
          <w:rFonts w:ascii="Arial" w:hAnsi="Arial" w:cs="Arial"/>
          <w:b/>
          <w:bCs/>
          <w:lang w:val="en-GB"/>
        </w:rPr>
        <w:t xml:space="preserve"> lacustrine system during the study period.</w:t>
      </w:r>
    </w:p>
    <w:tbl>
      <w:tblPr>
        <w:tblStyle w:val="Grilledutableau"/>
        <w:tblW w:w="10207" w:type="dxa"/>
        <w:tblInd w:w="-147" w:type="dxa"/>
        <w:tblLook w:val="04A0" w:firstRow="1" w:lastRow="0" w:firstColumn="1" w:lastColumn="0" w:noHBand="0" w:noVBand="1"/>
      </w:tblPr>
      <w:tblGrid>
        <w:gridCol w:w="1512"/>
        <w:gridCol w:w="1617"/>
        <w:gridCol w:w="1353"/>
        <w:gridCol w:w="1614"/>
        <w:gridCol w:w="1311"/>
        <w:gridCol w:w="1524"/>
        <w:gridCol w:w="1276"/>
      </w:tblGrid>
      <w:tr w:rsidR="005C429C" w:rsidRPr="00D31B09" w14:paraId="1E231F58" w14:textId="77777777" w:rsidTr="001E366F">
        <w:tc>
          <w:tcPr>
            <w:tcW w:w="1512" w:type="dxa"/>
            <w:vMerge w:val="restart"/>
            <w:tcBorders>
              <w:left w:val="nil"/>
              <w:right w:val="nil"/>
            </w:tcBorders>
          </w:tcPr>
          <w:p w14:paraId="2F56FDAC" w14:textId="77777777" w:rsidR="005C429C" w:rsidRPr="00D31B09" w:rsidRDefault="005C429C" w:rsidP="001E366F">
            <w:pPr>
              <w:jc w:val="center"/>
              <w:rPr>
                <w:rFonts w:ascii="Arial" w:hAnsi="Arial" w:cs="Arial"/>
                <w:bCs/>
                <w:sz w:val="20"/>
                <w:szCs w:val="20"/>
                <w:lang w:val="en-GB"/>
              </w:rPr>
            </w:pPr>
          </w:p>
          <w:p w14:paraId="374E885A" w14:textId="77777777" w:rsidR="005C429C" w:rsidRPr="00D31B09" w:rsidRDefault="005C429C" w:rsidP="001E366F">
            <w:pPr>
              <w:jc w:val="center"/>
              <w:rPr>
                <w:rFonts w:ascii="Arial" w:hAnsi="Arial" w:cs="Arial"/>
                <w:bCs/>
                <w:sz w:val="20"/>
                <w:szCs w:val="20"/>
                <w:lang w:val="en-GB"/>
              </w:rPr>
            </w:pPr>
          </w:p>
          <w:p w14:paraId="5AD1A881"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PAHs</w:t>
            </w:r>
          </w:p>
        </w:tc>
        <w:tc>
          <w:tcPr>
            <w:tcW w:w="2970" w:type="dxa"/>
            <w:gridSpan w:val="2"/>
            <w:vMerge w:val="restart"/>
            <w:tcBorders>
              <w:left w:val="nil"/>
              <w:right w:val="nil"/>
            </w:tcBorders>
          </w:tcPr>
          <w:p w14:paraId="383A4577" w14:textId="77777777" w:rsidR="005C429C" w:rsidRPr="00D31B09" w:rsidRDefault="005C429C" w:rsidP="001E366F">
            <w:pPr>
              <w:jc w:val="center"/>
              <w:rPr>
                <w:rFonts w:ascii="Arial" w:hAnsi="Arial" w:cs="Arial"/>
                <w:bCs/>
                <w:sz w:val="20"/>
                <w:szCs w:val="20"/>
                <w:lang w:val="en-GB"/>
              </w:rPr>
            </w:pPr>
          </w:p>
          <w:p w14:paraId="2E87AF96"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Child</w:t>
            </w:r>
          </w:p>
          <w:p w14:paraId="2667E0AA"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(Fisherman)</w:t>
            </w:r>
          </w:p>
        </w:tc>
        <w:tc>
          <w:tcPr>
            <w:tcW w:w="5725" w:type="dxa"/>
            <w:gridSpan w:val="4"/>
            <w:tcBorders>
              <w:left w:val="nil"/>
              <w:right w:val="nil"/>
            </w:tcBorders>
          </w:tcPr>
          <w:p w14:paraId="7A22A50F"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Adult</w:t>
            </w:r>
          </w:p>
        </w:tc>
      </w:tr>
      <w:tr w:rsidR="005C429C" w:rsidRPr="00D31B09" w14:paraId="3FE64439" w14:textId="77777777" w:rsidTr="001E366F">
        <w:tc>
          <w:tcPr>
            <w:tcW w:w="1512" w:type="dxa"/>
            <w:vMerge/>
            <w:tcBorders>
              <w:left w:val="nil"/>
              <w:right w:val="nil"/>
            </w:tcBorders>
          </w:tcPr>
          <w:p w14:paraId="44764637" w14:textId="77777777" w:rsidR="005C429C" w:rsidRPr="00D31B09" w:rsidRDefault="005C429C" w:rsidP="001E366F">
            <w:pPr>
              <w:jc w:val="center"/>
              <w:rPr>
                <w:rFonts w:ascii="Arial" w:hAnsi="Arial" w:cs="Arial"/>
                <w:bCs/>
                <w:sz w:val="20"/>
                <w:szCs w:val="20"/>
                <w:lang w:val="en-GB"/>
              </w:rPr>
            </w:pPr>
          </w:p>
        </w:tc>
        <w:tc>
          <w:tcPr>
            <w:tcW w:w="2970" w:type="dxa"/>
            <w:gridSpan w:val="2"/>
            <w:vMerge/>
            <w:tcBorders>
              <w:left w:val="nil"/>
              <w:right w:val="nil"/>
            </w:tcBorders>
          </w:tcPr>
          <w:p w14:paraId="08707E41" w14:textId="77777777" w:rsidR="005C429C" w:rsidRPr="00D31B09" w:rsidRDefault="005C429C" w:rsidP="001E366F">
            <w:pPr>
              <w:jc w:val="center"/>
              <w:rPr>
                <w:rFonts w:ascii="Arial" w:hAnsi="Arial" w:cs="Arial"/>
                <w:bCs/>
                <w:sz w:val="20"/>
                <w:szCs w:val="20"/>
                <w:lang w:val="en-GB"/>
              </w:rPr>
            </w:pPr>
          </w:p>
        </w:tc>
        <w:tc>
          <w:tcPr>
            <w:tcW w:w="2925" w:type="dxa"/>
            <w:gridSpan w:val="2"/>
            <w:tcBorders>
              <w:left w:val="nil"/>
              <w:right w:val="nil"/>
            </w:tcBorders>
          </w:tcPr>
          <w:p w14:paraId="5EA84805"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Fisherman and market gardener</w:t>
            </w:r>
          </w:p>
        </w:tc>
        <w:tc>
          <w:tcPr>
            <w:tcW w:w="2800" w:type="dxa"/>
            <w:gridSpan w:val="2"/>
            <w:tcBorders>
              <w:left w:val="nil"/>
              <w:right w:val="nil"/>
            </w:tcBorders>
          </w:tcPr>
          <w:p w14:paraId="78DFE1CC"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Bather</w:t>
            </w:r>
          </w:p>
        </w:tc>
      </w:tr>
      <w:tr w:rsidR="005C429C" w:rsidRPr="00D31B09" w14:paraId="1C2A3B6F" w14:textId="77777777" w:rsidTr="001E366F">
        <w:tc>
          <w:tcPr>
            <w:tcW w:w="1512" w:type="dxa"/>
            <w:vMerge/>
            <w:tcBorders>
              <w:left w:val="nil"/>
              <w:bottom w:val="single" w:sz="4" w:space="0" w:color="000000" w:themeColor="text1"/>
              <w:right w:val="nil"/>
            </w:tcBorders>
          </w:tcPr>
          <w:p w14:paraId="7FD414F2" w14:textId="77777777" w:rsidR="005C429C" w:rsidRPr="00D31B09" w:rsidRDefault="005C429C" w:rsidP="001E366F">
            <w:pPr>
              <w:jc w:val="center"/>
              <w:rPr>
                <w:rFonts w:ascii="Arial" w:hAnsi="Arial" w:cs="Arial"/>
                <w:bCs/>
                <w:sz w:val="20"/>
                <w:szCs w:val="20"/>
                <w:lang w:val="en-GB"/>
              </w:rPr>
            </w:pPr>
          </w:p>
        </w:tc>
        <w:tc>
          <w:tcPr>
            <w:tcW w:w="1617" w:type="dxa"/>
            <w:tcBorders>
              <w:left w:val="nil"/>
              <w:bottom w:val="single" w:sz="4" w:space="0" w:color="000000" w:themeColor="text1"/>
              <w:right w:val="nil"/>
            </w:tcBorders>
          </w:tcPr>
          <w:p w14:paraId="06348ABE" w14:textId="77777777" w:rsidR="005C429C" w:rsidRPr="00D31B09" w:rsidRDefault="005C429C" w:rsidP="001E366F">
            <w:pPr>
              <w:jc w:val="center"/>
              <w:rPr>
                <w:rFonts w:ascii="Arial" w:hAnsi="Arial" w:cs="Arial"/>
                <w:bCs/>
                <w:sz w:val="20"/>
                <w:szCs w:val="20"/>
                <w:lang w:val="en-GB"/>
              </w:rPr>
            </w:pPr>
            <w:proofErr w:type="spellStart"/>
            <w:r w:rsidRPr="00D31B09">
              <w:rPr>
                <w:rFonts w:ascii="Arial" w:hAnsi="Arial" w:cs="Arial"/>
                <w:bCs/>
                <w:sz w:val="20"/>
                <w:szCs w:val="20"/>
                <w:lang w:val="en-GB"/>
              </w:rPr>
              <w:t>DED</w:t>
            </w:r>
            <w:r w:rsidRPr="00D31B09">
              <w:rPr>
                <w:rFonts w:ascii="Arial" w:hAnsi="Arial" w:cs="Arial"/>
                <w:bCs/>
                <w:sz w:val="20"/>
                <w:szCs w:val="20"/>
                <w:vertAlign w:val="subscript"/>
                <w:lang w:val="en-GB"/>
              </w:rPr>
              <w:t>derm</w:t>
            </w:r>
            <w:proofErr w:type="spellEnd"/>
            <w:r w:rsidRPr="00D31B09">
              <w:rPr>
                <w:rFonts w:ascii="Arial" w:hAnsi="Arial" w:cs="Arial"/>
                <w:bCs/>
                <w:sz w:val="20"/>
                <w:szCs w:val="20"/>
                <w:lang w:val="en-GB"/>
              </w:rPr>
              <w:t xml:space="preserve"> (mg/kg/day)</w:t>
            </w:r>
          </w:p>
        </w:tc>
        <w:tc>
          <w:tcPr>
            <w:tcW w:w="1353" w:type="dxa"/>
            <w:tcBorders>
              <w:left w:val="nil"/>
              <w:bottom w:val="single" w:sz="4" w:space="0" w:color="000000" w:themeColor="text1"/>
              <w:right w:val="nil"/>
            </w:tcBorders>
          </w:tcPr>
          <w:p w14:paraId="28BB5432"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HQ</w:t>
            </w:r>
            <w:r w:rsidRPr="00D31B09">
              <w:rPr>
                <w:rFonts w:ascii="Arial" w:hAnsi="Arial" w:cs="Arial"/>
                <w:bCs/>
                <w:sz w:val="20"/>
                <w:szCs w:val="20"/>
                <w:vertAlign w:val="subscript"/>
                <w:lang w:val="en-GB"/>
              </w:rPr>
              <w:t>derm</w:t>
            </w:r>
            <w:proofErr w:type="spellEnd"/>
          </w:p>
          <w:p w14:paraId="3599CC58" w14:textId="77777777" w:rsidR="005C429C" w:rsidRPr="00D31B09" w:rsidRDefault="005C429C" w:rsidP="001E366F">
            <w:pPr>
              <w:jc w:val="center"/>
              <w:rPr>
                <w:rFonts w:ascii="Arial" w:hAnsi="Arial" w:cs="Arial"/>
                <w:bCs/>
                <w:sz w:val="20"/>
                <w:szCs w:val="20"/>
                <w:lang w:val="en-GB"/>
              </w:rPr>
            </w:pPr>
          </w:p>
        </w:tc>
        <w:tc>
          <w:tcPr>
            <w:tcW w:w="1614" w:type="dxa"/>
            <w:tcBorders>
              <w:left w:val="nil"/>
              <w:bottom w:val="single" w:sz="4" w:space="0" w:color="000000" w:themeColor="text1"/>
              <w:right w:val="nil"/>
            </w:tcBorders>
          </w:tcPr>
          <w:p w14:paraId="68411F10"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DED</w:t>
            </w:r>
            <w:r w:rsidRPr="00D31B09">
              <w:rPr>
                <w:rFonts w:ascii="Arial" w:hAnsi="Arial" w:cs="Arial"/>
                <w:bCs/>
                <w:sz w:val="20"/>
                <w:szCs w:val="20"/>
                <w:vertAlign w:val="subscript"/>
                <w:lang w:val="en-GB"/>
              </w:rPr>
              <w:t>derm</w:t>
            </w:r>
            <w:proofErr w:type="spellEnd"/>
          </w:p>
          <w:p w14:paraId="25519383"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(mg/kg/day)</w:t>
            </w:r>
          </w:p>
        </w:tc>
        <w:tc>
          <w:tcPr>
            <w:tcW w:w="1311" w:type="dxa"/>
            <w:tcBorders>
              <w:left w:val="nil"/>
              <w:bottom w:val="single" w:sz="4" w:space="0" w:color="000000" w:themeColor="text1"/>
              <w:right w:val="nil"/>
            </w:tcBorders>
          </w:tcPr>
          <w:p w14:paraId="4594D53E"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HQ</w:t>
            </w:r>
            <w:r w:rsidRPr="00D31B09">
              <w:rPr>
                <w:rFonts w:ascii="Arial" w:hAnsi="Arial" w:cs="Arial"/>
                <w:bCs/>
                <w:sz w:val="20"/>
                <w:szCs w:val="20"/>
                <w:vertAlign w:val="subscript"/>
                <w:lang w:val="en-GB"/>
              </w:rPr>
              <w:t>derm</w:t>
            </w:r>
            <w:proofErr w:type="spellEnd"/>
          </w:p>
        </w:tc>
        <w:tc>
          <w:tcPr>
            <w:tcW w:w="1524" w:type="dxa"/>
            <w:tcBorders>
              <w:left w:val="nil"/>
              <w:bottom w:val="single" w:sz="4" w:space="0" w:color="000000" w:themeColor="text1"/>
              <w:right w:val="nil"/>
            </w:tcBorders>
          </w:tcPr>
          <w:p w14:paraId="79C57E64" w14:textId="77777777" w:rsidR="005C429C" w:rsidRPr="00D31B09" w:rsidRDefault="005C429C" w:rsidP="001E366F">
            <w:pPr>
              <w:jc w:val="center"/>
              <w:rPr>
                <w:rFonts w:ascii="Arial" w:hAnsi="Arial" w:cs="Arial"/>
                <w:bCs/>
                <w:sz w:val="20"/>
                <w:szCs w:val="20"/>
                <w:lang w:val="en-GB"/>
              </w:rPr>
            </w:pPr>
            <w:proofErr w:type="spellStart"/>
            <w:r w:rsidRPr="00D31B09">
              <w:rPr>
                <w:rFonts w:ascii="Arial" w:hAnsi="Arial" w:cs="Arial"/>
                <w:bCs/>
                <w:sz w:val="20"/>
                <w:szCs w:val="20"/>
                <w:lang w:val="en-GB"/>
              </w:rPr>
              <w:t>DED</w:t>
            </w:r>
            <w:r w:rsidRPr="00D31B09">
              <w:rPr>
                <w:rFonts w:ascii="Arial" w:hAnsi="Arial" w:cs="Arial"/>
                <w:bCs/>
                <w:sz w:val="20"/>
                <w:szCs w:val="20"/>
                <w:vertAlign w:val="subscript"/>
                <w:lang w:val="en-GB"/>
              </w:rPr>
              <w:t>derm</w:t>
            </w:r>
            <w:proofErr w:type="spellEnd"/>
          </w:p>
          <w:p w14:paraId="288EBE7C"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(mg/kg/day)</w:t>
            </w:r>
          </w:p>
        </w:tc>
        <w:tc>
          <w:tcPr>
            <w:tcW w:w="1276" w:type="dxa"/>
            <w:tcBorders>
              <w:left w:val="nil"/>
              <w:bottom w:val="single" w:sz="4" w:space="0" w:color="000000" w:themeColor="text1"/>
              <w:right w:val="nil"/>
            </w:tcBorders>
          </w:tcPr>
          <w:p w14:paraId="072E7424" w14:textId="77777777" w:rsidR="005C429C" w:rsidRPr="00D31B09" w:rsidRDefault="005C429C" w:rsidP="001E366F">
            <w:pPr>
              <w:jc w:val="center"/>
              <w:rPr>
                <w:rFonts w:ascii="Arial" w:hAnsi="Arial" w:cs="Arial"/>
                <w:bCs/>
                <w:sz w:val="20"/>
                <w:szCs w:val="20"/>
                <w:vertAlign w:val="subscript"/>
                <w:lang w:val="en-GB"/>
              </w:rPr>
            </w:pPr>
            <w:proofErr w:type="spellStart"/>
            <w:r w:rsidRPr="00D31B09">
              <w:rPr>
                <w:rFonts w:ascii="Arial" w:hAnsi="Arial" w:cs="Arial"/>
                <w:bCs/>
                <w:sz w:val="20"/>
                <w:szCs w:val="20"/>
                <w:lang w:val="en-GB"/>
              </w:rPr>
              <w:t>HQ</w:t>
            </w:r>
            <w:r w:rsidRPr="00D31B09">
              <w:rPr>
                <w:rFonts w:ascii="Arial" w:hAnsi="Arial" w:cs="Arial"/>
                <w:bCs/>
                <w:sz w:val="20"/>
                <w:szCs w:val="20"/>
                <w:vertAlign w:val="subscript"/>
                <w:lang w:val="en-GB"/>
              </w:rPr>
              <w:t>derm</w:t>
            </w:r>
            <w:proofErr w:type="spellEnd"/>
          </w:p>
        </w:tc>
      </w:tr>
      <w:tr w:rsidR="005C429C" w:rsidRPr="00D31B09" w14:paraId="19A4F281" w14:textId="77777777" w:rsidTr="001E366F">
        <w:tc>
          <w:tcPr>
            <w:tcW w:w="1512" w:type="dxa"/>
            <w:tcBorders>
              <w:left w:val="nil"/>
              <w:bottom w:val="nil"/>
              <w:right w:val="nil"/>
            </w:tcBorders>
            <w:vAlign w:val="bottom"/>
          </w:tcPr>
          <w:p w14:paraId="1B36C733"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ATC</w:t>
            </w:r>
          </w:p>
        </w:tc>
        <w:tc>
          <w:tcPr>
            <w:tcW w:w="1617" w:type="dxa"/>
            <w:tcBorders>
              <w:left w:val="nil"/>
              <w:bottom w:val="nil"/>
              <w:right w:val="nil"/>
            </w:tcBorders>
            <w:vAlign w:val="bottom"/>
          </w:tcPr>
          <w:p w14:paraId="1F84BA02"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4.7x10</w:t>
            </w:r>
            <w:r w:rsidRPr="00D31B09">
              <w:rPr>
                <w:rFonts w:ascii="Arial" w:eastAsia="Times New Roman" w:hAnsi="Arial" w:cs="Arial"/>
                <w:bCs/>
                <w:color w:val="000000"/>
                <w:sz w:val="20"/>
                <w:szCs w:val="20"/>
                <w:vertAlign w:val="superscript"/>
                <w:lang w:val="en-GB"/>
              </w:rPr>
              <w:t>-6</w:t>
            </w:r>
            <w:r w:rsidRPr="00D31B09">
              <w:rPr>
                <w:rFonts w:ascii="Arial" w:eastAsia="Times New Roman" w:hAnsi="Arial" w:cs="Arial"/>
                <w:bCs/>
                <w:color w:val="000000"/>
                <w:sz w:val="20"/>
                <w:szCs w:val="20"/>
                <w:lang w:val="en-GB"/>
              </w:rPr>
              <w:t xml:space="preserve"> </w:t>
            </w:r>
          </w:p>
        </w:tc>
        <w:tc>
          <w:tcPr>
            <w:tcW w:w="1353" w:type="dxa"/>
            <w:tcBorders>
              <w:left w:val="nil"/>
              <w:bottom w:val="nil"/>
              <w:right w:val="nil"/>
            </w:tcBorders>
            <w:vAlign w:val="bottom"/>
          </w:tcPr>
          <w:p w14:paraId="41E0A75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0.0001</w:t>
            </w:r>
          </w:p>
        </w:tc>
        <w:tc>
          <w:tcPr>
            <w:tcW w:w="1614" w:type="dxa"/>
            <w:tcBorders>
              <w:left w:val="nil"/>
              <w:bottom w:val="nil"/>
              <w:right w:val="nil"/>
            </w:tcBorders>
            <w:vAlign w:val="bottom"/>
          </w:tcPr>
          <w:p w14:paraId="62804217" w14:textId="77777777" w:rsidR="005C429C" w:rsidRPr="00D31B09" w:rsidRDefault="005C429C" w:rsidP="001E366F">
            <w:pPr>
              <w:jc w:val="center"/>
              <w:rPr>
                <w:rFonts w:ascii="Arial" w:hAnsi="Arial" w:cs="Arial"/>
                <w:bCs/>
                <w:sz w:val="20"/>
                <w:szCs w:val="20"/>
                <w:vertAlign w:val="superscript"/>
                <w:lang w:val="en-GB"/>
              </w:rPr>
            </w:pPr>
            <w:r w:rsidRPr="00D31B09">
              <w:rPr>
                <w:rFonts w:ascii="Arial" w:eastAsia="Times New Roman" w:hAnsi="Arial" w:cs="Arial"/>
                <w:color w:val="000000"/>
                <w:sz w:val="20"/>
                <w:szCs w:val="20"/>
                <w:lang w:val="en-GB"/>
              </w:rPr>
              <w:t>1.3x10</w:t>
            </w:r>
            <w:r w:rsidRPr="00D31B09">
              <w:rPr>
                <w:rFonts w:ascii="Arial" w:eastAsia="Times New Roman" w:hAnsi="Arial" w:cs="Arial"/>
                <w:color w:val="000000"/>
                <w:sz w:val="20"/>
                <w:szCs w:val="20"/>
                <w:vertAlign w:val="superscript"/>
                <w:lang w:val="en-GB"/>
              </w:rPr>
              <w:t>-6</w:t>
            </w:r>
          </w:p>
        </w:tc>
        <w:tc>
          <w:tcPr>
            <w:tcW w:w="1311" w:type="dxa"/>
            <w:tcBorders>
              <w:left w:val="nil"/>
              <w:bottom w:val="nil"/>
              <w:right w:val="nil"/>
            </w:tcBorders>
            <w:vAlign w:val="bottom"/>
          </w:tcPr>
          <w:p w14:paraId="6D7460D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0.0003</w:t>
            </w:r>
          </w:p>
        </w:tc>
        <w:tc>
          <w:tcPr>
            <w:tcW w:w="1524" w:type="dxa"/>
            <w:tcBorders>
              <w:left w:val="nil"/>
              <w:bottom w:val="nil"/>
              <w:right w:val="nil"/>
            </w:tcBorders>
            <w:vAlign w:val="bottom"/>
          </w:tcPr>
          <w:p w14:paraId="24B50FC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9.2x10</w:t>
            </w:r>
            <w:r w:rsidRPr="00D31B09">
              <w:rPr>
                <w:rFonts w:ascii="Arial" w:eastAsia="Times New Roman" w:hAnsi="Arial" w:cs="Arial"/>
                <w:color w:val="000000"/>
                <w:sz w:val="20"/>
                <w:szCs w:val="20"/>
                <w:vertAlign w:val="superscript"/>
                <w:lang w:val="en-GB"/>
              </w:rPr>
              <w:t>-6</w:t>
            </w:r>
            <w:r w:rsidRPr="00D31B09">
              <w:rPr>
                <w:rFonts w:ascii="Arial" w:eastAsia="Times New Roman" w:hAnsi="Arial" w:cs="Arial"/>
                <w:color w:val="000000"/>
                <w:sz w:val="20"/>
                <w:szCs w:val="20"/>
                <w:lang w:val="en-GB"/>
              </w:rPr>
              <w:t xml:space="preserve"> </w:t>
            </w:r>
          </w:p>
        </w:tc>
        <w:tc>
          <w:tcPr>
            <w:tcW w:w="1276" w:type="dxa"/>
            <w:tcBorders>
              <w:left w:val="nil"/>
              <w:bottom w:val="nil"/>
              <w:right w:val="nil"/>
            </w:tcBorders>
            <w:vAlign w:val="bottom"/>
          </w:tcPr>
          <w:p w14:paraId="512BD55B"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0.0002</w:t>
            </w:r>
          </w:p>
        </w:tc>
      </w:tr>
      <w:tr w:rsidR="005C429C" w:rsidRPr="00D31B09" w14:paraId="54B53C7A" w14:textId="77777777" w:rsidTr="001E366F">
        <w:tc>
          <w:tcPr>
            <w:tcW w:w="1512" w:type="dxa"/>
            <w:tcBorders>
              <w:top w:val="nil"/>
              <w:left w:val="nil"/>
              <w:bottom w:val="nil"/>
              <w:right w:val="nil"/>
            </w:tcBorders>
            <w:vAlign w:val="center"/>
          </w:tcPr>
          <w:p w14:paraId="67F80EA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FLR</w:t>
            </w:r>
          </w:p>
        </w:tc>
        <w:tc>
          <w:tcPr>
            <w:tcW w:w="1617" w:type="dxa"/>
            <w:tcBorders>
              <w:top w:val="nil"/>
              <w:left w:val="nil"/>
              <w:bottom w:val="nil"/>
              <w:right w:val="nil"/>
            </w:tcBorders>
            <w:vAlign w:val="bottom"/>
          </w:tcPr>
          <w:p w14:paraId="3257546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0.0001</w:t>
            </w:r>
          </w:p>
        </w:tc>
        <w:tc>
          <w:tcPr>
            <w:tcW w:w="1353" w:type="dxa"/>
            <w:tcBorders>
              <w:top w:val="nil"/>
              <w:left w:val="nil"/>
              <w:bottom w:val="nil"/>
              <w:right w:val="nil"/>
            </w:tcBorders>
            <w:vAlign w:val="bottom"/>
          </w:tcPr>
          <w:p w14:paraId="5B4D68D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0.003</w:t>
            </w:r>
          </w:p>
        </w:tc>
        <w:tc>
          <w:tcPr>
            <w:tcW w:w="1614" w:type="dxa"/>
            <w:tcBorders>
              <w:top w:val="nil"/>
              <w:left w:val="nil"/>
              <w:bottom w:val="nil"/>
              <w:right w:val="nil"/>
            </w:tcBorders>
            <w:vAlign w:val="bottom"/>
          </w:tcPr>
          <w:p w14:paraId="43BC5BF2"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0.0003</w:t>
            </w:r>
          </w:p>
        </w:tc>
        <w:tc>
          <w:tcPr>
            <w:tcW w:w="1311" w:type="dxa"/>
            <w:tcBorders>
              <w:top w:val="nil"/>
              <w:left w:val="nil"/>
              <w:bottom w:val="nil"/>
              <w:right w:val="nil"/>
            </w:tcBorders>
            <w:vAlign w:val="bottom"/>
          </w:tcPr>
          <w:p w14:paraId="2C202A3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0.007</w:t>
            </w:r>
          </w:p>
        </w:tc>
        <w:tc>
          <w:tcPr>
            <w:tcW w:w="1524" w:type="dxa"/>
            <w:tcBorders>
              <w:top w:val="nil"/>
              <w:left w:val="nil"/>
              <w:bottom w:val="nil"/>
              <w:right w:val="nil"/>
            </w:tcBorders>
            <w:vAlign w:val="bottom"/>
          </w:tcPr>
          <w:p w14:paraId="68FFFE2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0.0002</w:t>
            </w:r>
          </w:p>
        </w:tc>
        <w:tc>
          <w:tcPr>
            <w:tcW w:w="1276" w:type="dxa"/>
            <w:tcBorders>
              <w:top w:val="nil"/>
              <w:left w:val="nil"/>
              <w:bottom w:val="nil"/>
              <w:right w:val="nil"/>
            </w:tcBorders>
            <w:vAlign w:val="bottom"/>
          </w:tcPr>
          <w:p w14:paraId="3FC71D20"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0.005</w:t>
            </w:r>
          </w:p>
        </w:tc>
      </w:tr>
      <w:tr w:rsidR="005C429C" w:rsidRPr="00D31B09" w14:paraId="6F6C4175" w14:textId="77777777" w:rsidTr="001E366F">
        <w:tc>
          <w:tcPr>
            <w:tcW w:w="1512" w:type="dxa"/>
            <w:tcBorders>
              <w:top w:val="nil"/>
              <w:left w:val="nil"/>
              <w:bottom w:val="nil"/>
              <w:right w:val="nil"/>
            </w:tcBorders>
            <w:vAlign w:val="bottom"/>
          </w:tcPr>
          <w:p w14:paraId="47DDE4B8"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FLRT</w:t>
            </w:r>
          </w:p>
        </w:tc>
        <w:tc>
          <w:tcPr>
            <w:tcW w:w="1617" w:type="dxa"/>
            <w:tcBorders>
              <w:top w:val="nil"/>
              <w:left w:val="nil"/>
              <w:bottom w:val="nil"/>
              <w:right w:val="nil"/>
            </w:tcBorders>
            <w:vAlign w:val="bottom"/>
          </w:tcPr>
          <w:p w14:paraId="269C3CDD"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0.01</w:t>
            </w:r>
          </w:p>
        </w:tc>
        <w:tc>
          <w:tcPr>
            <w:tcW w:w="1353" w:type="dxa"/>
            <w:tcBorders>
              <w:top w:val="nil"/>
              <w:left w:val="nil"/>
              <w:bottom w:val="nil"/>
              <w:right w:val="nil"/>
            </w:tcBorders>
            <w:vAlign w:val="bottom"/>
          </w:tcPr>
          <w:p w14:paraId="52D7B1D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0.3</w:t>
            </w:r>
          </w:p>
        </w:tc>
        <w:tc>
          <w:tcPr>
            <w:tcW w:w="1614" w:type="dxa"/>
            <w:tcBorders>
              <w:top w:val="nil"/>
              <w:left w:val="nil"/>
              <w:bottom w:val="nil"/>
              <w:right w:val="nil"/>
            </w:tcBorders>
            <w:vAlign w:val="bottom"/>
          </w:tcPr>
          <w:p w14:paraId="37CE70D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0.04</w:t>
            </w:r>
          </w:p>
        </w:tc>
        <w:tc>
          <w:tcPr>
            <w:tcW w:w="1311" w:type="dxa"/>
            <w:tcBorders>
              <w:top w:val="nil"/>
              <w:left w:val="nil"/>
              <w:bottom w:val="nil"/>
              <w:right w:val="nil"/>
            </w:tcBorders>
            <w:vAlign w:val="bottom"/>
          </w:tcPr>
          <w:p w14:paraId="05CC3CA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0.9</w:t>
            </w:r>
          </w:p>
        </w:tc>
        <w:tc>
          <w:tcPr>
            <w:tcW w:w="1524" w:type="dxa"/>
            <w:tcBorders>
              <w:top w:val="nil"/>
              <w:left w:val="nil"/>
              <w:bottom w:val="nil"/>
              <w:right w:val="nil"/>
            </w:tcBorders>
            <w:vAlign w:val="bottom"/>
          </w:tcPr>
          <w:p w14:paraId="07409EC1"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0.03</w:t>
            </w:r>
          </w:p>
        </w:tc>
        <w:tc>
          <w:tcPr>
            <w:tcW w:w="1276" w:type="dxa"/>
            <w:tcBorders>
              <w:top w:val="nil"/>
              <w:left w:val="nil"/>
              <w:bottom w:val="nil"/>
              <w:right w:val="nil"/>
            </w:tcBorders>
            <w:vAlign w:val="bottom"/>
          </w:tcPr>
          <w:p w14:paraId="551706C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0.6</w:t>
            </w:r>
          </w:p>
        </w:tc>
      </w:tr>
      <w:tr w:rsidR="005C429C" w:rsidRPr="00D31B09" w14:paraId="2F888F5F" w14:textId="77777777" w:rsidTr="001E366F">
        <w:tc>
          <w:tcPr>
            <w:tcW w:w="1512" w:type="dxa"/>
            <w:tcBorders>
              <w:top w:val="nil"/>
              <w:left w:val="nil"/>
              <w:bottom w:val="nil"/>
              <w:right w:val="nil"/>
            </w:tcBorders>
            <w:vAlign w:val="center"/>
          </w:tcPr>
          <w:p w14:paraId="271809AF"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NPT</w:t>
            </w:r>
          </w:p>
        </w:tc>
        <w:tc>
          <w:tcPr>
            <w:tcW w:w="1617" w:type="dxa"/>
            <w:tcBorders>
              <w:top w:val="nil"/>
              <w:left w:val="nil"/>
              <w:bottom w:val="nil"/>
              <w:right w:val="nil"/>
            </w:tcBorders>
            <w:vAlign w:val="bottom"/>
          </w:tcPr>
          <w:p w14:paraId="603852DE" w14:textId="77777777" w:rsidR="005C429C" w:rsidRPr="00D31B09" w:rsidRDefault="005C429C" w:rsidP="001E366F">
            <w:pPr>
              <w:jc w:val="center"/>
              <w:rPr>
                <w:rFonts w:ascii="Arial" w:eastAsia="Times New Roman" w:hAnsi="Arial" w:cs="Arial"/>
                <w:bCs/>
                <w:color w:val="000000"/>
                <w:sz w:val="20"/>
                <w:szCs w:val="20"/>
                <w:lang w:val="en-GB"/>
              </w:rPr>
            </w:pPr>
            <w:r w:rsidRPr="00D31B09">
              <w:rPr>
                <w:rFonts w:ascii="Arial" w:eastAsia="Times New Roman" w:hAnsi="Arial" w:cs="Arial"/>
                <w:bCs/>
                <w:color w:val="000000"/>
                <w:sz w:val="20"/>
                <w:szCs w:val="20"/>
                <w:lang w:val="en-GB"/>
              </w:rPr>
              <w:t>0.0002</w:t>
            </w:r>
          </w:p>
        </w:tc>
        <w:tc>
          <w:tcPr>
            <w:tcW w:w="1353" w:type="dxa"/>
            <w:tcBorders>
              <w:top w:val="nil"/>
              <w:left w:val="nil"/>
              <w:bottom w:val="nil"/>
              <w:right w:val="nil"/>
            </w:tcBorders>
            <w:vAlign w:val="bottom"/>
          </w:tcPr>
          <w:p w14:paraId="6BCFF5BF"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0.01</w:t>
            </w:r>
          </w:p>
        </w:tc>
        <w:tc>
          <w:tcPr>
            <w:tcW w:w="1614" w:type="dxa"/>
            <w:tcBorders>
              <w:top w:val="nil"/>
              <w:left w:val="nil"/>
              <w:bottom w:val="nil"/>
              <w:right w:val="nil"/>
            </w:tcBorders>
            <w:vAlign w:val="bottom"/>
          </w:tcPr>
          <w:p w14:paraId="24139E31"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0.0006</w:t>
            </w:r>
          </w:p>
        </w:tc>
        <w:tc>
          <w:tcPr>
            <w:tcW w:w="1311" w:type="dxa"/>
            <w:tcBorders>
              <w:top w:val="nil"/>
              <w:left w:val="nil"/>
              <w:bottom w:val="nil"/>
              <w:right w:val="nil"/>
            </w:tcBorders>
            <w:vAlign w:val="bottom"/>
          </w:tcPr>
          <w:p w14:paraId="1FA896B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0.03</w:t>
            </w:r>
          </w:p>
        </w:tc>
        <w:tc>
          <w:tcPr>
            <w:tcW w:w="1524" w:type="dxa"/>
            <w:tcBorders>
              <w:top w:val="nil"/>
              <w:left w:val="nil"/>
              <w:bottom w:val="nil"/>
              <w:right w:val="nil"/>
            </w:tcBorders>
            <w:vAlign w:val="bottom"/>
          </w:tcPr>
          <w:p w14:paraId="21ABC1CE"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0.0004</w:t>
            </w:r>
          </w:p>
        </w:tc>
        <w:tc>
          <w:tcPr>
            <w:tcW w:w="1276" w:type="dxa"/>
            <w:tcBorders>
              <w:top w:val="nil"/>
              <w:left w:val="nil"/>
              <w:bottom w:val="nil"/>
              <w:right w:val="nil"/>
            </w:tcBorders>
            <w:vAlign w:val="bottom"/>
          </w:tcPr>
          <w:p w14:paraId="5536B9F3"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0.02</w:t>
            </w:r>
          </w:p>
        </w:tc>
      </w:tr>
      <w:tr w:rsidR="005C429C" w:rsidRPr="00D31B09" w14:paraId="7A44DA3E" w14:textId="77777777" w:rsidTr="001E366F">
        <w:tc>
          <w:tcPr>
            <w:tcW w:w="1512" w:type="dxa"/>
            <w:tcBorders>
              <w:top w:val="nil"/>
              <w:left w:val="nil"/>
              <w:bottom w:val="single" w:sz="4" w:space="0" w:color="auto"/>
              <w:right w:val="nil"/>
            </w:tcBorders>
            <w:vAlign w:val="bottom"/>
          </w:tcPr>
          <w:p w14:paraId="24F0FF2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PNT</w:t>
            </w:r>
          </w:p>
        </w:tc>
        <w:tc>
          <w:tcPr>
            <w:tcW w:w="1617" w:type="dxa"/>
            <w:tcBorders>
              <w:top w:val="nil"/>
              <w:left w:val="nil"/>
              <w:bottom w:val="single" w:sz="4" w:space="0" w:color="auto"/>
              <w:right w:val="nil"/>
            </w:tcBorders>
            <w:vAlign w:val="bottom"/>
          </w:tcPr>
          <w:p w14:paraId="4C79A4F4"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0.02</w:t>
            </w:r>
          </w:p>
        </w:tc>
        <w:tc>
          <w:tcPr>
            <w:tcW w:w="1353" w:type="dxa"/>
            <w:tcBorders>
              <w:top w:val="nil"/>
              <w:left w:val="nil"/>
              <w:bottom w:val="single" w:sz="4" w:space="0" w:color="auto"/>
              <w:right w:val="nil"/>
            </w:tcBorders>
            <w:vAlign w:val="bottom"/>
          </w:tcPr>
          <w:p w14:paraId="71BA1568"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0.5</w:t>
            </w:r>
          </w:p>
        </w:tc>
        <w:tc>
          <w:tcPr>
            <w:tcW w:w="1614" w:type="dxa"/>
            <w:tcBorders>
              <w:top w:val="nil"/>
              <w:left w:val="nil"/>
              <w:bottom w:val="single" w:sz="4" w:space="0" w:color="auto"/>
              <w:right w:val="nil"/>
            </w:tcBorders>
            <w:vAlign w:val="bottom"/>
          </w:tcPr>
          <w:p w14:paraId="0AD41EC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0.06</w:t>
            </w:r>
          </w:p>
        </w:tc>
        <w:tc>
          <w:tcPr>
            <w:tcW w:w="1311" w:type="dxa"/>
            <w:tcBorders>
              <w:top w:val="nil"/>
              <w:left w:val="nil"/>
              <w:bottom w:val="single" w:sz="4" w:space="0" w:color="auto"/>
              <w:right w:val="nil"/>
            </w:tcBorders>
            <w:vAlign w:val="bottom"/>
          </w:tcPr>
          <w:p w14:paraId="06ADBCFF"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1.5</w:t>
            </w:r>
          </w:p>
        </w:tc>
        <w:tc>
          <w:tcPr>
            <w:tcW w:w="1524" w:type="dxa"/>
            <w:tcBorders>
              <w:top w:val="nil"/>
              <w:left w:val="nil"/>
              <w:bottom w:val="single" w:sz="4" w:space="0" w:color="auto"/>
              <w:right w:val="nil"/>
            </w:tcBorders>
            <w:vAlign w:val="bottom"/>
          </w:tcPr>
          <w:p w14:paraId="52382A0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0.04</w:t>
            </w:r>
          </w:p>
        </w:tc>
        <w:tc>
          <w:tcPr>
            <w:tcW w:w="1276" w:type="dxa"/>
            <w:tcBorders>
              <w:top w:val="nil"/>
              <w:left w:val="nil"/>
              <w:bottom w:val="single" w:sz="4" w:space="0" w:color="auto"/>
              <w:right w:val="nil"/>
            </w:tcBorders>
            <w:vAlign w:val="bottom"/>
          </w:tcPr>
          <w:p w14:paraId="4FB1FD0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1.0</w:t>
            </w:r>
          </w:p>
        </w:tc>
      </w:tr>
      <w:tr w:rsidR="005C429C" w:rsidRPr="00D31B09" w14:paraId="2113A9C5" w14:textId="77777777" w:rsidTr="001E366F">
        <w:tc>
          <w:tcPr>
            <w:tcW w:w="1512" w:type="dxa"/>
            <w:tcBorders>
              <w:top w:val="single" w:sz="4" w:space="0" w:color="auto"/>
              <w:left w:val="nil"/>
              <w:bottom w:val="nil"/>
              <w:right w:val="nil"/>
            </w:tcBorders>
            <w:vAlign w:val="bottom"/>
          </w:tcPr>
          <w:p w14:paraId="3E758186" w14:textId="77777777" w:rsidR="005C429C" w:rsidRPr="00D31B09" w:rsidRDefault="005C429C" w:rsidP="001E366F">
            <w:pPr>
              <w:jc w:val="center"/>
              <w:rPr>
                <w:rFonts w:ascii="Arial" w:hAnsi="Arial" w:cs="Arial"/>
                <w:bCs/>
                <w:sz w:val="20"/>
                <w:szCs w:val="20"/>
                <w:lang w:val="en-GB"/>
              </w:rPr>
            </w:pPr>
            <w:proofErr w:type="spellStart"/>
            <w:r w:rsidRPr="00D31B09">
              <w:rPr>
                <w:rFonts w:ascii="Arial" w:eastAsia="Times New Roman" w:hAnsi="Arial" w:cs="Arial"/>
                <w:color w:val="000000"/>
                <w:sz w:val="20"/>
                <w:szCs w:val="20"/>
                <w:lang w:val="en-GB"/>
              </w:rPr>
              <w:t>m±s</w:t>
            </w:r>
            <w:proofErr w:type="spellEnd"/>
          </w:p>
        </w:tc>
        <w:tc>
          <w:tcPr>
            <w:tcW w:w="1617" w:type="dxa"/>
            <w:tcBorders>
              <w:top w:val="single" w:sz="4" w:space="0" w:color="auto"/>
              <w:left w:val="nil"/>
              <w:bottom w:val="nil"/>
              <w:right w:val="nil"/>
            </w:tcBorders>
            <w:vAlign w:val="bottom"/>
          </w:tcPr>
          <w:p w14:paraId="3CF6B50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0.008±0.009</w:t>
            </w:r>
          </w:p>
        </w:tc>
        <w:tc>
          <w:tcPr>
            <w:tcW w:w="1353" w:type="dxa"/>
            <w:tcBorders>
              <w:top w:val="single" w:sz="4" w:space="0" w:color="auto"/>
              <w:left w:val="nil"/>
              <w:bottom w:val="nil"/>
              <w:right w:val="nil"/>
            </w:tcBorders>
            <w:vAlign w:val="bottom"/>
          </w:tcPr>
          <w:p w14:paraId="5F8C25C9"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0.2±0.2</w:t>
            </w:r>
          </w:p>
        </w:tc>
        <w:tc>
          <w:tcPr>
            <w:tcW w:w="1614" w:type="dxa"/>
            <w:tcBorders>
              <w:top w:val="single" w:sz="4" w:space="0" w:color="auto"/>
              <w:left w:val="nil"/>
              <w:bottom w:val="nil"/>
              <w:right w:val="nil"/>
            </w:tcBorders>
            <w:vAlign w:val="bottom"/>
          </w:tcPr>
          <w:p w14:paraId="1E92721A"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0.03±0.03</w:t>
            </w:r>
          </w:p>
        </w:tc>
        <w:tc>
          <w:tcPr>
            <w:tcW w:w="1311" w:type="dxa"/>
            <w:tcBorders>
              <w:top w:val="single" w:sz="4" w:space="0" w:color="auto"/>
              <w:left w:val="nil"/>
              <w:bottom w:val="nil"/>
              <w:right w:val="nil"/>
            </w:tcBorders>
            <w:vAlign w:val="bottom"/>
          </w:tcPr>
          <w:p w14:paraId="7330205D"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0.5±0.7</w:t>
            </w:r>
          </w:p>
        </w:tc>
        <w:tc>
          <w:tcPr>
            <w:tcW w:w="1524" w:type="dxa"/>
            <w:tcBorders>
              <w:top w:val="single" w:sz="4" w:space="0" w:color="auto"/>
              <w:left w:val="nil"/>
              <w:bottom w:val="nil"/>
              <w:right w:val="nil"/>
            </w:tcBorders>
            <w:vAlign w:val="bottom"/>
          </w:tcPr>
          <w:p w14:paraId="18569695"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0.02±0.02</w:t>
            </w:r>
          </w:p>
        </w:tc>
        <w:tc>
          <w:tcPr>
            <w:tcW w:w="1276" w:type="dxa"/>
            <w:tcBorders>
              <w:top w:val="single" w:sz="4" w:space="0" w:color="auto"/>
              <w:left w:val="nil"/>
              <w:bottom w:val="nil"/>
              <w:right w:val="nil"/>
            </w:tcBorders>
            <w:vAlign w:val="bottom"/>
          </w:tcPr>
          <w:p w14:paraId="4CDBA34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0.3±0.5</w:t>
            </w:r>
          </w:p>
        </w:tc>
      </w:tr>
      <w:tr w:rsidR="005C429C" w:rsidRPr="00D31B09" w14:paraId="00248608" w14:textId="77777777" w:rsidTr="001E366F">
        <w:tc>
          <w:tcPr>
            <w:tcW w:w="1512" w:type="dxa"/>
            <w:tcBorders>
              <w:top w:val="nil"/>
              <w:left w:val="nil"/>
              <w:bottom w:val="nil"/>
              <w:right w:val="nil"/>
            </w:tcBorders>
            <w:vAlign w:val="bottom"/>
          </w:tcPr>
          <w:p w14:paraId="0A64AF47"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color w:val="000000"/>
                <w:sz w:val="20"/>
                <w:szCs w:val="20"/>
                <w:lang w:val="en-GB"/>
              </w:rPr>
              <w:t>Min-Max</w:t>
            </w:r>
          </w:p>
        </w:tc>
        <w:tc>
          <w:tcPr>
            <w:tcW w:w="1617" w:type="dxa"/>
            <w:tcBorders>
              <w:top w:val="nil"/>
              <w:left w:val="nil"/>
              <w:bottom w:val="nil"/>
              <w:right w:val="nil"/>
            </w:tcBorders>
            <w:vAlign w:val="bottom"/>
          </w:tcPr>
          <w:p w14:paraId="53A4FFE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 xml:space="preserve">4.7x10 </w:t>
            </w:r>
            <w:r w:rsidRPr="00D31B09">
              <w:rPr>
                <w:rFonts w:ascii="Arial" w:eastAsia="Times New Roman" w:hAnsi="Arial" w:cs="Arial"/>
                <w:bCs/>
                <w:color w:val="000000"/>
                <w:sz w:val="20"/>
                <w:szCs w:val="20"/>
                <w:vertAlign w:val="superscript"/>
                <w:lang w:val="en-GB"/>
              </w:rPr>
              <w:t>-6</w:t>
            </w:r>
            <w:r w:rsidRPr="00D31B09">
              <w:rPr>
                <w:rFonts w:ascii="Arial" w:eastAsia="Times New Roman" w:hAnsi="Arial" w:cs="Arial"/>
                <w:bCs/>
                <w:color w:val="000000"/>
                <w:sz w:val="20"/>
                <w:szCs w:val="20"/>
                <w:lang w:val="en-GB"/>
              </w:rPr>
              <w:t>-0.02</w:t>
            </w:r>
          </w:p>
        </w:tc>
        <w:tc>
          <w:tcPr>
            <w:tcW w:w="1353" w:type="dxa"/>
            <w:tcBorders>
              <w:top w:val="nil"/>
              <w:left w:val="nil"/>
              <w:bottom w:val="nil"/>
              <w:right w:val="nil"/>
            </w:tcBorders>
            <w:vAlign w:val="bottom"/>
          </w:tcPr>
          <w:p w14:paraId="7BFAE55C"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0.0001-0.5</w:t>
            </w:r>
          </w:p>
        </w:tc>
        <w:tc>
          <w:tcPr>
            <w:tcW w:w="1614" w:type="dxa"/>
            <w:tcBorders>
              <w:top w:val="nil"/>
              <w:left w:val="nil"/>
              <w:bottom w:val="nil"/>
              <w:right w:val="nil"/>
            </w:tcBorders>
            <w:vAlign w:val="bottom"/>
          </w:tcPr>
          <w:p w14:paraId="633DF873"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1.3x10</w:t>
            </w:r>
            <w:r w:rsidRPr="00D31B09">
              <w:rPr>
                <w:rFonts w:ascii="Arial" w:eastAsia="Times New Roman" w:hAnsi="Arial" w:cs="Arial"/>
                <w:bCs/>
                <w:color w:val="000000"/>
                <w:sz w:val="20"/>
                <w:szCs w:val="20"/>
                <w:vertAlign w:val="superscript"/>
                <w:lang w:val="en-GB"/>
              </w:rPr>
              <w:t>-6</w:t>
            </w:r>
            <w:r w:rsidRPr="00D31B09">
              <w:rPr>
                <w:rFonts w:ascii="Arial" w:eastAsia="Times New Roman" w:hAnsi="Arial" w:cs="Arial"/>
                <w:bCs/>
                <w:color w:val="000000"/>
                <w:sz w:val="20"/>
                <w:szCs w:val="20"/>
                <w:lang w:val="en-GB"/>
              </w:rPr>
              <w:t>-0.06</w:t>
            </w:r>
          </w:p>
        </w:tc>
        <w:tc>
          <w:tcPr>
            <w:tcW w:w="1311" w:type="dxa"/>
            <w:tcBorders>
              <w:top w:val="nil"/>
              <w:left w:val="nil"/>
              <w:bottom w:val="nil"/>
              <w:right w:val="nil"/>
            </w:tcBorders>
            <w:vAlign w:val="bottom"/>
          </w:tcPr>
          <w:p w14:paraId="5B7141B2" w14:textId="77777777" w:rsidR="005C429C" w:rsidRPr="00D31B09" w:rsidRDefault="005C429C" w:rsidP="001E366F">
            <w:pPr>
              <w:jc w:val="center"/>
              <w:rPr>
                <w:rFonts w:ascii="Arial" w:hAnsi="Arial" w:cs="Arial"/>
                <w:bCs/>
                <w:sz w:val="20"/>
                <w:szCs w:val="20"/>
                <w:lang w:val="en-GB"/>
              </w:rPr>
            </w:pPr>
            <w:r w:rsidRPr="00D31B09">
              <w:rPr>
                <w:rFonts w:ascii="Arial" w:eastAsia="Times New Roman" w:hAnsi="Arial" w:cs="Arial"/>
                <w:bCs/>
                <w:color w:val="000000"/>
                <w:sz w:val="20"/>
                <w:szCs w:val="20"/>
                <w:lang w:val="en-GB"/>
              </w:rPr>
              <w:t>0.0003-1.5</w:t>
            </w:r>
          </w:p>
        </w:tc>
        <w:tc>
          <w:tcPr>
            <w:tcW w:w="1524" w:type="dxa"/>
            <w:tcBorders>
              <w:top w:val="nil"/>
              <w:left w:val="nil"/>
              <w:bottom w:val="nil"/>
              <w:right w:val="nil"/>
            </w:tcBorders>
          </w:tcPr>
          <w:p w14:paraId="22F2356A"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9.2x10</w:t>
            </w:r>
            <w:r w:rsidRPr="00D31B09">
              <w:rPr>
                <w:rFonts w:ascii="Arial" w:hAnsi="Arial" w:cs="Arial"/>
                <w:bCs/>
                <w:sz w:val="20"/>
                <w:szCs w:val="20"/>
                <w:vertAlign w:val="superscript"/>
                <w:lang w:val="en-GB"/>
              </w:rPr>
              <w:t>-6</w:t>
            </w:r>
            <w:r w:rsidRPr="00D31B09">
              <w:rPr>
                <w:rFonts w:ascii="Arial" w:hAnsi="Arial" w:cs="Arial"/>
                <w:bCs/>
                <w:sz w:val="20"/>
                <w:szCs w:val="20"/>
                <w:lang w:val="en-GB"/>
              </w:rPr>
              <w:t>-0.04</w:t>
            </w:r>
          </w:p>
        </w:tc>
        <w:tc>
          <w:tcPr>
            <w:tcW w:w="1276" w:type="dxa"/>
            <w:tcBorders>
              <w:top w:val="nil"/>
              <w:left w:val="nil"/>
              <w:bottom w:val="nil"/>
              <w:right w:val="nil"/>
            </w:tcBorders>
          </w:tcPr>
          <w:p w14:paraId="40F7DEA0" w14:textId="77777777" w:rsidR="005C429C" w:rsidRPr="00D31B09" w:rsidRDefault="005C429C" w:rsidP="001E366F">
            <w:pPr>
              <w:jc w:val="center"/>
              <w:rPr>
                <w:rFonts w:ascii="Arial" w:hAnsi="Arial" w:cs="Arial"/>
                <w:bCs/>
                <w:sz w:val="20"/>
                <w:szCs w:val="20"/>
                <w:lang w:val="en-GB"/>
              </w:rPr>
            </w:pPr>
            <w:r w:rsidRPr="00D31B09">
              <w:rPr>
                <w:rFonts w:ascii="Arial" w:hAnsi="Arial" w:cs="Arial"/>
                <w:bCs/>
                <w:sz w:val="20"/>
                <w:szCs w:val="20"/>
                <w:lang w:val="en-GB"/>
              </w:rPr>
              <w:t>0.0002-1.0</w:t>
            </w:r>
          </w:p>
        </w:tc>
      </w:tr>
      <w:tr w:rsidR="005C429C" w:rsidRPr="00D31B09" w14:paraId="07222726" w14:textId="77777777" w:rsidTr="001E366F">
        <w:tc>
          <w:tcPr>
            <w:tcW w:w="1512" w:type="dxa"/>
            <w:tcBorders>
              <w:top w:val="nil"/>
              <w:left w:val="nil"/>
              <w:right w:val="nil"/>
            </w:tcBorders>
            <w:vAlign w:val="bottom"/>
          </w:tcPr>
          <w:p w14:paraId="14369595" w14:textId="77777777" w:rsidR="005C429C" w:rsidRPr="00D31B09" w:rsidRDefault="005C429C" w:rsidP="001E366F">
            <w:pPr>
              <w:jc w:val="center"/>
              <w:rPr>
                <w:rFonts w:ascii="Arial" w:hAnsi="Arial" w:cs="Arial"/>
                <w:b/>
                <w:bCs/>
                <w:sz w:val="20"/>
                <w:szCs w:val="20"/>
                <w:vertAlign w:val="subscript"/>
                <w:lang w:val="en-GB"/>
              </w:rPr>
            </w:pPr>
            <w:proofErr w:type="spellStart"/>
            <w:r w:rsidRPr="00D31B09">
              <w:rPr>
                <w:rFonts w:ascii="Arial" w:eastAsia="Times New Roman" w:hAnsi="Arial" w:cs="Arial"/>
                <w:b/>
                <w:bCs/>
                <w:color w:val="000000"/>
                <w:sz w:val="20"/>
                <w:szCs w:val="20"/>
                <w:lang w:val="en-GB"/>
              </w:rPr>
              <w:t>HI</w:t>
            </w:r>
            <w:r w:rsidRPr="00D31B09">
              <w:rPr>
                <w:rFonts w:ascii="Arial" w:eastAsia="Times New Roman" w:hAnsi="Arial" w:cs="Arial"/>
                <w:b/>
                <w:bCs/>
                <w:color w:val="000000"/>
                <w:sz w:val="20"/>
                <w:szCs w:val="20"/>
                <w:vertAlign w:val="subscript"/>
                <w:lang w:val="en-GB"/>
              </w:rPr>
              <w:t>derm</w:t>
            </w:r>
            <w:proofErr w:type="spellEnd"/>
          </w:p>
        </w:tc>
        <w:tc>
          <w:tcPr>
            <w:tcW w:w="2970" w:type="dxa"/>
            <w:gridSpan w:val="2"/>
            <w:tcBorders>
              <w:top w:val="nil"/>
              <w:left w:val="nil"/>
              <w:right w:val="nil"/>
            </w:tcBorders>
            <w:vAlign w:val="bottom"/>
          </w:tcPr>
          <w:p w14:paraId="0D154336" w14:textId="77777777" w:rsidR="005C429C" w:rsidRPr="00D31B09" w:rsidRDefault="005C429C" w:rsidP="001E366F">
            <w:pPr>
              <w:jc w:val="center"/>
              <w:rPr>
                <w:rFonts w:ascii="Arial" w:hAnsi="Arial" w:cs="Arial"/>
                <w:b/>
                <w:sz w:val="20"/>
                <w:szCs w:val="20"/>
                <w:lang w:val="en-GB"/>
              </w:rPr>
            </w:pPr>
            <w:r w:rsidRPr="00D31B09">
              <w:rPr>
                <w:rFonts w:ascii="Arial" w:eastAsia="Times New Roman" w:hAnsi="Arial" w:cs="Arial"/>
                <w:b/>
                <w:color w:val="000000"/>
                <w:sz w:val="20"/>
                <w:szCs w:val="20"/>
                <w:lang w:val="en-GB"/>
              </w:rPr>
              <w:t>0.8</w:t>
            </w:r>
          </w:p>
        </w:tc>
        <w:tc>
          <w:tcPr>
            <w:tcW w:w="2925" w:type="dxa"/>
            <w:gridSpan w:val="2"/>
            <w:tcBorders>
              <w:top w:val="nil"/>
              <w:left w:val="nil"/>
              <w:right w:val="nil"/>
            </w:tcBorders>
          </w:tcPr>
          <w:p w14:paraId="03C01471" w14:textId="77777777" w:rsidR="005C429C" w:rsidRPr="00D31B09" w:rsidRDefault="005C429C" w:rsidP="001E366F">
            <w:pPr>
              <w:jc w:val="center"/>
              <w:rPr>
                <w:rFonts w:ascii="Arial" w:hAnsi="Arial" w:cs="Arial"/>
                <w:b/>
                <w:sz w:val="20"/>
                <w:szCs w:val="20"/>
                <w:lang w:val="en-GB"/>
              </w:rPr>
            </w:pPr>
            <w:r w:rsidRPr="00D31B09">
              <w:rPr>
                <w:rFonts w:ascii="Arial" w:hAnsi="Arial" w:cs="Arial"/>
                <w:b/>
                <w:sz w:val="20"/>
                <w:szCs w:val="20"/>
                <w:lang w:val="en-GB"/>
              </w:rPr>
              <w:t>2.4</w:t>
            </w:r>
          </w:p>
        </w:tc>
        <w:tc>
          <w:tcPr>
            <w:tcW w:w="2800" w:type="dxa"/>
            <w:gridSpan w:val="2"/>
            <w:tcBorders>
              <w:top w:val="nil"/>
              <w:left w:val="nil"/>
              <w:right w:val="nil"/>
            </w:tcBorders>
            <w:vAlign w:val="bottom"/>
          </w:tcPr>
          <w:p w14:paraId="7ADCE3F5" w14:textId="77777777" w:rsidR="005C429C" w:rsidRPr="00D31B09" w:rsidRDefault="005C429C" w:rsidP="001E366F">
            <w:pPr>
              <w:jc w:val="center"/>
              <w:rPr>
                <w:rFonts w:ascii="Arial" w:hAnsi="Arial" w:cs="Arial"/>
                <w:b/>
                <w:sz w:val="20"/>
                <w:szCs w:val="20"/>
                <w:lang w:val="en-GB"/>
              </w:rPr>
            </w:pPr>
            <w:r w:rsidRPr="00D31B09">
              <w:rPr>
                <w:rFonts w:ascii="Arial" w:hAnsi="Arial" w:cs="Arial"/>
                <w:b/>
                <w:sz w:val="20"/>
                <w:szCs w:val="20"/>
                <w:lang w:val="en-GB"/>
              </w:rPr>
              <w:t>1.6</w:t>
            </w:r>
          </w:p>
        </w:tc>
      </w:tr>
    </w:tbl>
    <w:p w14:paraId="44448D22" w14:textId="77777777" w:rsidR="005C429C" w:rsidRPr="00D31B09" w:rsidRDefault="005C429C" w:rsidP="00D31B09">
      <w:pPr>
        <w:rPr>
          <w:rFonts w:ascii="Arial" w:hAnsi="Arial" w:cs="Arial"/>
          <w:lang w:val="fr-CI"/>
        </w:rPr>
      </w:pPr>
    </w:p>
    <w:p w14:paraId="14E73143" w14:textId="5343460E" w:rsidR="005C429C" w:rsidRPr="00D31B09" w:rsidRDefault="00D31B09" w:rsidP="00D31B09">
      <w:pPr>
        <w:rPr>
          <w:rFonts w:ascii="Arial" w:hAnsi="Arial" w:cs="Arial"/>
          <w:i/>
          <w:iCs/>
          <w:lang w:val="en-GB"/>
        </w:rPr>
      </w:pPr>
      <w:r w:rsidRPr="00D31B09">
        <w:rPr>
          <w:rFonts w:ascii="Arial" w:hAnsi="Arial" w:cs="Arial"/>
          <w:i/>
          <w:iCs/>
          <w:lang w:val="en-GB"/>
        </w:rPr>
        <w:t xml:space="preserve">3.1.5.3.2. </w:t>
      </w:r>
      <w:r w:rsidR="005C429C" w:rsidRPr="00D31B09">
        <w:rPr>
          <w:rFonts w:ascii="Arial" w:hAnsi="Arial" w:cs="Arial"/>
          <w:i/>
          <w:iCs/>
          <w:lang w:val="en-GB"/>
        </w:rPr>
        <w:t xml:space="preserve">Health risks associated with </w:t>
      </w:r>
      <w:proofErr w:type="spellStart"/>
      <w:r w:rsidR="005C429C" w:rsidRPr="00D31B09">
        <w:rPr>
          <w:rFonts w:ascii="Arial" w:hAnsi="Arial" w:cs="Arial"/>
          <w:i/>
          <w:iCs/>
          <w:lang w:val="en-GB"/>
        </w:rPr>
        <w:t>BaP</w:t>
      </w:r>
      <w:proofErr w:type="spellEnd"/>
      <w:r w:rsidR="005C429C" w:rsidRPr="00D31B09">
        <w:rPr>
          <w:rFonts w:ascii="Arial" w:hAnsi="Arial" w:cs="Arial"/>
          <w:i/>
          <w:iCs/>
          <w:lang w:val="en-GB"/>
        </w:rPr>
        <w:t xml:space="preserve"> equivalent dose</w:t>
      </w:r>
    </w:p>
    <w:p w14:paraId="04599E00" w14:textId="7A963E15" w:rsidR="005C429C" w:rsidRPr="00D31B09" w:rsidRDefault="005C429C" w:rsidP="00D31B09">
      <w:pPr>
        <w:jc w:val="both"/>
        <w:rPr>
          <w:rFonts w:ascii="Arial" w:hAnsi="Arial" w:cs="Arial"/>
          <w:lang w:val="en-GB"/>
        </w:rPr>
      </w:pPr>
      <w:r w:rsidRPr="00D31B09">
        <w:rPr>
          <w:rFonts w:ascii="Arial" w:hAnsi="Arial" w:cs="Arial"/>
          <w:lang w:val="en-GB"/>
        </w:rPr>
        <w:t>The mean values for TEQ-</w:t>
      </w:r>
      <w:proofErr w:type="spellStart"/>
      <w:r w:rsidRPr="00D31B09">
        <w:rPr>
          <w:rFonts w:ascii="Arial" w:hAnsi="Arial" w:cs="Arial"/>
          <w:lang w:val="en-GB"/>
        </w:rPr>
        <w:t>BaP</w:t>
      </w:r>
      <w:r w:rsidRPr="00D31B09">
        <w:rPr>
          <w:rFonts w:ascii="Arial" w:hAnsi="Arial" w:cs="Arial"/>
          <w:vertAlign w:val="subscript"/>
          <w:lang w:val="en-GB"/>
        </w:rPr>
        <w:t>i</w:t>
      </w:r>
      <w:proofErr w:type="spellEnd"/>
      <w:r w:rsidRPr="00D31B09">
        <w:rPr>
          <w:rFonts w:ascii="Arial" w:hAnsi="Arial" w:cs="Arial"/>
          <w:lang w:val="en-GB"/>
        </w:rPr>
        <w:t xml:space="preserve"> and MEQ-</w:t>
      </w:r>
      <w:proofErr w:type="spellStart"/>
      <w:r w:rsidRPr="00D31B09">
        <w:rPr>
          <w:rFonts w:ascii="Arial" w:hAnsi="Arial" w:cs="Arial"/>
          <w:lang w:val="en-GB"/>
        </w:rPr>
        <w:t>BaP</w:t>
      </w:r>
      <w:r w:rsidRPr="00D31B09">
        <w:rPr>
          <w:rFonts w:ascii="Arial" w:hAnsi="Arial" w:cs="Arial"/>
          <w:vertAlign w:val="subscript"/>
          <w:lang w:val="en-GB"/>
        </w:rPr>
        <w:t>i</w:t>
      </w:r>
      <w:proofErr w:type="spellEnd"/>
      <w:r w:rsidRPr="00D31B09">
        <w:rPr>
          <w:rFonts w:ascii="Arial" w:hAnsi="Arial" w:cs="Arial"/>
          <w:lang w:val="en-GB"/>
        </w:rPr>
        <w:t xml:space="preserve"> for different individuals, considering water uses related to </w:t>
      </w:r>
      <w:proofErr w:type="spellStart"/>
      <w:r w:rsidRPr="00D31B09">
        <w:rPr>
          <w:rFonts w:ascii="Arial" w:hAnsi="Arial" w:cs="Arial"/>
          <w:lang w:val="en-GB"/>
        </w:rPr>
        <w:t>BaA</w:t>
      </w:r>
      <w:proofErr w:type="spellEnd"/>
      <w:r w:rsidRPr="00D31B09">
        <w:rPr>
          <w:rFonts w:ascii="Arial" w:hAnsi="Arial" w:cs="Arial"/>
          <w:lang w:val="en-GB"/>
        </w:rPr>
        <w:t xml:space="preserve">, </w:t>
      </w:r>
      <w:proofErr w:type="spellStart"/>
      <w:r w:rsidRPr="00D31B09">
        <w:rPr>
          <w:rFonts w:ascii="Arial" w:hAnsi="Arial" w:cs="Arial"/>
          <w:lang w:val="en-GB"/>
        </w:rPr>
        <w:t>BaP</w:t>
      </w:r>
      <w:proofErr w:type="spellEnd"/>
      <w:r w:rsidRPr="00D31B09">
        <w:rPr>
          <w:rFonts w:ascii="Arial" w:hAnsi="Arial" w:cs="Arial"/>
          <w:lang w:val="en-GB"/>
        </w:rPr>
        <w:t xml:space="preserve">, </w:t>
      </w:r>
      <w:proofErr w:type="spellStart"/>
      <w:r w:rsidRPr="00D31B09">
        <w:rPr>
          <w:rFonts w:ascii="Arial" w:hAnsi="Arial" w:cs="Arial"/>
          <w:lang w:val="en-GB"/>
        </w:rPr>
        <w:t>BbF</w:t>
      </w:r>
      <w:proofErr w:type="spellEnd"/>
      <w:r w:rsidRPr="00D31B09">
        <w:rPr>
          <w:rFonts w:ascii="Arial" w:hAnsi="Arial" w:cs="Arial"/>
          <w:lang w:val="en-GB"/>
        </w:rPr>
        <w:t xml:space="preserve">, </w:t>
      </w:r>
      <w:proofErr w:type="spellStart"/>
      <w:r w:rsidRPr="00D31B09">
        <w:rPr>
          <w:rFonts w:ascii="Arial" w:hAnsi="Arial" w:cs="Arial"/>
          <w:lang w:val="en-GB"/>
        </w:rPr>
        <w:t>BkF</w:t>
      </w:r>
      <w:proofErr w:type="spellEnd"/>
      <w:r w:rsidRPr="00D31B09">
        <w:rPr>
          <w:rFonts w:ascii="Arial" w:hAnsi="Arial" w:cs="Arial"/>
          <w:lang w:val="en-GB"/>
        </w:rPr>
        <w:t>, and I(1,2,3-c,d)P (except for the mean TEQ-</w:t>
      </w:r>
      <w:proofErr w:type="spellStart"/>
      <w:r w:rsidRPr="00D31B09">
        <w:rPr>
          <w:rFonts w:ascii="Arial" w:hAnsi="Arial" w:cs="Arial"/>
          <w:lang w:val="en-GB"/>
        </w:rPr>
        <w:t>BaP</w:t>
      </w:r>
      <w:proofErr w:type="spellEnd"/>
      <w:r w:rsidRPr="00D31B09">
        <w:rPr>
          <w:rFonts w:ascii="Arial" w:hAnsi="Arial" w:cs="Arial"/>
          <w:lang w:val="en-GB"/>
        </w:rPr>
        <w:t xml:space="preserve"> values of </w:t>
      </w:r>
      <w:proofErr w:type="spellStart"/>
      <w:r w:rsidRPr="00D31B09">
        <w:rPr>
          <w:rFonts w:ascii="Arial" w:hAnsi="Arial" w:cs="Arial"/>
          <w:lang w:val="en-GB"/>
        </w:rPr>
        <w:t>BkF</w:t>
      </w:r>
      <w:proofErr w:type="spellEnd"/>
      <w:r w:rsidRPr="00D31B09">
        <w:rPr>
          <w:rFonts w:ascii="Arial" w:hAnsi="Arial" w:cs="Arial"/>
          <w:lang w:val="en-GB"/>
        </w:rPr>
        <w:t xml:space="preserve"> and I-(1,2,3-c,d)P for children), as well as their resultant values (TEQ-</w:t>
      </w:r>
      <w:proofErr w:type="spellStart"/>
      <w:r w:rsidRPr="00D31B09">
        <w:rPr>
          <w:rFonts w:ascii="Arial" w:hAnsi="Arial" w:cs="Arial"/>
          <w:lang w:val="en-GB"/>
        </w:rPr>
        <w:t>BaP</w:t>
      </w:r>
      <w:proofErr w:type="spellEnd"/>
      <w:r w:rsidRPr="00D31B09">
        <w:rPr>
          <w:rFonts w:ascii="Arial" w:hAnsi="Arial" w:cs="Arial"/>
          <w:lang w:val="en-GB"/>
        </w:rPr>
        <w:t xml:space="preserve"> dose and MEQ-</w:t>
      </w:r>
      <w:proofErr w:type="spellStart"/>
      <w:r w:rsidRPr="00D31B09">
        <w:rPr>
          <w:rFonts w:ascii="Arial" w:hAnsi="Arial" w:cs="Arial"/>
          <w:lang w:val="en-GB"/>
        </w:rPr>
        <w:t>BaP</w:t>
      </w:r>
      <w:proofErr w:type="spellEnd"/>
      <w:r w:rsidRPr="00D31B09">
        <w:rPr>
          <w:rFonts w:ascii="Arial" w:hAnsi="Arial" w:cs="Arial"/>
          <w:lang w:val="en-GB"/>
        </w:rPr>
        <w:t xml:space="preserve"> dose), were found to be significantly greater than 1. The same applied to RI-</w:t>
      </w:r>
      <w:proofErr w:type="spellStart"/>
      <w:r w:rsidRPr="00D31B09">
        <w:rPr>
          <w:rFonts w:ascii="Arial" w:hAnsi="Arial" w:cs="Arial"/>
          <w:lang w:val="en-GB"/>
        </w:rPr>
        <w:t>BaP</w:t>
      </w:r>
      <w:proofErr w:type="spellEnd"/>
      <w:r w:rsidRPr="00D31B09">
        <w:rPr>
          <w:rFonts w:ascii="Arial" w:hAnsi="Arial" w:cs="Arial"/>
          <w:lang w:val="en-GB"/>
        </w:rPr>
        <w:t xml:space="preserve"> dose (TEQ) and RI-</w:t>
      </w:r>
      <w:proofErr w:type="spellStart"/>
      <w:r w:rsidRPr="00D31B09">
        <w:rPr>
          <w:rFonts w:ascii="Arial" w:hAnsi="Arial" w:cs="Arial"/>
          <w:lang w:val="en-GB"/>
        </w:rPr>
        <w:t>BaP</w:t>
      </w:r>
      <w:proofErr w:type="spellEnd"/>
      <w:r w:rsidRPr="00D31B09">
        <w:rPr>
          <w:rFonts w:ascii="Arial" w:hAnsi="Arial" w:cs="Arial"/>
          <w:lang w:val="en-GB"/>
        </w:rPr>
        <w:t xml:space="preserve"> dose (MEQ) (Table 8). These observations were corroborated by Student's t-test (</w:t>
      </w:r>
      <w:r w:rsidRPr="00D31B09">
        <w:rPr>
          <w:rFonts w:ascii="Arial" w:hAnsi="Arial" w:cs="Arial"/>
          <w:i/>
          <w:iCs/>
          <w:lang w:val="en-GB"/>
        </w:rPr>
        <w:t>p</w:t>
      </w:r>
      <w:r w:rsidRPr="00D31B09">
        <w:rPr>
          <w:rFonts w:ascii="Arial" w:hAnsi="Arial" w:cs="Arial"/>
          <w:lang w:val="en-GB"/>
        </w:rPr>
        <w:t xml:space="preserve"> &lt; .05).</w:t>
      </w:r>
    </w:p>
    <w:p w14:paraId="2FC2F8A9" w14:textId="542CA474" w:rsidR="005C429C" w:rsidRPr="00D31B09" w:rsidRDefault="005C429C" w:rsidP="00D31B09">
      <w:pPr>
        <w:jc w:val="both"/>
        <w:rPr>
          <w:rFonts w:ascii="Arial" w:hAnsi="Arial" w:cs="Arial"/>
          <w:lang w:val="en-GB"/>
        </w:rPr>
      </w:pPr>
      <w:r w:rsidRPr="00D31B09">
        <w:rPr>
          <w:rFonts w:ascii="Arial" w:hAnsi="Arial" w:cs="Arial"/>
          <w:lang w:val="en-GB"/>
        </w:rPr>
        <w:t>These results clearly demonstrate that the carcinogenic and mutagenic risks associated with dermal contact with these waters, due to the presence of these five PAHs, were very significant for the individuals studied.</w:t>
      </w:r>
    </w:p>
    <w:p w14:paraId="65CA466E" w14:textId="77777777" w:rsidR="005C429C" w:rsidRPr="001A341C" w:rsidRDefault="005C429C" w:rsidP="005C429C">
      <w:pPr>
        <w:spacing w:line="360" w:lineRule="auto"/>
        <w:rPr>
          <w:rFonts w:ascii="Times New Roman" w:hAnsi="Times New Roman"/>
          <w:sz w:val="24"/>
          <w:szCs w:val="24"/>
          <w:lang w:val="en-GB"/>
        </w:rPr>
        <w:sectPr w:rsidR="005C429C" w:rsidRPr="001A341C" w:rsidSect="00D720AB">
          <w:type w:val="continuous"/>
          <w:pgSz w:w="12240" w:h="15840"/>
          <w:pgMar w:top="1417" w:right="1417" w:bottom="1417" w:left="1417" w:header="708" w:footer="708" w:gutter="0"/>
          <w:cols w:space="708"/>
          <w:docGrid w:linePitch="360"/>
        </w:sectPr>
      </w:pPr>
    </w:p>
    <w:p w14:paraId="4EECD33C" w14:textId="42703AB4" w:rsidR="005C429C" w:rsidRPr="00993384" w:rsidRDefault="005C429C" w:rsidP="00993384">
      <w:pPr>
        <w:rPr>
          <w:rFonts w:ascii="Arial" w:hAnsi="Arial" w:cs="Arial"/>
          <w:b/>
          <w:bCs/>
          <w:lang w:val="en-GB"/>
        </w:rPr>
      </w:pPr>
      <w:r w:rsidRPr="00993384">
        <w:rPr>
          <w:rFonts w:ascii="Arial" w:hAnsi="Arial" w:cs="Arial"/>
          <w:b/>
          <w:bCs/>
          <w:lang w:val="en-GB"/>
        </w:rPr>
        <w:lastRenderedPageBreak/>
        <w:t>Table 8</w:t>
      </w:r>
      <w:r w:rsidR="00D31B09" w:rsidRPr="00993384">
        <w:rPr>
          <w:rFonts w:ascii="Arial" w:hAnsi="Arial" w:cs="Arial"/>
          <w:b/>
          <w:bCs/>
          <w:lang w:val="en-GB"/>
        </w:rPr>
        <w:t>.</w:t>
      </w:r>
      <w:r w:rsidRPr="00993384">
        <w:rPr>
          <w:rFonts w:ascii="Arial" w:hAnsi="Arial" w:cs="Arial"/>
          <w:b/>
          <w:bCs/>
          <w:lang w:val="en-GB"/>
        </w:rPr>
        <w:t xml:space="preserve"> Mean values of TEQ-</w:t>
      </w:r>
      <w:proofErr w:type="spellStart"/>
      <w:r w:rsidRPr="00993384">
        <w:rPr>
          <w:rFonts w:ascii="Arial" w:hAnsi="Arial" w:cs="Arial"/>
          <w:b/>
          <w:bCs/>
          <w:lang w:val="en-GB"/>
        </w:rPr>
        <w:t>BaP</w:t>
      </w:r>
      <w:proofErr w:type="spellEnd"/>
      <w:r w:rsidRPr="00993384">
        <w:rPr>
          <w:rFonts w:ascii="Arial" w:hAnsi="Arial" w:cs="Arial"/>
          <w:b/>
          <w:bCs/>
          <w:lang w:val="en-GB"/>
        </w:rPr>
        <w:t xml:space="preserve"> dose, MEQ-</w:t>
      </w:r>
      <w:proofErr w:type="spellStart"/>
      <w:r w:rsidRPr="00993384">
        <w:rPr>
          <w:rFonts w:ascii="Arial" w:hAnsi="Arial" w:cs="Arial"/>
          <w:b/>
          <w:bCs/>
          <w:lang w:val="en-GB"/>
        </w:rPr>
        <w:t>BaP</w:t>
      </w:r>
      <w:proofErr w:type="spellEnd"/>
      <w:r w:rsidRPr="00993384">
        <w:rPr>
          <w:rFonts w:ascii="Arial" w:hAnsi="Arial" w:cs="Arial"/>
          <w:b/>
          <w:bCs/>
          <w:lang w:val="en-GB"/>
        </w:rPr>
        <w:t>, RI-</w:t>
      </w:r>
      <w:proofErr w:type="spellStart"/>
      <w:r w:rsidRPr="00993384">
        <w:rPr>
          <w:rFonts w:ascii="Arial" w:hAnsi="Arial" w:cs="Arial"/>
          <w:b/>
          <w:bCs/>
          <w:lang w:val="en-GB"/>
        </w:rPr>
        <w:t>BaP</w:t>
      </w:r>
      <w:proofErr w:type="spellEnd"/>
      <w:r w:rsidRPr="00993384">
        <w:rPr>
          <w:rFonts w:ascii="Arial" w:hAnsi="Arial" w:cs="Arial"/>
          <w:b/>
          <w:bCs/>
          <w:lang w:val="en-GB"/>
        </w:rPr>
        <w:t xml:space="preserve"> (TEQ) dose, and RI-</w:t>
      </w:r>
      <w:proofErr w:type="spellStart"/>
      <w:r w:rsidRPr="00993384">
        <w:rPr>
          <w:rFonts w:ascii="Arial" w:hAnsi="Arial" w:cs="Arial"/>
          <w:b/>
          <w:bCs/>
          <w:lang w:val="en-GB"/>
        </w:rPr>
        <w:t>BaP</w:t>
      </w:r>
      <w:proofErr w:type="spellEnd"/>
      <w:r w:rsidRPr="00993384">
        <w:rPr>
          <w:rFonts w:ascii="Arial" w:hAnsi="Arial" w:cs="Arial"/>
          <w:b/>
          <w:bCs/>
          <w:lang w:val="en-GB"/>
        </w:rPr>
        <w:t xml:space="preserve"> (MEQ) for different individuals related to five PAHs in the Waters from the </w:t>
      </w:r>
      <w:proofErr w:type="spellStart"/>
      <w:r w:rsidRPr="00993384">
        <w:rPr>
          <w:rFonts w:ascii="Arial" w:hAnsi="Arial" w:cs="Arial"/>
          <w:b/>
          <w:bCs/>
          <w:lang w:val="en-GB"/>
        </w:rPr>
        <w:t>Déganobo</w:t>
      </w:r>
      <w:proofErr w:type="spellEnd"/>
      <w:r w:rsidRPr="00993384">
        <w:rPr>
          <w:rFonts w:ascii="Arial" w:hAnsi="Arial" w:cs="Arial"/>
          <w:b/>
          <w:bCs/>
          <w:lang w:val="en-GB"/>
        </w:rPr>
        <w:t xml:space="preserve"> lacustrine system during the study period.</w:t>
      </w:r>
    </w:p>
    <w:tbl>
      <w:tblPr>
        <w:tblStyle w:val="Grilledutableau"/>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032"/>
        <w:gridCol w:w="1595"/>
        <w:gridCol w:w="1641"/>
        <w:gridCol w:w="1510"/>
        <w:gridCol w:w="1390"/>
        <w:gridCol w:w="1659"/>
        <w:gridCol w:w="1179"/>
      </w:tblGrid>
      <w:tr w:rsidR="005C429C" w:rsidRPr="00BC1731" w14:paraId="782977EE" w14:textId="77777777" w:rsidTr="001E366F">
        <w:trPr>
          <w:jc w:val="center"/>
        </w:trPr>
        <w:tc>
          <w:tcPr>
            <w:tcW w:w="4032" w:type="dxa"/>
            <w:vMerge w:val="restart"/>
          </w:tcPr>
          <w:p w14:paraId="6E707904" w14:textId="77777777" w:rsidR="005C429C" w:rsidRPr="00993384" w:rsidRDefault="005C429C" w:rsidP="00993384">
            <w:pPr>
              <w:jc w:val="center"/>
              <w:rPr>
                <w:rFonts w:ascii="Arial" w:hAnsi="Arial" w:cs="Arial"/>
                <w:sz w:val="20"/>
                <w:szCs w:val="20"/>
                <w:lang w:val="en-GB"/>
              </w:rPr>
            </w:pPr>
          </w:p>
          <w:p w14:paraId="6BDF6E95"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PAHs</w:t>
            </w:r>
          </w:p>
        </w:tc>
        <w:tc>
          <w:tcPr>
            <w:tcW w:w="4746" w:type="dxa"/>
            <w:gridSpan w:val="3"/>
          </w:tcPr>
          <w:p w14:paraId="75A24C20" w14:textId="77777777" w:rsidR="005C429C" w:rsidRPr="00993384" w:rsidRDefault="005C429C" w:rsidP="00993384">
            <w:pPr>
              <w:jc w:val="center"/>
              <w:rPr>
                <w:rFonts w:ascii="Arial" w:hAnsi="Arial" w:cs="Arial"/>
                <w:sz w:val="20"/>
                <w:szCs w:val="20"/>
                <w:lang w:val="fr-CI"/>
              </w:rPr>
            </w:pPr>
            <w:r w:rsidRPr="00993384">
              <w:rPr>
                <w:rFonts w:ascii="Arial" w:hAnsi="Arial" w:cs="Arial"/>
                <w:sz w:val="20"/>
                <w:szCs w:val="20"/>
                <w:lang w:val="fr-CI"/>
              </w:rPr>
              <w:t>TEQ-</w:t>
            </w:r>
            <w:proofErr w:type="spellStart"/>
            <w:r w:rsidRPr="00993384">
              <w:rPr>
                <w:rFonts w:ascii="Arial" w:hAnsi="Arial" w:cs="Arial"/>
                <w:sz w:val="20"/>
                <w:szCs w:val="20"/>
                <w:lang w:val="fr-CI"/>
              </w:rPr>
              <w:t>BaP</w:t>
            </w:r>
            <w:proofErr w:type="spellEnd"/>
            <w:r w:rsidRPr="00993384">
              <w:rPr>
                <w:rFonts w:ascii="Arial" w:hAnsi="Arial" w:cs="Arial"/>
                <w:sz w:val="20"/>
                <w:szCs w:val="20"/>
                <w:lang w:val="fr-CI"/>
              </w:rPr>
              <w:t xml:space="preserve"> </w:t>
            </w:r>
            <w:proofErr w:type="spellStart"/>
            <w:r w:rsidRPr="00993384">
              <w:rPr>
                <w:rFonts w:ascii="Arial" w:hAnsi="Arial" w:cs="Arial"/>
                <w:sz w:val="20"/>
                <w:szCs w:val="20"/>
                <w:lang w:val="fr-CI"/>
              </w:rPr>
              <w:t>dose</w:t>
            </w:r>
            <w:r w:rsidRPr="00993384">
              <w:rPr>
                <w:rFonts w:ascii="Arial" w:hAnsi="Arial" w:cs="Arial"/>
                <w:sz w:val="20"/>
                <w:szCs w:val="20"/>
                <w:vertAlign w:val="subscript"/>
                <w:lang w:val="fr-CI"/>
              </w:rPr>
              <w:t>i</w:t>
            </w:r>
            <w:proofErr w:type="spellEnd"/>
            <w:r w:rsidRPr="00993384">
              <w:rPr>
                <w:rFonts w:ascii="Arial" w:hAnsi="Arial" w:cs="Arial"/>
                <w:sz w:val="20"/>
                <w:szCs w:val="20"/>
                <w:lang w:val="fr-CI"/>
              </w:rPr>
              <w:t xml:space="preserve"> (x 10</w:t>
            </w:r>
            <w:r w:rsidRPr="00993384">
              <w:rPr>
                <w:rFonts w:ascii="Arial" w:hAnsi="Arial" w:cs="Arial"/>
                <w:sz w:val="20"/>
                <w:szCs w:val="20"/>
                <w:vertAlign w:val="superscript"/>
                <w:lang w:val="fr-CI"/>
              </w:rPr>
              <w:t>-7</w:t>
            </w:r>
            <w:r w:rsidRPr="00993384">
              <w:rPr>
                <w:rFonts w:ascii="Arial" w:hAnsi="Arial" w:cs="Arial"/>
                <w:sz w:val="20"/>
                <w:szCs w:val="20"/>
                <w:lang w:val="fr-CI"/>
              </w:rPr>
              <w:t>) (µg/l)</w:t>
            </w:r>
          </w:p>
        </w:tc>
        <w:tc>
          <w:tcPr>
            <w:tcW w:w="4228" w:type="dxa"/>
            <w:gridSpan w:val="3"/>
          </w:tcPr>
          <w:p w14:paraId="6E4F6D85" w14:textId="77777777" w:rsidR="005C429C" w:rsidRPr="00993384" w:rsidRDefault="005C429C" w:rsidP="00993384">
            <w:pPr>
              <w:jc w:val="center"/>
              <w:rPr>
                <w:rFonts w:ascii="Arial" w:hAnsi="Arial" w:cs="Arial"/>
                <w:sz w:val="20"/>
                <w:szCs w:val="20"/>
                <w:lang w:val="fr-CI"/>
              </w:rPr>
            </w:pPr>
            <w:r w:rsidRPr="00993384">
              <w:rPr>
                <w:rFonts w:ascii="Arial" w:hAnsi="Arial" w:cs="Arial"/>
                <w:sz w:val="20"/>
                <w:szCs w:val="20"/>
                <w:lang w:val="fr-CI"/>
              </w:rPr>
              <w:t>MEQ-</w:t>
            </w:r>
            <w:proofErr w:type="spellStart"/>
            <w:r w:rsidRPr="00993384">
              <w:rPr>
                <w:rFonts w:ascii="Arial" w:hAnsi="Arial" w:cs="Arial"/>
                <w:sz w:val="20"/>
                <w:szCs w:val="20"/>
                <w:lang w:val="fr-CI"/>
              </w:rPr>
              <w:t>BaP</w:t>
            </w:r>
            <w:proofErr w:type="spellEnd"/>
            <w:r w:rsidRPr="00993384">
              <w:rPr>
                <w:rFonts w:ascii="Arial" w:hAnsi="Arial" w:cs="Arial"/>
                <w:sz w:val="20"/>
                <w:szCs w:val="20"/>
                <w:lang w:val="fr-CI"/>
              </w:rPr>
              <w:t xml:space="preserve"> </w:t>
            </w:r>
            <w:proofErr w:type="spellStart"/>
            <w:r w:rsidRPr="00993384">
              <w:rPr>
                <w:rFonts w:ascii="Arial" w:hAnsi="Arial" w:cs="Arial"/>
                <w:sz w:val="20"/>
                <w:szCs w:val="20"/>
                <w:lang w:val="fr-CI"/>
              </w:rPr>
              <w:t>dose</w:t>
            </w:r>
            <w:r w:rsidRPr="00993384">
              <w:rPr>
                <w:rFonts w:ascii="Arial" w:hAnsi="Arial" w:cs="Arial"/>
                <w:sz w:val="20"/>
                <w:szCs w:val="20"/>
                <w:vertAlign w:val="subscript"/>
                <w:lang w:val="fr-CI"/>
              </w:rPr>
              <w:t>i</w:t>
            </w:r>
            <w:proofErr w:type="spellEnd"/>
            <w:r w:rsidRPr="00993384">
              <w:rPr>
                <w:rFonts w:ascii="Arial" w:hAnsi="Arial" w:cs="Arial"/>
                <w:sz w:val="20"/>
                <w:szCs w:val="20"/>
                <w:lang w:val="fr-CI"/>
              </w:rPr>
              <w:t xml:space="preserve"> (x 10</w:t>
            </w:r>
            <w:r w:rsidRPr="00993384">
              <w:rPr>
                <w:rFonts w:ascii="Arial" w:hAnsi="Arial" w:cs="Arial"/>
                <w:sz w:val="20"/>
                <w:szCs w:val="20"/>
                <w:vertAlign w:val="superscript"/>
                <w:lang w:val="fr-CI"/>
              </w:rPr>
              <w:t>-7</w:t>
            </w:r>
            <w:r w:rsidRPr="00993384">
              <w:rPr>
                <w:rFonts w:ascii="Arial" w:hAnsi="Arial" w:cs="Arial"/>
                <w:sz w:val="20"/>
                <w:szCs w:val="20"/>
                <w:lang w:val="fr-CI"/>
              </w:rPr>
              <w:t>) (µg/l)</w:t>
            </w:r>
          </w:p>
        </w:tc>
      </w:tr>
      <w:tr w:rsidR="005C429C" w:rsidRPr="00993384" w14:paraId="73F100B0" w14:textId="77777777" w:rsidTr="001E366F">
        <w:trPr>
          <w:jc w:val="center"/>
        </w:trPr>
        <w:tc>
          <w:tcPr>
            <w:tcW w:w="4032" w:type="dxa"/>
            <w:vMerge/>
          </w:tcPr>
          <w:p w14:paraId="69EAE5F6" w14:textId="77777777" w:rsidR="005C429C" w:rsidRPr="00993384" w:rsidRDefault="005C429C" w:rsidP="00993384">
            <w:pPr>
              <w:jc w:val="center"/>
              <w:rPr>
                <w:rFonts w:ascii="Arial" w:hAnsi="Arial" w:cs="Arial"/>
                <w:sz w:val="20"/>
                <w:szCs w:val="20"/>
                <w:lang w:val="fr-CI"/>
              </w:rPr>
            </w:pPr>
          </w:p>
        </w:tc>
        <w:tc>
          <w:tcPr>
            <w:tcW w:w="1595" w:type="dxa"/>
            <w:vMerge w:val="restart"/>
          </w:tcPr>
          <w:p w14:paraId="7384FBFC" w14:textId="77777777" w:rsidR="005C429C" w:rsidRPr="00993384" w:rsidRDefault="005C429C" w:rsidP="00993384">
            <w:pPr>
              <w:jc w:val="center"/>
              <w:rPr>
                <w:rFonts w:ascii="Arial" w:hAnsi="Arial" w:cs="Arial"/>
                <w:sz w:val="20"/>
                <w:szCs w:val="20"/>
                <w:lang w:val="fr-CI"/>
              </w:rPr>
            </w:pPr>
          </w:p>
          <w:p w14:paraId="4FC3E8C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Child</w:t>
            </w:r>
          </w:p>
          <w:p w14:paraId="29C632C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(Fisherman)</w:t>
            </w:r>
          </w:p>
        </w:tc>
        <w:tc>
          <w:tcPr>
            <w:tcW w:w="3151" w:type="dxa"/>
            <w:gridSpan w:val="2"/>
          </w:tcPr>
          <w:p w14:paraId="3396A1E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Adult</w:t>
            </w:r>
          </w:p>
        </w:tc>
        <w:tc>
          <w:tcPr>
            <w:tcW w:w="1390" w:type="dxa"/>
            <w:vMerge w:val="restart"/>
          </w:tcPr>
          <w:p w14:paraId="34CE222A" w14:textId="77777777" w:rsidR="005C429C" w:rsidRPr="00993384" w:rsidRDefault="005C429C" w:rsidP="00993384">
            <w:pPr>
              <w:jc w:val="center"/>
              <w:rPr>
                <w:rFonts w:ascii="Arial" w:hAnsi="Arial" w:cs="Arial"/>
                <w:sz w:val="20"/>
                <w:szCs w:val="20"/>
                <w:lang w:val="en-GB"/>
              </w:rPr>
            </w:pPr>
          </w:p>
          <w:p w14:paraId="630179C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Child</w:t>
            </w:r>
          </w:p>
          <w:p w14:paraId="4AA99CF0"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(Fisherman)</w:t>
            </w:r>
          </w:p>
        </w:tc>
        <w:tc>
          <w:tcPr>
            <w:tcW w:w="2838" w:type="dxa"/>
            <w:gridSpan w:val="2"/>
          </w:tcPr>
          <w:p w14:paraId="67F66E43"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Adult</w:t>
            </w:r>
          </w:p>
        </w:tc>
      </w:tr>
      <w:tr w:rsidR="005C429C" w:rsidRPr="00993384" w14:paraId="2F847258" w14:textId="77777777" w:rsidTr="001E366F">
        <w:trPr>
          <w:jc w:val="center"/>
        </w:trPr>
        <w:tc>
          <w:tcPr>
            <w:tcW w:w="4032" w:type="dxa"/>
            <w:vMerge/>
            <w:tcBorders>
              <w:bottom w:val="single" w:sz="4" w:space="0" w:color="000000" w:themeColor="text1"/>
            </w:tcBorders>
          </w:tcPr>
          <w:p w14:paraId="7FB465E8" w14:textId="77777777" w:rsidR="005C429C" w:rsidRPr="00993384" w:rsidRDefault="005C429C" w:rsidP="00993384">
            <w:pPr>
              <w:jc w:val="center"/>
              <w:rPr>
                <w:rFonts w:ascii="Arial" w:hAnsi="Arial" w:cs="Arial"/>
                <w:sz w:val="20"/>
                <w:szCs w:val="20"/>
                <w:lang w:val="en-GB"/>
              </w:rPr>
            </w:pPr>
          </w:p>
        </w:tc>
        <w:tc>
          <w:tcPr>
            <w:tcW w:w="1595" w:type="dxa"/>
            <w:vMerge/>
            <w:tcBorders>
              <w:bottom w:val="single" w:sz="4" w:space="0" w:color="000000" w:themeColor="text1"/>
            </w:tcBorders>
          </w:tcPr>
          <w:p w14:paraId="46B66CCB" w14:textId="77777777" w:rsidR="005C429C" w:rsidRPr="00993384" w:rsidRDefault="005C429C" w:rsidP="00993384">
            <w:pPr>
              <w:jc w:val="center"/>
              <w:rPr>
                <w:rFonts w:ascii="Arial" w:hAnsi="Arial" w:cs="Arial"/>
                <w:sz w:val="20"/>
                <w:szCs w:val="20"/>
                <w:lang w:val="en-GB"/>
              </w:rPr>
            </w:pPr>
          </w:p>
        </w:tc>
        <w:tc>
          <w:tcPr>
            <w:tcW w:w="1641" w:type="dxa"/>
            <w:tcBorders>
              <w:bottom w:val="single" w:sz="4" w:space="0" w:color="000000" w:themeColor="text1"/>
            </w:tcBorders>
          </w:tcPr>
          <w:p w14:paraId="5F7876C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 xml:space="preserve">Fisherman and market gardener </w:t>
            </w:r>
          </w:p>
        </w:tc>
        <w:tc>
          <w:tcPr>
            <w:tcW w:w="1510" w:type="dxa"/>
            <w:tcBorders>
              <w:bottom w:val="single" w:sz="4" w:space="0" w:color="000000" w:themeColor="text1"/>
            </w:tcBorders>
          </w:tcPr>
          <w:p w14:paraId="2B723BCA"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Bather</w:t>
            </w:r>
          </w:p>
        </w:tc>
        <w:tc>
          <w:tcPr>
            <w:tcW w:w="1390" w:type="dxa"/>
            <w:vMerge/>
            <w:tcBorders>
              <w:bottom w:val="single" w:sz="4" w:space="0" w:color="000000" w:themeColor="text1"/>
            </w:tcBorders>
          </w:tcPr>
          <w:p w14:paraId="586C7964" w14:textId="77777777" w:rsidR="005C429C" w:rsidRPr="00993384" w:rsidRDefault="005C429C" w:rsidP="00993384">
            <w:pPr>
              <w:jc w:val="center"/>
              <w:rPr>
                <w:rFonts w:ascii="Arial" w:hAnsi="Arial" w:cs="Arial"/>
                <w:sz w:val="20"/>
                <w:szCs w:val="20"/>
                <w:lang w:val="en-GB"/>
              </w:rPr>
            </w:pPr>
          </w:p>
        </w:tc>
        <w:tc>
          <w:tcPr>
            <w:tcW w:w="1659" w:type="dxa"/>
            <w:tcBorders>
              <w:bottom w:val="single" w:sz="4" w:space="0" w:color="000000" w:themeColor="text1"/>
            </w:tcBorders>
          </w:tcPr>
          <w:p w14:paraId="5479D655"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 xml:space="preserve">Fisherman and market gardener </w:t>
            </w:r>
          </w:p>
        </w:tc>
        <w:tc>
          <w:tcPr>
            <w:tcW w:w="1179" w:type="dxa"/>
            <w:tcBorders>
              <w:bottom w:val="single" w:sz="4" w:space="0" w:color="000000" w:themeColor="text1"/>
            </w:tcBorders>
          </w:tcPr>
          <w:p w14:paraId="61204F0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Bather</w:t>
            </w:r>
          </w:p>
        </w:tc>
      </w:tr>
      <w:tr w:rsidR="005C429C" w:rsidRPr="00993384" w14:paraId="547D15C2" w14:textId="77777777" w:rsidTr="001E366F">
        <w:trPr>
          <w:jc w:val="center"/>
        </w:trPr>
        <w:tc>
          <w:tcPr>
            <w:tcW w:w="4032" w:type="dxa"/>
            <w:tcBorders>
              <w:bottom w:val="nil"/>
            </w:tcBorders>
          </w:tcPr>
          <w:p w14:paraId="072379A8"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BaA</w:t>
            </w:r>
            <w:proofErr w:type="spellEnd"/>
          </w:p>
        </w:tc>
        <w:tc>
          <w:tcPr>
            <w:tcW w:w="1595" w:type="dxa"/>
            <w:tcBorders>
              <w:bottom w:val="nil"/>
            </w:tcBorders>
          </w:tcPr>
          <w:p w14:paraId="76FED3C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1.1±0.2</w:t>
            </w:r>
          </w:p>
        </w:tc>
        <w:tc>
          <w:tcPr>
            <w:tcW w:w="1641" w:type="dxa"/>
            <w:tcBorders>
              <w:bottom w:val="nil"/>
            </w:tcBorders>
          </w:tcPr>
          <w:p w14:paraId="290F90E0"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15±3</w:t>
            </w:r>
          </w:p>
        </w:tc>
        <w:tc>
          <w:tcPr>
            <w:tcW w:w="1510" w:type="dxa"/>
            <w:tcBorders>
              <w:bottom w:val="nil"/>
            </w:tcBorders>
          </w:tcPr>
          <w:p w14:paraId="5535A68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9±2</w:t>
            </w:r>
          </w:p>
        </w:tc>
        <w:tc>
          <w:tcPr>
            <w:tcW w:w="1390" w:type="dxa"/>
            <w:tcBorders>
              <w:bottom w:val="nil"/>
            </w:tcBorders>
          </w:tcPr>
          <w:p w14:paraId="0642A25A"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93±16</w:t>
            </w:r>
          </w:p>
        </w:tc>
        <w:tc>
          <w:tcPr>
            <w:tcW w:w="1659" w:type="dxa"/>
            <w:tcBorders>
              <w:bottom w:val="nil"/>
            </w:tcBorders>
          </w:tcPr>
          <w:p w14:paraId="455AFC3C"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12.8±0.2</w:t>
            </w:r>
          </w:p>
        </w:tc>
        <w:tc>
          <w:tcPr>
            <w:tcW w:w="1179" w:type="dxa"/>
            <w:tcBorders>
              <w:bottom w:val="nil"/>
            </w:tcBorders>
          </w:tcPr>
          <w:p w14:paraId="4E8B63B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7±1</w:t>
            </w:r>
          </w:p>
        </w:tc>
      </w:tr>
      <w:tr w:rsidR="005C429C" w:rsidRPr="00993384" w14:paraId="3C738FBE" w14:textId="77777777" w:rsidTr="001E366F">
        <w:trPr>
          <w:jc w:val="center"/>
        </w:trPr>
        <w:tc>
          <w:tcPr>
            <w:tcW w:w="4032" w:type="dxa"/>
            <w:tcBorders>
              <w:top w:val="nil"/>
              <w:bottom w:val="nil"/>
            </w:tcBorders>
          </w:tcPr>
          <w:p w14:paraId="5DB888BE"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BaP</w:t>
            </w:r>
            <w:proofErr w:type="spellEnd"/>
          </w:p>
        </w:tc>
        <w:tc>
          <w:tcPr>
            <w:tcW w:w="1595" w:type="dxa"/>
            <w:tcBorders>
              <w:top w:val="nil"/>
              <w:bottom w:val="nil"/>
            </w:tcBorders>
          </w:tcPr>
          <w:p w14:paraId="0B62D5FD"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8±1</w:t>
            </w:r>
          </w:p>
        </w:tc>
        <w:tc>
          <w:tcPr>
            <w:tcW w:w="1641" w:type="dxa"/>
            <w:tcBorders>
              <w:top w:val="nil"/>
              <w:bottom w:val="nil"/>
            </w:tcBorders>
          </w:tcPr>
          <w:p w14:paraId="69B81324"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122±20</w:t>
            </w:r>
          </w:p>
        </w:tc>
        <w:tc>
          <w:tcPr>
            <w:tcW w:w="1510" w:type="dxa"/>
            <w:tcBorders>
              <w:top w:val="nil"/>
              <w:bottom w:val="nil"/>
            </w:tcBorders>
          </w:tcPr>
          <w:p w14:paraId="55C329D0"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69±11</w:t>
            </w:r>
          </w:p>
        </w:tc>
        <w:tc>
          <w:tcPr>
            <w:tcW w:w="1390" w:type="dxa"/>
            <w:tcBorders>
              <w:top w:val="nil"/>
              <w:bottom w:val="nil"/>
            </w:tcBorders>
          </w:tcPr>
          <w:p w14:paraId="3B27F352"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8±1</w:t>
            </w:r>
          </w:p>
        </w:tc>
        <w:tc>
          <w:tcPr>
            <w:tcW w:w="1659" w:type="dxa"/>
            <w:tcBorders>
              <w:top w:val="nil"/>
              <w:bottom w:val="nil"/>
            </w:tcBorders>
          </w:tcPr>
          <w:p w14:paraId="06AE53B4"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122±20</w:t>
            </w:r>
          </w:p>
        </w:tc>
        <w:tc>
          <w:tcPr>
            <w:tcW w:w="1179" w:type="dxa"/>
            <w:tcBorders>
              <w:top w:val="nil"/>
              <w:bottom w:val="nil"/>
            </w:tcBorders>
          </w:tcPr>
          <w:p w14:paraId="68CDDBB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69±11</w:t>
            </w:r>
          </w:p>
        </w:tc>
      </w:tr>
      <w:tr w:rsidR="005C429C" w:rsidRPr="00993384" w14:paraId="37E7C632" w14:textId="77777777" w:rsidTr="001E366F">
        <w:trPr>
          <w:jc w:val="center"/>
        </w:trPr>
        <w:tc>
          <w:tcPr>
            <w:tcW w:w="4032" w:type="dxa"/>
            <w:tcBorders>
              <w:top w:val="nil"/>
              <w:bottom w:val="nil"/>
            </w:tcBorders>
          </w:tcPr>
          <w:p w14:paraId="385E3AB3"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BbF</w:t>
            </w:r>
            <w:proofErr w:type="spellEnd"/>
          </w:p>
        </w:tc>
        <w:tc>
          <w:tcPr>
            <w:tcW w:w="1595" w:type="dxa"/>
            <w:tcBorders>
              <w:top w:val="nil"/>
              <w:bottom w:val="nil"/>
            </w:tcBorders>
          </w:tcPr>
          <w:p w14:paraId="11FEB43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2.1±0.4</w:t>
            </w:r>
          </w:p>
        </w:tc>
        <w:tc>
          <w:tcPr>
            <w:tcW w:w="1641" w:type="dxa"/>
            <w:tcBorders>
              <w:top w:val="nil"/>
              <w:bottom w:val="nil"/>
            </w:tcBorders>
          </w:tcPr>
          <w:p w14:paraId="7354EEAF"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28±5</w:t>
            </w:r>
          </w:p>
        </w:tc>
        <w:tc>
          <w:tcPr>
            <w:tcW w:w="1510" w:type="dxa"/>
            <w:tcBorders>
              <w:top w:val="nil"/>
              <w:bottom w:val="nil"/>
            </w:tcBorders>
          </w:tcPr>
          <w:p w14:paraId="1C5592B5"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16±3</w:t>
            </w:r>
          </w:p>
        </w:tc>
        <w:tc>
          <w:tcPr>
            <w:tcW w:w="1390" w:type="dxa"/>
            <w:tcBorders>
              <w:top w:val="nil"/>
              <w:bottom w:val="nil"/>
            </w:tcBorders>
          </w:tcPr>
          <w:p w14:paraId="19E9E939"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2.2±0.4</w:t>
            </w:r>
          </w:p>
        </w:tc>
        <w:tc>
          <w:tcPr>
            <w:tcW w:w="1659" w:type="dxa"/>
            <w:tcBorders>
              <w:top w:val="nil"/>
              <w:bottom w:val="nil"/>
            </w:tcBorders>
          </w:tcPr>
          <w:p w14:paraId="3DA4DD6A"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31±5</w:t>
            </w:r>
          </w:p>
        </w:tc>
        <w:tc>
          <w:tcPr>
            <w:tcW w:w="1179" w:type="dxa"/>
            <w:tcBorders>
              <w:top w:val="nil"/>
              <w:bottom w:val="nil"/>
            </w:tcBorders>
          </w:tcPr>
          <w:p w14:paraId="78CEFDB3"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18±3</w:t>
            </w:r>
          </w:p>
        </w:tc>
      </w:tr>
      <w:tr w:rsidR="005C429C" w:rsidRPr="00993384" w14:paraId="5B6050A4" w14:textId="77777777" w:rsidTr="001E366F">
        <w:trPr>
          <w:jc w:val="center"/>
        </w:trPr>
        <w:tc>
          <w:tcPr>
            <w:tcW w:w="4032" w:type="dxa"/>
            <w:tcBorders>
              <w:top w:val="nil"/>
              <w:bottom w:val="nil"/>
            </w:tcBorders>
          </w:tcPr>
          <w:p w14:paraId="51AB43E8" w14:textId="77777777" w:rsidR="005C429C" w:rsidRPr="00993384" w:rsidRDefault="005C429C" w:rsidP="00993384">
            <w:pPr>
              <w:jc w:val="center"/>
              <w:rPr>
                <w:rFonts w:ascii="Arial" w:hAnsi="Arial" w:cs="Arial"/>
                <w:sz w:val="20"/>
                <w:szCs w:val="20"/>
                <w:lang w:val="en-GB"/>
              </w:rPr>
            </w:pPr>
            <w:proofErr w:type="spellStart"/>
            <w:r w:rsidRPr="00993384">
              <w:rPr>
                <w:rFonts w:ascii="Arial" w:hAnsi="Arial" w:cs="Arial"/>
                <w:sz w:val="20"/>
                <w:szCs w:val="20"/>
                <w:lang w:val="en-GB"/>
              </w:rPr>
              <w:t>BkF</w:t>
            </w:r>
            <w:proofErr w:type="spellEnd"/>
          </w:p>
        </w:tc>
        <w:tc>
          <w:tcPr>
            <w:tcW w:w="1595" w:type="dxa"/>
            <w:tcBorders>
              <w:top w:val="nil"/>
              <w:bottom w:val="nil"/>
            </w:tcBorders>
          </w:tcPr>
          <w:p w14:paraId="3258E9A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0.46±0.08</w:t>
            </w:r>
          </w:p>
        </w:tc>
        <w:tc>
          <w:tcPr>
            <w:tcW w:w="1641" w:type="dxa"/>
            <w:tcBorders>
              <w:top w:val="nil"/>
              <w:bottom w:val="nil"/>
            </w:tcBorders>
          </w:tcPr>
          <w:p w14:paraId="1808ABB9"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6±1</w:t>
            </w:r>
          </w:p>
        </w:tc>
        <w:tc>
          <w:tcPr>
            <w:tcW w:w="1510" w:type="dxa"/>
            <w:tcBorders>
              <w:top w:val="nil"/>
              <w:bottom w:val="nil"/>
            </w:tcBorders>
          </w:tcPr>
          <w:p w14:paraId="1FB09BF2"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3.5±0.6</w:t>
            </w:r>
          </w:p>
        </w:tc>
        <w:tc>
          <w:tcPr>
            <w:tcW w:w="1390" w:type="dxa"/>
            <w:tcBorders>
              <w:top w:val="nil"/>
              <w:bottom w:val="nil"/>
            </w:tcBorders>
          </w:tcPr>
          <w:p w14:paraId="555B4E2E"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1.4±0.3</w:t>
            </w:r>
          </w:p>
        </w:tc>
        <w:tc>
          <w:tcPr>
            <w:tcW w:w="1659" w:type="dxa"/>
            <w:tcBorders>
              <w:top w:val="nil"/>
              <w:bottom w:val="nil"/>
            </w:tcBorders>
          </w:tcPr>
          <w:p w14:paraId="2AD32E8D"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20±4</w:t>
            </w:r>
          </w:p>
        </w:tc>
        <w:tc>
          <w:tcPr>
            <w:tcW w:w="1179" w:type="dxa"/>
            <w:tcBorders>
              <w:top w:val="nil"/>
              <w:bottom w:val="nil"/>
            </w:tcBorders>
          </w:tcPr>
          <w:p w14:paraId="02ADAA06"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11±2</w:t>
            </w:r>
          </w:p>
        </w:tc>
      </w:tr>
      <w:tr w:rsidR="005C429C" w:rsidRPr="00993384" w14:paraId="767F5E4F" w14:textId="77777777" w:rsidTr="001E366F">
        <w:trPr>
          <w:jc w:val="center"/>
        </w:trPr>
        <w:tc>
          <w:tcPr>
            <w:tcW w:w="4032" w:type="dxa"/>
            <w:tcBorders>
              <w:top w:val="nil"/>
              <w:bottom w:val="nil"/>
            </w:tcBorders>
          </w:tcPr>
          <w:p w14:paraId="190280B8"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I(1,23-c,d)</w:t>
            </w:r>
          </w:p>
        </w:tc>
        <w:tc>
          <w:tcPr>
            <w:tcW w:w="1595" w:type="dxa"/>
            <w:tcBorders>
              <w:top w:val="nil"/>
              <w:bottom w:val="nil"/>
            </w:tcBorders>
          </w:tcPr>
          <w:p w14:paraId="1010D4DC"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0.6±0.1</w:t>
            </w:r>
          </w:p>
        </w:tc>
        <w:tc>
          <w:tcPr>
            <w:tcW w:w="1641" w:type="dxa"/>
            <w:tcBorders>
              <w:top w:val="nil"/>
              <w:bottom w:val="nil"/>
            </w:tcBorders>
          </w:tcPr>
          <w:p w14:paraId="70C2B05E"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8±1</w:t>
            </w:r>
          </w:p>
        </w:tc>
        <w:tc>
          <w:tcPr>
            <w:tcW w:w="1510" w:type="dxa"/>
            <w:tcBorders>
              <w:top w:val="nil"/>
              <w:bottom w:val="nil"/>
            </w:tcBorders>
          </w:tcPr>
          <w:p w14:paraId="77F50C0B"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4.9±0.8</w:t>
            </w:r>
          </w:p>
        </w:tc>
        <w:tc>
          <w:tcPr>
            <w:tcW w:w="1390" w:type="dxa"/>
            <w:tcBorders>
              <w:top w:val="nil"/>
              <w:bottom w:val="nil"/>
            </w:tcBorders>
          </w:tcPr>
          <w:p w14:paraId="0EDBF29E"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1.6±0.3</w:t>
            </w:r>
          </w:p>
        </w:tc>
        <w:tc>
          <w:tcPr>
            <w:tcW w:w="1659" w:type="dxa"/>
            <w:tcBorders>
              <w:top w:val="nil"/>
              <w:bottom w:val="nil"/>
            </w:tcBorders>
          </w:tcPr>
          <w:p w14:paraId="26F74B2D"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22±4</w:t>
            </w:r>
          </w:p>
        </w:tc>
        <w:tc>
          <w:tcPr>
            <w:tcW w:w="1179" w:type="dxa"/>
            <w:tcBorders>
              <w:top w:val="nil"/>
              <w:bottom w:val="nil"/>
            </w:tcBorders>
          </w:tcPr>
          <w:p w14:paraId="780BC487" w14:textId="77777777" w:rsidR="005C429C" w:rsidRPr="00993384" w:rsidRDefault="005C429C" w:rsidP="00993384">
            <w:pPr>
              <w:jc w:val="center"/>
              <w:rPr>
                <w:rFonts w:ascii="Arial" w:hAnsi="Arial" w:cs="Arial"/>
                <w:sz w:val="20"/>
                <w:szCs w:val="20"/>
                <w:lang w:val="en-GB"/>
              </w:rPr>
            </w:pPr>
            <w:r w:rsidRPr="00993384">
              <w:rPr>
                <w:rFonts w:ascii="Arial" w:hAnsi="Arial" w:cs="Arial"/>
                <w:sz w:val="20"/>
                <w:szCs w:val="20"/>
                <w:lang w:val="en-GB"/>
              </w:rPr>
              <w:t>12±2</w:t>
            </w:r>
          </w:p>
        </w:tc>
      </w:tr>
      <w:tr w:rsidR="005C429C" w:rsidRPr="00993384" w14:paraId="0C1571D1" w14:textId="77777777" w:rsidTr="001E366F">
        <w:trPr>
          <w:jc w:val="center"/>
        </w:trPr>
        <w:tc>
          <w:tcPr>
            <w:tcW w:w="4032" w:type="dxa"/>
            <w:tcBorders>
              <w:top w:val="single" w:sz="4" w:space="0" w:color="auto"/>
              <w:bottom w:val="single" w:sz="4" w:space="0" w:color="auto"/>
            </w:tcBorders>
          </w:tcPr>
          <w:p w14:paraId="0F51F2DD"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TEQ-</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(x 10</w:t>
            </w:r>
            <w:r w:rsidRPr="00993384">
              <w:rPr>
                <w:rFonts w:ascii="Arial" w:hAnsi="Arial" w:cs="Arial"/>
                <w:b/>
                <w:bCs/>
                <w:sz w:val="20"/>
                <w:szCs w:val="20"/>
                <w:vertAlign w:val="superscript"/>
                <w:lang w:val="fr-CI"/>
              </w:rPr>
              <w:t>-6</w:t>
            </w:r>
            <w:r w:rsidRPr="00993384">
              <w:rPr>
                <w:rFonts w:ascii="Arial" w:hAnsi="Arial" w:cs="Arial"/>
                <w:b/>
                <w:bCs/>
                <w:sz w:val="20"/>
                <w:szCs w:val="20"/>
                <w:lang w:val="fr-CI"/>
              </w:rPr>
              <w:t>) (µg/l)</w:t>
            </w:r>
          </w:p>
        </w:tc>
        <w:tc>
          <w:tcPr>
            <w:tcW w:w="1595" w:type="dxa"/>
            <w:tcBorders>
              <w:top w:val="single" w:sz="4" w:space="0" w:color="auto"/>
              <w:bottom w:val="single" w:sz="4" w:space="0" w:color="auto"/>
            </w:tcBorders>
          </w:tcPr>
          <w:p w14:paraId="55DECCFE"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1.3±0.2</w:t>
            </w:r>
          </w:p>
        </w:tc>
        <w:tc>
          <w:tcPr>
            <w:tcW w:w="1641" w:type="dxa"/>
            <w:tcBorders>
              <w:top w:val="single" w:sz="4" w:space="0" w:color="auto"/>
              <w:bottom w:val="single" w:sz="4" w:space="0" w:color="auto"/>
            </w:tcBorders>
          </w:tcPr>
          <w:p w14:paraId="5F6B1BC4"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18±2</w:t>
            </w:r>
          </w:p>
        </w:tc>
        <w:tc>
          <w:tcPr>
            <w:tcW w:w="1510" w:type="dxa"/>
            <w:tcBorders>
              <w:top w:val="single" w:sz="4" w:space="0" w:color="auto"/>
              <w:bottom w:val="single" w:sz="4" w:space="0" w:color="auto"/>
            </w:tcBorders>
          </w:tcPr>
          <w:p w14:paraId="2B1512D5"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1.0±0.2</w:t>
            </w:r>
          </w:p>
        </w:tc>
        <w:tc>
          <w:tcPr>
            <w:tcW w:w="1390" w:type="dxa"/>
            <w:tcBorders>
              <w:top w:val="single" w:sz="4" w:space="0" w:color="auto"/>
              <w:bottom w:val="single" w:sz="4" w:space="0" w:color="auto"/>
            </w:tcBorders>
          </w:tcPr>
          <w:p w14:paraId="62804D0B" w14:textId="77777777" w:rsidR="005C429C" w:rsidRPr="00993384" w:rsidRDefault="005C429C" w:rsidP="00993384">
            <w:pPr>
              <w:jc w:val="center"/>
              <w:rPr>
                <w:rFonts w:ascii="Arial" w:hAnsi="Arial" w:cs="Arial"/>
                <w:b/>
                <w:bCs/>
                <w:sz w:val="20"/>
                <w:szCs w:val="20"/>
                <w:lang w:val="en-GB"/>
              </w:rPr>
            </w:pPr>
          </w:p>
        </w:tc>
        <w:tc>
          <w:tcPr>
            <w:tcW w:w="1659" w:type="dxa"/>
            <w:tcBorders>
              <w:top w:val="single" w:sz="4" w:space="0" w:color="auto"/>
              <w:bottom w:val="single" w:sz="4" w:space="0" w:color="auto"/>
            </w:tcBorders>
          </w:tcPr>
          <w:p w14:paraId="6F188CC3" w14:textId="77777777" w:rsidR="005C429C" w:rsidRPr="00993384" w:rsidRDefault="005C429C" w:rsidP="00993384">
            <w:pPr>
              <w:jc w:val="center"/>
              <w:rPr>
                <w:rFonts w:ascii="Arial" w:hAnsi="Arial" w:cs="Arial"/>
                <w:b/>
                <w:bCs/>
                <w:sz w:val="20"/>
                <w:szCs w:val="20"/>
                <w:lang w:val="en-GB"/>
              </w:rPr>
            </w:pPr>
          </w:p>
        </w:tc>
        <w:tc>
          <w:tcPr>
            <w:tcW w:w="1179" w:type="dxa"/>
            <w:tcBorders>
              <w:top w:val="single" w:sz="4" w:space="0" w:color="auto"/>
              <w:bottom w:val="single" w:sz="4" w:space="0" w:color="auto"/>
            </w:tcBorders>
          </w:tcPr>
          <w:p w14:paraId="1BDD1904" w14:textId="77777777" w:rsidR="005C429C" w:rsidRPr="00993384" w:rsidRDefault="005C429C" w:rsidP="00993384">
            <w:pPr>
              <w:jc w:val="center"/>
              <w:rPr>
                <w:rFonts w:ascii="Arial" w:hAnsi="Arial" w:cs="Arial"/>
                <w:b/>
                <w:bCs/>
                <w:sz w:val="20"/>
                <w:szCs w:val="20"/>
                <w:lang w:val="en-GB"/>
              </w:rPr>
            </w:pPr>
          </w:p>
        </w:tc>
      </w:tr>
      <w:tr w:rsidR="005C429C" w:rsidRPr="00993384" w14:paraId="1CCA783F" w14:textId="77777777" w:rsidTr="001E366F">
        <w:trPr>
          <w:jc w:val="center"/>
        </w:trPr>
        <w:tc>
          <w:tcPr>
            <w:tcW w:w="4032" w:type="dxa"/>
            <w:tcBorders>
              <w:top w:val="single" w:sz="4" w:space="0" w:color="auto"/>
              <w:bottom w:val="single" w:sz="4" w:space="0" w:color="auto"/>
            </w:tcBorders>
          </w:tcPr>
          <w:p w14:paraId="2DBC1DB8"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RI-</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(TEQ) (x 10</w:t>
            </w:r>
            <w:r w:rsidRPr="00993384">
              <w:rPr>
                <w:rFonts w:ascii="Arial" w:hAnsi="Arial" w:cs="Arial"/>
                <w:b/>
                <w:bCs/>
                <w:sz w:val="20"/>
                <w:szCs w:val="20"/>
                <w:vertAlign w:val="superscript"/>
                <w:lang w:val="fr-CI"/>
              </w:rPr>
              <w:t>-5</w:t>
            </w:r>
            <w:r w:rsidRPr="00993384">
              <w:rPr>
                <w:rFonts w:ascii="Arial" w:hAnsi="Arial" w:cs="Arial"/>
                <w:b/>
                <w:bCs/>
                <w:sz w:val="20"/>
                <w:szCs w:val="20"/>
                <w:lang w:val="fr-CI"/>
              </w:rPr>
              <w:t>) (µg/l)</w:t>
            </w:r>
          </w:p>
        </w:tc>
        <w:tc>
          <w:tcPr>
            <w:tcW w:w="1595" w:type="dxa"/>
            <w:tcBorders>
              <w:top w:val="single" w:sz="4" w:space="0" w:color="auto"/>
              <w:bottom w:val="single" w:sz="4" w:space="0" w:color="auto"/>
            </w:tcBorders>
          </w:tcPr>
          <w:p w14:paraId="24CCD790"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3.3±0.5</w:t>
            </w:r>
          </w:p>
        </w:tc>
        <w:tc>
          <w:tcPr>
            <w:tcW w:w="1641" w:type="dxa"/>
            <w:tcBorders>
              <w:top w:val="single" w:sz="4" w:space="0" w:color="auto"/>
              <w:bottom w:val="single" w:sz="4" w:space="0" w:color="auto"/>
            </w:tcBorders>
          </w:tcPr>
          <w:p w14:paraId="6176803C"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45±7</w:t>
            </w:r>
          </w:p>
        </w:tc>
        <w:tc>
          <w:tcPr>
            <w:tcW w:w="1510" w:type="dxa"/>
            <w:tcBorders>
              <w:top w:val="single" w:sz="4" w:space="0" w:color="auto"/>
              <w:bottom w:val="single" w:sz="4" w:space="0" w:color="auto"/>
            </w:tcBorders>
          </w:tcPr>
          <w:p w14:paraId="1A225E3B"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25±4</w:t>
            </w:r>
          </w:p>
        </w:tc>
        <w:tc>
          <w:tcPr>
            <w:tcW w:w="1390" w:type="dxa"/>
            <w:tcBorders>
              <w:top w:val="single" w:sz="4" w:space="0" w:color="auto"/>
              <w:bottom w:val="single" w:sz="4" w:space="0" w:color="auto"/>
            </w:tcBorders>
          </w:tcPr>
          <w:p w14:paraId="3385CE82" w14:textId="77777777" w:rsidR="005C429C" w:rsidRPr="00993384" w:rsidRDefault="005C429C" w:rsidP="00993384">
            <w:pPr>
              <w:jc w:val="center"/>
              <w:rPr>
                <w:rFonts w:ascii="Arial" w:hAnsi="Arial" w:cs="Arial"/>
                <w:b/>
                <w:bCs/>
                <w:sz w:val="20"/>
                <w:szCs w:val="20"/>
                <w:lang w:val="en-GB"/>
              </w:rPr>
            </w:pPr>
          </w:p>
        </w:tc>
        <w:tc>
          <w:tcPr>
            <w:tcW w:w="1659" w:type="dxa"/>
            <w:tcBorders>
              <w:top w:val="single" w:sz="4" w:space="0" w:color="auto"/>
              <w:bottom w:val="single" w:sz="4" w:space="0" w:color="auto"/>
            </w:tcBorders>
          </w:tcPr>
          <w:p w14:paraId="2F50193C" w14:textId="77777777" w:rsidR="005C429C" w:rsidRPr="00993384" w:rsidRDefault="005C429C" w:rsidP="00993384">
            <w:pPr>
              <w:jc w:val="center"/>
              <w:rPr>
                <w:rFonts w:ascii="Arial" w:hAnsi="Arial" w:cs="Arial"/>
                <w:b/>
                <w:bCs/>
                <w:sz w:val="20"/>
                <w:szCs w:val="20"/>
                <w:lang w:val="en-GB"/>
              </w:rPr>
            </w:pPr>
          </w:p>
        </w:tc>
        <w:tc>
          <w:tcPr>
            <w:tcW w:w="1179" w:type="dxa"/>
            <w:tcBorders>
              <w:top w:val="single" w:sz="4" w:space="0" w:color="auto"/>
              <w:bottom w:val="single" w:sz="4" w:space="0" w:color="auto"/>
            </w:tcBorders>
          </w:tcPr>
          <w:p w14:paraId="2EE4DBA1" w14:textId="77777777" w:rsidR="005C429C" w:rsidRPr="00993384" w:rsidRDefault="005C429C" w:rsidP="00993384">
            <w:pPr>
              <w:jc w:val="center"/>
              <w:rPr>
                <w:rFonts w:ascii="Arial" w:hAnsi="Arial" w:cs="Arial"/>
                <w:b/>
                <w:bCs/>
                <w:sz w:val="20"/>
                <w:szCs w:val="20"/>
                <w:lang w:val="en-GB"/>
              </w:rPr>
            </w:pPr>
          </w:p>
        </w:tc>
      </w:tr>
      <w:tr w:rsidR="005C429C" w:rsidRPr="00993384" w14:paraId="01510C01" w14:textId="77777777" w:rsidTr="001E366F">
        <w:trPr>
          <w:jc w:val="center"/>
        </w:trPr>
        <w:tc>
          <w:tcPr>
            <w:tcW w:w="4032" w:type="dxa"/>
            <w:tcBorders>
              <w:top w:val="single" w:sz="4" w:space="0" w:color="auto"/>
              <w:bottom w:val="single" w:sz="4" w:space="0" w:color="auto"/>
            </w:tcBorders>
          </w:tcPr>
          <w:p w14:paraId="1E73CAAD"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MEQ-</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(x 10</w:t>
            </w:r>
            <w:r w:rsidRPr="00993384">
              <w:rPr>
                <w:rFonts w:ascii="Arial" w:hAnsi="Arial" w:cs="Arial"/>
                <w:b/>
                <w:bCs/>
                <w:sz w:val="20"/>
                <w:szCs w:val="20"/>
                <w:vertAlign w:val="superscript"/>
                <w:lang w:val="fr-CI"/>
              </w:rPr>
              <w:t>-7</w:t>
            </w:r>
            <w:r w:rsidRPr="00993384">
              <w:rPr>
                <w:rFonts w:ascii="Arial" w:hAnsi="Arial" w:cs="Arial"/>
                <w:b/>
                <w:bCs/>
                <w:sz w:val="20"/>
                <w:szCs w:val="20"/>
                <w:lang w:val="fr-CI"/>
              </w:rPr>
              <w:t>) (µg/l)</w:t>
            </w:r>
          </w:p>
        </w:tc>
        <w:tc>
          <w:tcPr>
            <w:tcW w:w="1595" w:type="dxa"/>
            <w:tcBorders>
              <w:top w:val="single" w:sz="4" w:space="0" w:color="auto"/>
              <w:bottom w:val="nil"/>
            </w:tcBorders>
          </w:tcPr>
          <w:p w14:paraId="5B3314C1" w14:textId="77777777" w:rsidR="005C429C" w:rsidRPr="00993384" w:rsidRDefault="005C429C" w:rsidP="00993384">
            <w:pPr>
              <w:jc w:val="center"/>
              <w:rPr>
                <w:rFonts w:ascii="Arial" w:hAnsi="Arial" w:cs="Arial"/>
                <w:b/>
                <w:bCs/>
                <w:sz w:val="20"/>
                <w:szCs w:val="20"/>
                <w:lang w:val="fr-CI"/>
              </w:rPr>
            </w:pPr>
          </w:p>
        </w:tc>
        <w:tc>
          <w:tcPr>
            <w:tcW w:w="1641" w:type="dxa"/>
            <w:tcBorders>
              <w:top w:val="single" w:sz="4" w:space="0" w:color="auto"/>
              <w:bottom w:val="nil"/>
            </w:tcBorders>
          </w:tcPr>
          <w:p w14:paraId="51B01C02" w14:textId="77777777" w:rsidR="005C429C" w:rsidRPr="00993384" w:rsidRDefault="005C429C" w:rsidP="00993384">
            <w:pPr>
              <w:jc w:val="center"/>
              <w:rPr>
                <w:rFonts w:ascii="Arial" w:hAnsi="Arial" w:cs="Arial"/>
                <w:b/>
                <w:bCs/>
                <w:sz w:val="20"/>
                <w:szCs w:val="20"/>
                <w:lang w:val="fr-CI"/>
              </w:rPr>
            </w:pPr>
          </w:p>
        </w:tc>
        <w:tc>
          <w:tcPr>
            <w:tcW w:w="1510" w:type="dxa"/>
            <w:tcBorders>
              <w:top w:val="single" w:sz="4" w:space="0" w:color="auto"/>
              <w:bottom w:val="nil"/>
            </w:tcBorders>
          </w:tcPr>
          <w:p w14:paraId="6C2F6824" w14:textId="77777777" w:rsidR="005C429C" w:rsidRPr="00993384" w:rsidRDefault="005C429C" w:rsidP="00993384">
            <w:pPr>
              <w:jc w:val="center"/>
              <w:rPr>
                <w:rFonts w:ascii="Arial" w:hAnsi="Arial" w:cs="Arial"/>
                <w:b/>
                <w:bCs/>
                <w:sz w:val="20"/>
                <w:szCs w:val="20"/>
                <w:lang w:val="fr-CI"/>
              </w:rPr>
            </w:pPr>
          </w:p>
        </w:tc>
        <w:tc>
          <w:tcPr>
            <w:tcW w:w="1390" w:type="dxa"/>
            <w:tcBorders>
              <w:top w:val="single" w:sz="4" w:space="0" w:color="auto"/>
              <w:bottom w:val="single" w:sz="4" w:space="0" w:color="auto"/>
            </w:tcBorders>
          </w:tcPr>
          <w:p w14:paraId="71BB3119"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15±2</w:t>
            </w:r>
          </w:p>
        </w:tc>
        <w:tc>
          <w:tcPr>
            <w:tcW w:w="1659" w:type="dxa"/>
            <w:tcBorders>
              <w:top w:val="single" w:sz="4" w:space="0" w:color="auto"/>
              <w:bottom w:val="single" w:sz="4" w:space="0" w:color="auto"/>
            </w:tcBorders>
          </w:tcPr>
          <w:p w14:paraId="35578E62"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208±31</w:t>
            </w:r>
          </w:p>
        </w:tc>
        <w:tc>
          <w:tcPr>
            <w:tcW w:w="1179" w:type="dxa"/>
            <w:tcBorders>
              <w:top w:val="single" w:sz="4" w:space="0" w:color="auto"/>
              <w:bottom w:val="single" w:sz="4" w:space="0" w:color="auto"/>
            </w:tcBorders>
          </w:tcPr>
          <w:p w14:paraId="7AFE1AA4"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117±18</w:t>
            </w:r>
          </w:p>
        </w:tc>
      </w:tr>
      <w:tr w:rsidR="005C429C" w:rsidRPr="00993384" w14:paraId="7D53D82D" w14:textId="77777777" w:rsidTr="001E366F">
        <w:trPr>
          <w:jc w:val="center"/>
        </w:trPr>
        <w:tc>
          <w:tcPr>
            <w:tcW w:w="4032" w:type="dxa"/>
            <w:tcBorders>
              <w:top w:val="single" w:sz="4" w:space="0" w:color="auto"/>
              <w:bottom w:val="single" w:sz="4" w:space="0" w:color="auto"/>
            </w:tcBorders>
          </w:tcPr>
          <w:p w14:paraId="1D4630BF" w14:textId="77777777" w:rsidR="005C429C" w:rsidRPr="00993384" w:rsidRDefault="005C429C" w:rsidP="00993384">
            <w:pPr>
              <w:jc w:val="center"/>
              <w:rPr>
                <w:rFonts w:ascii="Arial" w:hAnsi="Arial" w:cs="Arial"/>
                <w:b/>
                <w:bCs/>
                <w:sz w:val="20"/>
                <w:szCs w:val="20"/>
                <w:lang w:val="fr-CI"/>
              </w:rPr>
            </w:pPr>
            <w:r w:rsidRPr="00993384">
              <w:rPr>
                <w:rFonts w:ascii="Arial" w:hAnsi="Arial" w:cs="Arial"/>
                <w:b/>
                <w:bCs/>
                <w:sz w:val="20"/>
                <w:szCs w:val="20"/>
                <w:lang w:val="fr-CI"/>
              </w:rPr>
              <w:t>RI-</w:t>
            </w:r>
            <w:proofErr w:type="spellStart"/>
            <w:r w:rsidRPr="00993384">
              <w:rPr>
                <w:rFonts w:ascii="Arial" w:hAnsi="Arial" w:cs="Arial"/>
                <w:b/>
                <w:bCs/>
                <w:sz w:val="20"/>
                <w:szCs w:val="20"/>
                <w:lang w:val="fr-CI"/>
              </w:rPr>
              <w:t>BaP</w:t>
            </w:r>
            <w:proofErr w:type="spellEnd"/>
            <w:r w:rsidRPr="00993384">
              <w:rPr>
                <w:rFonts w:ascii="Arial" w:hAnsi="Arial" w:cs="Arial"/>
                <w:b/>
                <w:bCs/>
                <w:sz w:val="20"/>
                <w:szCs w:val="20"/>
                <w:lang w:val="fr-CI"/>
              </w:rPr>
              <w:t xml:space="preserve"> dose (MEQ) (x 10</w:t>
            </w:r>
            <w:r w:rsidRPr="00993384">
              <w:rPr>
                <w:rFonts w:ascii="Arial" w:hAnsi="Arial" w:cs="Arial"/>
                <w:b/>
                <w:bCs/>
                <w:sz w:val="20"/>
                <w:szCs w:val="20"/>
                <w:vertAlign w:val="superscript"/>
                <w:lang w:val="fr-CI"/>
              </w:rPr>
              <w:t>-5</w:t>
            </w:r>
            <w:r w:rsidRPr="00993384">
              <w:rPr>
                <w:rFonts w:ascii="Arial" w:hAnsi="Arial" w:cs="Arial"/>
                <w:b/>
                <w:bCs/>
                <w:sz w:val="20"/>
                <w:szCs w:val="20"/>
                <w:lang w:val="fr-CI"/>
              </w:rPr>
              <w:t>) (µg/l)</w:t>
            </w:r>
          </w:p>
        </w:tc>
        <w:tc>
          <w:tcPr>
            <w:tcW w:w="1595" w:type="dxa"/>
            <w:tcBorders>
              <w:top w:val="nil"/>
              <w:bottom w:val="single" w:sz="4" w:space="0" w:color="auto"/>
            </w:tcBorders>
          </w:tcPr>
          <w:p w14:paraId="28C8D393" w14:textId="77777777" w:rsidR="005C429C" w:rsidRPr="00993384" w:rsidRDefault="005C429C" w:rsidP="00993384">
            <w:pPr>
              <w:jc w:val="center"/>
              <w:rPr>
                <w:rFonts w:ascii="Arial" w:hAnsi="Arial" w:cs="Arial"/>
                <w:b/>
                <w:bCs/>
                <w:sz w:val="20"/>
                <w:szCs w:val="20"/>
                <w:lang w:val="fr-CI"/>
              </w:rPr>
            </w:pPr>
          </w:p>
        </w:tc>
        <w:tc>
          <w:tcPr>
            <w:tcW w:w="1641" w:type="dxa"/>
            <w:tcBorders>
              <w:top w:val="nil"/>
              <w:bottom w:val="single" w:sz="4" w:space="0" w:color="auto"/>
            </w:tcBorders>
          </w:tcPr>
          <w:p w14:paraId="3B69789F" w14:textId="77777777" w:rsidR="005C429C" w:rsidRPr="00993384" w:rsidRDefault="005C429C" w:rsidP="00993384">
            <w:pPr>
              <w:jc w:val="center"/>
              <w:rPr>
                <w:rFonts w:ascii="Arial" w:hAnsi="Arial" w:cs="Arial"/>
                <w:b/>
                <w:bCs/>
                <w:sz w:val="20"/>
                <w:szCs w:val="20"/>
                <w:lang w:val="fr-CI"/>
              </w:rPr>
            </w:pPr>
          </w:p>
        </w:tc>
        <w:tc>
          <w:tcPr>
            <w:tcW w:w="1510" w:type="dxa"/>
            <w:tcBorders>
              <w:top w:val="nil"/>
              <w:bottom w:val="single" w:sz="4" w:space="0" w:color="auto"/>
            </w:tcBorders>
          </w:tcPr>
          <w:p w14:paraId="58452F29" w14:textId="77777777" w:rsidR="005C429C" w:rsidRPr="00993384" w:rsidRDefault="005C429C" w:rsidP="00993384">
            <w:pPr>
              <w:jc w:val="center"/>
              <w:rPr>
                <w:rFonts w:ascii="Arial" w:hAnsi="Arial" w:cs="Arial"/>
                <w:b/>
                <w:bCs/>
                <w:sz w:val="20"/>
                <w:szCs w:val="20"/>
                <w:lang w:val="fr-CI"/>
              </w:rPr>
            </w:pPr>
          </w:p>
        </w:tc>
        <w:tc>
          <w:tcPr>
            <w:tcW w:w="1390" w:type="dxa"/>
            <w:tcBorders>
              <w:top w:val="single" w:sz="4" w:space="0" w:color="auto"/>
              <w:bottom w:val="single" w:sz="4" w:space="0" w:color="auto"/>
            </w:tcBorders>
          </w:tcPr>
          <w:p w14:paraId="712F0D4F"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3.8±0.5</w:t>
            </w:r>
          </w:p>
        </w:tc>
        <w:tc>
          <w:tcPr>
            <w:tcW w:w="1659" w:type="dxa"/>
            <w:tcBorders>
              <w:top w:val="single" w:sz="4" w:space="0" w:color="auto"/>
              <w:bottom w:val="single" w:sz="4" w:space="0" w:color="auto"/>
            </w:tcBorders>
          </w:tcPr>
          <w:p w14:paraId="351E929A"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51±8</w:t>
            </w:r>
          </w:p>
        </w:tc>
        <w:tc>
          <w:tcPr>
            <w:tcW w:w="1179" w:type="dxa"/>
            <w:tcBorders>
              <w:top w:val="single" w:sz="4" w:space="0" w:color="auto"/>
              <w:bottom w:val="single" w:sz="4" w:space="0" w:color="auto"/>
            </w:tcBorders>
          </w:tcPr>
          <w:p w14:paraId="70EADE02" w14:textId="77777777" w:rsidR="005C429C" w:rsidRPr="00993384" w:rsidRDefault="005C429C" w:rsidP="00993384">
            <w:pPr>
              <w:jc w:val="center"/>
              <w:rPr>
                <w:rFonts w:ascii="Arial" w:hAnsi="Arial" w:cs="Arial"/>
                <w:b/>
                <w:bCs/>
                <w:sz w:val="20"/>
                <w:szCs w:val="20"/>
                <w:lang w:val="en-GB"/>
              </w:rPr>
            </w:pPr>
            <w:r w:rsidRPr="00993384">
              <w:rPr>
                <w:rFonts w:ascii="Arial" w:hAnsi="Arial" w:cs="Arial"/>
                <w:b/>
                <w:bCs/>
                <w:sz w:val="20"/>
                <w:szCs w:val="20"/>
                <w:lang w:val="en-GB"/>
              </w:rPr>
              <w:t>29±4</w:t>
            </w:r>
          </w:p>
        </w:tc>
      </w:tr>
    </w:tbl>
    <w:p w14:paraId="14993474" w14:textId="77777777" w:rsidR="005C429C" w:rsidRPr="001239F2" w:rsidRDefault="005C429C" w:rsidP="005C429C">
      <w:pPr>
        <w:spacing w:line="360" w:lineRule="auto"/>
        <w:jc w:val="center"/>
        <w:rPr>
          <w:rFonts w:ascii="Times New Roman" w:hAnsi="Times New Roman"/>
          <w:sz w:val="24"/>
          <w:szCs w:val="24"/>
          <w:lang w:val="en-GB"/>
        </w:rPr>
      </w:pPr>
    </w:p>
    <w:p w14:paraId="547E1497" w14:textId="77777777" w:rsidR="005C429C" w:rsidRPr="001239F2" w:rsidRDefault="005C429C" w:rsidP="005C429C">
      <w:pPr>
        <w:spacing w:line="360" w:lineRule="auto"/>
        <w:rPr>
          <w:rFonts w:ascii="Times New Roman" w:hAnsi="Times New Roman"/>
          <w:sz w:val="24"/>
          <w:szCs w:val="24"/>
          <w:lang w:val="en-GB"/>
        </w:rPr>
      </w:pPr>
    </w:p>
    <w:p w14:paraId="03E8C584" w14:textId="77777777" w:rsidR="005C429C" w:rsidRPr="001239F2" w:rsidRDefault="005C429C" w:rsidP="005C429C">
      <w:pPr>
        <w:spacing w:line="360" w:lineRule="auto"/>
        <w:rPr>
          <w:rFonts w:ascii="Times New Roman" w:hAnsi="Times New Roman"/>
          <w:sz w:val="24"/>
          <w:szCs w:val="24"/>
          <w:lang w:val="en-GB"/>
        </w:rPr>
      </w:pPr>
    </w:p>
    <w:p w14:paraId="13EE1892" w14:textId="77777777" w:rsidR="005C429C" w:rsidRPr="001239F2" w:rsidRDefault="005C429C" w:rsidP="005C429C">
      <w:pPr>
        <w:spacing w:line="360" w:lineRule="auto"/>
        <w:rPr>
          <w:rFonts w:ascii="Times New Roman" w:hAnsi="Times New Roman"/>
          <w:sz w:val="24"/>
          <w:szCs w:val="24"/>
          <w:lang w:val="en-GB"/>
        </w:rPr>
      </w:pPr>
    </w:p>
    <w:p w14:paraId="303154AF" w14:textId="77777777" w:rsidR="005C429C" w:rsidRPr="001239F2" w:rsidRDefault="005C429C" w:rsidP="005C429C">
      <w:pPr>
        <w:spacing w:line="360" w:lineRule="auto"/>
        <w:rPr>
          <w:rFonts w:ascii="Times New Roman" w:hAnsi="Times New Roman"/>
          <w:sz w:val="24"/>
          <w:szCs w:val="24"/>
          <w:lang w:val="en-GB"/>
        </w:rPr>
        <w:sectPr w:rsidR="005C429C" w:rsidRPr="001239F2" w:rsidSect="00D720AB">
          <w:pgSz w:w="15840" w:h="12240" w:orient="landscape"/>
          <w:pgMar w:top="1417" w:right="1417" w:bottom="1417" w:left="1417" w:header="708" w:footer="708" w:gutter="0"/>
          <w:cols w:space="708"/>
          <w:docGrid w:linePitch="360"/>
        </w:sectPr>
      </w:pPr>
    </w:p>
    <w:p w14:paraId="6F8A8787" w14:textId="0F023844" w:rsidR="005C429C" w:rsidRPr="0038596A" w:rsidRDefault="00993384" w:rsidP="0038596A">
      <w:pPr>
        <w:rPr>
          <w:rFonts w:ascii="Arial" w:hAnsi="Arial" w:cs="Arial"/>
          <w:i/>
          <w:iCs/>
          <w:lang w:val="en-GB"/>
        </w:rPr>
      </w:pPr>
      <w:r w:rsidRPr="0038596A">
        <w:rPr>
          <w:rFonts w:ascii="Arial" w:hAnsi="Arial" w:cs="Arial"/>
          <w:i/>
          <w:iCs/>
          <w:lang w:val="en-GB"/>
        </w:rPr>
        <w:lastRenderedPageBreak/>
        <w:t xml:space="preserve">3.1.5.3. </w:t>
      </w:r>
      <w:r w:rsidR="005C429C" w:rsidRPr="0038596A">
        <w:rPr>
          <w:rFonts w:ascii="Arial" w:hAnsi="Arial" w:cs="Arial"/>
          <w:i/>
          <w:iCs/>
          <w:lang w:val="en-GB"/>
        </w:rPr>
        <w:t>Lifetime carcinogenic risks</w:t>
      </w:r>
    </w:p>
    <w:p w14:paraId="307E2A99" w14:textId="07B2D733" w:rsidR="005C429C" w:rsidRPr="0038596A" w:rsidRDefault="005C429C" w:rsidP="0038596A">
      <w:pPr>
        <w:jc w:val="both"/>
        <w:rPr>
          <w:rFonts w:ascii="Arial" w:hAnsi="Arial" w:cs="Arial"/>
          <w:lang w:val="en-GB"/>
        </w:rPr>
      </w:pPr>
      <w:r w:rsidRPr="0038596A">
        <w:rPr>
          <w:rFonts w:ascii="Arial" w:hAnsi="Arial" w:cs="Arial"/>
          <w:lang w:val="en-GB"/>
        </w:rPr>
        <w:t xml:space="preserve">For child, ACPT, ATC, FLR, NPT, PNT, and PYR presented very low lifetime carcinogenic risks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vertAlign w:val="subscript"/>
          <w:lang w:val="en-GB"/>
        </w:rPr>
        <w:t xml:space="preserve"> </w:t>
      </w:r>
      <w:r w:rsidRPr="0038596A">
        <w:rPr>
          <w:rFonts w:ascii="Arial" w:hAnsi="Arial" w:cs="Arial"/>
          <w:lang w:val="en-GB"/>
        </w:rPr>
        <w:t>values &lt; 10</w:t>
      </w:r>
      <w:r w:rsidRPr="0038596A">
        <w:rPr>
          <w:rFonts w:ascii="Arial" w:hAnsi="Arial" w:cs="Arial"/>
          <w:vertAlign w:val="superscript"/>
          <w:lang w:val="en-GB"/>
        </w:rPr>
        <w:t>−6</w:t>
      </w:r>
      <w:r w:rsidRPr="0038596A">
        <w:rPr>
          <w:rFonts w:ascii="Arial" w:hAnsi="Arial" w:cs="Arial"/>
          <w:lang w:val="en-GB"/>
        </w:rPr>
        <w:t xml:space="preserve">). In contrast, risks associated with </w:t>
      </w:r>
      <w:proofErr w:type="spellStart"/>
      <w:r w:rsidRPr="0038596A">
        <w:rPr>
          <w:rFonts w:ascii="Arial" w:hAnsi="Arial" w:cs="Arial"/>
          <w:lang w:val="en-GB"/>
        </w:rPr>
        <w:t>BaA</w:t>
      </w:r>
      <w:proofErr w:type="spellEnd"/>
      <w:r w:rsidRPr="0038596A">
        <w:rPr>
          <w:rFonts w:ascii="Arial" w:hAnsi="Arial" w:cs="Arial"/>
          <w:lang w:val="en-GB"/>
        </w:rPr>
        <w:t>, FLRT, and I(1,2,3-</w:t>
      </w:r>
      <w:proofErr w:type="gramStart"/>
      <w:r w:rsidRPr="0038596A">
        <w:rPr>
          <w:rFonts w:ascii="Arial" w:hAnsi="Arial" w:cs="Arial"/>
          <w:lang w:val="en-GB"/>
        </w:rPr>
        <w:t>c,d</w:t>
      </w:r>
      <w:proofErr w:type="gramEnd"/>
      <w:r w:rsidRPr="0038596A">
        <w:rPr>
          <w:rFonts w:ascii="Arial" w:hAnsi="Arial" w:cs="Arial"/>
          <w:lang w:val="en-GB"/>
        </w:rPr>
        <w:t xml:space="preserve">)P were moderate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w:t>
      </w:r>
      <w:r w:rsidRPr="0038596A">
        <w:rPr>
          <w:rFonts w:ascii="Arial" w:hAnsi="Arial" w:cs="Arial"/>
          <w:vertAlign w:val="superscript"/>
          <w:lang w:val="en-GB"/>
        </w:rPr>
        <w:t>−4</w:t>
      </w:r>
      <w:r w:rsidRPr="0038596A">
        <w:rPr>
          <w:rFonts w:ascii="Arial" w:hAnsi="Arial" w:cs="Arial"/>
          <w:lang w:val="en-GB"/>
        </w:rPr>
        <w:t xml:space="preserve"> and 10</w:t>
      </w:r>
      <w:r w:rsidRPr="0038596A">
        <w:rPr>
          <w:rFonts w:ascii="Arial" w:hAnsi="Arial" w:cs="Arial"/>
          <w:vertAlign w:val="superscript"/>
          <w:lang w:val="en-GB"/>
        </w:rPr>
        <w:t>−3</w:t>
      </w:r>
      <w:r w:rsidRPr="0038596A">
        <w:rPr>
          <w:rFonts w:ascii="Arial" w:hAnsi="Arial" w:cs="Arial"/>
          <w:lang w:val="en-GB"/>
        </w:rPr>
        <w:t xml:space="preserve">), while those linked to </w:t>
      </w:r>
      <w:proofErr w:type="spellStart"/>
      <w:r w:rsidRPr="0038596A">
        <w:rPr>
          <w:rFonts w:ascii="Arial" w:hAnsi="Arial" w:cs="Arial"/>
          <w:lang w:val="en-GB"/>
        </w:rPr>
        <w:t>BaP</w:t>
      </w:r>
      <w:proofErr w:type="spellEnd"/>
      <w:r w:rsidRPr="0038596A">
        <w:rPr>
          <w:rFonts w:ascii="Arial" w:hAnsi="Arial" w:cs="Arial"/>
          <w:lang w:val="en-GB"/>
        </w:rPr>
        <w:t xml:space="preserve"> and </w:t>
      </w:r>
      <w:proofErr w:type="spellStart"/>
      <w:r w:rsidRPr="0038596A">
        <w:rPr>
          <w:rFonts w:ascii="Arial" w:hAnsi="Arial" w:cs="Arial"/>
          <w:lang w:val="en-GB"/>
        </w:rPr>
        <w:t>BbF</w:t>
      </w:r>
      <w:proofErr w:type="spellEnd"/>
      <w:r w:rsidRPr="0038596A">
        <w:rPr>
          <w:rFonts w:ascii="Arial" w:hAnsi="Arial" w:cs="Arial"/>
          <w:lang w:val="en-GB"/>
        </w:rPr>
        <w:t xml:space="preserve"> were high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10−3 and 10−1). This finding is confirmed by Student's t-test (</w:t>
      </w:r>
      <w:r w:rsidRPr="0038596A">
        <w:rPr>
          <w:rFonts w:ascii="Arial" w:hAnsi="Arial" w:cs="Arial"/>
          <w:i/>
          <w:iCs/>
          <w:lang w:val="en-GB"/>
        </w:rPr>
        <w:t>p</w:t>
      </w:r>
      <w:r w:rsidRPr="0038596A">
        <w:rPr>
          <w:rFonts w:ascii="Arial" w:hAnsi="Arial" w:cs="Arial"/>
          <w:lang w:val="en-GB"/>
        </w:rPr>
        <w:t xml:space="preserve"> &lt;0.05). Regarding adults engaged in fishing and market gardening in and around these waters, the carcinogenic risks associated with ACPT, ATC, FLR, FLRT, PNT, and PYR were very low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&lt;10</w:t>
      </w:r>
      <w:r w:rsidRPr="0038596A">
        <w:rPr>
          <w:rFonts w:ascii="Arial" w:hAnsi="Arial" w:cs="Arial"/>
          <w:vertAlign w:val="superscript"/>
          <w:lang w:val="en-GB"/>
        </w:rPr>
        <w:t>−6</w:t>
      </w:r>
      <w:r w:rsidRPr="0038596A">
        <w:rPr>
          <w:rFonts w:ascii="Arial" w:hAnsi="Arial" w:cs="Arial"/>
          <w:lang w:val="en-GB"/>
        </w:rPr>
        <w:t xml:space="preserve">). Those related to </w:t>
      </w:r>
      <w:proofErr w:type="spellStart"/>
      <w:r w:rsidRPr="0038596A">
        <w:rPr>
          <w:rFonts w:ascii="Arial" w:hAnsi="Arial" w:cs="Arial"/>
          <w:lang w:val="en-GB"/>
        </w:rPr>
        <w:t>BaA</w:t>
      </w:r>
      <w:proofErr w:type="spellEnd"/>
      <w:r w:rsidRPr="0038596A">
        <w:rPr>
          <w:rFonts w:ascii="Arial" w:hAnsi="Arial" w:cs="Arial"/>
          <w:lang w:val="en-GB"/>
        </w:rPr>
        <w:t xml:space="preserve"> and PNT were moderate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xml:space="preserve">), whereas risks due to </w:t>
      </w:r>
      <w:proofErr w:type="spellStart"/>
      <w:r w:rsidRPr="0038596A">
        <w:rPr>
          <w:rFonts w:ascii="Arial" w:hAnsi="Arial" w:cs="Arial"/>
          <w:lang w:val="en-GB"/>
        </w:rPr>
        <w:t>BaP</w:t>
      </w:r>
      <w:proofErr w:type="spellEnd"/>
      <w:r w:rsidRPr="0038596A">
        <w:rPr>
          <w:rFonts w:ascii="Arial" w:hAnsi="Arial" w:cs="Arial"/>
          <w:lang w:val="en-GB"/>
        </w:rPr>
        <w:t xml:space="preserve">, </w:t>
      </w:r>
      <w:proofErr w:type="spellStart"/>
      <w:r w:rsidRPr="0038596A">
        <w:rPr>
          <w:rFonts w:ascii="Arial" w:hAnsi="Arial" w:cs="Arial"/>
          <w:lang w:val="en-GB"/>
        </w:rPr>
        <w:t>BbF</w:t>
      </w:r>
      <w:proofErr w:type="spellEnd"/>
      <w:r w:rsidRPr="0038596A">
        <w:rPr>
          <w:rFonts w:ascii="Arial" w:hAnsi="Arial" w:cs="Arial"/>
          <w:lang w:val="en-GB"/>
        </w:rPr>
        <w:t>, and I-(1,2,3-</w:t>
      </w:r>
      <w:proofErr w:type="gramStart"/>
      <w:r w:rsidRPr="0038596A">
        <w:rPr>
          <w:rFonts w:ascii="Arial" w:hAnsi="Arial" w:cs="Arial"/>
          <w:lang w:val="en-GB"/>
        </w:rPr>
        <w:t>c,d</w:t>
      </w:r>
      <w:proofErr w:type="gramEnd"/>
      <w:r w:rsidRPr="0038596A">
        <w:rPr>
          <w:rFonts w:ascii="Arial" w:hAnsi="Arial" w:cs="Arial"/>
          <w:lang w:val="en-GB"/>
        </w:rPr>
        <w:t xml:space="preserve">)P were high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These results were also confirmed by Student's t-test (</w:t>
      </w:r>
      <w:r w:rsidRPr="0038596A">
        <w:rPr>
          <w:rFonts w:ascii="Arial" w:hAnsi="Arial" w:cs="Arial"/>
          <w:i/>
          <w:iCs/>
          <w:lang w:val="en-GB"/>
        </w:rPr>
        <w:t>p</w:t>
      </w:r>
      <w:r w:rsidRPr="0038596A">
        <w:rPr>
          <w:rFonts w:ascii="Arial" w:hAnsi="Arial" w:cs="Arial"/>
          <w:lang w:val="en-GB"/>
        </w:rPr>
        <w:t xml:space="preserve"> &lt; .05). Finally, for adults using these waters for bathing and swimming, the long-term carcinogenic risks associated with ACPT, ATC, FLR, NPT, and PYR were very low (mean </w:t>
      </w:r>
      <w:proofErr w:type="spellStart"/>
      <w:r w:rsidRPr="0038596A">
        <w:rPr>
          <w:rFonts w:ascii="Arial" w:hAnsi="Arial" w:cs="Arial"/>
          <w:lang w:val="en-GB"/>
        </w:rPr>
        <w:t>ILCR</w:t>
      </w:r>
      <w:r w:rsidRPr="0038596A">
        <w:rPr>
          <w:rFonts w:ascii="Arial" w:hAnsi="Arial" w:cs="Arial"/>
          <w:vertAlign w:val="subscript"/>
          <w:lang w:val="en-GB"/>
        </w:rPr>
        <w:t>derm</w:t>
      </w:r>
      <w:proofErr w:type="spellEnd"/>
      <w:r w:rsidRPr="0038596A">
        <w:rPr>
          <w:rFonts w:ascii="Arial" w:hAnsi="Arial" w:cs="Arial"/>
          <w:lang w:val="en-GB"/>
        </w:rPr>
        <w:t xml:space="preserve"> values &lt; 10</w:t>
      </w:r>
      <w:r w:rsidRPr="0038596A">
        <w:rPr>
          <w:rFonts w:ascii="Arial" w:hAnsi="Arial" w:cs="Arial"/>
          <w:vertAlign w:val="superscript"/>
          <w:lang w:val="en-GB"/>
        </w:rPr>
        <w:t>−6</w:t>
      </w:r>
      <w:r w:rsidRPr="0038596A">
        <w:rPr>
          <w:rFonts w:ascii="Arial" w:hAnsi="Arial" w:cs="Arial"/>
          <w:lang w:val="en-GB"/>
        </w:rPr>
        <w:t xml:space="preserve">). Those linked to FLRT and PNT were moderate (mean </w:t>
      </w:r>
      <w:proofErr w:type="spellStart"/>
      <w:r w:rsidRPr="0038596A">
        <w:rPr>
          <w:rFonts w:ascii="Arial" w:hAnsi="Arial" w:cs="Arial"/>
          <w:lang w:val="en-GB"/>
        </w:rPr>
        <w:t>ILCRderm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xml:space="preserve">), while risks associated with </w:t>
      </w:r>
      <w:proofErr w:type="spellStart"/>
      <w:r w:rsidRPr="0038596A">
        <w:rPr>
          <w:rFonts w:ascii="Arial" w:hAnsi="Arial" w:cs="Arial"/>
          <w:lang w:val="en-GB"/>
        </w:rPr>
        <w:t>BaA</w:t>
      </w:r>
      <w:proofErr w:type="spellEnd"/>
      <w:r w:rsidRPr="0038596A">
        <w:rPr>
          <w:rFonts w:ascii="Arial" w:hAnsi="Arial" w:cs="Arial"/>
          <w:lang w:val="en-GB"/>
        </w:rPr>
        <w:t xml:space="preserve">, </w:t>
      </w:r>
      <w:proofErr w:type="spellStart"/>
      <w:r w:rsidRPr="0038596A">
        <w:rPr>
          <w:rFonts w:ascii="Arial" w:hAnsi="Arial" w:cs="Arial"/>
          <w:lang w:val="en-GB"/>
        </w:rPr>
        <w:t>BaP</w:t>
      </w:r>
      <w:proofErr w:type="spellEnd"/>
      <w:r w:rsidRPr="0038596A">
        <w:rPr>
          <w:rFonts w:ascii="Arial" w:hAnsi="Arial" w:cs="Arial"/>
          <w:lang w:val="en-GB"/>
        </w:rPr>
        <w:t xml:space="preserve">, </w:t>
      </w:r>
      <w:proofErr w:type="spellStart"/>
      <w:r w:rsidRPr="0038596A">
        <w:rPr>
          <w:rFonts w:ascii="Arial" w:hAnsi="Arial" w:cs="Arial"/>
          <w:lang w:val="en-GB"/>
        </w:rPr>
        <w:t>BbF</w:t>
      </w:r>
      <w:proofErr w:type="spellEnd"/>
      <w:r w:rsidRPr="0038596A">
        <w:rPr>
          <w:rFonts w:ascii="Arial" w:hAnsi="Arial" w:cs="Arial"/>
          <w:lang w:val="en-GB"/>
        </w:rPr>
        <w:t>, and I-(1,2,3-</w:t>
      </w:r>
      <w:proofErr w:type="gramStart"/>
      <w:r w:rsidRPr="0038596A">
        <w:rPr>
          <w:rFonts w:ascii="Arial" w:hAnsi="Arial" w:cs="Arial"/>
          <w:lang w:val="en-GB"/>
        </w:rPr>
        <w:t>c,d</w:t>
      </w:r>
      <w:proofErr w:type="gramEnd"/>
      <w:r w:rsidRPr="0038596A">
        <w:rPr>
          <w:rFonts w:ascii="Arial" w:hAnsi="Arial" w:cs="Arial"/>
          <w:lang w:val="en-GB"/>
        </w:rPr>
        <w:t xml:space="preserve">)P were high (mean </w:t>
      </w:r>
      <w:proofErr w:type="spellStart"/>
      <w:r w:rsidRPr="0038596A">
        <w:rPr>
          <w:rFonts w:ascii="Arial" w:hAnsi="Arial" w:cs="Arial"/>
          <w:lang w:val="en-GB"/>
        </w:rPr>
        <w:t>ILCRderm</w:t>
      </w:r>
      <w:proofErr w:type="spellEnd"/>
      <w:r w:rsidRPr="0038596A">
        <w:rPr>
          <w:rFonts w:ascii="Arial" w:hAnsi="Arial" w:cs="Arial"/>
          <w:lang w:val="en-GB"/>
        </w:rPr>
        <w:t xml:space="preserve"> values between 10</w:t>
      </w:r>
      <w:r w:rsidRPr="0038596A">
        <w:rPr>
          <w:rFonts w:ascii="Arial" w:hAnsi="Arial" w:cs="Arial"/>
          <w:vertAlign w:val="superscript"/>
          <w:lang w:val="en-GB"/>
        </w:rPr>
        <w:t>−3</w:t>
      </w:r>
      <w:r w:rsidRPr="0038596A">
        <w:rPr>
          <w:rFonts w:ascii="Arial" w:hAnsi="Arial" w:cs="Arial"/>
          <w:lang w:val="en-GB"/>
        </w:rPr>
        <w:t xml:space="preserve"> and 10</w:t>
      </w:r>
      <w:r w:rsidRPr="0038596A">
        <w:rPr>
          <w:rFonts w:ascii="Arial" w:hAnsi="Arial" w:cs="Arial"/>
          <w:vertAlign w:val="superscript"/>
          <w:lang w:val="en-GB"/>
        </w:rPr>
        <w:t>−1</w:t>
      </w:r>
      <w:r w:rsidRPr="0038596A">
        <w:rPr>
          <w:rFonts w:ascii="Arial" w:hAnsi="Arial" w:cs="Arial"/>
          <w:lang w:val="en-GB"/>
        </w:rPr>
        <w:t>). This finding is also confirmed by Student's t-test (</w:t>
      </w:r>
      <w:r w:rsidRPr="0038596A">
        <w:rPr>
          <w:rFonts w:ascii="Arial" w:hAnsi="Arial" w:cs="Arial"/>
          <w:i/>
          <w:iCs/>
          <w:lang w:val="en-GB"/>
        </w:rPr>
        <w:t>p</w:t>
      </w:r>
      <w:r w:rsidRPr="0038596A">
        <w:rPr>
          <w:rFonts w:ascii="Arial" w:hAnsi="Arial" w:cs="Arial"/>
          <w:lang w:val="en-GB"/>
        </w:rPr>
        <w:t xml:space="preserve"> &lt; .05).</w:t>
      </w:r>
    </w:p>
    <w:p w14:paraId="7BBB7C67" w14:textId="38ED0C66" w:rsidR="005C429C" w:rsidRDefault="005C429C" w:rsidP="0038596A">
      <w:pPr>
        <w:jc w:val="both"/>
        <w:rPr>
          <w:rFonts w:ascii="Arial" w:hAnsi="Arial" w:cs="Arial"/>
          <w:lang w:val="en-GB"/>
        </w:rPr>
      </w:pPr>
      <w:r w:rsidRPr="0038596A">
        <w:rPr>
          <w:rFonts w:ascii="Arial" w:hAnsi="Arial" w:cs="Arial"/>
          <w:lang w:val="en-GB"/>
        </w:rPr>
        <w:t xml:space="preserve">The overall carcinogenic risks associated with all these PAHs combined were found to be extremely high (mean </w:t>
      </w:r>
      <w:proofErr w:type="spellStart"/>
      <w:r w:rsidRPr="0038596A">
        <w:rPr>
          <w:rFonts w:ascii="Arial" w:hAnsi="Arial" w:cs="Arial"/>
          <w:lang w:val="en-GB"/>
        </w:rPr>
        <w:t>RI</w:t>
      </w:r>
      <w:r w:rsidRPr="0038596A">
        <w:rPr>
          <w:rFonts w:ascii="Arial" w:hAnsi="Arial" w:cs="Arial"/>
          <w:vertAlign w:val="subscript"/>
          <w:lang w:val="en-GB"/>
        </w:rPr>
        <w:t>derm</w:t>
      </w:r>
      <w:proofErr w:type="spellEnd"/>
      <w:r w:rsidRPr="0038596A">
        <w:rPr>
          <w:rFonts w:ascii="Arial" w:hAnsi="Arial" w:cs="Arial"/>
          <w:lang w:val="en-GB"/>
        </w:rPr>
        <w:t xml:space="preserve"> values &gt;10</w:t>
      </w:r>
      <w:r w:rsidRPr="0038596A">
        <w:rPr>
          <w:rFonts w:ascii="Arial" w:hAnsi="Arial" w:cs="Arial"/>
          <w:vertAlign w:val="superscript"/>
          <w:lang w:val="en-GB"/>
        </w:rPr>
        <w:t>−1</w:t>
      </w:r>
      <w:r w:rsidRPr="0038596A">
        <w:rPr>
          <w:rFonts w:ascii="Arial" w:hAnsi="Arial" w:cs="Arial"/>
          <w:lang w:val="en-GB"/>
        </w:rPr>
        <w:t>) for all individuals, regardless of the anthropogenic use of these waters (Table 9). This observation was particularly pronounced in adults, as confirmed by Student's t-test (</w:t>
      </w:r>
      <w:r w:rsidRPr="0038596A">
        <w:rPr>
          <w:rFonts w:ascii="Arial" w:hAnsi="Arial" w:cs="Arial"/>
          <w:i/>
          <w:iCs/>
          <w:lang w:val="en-GB"/>
        </w:rPr>
        <w:t>p</w:t>
      </w:r>
      <w:r w:rsidRPr="0038596A">
        <w:rPr>
          <w:rFonts w:ascii="Arial" w:hAnsi="Arial" w:cs="Arial"/>
          <w:lang w:val="en-GB"/>
        </w:rPr>
        <w:t xml:space="preserve"> &lt; .05).</w:t>
      </w:r>
    </w:p>
    <w:p w14:paraId="0CC37682" w14:textId="77777777" w:rsidR="0038596A" w:rsidRPr="0038596A" w:rsidRDefault="0038596A" w:rsidP="0038596A">
      <w:pPr>
        <w:jc w:val="both"/>
        <w:rPr>
          <w:rFonts w:ascii="Arial" w:hAnsi="Arial" w:cs="Arial"/>
          <w:lang w:val="en-GB"/>
        </w:rPr>
      </w:pPr>
    </w:p>
    <w:p w14:paraId="40A240B8" w14:textId="4607E6B6" w:rsidR="005C429C" w:rsidRPr="0038596A" w:rsidRDefault="005C429C" w:rsidP="0038596A">
      <w:pPr>
        <w:jc w:val="both"/>
        <w:rPr>
          <w:rFonts w:ascii="Arial" w:hAnsi="Arial" w:cs="Arial"/>
          <w:b/>
          <w:bCs/>
          <w:lang w:val="en-GB"/>
        </w:rPr>
      </w:pPr>
      <w:r w:rsidRPr="00601B86">
        <w:rPr>
          <w:rFonts w:ascii="Arial" w:hAnsi="Arial" w:cs="Arial"/>
          <w:b/>
          <w:bCs/>
          <w:lang w:val="en-GB"/>
        </w:rPr>
        <w:t xml:space="preserve">Table </w:t>
      </w:r>
      <w:r w:rsidRPr="0038596A">
        <w:rPr>
          <w:rFonts w:ascii="Arial" w:hAnsi="Arial" w:cs="Arial"/>
          <w:b/>
          <w:bCs/>
          <w:lang w:val="en-GB"/>
        </w:rPr>
        <w:t>9</w:t>
      </w:r>
      <w:r w:rsidRPr="00601B86">
        <w:rPr>
          <w:rFonts w:ascii="Arial" w:hAnsi="Arial" w:cs="Arial"/>
          <w:b/>
          <w:bCs/>
          <w:lang w:val="en-GB"/>
        </w:rPr>
        <w:t xml:space="preserve">: Mean </w:t>
      </w:r>
      <w:r w:rsidRPr="0038596A">
        <w:rPr>
          <w:rFonts w:ascii="Arial" w:hAnsi="Arial" w:cs="Arial"/>
          <w:b/>
          <w:bCs/>
          <w:lang w:val="en-GB"/>
        </w:rPr>
        <w:t>v</w:t>
      </w:r>
      <w:r w:rsidRPr="00601B86">
        <w:rPr>
          <w:rFonts w:ascii="Arial" w:hAnsi="Arial" w:cs="Arial"/>
          <w:b/>
          <w:bCs/>
          <w:lang w:val="en-GB"/>
        </w:rPr>
        <w:t xml:space="preserve">alues of </w:t>
      </w:r>
      <w:proofErr w:type="spellStart"/>
      <w:r w:rsidRPr="00601B86">
        <w:rPr>
          <w:rFonts w:ascii="Arial" w:hAnsi="Arial" w:cs="Arial"/>
          <w:b/>
          <w:bCs/>
          <w:lang w:val="en-GB"/>
        </w:rPr>
        <w:t>LADD</w:t>
      </w:r>
      <w:r w:rsidRPr="00601B86">
        <w:rPr>
          <w:rFonts w:ascii="Arial" w:hAnsi="Arial" w:cs="Arial"/>
          <w:b/>
          <w:bCs/>
          <w:vertAlign w:val="subscript"/>
          <w:lang w:val="en-GB"/>
        </w:rPr>
        <w:t>derm</w:t>
      </w:r>
      <w:proofErr w:type="spellEnd"/>
      <w:r w:rsidRPr="00601B86">
        <w:rPr>
          <w:rFonts w:ascii="Arial" w:hAnsi="Arial" w:cs="Arial"/>
          <w:b/>
          <w:bCs/>
          <w:lang w:val="en-GB"/>
        </w:rPr>
        <w:t xml:space="preserve">, </w:t>
      </w:r>
      <w:proofErr w:type="spellStart"/>
      <w:r w:rsidRPr="00601B86">
        <w:rPr>
          <w:rFonts w:ascii="Arial" w:hAnsi="Arial" w:cs="Arial"/>
          <w:b/>
          <w:bCs/>
          <w:lang w:val="en-GB"/>
        </w:rPr>
        <w:t>ILCR</w:t>
      </w:r>
      <w:r w:rsidRPr="00601B86">
        <w:rPr>
          <w:rFonts w:ascii="Arial" w:hAnsi="Arial" w:cs="Arial"/>
          <w:b/>
          <w:bCs/>
          <w:vertAlign w:val="subscript"/>
          <w:lang w:val="en-GB"/>
        </w:rPr>
        <w:t>derm</w:t>
      </w:r>
      <w:proofErr w:type="spellEnd"/>
      <w:r w:rsidRPr="00601B86">
        <w:rPr>
          <w:rFonts w:ascii="Arial" w:hAnsi="Arial" w:cs="Arial"/>
          <w:b/>
          <w:bCs/>
          <w:lang w:val="en-GB"/>
        </w:rPr>
        <w:t xml:space="preserve">, and </w:t>
      </w:r>
      <w:proofErr w:type="spellStart"/>
      <w:r w:rsidRPr="00601B86">
        <w:rPr>
          <w:rFonts w:ascii="Arial" w:hAnsi="Arial" w:cs="Arial"/>
          <w:b/>
          <w:bCs/>
          <w:lang w:val="en-GB"/>
        </w:rPr>
        <w:t>RI</w:t>
      </w:r>
      <w:r w:rsidRPr="00601B86">
        <w:rPr>
          <w:rFonts w:ascii="Arial" w:hAnsi="Arial" w:cs="Arial"/>
          <w:b/>
          <w:bCs/>
          <w:vertAlign w:val="subscript"/>
          <w:lang w:val="en-GB"/>
        </w:rPr>
        <w:t>derm</w:t>
      </w:r>
      <w:proofErr w:type="spellEnd"/>
      <w:r w:rsidRPr="00601B86">
        <w:rPr>
          <w:rFonts w:ascii="Arial" w:hAnsi="Arial" w:cs="Arial"/>
          <w:b/>
          <w:bCs/>
          <w:lang w:val="en-GB"/>
        </w:rPr>
        <w:t xml:space="preserve"> for </w:t>
      </w:r>
      <w:r w:rsidRPr="0038596A">
        <w:rPr>
          <w:rFonts w:ascii="Arial" w:hAnsi="Arial" w:cs="Arial"/>
          <w:b/>
          <w:bCs/>
          <w:lang w:val="en-GB"/>
        </w:rPr>
        <w:t>d</w:t>
      </w:r>
      <w:r w:rsidRPr="00601B86">
        <w:rPr>
          <w:rFonts w:ascii="Arial" w:hAnsi="Arial" w:cs="Arial"/>
          <w:b/>
          <w:bCs/>
          <w:lang w:val="en-GB"/>
        </w:rPr>
        <w:t xml:space="preserve">ifferent </w:t>
      </w:r>
      <w:r w:rsidRPr="0038596A">
        <w:rPr>
          <w:rFonts w:ascii="Arial" w:hAnsi="Arial" w:cs="Arial"/>
          <w:b/>
          <w:bCs/>
          <w:lang w:val="en-GB"/>
        </w:rPr>
        <w:t>i</w:t>
      </w:r>
      <w:r w:rsidRPr="00601B86">
        <w:rPr>
          <w:rFonts w:ascii="Arial" w:hAnsi="Arial" w:cs="Arial"/>
          <w:b/>
          <w:bCs/>
          <w:lang w:val="en-GB"/>
        </w:rPr>
        <w:t xml:space="preserve">ndividuals </w:t>
      </w:r>
      <w:r w:rsidRPr="0038596A">
        <w:rPr>
          <w:rFonts w:ascii="Arial" w:hAnsi="Arial" w:cs="Arial"/>
          <w:b/>
          <w:bCs/>
          <w:lang w:val="en-GB"/>
        </w:rPr>
        <w:t>b</w:t>
      </w:r>
      <w:r w:rsidRPr="00601B86">
        <w:rPr>
          <w:rFonts w:ascii="Arial" w:hAnsi="Arial" w:cs="Arial"/>
          <w:b/>
          <w:bCs/>
          <w:lang w:val="en-GB"/>
        </w:rPr>
        <w:t>ased on</w:t>
      </w:r>
      <w:r w:rsidR="0038596A">
        <w:rPr>
          <w:rFonts w:ascii="Arial" w:hAnsi="Arial" w:cs="Arial"/>
          <w:b/>
          <w:bCs/>
          <w:lang w:val="en-GB"/>
        </w:rPr>
        <w:t xml:space="preserve"> </w:t>
      </w:r>
      <w:r w:rsidRPr="0038596A">
        <w:rPr>
          <w:rFonts w:ascii="Arial" w:hAnsi="Arial" w:cs="Arial"/>
          <w:b/>
          <w:bCs/>
          <w:lang w:val="en-GB"/>
        </w:rPr>
        <w:t>a</w:t>
      </w:r>
      <w:r w:rsidRPr="00601B86">
        <w:rPr>
          <w:rFonts w:ascii="Arial" w:hAnsi="Arial" w:cs="Arial"/>
          <w:b/>
          <w:bCs/>
          <w:lang w:val="en-GB"/>
        </w:rPr>
        <w:t xml:space="preserve">nthropogenic </w:t>
      </w:r>
      <w:r w:rsidRPr="0038596A">
        <w:rPr>
          <w:rFonts w:ascii="Arial" w:hAnsi="Arial" w:cs="Arial"/>
          <w:b/>
          <w:bCs/>
          <w:lang w:val="en-GB"/>
        </w:rPr>
        <w:t>a</w:t>
      </w:r>
      <w:r w:rsidRPr="00601B86">
        <w:rPr>
          <w:rFonts w:ascii="Arial" w:hAnsi="Arial" w:cs="Arial"/>
          <w:b/>
          <w:bCs/>
          <w:lang w:val="en-GB"/>
        </w:rPr>
        <w:t xml:space="preserve">ctivities </w:t>
      </w:r>
      <w:r w:rsidRPr="0038596A">
        <w:rPr>
          <w:rFonts w:ascii="Arial" w:hAnsi="Arial" w:cs="Arial"/>
          <w:b/>
          <w:bCs/>
          <w:lang w:val="en-GB"/>
        </w:rPr>
        <w:t>p</w:t>
      </w:r>
      <w:r w:rsidRPr="00601B86">
        <w:rPr>
          <w:rFonts w:ascii="Arial" w:hAnsi="Arial" w:cs="Arial"/>
          <w:b/>
          <w:bCs/>
          <w:lang w:val="en-GB"/>
        </w:rPr>
        <w:t xml:space="preserve">racticed in the </w:t>
      </w:r>
      <w:r w:rsidRPr="0038596A">
        <w:rPr>
          <w:rFonts w:ascii="Arial" w:hAnsi="Arial" w:cs="Arial"/>
          <w:b/>
          <w:bCs/>
          <w:lang w:val="en-GB"/>
        </w:rPr>
        <w:t>w</w:t>
      </w:r>
      <w:r w:rsidRPr="00601B86">
        <w:rPr>
          <w:rFonts w:ascii="Arial" w:hAnsi="Arial" w:cs="Arial"/>
          <w:b/>
          <w:bCs/>
          <w:lang w:val="en-GB"/>
        </w:rPr>
        <w:t xml:space="preserve">aters </w:t>
      </w:r>
      <w:r w:rsidRPr="0038596A">
        <w:rPr>
          <w:rFonts w:ascii="Arial" w:hAnsi="Arial" w:cs="Arial"/>
          <w:b/>
          <w:bCs/>
          <w:lang w:val="en-GB"/>
        </w:rPr>
        <w:t>from</w:t>
      </w:r>
      <w:r w:rsidRPr="00601B86">
        <w:rPr>
          <w:rFonts w:ascii="Arial" w:hAnsi="Arial" w:cs="Arial"/>
          <w:b/>
          <w:bCs/>
          <w:lang w:val="en-GB"/>
        </w:rPr>
        <w:t xml:space="preserve"> the </w:t>
      </w:r>
      <w:proofErr w:type="spellStart"/>
      <w:r w:rsidRPr="00601B86">
        <w:rPr>
          <w:rFonts w:ascii="Arial" w:hAnsi="Arial" w:cs="Arial"/>
          <w:b/>
          <w:bCs/>
          <w:lang w:val="en-GB"/>
        </w:rPr>
        <w:t>Déganobo</w:t>
      </w:r>
      <w:proofErr w:type="spellEnd"/>
      <w:r w:rsidRPr="00601B86">
        <w:rPr>
          <w:rFonts w:ascii="Arial" w:hAnsi="Arial" w:cs="Arial"/>
          <w:b/>
          <w:bCs/>
          <w:lang w:val="en-GB"/>
        </w:rPr>
        <w:t xml:space="preserve"> </w:t>
      </w:r>
      <w:r w:rsidRPr="0038596A">
        <w:rPr>
          <w:rFonts w:ascii="Arial" w:hAnsi="Arial" w:cs="Arial"/>
          <w:b/>
          <w:bCs/>
          <w:lang w:val="en-GB"/>
        </w:rPr>
        <w:t>l</w:t>
      </w:r>
      <w:r w:rsidRPr="00601B86">
        <w:rPr>
          <w:rFonts w:ascii="Arial" w:hAnsi="Arial" w:cs="Arial"/>
          <w:b/>
          <w:bCs/>
          <w:lang w:val="en-GB"/>
        </w:rPr>
        <w:t xml:space="preserve">acustrine System </w:t>
      </w:r>
      <w:r w:rsidRPr="0038596A">
        <w:rPr>
          <w:rFonts w:ascii="Arial" w:hAnsi="Arial" w:cs="Arial"/>
          <w:b/>
          <w:bCs/>
          <w:lang w:val="en-GB"/>
        </w:rPr>
        <w:t>d</w:t>
      </w:r>
      <w:r w:rsidRPr="00601B86">
        <w:rPr>
          <w:rFonts w:ascii="Arial" w:hAnsi="Arial" w:cs="Arial"/>
          <w:b/>
          <w:bCs/>
          <w:lang w:val="en-GB"/>
        </w:rPr>
        <w:t xml:space="preserve">uring the </w:t>
      </w:r>
      <w:r w:rsidRPr="0038596A">
        <w:rPr>
          <w:rFonts w:ascii="Arial" w:hAnsi="Arial" w:cs="Arial"/>
          <w:b/>
          <w:bCs/>
          <w:lang w:val="en-GB"/>
        </w:rPr>
        <w:t>s</w:t>
      </w:r>
      <w:r w:rsidRPr="00601B86">
        <w:rPr>
          <w:rFonts w:ascii="Arial" w:hAnsi="Arial" w:cs="Arial"/>
          <w:b/>
          <w:bCs/>
          <w:lang w:val="en-GB"/>
        </w:rPr>
        <w:t xml:space="preserve">tudy </w:t>
      </w:r>
      <w:r w:rsidRPr="0038596A">
        <w:rPr>
          <w:rFonts w:ascii="Arial" w:hAnsi="Arial" w:cs="Arial"/>
          <w:b/>
          <w:bCs/>
          <w:lang w:val="en-GB"/>
        </w:rPr>
        <w:t>p</w:t>
      </w:r>
      <w:r w:rsidRPr="00601B86">
        <w:rPr>
          <w:rFonts w:ascii="Arial" w:hAnsi="Arial" w:cs="Arial"/>
          <w:b/>
          <w:bCs/>
          <w:lang w:val="en-GB"/>
        </w:rPr>
        <w:t>eriod.</w:t>
      </w:r>
    </w:p>
    <w:tbl>
      <w:tblPr>
        <w:tblStyle w:val="Grilledutableau"/>
        <w:tblW w:w="9918" w:type="dxa"/>
        <w:tblInd w:w="-284" w:type="dxa"/>
        <w:tblLook w:val="04A0" w:firstRow="1" w:lastRow="0" w:firstColumn="1" w:lastColumn="0" w:noHBand="0" w:noVBand="1"/>
      </w:tblPr>
      <w:tblGrid>
        <w:gridCol w:w="1391"/>
        <w:gridCol w:w="1443"/>
        <w:gridCol w:w="1352"/>
        <w:gridCol w:w="1443"/>
        <w:gridCol w:w="1376"/>
        <w:gridCol w:w="1443"/>
        <w:gridCol w:w="1470"/>
      </w:tblGrid>
      <w:tr w:rsidR="005C429C" w:rsidRPr="0038596A" w14:paraId="7C5ACEAA" w14:textId="77777777" w:rsidTr="001E366F">
        <w:tc>
          <w:tcPr>
            <w:tcW w:w="1391" w:type="dxa"/>
            <w:vMerge w:val="restart"/>
            <w:tcBorders>
              <w:left w:val="nil"/>
              <w:right w:val="nil"/>
            </w:tcBorders>
          </w:tcPr>
          <w:p w14:paraId="2B99B41A" w14:textId="77777777" w:rsidR="005C429C" w:rsidRPr="0038596A" w:rsidRDefault="005C429C" w:rsidP="001E366F">
            <w:pPr>
              <w:jc w:val="center"/>
              <w:rPr>
                <w:rFonts w:ascii="Arial" w:hAnsi="Arial" w:cs="Arial"/>
                <w:bCs/>
                <w:sz w:val="20"/>
                <w:szCs w:val="20"/>
                <w:lang w:val="en-GB"/>
              </w:rPr>
            </w:pPr>
          </w:p>
          <w:p w14:paraId="429F1A71" w14:textId="77777777" w:rsidR="005C429C" w:rsidRPr="0038596A" w:rsidRDefault="005C429C" w:rsidP="001E366F">
            <w:pPr>
              <w:jc w:val="center"/>
              <w:rPr>
                <w:rFonts w:ascii="Arial" w:hAnsi="Arial" w:cs="Arial"/>
                <w:bCs/>
                <w:sz w:val="20"/>
                <w:szCs w:val="20"/>
                <w:lang w:val="en-GB"/>
              </w:rPr>
            </w:pPr>
          </w:p>
          <w:p w14:paraId="6CC6487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PAHs</w:t>
            </w:r>
          </w:p>
        </w:tc>
        <w:tc>
          <w:tcPr>
            <w:tcW w:w="2795" w:type="dxa"/>
            <w:gridSpan w:val="2"/>
            <w:vMerge w:val="restart"/>
            <w:tcBorders>
              <w:left w:val="nil"/>
              <w:right w:val="nil"/>
            </w:tcBorders>
          </w:tcPr>
          <w:p w14:paraId="0DD65718"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Child</w:t>
            </w:r>
          </w:p>
          <w:p w14:paraId="72D7FC2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(Fisherman)</w:t>
            </w:r>
          </w:p>
        </w:tc>
        <w:tc>
          <w:tcPr>
            <w:tcW w:w="5732" w:type="dxa"/>
            <w:gridSpan w:val="4"/>
            <w:tcBorders>
              <w:left w:val="nil"/>
              <w:right w:val="nil"/>
            </w:tcBorders>
          </w:tcPr>
          <w:p w14:paraId="62F2169F"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Adult</w:t>
            </w:r>
          </w:p>
        </w:tc>
      </w:tr>
      <w:tr w:rsidR="005C429C" w:rsidRPr="0038596A" w14:paraId="3188DB32" w14:textId="77777777" w:rsidTr="001E366F">
        <w:tc>
          <w:tcPr>
            <w:tcW w:w="1391" w:type="dxa"/>
            <w:vMerge/>
            <w:tcBorders>
              <w:left w:val="nil"/>
              <w:right w:val="nil"/>
            </w:tcBorders>
          </w:tcPr>
          <w:p w14:paraId="42B74818" w14:textId="77777777" w:rsidR="005C429C" w:rsidRPr="0038596A" w:rsidRDefault="005C429C" w:rsidP="001E366F">
            <w:pPr>
              <w:jc w:val="center"/>
              <w:rPr>
                <w:rFonts w:ascii="Arial" w:hAnsi="Arial" w:cs="Arial"/>
                <w:bCs/>
                <w:sz w:val="20"/>
                <w:szCs w:val="20"/>
                <w:lang w:val="en-GB"/>
              </w:rPr>
            </w:pPr>
          </w:p>
        </w:tc>
        <w:tc>
          <w:tcPr>
            <w:tcW w:w="2795" w:type="dxa"/>
            <w:gridSpan w:val="2"/>
            <w:vMerge/>
            <w:tcBorders>
              <w:left w:val="nil"/>
              <w:right w:val="nil"/>
            </w:tcBorders>
          </w:tcPr>
          <w:p w14:paraId="0C558FC6" w14:textId="77777777" w:rsidR="005C429C" w:rsidRPr="0038596A" w:rsidRDefault="005C429C" w:rsidP="001E366F">
            <w:pPr>
              <w:jc w:val="center"/>
              <w:rPr>
                <w:rFonts w:ascii="Arial" w:hAnsi="Arial" w:cs="Arial"/>
                <w:bCs/>
                <w:sz w:val="20"/>
                <w:szCs w:val="20"/>
                <w:lang w:val="en-GB"/>
              </w:rPr>
            </w:pPr>
          </w:p>
        </w:tc>
        <w:tc>
          <w:tcPr>
            <w:tcW w:w="2819" w:type="dxa"/>
            <w:gridSpan w:val="2"/>
            <w:tcBorders>
              <w:left w:val="nil"/>
              <w:right w:val="nil"/>
            </w:tcBorders>
          </w:tcPr>
          <w:p w14:paraId="4979443E"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 xml:space="preserve">Fisherman and market gardener </w:t>
            </w:r>
          </w:p>
        </w:tc>
        <w:tc>
          <w:tcPr>
            <w:tcW w:w="2913" w:type="dxa"/>
            <w:gridSpan w:val="2"/>
            <w:tcBorders>
              <w:left w:val="nil"/>
              <w:right w:val="nil"/>
            </w:tcBorders>
          </w:tcPr>
          <w:p w14:paraId="4C3BE9E5"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Bather</w:t>
            </w:r>
          </w:p>
        </w:tc>
      </w:tr>
      <w:tr w:rsidR="005C429C" w:rsidRPr="0038596A" w14:paraId="02D38F6C" w14:textId="77777777" w:rsidTr="001E366F">
        <w:tc>
          <w:tcPr>
            <w:tcW w:w="1391" w:type="dxa"/>
            <w:vMerge/>
            <w:tcBorders>
              <w:left w:val="nil"/>
              <w:bottom w:val="single" w:sz="4" w:space="0" w:color="000000" w:themeColor="text1"/>
              <w:right w:val="nil"/>
            </w:tcBorders>
          </w:tcPr>
          <w:p w14:paraId="6A4DE14E" w14:textId="77777777" w:rsidR="005C429C" w:rsidRPr="0038596A" w:rsidRDefault="005C429C" w:rsidP="001E366F">
            <w:pPr>
              <w:jc w:val="center"/>
              <w:rPr>
                <w:rFonts w:ascii="Arial" w:hAnsi="Arial" w:cs="Arial"/>
                <w:bCs/>
                <w:sz w:val="20"/>
                <w:szCs w:val="20"/>
                <w:lang w:val="en-GB"/>
              </w:rPr>
            </w:pPr>
          </w:p>
        </w:tc>
        <w:tc>
          <w:tcPr>
            <w:tcW w:w="1443" w:type="dxa"/>
            <w:tcBorders>
              <w:left w:val="nil"/>
              <w:bottom w:val="single" w:sz="4" w:space="0" w:color="000000" w:themeColor="text1"/>
              <w:right w:val="nil"/>
            </w:tcBorders>
            <w:vAlign w:val="bottom"/>
          </w:tcPr>
          <w:p w14:paraId="48C96CDD" w14:textId="77777777" w:rsidR="005C429C" w:rsidRPr="0038596A" w:rsidRDefault="005C429C" w:rsidP="001E366F">
            <w:pPr>
              <w:jc w:val="center"/>
              <w:rPr>
                <w:rFonts w:ascii="Arial" w:eastAsia="Times New Roman" w:hAnsi="Arial" w:cs="Arial"/>
                <w:bCs/>
                <w:color w:val="000000"/>
                <w:sz w:val="20"/>
                <w:szCs w:val="20"/>
                <w:lang w:val="en-GB"/>
              </w:rPr>
            </w:pPr>
            <w:proofErr w:type="spellStart"/>
            <w:r w:rsidRPr="0038596A">
              <w:rPr>
                <w:rFonts w:ascii="Arial" w:eastAsia="Times New Roman" w:hAnsi="Arial" w:cs="Arial"/>
                <w:bCs/>
                <w:color w:val="000000"/>
                <w:sz w:val="20"/>
                <w:szCs w:val="20"/>
                <w:lang w:val="en-GB"/>
              </w:rPr>
              <w:t>LADD</w:t>
            </w:r>
            <w:r w:rsidRPr="0038596A">
              <w:rPr>
                <w:rFonts w:ascii="Arial" w:eastAsia="Times New Roman" w:hAnsi="Arial" w:cs="Arial"/>
                <w:bCs/>
                <w:color w:val="000000"/>
                <w:sz w:val="20"/>
                <w:szCs w:val="20"/>
                <w:vertAlign w:val="subscript"/>
                <w:lang w:val="en-GB"/>
              </w:rPr>
              <w:t>derm</w:t>
            </w:r>
            <w:proofErr w:type="spellEnd"/>
            <w:r w:rsidRPr="0038596A">
              <w:rPr>
                <w:rFonts w:ascii="Arial" w:eastAsia="Times New Roman" w:hAnsi="Arial" w:cs="Arial"/>
                <w:bCs/>
                <w:color w:val="000000"/>
                <w:sz w:val="20"/>
                <w:szCs w:val="20"/>
                <w:lang w:val="en-GB"/>
              </w:rPr>
              <w:t xml:space="preserve"> </w:t>
            </w:r>
          </w:p>
          <w:p w14:paraId="726239F7"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3D56B736"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(mg/kg/day)</w:t>
            </w:r>
          </w:p>
        </w:tc>
        <w:tc>
          <w:tcPr>
            <w:tcW w:w="1352" w:type="dxa"/>
            <w:tcBorders>
              <w:left w:val="nil"/>
              <w:bottom w:val="single" w:sz="4" w:space="0" w:color="000000" w:themeColor="text1"/>
              <w:right w:val="nil"/>
            </w:tcBorders>
            <w:vAlign w:val="bottom"/>
          </w:tcPr>
          <w:p w14:paraId="42BF5D79" w14:textId="77777777" w:rsidR="005C429C" w:rsidRPr="0038596A" w:rsidRDefault="005C429C" w:rsidP="001E366F">
            <w:pPr>
              <w:jc w:val="center"/>
              <w:rPr>
                <w:rFonts w:ascii="Arial" w:eastAsia="Times New Roman" w:hAnsi="Arial" w:cs="Arial"/>
                <w:color w:val="000000"/>
                <w:sz w:val="20"/>
                <w:szCs w:val="20"/>
                <w:lang w:val="en-GB"/>
              </w:rPr>
            </w:pPr>
            <w:proofErr w:type="spellStart"/>
            <w:r w:rsidRPr="0038596A">
              <w:rPr>
                <w:rFonts w:ascii="Arial" w:eastAsia="Times New Roman" w:hAnsi="Arial" w:cs="Arial"/>
                <w:color w:val="000000"/>
                <w:sz w:val="20"/>
                <w:szCs w:val="20"/>
                <w:lang w:val="en-GB"/>
              </w:rPr>
              <w:t>ILCR</w:t>
            </w:r>
            <w:r w:rsidRPr="0038596A">
              <w:rPr>
                <w:rFonts w:ascii="Arial" w:eastAsia="Times New Roman" w:hAnsi="Arial" w:cs="Arial"/>
                <w:color w:val="000000"/>
                <w:sz w:val="20"/>
                <w:szCs w:val="20"/>
                <w:vertAlign w:val="subscript"/>
                <w:lang w:val="en-GB"/>
              </w:rPr>
              <w:t>derm</w:t>
            </w:r>
            <w:proofErr w:type="spellEnd"/>
          </w:p>
          <w:p w14:paraId="4271B00B"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1E7B5B9B" w14:textId="77777777" w:rsidR="005C429C" w:rsidRPr="0038596A" w:rsidRDefault="005C429C" w:rsidP="001E366F">
            <w:pPr>
              <w:jc w:val="center"/>
              <w:rPr>
                <w:rFonts w:ascii="Arial" w:hAnsi="Arial" w:cs="Arial"/>
                <w:bCs/>
                <w:sz w:val="20"/>
                <w:szCs w:val="20"/>
                <w:lang w:val="en-GB"/>
              </w:rPr>
            </w:pPr>
          </w:p>
        </w:tc>
        <w:tc>
          <w:tcPr>
            <w:tcW w:w="1443" w:type="dxa"/>
            <w:tcBorders>
              <w:left w:val="nil"/>
              <w:bottom w:val="single" w:sz="4" w:space="0" w:color="000000" w:themeColor="text1"/>
              <w:right w:val="nil"/>
            </w:tcBorders>
            <w:vAlign w:val="bottom"/>
          </w:tcPr>
          <w:p w14:paraId="7D761954" w14:textId="77777777" w:rsidR="005C429C" w:rsidRPr="0038596A" w:rsidRDefault="005C429C" w:rsidP="001E366F">
            <w:pPr>
              <w:jc w:val="center"/>
              <w:rPr>
                <w:rFonts w:ascii="Arial" w:eastAsia="Times New Roman" w:hAnsi="Arial" w:cs="Arial"/>
                <w:bCs/>
                <w:color w:val="000000"/>
                <w:sz w:val="20"/>
                <w:szCs w:val="20"/>
                <w:lang w:val="en-GB"/>
              </w:rPr>
            </w:pPr>
            <w:proofErr w:type="spellStart"/>
            <w:r w:rsidRPr="0038596A">
              <w:rPr>
                <w:rFonts w:ascii="Arial" w:eastAsia="Times New Roman" w:hAnsi="Arial" w:cs="Arial"/>
                <w:bCs/>
                <w:color w:val="000000"/>
                <w:sz w:val="20"/>
                <w:szCs w:val="20"/>
                <w:lang w:val="en-GB"/>
              </w:rPr>
              <w:t>LADD</w:t>
            </w:r>
            <w:r w:rsidRPr="0038596A">
              <w:rPr>
                <w:rFonts w:ascii="Arial" w:eastAsia="Times New Roman" w:hAnsi="Arial" w:cs="Arial"/>
                <w:bCs/>
                <w:color w:val="000000"/>
                <w:sz w:val="20"/>
                <w:szCs w:val="20"/>
                <w:vertAlign w:val="subscript"/>
                <w:lang w:val="en-GB"/>
              </w:rPr>
              <w:t>derm</w:t>
            </w:r>
            <w:proofErr w:type="spellEnd"/>
            <w:r w:rsidRPr="0038596A">
              <w:rPr>
                <w:rFonts w:ascii="Arial" w:eastAsia="Times New Roman" w:hAnsi="Arial" w:cs="Arial"/>
                <w:bCs/>
                <w:color w:val="000000"/>
                <w:sz w:val="20"/>
                <w:szCs w:val="20"/>
                <w:lang w:val="en-GB"/>
              </w:rPr>
              <w:t xml:space="preserve"> </w:t>
            </w:r>
          </w:p>
          <w:p w14:paraId="36B6AB6B"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18DB041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(mg/kg/day)</w:t>
            </w:r>
          </w:p>
        </w:tc>
        <w:tc>
          <w:tcPr>
            <w:tcW w:w="1376" w:type="dxa"/>
            <w:tcBorders>
              <w:left w:val="nil"/>
              <w:bottom w:val="single" w:sz="4" w:space="0" w:color="000000" w:themeColor="text1"/>
              <w:right w:val="nil"/>
            </w:tcBorders>
            <w:vAlign w:val="bottom"/>
          </w:tcPr>
          <w:p w14:paraId="253970A7" w14:textId="77777777" w:rsidR="005C429C" w:rsidRPr="0038596A" w:rsidRDefault="005C429C" w:rsidP="001E366F">
            <w:pPr>
              <w:jc w:val="center"/>
              <w:rPr>
                <w:rFonts w:ascii="Arial" w:eastAsia="Times New Roman" w:hAnsi="Arial" w:cs="Arial"/>
                <w:color w:val="000000"/>
                <w:sz w:val="20"/>
                <w:szCs w:val="20"/>
                <w:lang w:val="en-GB"/>
              </w:rPr>
            </w:pPr>
            <w:proofErr w:type="spellStart"/>
            <w:r w:rsidRPr="0038596A">
              <w:rPr>
                <w:rFonts w:ascii="Arial" w:eastAsia="Times New Roman" w:hAnsi="Arial" w:cs="Arial"/>
                <w:color w:val="000000"/>
                <w:sz w:val="20"/>
                <w:szCs w:val="20"/>
                <w:lang w:val="en-GB"/>
              </w:rPr>
              <w:t>ILCRderm</w:t>
            </w:r>
            <w:proofErr w:type="spellEnd"/>
          </w:p>
          <w:p w14:paraId="27A37F46"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46567AA5" w14:textId="77777777" w:rsidR="005C429C" w:rsidRPr="0038596A" w:rsidRDefault="005C429C" w:rsidP="001E366F">
            <w:pPr>
              <w:jc w:val="center"/>
              <w:rPr>
                <w:rFonts w:ascii="Arial" w:hAnsi="Arial" w:cs="Arial"/>
                <w:bCs/>
                <w:sz w:val="20"/>
                <w:szCs w:val="20"/>
                <w:lang w:val="en-GB"/>
              </w:rPr>
            </w:pPr>
          </w:p>
        </w:tc>
        <w:tc>
          <w:tcPr>
            <w:tcW w:w="1443" w:type="dxa"/>
            <w:tcBorders>
              <w:left w:val="nil"/>
              <w:bottom w:val="single" w:sz="4" w:space="0" w:color="000000" w:themeColor="text1"/>
              <w:right w:val="nil"/>
            </w:tcBorders>
            <w:vAlign w:val="bottom"/>
          </w:tcPr>
          <w:p w14:paraId="7EABDA17" w14:textId="77777777" w:rsidR="005C429C" w:rsidRPr="0038596A" w:rsidRDefault="005C429C" w:rsidP="001E366F">
            <w:pPr>
              <w:jc w:val="center"/>
              <w:rPr>
                <w:rFonts w:ascii="Arial" w:eastAsia="Times New Roman" w:hAnsi="Arial" w:cs="Arial"/>
                <w:bCs/>
                <w:color w:val="000000"/>
                <w:sz w:val="20"/>
                <w:szCs w:val="20"/>
                <w:lang w:val="en-GB"/>
              </w:rPr>
            </w:pPr>
            <w:proofErr w:type="spellStart"/>
            <w:r w:rsidRPr="0038596A">
              <w:rPr>
                <w:rFonts w:ascii="Arial" w:eastAsia="Times New Roman" w:hAnsi="Arial" w:cs="Arial"/>
                <w:bCs/>
                <w:color w:val="000000"/>
                <w:sz w:val="20"/>
                <w:szCs w:val="20"/>
                <w:lang w:val="en-GB"/>
              </w:rPr>
              <w:t>LADD</w:t>
            </w:r>
            <w:r w:rsidRPr="0038596A">
              <w:rPr>
                <w:rFonts w:ascii="Arial" w:eastAsia="Times New Roman" w:hAnsi="Arial" w:cs="Arial"/>
                <w:bCs/>
                <w:color w:val="000000"/>
                <w:sz w:val="20"/>
                <w:szCs w:val="20"/>
                <w:vertAlign w:val="subscript"/>
                <w:lang w:val="en-GB"/>
              </w:rPr>
              <w:t>derm</w:t>
            </w:r>
            <w:proofErr w:type="spellEnd"/>
            <w:r w:rsidRPr="0038596A">
              <w:rPr>
                <w:rFonts w:ascii="Arial" w:eastAsia="Times New Roman" w:hAnsi="Arial" w:cs="Arial"/>
                <w:bCs/>
                <w:color w:val="000000"/>
                <w:sz w:val="20"/>
                <w:szCs w:val="20"/>
                <w:lang w:val="en-GB"/>
              </w:rPr>
              <w:t xml:space="preserve"> </w:t>
            </w:r>
          </w:p>
          <w:p w14:paraId="21DA8F81"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58C0181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(mg/kg/day)</w:t>
            </w:r>
          </w:p>
        </w:tc>
        <w:tc>
          <w:tcPr>
            <w:tcW w:w="1470" w:type="dxa"/>
            <w:tcBorders>
              <w:left w:val="nil"/>
              <w:bottom w:val="single" w:sz="4" w:space="0" w:color="000000" w:themeColor="text1"/>
              <w:right w:val="nil"/>
            </w:tcBorders>
            <w:vAlign w:val="bottom"/>
          </w:tcPr>
          <w:p w14:paraId="5C69D89D" w14:textId="77777777" w:rsidR="005C429C" w:rsidRPr="0038596A" w:rsidRDefault="005C429C" w:rsidP="001E366F">
            <w:pPr>
              <w:jc w:val="center"/>
              <w:rPr>
                <w:rFonts w:ascii="Arial" w:eastAsia="Times New Roman" w:hAnsi="Arial" w:cs="Arial"/>
                <w:color w:val="000000"/>
                <w:sz w:val="20"/>
                <w:szCs w:val="20"/>
                <w:lang w:val="en-GB"/>
              </w:rPr>
            </w:pPr>
            <w:proofErr w:type="spellStart"/>
            <w:r w:rsidRPr="0038596A">
              <w:rPr>
                <w:rFonts w:ascii="Arial" w:eastAsia="Times New Roman" w:hAnsi="Arial" w:cs="Arial"/>
                <w:color w:val="000000"/>
                <w:sz w:val="20"/>
                <w:szCs w:val="20"/>
                <w:lang w:val="en-GB"/>
              </w:rPr>
              <w:t>ILCRderm</w:t>
            </w:r>
            <w:proofErr w:type="spellEnd"/>
          </w:p>
          <w:p w14:paraId="63A7F532" w14:textId="77777777" w:rsidR="005C429C" w:rsidRPr="0038596A" w:rsidRDefault="005C429C" w:rsidP="001E366F">
            <w:pPr>
              <w:jc w:val="center"/>
              <w:rPr>
                <w:rFonts w:ascii="Arial" w:eastAsia="Times New Roman" w:hAnsi="Arial" w:cs="Arial"/>
                <w:bCs/>
                <w:color w:val="000000"/>
                <w:sz w:val="20"/>
                <w:szCs w:val="20"/>
                <w:lang w:val="en-GB"/>
              </w:rPr>
            </w:pPr>
            <w:r w:rsidRPr="0038596A">
              <w:rPr>
                <w:rFonts w:ascii="Arial" w:eastAsia="Times New Roman" w:hAnsi="Arial" w:cs="Arial"/>
                <w:bCs/>
                <w:color w:val="000000"/>
                <w:sz w:val="20"/>
                <w:szCs w:val="20"/>
                <w:lang w:val="en-GB"/>
              </w:rPr>
              <w:t>(x 10</w:t>
            </w:r>
            <w:r w:rsidRPr="0038596A">
              <w:rPr>
                <w:rFonts w:ascii="Arial" w:eastAsia="Times New Roman" w:hAnsi="Arial" w:cs="Arial"/>
                <w:bCs/>
                <w:color w:val="000000"/>
                <w:sz w:val="20"/>
                <w:szCs w:val="20"/>
                <w:vertAlign w:val="superscript"/>
                <w:lang w:val="en-GB"/>
              </w:rPr>
              <w:t>-4</w:t>
            </w:r>
            <w:r w:rsidRPr="0038596A">
              <w:rPr>
                <w:rFonts w:ascii="Arial" w:eastAsia="Times New Roman" w:hAnsi="Arial" w:cs="Arial"/>
                <w:bCs/>
                <w:color w:val="000000"/>
                <w:sz w:val="20"/>
                <w:szCs w:val="20"/>
                <w:lang w:val="en-GB"/>
              </w:rPr>
              <w:t>)</w:t>
            </w:r>
          </w:p>
          <w:p w14:paraId="3D766A2A" w14:textId="77777777" w:rsidR="005C429C" w:rsidRPr="0038596A" w:rsidRDefault="005C429C" w:rsidP="001E366F">
            <w:pPr>
              <w:jc w:val="center"/>
              <w:rPr>
                <w:rFonts w:ascii="Arial" w:hAnsi="Arial" w:cs="Arial"/>
                <w:bCs/>
                <w:sz w:val="20"/>
                <w:szCs w:val="20"/>
                <w:lang w:val="en-GB"/>
              </w:rPr>
            </w:pPr>
          </w:p>
        </w:tc>
      </w:tr>
      <w:tr w:rsidR="005C429C" w:rsidRPr="0038596A" w14:paraId="5D426E2F" w14:textId="77777777" w:rsidTr="001E366F">
        <w:tc>
          <w:tcPr>
            <w:tcW w:w="1391" w:type="dxa"/>
            <w:tcBorders>
              <w:left w:val="nil"/>
              <w:bottom w:val="nil"/>
              <w:right w:val="nil"/>
            </w:tcBorders>
            <w:vAlign w:val="center"/>
          </w:tcPr>
          <w:p w14:paraId="0931E4A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ACPT</w:t>
            </w:r>
          </w:p>
        </w:tc>
        <w:tc>
          <w:tcPr>
            <w:tcW w:w="1443" w:type="dxa"/>
            <w:tcBorders>
              <w:left w:val="nil"/>
              <w:bottom w:val="nil"/>
              <w:right w:val="nil"/>
            </w:tcBorders>
            <w:vAlign w:val="bottom"/>
          </w:tcPr>
          <w:p w14:paraId="5A1C7F0E"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0.04</w:t>
            </w:r>
          </w:p>
        </w:tc>
        <w:tc>
          <w:tcPr>
            <w:tcW w:w="1352" w:type="dxa"/>
            <w:tcBorders>
              <w:left w:val="nil"/>
              <w:bottom w:val="nil"/>
              <w:right w:val="nil"/>
            </w:tcBorders>
            <w:vAlign w:val="bottom"/>
          </w:tcPr>
          <w:p w14:paraId="12431E03"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2x10</w:t>
            </w:r>
            <w:r w:rsidRPr="0038596A">
              <w:rPr>
                <w:rFonts w:ascii="Arial" w:hAnsi="Arial" w:cs="Arial"/>
                <w:bCs/>
                <w:sz w:val="20"/>
                <w:szCs w:val="20"/>
                <w:vertAlign w:val="superscript"/>
                <w:lang w:val="en-GB"/>
              </w:rPr>
              <w:t>-4</w:t>
            </w:r>
          </w:p>
        </w:tc>
        <w:tc>
          <w:tcPr>
            <w:tcW w:w="1443" w:type="dxa"/>
            <w:tcBorders>
              <w:left w:val="nil"/>
              <w:bottom w:val="nil"/>
              <w:right w:val="nil"/>
            </w:tcBorders>
            <w:vAlign w:val="bottom"/>
          </w:tcPr>
          <w:p w14:paraId="33E30CC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5.4</w:t>
            </w:r>
          </w:p>
        </w:tc>
        <w:tc>
          <w:tcPr>
            <w:tcW w:w="1376" w:type="dxa"/>
            <w:tcBorders>
              <w:left w:val="nil"/>
              <w:bottom w:val="nil"/>
              <w:right w:val="nil"/>
            </w:tcBorders>
            <w:vAlign w:val="bottom"/>
          </w:tcPr>
          <w:p w14:paraId="286E87F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0.004</w:t>
            </w:r>
          </w:p>
        </w:tc>
        <w:tc>
          <w:tcPr>
            <w:tcW w:w="1443" w:type="dxa"/>
            <w:tcBorders>
              <w:left w:val="nil"/>
              <w:bottom w:val="nil"/>
              <w:right w:val="nil"/>
            </w:tcBorders>
            <w:vAlign w:val="bottom"/>
          </w:tcPr>
          <w:p w14:paraId="3362B56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0.4</w:t>
            </w:r>
          </w:p>
        </w:tc>
        <w:tc>
          <w:tcPr>
            <w:tcW w:w="1470" w:type="dxa"/>
            <w:tcBorders>
              <w:left w:val="nil"/>
              <w:bottom w:val="nil"/>
              <w:right w:val="nil"/>
            </w:tcBorders>
            <w:vAlign w:val="bottom"/>
          </w:tcPr>
          <w:p w14:paraId="6CD5B30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0.003</w:t>
            </w:r>
          </w:p>
        </w:tc>
      </w:tr>
      <w:tr w:rsidR="005C429C" w:rsidRPr="0038596A" w14:paraId="47C8275F" w14:textId="77777777" w:rsidTr="001E366F">
        <w:tc>
          <w:tcPr>
            <w:tcW w:w="1391" w:type="dxa"/>
            <w:tcBorders>
              <w:top w:val="nil"/>
              <w:left w:val="nil"/>
              <w:bottom w:val="nil"/>
              <w:right w:val="nil"/>
            </w:tcBorders>
            <w:vAlign w:val="center"/>
          </w:tcPr>
          <w:p w14:paraId="5889DC1C"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ATC</w:t>
            </w:r>
          </w:p>
        </w:tc>
        <w:tc>
          <w:tcPr>
            <w:tcW w:w="1443" w:type="dxa"/>
            <w:tcBorders>
              <w:top w:val="nil"/>
              <w:left w:val="nil"/>
              <w:bottom w:val="nil"/>
              <w:right w:val="nil"/>
            </w:tcBorders>
            <w:vAlign w:val="bottom"/>
          </w:tcPr>
          <w:p w14:paraId="3BCE129C"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0.005</w:t>
            </w:r>
          </w:p>
        </w:tc>
        <w:tc>
          <w:tcPr>
            <w:tcW w:w="1352" w:type="dxa"/>
            <w:tcBorders>
              <w:top w:val="nil"/>
              <w:left w:val="nil"/>
              <w:bottom w:val="nil"/>
              <w:right w:val="nil"/>
            </w:tcBorders>
            <w:vAlign w:val="bottom"/>
          </w:tcPr>
          <w:p w14:paraId="6BACCED9"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3x10</w:t>
            </w:r>
            <w:r w:rsidRPr="0038596A">
              <w:rPr>
                <w:rFonts w:ascii="Arial" w:hAnsi="Arial" w:cs="Arial"/>
                <w:bCs/>
                <w:sz w:val="20"/>
                <w:szCs w:val="20"/>
                <w:vertAlign w:val="superscript"/>
                <w:lang w:val="en-GB"/>
              </w:rPr>
              <w:t>-4</w:t>
            </w:r>
          </w:p>
        </w:tc>
        <w:tc>
          <w:tcPr>
            <w:tcW w:w="1443" w:type="dxa"/>
            <w:tcBorders>
              <w:top w:val="nil"/>
              <w:left w:val="nil"/>
              <w:bottom w:val="nil"/>
              <w:right w:val="nil"/>
            </w:tcBorders>
            <w:vAlign w:val="bottom"/>
          </w:tcPr>
          <w:p w14:paraId="5F88556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0.07</w:t>
            </w:r>
          </w:p>
        </w:tc>
        <w:tc>
          <w:tcPr>
            <w:tcW w:w="1376" w:type="dxa"/>
            <w:tcBorders>
              <w:top w:val="nil"/>
              <w:left w:val="nil"/>
              <w:bottom w:val="nil"/>
              <w:right w:val="nil"/>
            </w:tcBorders>
            <w:vAlign w:val="bottom"/>
          </w:tcPr>
          <w:p w14:paraId="0C41A3A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0.005</w:t>
            </w:r>
          </w:p>
        </w:tc>
        <w:tc>
          <w:tcPr>
            <w:tcW w:w="1443" w:type="dxa"/>
            <w:tcBorders>
              <w:top w:val="nil"/>
              <w:left w:val="nil"/>
              <w:bottom w:val="nil"/>
              <w:right w:val="nil"/>
            </w:tcBorders>
            <w:vAlign w:val="bottom"/>
          </w:tcPr>
          <w:p w14:paraId="4D2FA62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0.05</w:t>
            </w:r>
          </w:p>
        </w:tc>
        <w:tc>
          <w:tcPr>
            <w:tcW w:w="1470" w:type="dxa"/>
            <w:tcBorders>
              <w:top w:val="nil"/>
              <w:left w:val="nil"/>
              <w:bottom w:val="nil"/>
              <w:right w:val="nil"/>
            </w:tcBorders>
            <w:vAlign w:val="bottom"/>
          </w:tcPr>
          <w:p w14:paraId="38058B9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0.004</w:t>
            </w:r>
          </w:p>
        </w:tc>
      </w:tr>
      <w:tr w:rsidR="005C429C" w:rsidRPr="0038596A" w14:paraId="606A0AAE" w14:textId="77777777" w:rsidTr="001E366F">
        <w:tc>
          <w:tcPr>
            <w:tcW w:w="1391" w:type="dxa"/>
            <w:tcBorders>
              <w:top w:val="nil"/>
              <w:left w:val="nil"/>
              <w:bottom w:val="nil"/>
              <w:right w:val="nil"/>
            </w:tcBorders>
            <w:vAlign w:val="bottom"/>
          </w:tcPr>
          <w:p w14:paraId="649B3E5A"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eastAsia="Times New Roman" w:hAnsi="Arial" w:cs="Arial"/>
                <w:color w:val="000000"/>
                <w:sz w:val="20"/>
                <w:szCs w:val="20"/>
                <w:lang w:val="en-GB"/>
              </w:rPr>
              <w:t>BaA</w:t>
            </w:r>
            <w:proofErr w:type="spellEnd"/>
          </w:p>
        </w:tc>
        <w:tc>
          <w:tcPr>
            <w:tcW w:w="1443" w:type="dxa"/>
            <w:tcBorders>
              <w:top w:val="nil"/>
              <w:left w:val="nil"/>
              <w:bottom w:val="nil"/>
              <w:right w:val="nil"/>
            </w:tcBorders>
            <w:vAlign w:val="bottom"/>
          </w:tcPr>
          <w:p w14:paraId="32B3F08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5.8</w:t>
            </w:r>
          </w:p>
        </w:tc>
        <w:tc>
          <w:tcPr>
            <w:tcW w:w="1352" w:type="dxa"/>
            <w:tcBorders>
              <w:top w:val="nil"/>
              <w:left w:val="nil"/>
              <w:bottom w:val="nil"/>
              <w:right w:val="nil"/>
            </w:tcBorders>
            <w:vAlign w:val="bottom"/>
          </w:tcPr>
          <w:p w14:paraId="3C1FC2E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4.3</w:t>
            </w:r>
          </w:p>
        </w:tc>
        <w:tc>
          <w:tcPr>
            <w:tcW w:w="1443" w:type="dxa"/>
            <w:tcBorders>
              <w:top w:val="nil"/>
              <w:left w:val="nil"/>
              <w:bottom w:val="nil"/>
              <w:right w:val="nil"/>
            </w:tcBorders>
            <w:vAlign w:val="bottom"/>
          </w:tcPr>
          <w:p w14:paraId="29854A4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80.1</w:t>
            </w:r>
          </w:p>
        </w:tc>
        <w:tc>
          <w:tcPr>
            <w:tcW w:w="1376" w:type="dxa"/>
            <w:tcBorders>
              <w:top w:val="nil"/>
              <w:left w:val="nil"/>
              <w:bottom w:val="nil"/>
              <w:right w:val="nil"/>
            </w:tcBorders>
            <w:vAlign w:val="bottom"/>
          </w:tcPr>
          <w:p w14:paraId="797E386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58.4</w:t>
            </w:r>
          </w:p>
        </w:tc>
        <w:tc>
          <w:tcPr>
            <w:tcW w:w="1443" w:type="dxa"/>
            <w:tcBorders>
              <w:top w:val="nil"/>
              <w:left w:val="nil"/>
              <w:bottom w:val="nil"/>
              <w:right w:val="nil"/>
            </w:tcBorders>
            <w:vAlign w:val="bottom"/>
          </w:tcPr>
          <w:p w14:paraId="7A47191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57.4</w:t>
            </w:r>
          </w:p>
        </w:tc>
        <w:tc>
          <w:tcPr>
            <w:tcW w:w="1470" w:type="dxa"/>
            <w:tcBorders>
              <w:top w:val="nil"/>
              <w:left w:val="nil"/>
              <w:bottom w:val="nil"/>
              <w:right w:val="nil"/>
            </w:tcBorders>
            <w:vAlign w:val="bottom"/>
          </w:tcPr>
          <w:p w14:paraId="1499840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41.9</w:t>
            </w:r>
          </w:p>
        </w:tc>
      </w:tr>
      <w:tr w:rsidR="005C429C" w:rsidRPr="0038596A" w14:paraId="35AD6459" w14:textId="77777777" w:rsidTr="001E366F">
        <w:tc>
          <w:tcPr>
            <w:tcW w:w="1391" w:type="dxa"/>
            <w:tcBorders>
              <w:top w:val="nil"/>
              <w:left w:val="nil"/>
              <w:bottom w:val="nil"/>
              <w:right w:val="nil"/>
            </w:tcBorders>
            <w:vAlign w:val="bottom"/>
          </w:tcPr>
          <w:p w14:paraId="5F2899C3"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eastAsia="Times New Roman" w:hAnsi="Arial" w:cs="Arial"/>
                <w:color w:val="000000"/>
                <w:sz w:val="20"/>
                <w:szCs w:val="20"/>
                <w:lang w:val="en-GB"/>
              </w:rPr>
              <w:t>BaP</w:t>
            </w:r>
            <w:proofErr w:type="spellEnd"/>
          </w:p>
        </w:tc>
        <w:tc>
          <w:tcPr>
            <w:tcW w:w="1443" w:type="dxa"/>
            <w:tcBorders>
              <w:top w:val="nil"/>
              <w:left w:val="nil"/>
              <w:bottom w:val="nil"/>
              <w:right w:val="nil"/>
            </w:tcBorders>
            <w:vAlign w:val="bottom"/>
          </w:tcPr>
          <w:p w14:paraId="339FC4E7"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6.8</w:t>
            </w:r>
          </w:p>
        </w:tc>
        <w:tc>
          <w:tcPr>
            <w:tcW w:w="1352" w:type="dxa"/>
            <w:tcBorders>
              <w:top w:val="nil"/>
              <w:left w:val="nil"/>
              <w:bottom w:val="nil"/>
              <w:right w:val="nil"/>
            </w:tcBorders>
            <w:vAlign w:val="bottom"/>
          </w:tcPr>
          <w:p w14:paraId="13519D7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49.3</w:t>
            </w:r>
          </w:p>
        </w:tc>
        <w:tc>
          <w:tcPr>
            <w:tcW w:w="1443" w:type="dxa"/>
            <w:tcBorders>
              <w:top w:val="nil"/>
              <w:left w:val="nil"/>
              <w:bottom w:val="nil"/>
              <w:right w:val="nil"/>
            </w:tcBorders>
            <w:vAlign w:val="bottom"/>
          </w:tcPr>
          <w:p w14:paraId="3D11FBD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92.8</w:t>
            </w:r>
          </w:p>
        </w:tc>
        <w:tc>
          <w:tcPr>
            <w:tcW w:w="1376" w:type="dxa"/>
            <w:tcBorders>
              <w:top w:val="nil"/>
              <w:left w:val="nil"/>
              <w:bottom w:val="nil"/>
              <w:right w:val="nil"/>
            </w:tcBorders>
            <w:vAlign w:val="bottom"/>
          </w:tcPr>
          <w:p w14:paraId="75F7A11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677.3</w:t>
            </w:r>
          </w:p>
        </w:tc>
        <w:tc>
          <w:tcPr>
            <w:tcW w:w="1443" w:type="dxa"/>
            <w:tcBorders>
              <w:top w:val="nil"/>
              <w:left w:val="nil"/>
              <w:bottom w:val="nil"/>
              <w:right w:val="nil"/>
            </w:tcBorders>
            <w:vAlign w:val="bottom"/>
          </w:tcPr>
          <w:p w14:paraId="37EB4FA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66.5</w:t>
            </w:r>
          </w:p>
        </w:tc>
        <w:tc>
          <w:tcPr>
            <w:tcW w:w="1470" w:type="dxa"/>
            <w:tcBorders>
              <w:top w:val="nil"/>
              <w:left w:val="nil"/>
              <w:bottom w:val="nil"/>
              <w:right w:val="nil"/>
            </w:tcBorders>
            <w:vAlign w:val="bottom"/>
          </w:tcPr>
          <w:p w14:paraId="595BE6A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485.7</w:t>
            </w:r>
          </w:p>
        </w:tc>
      </w:tr>
      <w:tr w:rsidR="005C429C" w:rsidRPr="0038596A" w14:paraId="148922F0" w14:textId="77777777" w:rsidTr="001E366F">
        <w:tc>
          <w:tcPr>
            <w:tcW w:w="1391" w:type="dxa"/>
            <w:tcBorders>
              <w:top w:val="nil"/>
              <w:left w:val="nil"/>
              <w:bottom w:val="nil"/>
              <w:right w:val="nil"/>
            </w:tcBorders>
            <w:vAlign w:val="bottom"/>
          </w:tcPr>
          <w:p w14:paraId="57EF7A94"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eastAsia="Times New Roman" w:hAnsi="Arial" w:cs="Arial"/>
                <w:color w:val="000000"/>
                <w:sz w:val="20"/>
                <w:szCs w:val="20"/>
                <w:lang w:val="en-GB"/>
              </w:rPr>
              <w:t>BbF</w:t>
            </w:r>
            <w:proofErr w:type="spellEnd"/>
          </w:p>
        </w:tc>
        <w:tc>
          <w:tcPr>
            <w:tcW w:w="1443" w:type="dxa"/>
            <w:tcBorders>
              <w:top w:val="nil"/>
              <w:left w:val="nil"/>
              <w:bottom w:val="nil"/>
              <w:right w:val="nil"/>
            </w:tcBorders>
            <w:vAlign w:val="bottom"/>
          </w:tcPr>
          <w:p w14:paraId="193E6E3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15.7</w:t>
            </w:r>
          </w:p>
        </w:tc>
        <w:tc>
          <w:tcPr>
            <w:tcW w:w="1352" w:type="dxa"/>
            <w:tcBorders>
              <w:top w:val="nil"/>
              <w:left w:val="nil"/>
              <w:bottom w:val="nil"/>
              <w:right w:val="nil"/>
            </w:tcBorders>
            <w:vAlign w:val="bottom"/>
          </w:tcPr>
          <w:p w14:paraId="0B16DD6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11.4</w:t>
            </w:r>
          </w:p>
        </w:tc>
        <w:tc>
          <w:tcPr>
            <w:tcW w:w="1443" w:type="dxa"/>
            <w:tcBorders>
              <w:top w:val="nil"/>
              <w:left w:val="nil"/>
              <w:bottom w:val="nil"/>
              <w:right w:val="nil"/>
            </w:tcBorders>
            <w:vAlign w:val="bottom"/>
          </w:tcPr>
          <w:p w14:paraId="0739168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215.4</w:t>
            </w:r>
          </w:p>
        </w:tc>
        <w:tc>
          <w:tcPr>
            <w:tcW w:w="1376" w:type="dxa"/>
            <w:tcBorders>
              <w:top w:val="nil"/>
              <w:left w:val="nil"/>
              <w:bottom w:val="nil"/>
              <w:right w:val="nil"/>
            </w:tcBorders>
            <w:vAlign w:val="bottom"/>
          </w:tcPr>
          <w:p w14:paraId="34213B6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157.2</w:t>
            </w:r>
          </w:p>
        </w:tc>
        <w:tc>
          <w:tcPr>
            <w:tcW w:w="1443" w:type="dxa"/>
            <w:tcBorders>
              <w:top w:val="nil"/>
              <w:left w:val="nil"/>
              <w:bottom w:val="nil"/>
              <w:right w:val="nil"/>
            </w:tcBorders>
            <w:vAlign w:val="bottom"/>
          </w:tcPr>
          <w:p w14:paraId="79F02DB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154.5</w:t>
            </w:r>
          </w:p>
        </w:tc>
        <w:tc>
          <w:tcPr>
            <w:tcW w:w="1470" w:type="dxa"/>
            <w:tcBorders>
              <w:top w:val="nil"/>
              <w:left w:val="nil"/>
              <w:bottom w:val="nil"/>
              <w:right w:val="nil"/>
            </w:tcBorders>
            <w:vAlign w:val="bottom"/>
          </w:tcPr>
          <w:p w14:paraId="0E169CC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112.8</w:t>
            </w:r>
          </w:p>
        </w:tc>
      </w:tr>
      <w:tr w:rsidR="005C429C" w:rsidRPr="0038596A" w14:paraId="39FBA7A0" w14:textId="77777777" w:rsidTr="001E366F">
        <w:tc>
          <w:tcPr>
            <w:tcW w:w="1391" w:type="dxa"/>
            <w:tcBorders>
              <w:top w:val="nil"/>
              <w:left w:val="nil"/>
              <w:bottom w:val="nil"/>
              <w:right w:val="nil"/>
            </w:tcBorders>
            <w:vAlign w:val="center"/>
          </w:tcPr>
          <w:p w14:paraId="6C0DFDD8"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FLR</w:t>
            </w:r>
          </w:p>
        </w:tc>
        <w:tc>
          <w:tcPr>
            <w:tcW w:w="1443" w:type="dxa"/>
            <w:tcBorders>
              <w:top w:val="nil"/>
              <w:left w:val="nil"/>
              <w:bottom w:val="nil"/>
              <w:right w:val="nil"/>
            </w:tcBorders>
            <w:vAlign w:val="bottom"/>
          </w:tcPr>
          <w:p w14:paraId="6FD02B3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0.1</w:t>
            </w:r>
          </w:p>
        </w:tc>
        <w:tc>
          <w:tcPr>
            <w:tcW w:w="1352" w:type="dxa"/>
            <w:tcBorders>
              <w:top w:val="nil"/>
              <w:left w:val="nil"/>
              <w:bottom w:val="nil"/>
              <w:right w:val="nil"/>
            </w:tcBorders>
            <w:vAlign w:val="bottom"/>
          </w:tcPr>
          <w:p w14:paraId="20161461"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8x10</w:t>
            </w:r>
            <w:r w:rsidRPr="0038596A">
              <w:rPr>
                <w:rFonts w:ascii="Arial" w:hAnsi="Arial" w:cs="Arial"/>
                <w:bCs/>
                <w:sz w:val="20"/>
                <w:szCs w:val="20"/>
                <w:vertAlign w:val="superscript"/>
                <w:lang w:val="en-GB"/>
              </w:rPr>
              <w:t>-4</w:t>
            </w:r>
          </w:p>
        </w:tc>
        <w:tc>
          <w:tcPr>
            <w:tcW w:w="1443" w:type="dxa"/>
            <w:tcBorders>
              <w:top w:val="nil"/>
              <w:left w:val="nil"/>
              <w:bottom w:val="nil"/>
              <w:right w:val="nil"/>
            </w:tcBorders>
            <w:vAlign w:val="bottom"/>
          </w:tcPr>
          <w:p w14:paraId="0A18806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1.5</w:t>
            </w:r>
          </w:p>
        </w:tc>
        <w:tc>
          <w:tcPr>
            <w:tcW w:w="1376" w:type="dxa"/>
            <w:tcBorders>
              <w:top w:val="nil"/>
              <w:left w:val="nil"/>
              <w:bottom w:val="nil"/>
              <w:right w:val="nil"/>
            </w:tcBorders>
            <w:vAlign w:val="bottom"/>
          </w:tcPr>
          <w:p w14:paraId="69033EA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0.01</w:t>
            </w:r>
          </w:p>
        </w:tc>
        <w:tc>
          <w:tcPr>
            <w:tcW w:w="1443" w:type="dxa"/>
            <w:tcBorders>
              <w:top w:val="nil"/>
              <w:left w:val="nil"/>
              <w:bottom w:val="nil"/>
              <w:right w:val="nil"/>
            </w:tcBorders>
            <w:vAlign w:val="bottom"/>
          </w:tcPr>
          <w:p w14:paraId="3C880FFF"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1.1</w:t>
            </w:r>
          </w:p>
        </w:tc>
        <w:tc>
          <w:tcPr>
            <w:tcW w:w="1470" w:type="dxa"/>
            <w:tcBorders>
              <w:top w:val="nil"/>
              <w:left w:val="nil"/>
              <w:bottom w:val="nil"/>
              <w:right w:val="nil"/>
            </w:tcBorders>
            <w:vAlign w:val="bottom"/>
          </w:tcPr>
          <w:p w14:paraId="4ADA765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0.008</w:t>
            </w:r>
          </w:p>
        </w:tc>
      </w:tr>
      <w:tr w:rsidR="005C429C" w:rsidRPr="0038596A" w14:paraId="3DEB03D5" w14:textId="77777777" w:rsidTr="001E366F">
        <w:tc>
          <w:tcPr>
            <w:tcW w:w="1391" w:type="dxa"/>
            <w:tcBorders>
              <w:top w:val="nil"/>
              <w:left w:val="nil"/>
              <w:bottom w:val="nil"/>
              <w:right w:val="nil"/>
            </w:tcBorders>
            <w:vAlign w:val="bottom"/>
          </w:tcPr>
          <w:p w14:paraId="065A76C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FLRT</w:t>
            </w:r>
          </w:p>
        </w:tc>
        <w:tc>
          <w:tcPr>
            <w:tcW w:w="1443" w:type="dxa"/>
            <w:tcBorders>
              <w:top w:val="nil"/>
              <w:left w:val="nil"/>
              <w:bottom w:val="nil"/>
              <w:right w:val="nil"/>
            </w:tcBorders>
            <w:vAlign w:val="bottom"/>
          </w:tcPr>
          <w:p w14:paraId="578C497F"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13.2</w:t>
            </w:r>
          </w:p>
        </w:tc>
        <w:tc>
          <w:tcPr>
            <w:tcW w:w="1352" w:type="dxa"/>
            <w:tcBorders>
              <w:top w:val="nil"/>
              <w:left w:val="nil"/>
              <w:bottom w:val="nil"/>
              <w:right w:val="nil"/>
            </w:tcBorders>
            <w:vAlign w:val="bottom"/>
          </w:tcPr>
          <w:p w14:paraId="3BEC81B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9.6</w:t>
            </w:r>
          </w:p>
        </w:tc>
        <w:tc>
          <w:tcPr>
            <w:tcW w:w="1443" w:type="dxa"/>
            <w:tcBorders>
              <w:top w:val="nil"/>
              <w:left w:val="nil"/>
              <w:bottom w:val="nil"/>
              <w:right w:val="nil"/>
            </w:tcBorders>
            <w:vAlign w:val="bottom"/>
          </w:tcPr>
          <w:p w14:paraId="7B39885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181.4</w:t>
            </w:r>
          </w:p>
        </w:tc>
        <w:tc>
          <w:tcPr>
            <w:tcW w:w="1376" w:type="dxa"/>
            <w:tcBorders>
              <w:top w:val="nil"/>
              <w:left w:val="nil"/>
              <w:bottom w:val="nil"/>
              <w:right w:val="nil"/>
            </w:tcBorders>
            <w:vAlign w:val="bottom"/>
          </w:tcPr>
          <w:p w14:paraId="692FA421"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hAnsi="Arial" w:cs="Arial"/>
                <w:bCs/>
                <w:sz w:val="20"/>
                <w:szCs w:val="20"/>
                <w:lang w:val="en-GB"/>
              </w:rPr>
              <w:t>10</w:t>
            </w:r>
            <w:r w:rsidRPr="0038596A">
              <w:rPr>
                <w:rFonts w:ascii="Arial" w:hAnsi="Arial" w:cs="Arial"/>
                <w:bCs/>
                <w:sz w:val="20"/>
                <w:szCs w:val="20"/>
                <w:vertAlign w:val="superscript"/>
                <w:lang w:val="en-GB"/>
              </w:rPr>
              <w:t>-4</w:t>
            </w:r>
          </w:p>
        </w:tc>
        <w:tc>
          <w:tcPr>
            <w:tcW w:w="1443" w:type="dxa"/>
            <w:tcBorders>
              <w:top w:val="nil"/>
              <w:left w:val="nil"/>
              <w:bottom w:val="nil"/>
              <w:right w:val="nil"/>
            </w:tcBorders>
            <w:vAlign w:val="bottom"/>
          </w:tcPr>
          <w:p w14:paraId="63B8670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130.1</w:t>
            </w:r>
          </w:p>
        </w:tc>
        <w:tc>
          <w:tcPr>
            <w:tcW w:w="1470" w:type="dxa"/>
            <w:tcBorders>
              <w:top w:val="nil"/>
              <w:left w:val="nil"/>
              <w:bottom w:val="nil"/>
              <w:right w:val="nil"/>
            </w:tcBorders>
            <w:vAlign w:val="bottom"/>
          </w:tcPr>
          <w:p w14:paraId="34550D46"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0.9</w:t>
            </w:r>
          </w:p>
        </w:tc>
      </w:tr>
      <w:tr w:rsidR="005C429C" w:rsidRPr="0038596A" w14:paraId="3A614FA8" w14:textId="77777777" w:rsidTr="001E366F">
        <w:tc>
          <w:tcPr>
            <w:tcW w:w="1391" w:type="dxa"/>
            <w:tcBorders>
              <w:top w:val="nil"/>
              <w:left w:val="nil"/>
              <w:bottom w:val="nil"/>
              <w:right w:val="nil"/>
            </w:tcBorders>
            <w:vAlign w:val="center"/>
          </w:tcPr>
          <w:p w14:paraId="7BFECE3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NPT</w:t>
            </w:r>
          </w:p>
        </w:tc>
        <w:tc>
          <w:tcPr>
            <w:tcW w:w="1443" w:type="dxa"/>
            <w:tcBorders>
              <w:top w:val="nil"/>
              <w:left w:val="nil"/>
              <w:bottom w:val="nil"/>
              <w:right w:val="nil"/>
            </w:tcBorders>
            <w:vAlign w:val="bottom"/>
          </w:tcPr>
          <w:p w14:paraId="79399A3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0.2</w:t>
            </w:r>
          </w:p>
        </w:tc>
        <w:tc>
          <w:tcPr>
            <w:tcW w:w="1352" w:type="dxa"/>
            <w:tcBorders>
              <w:top w:val="nil"/>
              <w:left w:val="nil"/>
              <w:bottom w:val="nil"/>
              <w:right w:val="nil"/>
            </w:tcBorders>
            <w:vAlign w:val="bottom"/>
          </w:tcPr>
          <w:p w14:paraId="31DD735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0.002</w:t>
            </w:r>
          </w:p>
        </w:tc>
        <w:tc>
          <w:tcPr>
            <w:tcW w:w="1443" w:type="dxa"/>
            <w:tcBorders>
              <w:top w:val="nil"/>
              <w:left w:val="nil"/>
              <w:bottom w:val="nil"/>
              <w:right w:val="nil"/>
            </w:tcBorders>
            <w:vAlign w:val="bottom"/>
          </w:tcPr>
          <w:p w14:paraId="179F92B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3.1</w:t>
            </w:r>
          </w:p>
        </w:tc>
        <w:tc>
          <w:tcPr>
            <w:tcW w:w="1376" w:type="dxa"/>
            <w:tcBorders>
              <w:top w:val="nil"/>
              <w:left w:val="nil"/>
              <w:bottom w:val="nil"/>
              <w:right w:val="nil"/>
            </w:tcBorders>
            <w:vAlign w:val="bottom"/>
          </w:tcPr>
          <w:p w14:paraId="5FCC982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0.02</w:t>
            </w:r>
          </w:p>
        </w:tc>
        <w:tc>
          <w:tcPr>
            <w:tcW w:w="1443" w:type="dxa"/>
            <w:tcBorders>
              <w:top w:val="nil"/>
              <w:left w:val="nil"/>
              <w:bottom w:val="nil"/>
              <w:right w:val="nil"/>
            </w:tcBorders>
            <w:vAlign w:val="bottom"/>
          </w:tcPr>
          <w:p w14:paraId="46F6CF70"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2.2</w:t>
            </w:r>
          </w:p>
        </w:tc>
        <w:tc>
          <w:tcPr>
            <w:tcW w:w="1470" w:type="dxa"/>
            <w:tcBorders>
              <w:top w:val="nil"/>
              <w:left w:val="nil"/>
              <w:bottom w:val="nil"/>
              <w:right w:val="nil"/>
            </w:tcBorders>
            <w:vAlign w:val="bottom"/>
          </w:tcPr>
          <w:p w14:paraId="0580D468"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0.02</w:t>
            </w:r>
          </w:p>
        </w:tc>
      </w:tr>
      <w:tr w:rsidR="005C429C" w:rsidRPr="0038596A" w14:paraId="23FAC477" w14:textId="77777777" w:rsidTr="001E366F">
        <w:tc>
          <w:tcPr>
            <w:tcW w:w="1391" w:type="dxa"/>
            <w:tcBorders>
              <w:top w:val="nil"/>
              <w:left w:val="nil"/>
              <w:bottom w:val="nil"/>
              <w:right w:val="nil"/>
            </w:tcBorders>
            <w:vAlign w:val="bottom"/>
          </w:tcPr>
          <w:p w14:paraId="4239AA8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PNT</w:t>
            </w:r>
          </w:p>
        </w:tc>
        <w:tc>
          <w:tcPr>
            <w:tcW w:w="1443" w:type="dxa"/>
            <w:tcBorders>
              <w:top w:val="nil"/>
              <w:left w:val="nil"/>
              <w:bottom w:val="nil"/>
              <w:right w:val="nil"/>
            </w:tcBorders>
            <w:vAlign w:val="bottom"/>
          </w:tcPr>
          <w:p w14:paraId="394F2C3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21.9</w:t>
            </w:r>
          </w:p>
        </w:tc>
        <w:tc>
          <w:tcPr>
            <w:tcW w:w="1352" w:type="dxa"/>
            <w:tcBorders>
              <w:top w:val="nil"/>
              <w:left w:val="nil"/>
              <w:bottom w:val="nil"/>
              <w:right w:val="nil"/>
            </w:tcBorders>
            <w:vAlign w:val="bottom"/>
          </w:tcPr>
          <w:p w14:paraId="2D5F5461"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0.2</w:t>
            </w:r>
          </w:p>
        </w:tc>
        <w:tc>
          <w:tcPr>
            <w:tcW w:w="1443" w:type="dxa"/>
            <w:tcBorders>
              <w:top w:val="nil"/>
              <w:left w:val="nil"/>
              <w:bottom w:val="nil"/>
              <w:right w:val="nil"/>
            </w:tcBorders>
            <w:vAlign w:val="bottom"/>
          </w:tcPr>
          <w:p w14:paraId="3D34DB64"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301.4</w:t>
            </w:r>
          </w:p>
        </w:tc>
        <w:tc>
          <w:tcPr>
            <w:tcW w:w="1376" w:type="dxa"/>
            <w:tcBorders>
              <w:top w:val="nil"/>
              <w:left w:val="nil"/>
              <w:bottom w:val="nil"/>
              <w:right w:val="nil"/>
            </w:tcBorders>
            <w:vAlign w:val="bottom"/>
          </w:tcPr>
          <w:p w14:paraId="2FD1501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2.2</w:t>
            </w:r>
          </w:p>
        </w:tc>
        <w:tc>
          <w:tcPr>
            <w:tcW w:w="1443" w:type="dxa"/>
            <w:tcBorders>
              <w:top w:val="nil"/>
              <w:left w:val="nil"/>
              <w:bottom w:val="nil"/>
              <w:right w:val="nil"/>
            </w:tcBorders>
            <w:vAlign w:val="bottom"/>
          </w:tcPr>
          <w:p w14:paraId="0BFB38A3"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216.2</w:t>
            </w:r>
          </w:p>
        </w:tc>
        <w:tc>
          <w:tcPr>
            <w:tcW w:w="1470" w:type="dxa"/>
            <w:tcBorders>
              <w:top w:val="nil"/>
              <w:left w:val="nil"/>
              <w:bottom w:val="nil"/>
              <w:right w:val="nil"/>
            </w:tcBorders>
            <w:vAlign w:val="bottom"/>
          </w:tcPr>
          <w:p w14:paraId="3FB87F5C"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1.6</w:t>
            </w:r>
          </w:p>
        </w:tc>
      </w:tr>
      <w:tr w:rsidR="005C429C" w:rsidRPr="0038596A" w14:paraId="442C4532" w14:textId="77777777" w:rsidTr="001E366F">
        <w:tc>
          <w:tcPr>
            <w:tcW w:w="1391" w:type="dxa"/>
            <w:tcBorders>
              <w:top w:val="nil"/>
              <w:left w:val="nil"/>
              <w:bottom w:val="nil"/>
              <w:right w:val="nil"/>
            </w:tcBorders>
            <w:vAlign w:val="bottom"/>
          </w:tcPr>
          <w:p w14:paraId="664FCD1D"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I(1,2,3-cd)P</w:t>
            </w:r>
          </w:p>
        </w:tc>
        <w:tc>
          <w:tcPr>
            <w:tcW w:w="1443" w:type="dxa"/>
            <w:tcBorders>
              <w:top w:val="nil"/>
              <w:left w:val="nil"/>
              <w:bottom w:val="nil"/>
              <w:right w:val="nil"/>
            </w:tcBorders>
            <w:vAlign w:val="bottom"/>
          </w:tcPr>
          <w:p w14:paraId="1E7CC11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7.6</w:t>
            </w:r>
          </w:p>
        </w:tc>
        <w:tc>
          <w:tcPr>
            <w:tcW w:w="1352" w:type="dxa"/>
            <w:tcBorders>
              <w:top w:val="nil"/>
              <w:left w:val="nil"/>
              <w:bottom w:val="nil"/>
              <w:right w:val="nil"/>
            </w:tcBorders>
            <w:vAlign w:val="bottom"/>
          </w:tcPr>
          <w:p w14:paraId="3308EE0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5.5</w:t>
            </w:r>
          </w:p>
        </w:tc>
        <w:tc>
          <w:tcPr>
            <w:tcW w:w="1443" w:type="dxa"/>
            <w:tcBorders>
              <w:top w:val="nil"/>
              <w:left w:val="nil"/>
              <w:bottom w:val="nil"/>
              <w:right w:val="nil"/>
            </w:tcBorders>
            <w:vAlign w:val="bottom"/>
          </w:tcPr>
          <w:p w14:paraId="78A0EF8A"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104.2</w:t>
            </w:r>
          </w:p>
        </w:tc>
        <w:tc>
          <w:tcPr>
            <w:tcW w:w="1376" w:type="dxa"/>
            <w:tcBorders>
              <w:top w:val="nil"/>
              <w:left w:val="nil"/>
              <w:bottom w:val="nil"/>
              <w:right w:val="nil"/>
            </w:tcBorders>
            <w:vAlign w:val="bottom"/>
          </w:tcPr>
          <w:p w14:paraId="51126F47"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76.1</w:t>
            </w:r>
          </w:p>
        </w:tc>
        <w:tc>
          <w:tcPr>
            <w:tcW w:w="1443" w:type="dxa"/>
            <w:tcBorders>
              <w:top w:val="nil"/>
              <w:left w:val="nil"/>
              <w:bottom w:val="nil"/>
              <w:right w:val="nil"/>
            </w:tcBorders>
            <w:vAlign w:val="bottom"/>
          </w:tcPr>
          <w:p w14:paraId="4B43D13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74.8</w:t>
            </w:r>
          </w:p>
        </w:tc>
        <w:tc>
          <w:tcPr>
            <w:tcW w:w="1470" w:type="dxa"/>
            <w:tcBorders>
              <w:top w:val="nil"/>
              <w:left w:val="nil"/>
              <w:bottom w:val="nil"/>
              <w:right w:val="nil"/>
            </w:tcBorders>
            <w:vAlign w:val="bottom"/>
          </w:tcPr>
          <w:p w14:paraId="03BEA77E"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54.6</w:t>
            </w:r>
          </w:p>
        </w:tc>
      </w:tr>
      <w:tr w:rsidR="005C429C" w:rsidRPr="0038596A" w14:paraId="38F7F800" w14:textId="77777777" w:rsidTr="001E366F">
        <w:tc>
          <w:tcPr>
            <w:tcW w:w="1391" w:type="dxa"/>
            <w:tcBorders>
              <w:top w:val="nil"/>
              <w:left w:val="nil"/>
              <w:bottom w:val="single" w:sz="4" w:space="0" w:color="auto"/>
              <w:right w:val="nil"/>
            </w:tcBorders>
            <w:vAlign w:val="bottom"/>
          </w:tcPr>
          <w:p w14:paraId="71676062"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PYR</w:t>
            </w:r>
          </w:p>
        </w:tc>
        <w:tc>
          <w:tcPr>
            <w:tcW w:w="1443" w:type="dxa"/>
            <w:tcBorders>
              <w:top w:val="nil"/>
              <w:left w:val="nil"/>
              <w:bottom w:val="single" w:sz="4" w:space="0" w:color="auto"/>
              <w:right w:val="nil"/>
            </w:tcBorders>
            <w:vAlign w:val="bottom"/>
          </w:tcPr>
          <w:p w14:paraId="25E98BE9"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0.05</w:t>
            </w:r>
          </w:p>
        </w:tc>
        <w:tc>
          <w:tcPr>
            <w:tcW w:w="1352" w:type="dxa"/>
            <w:tcBorders>
              <w:top w:val="nil"/>
              <w:left w:val="nil"/>
              <w:bottom w:val="single" w:sz="4" w:space="0" w:color="auto"/>
              <w:right w:val="nil"/>
            </w:tcBorders>
            <w:vAlign w:val="bottom"/>
          </w:tcPr>
          <w:p w14:paraId="0BA92A50" w14:textId="77777777" w:rsidR="005C429C" w:rsidRPr="0038596A" w:rsidRDefault="005C429C" w:rsidP="001E366F">
            <w:pPr>
              <w:jc w:val="center"/>
              <w:rPr>
                <w:rFonts w:ascii="Arial" w:hAnsi="Arial" w:cs="Arial"/>
                <w:bCs/>
                <w:sz w:val="20"/>
                <w:szCs w:val="20"/>
                <w:vertAlign w:val="superscript"/>
                <w:lang w:val="en-GB"/>
              </w:rPr>
            </w:pPr>
            <w:r w:rsidRPr="0038596A">
              <w:rPr>
                <w:rFonts w:ascii="Arial" w:eastAsia="Times New Roman" w:hAnsi="Arial" w:cs="Arial"/>
                <w:bCs/>
                <w:color w:val="000000"/>
                <w:sz w:val="20"/>
                <w:szCs w:val="20"/>
                <w:lang w:val="en-GB"/>
              </w:rPr>
              <w:t>3x10</w:t>
            </w:r>
            <w:r w:rsidRPr="0038596A">
              <w:rPr>
                <w:rFonts w:ascii="Arial" w:eastAsia="Times New Roman" w:hAnsi="Arial" w:cs="Arial"/>
                <w:bCs/>
                <w:color w:val="000000"/>
                <w:sz w:val="20"/>
                <w:szCs w:val="20"/>
                <w:vertAlign w:val="superscript"/>
                <w:lang w:val="en-GB"/>
              </w:rPr>
              <w:t>-4</w:t>
            </w:r>
          </w:p>
        </w:tc>
        <w:tc>
          <w:tcPr>
            <w:tcW w:w="1443" w:type="dxa"/>
            <w:tcBorders>
              <w:top w:val="nil"/>
              <w:left w:val="nil"/>
              <w:bottom w:val="single" w:sz="4" w:space="0" w:color="auto"/>
              <w:right w:val="nil"/>
            </w:tcBorders>
            <w:vAlign w:val="bottom"/>
          </w:tcPr>
          <w:p w14:paraId="73C8E92B"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0.6</w:t>
            </w:r>
          </w:p>
        </w:tc>
        <w:tc>
          <w:tcPr>
            <w:tcW w:w="1376" w:type="dxa"/>
            <w:tcBorders>
              <w:top w:val="nil"/>
              <w:left w:val="nil"/>
              <w:bottom w:val="single" w:sz="4" w:space="0" w:color="auto"/>
              <w:right w:val="nil"/>
            </w:tcBorders>
            <w:vAlign w:val="bottom"/>
          </w:tcPr>
          <w:p w14:paraId="7DA619F8"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0.005</w:t>
            </w:r>
          </w:p>
        </w:tc>
        <w:tc>
          <w:tcPr>
            <w:tcW w:w="1443" w:type="dxa"/>
            <w:tcBorders>
              <w:top w:val="nil"/>
              <w:left w:val="nil"/>
              <w:bottom w:val="single" w:sz="4" w:space="0" w:color="auto"/>
              <w:right w:val="nil"/>
            </w:tcBorders>
            <w:vAlign w:val="bottom"/>
          </w:tcPr>
          <w:p w14:paraId="683F28F7"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color w:val="000000"/>
                <w:sz w:val="20"/>
                <w:szCs w:val="20"/>
                <w:lang w:val="en-GB"/>
              </w:rPr>
              <w:t>0.5</w:t>
            </w:r>
          </w:p>
        </w:tc>
        <w:tc>
          <w:tcPr>
            <w:tcW w:w="1470" w:type="dxa"/>
            <w:tcBorders>
              <w:top w:val="nil"/>
              <w:left w:val="nil"/>
              <w:bottom w:val="single" w:sz="4" w:space="0" w:color="auto"/>
              <w:right w:val="nil"/>
            </w:tcBorders>
            <w:vAlign w:val="bottom"/>
          </w:tcPr>
          <w:p w14:paraId="5A137EE5" w14:textId="77777777" w:rsidR="005C429C" w:rsidRPr="0038596A" w:rsidRDefault="005C429C" w:rsidP="001E366F">
            <w:pPr>
              <w:jc w:val="center"/>
              <w:rPr>
                <w:rFonts w:ascii="Arial" w:hAnsi="Arial" w:cs="Arial"/>
                <w:bCs/>
                <w:sz w:val="20"/>
                <w:szCs w:val="20"/>
                <w:lang w:val="en-GB"/>
              </w:rPr>
            </w:pPr>
            <w:r w:rsidRPr="0038596A">
              <w:rPr>
                <w:rFonts w:ascii="Arial" w:eastAsia="Times New Roman" w:hAnsi="Arial" w:cs="Arial"/>
                <w:bCs/>
                <w:color w:val="000000"/>
                <w:sz w:val="20"/>
                <w:szCs w:val="20"/>
                <w:lang w:val="en-GB"/>
              </w:rPr>
              <w:t>0.003</w:t>
            </w:r>
          </w:p>
        </w:tc>
      </w:tr>
      <w:tr w:rsidR="005C429C" w:rsidRPr="0038596A" w14:paraId="12DF95BB" w14:textId="77777777" w:rsidTr="001E366F">
        <w:tc>
          <w:tcPr>
            <w:tcW w:w="1391" w:type="dxa"/>
            <w:tcBorders>
              <w:top w:val="single" w:sz="4" w:space="0" w:color="auto"/>
              <w:left w:val="nil"/>
              <w:bottom w:val="nil"/>
              <w:right w:val="nil"/>
            </w:tcBorders>
          </w:tcPr>
          <w:p w14:paraId="1BF1E58E" w14:textId="77777777" w:rsidR="005C429C" w:rsidRPr="0038596A" w:rsidRDefault="005C429C" w:rsidP="001E366F">
            <w:pPr>
              <w:jc w:val="center"/>
              <w:rPr>
                <w:rFonts w:ascii="Arial" w:hAnsi="Arial" w:cs="Arial"/>
                <w:bCs/>
                <w:sz w:val="20"/>
                <w:szCs w:val="20"/>
                <w:lang w:val="en-GB"/>
              </w:rPr>
            </w:pPr>
            <w:proofErr w:type="spellStart"/>
            <w:r w:rsidRPr="0038596A">
              <w:rPr>
                <w:rFonts w:ascii="Arial" w:hAnsi="Arial" w:cs="Arial"/>
                <w:bCs/>
                <w:sz w:val="20"/>
                <w:szCs w:val="20"/>
                <w:lang w:val="en-GB"/>
              </w:rPr>
              <w:t>m±s</w:t>
            </w:r>
            <w:proofErr w:type="spellEnd"/>
          </w:p>
        </w:tc>
        <w:tc>
          <w:tcPr>
            <w:tcW w:w="1443" w:type="dxa"/>
            <w:tcBorders>
              <w:top w:val="single" w:sz="4" w:space="0" w:color="auto"/>
              <w:left w:val="nil"/>
              <w:bottom w:val="nil"/>
              <w:right w:val="nil"/>
            </w:tcBorders>
          </w:tcPr>
          <w:p w14:paraId="2A002BFD"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6.5±7.6</w:t>
            </w:r>
          </w:p>
        </w:tc>
        <w:tc>
          <w:tcPr>
            <w:tcW w:w="1352" w:type="dxa"/>
            <w:tcBorders>
              <w:top w:val="single" w:sz="4" w:space="0" w:color="auto"/>
              <w:left w:val="nil"/>
              <w:bottom w:val="nil"/>
              <w:right w:val="nil"/>
            </w:tcBorders>
          </w:tcPr>
          <w:p w14:paraId="63A4539D"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7.3±14.5</w:t>
            </w:r>
          </w:p>
        </w:tc>
        <w:tc>
          <w:tcPr>
            <w:tcW w:w="1443" w:type="dxa"/>
            <w:tcBorders>
              <w:top w:val="single" w:sz="4" w:space="0" w:color="auto"/>
              <w:left w:val="nil"/>
              <w:bottom w:val="nil"/>
              <w:right w:val="nil"/>
            </w:tcBorders>
          </w:tcPr>
          <w:p w14:paraId="32288B8C"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89.6±103.8</w:t>
            </w:r>
          </w:p>
        </w:tc>
        <w:tc>
          <w:tcPr>
            <w:tcW w:w="1376" w:type="dxa"/>
            <w:tcBorders>
              <w:top w:val="single" w:sz="4" w:space="0" w:color="auto"/>
              <w:left w:val="nil"/>
              <w:bottom w:val="nil"/>
              <w:right w:val="nil"/>
            </w:tcBorders>
          </w:tcPr>
          <w:p w14:paraId="587E47B5"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88.3±20107</w:t>
            </w:r>
          </w:p>
        </w:tc>
        <w:tc>
          <w:tcPr>
            <w:tcW w:w="1443" w:type="dxa"/>
            <w:tcBorders>
              <w:top w:val="single" w:sz="4" w:space="0" w:color="auto"/>
              <w:left w:val="nil"/>
              <w:bottom w:val="nil"/>
              <w:right w:val="nil"/>
            </w:tcBorders>
          </w:tcPr>
          <w:p w14:paraId="7F91E06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63,9±74,7</w:t>
            </w:r>
          </w:p>
        </w:tc>
        <w:tc>
          <w:tcPr>
            <w:tcW w:w="1470" w:type="dxa"/>
            <w:tcBorders>
              <w:top w:val="single" w:sz="4" w:space="0" w:color="auto"/>
              <w:left w:val="nil"/>
              <w:bottom w:val="nil"/>
              <w:right w:val="nil"/>
            </w:tcBorders>
          </w:tcPr>
          <w:p w14:paraId="1A5A3CEA"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63.4±144.6</w:t>
            </w:r>
          </w:p>
        </w:tc>
      </w:tr>
      <w:tr w:rsidR="005C429C" w:rsidRPr="0038596A" w14:paraId="571023C2" w14:textId="77777777" w:rsidTr="001E366F">
        <w:tc>
          <w:tcPr>
            <w:tcW w:w="1391" w:type="dxa"/>
            <w:tcBorders>
              <w:top w:val="nil"/>
              <w:left w:val="nil"/>
              <w:bottom w:val="nil"/>
              <w:right w:val="nil"/>
            </w:tcBorders>
          </w:tcPr>
          <w:p w14:paraId="267FEDAB"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Min-Max</w:t>
            </w:r>
          </w:p>
        </w:tc>
        <w:tc>
          <w:tcPr>
            <w:tcW w:w="1443" w:type="dxa"/>
            <w:tcBorders>
              <w:top w:val="nil"/>
              <w:left w:val="nil"/>
              <w:bottom w:val="nil"/>
              <w:right w:val="nil"/>
            </w:tcBorders>
          </w:tcPr>
          <w:p w14:paraId="14CD7E95"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0.05-21.9</w:t>
            </w:r>
          </w:p>
        </w:tc>
        <w:tc>
          <w:tcPr>
            <w:tcW w:w="1352" w:type="dxa"/>
            <w:tcBorders>
              <w:top w:val="nil"/>
              <w:left w:val="nil"/>
              <w:bottom w:val="nil"/>
              <w:right w:val="nil"/>
            </w:tcBorders>
          </w:tcPr>
          <w:p w14:paraId="2A7DDC38"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2x10</w:t>
            </w:r>
            <w:r w:rsidRPr="0038596A">
              <w:rPr>
                <w:rFonts w:ascii="Arial" w:hAnsi="Arial" w:cs="Arial"/>
                <w:bCs/>
                <w:sz w:val="20"/>
                <w:szCs w:val="20"/>
                <w:vertAlign w:val="superscript"/>
                <w:lang w:val="en-GB"/>
              </w:rPr>
              <w:t>-4</w:t>
            </w:r>
            <w:r w:rsidRPr="0038596A">
              <w:rPr>
                <w:rFonts w:ascii="Arial" w:hAnsi="Arial" w:cs="Arial"/>
                <w:bCs/>
                <w:sz w:val="20"/>
                <w:szCs w:val="20"/>
                <w:lang w:val="en-GB"/>
              </w:rPr>
              <w:t>-49.3</w:t>
            </w:r>
          </w:p>
        </w:tc>
        <w:tc>
          <w:tcPr>
            <w:tcW w:w="1443" w:type="dxa"/>
            <w:tcBorders>
              <w:top w:val="nil"/>
              <w:left w:val="nil"/>
              <w:bottom w:val="nil"/>
              <w:right w:val="nil"/>
            </w:tcBorders>
          </w:tcPr>
          <w:p w14:paraId="39760BC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0.07-301.4</w:t>
            </w:r>
          </w:p>
        </w:tc>
        <w:tc>
          <w:tcPr>
            <w:tcW w:w="1376" w:type="dxa"/>
            <w:tcBorders>
              <w:top w:val="nil"/>
              <w:left w:val="nil"/>
              <w:bottom w:val="nil"/>
              <w:right w:val="nil"/>
            </w:tcBorders>
          </w:tcPr>
          <w:p w14:paraId="00AE1342"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10</w:t>
            </w:r>
            <w:r w:rsidRPr="0038596A">
              <w:rPr>
                <w:rFonts w:ascii="Arial" w:hAnsi="Arial" w:cs="Arial"/>
                <w:bCs/>
                <w:sz w:val="20"/>
                <w:szCs w:val="20"/>
                <w:vertAlign w:val="superscript"/>
                <w:lang w:val="en-GB"/>
              </w:rPr>
              <w:t>-4</w:t>
            </w:r>
            <w:r w:rsidRPr="0038596A">
              <w:rPr>
                <w:rFonts w:ascii="Arial" w:hAnsi="Arial" w:cs="Arial"/>
                <w:bCs/>
                <w:sz w:val="20"/>
                <w:szCs w:val="20"/>
                <w:lang w:val="en-GB"/>
              </w:rPr>
              <w:t>-677.3</w:t>
            </w:r>
          </w:p>
        </w:tc>
        <w:tc>
          <w:tcPr>
            <w:tcW w:w="1443" w:type="dxa"/>
            <w:tcBorders>
              <w:top w:val="nil"/>
              <w:left w:val="nil"/>
              <w:bottom w:val="nil"/>
              <w:right w:val="nil"/>
            </w:tcBorders>
          </w:tcPr>
          <w:p w14:paraId="31256F2B"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0,05-216,2</w:t>
            </w:r>
          </w:p>
        </w:tc>
        <w:tc>
          <w:tcPr>
            <w:tcW w:w="1470" w:type="dxa"/>
            <w:tcBorders>
              <w:top w:val="nil"/>
              <w:left w:val="nil"/>
              <w:bottom w:val="nil"/>
              <w:right w:val="nil"/>
            </w:tcBorders>
          </w:tcPr>
          <w:p w14:paraId="04269433" w14:textId="77777777" w:rsidR="005C429C" w:rsidRPr="0038596A" w:rsidRDefault="005C429C" w:rsidP="001E366F">
            <w:pPr>
              <w:jc w:val="center"/>
              <w:rPr>
                <w:rFonts w:ascii="Arial" w:hAnsi="Arial" w:cs="Arial"/>
                <w:bCs/>
                <w:sz w:val="20"/>
                <w:szCs w:val="20"/>
                <w:lang w:val="en-GB"/>
              </w:rPr>
            </w:pPr>
            <w:r w:rsidRPr="0038596A">
              <w:rPr>
                <w:rFonts w:ascii="Arial" w:hAnsi="Arial" w:cs="Arial"/>
                <w:bCs/>
                <w:sz w:val="20"/>
                <w:szCs w:val="20"/>
                <w:lang w:val="en-GB"/>
              </w:rPr>
              <w:t>0.003-485.7</w:t>
            </w:r>
          </w:p>
        </w:tc>
      </w:tr>
      <w:tr w:rsidR="005C429C" w:rsidRPr="0038596A" w14:paraId="193682A6" w14:textId="77777777" w:rsidTr="001E366F">
        <w:tc>
          <w:tcPr>
            <w:tcW w:w="1391" w:type="dxa"/>
            <w:tcBorders>
              <w:top w:val="nil"/>
              <w:left w:val="nil"/>
              <w:right w:val="nil"/>
            </w:tcBorders>
          </w:tcPr>
          <w:p w14:paraId="2138A6A7"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RI (x 10</w:t>
            </w:r>
            <w:r w:rsidRPr="0038596A">
              <w:rPr>
                <w:rFonts w:ascii="Arial" w:hAnsi="Arial" w:cs="Arial"/>
                <w:b/>
                <w:sz w:val="20"/>
                <w:szCs w:val="20"/>
                <w:vertAlign w:val="superscript"/>
                <w:lang w:val="en-GB"/>
              </w:rPr>
              <w:t>-4</w:t>
            </w:r>
            <w:r w:rsidRPr="0038596A">
              <w:rPr>
                <w:rFonts w:ascii="Arial" w:hAnsi="Arial" w:cs="Arial"/>
                <w:b/>
                <w:sz w:val="20"/>
                <w:szCs w:val="20"/>
                <w:lang w:val="en-GB"/>
              </w:rPr>
              <w:t>)</w:t>
            </w:r>
          </w:p>
        </w:tc>
        <w:tc>
          <w:tcPr>
            <w:tcW w:w="2795" w:type="dxa"/>
            <w:gridSpan w:val="2"/>
            <w:tcBorders>
              <w:top w:val="nil"/>
              <w:left w:val="nil"/>
              <w:right w:val="nil"/>
            </w:tcBorders>
          </w:tcPr>
          <w:p w14:paraId="155E164F"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80.3</w:t>
            </w:r>
          </w:p>
        </w:tc>
        <w:tc>
          <w:tcPr>
            <w:tcW w:w="2819" w:type="dxa"/>
            <w:gridSpan w:val="2"/>
            <w:tcBorders>
              <w:top w:val="nil"/>
              <w:left w:val="nil"/>
              <w:right w:val="nil"/>
            </w:tcBorders>
          </w:tcPr>
          <w:p w14:paraId="558A8CAB"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971.2</w:t>
            </w:r>
          </w:p>
        </w:tc>
        <w:tc>
          <w:tcPr>
            <w:tcW w:w="2913" w:type="dxa"/>
            <w:gridSpan w:val="2"/>
            <w:tcBorders>
              <w:top w:val="nil"/>
              <w:left w:val="nil"/>
              <w:right w:val="nil"/>
            </w:tcBorders>
          </w:tcPr>
          <w:p w14:paraId="3F437043" w14:textId="77777777" w:rsidR="005C429C" w:rsidRPr="0038596A" w:rsidRDefault="005C429C" w:rsidP="001E366F">
            <w:pPr>
              <w:jc w:val="center"/>
              <w:rPr>
                <w:rFonts w:ascii="Arial" w:hAnsi="Arial" w:cs="Arial"/>
                <w:b/>
                <w:sz w:val="20"/>
                <w:szCs w:val="20"/>
                <w:lang w:val="en-GB"/>
              </w:rPr>
            </w:pPr>
            <w:r w:rsidRPr="0038596A">
              <w:rPr>
                <w:rFonts w:ascii="Arial" w:hAnsi="Arial" w:cs="Arial"/>
                <w:b/>
                <w:sz w:val="20"/>
                <w:szCs w:val="20"/>
                <w:lang w:val="en-GB"/>
              </w:rPr>
              <w:t>697.5</w:t>
            </w:r>
          </w:p>
        </w:tc>
      </w:tr>
    </w:tbl>
    <w:p w14:paraId="5B3ED8A5" w14:textId="77777777" w:rsidR="005C429C" w:rsidRPr="00AD271C" w:rsidRDefault="005C429C" w:rsidP="00AD271C">
      <w:pPr>
        <w:rPr>
          <w:rFonts w:ascii="Arial" w:hAnsi="Arial" w:cs="Arial"/>
          <w:lang w:val="en-GB"/>
        </w:rPr>
      </w:pPr>
    </w:p>
    <w:p w14:paraId="42E27086" w14:textId="6A7ED7C3" w:rsidR="0097471D" w:rsidRPr="00AD271C" w:rsidRDefault="00AD271C" w:rsidP="00AD271C">
      <w:pPr>
        <w:jc w:val="both"/>
        <w:rPr>
          <w:rFonts w:ascii="Arial" w:hAnsi="Arial" w:cs="Arial"/>
          <w:b/>
          <w:bCs/>
          <w:lang w:val="en-GB"/>
        </w:rPr>
      </w:pPr>
      <w:r w:rsidRPr="00AD271C">
        <w:rPr>
          <w:rFonts w:ascii="Arial" w:hAnsi="Arial" w:cs="Arial"/>
          <w:b/>
          <w:bCs/>
          <w:lang w:val="en-GB"/>
        </w:rPr>
        <w:t>3.2. Discussion</w:t>
      </w:r>
    </w:p>
    <w:p w14:paraId="127A584A" w14:textId="77777777" w:rsidR="00AD271C" w:rsidRPr="00AD271C" w:rsidRDefault="00AD271C" w:rsidP="00AD271C">
      <w:pPr>
        <w:jc w:val="both"/>
        <w:rPr>
          <w:rFonts w:ascii="Arial" w:hAnsi="Arial" w:cs="Arial"/>
          <w:lang w:val="en-GB"/>
        </w:rPr>
      </w:pPr>
      <w:r w:rsidRPr="00AD271C">
        <w:rPr>
          <w:rFonts w:ascii="Arial" w:hAnsi="Arial" w:cs="Arial"/>
          <w:lang w:val="en-GB"/>
        </w:rPr>
        <w:t>The concentrations of these 13 PAHs and their sum (</w:t>
      </w:r>
      <w:r w:rsidRPr="00AD271C">
        <w:rPr>
          <w:rFonts w:ascii="Arial" w:hAnsi="Arial" w:cs="Arial"/>
        </w:rPr>
        <w:t>∑</w:t>
      </w:r>
      <w:r w:rsidRPr="00AD271C">
        <w:rPr>
          <w:rFonts w:ascii="Arial" w:hAnsi="Arial" w:cs="Arial"/>
          <w:vertAlign w:val="subscript"/>
        </w:rPr>
        <w:t>13</w:t>
      </w:r>
      <w:r w:rsidRPr="00AD271C">
        <w:rPr>
          <w:rFonts w:ascii="Arial" w:hAnsi="Arial" w:cs="Arial"/>
        </w:rPr>
        <w:t xml:space="preserve"> PAHs</w:t>
      </w:r>
      <w:r w:rsidRPr="00AD271C">
        <w:rPr>
          <w:rFonts w:ascii="Arial" w:hAnsi="Arial" w:cs="Arial"/>
          <w:lang w:val="en-GB"/>
        </w:rPr>
        <w:t xml:space="preserve">) in the waters from this lacustrine system were higher than those reported by numerous recent studies. This was particularly true for the mean concentrations of ACPT, ATC, FLRT, and NPT in these waters during the study period, which exceeded those reported by </w:t>
      </w:r>
      <w:proofErr w:type="spellStart"/>
      <w:r w:rsidRPr="00AD271C">
        <w:rPr>
          <w:rFonts w:ascii="Arial" w:hAnsi="Arial" w:cs="Arial"/>
          <w:lang w:val="en-GB"/>
        </w:rPr>
        <w:t>Dovonou</w:t>
      </w:r>
      <w:proofErr w:type="spellEnd"/>
      <w:r w:rsidRPr="00AD271C">
        <w:rPr>
          <w:rFonts w:ascii="Arial" w:hAnsi="Arial" w:cs="Arial"/>
          <w:lang w:val="en-GB"/>
        </w:rPr>
        <w:t xml:space="preserve"> et al. (2019) in the waters from </w:t>
      </w:r>
      <w:proofErr w:type="spellStart"/>
      <w:r w:rsidRPr="00AD271C">
        <w:rPr>
          <w:rFonts w:ascii="Arial" w:hAnsi="Arial" w:cs="Arial"/>
          <w:lang w:val="en-GB"/>
        </w:rPr>
        <w:t>Sô</w:t>
      </w:r>
      <w:proofErr w:type="spellEnd"/>
      <w:r w:rsidRPr="00AD271C">
        <w:rPr>
          <w:rFonts w:ascii="Arial" w:hAnsi="Arial" w:cs="Arial"/>
          <w:lang w:val="en-GB"/>
        </w:rPr>
        <w:t xml:space="preserve"> River, where concentrations were 0, 0.01, 0, and 0 ng/L, respectively. Similarly, the concentrations of ATC (0.0-0.3 ng/l), </w:t>
      </w:r>
      <w:proofErr w:type="spellStart"/>
      <w:r w:rsidRPr="00AD271C">
        <w:rPr>
          <w:rFonts w:ascii="Arial" w:hAnsi="Arial" w:cs="Arial"/>
          <w:lang w:val="en-GB"/>
        </w:rPr>
        <w:t>BaA</w:t>
      </w:r>
      <w:proofErr w:type="spellEnd"/>
      <w:r w:rsidRPr="00AD271C">
        <w:rPr>
          <w:rFonts w:ascii="Arial" w:hAnsi="Arial" w:cs="Arial"/>
          <w:lang w:val="en-GB"/>
        </w:rPr>
        <w:t xml:space="preserve">) (0.0-0.8 ng/l), </w:t>
      </w:r>
      <w:proofErr w:type="spellStart"/>
      <w:r w:rsidRPr="00AD271C">
        <w:rPr>
          <w:rFonts w:ascii="Arial" w:hAnsi="Arial" w:cs="Arial"/>
          <w:lang w:val="en-GB"/>
        </w:rPr>
        <w:t>BkF</w:t>
      </w:r>
      <w:proofErr w:type="spellEnd"/>
      <w:r w:rsidRPr="00AD271C">
        <w:rPr>
          <w:rFonts w:ascii="Arial" w:hAnsi="Arial" w:cs="Arial"/>
          <w:lang w:val="en-GB"/>
        </w:rPr>
        <w:t xml:space="preserve"> (0.0-2.0 ng/L), FLRT (0.3-117 ng/L), FLR (0.0-1.6 ng/L), NPT (3.7-59.2 ng/L), and PNT (0.0-20.6 ng/l) reported by Yang et </w:t>
      </w:r>
      <w:r w:rsidRPr="00AD271C">
        <w:rPr>
          <w:rFonts w:ascii="Arial" w:hAnsi="Arial" w:cs="Arial"/>
          <w:lang w:val="en-GB"/>
        </w:rPr>
        <w:lastRenderedPageBreak/>
        <w:t xml:space="preserve">al. (2024) for the period 2017-2022 in experimental lakes in Northwest Ontario (Canada) were also lower. The annual mean </w:t>
      </w:r>
      <w:r w:rsidRPr="00AD271C">
        <w:rPr>
          <w:rFonts w:ascii="Arial" w:hAnsi="Arial" w:cs="Arial"/>
        </w:rPr>
        <w:t>∑</w:t>
      </w:r>
      <w:r w:rsidRPr="00AD271C">
        <w:rPr>
          <w:rFonts w:ascii="Arial" w:hAnsi="Arial" w:cs="Arial"/>
          <w:vertAlign w:val="subscript"/>
        </w:rPr>
        <w:t>13</w:t>
      </w:r>
      <w:r w:rsidRPr="00AD271C">
        <w:rPr>
          <w:rFonts w:ascii="Arial" w:hAnsi="Arial" w:cs="Arial"/>
          <w:lang w:val="en-GB"/>
        </w:rPr>
        <w:t xml:space="preserve">PAHs concentration obtained in the present study for these waters also surpassed the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(the 16 PAHs deemed priority by the US-EPA (1982)) concentrations in the waters from urban lakes </w:t>
      </w:r>
      <w:proofErr w:type="spellStart"/>
      <w:r w:rsidRPr="00AD271C">
        <w:rPr>
          <w:rFonts w:ascii="Arial" w:hAnsi="Arial" w:cs="Arial"/>
          <w:lang w:val="en-GB"/>
        </w:rPr>
        <w:t>Longyang</w:t>
      </w:r>
      <w:proofErr w:type="spellEnd"/>
      <w:r w:rsidRPr="00AD271C">
        <w:rPr>
          <w:rFonts w:ascii="Arial" w:hAnsi="Arial" w:cs="Arial"/>
          <w:lang w:val="en-GB"/>
        </w:rPr>
        <w:t xml:space="preserve"> (26.95-36.5 ng/l) and </w:t>
      </w:r>
      <w:proofErr w:type="spellStart"/>
      <w:r w:rsidRPr="00AD271C">
        <w:rPr>
          <w:rFonts w:ascii="Arial" w:hAnsi="Arial" w:cs="Arial"/>
          <w:lang w:val="en-GB"/>
        </w:rPr>
        <w:t>Moshui</w:t>
      </w:r>
      <w:proofErr w:type="spellEnd"/>
      <w:r w:rsidRPr="00AD271C">
        <w:rPr>
          <w:rFonts w:ascii="Arial" w:hAnsi="Arial" w:cs="Arial"/>
          <w:lang w:val="en-GB"/>
        </w:rPr>
        <w:t xml:space="preserve"> (46.8-198.25 ng/l) in China (Zhang et al., 2025a). This is also the case when compared to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in the transitional waters from three rivers (El Bared, Kebir, Abu Ali) in Northern Lebanon, which ranged between 115 and 600 ng/L (Amine et al., 2024), and also the mean concentration of 1.338 µg/L in the waters from Lake </w:t>
      </w:r>
      <w:proofErr w:type="spellStart"/>
      <w:r w:rsidRPr="00AD271C">
        <w:rPr>
          <w:rFonts w:ascii="Arial" w:hAnsi="Arial" w:cs="Arial"/>
          <w:lang w:val="en-GB"/>
        </w:rPr>
        <w:t>Baiyangdian</w:t>
      </w:r>
      <w:proofErr w:type="spellEnd"/>
      <w:r w:rsidRPr="00AD271C">
        <w:rPr>
          <w:rFonts w:ascii="Arial" w:hAnsi="Arial" w:cs="Arial"/>
          <w:lang w:val="en-GB"/>
        </w:rPr>
        <w:t xml:space="preserve"> (Northern China) (Zhang et al., 2025b).</w:t>
      </w:r>
    </w:p>
    <w:p w14:paraId="7A99BC36" w14:textId="77777777" w:rsidR="00AD271C" w:rsidRPr="007D57BC" w:rsidRDefault="00AD271C" w:rsidP="00AD271C">
      <w:pPr>
        <w:jc w:val="both"/>
        <w:rPr>
          <w:rFonts w:ascii="Arial" w:hAnsi="Arial" w:cs="Arial"/>
          <w:lang w:val="en-GB"/>
        </w:rPr>
      </w:pPr>
      <w:r w:rsidRPr="00AD271C">
        <w:rPr>
          <w:rFonts w:ascii="Arial" w:hAnsi="Arial" w:cs="Arial"/>
          <w:lang w:val="en-GB"/>
        </w:rPr>
        <w:t xml:space="preserve">These comparisons highlight high PAH pollution in the waters of this lacustrine system throughout the study period, particularly from the 13 detected PAHs. This situation was notably emphasized by the SEQ-Eau V2 guidelines (MEDD et </w:t>
      </w:r>
      <w:proofErr w:type="spellStart"/>
      <w:r w:rsidRPr="00AD271C">
        <w:rPr>
          <w:rFonts w:ascii="Arial" w:hAnsi="Arial" w:cs="Arial"/>
          <w:lang w:val="en-GB"/>
        </w:rPr>
        <w:t>Agence</w:t>
      </w:r>
      <w:proofErr w:type="spellEnd"/>
      <w:r w:rsidRPr="00AD271C">
        <w:rPr>
          <w:rFonts w:ascii="Arial" w:hAnsi="Arial" w:cs="Arial"/>
          <w:lang w:val="en-GB"/>
        </w:rPr>
        <w:t xml:space="preserve"> de </w:t>
      </w:r>
      <w:proofErr w:type="spellStart"/>
      <w:r w:rsidRPr="00AD271C">
        <w:rPr>
          <w:rFonts w:ascii="Arial" w:hAnsi="Arial" w:cs="Arial"/>
          <w:lang w:val="en-GB"/>
        </w:rPr>
        <w:t>l'eau</w:t>
      </w:r>
      <w:proofErr w:type="spellEnd"/>
      <w:r w:rsidRPr="00AD271C">
        <w:rPr>
          <w:rFonts w:ascii="Arial" w:hAnsi="Arial" w:cs="Arial"/>
          <w:lang w:val="en-GB"/>
        </w:rPr>
        <w:t xml:space="preserve">, 2003) for </w:t>
      </w:r>
      <w:proofErr w:type="spellStart"/>
      <w:r w:rsidRPr="00AD271C">
        <w:rPr>
          <w:rFonts w:ascii="Arial" w:hAnsi="Arial" w:cs="Arial"/>
          <w:lang w:val="en-GB"/>
        </w:rPr>
        <w:t>BbF</w:t>
      </w:r>
      <w:proofErr w:type="spellEnd"/>
      <w:r w:rsidRPr="00AD271C">
        <w:rPr>
          <w:rFonts w:ascii="Arial" w:hAnsi="Arial" w:cs="Arial"/>
          <w:lang w:val="en-GB"/>
        </w:rPr>
        <w:t xml:space="preserve"> and I-(1,2,3-</w:t>
      </w:r>
      <w:proofErr w:type="gramStart"/>
      <w:r w:rsidRPr="00AD271C">
        <w:rPr>
          <w:rFonts w:ascii="Arial" w:hAnsi="Arial" w:cs="Arial"/>
          <w:lang w:val="en-GB"/>
        </w:rPr>
        <w:t>c,d</w:t>
      </w:r>
      <w:proofErr w:type="gramEnd"/>
      <w:r w:rsidRPr="00AD271C">
        <w:rPr>
          <w:rFonts w:ascii="Arial" w:hAnsi="Arial" w:cs="Arial"/>
          <w:lang w:val="en-GB"/>
        </w:rPr>
        <w:t>)P. This contamination is primarily attributable to this lacustrine ecosystem proximity to two major industrial zones and the autonomous port of San-</w:t>
      </w:r>
      <w:proofErr w:type="spellStart"/>
      <w:r w:rsidRPr="00AD271C">
        <w:rPr>
          <w:rFonts w:ascii="Arial" w:hAnsi="Arial" w:cs="Arial"/>
          <w:lang w:val="en-GB"/>
        </w:rPr>
        <w:t>Pédro</w:t>
      </w:r>
      <w:proofErr w:type="spellEnd"/>
      <w:r w:rsidRPr="00AD271C">
        <w:rPr>
          <w:rFonts w:ascii="Arial" w:hAnsi="Arial" w:cs="Arial"/>
          <w:lang w:val="en-GB"/>
        </w:rPr>
        <w:t xml:space="preserve"> city. Furthermore, these waters receive PAH discharges from numerous non-modern automobile garages located along its banks, intense automobile traffic within the city, and domestic activities of riparian households. These industrial zones include many chemical and agro-industrial units. The industrial impact on surface water pollution by HAPs has been documented by various recent studies, including those by Amine et al. (2024) on the waters from Tripoli port (Northern Lebanon), where the mean </w:t>
      </w:r>
      <w:r w:rsidRPr="00AD271C">
        <w:rPr>
          <w:rFonts w:ascii="Arial" w:hAnsi="Arial" w:cs="Arial"/>
        </w:rPr>
        <w:t>∑</w:t>
      </w:r>
      <w:r w:rsidRPr="00AD271C">
        <w:rPr>
          <w:rFonts w:ascii="Arial" w:hAnsi="Arial" w:cs="Arial"/>
          <w:vertAlign w:val="subscript"/>
        </w:rPr>
        <w:t>16</w:t>
      </w:r>
      <w:r w:rsidRPr="00AD271C">
        <w:rPr>
          <w:rFonts w:ascii="Arial" w:hAnsi="Arial" w:cs="Arial"/>
        </w:rPr>
        <w:t xml:space="preserve"> PAHs</w:t>
      </w:r>
      <w:r w:rsidRPr="00AD271C">
        <w:rPr>
          <w:rFonts w:ascii="Arial" w:hAnsi="Arial" w:cs="Arial"/>
          <w:lang w:val="en-GB"/>
        </w:rPr>
        <w:t xml:space="preserve"> concentrations ranged from 800 to 8000 ng/L; Wang et al. (2024) in the waters from the </w:t>
      </w:r>
      <w:proofErr w:type="spellStart"/>
      <w:r w:rsidRPr="00AD271C">
        <w:rPr>
          <w:rFonts w:ascii="Arial" w:hAnsi="Arial" w:cs="Arial"/>
          <w:lang w:val="en-GB"/>
        </w:rPr>
        <w:t>Kuye</w:t>
      </w:r>
      <w:proofErr w:type="spellEnd"/>
      <w:r w:rsidRPr="00AD271C">
        <w:rPr>
          <w:rFonts w:ascii="Arial" w:hAnsi="Arial" w:cs="Arial"/>
          <w:lang w:val="en-GB"/>
        </w:rPr>
        <w:t xml:space="preserve"> River (China), with mean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fluctuating between 299.34 and 10,390.9 ng/L; Olivares-Rubio and Ponce-Vélez (2025), who observed mean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oscillating between 90,910 ± 13,000 and 131,500 ± 9,900 ng/L in the coastal waters from the Dos Bocas maritime terminal (Southern Gulf of Mexico); and Chen et al. (2025) in the waters from the Yangtze River (China), with a mean </w:t>
      </w:r>
      <w:r w:rsidRPr="00AD271C">
        <w:rPr>
          <w:rFonts w:ascii="Arial" w:hAnsi="Arial" w:cs="Arial"/>
        </w:rPr>
        <w:t>∑</w:t>
      </w:r>
      <w:r w:rsidRPr="00AD271C">
        <w:rPr>
          <w:rFonts w:ascii="Arial" w:hAnsi="Arial" w:cs="Arial"/>
          <w:vertAlign w:val="subscript"/>
        </w:rPr>
        <w:t>16</w:t>
      </w:r>
      <w:r w:rsidRPr="00AD271C">
        <w:rPr>
          <w:rFonts w:ascii="Arial" w:hAnsi="Arial" w:cs="Arial"/>
        </w:rPr>
        <w:t>PAHs</w:t>
      </w:r>
      <w:r w:rsidRPr="00AD271C">
        <w:rPr>
          <w:rFonts w:ascii="Arial" w:hAnsi="Arial" w:cs="Arial"/>
          <w:lang w:val="en-GB"/>
        </w:rPr>
        <w:t xml:space="preserve"> concentrations varying from 72 to 335 ng/L.</w:t>
      </w:r>
    </w:p>
    <w:p w14:paraId="76D65FB2" w14:textId="77777777" w:rsidR="00AD271C" w:rsidRPr="00583276" w:rsidRDefault="00AD271C" w:rsidP="00AD271C">
      <w:pPr>
        <w:jc w:val="both"/>
        <w:rPr>
          <w:rFonts w:ascii="Arial" w:hAnsi="Arial" w:cs="Arial"/>
          <w:lang w:val="en-GB"/>
        </w:rPr>
      </w:pPr>
      <w:r w:rsidRPr="007D57BC">
        <w:rPr>
          <w:rFonts w:ascii="Arial" w:hAnsi="Arial" w:cs="Arial"/>
          <w:lang w:val="en-GB"/>
        </w:rPr>
        <w:t>The high proportion of three-ring PAHs, followed by that of four-ring PAHs, observed in these waters confirms their pyrolytic origin throughout the study period, as demonstrated by the ATC/(ATC + PNT) and FLR/(FLR + PYR) ratios obtained in this research. This pyrolytic origin is primarily attributable to industrial emissions and vehicle exhaust, as previously mentioned.</w:t>
      </w:r>
      <w:r w:rsidRPr="00AD271C">
        <w:rPr>
          <w:rFonts w:ascii="Arial" w:hAnsi="Arial" w:cs="Arial"/>
          <w:lang w:val="en-GB"/>
        </w:rPr>
        <w:t xml:space="preserve"> </w:t>
      </w:r>
      <w:r w:rsidRPr="007D57BC">
        <w:rPr>
          <w:rFonts w:ascii="Arial" w:hAnsi="Arial" w:cs="Arial"/>
          <w:lang w:val="en-GB"/>
        </w:rPr>
        <w:t>Indeed, Chen et al. (2025) noted that the strong presence of 2- to 3-ring PAHs in water is essentially linked to biomass combustion and also petroleum leakage. This is particularly relevant for agro-industrial factories, notably those in San-</w:t>
      </w:r>
      <w:proofErr w:type="spellStart"/>
      <w:r w:rsidRPr="007D57BC">
        <w:rPr>
          <w:rFonts w:ascii="Arial" w:hAnsi="Arial" w:cs="Arial"/>
          <w:lang w:val="en-GB"/>
        </w:rPr>
        <w:t>Pédro</w:t>
      </w:r>
      <w:proofErr w:type="spellEnd"/>
      <w:r w:rsidRPr="007D57BC">
        <w:rPr>
          <w:rFonts w:ascii="Arial" w:hAnsi="Arial" w:cs="Arial"/>
          <w:lang w:val="en-GB"/>
        </w:rPr>
        <w:t xml:space="preserve"> city, which utilize biomass and fuel oil. The low proportion of HMW PAHs in these waters, especially those originating from vehicle exhaust where they are abundant, is explained by their strong affinity for the particulate phase (Chen et al., 2025; Li et al., 2023).</w:t>
      </w:r>
      <w:r w:rsidRPr="00AD271C">
        <w:rPr>
          <w:rFonts w:ascii="Arial" w:hAnsi="Arial" w:cs="Arial"/>
          <w:lang w:val="en-GB"/>
        </w:rPr>
        <w:t xml:space="preserve"> </w:t>
      </w:r>
      <w:r w:rsidRPr="007D57BC">
        <w:rPr>
          <w:rFonts w:ascii="Arial" w:hAnsi="Arial" w:cs="Arial"/>
          <w:lang w:val="en-GB"/>
        </w:rPr>
        <w:t>The effects of industrial emissions on air pollution in San-</w:t>
      </w:r>
      <w:proofErr w:type="spellStart"/>
      <w:r w:rsidRPr="007D57BC">
        <w:rPr>
          <w:rFonts w:ascii="Arial" w:hAnsi="Arial" w:cs="Arial"/>
          <w:lang w:val="en-GB"/>
        </w:rPr>
        <w:t>Pédro</w:t>
      </w:r>
      <w:proofErr w:type="spellEnd"/>
      <w:r w:rsidRPr="007D57BC">
        <w:rPr>
          <w:rFonts w:ascii="Arial" w:hAnsi="Arial" w:cs="Arial"/>
          <w:lang w:val="en-GB"/>
        </w:rPr>
        <w:t xml:space="preserve"> city have been documented by Ogou and Bidi (2019). </w:t>
      </w:r>
      <w:r w:rsidRPr="00AD271C">
        <w:rPr>
          <w:rFonts w:ascii="Arial" w:hAnsi="Arial" w:cs="Arial"/>
          <w:lang w:val="en-GB"/>
        </w:rPr>
        <w:t>T</w:t>
      </w:r>
      <w:r w:rsidRPr="007D57BC">
        <w:rPr>
          <w:rFonts w:ascii="Arial" w:hAnsi="Arial" w:cs="Arial"/>
          <w:lang w:val="en-GB"/>
        </w:rPr>
        <w:t xml:space="preserve">he strong presence of LMW PAHs and MMW PAHs in waters associated with industrial emissions and </w:t>
      </w:r>
      <w:r w:rsidRPr="00AD271C">
        <w:rPr>
          <w:rFonts w:ascii="Arial" w:hAnsi="Arial" w:cs="Arial"/>
          <w:lang w:val="en-GB"/>
        </w:rPr>
        <w:t>vehicle exhaust</w:t>
      </w:r>
      <w:r w:rsidRPr="007D57BC">
        <w:rPr>
          <w:rFonts w:ascii="Arial" w:hAnsi="Arial" w:cs="Arial"/>
          <w:lang w:val="en-GB"/>
        </w:rPr>
        <w:t xml:space="preserve"> has also been reported by Wang et al. (2024) in the </w:t>
      </w:r>
      <w:proofErr w:type="spellStart"/>
      <w:r w:rsidRPr="007D57BC">
        <w:rPr>
          <w:rFonts w:ascii="Arial" w:hAnsi="Arial" w:cs="Arial"/>
          <w:lang w:val="en-GB"/>
        </w:rPr>
        <w:t>Kuye</w:t>
      </w:r>
      <w:proofErr w:type="spellEnd"/>
      <w:r w:rsidRPr="007D57BC">
        <w:rPr>
          <w:rFonts w:ascii="Arial" w:hAnsi="Arial" w:cs="Arial"/>
          <w:lang w:val="en-GB"/>
        </w:rPr>
        <w:t xml:space="preserve"> River (China) and by Chen et al. </w:t>
      </w:r>
      <w:r w:rsidRPr="00583276">
        <w:rPr>
          <w:rFonts w:ascii="Arial" w:hAnsi="Arial" w:cs="Arial"/>
          <w:lang w:val="en-GB"/>
        </w:rPr>
        <w:t>(2025) in the Yangtze River (China).</w:t>
      </w:r>
    </w:p>
    <w:p w14:paraId="19222814" w14:textId="77777777" w:rsidR="00AD271C" w:rsidRPr="00BA7C8D" w:rsidRDefault="00AD271C" w:rsidP="00AD271C">
      <w:pPr>
        <w:jc w:val="both"/>
        <w:rPr>
          <w:rFonts w:ascii="Arial" w:hAnsi="Arial" w:cs="Arial"/>
          <w:lang w:val="en-GB"/>
        </w:rPr>
      </w:pPr>
      <w:r w:rsidRPr="00633E7E">
        <w:rPr>
          <w:rFonts w:ascii="Arial" w:hAnsi="Arial" w:cs="Arial"/>
          <w:lang w:val="en-GB"/>
        </w:rPr>
        <w:t>The strong presence of three-ring PAHs in these waters is attributed to their relatively high solubility and significant atmospheric emissions within the study area. This is particularly true for FLRT (INERIS, 2015) and, more specifically, PNT (Olivares-Rubio and Ponce-Vélez, 2025), which exhibited the highest concentrations during this period. Although four-ring PAHs have lower solubility than three-ring PAHs, their solubility and substantial emission in the study area are nonetheless sufficient to facilitate their strong presence in these waters. This is notably the case for PYR, which recorded the highest annual mean concentration among four-ring PAHs in these studies.</w:t>
      </w:r>
      <w:r w:rsidRPr="00AD271C">
        <w:rPr>
          <w:rFonts w:ascii="Arial" w:hAnsi="Arial" w:cs="Arial"/>
          <w:lang w:val="en-GB"/>
        </w:rPr>
        <w:t xml:space="preserve"> </w:t>
      </w:r>
      <w:r w:rsidRPr="00633E7E">
        <w:rPr>
          <w:rFonts w:ascii="Arial" w:hAnsi="Arial" w:cs="Arial"/>
          <w:lang w:val="en-GB"/>
        </w:rPr>
        <w:t xml:space="preserve">The low concentration of </w:t>
      </w:r>
      <w:proofErr w:type="spellStart"/>
      <w:r w:rsidRPr="00633E7E">
        <w:rPr>
          <w:rFonts w:ascii="Arial" w:hAnsi="Arial" w:cs="Arial"/>
          <w:lang w:val="en-GB"/>
        </w:rPr>
        <w:t>BjF</w:t>
      </w:r>
      <w:proofErr w:type="spellEnd"/>
      <w:r w:rsidRPr="00633E7E">
        <w:rPr>
          <w:rFonts w:ascii="Arial" w:hAnsi="Arial" w:cs="Arial"/>
          <w:lang w:val="en-GB"/>
        </w:rPr>
        <w:t>, the lowest among all studied PAHs, is explained by its reduced emission in this study area. Furthermore, the lower mean proportion of five-ring PAHs, compared to three- and four-ring PAHs, is due to the progressive decrease in their solubility as the number of benzene rings increases (Camargo et al., 2024).</w:t>
      </w:r>
      <w:r w:rsidRPr="00AD271C">
        <w:rPr>
          <w:rFonts w:ascii="Arial" w:hAnsi="Arial" w:cs="Arial"/>
          <w:lang w:val="en-GB"/>
        </w:rPr>
        <w:t xml:space="preserve"> </w:t>
      </w:r>
      <w:r w:rsidRPr="00633E7E">
        <w:rPr>
          <w:rFonts w:ascii="Arial" w:hAnsi="Arial" w:cs="Arial"/>
          <w:lang w:val="en-GB"/>
        </w:rPr>
        <w:t xml:space="preserve">Generally, the distribution and apportionment of PAHs in surface waters depend on several factors, including the geographical environment, the nature and intensity of industrial activities, </w:t>
      </w:r>
      <w:r w:rsidRPr="00633E7E">
        <w:rPr>
          <w:rFonts w:ascii="Arial" w:hAnsi="Arial" w:cs="Arial"/>
          <w:lang w:val="en-GB"/>
        </w:rPr>
        <w:lastRenderedPageBreak/>
        <w:t xml:space="preserve">the volume of road traffic, surface runoff, the physicochemical properties of the water and sediments, and hydroclimatic conditions (Cerciello et al., 2025; Chen et al., 2025). Thus, the low mean proportion of two-ring PAHs, compared to three- and four-ring PAHs, is explained by their high volatility (Cerciello et al., 2025). This observation also holds true for the non-statistically significant differences between the annual mean concentrations of NPT, </w:t>
      </w:r>
      <w:proofErr w:type="spellStart"/>
      <w:r w:rsidRPr="00633E7E">
        <w:rPr>
          <w:rFonts w:ascii="Arial" w:hAnsi="Arial" w:cs="Arial"/>
          <w:lang w:val="en-GB"/>
        </w:rPr>
        <w:t>BkF</w:t>
      </w:r>
      <w:proofErr w:type="spellEnd"/>
      <w:r w:rsidRPr="00633E7E">
        <w:rPr>
          <w:rFonts w:ascii="Arial" w:hAnsi="Arial" w:cs="Arial"/>
          <w:lang w:val="en-GB"/>
        </w:rPr>
        <w:t xml:space="preserve">, </w:t>
      </w:r>
      <w:proofErr w:type="spellStart"/>
      <w:r w:rsidRPr="00633E7E">
        <w:rPr>
          <w:rFonts w:ascii="Arial" w:hAnsi="Arial" w:cs="Arial"/>
          <w:lang w:val="en-GB"/>
        </w:rPr>
        <w:t>BaA</w:t>
      </w:r>
      <w:proofErr w:type="spellEnd"/>
      <w:r w:rsidRPr="00633E7E">
        <w:rPr>
          <w:rFonts w:ascii="Arial" w:hAnsi="Arial" w:cs="Arial"/>
          <w:lang w:val="en-GB"/>
        </w:rPr>
        <w:t xml:space="preserve">, </w:t>
      </w:r>
      <w:proofErr w:type="spellStart"/>
      <w:r w:rsidRPr="00633E7E">
        <w:rPr>
          <w:rFonts w:ascii="Arial" w:hAnsi="Arial" w:cs="Arial"/>
          <w:lang w:val="en-GB"/>
        </w:rPr>
        <w:t>BaP</w:t>
      </w:r>
      <w:proofErr w:type="spellEnd"/>
      <w:r w:rsidRPr="00633E7E">
        <w:rPr>
          <w:rFonts w:ascii="Arial" w:hAnsi="Arial" w:cs="Arial"/>
          <w:lang w:val="en-GB"/>
        </w:rPr>
        <w:t xml:space="preserve">, I(1,2,3-c,d)P, and ACPT, as highlighted by one-way ANOVA. The same applies to the non-statistically significant difference between the annual mean concentrations of ATC and </w:t>
      </w:r>
      <w:proofErr w:type="spellStart"/>
      <w:r w:rsidRPr="00633E7E">
        <w:rPr>
          <w:rFonts w:ascii="Arial" w:hAnsi="Arial" w:cs="Arial"/>
          <w:lang w:val="en-GB"/>
        </w:rPr>
        <w:t>BbF</w:t>
      </w:r>
      <w:proofErr w:type="spellEnd"/>
      <w:r w:rsidRPr="00633E7E">
        <w:rPr>
          <w:rFonts w:ascii="Arial" w:hAnsi="Arial" w:cs="Arial"/>
          <w:lang w:val="en-GB"/>
        </w:rPr>
        <w:t>, also revealed by one-way ANOVA.</w:t>
      </w:r>
    </w:p>
    <w:p w14:paraId="4E6836D8" w14:textId="77777777" w:rsidR="00AD271C" w:rsidRPr="00204DC7" w:rsidRDefault="00AD271C" w:rsidP="00AD271C">
      <w:pPr>
        <w:jc w:val="both"/>
        <w:rPr>
          <w:rFonts w:ascii="Arial" w:hAnsi="Arial" w:cs="Arial"/>
          <w:lang w:val="en-GB"/>
        </w:rPr>
      </w:pPr>
      <w:r w:rsidRPr="00BA7C8D">
        <w:rPr>
          <w:rFonts w:ascii="Arial" w:hAnsi="Arial" w:cs="Arial"/>
          <w:lang w:val="en-GB"/>
        </w:rPr>
        <w:t>The synthesis of results obtained from the Environmental Quality Standards (EQS) of Directive 2013/39/EU (OJEU, 2013), as well as the TEQ-</w:t>
      </w:r>
      <w:proofErr w:type="spellStart"/>
      <w:r w:rsidRPr="00BA7C8D">
        <w:rPr>
          <w:rFonts w:ascii="Arial" w:hAnsi="Arial" w:cs="Arial"/>
          <w:lang w:val="en-GB"/>
        </w:rPr>
        <w:t>BaP</w:t>
      </w:r>
      <w:proofErr w:type="spellEnd"/>
      <w:r w:rsidRPr="00BA7C8D">
        <w:rPr>
          <w:rFonts w:ascii="Arial" w:hAnsi="Arial" w:cs="Arial"/>
          <w:lang w:val="en-GB"/>
        </w:rPr>
        <w:t xml:space="preserve"> and MEQ-</w:t>
      </w:r>
      <w:proofErr w:type="spellStart"/>
      <w:r w:rsidRPr="00BA7C8D">
        <w:rPr>
          <w:rFonts w:ascii="Arial" w:hAnsi="Arial" w:cs="Arial"/>
          <w:lang w:val="en-GB"/>
        </w:rPr>
        <w:t>BaP</w:t>
      </w:r>
      <w:proofErr w:type="spellEnd"/>
      <w:r w:rsidRPr="00BA7C8D">
        <w:rPr>
          <w:rFonts w:ascii="Arial" w:hAnsi="Arial" w:cs="Arial"/>
          <w:lang w:val="en-GB"/>
        </w:rPr>
        <w:t xml:space="preserve"> indices, revealed acute and chronic risks for the aquatic fauna of this ecosystem. These risks were particularly high for ATC,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and FLRT. Furthermore, the strong presence of I(1,2,3-</w:t>
      </w:r>
      <w:proofErr w:type="gramStart"/>
      <w:r w:rsidRPr="00BA7C8D">
        <w:rPr>
          <w:rFonts w:ascii="Arial" w:hAnsi="Arial" w:cs="Arial"/>
          <w:lang w:val="en-GB"/>
        </w:rPr>
        <w:t>c,d</w:t>
      </w:r>
      <w:proofErr w:type="gramEnd"/>
      <w:r w:rsidRPr="00BA7C8D">
        <w:rPr>
          <w:rFonts w:ascii="Arial" w:hAnsi="Arial" w:cs="Arial"/>
          <w:lang w:val="en-GB"/>
        </w:rPr>
        <w:t xml:space="preserve">)P in these waters is likely to cause acute risks for this fauna. As for the carcinogenic and mutagenic risks associated with the combined </w:t>
      </w:r>
      <w:r w:rsidRPr="00AD271C">
        <w:rPr>
          <w:rFonts w:ascii="Arial" w:hAnsi="Arial" w:cs="Arial"/>
          <w:lang w:val="en-GB"/>
        </w:rPr>
        <w:t xml:space="preserve">group </w:t>
      </w:r>
      <w:proofErr w:type="spellStart"/>
      <w:r w:rsidRPr="00BA7C8D">
        <w:rPr>
          <w:rFonts w:ascii="Arial" w:hAnsi="Arial" w:cs="Arial"/>
          <w:lang w:val="en-GB"/>
        </w:rPr>
        <w:t>BaA</w:t>
      </w:r>
      <w:proofErr w:type="spellEnd"/>
      <w:r w:rsidRPr="00BA7C8D">
        <w:rPr>
          <w:rFonts w:ascii="Arial" w:hAnsi="Arial" w:cs="Arial"/>
          <w:lang w:val="en-GB"/>
        </w:rPr>
        <w:t xml:space="preserve">, </w:t>
      </w:r>
      <w:proofErr w:type="spellStart"/>
      <w:r w:rsidRPr="00BA7C8D">
        <w:rPr>
          <w:rFonts w:ascii="Arial" w:hAnsi="Arial" w:cs="Arial"/>
          <w:lang w:val="en-GB"/>
        </w:rPr>
        <w:t>BaP</w:t>
      </w:r>
      <w:proofErr w:type="spellEnd"/>
      <w:r w:rsidRPr="00BA7C8D">
        <w:rPr>
          <w:rFonts w:ascii="Arial" w:hAnsi="Arial" w:cs="Arial"/>
          <w:lang w:val="en-GB"/>
        </w:rPr>
        <w:t xml:space="preserve">,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and I(1,2,3-</w:t>
      </w:r>
      <w:proofErr w:type="gramStart"/>
      <w:r w:rsidRPr="00BA7C8D">
        <w:rPr>
          <w:rFonts w:ascii="Arial" w:hAnsi="Arial" w:cs="Arial"/>
          <w:lang w:val="en-GB"/>
        </w:rPr>
        <w:t>c,d</w:t>
      </w:r>
      <w:proofErr w:type="gramEnd"/>
      <w:r w:rsidRPr="00BA7C8D">
        <w:rPr>
          <w:rFonts w:ascii="Arial" w:hAnsi="Arial" w:cs="Arial"/>
          <w:lang w:val="en-GB"/>
        </w:rPr>
        <w:t>)P, they were found to be significant over the study period.</w:t>
      </w:r>
      <w:r w:rsidRPr="00AD271C">
        <w:rPr>
          <w:rFonts w:ascii="Arial" w:hAnsi="Arial" w:cs="Arial"/>
          <w:lang w:val="en-GB"/>
        </w:rPr>
        <w:t xml:space="preserve"> </w:t>
      </w:r>
      <w:r w:rsidRPr="00BA7C8D">
        <w:rPr>
          <w:rFonts w:ascii="Arial" w:hAnsi="Arial" w:cs="Arial"/>
          <w:lang w:val="en-GB"/>
        </w:rPr>
        <w:t xml:space="preserve">Thus, the high concentrations of ATC,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xml:space="preserve">, and FLRT in this lacustrine system can lead to immune system disruptions, physiological dysfunctions, and reproductive disorders in aquatic biota, particularly algae, invertebrates, and fish. These compounds can also bioaccumulate and </w:t>
      </w:r>
      <w:proofErr w:type="spellStart"/>
      <w:r w:rsidRPr="00BA7C8D">
        <w:rPr>
          <w:rFonts w:ascii="Arial" w:hAnsi="Arial" w:cs="Arial"/>
          <w:lang w:val="en-GB"/>
        </w:rPr>
        <w:t>biomagnify</w:t>
      </w:r>
      <w:proofErr w:type="spellEnd"/>
      <w:r w:rsidRPr="00BA7C8D">
        <w:rPr>
          <w:rFonts w:ascii="Arial" w:hAnsi="Arial" w:cs="Arial"/>
          <w:lang w:val="en-GB"/>
        </w:rPr>
        <w:t xml:space="preserve"> (Albarano et al., 2023; INERIS, 2020; </w:t>
      </w:r>
      <w:proofErr w:type="spellStart"/>
      <w:r w:rsidRPr="00BA7C8D">
        <w:rPr>
          <w:rFonts w:ascii="Arial" w:hAnsi="Arial" w:cs="Arial"/>
          <w:lang w:val="en-GB"/>
        </w:rPr>
        <w:t>Siquiera</w:t>
      </w:r>
      <w:proofErr w:type="spellEnd"/>
      <w:r w:rsidRPr="00BA7C8D">
        <w:rPr>
          <w:rFonts w:ascii="Arial" w:hAnsi="Arial" w:cs="Arial"/>
          <w:lang w:val="en-GB"/>
        </w:rPr>
        <w:t xml:space="preserve"> et al., 2023).</w:t>
      </w:r>
      <w:r w:rsidRPr="00AD271C">
        <w:rPr>
          <w:rFonts w:ascii="Arial" w:hAnsi="Arial" w:cs="Arial"/>
          <w:lang w:val="en-GB"/>
        </w:rPr>
        <w:t xml:space="preserve"> </w:t>
      </w:r>
      <w:r w:rsidRPr="00BA7C8D">
        <w:rPr>
          <w:rFonts w:ascii="Arial" w:hAnsi="Arial" w:cs="Arial"/>
          <w:lang w:val="en-GB"/>
        </w:rPr>
        <w:t xml:space="preserve">The combined group of </w:t>
      </w:r>
      <w:proofErr w:type="spellStart"/>
      <w:r w:rsidRPr="00BA7C8D">
        <w:rPr>
          <w:rFonts w:ascii="Arial" w:hAnsi="Arial" w:cs="Arial"/>
          <w:lang w:val="en-GB"/>
        </w:rPr>
        <w:t>BaA</w:t>
      </w:r>
      <w:proofErr w:type="spellEnd"/>
      <w:r w:rsidRPr="00BA7C8D">
        <w:rPr>
          <w:rFonts w:ascii="Arial" w:hAnsi="Arial" w:cs="Arial"/>
          <w:lang w:val="en-GB"/>
        </w:rPr>
        <w:t xml:space="preserve">, </w:t>
      </w:r>
      <w:proofErr w:type="spellStart"/>
      <w:r w:rsidRPr="00BA7C8D">
        <w:rPr>
          <w:rFonts w:ascii="Arial" w:hAnsi="Arial" w:cs="Arial"/>
          <w:lang w:val="en-GB"/>
        </w:rPr>
        <w:t>BaP</w:t>
      </w:r>
      <w:proofErr w:type="spellEnd"/>
      <w:r w:rsidRPr="00BA7C8D">
        <w:rPr>
          <w:rFonts w:ascii="Arial" w:hAnsi="Arial" w:cs="Arial"/>
          <w:lang w:val="en-GB"/>
        </w:rPr>
        <w:t xml:space="preserve">, </w:t>
      </w:r>
      <w:proofErr w:type="spellStart"/>
      <w:r w:rsidRPr="00BA7C8D">
        <w:rPr>
          <w:rFonts w:ascii="Arial" w:hAnsi="Arial" w:cs="Arial"/>
          <w:lang w:val="en-GB"/>
        </w:rPr>
        <w:t>BbF</w:t>
      </w:r>
      <w:proofErr w:type="spellEnd"/>
      <w:r w:rsidRPr="00BA7C8D">
        <w:rPr>
          <w:rFonts w:ascii="Arial" w:hAnsi="Arial" w:cs="Arial"/>
          <w:lang w:val="en-GB"/>
        </w:rPr>
        <w:t xml:space="preserve">, </w:t>
      </w:r>
      <w:proofErr w:type="spellStart"/>
      <w:r w:rsidRPr="00BA7C8D">
        <w:rPr>
          <w:rFonts w:ascii="Arial" w:hAnsi="Arial" w:cs="Arial"/>
          <w:lang w:val="en-GB"/>
        </w:rPr>
        <w:t>BkF</w:t>
      </w:r>
      <w:proofErr w:type="spellEnd"/>
      <w:r w:rsidRPr="00BA7C8D">
        <w:rPr>
          <w:rFonts w:ascii="Arial" w:hAnsi="Arial" w:cs="Arial"/>
          <w:lang w:val="en-GB"/>
        </w:rPr>
        <w:t>, and I-(1,2,3-</w:t>
      </w:r>
      <w:proofErr w:type="gramStart"/>
      <w:r w:rsidRPr="00BA7C8D">
        <w:rPr>
          <w:rFonts w:ascii="Arial" w:hAnsi="Arial" w:cs="Arial"/>
          <w:lang w:val="en-GB"/>
        </w:rPr>
        <w:t>c,d</w:t>
      </w:r>
      <w:proofErr w:type="gramEnd"/>
      <w:r w:rsidRPr="00BA7C8D">
        <w:rPr>
          <w:rFonts w:ascii="Arial" w:hAnsi="Arial" w:cs="Arial"/>
          <w:lang w:val="en-GB"/>
        </w:rPr>
        <w:t xml:space="preserve">)P can induce </w:t>
      </w:r>
      <w:proofErr w:type="spellStart"/>
      <w:r w:rsidRPr="00BA7C8D">
        <w:rPr>
          <w:rFonts w:ascii="Arial" w:hAnsi="Arial" w:cs="Arial"/>
          <w:lang w:val="en-GB"/>
        </w:rPr>
        <w:t>tumors</w:t>
      </w:r>
      <w:proofErr w:type="spellEnd"/>
      <w:r w:rsidRPr="00BA7C8D">
        <w:rPr>
          <w:rFonts w:ascii="Arial" w:hAnsi="Arial" w:cs="Arial"/>
          <w:lang w:val="en-GB"/>
        </w:rPr>
        <w:t xml:space="preserve"> in various aquatic species, both through dermal and internal exposure. This group of PAHs can cause genetic mutations in these species, including chromatid abnormalities, micronuclei, or other DNA damage. Such multi-genic damage increases the carcinogenic risks for this biota (</w:t>
      </w:r>
      <w:proofErr w:type="spellStart"/>
      <w:r w:rsidRPr="00BA7C8D">
        <w:rPr>
          <w:rFonts w:ascii="Arial" w:hAnsi="Arial" w:cs="Arial"/>
          <w:lang w:val="en-GB"/>
        </w:rPr>
        <w:t>Abouda</w:t>
      </w:r>
      <w:proofErr w:type="spellEnd"/>
      <w:r w:rsidRPr="00BA7C8D">
        <w:rPr>
          <w:rFonts w:ascii="Arial" w:hAnsi="Arial" w:cs="Arial"/>
          <w:lang w:val="en-GB"/>
        </w:rPr>
        <w:t xml:space="preserve"> et al., 2024; Kuhn et al., 2025).</w:t>
      </w:r>
    </w:p>
    <w:p w14:paraId="0F0CE36C" w14:textId="0694BBD5" w:rsidR="00AD271C" w:rsidRPr="00204DC7" w:rsidRDefault="00AD271C" w:rsidP="00AD271C">
      <w:pPr>
        <w:jc w:val="both"/>
        <w:rPr>
          <w:rFonts w:ascii="Arial" w:hAnsi="Arial" w:cs="Arial"/>
          <w:lang w:val="en-GB"/>
        </w:rPr>
      </w:pPr>
      <w:r w:rsidRPr="00204DC7">
        <w:rPr>
          <w:rFonts w:ascii="Arial" w:hAnsi="Arial" w:cs="Arial"/>
          <w:lang w:val="en-GB"/>
        </w:rPr>
        <w:t>A synthesis of results, also derived from the Environmental Quality Standards (EQS) of Directive 2013/39/EU (OJEU, 2013) and the RI-</w:t>
      </w:r>
      <w:proofErr w:type="spellStart"/>
      <w:r w:rsidRPr="00204DC7">
        <w:rPr>
          <w:rFonts w:ascii="Arial" w:hAnsi="Arial" w:cs="Arial"/>
          <w:lang w:val="en-GB"/>
        </w:rPr>
        <w:t>BaP</w:t>
      </w:r>
      <w:proofErr w:type="spellEnd"/>
      <w:r w:rsidRPr="00204DC7">
        <w:rPr>
          <w:rFonts w:ascii="Arial" w:hAnsi="Arial" w:cs="Arial"/>
          <w:lang w:val="en-GB"/>
        </w:rPr>
        <w:t xml:space="preserve"> dose (TEQ and MEQ), </w:t>
      </w:r>
      <w:proofErr w:type="spellStart"/>
      <w:r w:rsidRPr="00204DC7">
        <w:rPr>
          <w:rFonts w:ascii="Arial" w:hAnsi="Arial" w:cs="Arial"/>
          <w:lang w:val="en-GB"/>
        </w:rPr>
        <w:t>HIderm</w:t>
      </w:r>
      <w:proofErr w:type="spellEnd"/>
      <w:r w:rsidRPr="00204DC7">
        <w:rPr>
          <w:rFonts w:ascii="Arial" w:hAnsi="Arial" w:cs="Arial"/>
          <w:lang w:val="en-GB"/>
        </w:rPr>
        <w:t xml:space="preserve">, and </w:t>
      </w:r>
      <w:proofErr w:type="spellStart"/>
      <w:r w:rsidRPr="00204DC7">
        <w:rPr>
          <w:rFonts w:ascii="Arial" w:hAnsi="Arial" w:cs="Arial"/>
          <w:lang w:val="en-GB"/>
        </w:rPr>
        <w:t>RIderm</w:t>
      </w:r>
      <w:proofErr w:type="spellEnd"/>
      <w:r w:rsidRPr="00204DC7">
        <w:rPr>
          <w:rFonts w:ascii="Arial" w:hAnsi="Arial" w:cs="Arial"/>
          <w:lang w:val="en-GB"/>
        </w:rPr>
        <w:t xml:space="preserve"> indices, revealed high short-term risks, with the exception of carcinogenic and mutagenic risks, linked to ATC, </w:t>
      </w:r>
      <w:proofErr w:type="spellStart"/>
      <w:r w:rsidRPr="00204DC7">
        <w:rPr>
          <w:rFonts w:ascii="Arial" w:hAnsi="Arial" w:cs="Arial"/>
          <w:lang w:val="en-GB"/>
        </w:rPr>
        <w:t>BbF</w:t>
      </w:r>
      <w:proofErr w:type="spellEnd"/>
      <w:r w:rsidRPr="00204DC7">
        <w:rPr>
          <w:rFonts w:ascii="Arial" w:hAnsi="Arial" w:cs="Arial"/>
          <w:lang w:val="en-GB"/>
        </w:rPr>
        <w:t xml:space="preserve">, </w:t>
      </w:r>
      <w:proofErr w:type="spellStart"/>
      <w:r w:rsidRPr="00204DC7">
        <w:rPr>
          <w:rFonts w:ascii="Arial" w:hAnsi="Arial" w:cs="Arial"/>
          <w:lang w:val="en-GB"/>
        </w:rPr>
        <w:t>BkF</w:t>
      </w:r>
      <w:proofErr w:type="spellEnd"/>
      <w:r w:rsidRPr="00204DC7">
        <w:rPr>
          <w:rFonts w:ascii="Arial" w:hAnsi="Arial" w:cs="Arial"/>
          <w:lang w:val="en-GB"/>
        </w:rPr>
        <w:t>, and FLRT. These waters proved to be hazardous, even though they did not present short-term carcinogenic risks for adult anthropogenic activities, particularly fishing and bathing, in relation to the combined PAHs ATC, FLR, FLRT, NPT, and PNT. However, this finding does not apply to children engaged in fishing in these waters.</w:t>
      </w:r>
      <w:r w:rsidRPr="00AD271C">
        <w:rPr>
          <w:rFonts w:ascii="Arial" w:hAnsi="Arial" w:cs="Arial"/>
          <w:lang w:val="en-GB"/>
        </w:rPr>
        <w:t xml:space="preserve"> </w:t>
      </w:r>
      <w:r w:rsidRPr="00204DC7">
        <w:rPr>
          <w:rFonts w:ascii="Arial" w:hAnsi="Arial" w:cs="Arial"/>
          <w:lang w:val="en-GB"/>
        </w:rPr>
        <w:t xml:space="preserve">The short-term carcinogenic and mutagenic risks for the different categories of individuals linked to </w:t>
      </w:r>
      <w:proofErr w:type="spellStart"/>
      <w:r w:rsidRPr="00204DC7">
        <w:rPr>
          <w:rFonts w:ascii="Arial" w:hAnsi="Arial" w:cs="Arial"/>
          <w:lang w:val="en-GB"/>
        </w:rPr>
        <w:t>BaA</w:t>
      </w:r>
      <w:proofErr w:type="spellEnd"/>
      <w:r w:rsidRPr="00204DC7">
        <w:rPr>
          <w:rFonts w:ascii="Arial" w:hAnsi="Arial" w:cs="Arial"/>
          <w:lang w:val="en-GB"/>
        </w:rPr>
        <w:t xml:space="preserve">, </w:t>
      </w:r>
      <w:proofErr w:type="spellStart"/>
      <w:r w:rsidRPr="00204DC7">
        <w:rPr>
          <w:rFonts w:ascii="Arial" w:hAnsi="Arial" w:cs="Arial"/>
          <w:lang w:val="en-GB"/>
        </w:rPr>
        <w:t>BaP</w:t>
      </w:r>
      <w:proofErr w:type="spellEnd"/>
      <w:r w:rsidRPr="00204DC7">
        <w:rPr>
          <w:rFonts w:ascii="Arial" w:hAnsi="Arial" w:cs="Arial"/>
          <w:lang w:val="en-GB"/>
        </w:rPr>
        <w:t xml:space="preserve">, </w:t>
      </w:r>
      <w:proofErr w:type="spellStart"/>
      <w:r w:rsidRPr="00204DC7">
        <w:rPr>
          <w:rFonts w:ascii="Arial" w:hAnsi="Arial" w:cs="Arial"/>
          <w:lang w:val="en-GB"/>
        </w:rPr>
        <w:t>BbF</w:t>
      </w:r>
      <w:proofErr w:type="spellEnd"/>
      <w:r w:rsidRPr="00204DC7">
        <w:rPr>
          <w:rFonts w:ascii="Arial" w:hAnsi="Arial" w:cs="Arial"/>
          <w:lang w:val="en-GB"/>
        </w:rPr>
        <w:t xml:space="preserve">, </w:t>
      </w:r>
      <w:proofErr w:type="spellStart"/>
      <w:r w:rsidRPr="00204DC7">
        <w:rPr>
          <w:rFonts w:ascii="Arial" w:hAnsi="Arial" w:cs="Arial"/>
          <w:lang w:val="en-GB"/>
        </w:rPr>
        <w:t>BkF</w:t>
      </w:r>
      <w:proofErr w:type="spellEnd"/>
      <w:r w:rsidRPr="00204DC7">
        <w:rPr>
          <w:rFonts w:ascii="Arial" w:hAnsi="Arial" w:cs="Arial"/>
          <w:lang w:val="en-GB"/>
        </w:rPr>
        <w:t xml:space="preserve">, and I(1,2,3-c,d)P), as well as to the totality of these PAHs, were found to be very low. Conversely, long-term carcinogenic risks, considering eleven of the thirteen studied PAHs, were extremely high for individuals using these waters. This was particularly true for </w:t>
      </w:r>
      <w:proofErr w:type="spellStart"/>
      <w:r w:rsidRPr="00204DC7">
        <w:rPr>
          <w:rFonts w:ascii="Arial" w:hAnsi="Arial" w:cs="Arial"/>
          <w:lang w:val="en-GB"/>
        </w:rPr>
        <w:t>BaP</w:t>
      </w:r>
      <w:proofErr w:type="spellEnd"/>
      <w:r w:rsidRPr="00204DC7">
        <w:rPr>
          <w:rFonts w:ascii="Arial" w:hAnsi="Arial" w:cs="Arial"/>
          <w:lang w:val="en-GB"/>
        </w:rPr>
        <w:t xml:space="preserve"> and </w:t>
      </w:r>
      <w:proofErr w:type="spellStart"/>
      <w:r w:rsidRPr="00204DC7">
        <w:rPr>
          <w:rFonts w:ascii="Arial" w:hAnsi="Arial" w:cs="Arial"/>
          <w:lang w:val="en-GB"/>
        </w:rPr>
        <w:t>BbF</w:t>
      </w:r>
      <w:proofErr w:type="spellEnd"/>
      <w:r w:rsidRPr="00204DC7">
        <w:rPr>
          <w:rFonts w:ascii="Arial" w:hAnsi="Arial" w:cs="Arial"/>
          <w:lang w:val="en-GB"/>
        </w:rPr>
        <w:t xml:space="preserve"> in children engaged in fishing, and for </w:t>
      </w:r>
      <w:proofErr w:type="spellStart"/>
      <w:r w:rsidRPr="00204DC7">
        <w:rPr>
          <w:rFonts w:ascii="Arial" w:hAnsi="Arial" w:cs="Arial"/>
          <w:lang w:val="en-GB"/>
        </w:rPr>
        <w:t>BaA</w:t>
      </w:r>
      <w:proofErr w:type="spellEnd"/>
      <w:r w:rsidRPr="00204DC7">
        <w:rPr>
          <w:rFonts w:ascii="Arial" w:hAnsi="Arial" w:cs="Arial"/>
          <w:lang w:val="en-GB"/>
        </w:rPr>
        <w:t xml:space="preserve">, </w:t>
      </w:r>
      <w:proofErr w:type="spellStart"/>
      <w:r w:rsidRPr="00204DC7">
        <w:rPr>
          <w:rFonts w:ascii="Arial" w:hAnsi="Arial" w:cs="Arial"/>
          <w:lang w:val="en-GB"/>
        </w:rPr>
        <w:t>BaP</w:t>
      </w:r>
      <w:proofErr w:type="spellEnd"/>
      <w:r w:rsidRPr="00204DC7">
        <w:rPr>
          <w:rFonts w:ascii="Arial" w:hAnsi="Arial" w:cs="Arial"/>
          <w:lang w:val="en-GB"/>
        </w:rPr>
        <w:t xml:space="preserve">, </w:t>
      </w:r>
      <w:proofErr w:type="spellStart"/>
      <w:r w:rsidRPr="00204DC7">
        <w:rPr>
          <w:rFonts w:ascii="Arial" w:hAnsi="Arial" w:cs="Arial"/>
          <w:lang w:val="en-GB"/>
        </w:rPr>
        <w:t>BbF</w:t>
      </w:r>
      <w:proofErr w:type="spellEnd"/>
      <w:r w:rsidRPr="00204DC7">
        <w:rPr>
          <w:rFonts w:ascii="Arial" w:hAnsi="Arial" w:cs="Arial"/>
          <w:lang w:val="en-GB"/>
        </w:rPr>
        <w:t>, and I(1,2,3-</w:t>
      </w:r>
      <w:proofErr w:type="gramStart"/>
      <w:r w:rsidRPr="00204DC7">
        <w:rPr>
          <w:rFonts w:ascii="Arial" w:hAnsi="Arial" w:cs="Arial"/>
          <w:lang w:val="en-GB"/>
        </w:rPr>
        <w:t>c,d</w:t>
      </w:r>
      <w:proofErr w:type="gramEnd"/>
      <w:r w:rsidRPr="00204DC7">
        <w:rPr>
          <w:rFonts w:ascii="Arial" w:hAnsi="Arial" w:cs="Arial"/>
          <w:lang w:val="en-GB"/>
        </w:rPr>
        <w:t>)P in adults.</w:t>
      </w:r>
      <w:r w:rsidRPr="00AD271C">
        <w:rPr>
          <w:rFonts w:ascii="Arial" w:hAnsi="Arial" w:cs="Arial"/>
          <w:lang w:val="en-GB"/>
        </w:rPr>
        <w:t xml:space="preserve"> </w:t>
      </w:r>
      <w:r w:rsidRPr="00204DC7">
        <w:rPr>
          <w:rFonts w:ascii="Arial" w:hAnsi="Arial" w:cs="Arial"/>
          <w:lang w:val="en-GB"/>
        </w:rPr>
        <w:t xml:space="preserve">In the short term, exposure to ATC, </w:t>
      </w:r>
      <w:proofErr w:type="spellStart"/>
      <w:r w:rsidRPr="00204DC7">
        <w:rPr>
          <w:rFonts w:ascii="Arial" w:hAnsi="Arial" w:cs="Arial"/>
          <w:lang w:val="en-GB"/>
        </w:rPr>
        <w:t>BbF</w:t>
      </w:r>
      <w:proofErr w:type="spellEnd"/>
      <w:r w:rsidRPr="00204DC7">
        <w:rPr>
          <w:rFonts w:ascii="Arial" w:hAnsi="Arial" w:cs="Arial"/>
          <w:lang w:val="en-GB"/>
        </w:rPr>
        <w:t xml:space="preserve">, </w:t>
      </w:r>
      <w:proofErr w:type="spellStart"/>
      <w:r w:rsidRPr="00204DC7">
        <w:rPr>
          <w:rFonts w:ascii="Arial" w:hAnsi="Arial" w:cs="Arial"/>
          <w:lang w:val="en-GB"/>
        </w:rPr>
        <w:t>BkF</w:t>
      </w:r>
      <w:proofErr w:type="spellEnd"/>
      <w:r w:rsidRPr="00204DC7">
        <w:rPr>
          <w:rFonts w:ascii="Arial" w:hAnsi="Arial" w:cs="Arial"/>
          <w:lang w:val="en-GB"/>
        </w:rPr>
        <w:t xml:space="preserve">, FLRT, FLR, NPT, and PNT can lead to skin irritation, itching, burns, skin thickening, pigmentation changes, lung lesions, and gastrointestinal disorders in humans (Albarano et al., 2023; INERIS, 2020; </w:t>
      </w:r>
      <w:proofErr w:type="spellStart"/>
      <w:r w:rsidRPr="00204DC7">
        <w:rPr>
          <w:rFonts w:ascii="Arial" w:hAnsi="Arial" w:cs="Arial"/>
          <w:lang w:val="en-GB"/>
        </w:rPr>
        <w:t>Siquiera</w:t>
      </w:r>
      <w:proofErr w:type="spellEnd"/>
      <w:r w:rsidRPr="00204DC7">
        <w:rPr>
          <w:rFonts w:ascii="Arial" w:hAnsi="Arial" w:cs="Arial"/>
          <w:lang w:val="en-GB"/>
        </w:rPr>
        <w:t xml:space="preserve"> et al., 2023). The carcinogenic risks for humans are manifold, particularly affecting the skin, bladder, and vital organs (A</w:t>
      </w:r>
      <w:r w:rsidR="00E1155F">
        <w:rPr>
          <w:rFonts w:ascii="Arial" w:hAnsi="Arial" w:cs="Arial"/>
          <w:lang w:val="en-GB"/>
        </w:rPr>
        <w:t>T</w:t>
      </w:r>
      <w:r w:rsidRPr="00204DC7">
        <w:rPr>
          <w:rFonts w:ascii="Arial" w:hAnsi="Arial" w:cs="Arial"/>
          <w:lang w:val="en-GB"/>
        </w:rPr>
        <w:t>S</w:t>
      </w:r>
      <w:r w:rsidR="00E1155F">
        <w:rPr>
          <w:rFonts w:ascii="Arial" w:hAnsi="Arial" w:cs="Arial"/>
          <w:lang w:val="en-GB"/>
        </w:rPr>
        <w:t>D</w:t>
      </w:r>
      <w:r w:rsidRPr="00204DC7">
        <w:rPr>
          <w:rFonts w:ascii="Arial" w:hAnsi="Arial" w:cs="Arial"/>
          <w:lang w:val="en-GB"/>
        </w:rPr>
        <w:t>R, 1995; Cerciello et al., 2025).</w:t>
      </w:r>
    </w:p>
    <w:p w14:paraId="6292147F" w14:textId="77777777" w:rsidR="00A04B88" w:rsidRPr="00AD271C" w:rsidRDefault="00A04B88" w:rsidP="00AD271C">
      <w:pPr>
        <w:jc w:val="both"/>
        <w:rPr>
          <w:rFonts w:ascii="Arial" w:hAnsi="Arial" w:cs="Arial"/>
          <w:lang w:val="en-GB"/>
        </w:rPr>
      </w:pPr>
    </w:p>
    <w:p w14:paraId="7FD303C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E75656" w14:textId="77777777" w:rsidR="0041309D" w:rsidRPr="003C4E56" w:rsidRDefault="0041309D" w:rsidP="0041309D">
      <w:pPr>
        <w:jc w:val="both"/>
        <w:rPr>
          <w:rFonts w:ascii="Arial" w:hAnsi="Arial" w:cs="Arial"/>
          <w:lang w:val="en-GB"/>
        </w:rPr>
      </w:pPr>
      <w:r w:rsidRPr="0093373E">
        <w:rPr>
          <w:rFonts w:ascii="Arial" w:hAnsi="Arial" w:cs="Arial"/>
          <w:lang w:val="en-GB"/>
        </w:rPr>
        <w:t xml:space="preserve">This study revealed significant PAH pollution in the waters of the </w:t>
      </w:r>
      <w:proofErr w:type="spellStart"/>
      <w:r w:rsidRPr="0093373E">
        <w:rPr>
          <w:rFonts w:ascii="Arial" w:hAnsi="Arial" w:cs="Arial"/>
          <w:lang w:val="en-GB"/>
        </w:rPr>
        <w:t>Déganobo</w:t>
      </w:r>
      <w:proofErr w:type="spellEnd"/>
      <w:r w:rsidRPr="0093373E">
        <w:rPr>
          <w:rFonts w:ascii="Arial" w:hAnsi="Arial" w:cs="Arial"/>
          <w:lang w:val="en-GB"/>
        </w:rPr>
        <w:t xml:space="preserve"> lacustrine system. This situation is primarily attributed to industrial and port activities in the vicinity of the study area. The PAHs in these waters were predominantly of pyrolytic origin and dominated by LMW PAHs. Both short- and long-term ecological and human health risks were found to be substantial for both the aquatic biota of this ecosystem and for humans.</w:t>
      </w:r>
    </w:p>
    <w:p w14:paraId="2475A48A" w14:textId="37A074CC" w:rsidR="004507A8" w:rsidRPr="004507A8" w:rsidRDefault="0041309D" w:rsidP="004507A8">
      <w:pPr>
        <w:jc w:val="both"/>
        <w:rPr>
          <w:rFonts w:ascii="Arial" w:hAnsi="Arial" w:cs="Arial"/>
          <w:lang w:val="en-GB"/>
        </w:rPr>
      </w:pPr>
      <w:r w:rsidRPr="003C4E56">
        <w:rPr>
          <w:rFonts w:ascii="Arial" w:hAnsi="Arial" w:cs="Arial"/>
          <w:lang w:val="en-GB"/>
        </w:rPr>
        <w:t>Given the alarming PAH contamination and associated ecological and human health risks, future efforts must prioritize</w:t>
      </w:r>
      <w:r w:rsidRPr="0041309D">
        <w:rPr>
          <w:rFonts w:ascii="Arial" w:hAnsi="Arial" w:cs="Arial"/>
          <w:lang w:val="en-GB"/>
        </w:rPr>
        <w:t xml:space="preserve"> include</w:t>
      </w:r>
      <w:r w:rsidRPr="003C4E56">
        <w:rPr>
          <w:rFonts w:ascii="Arial" w:hAnsi="Arial" w:cs="Arial"/>
          <w:lang w:val="en-GB"/>
        </w:rPr>
        <w:t>:</w:t>
      </w:r>
      <w:r w:rsidRPr="0041309D">
        <w:rPr>
          <w:rFonts w:ascii="Arial" w:hAnsi="Arial" w:cs="Arial"/>
          <w:lang w:val="en-GB"/>
        </w:rPr>
        <w:t xml:space="preserve"> d</w:t>
      </w:r>
      <w:r w:rsidRPr="003C4E56">
        <w:rPr>
          <w:rFonts w:ascii="Arial" w:hAnsi="Arial" w:cs="Arial"/>
          <w:lang w:val="en-GB"/>
        </w:rPr>
        <w:t>etailed source apportionment to enable targeted mitigation strategies against industrial, vehicular, domestic, and port discharges</w:t>
      </w:r>
      <w:r w:rsidRPr="0041309D">
        <w:rPr>
          <w:rFonts w:ascii="Arial" w:hAnsi="Arial" w:cs="Arial"/>
          <w:lang w:val="en-GB"/>
        </w:rPr>
        <w:t>; r</w:t>
      </w:r>
      <w:r w:rsidRPr="003C4E56">
        <w:rPr>
          <w:rFonts w:ascii="Arial" w:hAnsi="Arial" w:cs="Arial"/>
          <w:lang w:val="en-GB"/>
        </w:rPr>
        <w:t>obust long-term monitoring of PAHs in water, sediments, and biota to track trends and assess mitigation effectiveness</w:t>
      </w:r>
      <w:r w:rsidRPr="0041309D">
        <w:rPr>
          <w:rFonts w:ascii="Arial" w:hAnsi="Arial" w:cs="Arial"/>
          <w:lang w:val="en-GB"/>
        </w:rPr>
        <w:t>; i</w:t>
      </w:r>
      <w:r w:rsidRPr="003C4E56">
        <w:rPr>
          <w:rFonts w:ascii="Arial" w:hAnsi="Arial" w:cs="Arial"/>
          <w:lang w:val="en-GB"/>
        </w:rPr>
        <w:t>nvestigation of bioremediation and phytoremediation as cost-effective, nature-based solutions</w:t>
      </w:r>
      <w:r w:rsidRPr="0041309D">
        <w:rPr>
          <w:rFonts w:ascii="Arial" w:hAnsi="Arial" w:cs="Arial"/>
          <w:lang w:val="en-GB"/>
        </w:rPr>
        <w:t>; e</w:t>
      </w:r>
      <w:r w:rsidRPr="003C4E56">
        <w:rPr>
          <w:rFonts w:ascii="Arial" w:hAnsi="Arial" w:cs="Arial"/>
          <w:lang w:val="en-GB"/>
        </w:rPr>
        <w:t>cological restoration initiatives to improve water quality and habitat integrity.</w:t>
      </w:r>
    </w:p>
    <w:p w14:paraId="764729DE" w14:textId="77777777" w:rsidR="004507A8" w:rsidRPr="00A80B97" w:rsidRDefault="004507A8" w:rsidP="004507A8">
      <w:pPr>
        <w:jc w:val="both"/>
        <w:rPr>
          <w:rFonts w:ascii="Arial" w:hAnsi="Arial" w:cs="Arial"/>
          <w:b/>
          <w:bCs/>
          <w:sz w:val="22"/>
          <w:szCs w:val="22"/>
          <w:highlight w:val="yellow"/>
          <w:lang w:val="en-GB"/>
        </w:rPr>
      </w:pPr>
      <w:r w:rsidRPr="004507A8">
        <w:rPr>
          <w:rFonts w:ascii="Arial" w:hAnsi="Arial" w:cs="Arial"/>
          <w:b/>
          <w:bCs/>
          <w:sz w:val="22"/>
          <w:szCs w:val="22"/>
          <w:highlight w:val="yellow"/>
          <w:lang w:val="en-GB"/>
        </w:rPr>
        <w:lastRenderedPageBreak/>
        <w:t>R</w:t>
      </w:r>
      <w:r w:rsidRPr="00A80B97">
        <w:rPr>
          <w:rFonts w:ascii="Arial" w:hAnsi="Arial" w:cs="Arial"/>
          <w:b/>
          <w:bCs/>
          <w:sz w:val="22"/>
          <w:szCs w:val="22"/>
          <w:highlight w:val="yellow"/>
          <w:lang w:val="en-GB"/>
        </w:rPr>
        <w:t>ECOMMENDATIONS</w:t>
      </w:r>
    </w:p>
    <w:p w14:paraId="43BFB4F4" w14:textId="77777777" w:rsidR="004507A8" w:rsidRPr="004507A8" w:rsidRDefault="004507A8" w:rsidP="004507A8">
      <w:pPr>
        <w:jc w:val="both"/>
        <w:rPr>
          <w:rFonts w:ascii="Arial" w:hAnsi="Arial" w:cs="Arial"/>
          <w:highlight w:val="yellow"/>
          <w:lang w:val="en-GB"/>
        </w:rPr>
      </w:pPr>
      <w:r w:rsidRPr="004507A8">
        <w:rPr>
          <w:rFonts w:ascii="Arial" w:hAnsi="Arial" w:cs="Arial"/>
          <w:highlight w:val="yellow"/>
          <w:lang w:val="en-GB"/>
        </w:rPr>
        <w:t xml:space="preserve">Given the confirmed risks of carcinogenicity and mutagenicity associated with </w:t>
      </w:r>
      <w:proofErr w:type="spellStart"/>
      <w:r w:rsidRPr="004507A8">
        <w:rPr>
          <w:rFonts w:ascii="Arial" w:hAnsi="Arial" w:cs="Arial"/>
          <w:highlight w:val="yellow"/>
          <w:lang w:val="en-GB"/>
        </w:rPr>
        <w:t>BaA</w:t>
      </w:r>
      <w:proofErr w:type="spellEnd"/>
      <w:r w:rsidRPr="004507A8">
        <w:rPr>
          <w:rFonts w:ascii="Arial" w:hAnsi="Arial" w:cs="Arial"/>
          <w:highlight w:val="yellow"/>
          <w:lang w:val="en-GB"/>
        </w:rPr>
        <w:t xml:space="preserve">, </w:t>
      </w:r>
      <w:proofErr w:type="spellStart"/>
      <w:r w:rsidRPr="004507A8">
        <w:rPr>
          <w:rFonts w:ascii="Arial" w:hAnsi="Arial" w:cs="Arial"/>
          <w:highlight w:val="yellow"/>
          <w:lang w:val="en-GB"/>
        </w:rPr>
        <w:t>BaP</w:t>
      </w:r>
      <w:proofErr w:type="spellEnd"/>
      <w:r w:rsidRPr="004507A8">
        <w:rPr>
          <w:rFonts w:ascii="Arial" w:hAnsi="Arial" w:cs="Arial"/>
          <w:highlight w:val="yellow"/>
          <w:lang w:val="en-GB"/>
        </w:rPr>
        <w:t xml:space="preserve">, </w:t>
      </w:r>
      <w:proofErr w:type="spellStart"/>
      <w:r w:rsidRPr="004507A8">
        <w:rPr>
          <w:rFonts w:ascii="Arial" w:hAnsi="Arial" w:cs="Arial"/>
          <w:highlight w:val="yellow"/>
          <w:lang w:val="en-GB"/>
        </w:rPr>
        <w:t>BbF</w:t>
      </w:r>
      <w:proofErr w:type="spellEnd"/>
      <w:r w:rsidRPr="004507A8">
        <w:rPr>
          <w:rFonts w:ascii="Arial" w:hAnsi="Arial" w:cs="Arial"/>
          <w:highlight w:val="yellow"/>
          <w:lang w:val="en-GB"/>
        </w:rPr>
        <w:t>, and I-(1,2,3-</w:t>
      </w:r>
      <w:proofErr w:type="gramStart"/>
      <w:r w:rsidRPr="004507A8">
        <w:rPr>
          <w:rFonts w:ascii="Arial" w:hAnsi="Arial" w:cs="Arial"/>
          <w:highlight w:val="yellow"/>
          <w:lang w:val="en-GB"/>
        </w:rPr>
        <w:t>c,d</w:t>
      </w:r>
      <w:proofErr w:type="gramEnd"/>
      <w:r w:rsidRPr="004507A8">
        <w:rPr>
          <w:rFonts w:ascii="Arial" w:hAnsi="Arial" w:cs="Arial"/>
          <w:highlight w:val="yellow"/>
          <w:lang w:val="en-GB"/>
        </w:rPr>
        <w:t xml:space="preserve">)P detected in the waters of the </w:t>
      </w:r>
      <w:proofErr w:type="spellStart"/>
      <w:r w:rsidRPr="004507A8">
        <w:rPr>
          <w:rFonts w:ascii="Arial" w:hAnsi="Arial" w:cs="Arial"/>
          <w:highlight w:val="yellow"/>
          <w:lang w:val="en-GB"/>
        </w:rPr>
        <w:t>Déganobo</w:t>
      </w:r>
      <w:proofErr w:type="spellEnd"/>
      <w:r w:rsidRPr="004507A8">
        <w:rPr>
          <w:rFonts w:ascii="Arial" w:hAnsi="Arial" w:cs="Arial"/>
          <w:highlight w:val="yellow"/>
          <w:lang w:val="en-GB"/>
        </w:rPr>
        <w:t xml:space="preserve"> lacustrine system, it is imperative to implement the following measures to protect human health and the ecosystem:</w:t>
      </w:r>
    </w:p>
    <w:p w14:paraId="2C8DC4AA" w14:textId="6D069948" w:rsidR="004507A8" w:rsidRPr="004507A8" w:rsidRDefault="004507A8" w:rsidP="004507A8">
      <w:pPr>
        <w:numPr>
          <w:ilvl w:val="0"/>
          <w:numId w:val="35"/>
        </w:numPr>
        <w:jc w:val="both"/>
        <w:rPr>
          <w:rFonts w:ascii="Arial" w:hAnsi="Arial" w:cs="Arial"/>
          <w:highlight w:val="yellow"/>
          <w:lang w:val="en-GB"/>
        </w:rPr>
      </w:pPr>
      <w:r w:rsidRPr="00A80B97">
        <w:rPr>
          <w:rFonts w:ascii="Arial" w:hAnsi="Arial" w:cs="Arial"/>
          <w:highlight w:val="yellow"/>
          <w:lang w:val="en-GB"/>
        </w:rPr>
        <w:t>i</w:t>
      </w:r>
      <w:r w:rsidRPr="004507A8">
        <w:rPr>
          <w:rFonts w:ascii="Arial" w:hAnsi="Arial" w:cs="Arial"/>
          <w:highlight w:val="yellow"/>
          <w:lang w:val="en-GB"/>
        </w:rPr>
        <w:t xml:space="preserve">mmediate and </w:t>
      </w:r>
      <w:r w:rsidRPr="00A80B97">
        <w:rPr>
          <w:rFonts w:ascii="Arial" w:hAnsi="Arial" w:cs="Arial"/>
          <w:highlight w:val="yellow"/>
          <w:lang w:val="en-GB"/>
        </w:rPr>
        <w:t>l</w:t>
      </w:r>
      <w:r w:rsidRPr="004507A8">
        <w:rPr>
          <w:rFonts w:ascii="Arial" w:hAnsi="Arial" w:cs="Arial"/>
          <w:highlight w:val="yellow"/>
          <w:lang w:val="en-GB"/>
        </w:rPr>
        <w:t>ong-</w:t>
      </w:r>
      <w:r w:rsidRPr="00A80B97">
        <w:rPr>
          <w:rFonts w:ascii="Arial" w:hAnsi="Arial" w:cs="Arial"/>
          <w:highlight w:val="yellow"/>
          <w:lang w:val="en-GB"/>
        </w:rPr>
        <w:t>t</w:t>
      </w:r>
      <w:r w:rsidRPr="004507A8">
        <w:rPr>
          <w:rFonts w:ascii="Arial" w:hAnsi="Arial" w:cs="Arial"/>
          <w:highlight w:val="yellow"/>
          <w:lang w:val="en-GB"/>
        </w:rPr>
        <w:t xml:space="preserve">erm </w:t>
      </w:r>
      <w:r w:rsidRPr="00A80B97">
        <w:rPr>
          <w:rFonts w:ascii="Arial" w:hAnsi="Arial" w:cs="Arial"/>
          <w:highlight w:val="yellow"/>
          <w:lang w:val="en-GB"/>
        </w:rPr>
        <w:t>e</w:t>
      </w:r>
      <w:r w:rsidRPr="004507A8">
        <w:rPr>
          <w:rFonts w:ascii="Arial" w:hAnsi="Arial" w:cs="Arial"/>
          <w:highlight w:val="yellow"/>
          <w:lang w:val="en-GB"/>
        </w:rPr>
        <w:t xml:space="preserve">mission </w:t>
      </w:r>
      <w:r w:rsidRPr="00A80B97">
        <w:rPr>
          <w:rFonts w:ascii="Arial" w:hAnsi="Arial" w:cs="Arial"/>
          <w:highlight w:val="yellow"/>
          <w:lang w:val="en-GB"/>
        </w:rPr>
        <w:t>s</w:t>
      </w:r>
      <w:r w:rsidRPr="004507A8">
        <w:rPr>
          <w:rFonts w:ascii="Arial" w:hAnsi="Arial" w:cs="Arial"/>
          <w:highlight w:val="yellow"/>
          <w:lang w:val="en-GB"/>
        </w:rPr>
        <w:t xml:space="preserve">ource </w:t>
      </w:r>
      <w:r w:rsidRPr="00A80B97">
        <w:rPr>
          <w:rFonts w:ascii="Arial" w:hAnsi="Arial" w:cs="Arial"/>
          <w:highlight w:val="yellow"/>
          <w:lang w:val="en-GB"/>
        </w:rPr>
        <w:t>r</w:t>
      </w:r>
      <w:r w:rsidRPr="004507A8">
        <w:rPr>
          <w:rFonts w:ascii="Arial" w:hAnsi="Arial" w:cs="Arial"/>
          <w:highlight w:val="yellow"/>
          <w:lang w:val="en-GB"/>
        </w:rPr>
        <w:t xml:space="preserve">eduction </w:t>
      </w:r>
      <w:r w:rsidRPr="00A80B97">
        <w:rPr>
          <w:rFonts w:ascii="Arial" w:hAnsi="Arial" w:cs="Arial"/>
          <w:highlight w:val="yellow"/>
          <w:lang w:val="en-GB"/>
        </w:rPr>
        <w:t>m</w:t>
      </w:r>
      <w:r w:rsidRPr="004507A8">
        <w:rPr>
          <w:rFonts w:ascii="Arial" w:hAnsi="Arial" w:cs="Arial"/>
          <w:highlight w:val="yellow"/>
          <w:lang w:val="en-GB"/>
        </w:rPr>
        <w:t>easures: This includes strict control of industrial discharges, management of waste from automotive garages, reduction of automobile traffic emissions, and public awareness and domestic sanitation initiatives.</w:t>
      </w:r>
    </w:p>
    <w:p w14:paraId="55BE874C" w14:textId="17C2CD65" w:rsidR="004507A8" w:rsidRPr="004507A8" w:rsidRDefault="004507A8" w:rsidP="004507A8">
      <w:pPr>
        <w:numPr>
          <w:ilvl w:val="0"/>
          <w:numId w:val="35"/>
        </w:numPr>
        <w:jc w:val="both"/>
        <w:rPr>
          <w:rFonts w:ascii="Arial" w:hAnsi="Arial" w:cs="Arial"/>
          <w:highlight w:val="yellow"/>
          <w:lang w:val="en-GB"/>
        </w:rPr>
      </w:pPr>
      <w:r w:rsidRPr="004507A8">
        <w:rPr>
          <w:rFonts w:ascii="Arial" w:hAnsi="Arial" w:cs="Arial"/>
          <w:highlight w:val="yellow"/>
          <w:lang w:val="en-GB"/>
        </w:rPr>
        <w:t xml:space="preserve">Strengthened </w:t>
      </w:r>
      <w:r w:rsidRPr="00A80B97">
        <w:rPr>
          <w:rFonts w:ascii="Arial" w:hAnsi="Arial" w:cs="Arial"/>
          <w:highlight w:val="yellow"/>
          <w:lang w:val="en-GB"/>
        </w:rPr>
        <w:t>m</w:t>
      </w:r>
      <w:r w:rsidRPr="004507A8">
        <w:rPr>
          <w:rFonts w:ascii="Arial" w:hAnsi="Arial" w:cs="Arial"/>
          <w:highlight w:val="yellow"/>
          <w:lang w:val="en-GB"/>
        </w:rPr>
        <w:t xml:space="preserve">onitoring and </w:t>
      </w:r>
      <w:r w:rsidRPr="00A80B97">
        <w:rPr>
          <w:rFonts w:ascii="Arial" w:hAnsi="Arial" w:cs="Arial"/>
          <w:highlight w:val="yellow"/>
          <w:lang w:val="en-GB"/>
        </w:rPr>
        <w:t>s</w:t>
      </w:r>
      <w:r w:rsidRPr="004507A8">
        <w:rPr>
          <w:rFonts w:ascii="Arial" w:hAnsi="Arial" w:cs="Arial"/>
          <w:highlight w:val="yellow"/>
          <w:lang w:val="en-GB"/>
        </w:rPr>
        <w:t>urveillance: This involves in-depth biomonitoring and updated health risk assessments.</w:t>
      </w:r>
    </w:p>
    <w:p w14:paraId="09594AC6" w14:textId="54535929" w:rsidR="004507A8" w:rsidRPr="004507A8" w:rsidRDefault="004507A8" w:rsidP="004507A8">
      <w:pPr>
        <w:numPr>
          <w:ilvl w:val="0"/>
          <w:numId w:val="35"/>
        </w:numPr>
        <w:jc w:val="both"/>
        <w:rPr>
          <w:rFonts w:ascii="Arial" w:hAnsi="Arial" w:cs="Arial"/>
          <w:highlight w:val="yellow"/>
          <w:lang w:val="en-GB"/>
        </w:rPr>
      </w:pPr>
      <w:r w:rsidRPr="004507A8">
        <w:rPr>
          <w:rFonts w:ascii="Arial" w:hAnsi="Arial" w:cs="Arial"/>
          <w:highlight w:val="yellow"/>
          <w:lang w:val="en-GB"/>
        </w:rPr>
        <w:t xml:space="preserve">Protection and </w:t>
      </w:r>
      <w:r w:rsidRPr="00A80B97">
        <w:rPr>
          <w:rFonts w:ascii="Arial" w:hAnsi="Arial" w:cs="Arial"/>
          <w:highlight w:val="yellow"/>
          <w:lang w:val="en-GB"/>
        </w:rPr>
        <w:t>p</w:t>
      </w:r>
      <w:r w:rsidRPr="004507A8">
        <w:rPr>
          <w:rFonts w:ascii="Arial" w:hAnsi="Arial" w:cs="Arial"/>
          <w:highlight w:val="yellow"/>
          <w:lang w:val="en-GB"/>
        </w:rPr>
        <w:t xml:space="preserve">ublic </w:t>
      </w:r>
      <w:r w:rsidRPr="00A80B97">
        <w:rPr>
          <w:rFonts w:ascii="Arial" w:hAnsi="Arial" w:cs="Arial"/>
          <w:highlight w:val="yellow"/>
          <w:lang w:val="en-GB"/>
        </w:rPr>
        <w:t>h</w:t>
      </w:r>
      <w:r w:rsidRPr="004507A8">
        <w:rPr>
          <w:rFonts w:ascii="Arial" w:hAnsi="Arial" w:cs="Arial"/>
          <w:highlight w:val="yellow"/>
          <w:lang w:val="en-GB"/>
        </w:rPr>
        <w:t xml:space="preserve">ealth </w:t>
      </w:r>
      <w:r w:rsidRPr="00A80B97">
        <w:rPr>
          <w:rFonts w:ascii="Arial" w:hAnsi="Arial" w:cs="Arial"/>
          <w:highlight w:val="yellow"/>
          <w:lang w:val="en-GB"/>
        </w:rPr>
        <w:t>m</w:t>
      </w:r>
      <w:r w:rsidRPr="004507A8">
        <w:rPr>
          <w:rFonts w:ascii="Arial" w:hAnsi="Arial" w:cs="Arial"/>
          <w:highlight w:val="yellow"/>
          <w:lang w:val="en-GB"/>
        </w:rPr>
        <w:t>easures: These encompass restrictions on water usage, fish consumption advisories, information and education campaigns, and the development of alternatives.</w:t>
      </w:r>
    </w:p>
    <w:p w14:paraId="41965171" w14:textId="2749B14C" w:rsidR="004507A8" w:rsidRPr="004507A8" w:rsidRDefault="004507A8" w:rsidP="004507A8">
      <w:pPr>
        <w:numPr>
          <w:ilvl w:val="0"/>
          <w:numId w:val="35"/>
        </w:numPr>
        <w:jc w:val="both"/>
        <w:rPr>
          <w:rFonts w:ascii="Arial" w:hAnsi="Arial" w:cs="Arial"/>
          <w:highlight w:val="yellow"/>
          <w:lang w:val="en-GB"/>
        </w:rPr>
      </w:pPr>
      <w:r w:rsidRPr="004507A8">
        <w:rPr>
          <w:rFonts w:ascii="Arial" w:hAnsi="Arial" w:cs="Arial"/>
          <w:highlight w:val="yellow"/>
          <w:lang w:val="en-GB"/>
        </w:rPr>
        <w:t xml:space="preserve">Applied </w:t>
      </w:r>
      <w:r w:rsidRPr="00A80B97">
        <w:rPr>
          <w:rFonts w:ascii="Arial" w:hAnsi="Arial" w:cs="Arial"/>
          <w:highlight w:val="yellow"/>
          <w:lang w:val="en-GB"/>
        </w:rPr>
        <w:t>r</w:t>
      </w:r>
      <w:r w:rsidRPr="004507A8">
        <w:rPr>
          <w:rFonts w:ascii="Arial" w:hAnsi="Arial" w:cs="Arial"/>
          <w:highlight w:val="yellow"/>
          <w:lang w:val="en-GB"/>
        </w:rPr>
        <w:t xml:space="preserve">esearch and </w:t>
      </w:r>
      <w:r w:rsidRPr="00A80B97">
        <w:rPr>
          <w:rFonts w:ascii="Arial" w:hAnsi="Arial" w:cs="Arial"/>
          <w:highlight w:val="yellow"/>
          <w:lang w:val="en-GB"/>
        </w:rPr>
        <w:t>i</w:t>
      </w:r>
      <w:r w:rsidRPr="004507A8">
        <w:rPr>
          <w:rFonts w:ascii="Arial" w:hAnsi="Arial" w:cs="Arial"/>
          <w:highlight w:val="yellow"/>
          <w:lang w:val="en-GB"/>
        </w:rPr>
        <w:t>nnovation: This focuses on biodegradation and remediation studies, and the evaluation of treatment technologies.</w:t>
      </w:r>
    </w:p>
    <w:p w14:paraId="3EBF28C7" w14:textId="77777777" w:rsidR="004507A8" w:rsidRPr="004507A8" w:rsidRDefault="004507A8" w:rsidP="004507A8">
      <w:pPr>
        <w:jc w:val="both"/>
        <w:rPr>
          <w:rFonts w:ascii="Arial" w:hAnsi="Arial" w:cs="Arial"/>
          <w:lang w:val="en-GB"/>
        </w:rPr>
      </w:pPr>
      <w:r w:rsidRPr="004507A8">
        <w:rPr>
          <w:rFonts w:ascii="Arial" w:hAnsi="Arial" w:cs="Arial"/>
          <w:highlight w:val="yellow"/>
          <w:lang w:val="en-GB"/>
        </w:rPr>
        <w:t xml:space="preserve">By implementing these recommendations, exposure to carcinogenic and mutagenic PAHs can be significantly reduced, thereby protecting public health and fostering the ecological resilience of the </w:t>
      </w:r>
      <w:proofErr w:type="spellStart"/>
      <w:r w:rsidRPr="004507A8">
        <w:rPr>
          <w:rFonts w:ascii="Arial" w:hAnsi="Arial" w:cs="Arial"/>
          <w:highlight w:val="yellow"/>
          <w:lang w:val="en-GB"/>
        </w:rPr>
        <w:t>Déganobo</w:t>
      </w:r>
      <w:proofErr w:type="spellEnd"/>
      <w:r w:rsidRPr="004507A8">
        <w:rPr>
          <w:rFonts w:ascii="Arial" w:hAnsi="Arial" w:cs="Arial"/>
          <w:highlight w:val="yellow"/>
          <w:lang w:val="en-GB"/>
        </w:rPr>
        <w:t xml:space="preserve"> lacustrine system.</w:t>
      </w:r>
    </w:p>
    <w:p w14:paraId="3B8F6A22" w14:textId="77777777" w:rsidR="004507A8" w:rsidRPr="00A80B97" w:rsidRDefault="004507A8" w:rsidP="0041309D">
      <w:pPr>
        <w:jc w:val="both"/>
        <w:rPr>
          <w:rFonts w:ascii="Arial" w:hAnsi="Arial" w:cs="Arial"/>
          <w:lang w:val="en-GB"/>
        </w:rPr>
      </w:pPr>
    </w:p>
    <w:p w14:paraId="00F6A2DE" w14:textId="17FB7566" w:rsidR="0069365C" w:rsidRPr="00A80B97" w:rsidRDefault="0069365C" w:rsidP="0069365C">
      <w:pPr>
        <w:rPr>
          <w:rFonts w:ascii="Arial" w:hAnsi="Arial" w:cs="Arial"/>
          <w:b/>
          <w:bCs/>
          <w:sz w:val="22"/>
          <w:szCs w:val="22"/>
          <w:highlight w:val="yellow"/>
        </w:rPr>
      </w:pPr>
      <w:r w:rsidRPr="00A80B97">
        <w:rPr>
          <w:rFonts w:ascii="Arial" w:hAnsi="Arial" w:cs="Arial"/>
          <w:b/>
          <w:bCs/>
          <w:sz w:val="22"/>
          <w:szCs w:val="22"/>
          <w:highlight w:val="yellow"/>
        </w:rPr>
        <w:t>D</w:t>
      </w:r>
      <w:r w:rsidR="00A80B97" w:rsidRPr="00A80B97">
        <w:rPr>
          <w:rFonts w:ascii="Arial" w:hAnsi="Arial" w:cs="Arial"/>
          <w:b/>
          <w:bCs/>
          <w:sz w:val="22"/>
          <w:szCs w:val="22"/>
          <w:highlight w:val="yellow"/>
        </w:rPr>
        <w:t>ISCLAIMER</w:t>
      </w:r>
      <w:r w:rsidRPr="00A80B97">
        <w:rPr>
          <w:rFonts w:ascii="Arial" w:hAnsi="Arial" w:cs="Arial"/>
          <w:b/>
          <w:bCs/>
          <w:sz w:val="22"/>
          <w:szCs w:val="22"/>
          <w:highlight w:val="yellow"/>
        </w:rPr>
        <w:t xml:space="preserve"> (Artificial intelligence)</w:t>
      </w:r>
    </w:p>
    <w:p w14:paraId="38ECC561" w14:textId="77777777" w:rsidR="0069365C" w:rsidRPr="00A80B97" w:rsidRDefault="0069365C" w:rsidP="0069365C">
      <w:pPr>
        <w:rPr>
          <w:rFonts w:ascii="Arial" w:hAnsi="Arial" w:cs="Arial"/>
        </w:rPr>
      </w:pPr>
      <w:r w:rsidRPr="00A80B97">
        <w:rPr>
          <w:rFonts w:ascii="Arial" w:hAnsi="Arial" w:cs="Arial"/>
          <w:highlight w:val="yellow"/>
        </w:rPr>
        <w:t xml:space="preserve">Author(s) hereby </w:t>
      </w:r>
      <w:proofErr w:type="gramStart"/>
      <w:r w:rsidRPr="00A80B97">
        <w:rPr>
          <w:rFonts w:ascii="Arial" w:hAnsi="Arial" w:cs="Arial"/>
          <w:highlight w:val="yellow"/>
        </w:rPr>
        <w:t>declare</w:t>
      </w:r>
      <w:proofErr w:type="gramEnd"/>
      <w:r w:rsidRPr="00A80B97">
        <w:rPr>
          <w:rFonts w:ascii="Arial" w:hAnsi="Arial" w:cs="Arial"/>
          <w:highlight w:val="yellow"/>
        </w:rPr>
        <w:t xml:space="preserve"> that NO generative AI technologies such as Large Language Models (ChatGPT, COPILOT, etc.) and text-to-image generators have been used during the writing or editing of this manuscript.</w:t>
      </w:r>
      <w:r w:rsidRPr="00A80B97">
        <w:rPr>
          <w:rFonts w:ascii="Arial" w:hAnsi="Arial" w:cs="Arial"/>
        </w:rPr>
        <w:t xml:space="preserve"> </w:t>
      </w:r>
    </w:p>
    <w:p w14:paraId="5FFA9128" w14:textId="77777777" w:rsidR="004569E9" w:rsidRPr="004569E9" w:rsidRDefault="004569E9" w:rsidP="00441B6F">
      <w:pPr>
        <w:pStyle w:val="ReferHead"/>
        <w:spacing w:after="0"/>
        <w:jc w:val="both"/>
        <w:rPr>
          <w:rFonts w:ascii="Arial" w:hAnsi="Arial" w:cs="Arial"/>
          <w:b w:val="0"/>
          <w:caps w:val="0"/>
          <w:sz w:val="20"/>
        </w:rPr>
      </w:pPr>
    </w:p>
    <w:p w14:paraId="2404E3FA" w14:textId="6423DF15" w:rsidR="004569E9" w:rsidRDefault="00B01FCD" w:rsidP="00441B6F">
      <w:pPr>
        <w:pStyle w:val="ReferHead"/>
        <w:spacing w:after="0"/>
        <w:jc w:val="both"/>
        <w:rPr>
          <w:rFonts w:ascii="Arial" w:hAnsi="Arial" w:cs="Arial"/>
        </w:rPr>
      </w:pPr>
      <w:r w:rsidRPr="00FB3A86">
        <w:rPr>
          <w:rFonts w:ascii="Arial" w:hAnsi="Arial" w:cs="Arial"/>
        </w:rPr>
        <w:t>References</w:t>
      </w:r>
      <w:r w:rsidR="004569E9">
        <w:rPr>
          <w:rFonts w:ascii="Arial" w:hAnsi="Arial" w:cs="Arial"/>
        </w:rPr>
        <w:t>.</w:t>
      </w:r>
    </w:p>
    <w:p w14:paraId="793DB9D8" w14:textId="77777777" w:rsidR="008850EB" w:rsidRPr="003B1B53" w:rsidRDefault="008850EB" w:rsidP="008850EB">
      <w:pPr>
        <w:spacing w:after="160" w:line="259" w:lineRule="auto"/>
        <w:jc w:val="both"/>
        <w:rPr>
          <w:rFonts w:ascii="Arial" w:hAnsi="Arial" w:cs="Arial"/>
          <w:lang w:val="en-GB"/>
        </w:rPr>
      </w:pPr>
      <w:proofErr w:type="spellStart"/>
      <w:r w:rsidRPr="00382113">
        <w:rPr>
          <w:rFonts w:ascii="Arial" w:hAnsi="Arial" w:cs="Arial"/>
          <w:lang w:val="en-GB"/>
        </w:rPr>
        <w:t>Abouda</w:t>
      </w:r>
      <w:proofErr w:type="spellEnd"/>
      <w:r w:rsidRPr="00382113">
        <w:rPr>
          <w:rFonts w:ascii="Arial" w:hAnsi="Arial" w:cs="Arial"/>
          <w:lang w:val="en-GB"/>
        </w:rPr>
        <w:t xml:space="preserve">, S., Galati, M., Conti, G.O., Cappello, T., </w:t>
      </w:r>
      <w:proofErr w:type="spellStart"/>
      <w:r w:rsidRPr="00382113">
        <w:rPr>
          <w:rFonts w:ascii="Arial" w:hAnsi="Arial" w:cs="Arial"/>
          <w:lang w:val="en-GB"/>
        </w:rPr>
        <w:t>Abelouah</w:t>
      </w:r>
      <w:proofErr w:type="spellEnd"/>
      <w:r w:rsidRPr="00382113">
        <w:rPr>
          <w:rFonts w:ascii="Arial" w:hAnsi="Arial" w:cs="Arial"/>
          <w:lang w:val="en-GB"/>
        </w:rPr>
        <w:t xml:space="preserve">, M.R., </w:t>
      </w:r>
      <w:proofErr w:type="spellStart"/>
      <w:r w:rsidRPr="00382113">
        <w:rPr>
          <w:rFonts w:ascii="Arial" w:hAnsi="Arial" w:cs="Arial"/>
          <w:lang w:val="en-GB"/>
        </w:rPr>
        <w:t>Romdhani</w:t>
      </w:r>
      <w:proofErr w:type="spellEnd"/>
      <w:r w:rsidRPr="00382113">
        <w:rPr>
          <w:rFonts w:ascii="Arial" w:hAnsi="Arial" w:cs="Arial"/>
          <w:lang w:val="en-GB"/>
        </w:rPr>
        <w:t xml:space="preserve">, I. et al. </w:t>
      </w:r>
      <w:r w:rsidRPr="003B1B53">
        <w:rPr>
          <w:rFonts w:ascii="Arial" w:hAnsi="Arial" w:cs="Arial"/>
          <w:lang w:val="en-GB"/>
        </w:rPr>
        <w:t xml:space="preserve">(2024). Metabolomic and biochemical disorders reveal the toxicity of environmental microplastics and benzo[a]pyrene in the marine polychaete </w:t>
      </w:r>
      <w:proofErr w:type="spellStart"/>
      <w:r w:rsidRPr="003B1B53">
        <w:rPr>
          <w:rFonts w:ascii="Arial" w:hAnsi="Arial" w:cs="Arial"/>
          <w:lang w:val="en-GB"/>
        </w:rPr>
        <w:t>Hediste</w:t>
      </w:r>
      <w:proofErr w:type="spellEnd"/>
      <w:r w:rsidRPr="003B1B53">
        <w:rPr>
          <w:rFonts w:ascii="Arial" w:hAnsi="Arial" w:cs="Arial"/>
          <w:lang w:val="en-GB"/>
        </w:rPr>
        <w:t xml:space="preserve"> </w:t>
      </w:r>
      <w:proofErr w:type="spellStart"/>
      <w:r w:rsidRPr="003B1B53">
        <w:rPr>
          <w:rFonts w:ascii="Arial" w:hAnsi="Arial" w:cs="Arial"/>
          <w:lang w:val="en-GB"/>
        </w:rPr>
        <w:t>diversicolor</w:t>
      </w:r>
      <w:proofErr w:type="spellEnd"/>
      <w:r w:rsidRPr="003B1B53">
        <w:rPr>
          <w:rFonts w:ascii="Arial" w:hAnsi="Arial" w:cs="Arial"/>
          <w:lang w:val="en-GB"/>
        </w:rPr>
        <w:t>. Journal of Hazardous Materials, 477, 135404. [DOI: 10.1016/j.jhazmat.2024.135404]</w:t>
      </w:r>
    </w:p>
    <w:p w14:paraId="500F8B94"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Adeniji, A.O., Okoh, O.O., &amp; Okoh, A.I. (2019). Distribution pattern and health risk assessment of polycyclic aromatic hydrocarbons in the water and sediment of </w:t>
      </w:r>
      <w:proofErr w:type="spellStart"/>
      <w:r w:rsidRPr="003B1B53">
        <w:rPr>
          <w:rFonts w:ascii="Arial" w:hAnsi="Arial" w:cs="Arial"/>
          <w:lang w:val="en-GB"/>
        </w:rPr>
        <w:t>Algoa</w:t>
      </w:r>
      <w:proofErr w:type="spellEnd"/>
      <w:r w:rsidRPr="003B1B53">
        <w:rPr>
          <w:rFonts w:ascii="Arial" w:hAnsi="Arial" w:cs="Arial"/>
          <w:lang w:val="en-GB"/>
        </w:rPr>
        <w:t xml:space="preserve"> Bay, South Africa. Environmental Geochemistry and Health, 41, 1303–1320. [DOI: 10.1007/s10653-018-0203-z]</w:t>
      </w:r>
    </w:p>
    <w:p w14:paraId="7F6A98BC"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Albarano, L., De Rosa, I., Santaniello, I., Montuori, M.M., Serafini, S.S., </w:t>
      </w:r>
      <w:proofErr w:type="spellStart"/>
      <w:r w:rsidRPr="003B1B53">
        <w:rPr>
          <w:rFonts w:ascii="Arial" w:hAnsi="Arial" w:cs="Arial"/>
          <w:lang w:val="en-GB"/>
        </w:rPr>
        <w:t>Toscanesi</w:t>
      </w:r>
      <w:proofErr w:type="spellEnd"/>
      <w:r w:rsidRPr="003B1B53">
        <w:rPr>
          <w:rFonts w:ascii="Arial" w:hAnsi="Arial" w:cs="Arial"/>
          <w:lang w:val="en-GB"/>
        </w:rPr>
        <w:t xml:space="preserve">, M.M. et al. (2023). Synergistic, antagonistic, and additive effects of naphthalene, phenanthrene, fluoranthene and benzo(k)fluoranthene on Artemia </w:t>
      </w:r>
      <w:proofErr w:type="spellStart"/>
      <w:r w:rsidRPr="003B1B53">
        <w:rPr>
          <w:rFonts w:ascii="Arial" w:hAnsi="Arial" w:cs="Arial"/>
          <w:lang w:val="en-GB"/>
        </w:rPr>
        <w:t>franciscana</w:t>
      </w:r>
      <w:proofErr w:type="spellEnd"/>
      <w:r w:rsidRPr="003B1B53">
        <w:rPr>
          <w:rFonts w:ascii="Arial" w:hAnsi="Arial" w:cs="Arial"/>
          <w:lang w:val="en-GB"/>
        </w:rPr>
        <w:t xml:space="preserve"> nauplii and adult.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335, 122286. [DOI: 10.1016/j.envpol.2023.122286]</w:t>
      </w:r>
    </w:p>
    <w:p w14:paraId="37725AAF"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Amine, H., </w:t>
      </w:r>
      <w:proofErr w:type="spellStart"/>
      <w:r w:rsidRPr="003B1B53">
        <w:rPr>
          <w:rFonts w:ascii="Arial" w:hAnsi="Arial" w:cs="Arial"/>
          <w:lang w:val="fr-CI"/>
        </w:rPr>
        <w:t>Halwani</w:t>
      </w:r>
      <w:proofErr w:type="spellEnd"/>
      <w:r w:rsidRPr="003B1B53">
        <w:rPr>
          <w:rFonts w:ascii="Arial" w:hAnsi="Arial" w:cs="Arial"/>
          <w:lang w:val="fr-CI"/>
        </w:rPr>
        <w:t xml:space="preserve">, J., Gomez, E., &amp; </w:t>
      </w:r>
      <w:proofErr w:type="spellStart"/>
      <w:r w:rsidRPr="003B1B53">
        <w:rPr>
          <w:rFonts w:ascii="Arial" w:hAnsi="Arial" w:cs="Arial"/>
          <w:lang w:val="fr-CI"/>
        </w:rPr>
        <w:t>Merhabi</w:t>
      </w:r>
      <w:proofErr w:type="spellEnd"/>
      <w:r w:rsidRPr="003B1B53">
        <w:rPr>
          <w:rFonts w:ascii="Arial" w:hAnsi="Arial" w:cs="Arial"/>
          <w:lang w:val="fr-CI"/>
        </w:rPr>
        <w:t xml:space="preserve">, F. (2024). </w:t>
      </w:r>
      <w:r w:rsidRPr="003B1B53">
        <w:rPr>
          <w:rFonts w:ascii="Arial" w:hAnsi="Arial" w:cs="Arial"/>
          <w:lang w:val="en-GB"/>
        </w:rPr>
        <w:t>Research on polycyclic aromatic hydrocarbon pollution in sediments and waters of northern Lebanon: rivers, transition zones, and port sites. Region - Water Conservancy, 7(1), 195-212. [DOI: 10.1016/j.regwat.2024.01.002]</w:t>
      </w:r>
    </w:p>
    <w:p w14:paraId="390DC51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ATSDR (1995). Toxicological Profiles for Polycyclic Aromatic Hydrocarbons (PAHs). Agency for Toxic Substances and Disease Registry, Atlanta, GA: U.S. Department of Health and Human Services, Public Health Services. Retrieved from </w:t>
      </w:r>
      <w:hyperlink r:id="rId23" w:tgtFrame="_blank" w:history="1">
        <w:r w:rsidRPr="003B1B53">
          <w:rPr>
            <w:rStyle w:val="Lienhypertexte"/>
            <w:rFonts w:ascii="Arial" w:hAnsi="Arial" w:cs="Arial"/>
            <w:color w:val="auto"/>
            <w:lang w:val="en-GB"/>
          </w:rPr>
          <w:t>http://www.atsdr.cdc.gov/toxpro2.html</w:t>
        </w:r>
      </w:hyperlink>
    </w:p>
    <w:p w14:paraId="604FC5B2"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ATSDR (2022). Support document to the 2022 substance priority list, 9p.</w:t>
      </w:r>
    </w:p>
    <w:p w14:paraId="6F602789"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lastRenderedPageBreak/>
        <w:t>Binet, D., &amp; Marchal, E. (1970). Sur la présence des résidus d’hydrocarbures dans les eaux ivoiriennes. Rapport scientifique, Projet de développement de la pêche pélagique côtière. Ministère de la Production Animale et PNUD-FAO, 8 p.</w:t>
      </w:r>
    </w:p>
    <w:p w14:paraId="56D9A5DC" w14:textId="77777777" w:rsidR="008850EB" w:rsidRPr="00BC1731" w:rsidRDefault="008850EB" w:rsidP="008850EB">
      <w:pPr>
        <w:spacing w:after="160" w:line="259" w:lineRule="auto"/>
        <w:jc w:val="both"/>
        <w:rPr>
          <w:rFonts w:ascii="Arial" w:hAnsi="Arial" w:cs="Arial"/>
          <w:lang w:val="fr-CI"/>
        </w:rPr>
      </w:pPr>
      <w:r w:rsidRPr="003B1B53">
        <w:rPr>
          <w:rFonts w:ascii="Arial" w:hAnsi="Arial" w:cs="Arial"/>
          <w:lang w:val="fr-CI"/>
        </w:rPr>
        <w:t xml:space="preserve">Camargo, M.C.R., de Souza, E.T., Staudt, P.B., &amp; Soares, R.P. (2024). </w:t>
      </w:r>
      <w:r w:rsidRPr="003B1B53">
        <w:rPr>
          <w:rFonts w:ascii="Arial" w:hAnsi="Arial" w:cs="Arial"/>
          <w:lang w:val="en-GB"/>
        </w:rPr>
        <w:t xml:space="preserve">Prediction of polycyclic aromatic hydrocarbons solubility in different solvents. Fluid Phase Equilibria, 579, 114013. </w:t>
      </w:r>
      <w:r w:rsidRPr="00BC1731">
        <w:rPr>
          <w:rFonts w:ascii="Arial" w:hAnsi="Arial" w:cs="Arial"/>
          <w:lang w:val="fr-CI"/>
        </w:rPr>
        <w:t>[</w:t>
      </w:r>
      <w:proofErr w:type="gramStart"/>
      <w:r w:rsidRPr="00BC1731">
        <w:rPr>
          <w:rFonts w:ascii="Arial" w:hAnsi="Arial" w:cs="Arial"/>
          <w:lang w:val="fr-CI"/>
        </w:rPr>
        <w:t>DOI:</w:t>
      </w:r>
      <w:proofErr w:type="gramEnd"/>
      <w:r w:rsidRPr="00BC1731">
        <w:rPr>
          <w:rFonts w:ascii="Arial" w:hAnsi="Arial" w:cs="Arial"/>
          <w:lang w:val="fr-CI"/>
        </w:rPr>
        <w:t xml:space="preserve"> 10.1016/j.fluid.2023.114013]</w:t>
      </w:r>
    </w:p>
    <w:p w14:paraId="1E1A5012" w14:textId="77777777" w:rsidR="00DF1B63" w:rsidRPr="00DF1B63" w:rsidRDefault="00DF1B63" w:rsidP="00DF1B63">
      <w:pPr>
        <w:jc w:val="both"/>
        <w:rPr>
          <w:rFonts w:ascii="Arial" w:hAnsi="Arial" w:cs="Arial"/>
          <w:lang w:val="fr-CI"/>
        </w:rPr>
      </w:pPr>
      <w:r w:rsidRPr="00DF1B63">
        <w:rPr>
          <w:rFonts w:ascii="Arial" w:hAnsi="Arial" w:cs="Arial"/>
          <w:lang w:val="fr-CI"/>
        </w:rPr>
        <w:t xml:space="preserve">CEAEQ, 2024. MA. 400 – HAP 1.1 2024-10-30 (révision 14) Détermination des hydrocarbures aromatiques polycycliques : dosage par chromatographie en phase gazeuse couplée à la spectrométrie de masse, </w:t>
      </w:r>
      <w:proofErr w:type="spellStart"/>
      <w:r w:rsidRPr="00DF1B63">
        <w:rPr>
          <w:rFonts w:ascii="Arial" w:hAnsi="Arial" w:cs="Arial"/>
          <w:lang w:val="fr-CI"/>
        </w:rPr>
        <w:t>Eds</w:t>
      </w:r>
      <w:proofErr w:type="spellEnd"/>
      <w:r w:rsidRPr="00DF1B63">
        <w:rPr>
          <w:rFonts w:ascii="Arial" w:hAnsi="Arial" w:cs="Arial"/>
          <w:lang w:val="fr-CI"/>
        </w:rPr>
        <w:t xml:space="preserve"> Ministère de l’Environnement, de la Lutte contre les Changements Climatiques, de la Faune et des Parcs (MELCCFP), 16 p.</w:t>
      </w:r>
    </w:p>
    <w:p w14:paraId="727E855F" w14:textId="77777777" w:rsidR="00DF1B63" w:rsidRDefault="00DF1B63" w:rsidP="00DF1B63">
      <w:pPr>
        <w:spacing w:line="360" w:lineRule="auto"/>
        <w:jc w:val="both"/>
        <w:rPr>
          <w:rFonts w:ascii="Times New Roman" w:hAnsi="Times New Roman"/>
          <w:sz w:val="24"/>
          <w:szCs w:val="24"/>
          <w:lang w:val="fr-CI"/>
        </w:rPr>
      </w:pPr>
    </w:p>
    <w:p w14:paraId="76BCC2C2" w14:textId="5FBADD9B" w:rsidR="008850EB" w:rsidRPr="003B1B53" w:rsidRDefault="00DF1B63" w:rsidP="008850EB">
      <w:pPr>
        <w:spacing w:after="160" w:line="259" w:lineRule="auto"/>
        <w:jc w:val="both"/>
        <w:rPr>
          <w:rFonts w:ascii="Arial" w:hAnsi="Arial" w:cs="Arial"/>
          <w:lang w:val="en-GB"/>
        </w:rPr>
      </w:pPr>
      <w:r>
        <w:rPr>
          <w:rFonts w:ascii="Arial" w:hAnsi="Arial" w:cs="Arial"/>
          <w:lang w:val="en-GB"/>
        </w:rPr>
        <w:t>C</w:t>
      </w:r>
      <w:r w:rsidR="008850EB" w:rsidRPr="003B1B53">
        <w:rPr>
          <w:rFonts w:ascii="Arial" w:hAnsi="Arial" w:cs="Arial"/>
          <w:lang w:val="en-GB"/>
        </w:rPr>
        <w:t xml:space="preserve">erciello, F., Russo, C., Senneca, O., Migliaccio, R., </w:t>
      </w:r>
      <w:proofErr w:type="spellStart"/>
      <w:r w:rsidR="008850EB" w:rsidRPr="003B1B53">
        <w:rPr>
          <w:rFonts w:ascii="Arial" w:hAnsi="Arial" w:cs="Arial"/>
          <w:lang w:val="en-GB"/>
        </w:rPr>
        <w:t>Oliano</w:t>
      </w:r>
      <w:proofErr w:type="spellEnd"/>
      <w:r w:rsidR="008850EB" w:rsidRPr="003B1B53">
        <w:rPr>
          <w:rFonts w:ascii="Arial" w:hAnsi="Arial" w:cs="Arial"/>
          <w:lang w:val="en-GB"/>
        </w:rPr>
        <w:t>, M.M., &amp; Apicella, B. (2025). Volatile species and polycyclic aromatic hydrocarbons upon thermal (oxidative) decomposition of lignocellulosic biomass: The insightful case of reconstituted cast-leaf tobacco. Journal of Analytical and Applied Pyrolysis, 189, 107062. [DOI: 10.1016/j.jaap.2025.107062]</w:t>
      </w:r>
    </w:p>
    <w:p w14:paraId="42888483"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Chen, H., Shang, N., Zhao, C., Wang, C., Meng, L., Huang, T., et al. (2025). Factors influencing particle-water partition and ecological risks of polycyclic aromatic hydrocarbons in the Yangtze River mainstream.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379, 126523. [DOI: 10.1016/j.envpol.2024.126523]</w:t>
      </w:r>
    </w:p>
    <w:p w14:paraId="0A506F22"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Delcourt, M., &amp; </w:t>
      </w:r>
      <w:proofErr w:type="spellStart"/>
      <w:r w:rsidRPr="003B1B53">
        <w:rPr>
          <w:rFonts w:ascii="Arial" w:hAnsi="Arial" w:cs="Arial"/>
          <w:lang w:val="fr-CI"/>
        </w:rPr>
        <w:t>Rocle</w:t>
      </w:r>
      <w:proofErr w:type="spellEnd"/>
      <w:r w:rsidRPr="003B1B53">
        <w:rPr>
          <w:rFonts w:ascii="Arial" w:hAnsi="Arial" w:cs="Arial"/>
          <w:lang w:val="fr-CI"/>
        </w:rPr>
        <w:t xml:space="preserve">, R. (2017). Des hydrocarbures issus de la biologie industrielle : la trajectoire et les perspectives de Global </w:t>
      </w:r>
      <w:proofErr w:type="spellStart"/>
      <w:r w:rsidRPr="003B1B53">
        <w:rPr>
          <w:rFonts w:ascii="Arial" w:hAnsi="Arial" w:cs="Arial"/>
          <w:lang w:val="fr-CI"/>
        </w:rPr>
        <w:t>Bioenergies</w:t>
      </w:r>
      <w:proofErr w:type="spellEnd"/>
      <w:r w:rsidRPr="003B1B53">
        <w:rPr>
          <w:rFonts w:ascii="Arial" w:hAnsi="Arial" w:cs="Arial"/>
          <w:lang w:val="fr-CI"/>
        </w:rPr>
        <w:t>. Annales des Mines - Réalités industrielles, (1), 44–47. [DOI: 10.3917/rindu1.171.0044]</w:t>
      </w:r>
    </w:p>
    <w:p w14:paraId="4AC42126"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Dovonou</w:t>
      </w:r>
      <w:proofErr w:type="spellEnd"/>
      <w:r w:rsidRPr="003B1B53">
        <w:rPr>
          <w:rFonts w:ascii="Arial" w:hAnsi="Arial" w:cs="Arial"/>
          <w:lang w:val="fr-CI"/>
        </w:rPr>
        <w:t xml:space="preserve">, F. E., </w:t>
      </w:r>
      <w:proofErr w:type="spellStart"/>
      <w:r w:rsidRPr="003B1B53">
        <w:rPr>
          <w:rFonts w:ascii="Arial" w:hAnsi="Arial" w:cs="Arial"/>
          <w:lang w:val="fr-CI"/>
        </w:rPr>
        <w:t>Ibikounle</w:t>
      </w:r>
      <w:proofErr w:type="spellEnd"/>
      <w:r w:rsidRPr="003B1B53">
        <w:rPr>
          <w:rFonts w:ascii="Arial" w:hAnsi="Arial" w:cs="Arial"/>
          <w:lang w:val="fr-CI"/>
        </w:rPr>
        <w:t xml:space="preserve">, M., </w:t>
      </w:r>
      <w:proofErr w:type="spellStart"/>
      <w:r w:rsidRPr="003B1B53">
        <w:rPr>
          <w:rFonts w:ascii="Arial" w:hAnsi="Arial" w:cs="Arial"/>
          <w:lang w:val="fr-CI"/>
        </w:rPr>
        <w:t>Akouedegni</w:t>
      </w:r>
      <w:proofErr w:type="spellEnd"/>
      <w:r w:rsidRPr="003B1B53">
        <w:rPr>
          <w:rFonts w:ascii="Arial" w:hAnsi="Arial" w:cs="Arial"/>
          <w:lang w:val="fr-CI"/>
        </w:rPr>
        <w:t xml:space="preserve">, C. G., </w:t>
      </w:r>
      <w:proofErr w:type="spellStart"/>
      <w:r w:rsidRPr="003B1B53">
        <w:rPr>
          <w:rFonts w:ascii="Arial" w:hAnsi="Arial" w:cs="Arial"/>
          <w:lang w:val="fr-CI"/>
        </w:rPr>
        <w:t>Aissi</w:t>
      </w:r>
      <w:proofErr w:type="spellEnd"/>
      <w:r w:rsidRPr="003B1B53">
        <w:rPr>
          <w:rFonts w:ascii="Arial" w:hAnsi="Arial" w:cs="Arial"/>
          <w:lang w:val="fr-CI"/>
        </w:rPr>
        <w:t xml:space="preserve">, V., </w:t>
      </w:r>
      <w:proofErr w:type="spellStart"/>
      <w:r w:rsidRPr="003B1B53">
        <w:rPr>
          <w:rFonts w:ascii="Arial" w:hAnsi="Arial" w:cs="Arial"/>
          <w:lang w:val="fr-CI"/>
        </w:rPr>
        <w:t>Dossou</w:t>
      </w:r>
      <w:proofErr w:type="spellEnd"/>
      <w:r w:rsidRPr="003B1B53">
        <w:rPr>
          <w:rFonts w:ascii="Arial" w:hAnsi="Arial" w:cs="Arial"/>
          <w:lang w:val="fr-CI"/>
        </w:rPr>
        <w:t xml:space="preserve">, M. P., &amp; Mama, D. (2019). Impacts des Hydrocarbures Aromatiques Polycycliques sur les poissons : Cas des Tilapias du lac </w:t>
      </w:r>
      <w:proofErr w:type="spellStart"/>
      <w:r w:rsidRPr="003B1B53">
        <w:rPr>
          <w:rFonts w:ascii="Arial" w:hAnsi="Arial" w:cs="Arial"/>
          <w:lang w:val="fr-CI"/>
        </w:rPr>
        <w:t>Nokoué</w:t>
      </w:r>
      <w:proofErr w:type="spellEnd"/>
      <w:r w:rsidRPr="003B1B53">
        <w:rPr>
          <w:rFonts w:ascii="Arial" w:hAnsi="Arial" w:cs="Arial"/>
          <w:lang w:val="fr-CI"/>
        </w:rPr>
        <w:t xml:space="preserve"> au Sud du Bénin (Afrique de l’Ouest). </w:t>
      </w:r>
      <w:r w:rsidRPr="003B1B53">
        <w:rPr>
          <w:rFonts w:ascii="Arial" w:hAnsi="Arial" w:cs="Arial"/>
          <w:lang w:val="en-GB"/>
        </w:rPr>
        <w:t>European Scientific Journal, 15(36), 458-474. [DOI: 10.19044/esj.2019.v15n36p458]</w:t>
      </w:r>
    </w:p>
    <w:p w14:paraId="613898A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Dunnett, C. W. (1955). A multiple comparison procedure for comparing several treatments with a control. Journal of the American Statistical Association, 50, 1096–1121. [DOI: 10.1080/01621459.1955.10501252]</w:t>
      </w:r>
    </w:p>
    <w:p w14:paraId="534617F0"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en-GB"/>
        </w:rPr>
        <w:t>Elobaid</w:t>
      </w:r>
      <w:proofErr w:type="spellEnd"/>
      <w:r w:rsidRPr="003B1B53">
        <w:rPr>
          <w:rFonts w:ascii="Arial" w:hAnsi="Arial" w:cs="Arial"/>
          <w:lang w:val="en-GB"/>
        </w:rPr>
        <w:t xml:space="preserve">, E. A., </w:t>
      </w:r>
      <w:proofErr w:type="spellStart"/>
      <w:r w:rsidRPr="003B1B53">
        <w:rPr>
          <w:rFonts w:ascii="Arial" w:hAnsi="Arial" w:cs="Arial"/>
          <w:lang w:val="en-GB"/>
        </w:rPr>
        <w:t>Yigiterhan</w:t>
      </w:r>
      <w:proofErr w:type="spellEnd"/>
      <w:r w:rsidRPr="003B1B53">
        <w:rPr>
          <w:rFonts w:ascii="Arial" w:hAnsi="Arial" w:cs="Arial"/>
          <w:lang w:val="en-GB"/>
        </w:rPr>
        <w:t xml:space="preserve">, O., Al-Ansari, E. M. A. S., Chen, Z., </w:t>
      </w:r>
      <w:proofErr w:type="spellStart"/>
      <w:r w:rsidRPr="003B1B53">
        <w:rPr>
          <w:rFonts w:ascii="Arial" w:hAnsi="Arial" w:cs="Arial"/>
          <w:lang w:val="en-GB"/>
        </w:rPr>
        <w:t>Mohieldeen</w:t>
      </w:r>
      <w:proofErr w:type="spellEnd"/>
      <w:r w:rsidRPr="003B1B53">
        <w:rPr>
          <w:rFonts w:ascii="Arial" w:hAnsi="Arial" w:cs="Arial"/>
          <w:lang w:val="en-GB"/>
        </w:rPr>
        <w:t>, Y. E., &amp; Abdalla, R. (2025). Ecological risk assessment of heavy metals in the marine sediments associated with the petroleum hydrocarbon industry in the central Arabian Gulf. Journal of Hazardous Materials Advances, 100749. [DOI: 10.1016/j.jhazmat.2025.100749]</w:t>
      </w:r>
    </w:p>
    <w:p w14:paraId="43112C07"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Ezike, C.O., </w:t>
      </w:r>
      <w:proofErr w:type="spellStart"/>
      <w:r w:rsidRPr="003B1B53">
        <w:rPr>
          <w:rFonts w:ascii="Arial" w:hAnsi="Arial" w:cs="Arial"/>
          <w:lang w:val="en-GB"/>
        </w:rPr>
        <w:t>Echor</w:t>
      </w:r>
      <w:proofErr w:type="spellEnd"/>
      <w:r w:rsidRPr="003B1B53">
        <w:rPr>
          <w:rFonts w:ascii="Arial" w:hAnsi="Arial" w:cs="Arial"/>
          <w:lang w:val="en-GB"/>
        </w:rPr>
        <w:t xml:space="preserve">, F.O., Raymond, I., &amp; </w:t>
      </w:r>
      <w:proofErr w:type="spellStart"/>
      <w:r w:rsidRPr="003B1B53">
        <w:rPr>
          <w:rFonts w:ascii="Arial" w:hAnsi="Arial" w:cs="Arial"/>
          <w:lang w:val="en-GB"/>
        </w:rPr>
        <w:t>Uwadiegwu</w:t>
      </w:r>
      <w:proofErr w:type="spellEnd"/>
      <w:r w:rsidRPr="003B1B53">
        <w:rPr>
          <w:rFonts w:ascii="Arial" w:hAnsi="Arial" w:cs="Arial"/>
          <w:lang w:val="en-GB"/>
        </w:rPr>
        <w:t xml:space="preserve">, N.C. (2019). Benzo [a] Pyrene-carcinogenic and mutagenic equivalents of Clarias </w:t>
      </w:r>
      <w:proofErr w:type="spellStart"/>
      <w:r w:rsidRPr="003B1B53">
        <w:rPr>
          <w:rFonts w:ascii="Arial" w:hAnsi="Arial" w:cs="Arial"/>
          <w:lang w:val="en-GB"/>
        </w:rPr>
        <w:t>gariepinus</w:t>
      </w:r>
      <w:proofErr w:type="spellEnd"/>
      <w:r w:rsidRPr="003B1B53">
        <w:rPr>
          <w:rFonts w:ascii="Arial" w:hAnsi="Arial" w:cs="Arial"/>
          <w:lang w:val="en-GB"/>
        </w:rPr>
        <w:t xml:space="preserve"> (Burchell, 1822) to Nigerian-crude and diesel oils. International Journal of Fisheries and Aquatic Studies, 7(5), 62-67.</w:t>
      </w:r>
    </w:p>
    <w:p w14:paraId="04D2DA38"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Fan, Q., Liu, D. D., Tian, H., Lu, X., Chen, Y., Feng, X., et al. (2025). Deciphering hydrocarbon evolution history of the Cambrian shales in tectonically complex basins. </w:t>
      </w:r>
      <w:r w:rsidRPr="003B1B53">
        <w:rPr>
          <w:rFonts w:ascii="Arial" w:hAnsi="Arial" w:cs="Arial"/>
          <w:lang w:val="fr-CI"/>
        </w:rPr>
        <w:t xml:space="preserve">Marine and Petroleum </w:t>
      </w:r>
      <w:proofErr w:type="spellStart"/>
      <w:r w:rsidRPr="003B1B53">
        <w:rPr>
          <w:rFonts w:ascii="Arial" w:hAnsi="Arial" w:cs="Arial"/>
          <w:lang w:val="fr-CI"/>
        </w:rPr>
        <w:t>Geology</w:t>
      </w:r>
      <w:proofErr w:type="spellEnd"/>
      <w:r w:rsidRPr="003B1B53">
        <w:rPr>
          <w:rFonts w:ascii="Arial" w:hAnsi="Arial" w:cs="Arial"/>
          <w:lang w:val="fr-CI"/>
        </w:rPr>
        <w:t>, 177, 107386. [DOI: 10.1016/j.marpetgeo.2025.107386]</w:t>
      </w:r>
    </w:p>
    <w:p w14:paraId="280A495F"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FD T90-523-4 (2023). Qualité de l'eau - Guide d'échantillonnage pour le suivi de la qualité des eaux dans l'environnement - Partie 4 : échantillonnage d'eau de lac. </w:t>
      </w:r>
      <w:r w:rsidRPr="003B1B53">
        <w:rPr>
          <w:rFonts w:ascii="Arial" w:hAnsi="Arial" w:cs="Arial"/>
          <w:lang w:val="en-GB"/>
        </w:rPr>
        <w:t>Eds AFNOR, France, 50 p.</w:t>
      </w:r>
    </w:p>
    <w:p w14:paraId="2DAD8FB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lastRenderedPageBreak/>
        <w:t>Fisher, R. A. (1919). The correlation between relatives on the supposition of Mendelian inheritance. Earth and Environmental Science Transactions of the Royal Society of Edinburgh, 52(2), 399–433. [DOI: 10.1017/s0000000000004558]</w:t>
      </w:r>
    </w:p>
    <w:p w14:paraId="76701169"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en-GB"/>
        </w:rPr>
        <w:t>Gnonsoro</w:t>
      </w:r>
      <w:proofErr w:type="spellEnd"/>
      <w:r w:rsidRPr="003B1B53">
        <w:rPr>
          <w:rFonts w:ascii="Arial" w:hAnsi="Arial" w:cs="Arial"/>
          <w:lang w:val="en-GB"/>
        </w:rPr>
        <w:t xml:space="preserve">, U. P., Soumahoro </w:t>
      </w:r>
      <w:proofErr w:type="spellStart"/>
      <w:r w:rsidRPr="003B1B53">
        <w:rPr>
          <w:rFonts w:ascii="Arial" w:hAnsi="Arial" w:cs="Arial"/>
          <w:lang w:val="en-GB"/>
        </w:rPr>
        <w:t>Sangaré</w:t>
      </w:r>
      <w:proofErr w:type="spellEnd"/>
      <w:r w:rsidRPr="003B1B53">
        <w:rPr>
          <w:rFonts w:ascii="Arial" w:hAnsi="Arial" w:cs="Arial"/>
          <w:lang w:val="en-GB"/>
        </w:rPr>
        <w:t xml:space="preserve">, N., Kouassi, N. L. B., N’Goran, K. M., Yao, K. M., &amp; </w:t>
      </w:r>
      <w:proofErr w:type="spellStart"/>
      <w:r w:rsidRPr="003B1B53">
        <w:rPr>
          <w:rFonts w:ascii="Arial" w:hAnsi="Arial" w:cs="Arial"/>
          <w:lang w:val="en-GB"/>
        </w:rPr>
        <w:t>Trokourey</w:t>
      </w:r>
      <w:proofErr w:type="spellEnd"/>
      <w:r w:rsidRPr="003B1B53">
        <w:rPr>
          <w:rFonts w:ascii="Arial" w:hAnsi="Arial" w:cs="Arial"/>
          <w:lang w:val="en-GB"/>
        </w:rPr>
        <w:t xml:space="preserve">, A. (2023). Distribution of polycyclic aromatic hydrocarbons (PAHs) in </w:t>
      </w:r>
      <w:proofErr w:type="spellStart"/>
      <w:r w:rsidRPr="003B1B53">
        <w:rPr>
          <w:rFonts w:ascii="Arial" w:hAnsi="Arial" w:cs="Arial"/>
          <w:lang w:val="en-GB"/>
        </w:rPr>
        <w:t>M’Badon</w:t>
      </w:r>
      <w:proofErr w:type="spellEnd"/>
      <w:r w:rsidRPr="003B1B53">
        <w:rPr>
          <w:rFonts w:ascii="Arial" w:hAnsi="Arial" w:cs="Arial"/>
          <w:lang w:val="en-GB"/>
        </w:rPr>
        <w:t xml:space="preserve"> Bay (</w:t>
      </w:r>
      <w:proofErr w:type="spellStart"/>
      <w:r w:rsidRPr="003B1B53">
        <w:rPr>
          <w:rFonts w:ascii="Arial" w:hAnsi="Arial" w:cs="Arial"/>
          <w:lang w:val="en-GB"/>
        </w:rPr>
        <w:t>Ebrie</w:t>
      </w:r>
      <w:proofErr w:type="spellEnd"/>
      <w:r w:rsidRPr="003B1B53">
        <w:rPr>
          <w:rFonts w:ascii="Arial" w:hAnsi="Arial" w:cs="Arial"/>
          <w:lang w:val="en-GB"/>
        </w:rPr>
        <w:t xml:space="preserve"> Lagoon, Abidjan-Côte d’Ivoire). International Journal of Environmental Monitoring and Analysis, 11(4), 89–101. [DOI: 10.11648/j.ijema.20231104.14]</w:t>
      </w:r>
    </w:p>
    <w:p w14:paraId="4458DB7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Gosset, W. S. (1908). The probable error of a mean. </w:t>
      </w:r>
      <w:proofErr w:type="spellStart"/>
      <w:r w:rsidRPr="003B1B53">
        <w:rPr>
          <w:rFonts w:ascii="Arial" w:hAnsi="Arial" w:cs="Arial"/>
          <w:lang w:val="en-GB"/>
        </w:rPr>
        <w:t>Biometrika</w:t>
      </w:r>
      <w:proofErr w:type="spellEnd"/>
      <w:r w:rsidRPr="003B1B53">
        <w:rPr>
          <w:rFonts w:ascii="Arial" w:hAnsi="Arial" w:cs="Arial"/>
          <w:lang w:val="en-GB"/>
        </w:rPr>
        <w:t>, 6(1), 1–25. [DOI: 10.1093/</w:t>
      </w:r>
      <w:proofErr w:type="spellStart"/>
      <w:r w:rsidRPr="003B1B53">
        <w:rPr>
          <w:rFonts w:ascii="Arial" w:hAnsi="Arial" w:cs="Arial"/>
          <w:lang w:val="en-GB"/>
        </w:rPr>
        <w:t>biomet</w:t>
      </w:r>
      <w:proofErr w:type="spellEnd"/>
      <w:r w:rsidRPr="003B1B53">
        <w:rPr>
          <w:rFonts w:ascii="Arial" w:hAnsi="Arial" w:cs="Arial"/>
          <w:lang w:val="en-GB"/>
        </w:rPr>
        <w:t>/6.1.1]</w:t>
      </w:r>
    </w:p>
    <w:p w14:paraId="1FE90515"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Hilly, M., Adams, M. L., &amp; Nelson, S. C. (2002). A study of digit fusion in the mouse embryo. Clinical and Experimental Allergy, 32(4), 489-498. [DOI: 10.1046/j.1365-2222.2002.01358.x]</w:t>
      </w:r>
    </w:p>
    <w:p w14:paraId="4974B2B9"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Hopf, N.B., </w:t>
      </w:r>
      <w:proofErr w:type="spellStart"/>
      <w:r w:rsidRPr="003B1B53">
        <w:rPr>
          <w:rFonts w:ascii="Arial" w:hAnsi="Arial" w:cs="Arial"/>
          <w:lang w:val="en-GB"/>
        </w:rPr>
        <w:t>Champmartin</w:t>
      </w:r>
      <w:proofErr w:type="spellEnd"/>
      <w:r w:rsidRPr="003B1B53">
        <w:rPr>
          <w:rFonts w:ascii="Arial" w:hAnsi="Arial" w:cs="Arial"/>
          <w:lang w:val="en-GB"/>
        </w:rPr>
        <w:t xml:space="preserve">, C., Schenk, L., Berthet, A., </w:t>
      </w:r>
      <w:proofErr w:type="spellStart"/>
      <w:r w:rsidRPr="003B1B53">
        <w:rPr>
          <w:rFonts w:ascii="Arial" w:hAnsi="Arial" w:cs="Arial"/>
          <w:lang w:val="en-GB"/>
        </w:rPr>
        <w:t>Chedik</w:t>
      </w:r>
      <w:proofErr w:type="spellEnd"/>
      <w:r w:rsidRPr="003B1B53">
        <w:rPr>
          <w:rFonts w:ascii="Arial" w:hAnsi="Arial" w:cs="Arial"/>
          <w:lang w:val="en-GB"/>
        </w:rPr>
        <w:t>, L., Du Plessis, J.L. et al. (2020). Reflections on the OECD guidelines for in vitro skin absorption studies. Regulatory Toxicology and Pharmacology, 117, 104752. [DOI: 10.1016/j.yrtph.2020.104752]</w:t>
      </w:r>
    </w:p>
    <w:p w14:paraId="1CF9309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Howard, I. C., Okpara, K. E., &amp; </w:t>
      </w:r>
      <w:proofErr w:type="spellStart"/>
      <w:r w:rsidRPr="003B1B53">
        <w:rPr>
          <w:rFonts w:ascii="Arial" w:hAnsi="Arial" w:cs="Arial"/>
          <w:lang w:val="en-GB"/>
        </w:rPr>
        <w:t>Techato</w:t>
      </w:r>
      <w:proofErr w:type="spellEnd"/>
      <w:r w:rsidRPr="003B1B53">
        <w:rPr>
          <w:rFonts w:ascii="Arial" w:hAnsi="Arial" w:cs="Arial"/>
          <w:lang w:val="en-GB"/>
        </w:rPr>
        <w:t>, K. (2021). Assessment of polycyclic aromatic hydrocarbons in river bed sediment of artisanal crude oil refining area in the Niger Delta. Water, 13, 3295. [DOI: 10.3390/w13233295]</w:t>
      </w:r>
    </w:p>
    <w:p w14:paraId="1ECA9C80"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Hur, S., Kim, D.-W., Park, J.-G., Lee, H.R., Kim, Y.-J., Lee, B.-K. et al. (2025). Wintering loons in South Korea face an ongoing threat from polycyclic aromatic hydrocarbons: Shifting sources and potential DNA damage.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367, 125659. [DOI: 10.1016/j.envpol.2024.125659]</w:t>
      </w:r>
    </w:p>
    <w:p w14:paraId="5DE2AD72"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INERIS (2015). Données technico-économiques sur les substances chimiques en France: Fluoranthène, DRC-14-136881-07005A, 28 p.</w:t>
      </w:r>
    </w:p>
    <w:p w14:paraId="5C24CB2D"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INERIS (2020). </w:t>
      </w:r>
      <w:proofErr w:type="spellStart"/>
      <w:r w:rsidRPr="003B1B53">
        <w:rPr>
          <w:rFonts w:ascii="Arial" w:hAnsi="Arial" w:cs="Arial"/>
          <w:lang w:val="fr-CI"/>
        </w:rPr>
        <w:t>Benzo</w:t>
      </w:r>
      <w:proofErr w:type="spellEnd"/>
      <w:r w:rsidRPr="003B1B53">
        <w:rPr>
          <w:rFonts w:ascii="Arial" w:hAnsi="Arial" w:cs="Arial"/>
          <w:lang w:val="fr-CI"/>
        </w:rPr>
        <w:t xml:space="preserve">[b]fluoranthène, Verneuil-en-Halatte: </w:t>
      </w:r>
      <w:proofErr w:type="spellStart"/>
      <w:r w:rsidRPr="003B1B53">
        <w:rPr>
          <w:rFonts w:ascii="Arial" w:hAnsi="Arial" w:cs="Arial"/>
          <w:lang w:val="fr-CI"/>
        </w:rPr>
        <w:t>Ineris</w:t>
      </w:r>
      <w:proofErr w:type="spellEnd"/>
      <w:r w:rsidRPr="003B1B53">
        <w:rPr>
          <w:rFonts w:ascii="Arial" w:hAnsi="Arial" w:cs="Arial"/>
          <w:lang w:val="fr-CI"/>
        </w:rPr>
        <w:t xml:space="preserve"> - 200845 - v1.0, 12/10/2020, 38 p.</w:t>
      </w:r>
    </w:p>
    <w:p w14:paraId="0A93523F"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Irié</w:t>
      </w:r>
      <w:proofErr w:type="spellEnd"/>
      <w:r w:rsidRPr="003B1B53">
        <w:rPr>
          <w:rFonts w:ascii="Arial" w:hAnsi="Arial" w:cs="Arial"/>
          <w:lang w:val="fr-CI"/>
        </w:rPr>
        <w:t xml:space="preserve">, B. T. J.-G., </w:t>
      </w:r>
      <w:proofErr w:type="spellStart"/>
      <w:r w:rsidRPr="003B1B53">
        <w:rPr>
          <w:rFonts w:ascii="Arial" w:hAnsi="Arial" w:cs="Arial"/>
          <w:lang w:val="fr-CI"/>
        </w:rPr>
        <w:t>Kando</w:t>
      </w:r>
      <w:proofErr w:type="spellEnd"/>
      <w:r w:rsidRPr="003B1B53">
        <w:rPr>
          <w:rFonts w:ascii="Arial" w:hAnsi="Arial" w:cs="Arial"/>
          <w:lang w:val="fr-CI"/>
        </w:rPr>
        <w:t xml:space="preserve">, A. M.-L., Touré, M., Koné, D., &amp; Coulibaly, A. S. (2024). </w:t>
      </w:r>
      <w:r w:rsidRPr="003B1B53">
        <w:rPr>
          <w:rFonts w:ascii="Arial" w:hAnsi="Arial" w:cs="Arial"/>
          <w:lang w:val="en-GB"/>
        </w:rPr>
        <w:t xml:space="preserve">Concentration of polycyclic aromatic hydrocarbons and quality of sediments in </w:t>
      </w:r>
      <w:proofErr w:type="spellStart"/>
      <w:r w:rsidRPr="003B1B53">
        <w:rPr>
          <w:rFonts w:ascii="Arial" w:hAnsi="Arial" w:cs="Arial"/>
          <w:lang w:val="en-GB"/>
        </w:rPr>
        <w:t>Biétry</w:t>
      </w:r>
      <w:proofErr w:type="spellEnd"/>
      <w:r w:rsidRPr="003B1B53">
        <w:rPr>
          <w:rFonts w:ascii="Arial" w:hAnsi="Arial" w:cs="Arial"/>
          <w:lang w:val="en-GB"/>
        </w:rPr>
        <w:t xml:space="preserve"> bay (</w:t>
      </w:r>
      <w:proofErr w:type="spellStart"/>
      <w:r w:rsidRPr="003B1B53">
        <w:rPr>
          <w:rFonts w:ascii="Arial" w:hAnsi="Arial" w:cs="Arial"/>
          <w:lang w:val="en-GB"/>
        </w:rPr>
        <w:t>Ebrié</w:t>
      </w:r>
      <w:proofErr w:type="spellEnd"/>
      <w:r w:rsidRPr="003B1B53">
        <w:rPr>
          <w:rFonts w:ascii="Arial" w:hAnsi="Arial" w:cs="Arial"/>
          <w:lang w:val="en-GB"/>
        </w:rPr>
        <w:t xml:space="preserve"> lagoon, Côte d’Ivoire). GSC Advanced Research and Reviews, 20(3), 226–234. [DOI: 10.30574/gsrarr.2024.20.3.0248]</w:t>
      </w:r>
    </w:p>
    <w:p w14:paraId="50C6E6A5"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Jin, W., Song, K., Zhai, C., Wang, S., Zheng, M., &amp; Feng, Z. (2025). Low ecological risks for heavy metals and petroleum hydrocarbons in coastal petrochemical discharge waters. </w:t>
      </w:r>
      <w:r w:rsidRPr="003B1B53">
        <w:rPr>
          <w:rFonts w:ascii="Arial" w:hAnsi="Arial" w:cs="Arial"/>
          <w:lang w:val="fr-CI"/>
        </w:rPr>
        <w:t>Marine Pollution Bulletin, 218, 118163. [DOI: 10.1016/j.marpolbul.2025.118163]</w:t>
      </w:r>
    </w:p>
    <w:p w14:paraId="798B24C6"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Kadio</w:t>
      </w:r>
      <w:proofErr w:type="spellEnd"/>
      <w:r w:rsidRPr="003B1B53">
        <w:rPr>
          <w:rFonts w:ascii="Arial" w:hAnsi="Arial" w:cs="Arial"/>
          <w:lang w:val="fr-CI"/>
        </w:rPr>
        <w:t xml:space="preserve">, A. K. C. (2023). </w:t>
      </w:r>
      <w:r w:rsidRPr="003B1B53">
        <w:rPr>
          <w:rFonts w:ascii="Arial" w:hAnsi="Arial" w:cs="Arial"/>
          <w:lang w:val="en-GB"/>
        </w:rPr>
        <w:t>The role of the port of San Pedro in promoting port sustainability: an institutional perspective. Journal of Human Resource and Sustainability Studies, 11, 846–857. [DOI: 10.4236/jhrss.2023.116049]</w:t>
      </w:r>
    </w:p>
    <w:p w14:paraId="6A0EC227"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Knafla, A., Phillipps, K.A., Brecher, R.W., Petrovic, S., &amp; Richardson, M. (2006). Development of a dermal cancer slope factor for benzo[a]pyrene. Regulatory Toxicology and Pharmacology, 45(2), 159-168. [DOI: 10.1016/j.yrtph.2006.03.003]</w:t>
      </w:r>
    </w:p>
    <w:p w14:paraId="533B46AE"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Koko, A. T. N., Tuo, P., &amp; Anoh, K. P. (2018). </w:t>
      </w:r>
      <w:r w:rsidRPr="003B1B53">
        <w:rPr>
          <w:rFonts w:ascii="Arial" w:hAnsi="Arial" w:cs="Arial"/>
          <w:lang w:val="fr-CI"/>
        </w:rPr>
        <w:t xml:space="preserve">Gestion de l’environnement et santé de la population dans la ville de San Pédro. </w:t>
      </w:r>
      <w:proofErr w:type="spellStart"/>
      <w:r w:rsidRPr="003B1B53">
        <w:rPr>
          <w:rFonts w:ascii="Arial" w:hAnsi="Arial" w:cs="Arial"/>
          <w:lang w:val="en-GB"/>
        </w:rPr>
        <w:t>Regardsuds</w:t>
      </w:r>
      <w:proofErr w:type="spellEnd"/>
      <w:r w:rsidRPr="003B1B53">
        <w:rPr>
          <w:rFonts w:ascii="Arial" w:hAnsi="Arial" w:cs="Arial"/>
          <w:lang w:val="en-GB"/>
        </w:rPr>
        <w:t xml:space="preserve">, 2018(1). Retrieved from </w:t>
      </w:r>
      <w:hyperlink r:id="rId24" w:tgtFrame="_blank" w:history="1">
        <w:r w:rsidRPr="003B1B53">
          <w:rPr>
            <w:rStyle w:val="Lienhypertexte"/>
            <w:rFonts w:ascii="Arial" w:hAnsi="Arial" w:cs="Arial"/>
            <w:color w:val="auto"/>
            <w:lang w:val="en-GB"/>
          </w:rPr>
          <w:t>https://regardsuds.org/spip.php?article121</w:t>
        </w:r>
      </w:hyperlink>
    </w:p>
    <w:p w14:paraId="24136C5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lastRenderedPageBreak/>
        <w:t>Konan, K. F. A., &amp; Yao, M. K. (2023a). Occurrence, ecological and health risks of organic pollution in tropical lake waters. International Journal of Environment and Climate Change, 13(11), 2509–2521. [DOI: 10.9734/</w:t>
      </w:r>
      <w:proofErr w:type="spellStart"/>
      <w:r w:rsidRPr="003B1B53">
        <w:rPr>
          <w:rFonts w:ascii="Arial" w:hAnsi="Arial" w:cs="Arial"/>
          <w:lang w:val="en-GB"/>
        </w:rPr>
        <w:t>ijecc</w:t>
      </w:r>
      <w:proofErr w:type="spellEnd"/>
      <w:r w:rsidRPr="003B1B53">
        <w:rPr>
          <w:rFonts w:ascii="Arial" w:hAnsi="Arial" w:cs="Arial"/>
          <w:lang w:val="en-GB"/>
        </w:rPr>
        <w:t>/2023/v13i113063]</w:t>
      </w:r>
    </w:p>
    <w:p w14:paraId="1830D586"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Konan, K. F. A., &amp; Yao, M. K. (2023b). Seasonal contamination of </w:t>
      </w:r>
      <w:proofErr w:type="spellStart"/>
      <w:r w:rsidRPr="003B1B53">
        <w:rPr>
          <w:rFonts w:ascii="Arial" w:hAnsi="Arial" w:cs="Arial"/>
          <w:lang w:val="en-GB"/>
        </w:rPr>
        <w:t>Déganobo</w:t>
      </w:r>
      <w:proofErr w:type="spellEnd"/>
      <w:r w:rsidRPr="003B1B53">
        <w:rPr>
          <w:rFonts w:ascii="Arial" w:hAnsi="Arial" w:cs="Arial"/>
          <w:lang w:val="en-GB"/>
        </w:rPr>
        <w:t xml:space="preserve"> Lake waters by herbicide residues. GSC Advanced Research and Reviews, 17(2), 2509–2521. [DOI: 10.30574/gsrarr.2023.17.2.0232]</w:t>
      </w:r>
    </w:p>
    <w:p w14:paraId="247C2FD3"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Konan, K. F. A., &amp; Yao, M. K. (2025). Seasonal concentrations of insecticide residues in </w:t>
      </w:r>
      <w:proofErr w:type="spellStart"/>
      <w:r w:rsidRPr="003B1B53">
        <w:rPr>
          <w:rFonts w:ascii="Arial" w:hAnsi="Arial" w:cs="Arial"/>
          <w:lang w:val="en-GB"/>
        </w:rPr>
        <w:t>Déganobo</w:t>
      </w:r>
      <w:proofErr w:type="spellEnd"/>
      <w:r w:rsidRPr="003B1B53">
        <w:rPr>
          <w:rFonts w:ascii="Arial" w:hAnsi="Arial" w:cs="Arial"/>
          <w:lang w:val="en-GB"/>
        </w:rPr>
        <w:t xml:space="preserve"> Lake System. Journal of Applied Sciences and Environmental Management, 29(1), 147–156. [DOI: 10.4314/jasem.v29i1.15]</w:t>
      </w:r>
    </w:p>
    <w:p w14:paraId="4B4389B1"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Konan, K. F. A., Yao, M. K., </w:t>
      </w:r>
      <w:proofErr w:type="spellStart"/>
      <w:r w:rsidRPr="003B1B53">
        <w:rPr>
          <w:rFonts w:ascii="Arial" w:hAnsi="Arial" w:cs="Arial"/>
          <w:lang w:val="en-GB"/>
        </w:rPr>
        <w:t>Dongui</w:t>
      </w:r>
      <w:proofErr w:type="spellEnd"/>
      <w:r w:rsidRPr="003B1B53">
        <w:rPr>
          <w:rFonts w:ascii="Arial" w:hAnsi="Arial" w:cs="Arial"/>
          <w:lang w:val="en-GB"/>
        </w:rPr>
        <w:t xml:space="preserve">, B. K., &amp; </w:t>
      </w:r>
      <w:proofErr w:type="spellStart"/>
      <w:r w:rsidRPr="003B1B53">
        <w:rPr>
          <w:rFonts w:ascii="Arial" w:hAnsi="Arial" w:cs="Arial"/>
          <w:lang w:val="en-GB"/>
        </w:rPr>
        <w:t>Trokourey</w:t>
      </w:r>
      <w:proofErr w:type="spellEnd"/>
      <w:r w:rsidRPr="003B1B53">
        <w:rPr>
          <w:rFonts w:ascii="Arial" w:hAnsi="Arial" w:cs="Arial"/>
          <w:lang w:val="en-GB"/>
        </w:rPr>
        <w:t xml:space="preserve">, A. (2020). Sources and toxic potential of PAHs in </w:t>
      </w:r>
      <w:proofErr w:type="spellStart"/>
      <w:r w:rsidRPr="003B1B53">
        <w:rPr>
          <w:rFonts w:ascii="Arial" w:hAnsi="Arial" w:cs="Arial"/>
          <w:lang w:val="en-GB"/>
        </w:rPr>
        <w:t>Vridi</w:t>
      </w:r>
      <w:proofErr w:type="spellEnd"/>
      <w:r w:rsidRPr="003B1B53">
        <w:rPr>
          <w:rFonts w:ascii="Arial" w:hAnsi="Arial" w:cs="Arial"/>
          <w:lang w:val="en-GB"/>
        </w:rPr>
        <w:t xml:space="preserve"> canal sediments. Research Journal of Chemical Sciences, 10(1), 23–33.</w:t>
      </w:r>
    </w:p>
    <w:p w14:paraId="7906358C"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Kouassi, D. S., Bakary, N. M., &amp; </w:t>
      </w:r>
      <w:proofErr w:type="spellStart"/>
      <w:r w:rsidRPr="003B1B53">
        <w:rPr>
          <w:rFonts w:ascii="Arial" w:hAnsi="Arial" w:cs="Arial"/>
          <w:lang w:val="en-GB"/>
        </w:rPr>
        <w:t>Aloko</w:t>
      </w:r>
      <w:proofErr w:type="spellEnd"/>
      <w:r w:rsidRPr="003B1B53">
        <w:rPr>
          <w:rFonts w:ascii="Arial" w:hAnsi="Arial" w:cs="Arial"/>
          <w:lang w:val="en-GB"/>
        </w:rPr>
        <w:t xml:space="preserve">, N. G. (2017). </w:t>
      </w:r>
      <w:r w:rsidRPr="003B1B53">
        <w:rPr>
          <w:rFonts w:ascii="Arial" w:hAnsi="Arial" w:cs="Arial"/>
          <w:lang w:val="fr-CI"/>
        </w:rPr>
        <w:t>Optimisation du trafic des ports ivoiriens. Revue de Géographie Tropicale et d’Environnement, 2, 153–164.</w:t>
      </w:r>
    </w:p>
    <w:p w14:paraId="7E412B6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fr-CI"/>
        </w:rPr>
        <w:t xml:space="preserve">Kuhn, A.V., </w:t>
      </w:r>
      <w:proofErr w:type="spellStart"/>
      <w:r w:rsidRPr="003B1B53">
        <w:rPr>
          <w:rFonts w:ascii="Arial" w:hAnsi="Arial" w:cs="Arial"/>
          <w:lang w:val="fr-CI"/>
        </w:rPr>
        <w:t>Alliprandini</w:t>
      </w:r>
      <w:proofErr w:type="spellEnd"/>
      <w:r w:rsidRPr="003B1B53">
        <w:rPr>
          <w:rFonts w:ascii="Arial" w:hAnsi="Arial" w:cs="Arial"/>
          <w:lang w:val="fr-CI"/>
        </w:rPr>
        <w:t xml:space="preserve"> da Costa, J.H., Souza, U.P., de Lima, G.V., Pereira, P.H.C., &amp; </w:t>
      </w:r>
      <w:proofErr w:type="spellStart"/>
      <w:r w:rsidRPr="003B1B53">
        <w:rPr>
          <w:rFonts w:ascii="Arial" w:hAnsi="Arial" w:cs="Arial"/>
          <w:lang w:val="fr-CI"/>
        </w:rPr>
        <w:t>Dolatto</w:t>
      </w:r>
      <w:proofErr w:type="spellEnd"/>
      <w:r w:rsidRPr="003B1B53">
        <w:rPr>
          <w:rFonts w:ascii="Arial" w:hAnsi="Arial" w:cs="Arial"/>
          <w:lang w:val="fr-CI"/>
        </w:rPr>
        <w:t xml:space="preserve">, R.G. (2025). </w:t>
      </w:r>
      <w:r w:rsidRPr="003B1B53">
        <w:rPr>
          <w:rFonts w:ascii="Arial" w:hAnsi="Arial" w:cs="Arial"/>
          <w:lang w:val="en-GB"/>
        </w:rPr>
        <w:t>Ecotoxicological assessment of polycyclic aromatic hydrocarbons and fish biomarkers in a marine protected area. Regional Studies in Marine Science, 85, 104155. [DOI: 10.1016/j.rsma.2025.104155]</w:t>
      </w:r>
    </w:p>
    <w:p w14:paraId="252BE046"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Li, C., Li, Z., &amp; Wang, H. (2023). Characterization and risk assessment of polycyclic aromatic hydrocarbons (PAHs) pollution in particulate matter in rural residential environments in China-A review. Sustainable Cities and Society, 96, 104690. [DOI: 10.1016/j.scs.2023.104690]</w:t>
      </w:r>
    </w:p>
    <w:p w14:paraId="1F4791A8"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Marchand, M., &amp; Martin, J.-L. (1985). </w:t>
      </w:r>
      <w:r w:rsidRPr="003B1B53">
        <w:rPr>
          <w:rFonts w:ascii="Arial" w:hAnsi="Arial" w:cs="Arial"/>
          <w:lang w:val="fr-CI"/>
        </w:rPr>
        <w:t>Détermination de la pollution chimique dans la lagune d’Abidjan. Océanographie Tropicale, 20(1), 26–39.</w:t>
      </w:r>
    </w:p>
    <w:p w14:paraId="17ABA4AA"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MEDD et Agence de l'eau (2003). Système d'Évaluation de la Qualité des Eaux (SEQ-Eaux), grilles d'évaluation, France.</w:t>
      </w:r>
    </w:p>
    <w:p w14:paraId="2ED8BDF0"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Moon, H. G., Bae, S., Chae, Y., Kim, Y.-J., Kim, H.-M., Song, M., et al. (2024). Ecological risk of PAHs in urban soils with high PM levels. Ecotoxicology and Environmental Safety, 272, 116014. [DOI: 10.1016/j.ecoenv.2024.116014]</w:t>
      </w:r>
    </w:p>
    <w:p w14:paraId="4BFB7229"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Mortazavi, M. S., Sharifian, S., </w:t>
      </w:r>
      <w:proofErr w:type="spellStart"/>
      <w:r w:rsidRPr="003B1B53">
        <w:rPr>
          <w:rFonts w:ascii="Arial" w:hAnsi="Arial" w:cs="Arial"/>
          <w:lang w:val="en-GB"/>
        </w:rPr>
        <w:t>Nozar</w:t>
      </w:r>
      <w:proofErr w:type="spellEnd"/>
      <w:r w:rsidRPr="003B1B53">
        <w:rPr>
          <w:rFonts w:ascii="Arial" w:hAnsi="Arial" w:cs="Arial"/>
          <w:lang w:val="en-GB"/>
        </w:rPr>
        <w:t xml:space="preserve">, S. L. M., &amp; </w:t>
      </w:r>
      <w:proofErr w:type="spellStart"/>
      <w:r w:rsidRPr="003B1B53">
        <w:rPr>
          <w:rFonts w:ascii="Arial" w:hAnsi="Arial" w:cs="Arial"/>
          <w:lang w:val="en-GB"/>
        </w:rPr>
        <w:t>Koohkan</w:t>
      </w:r>
      <w:proofErr w:type="spellEnd"/>
      <w:r w:rsidRPr="003B1B53">
        <w:rPr>
          <w:rFonts w:ascii="Arial" w:hAnsi="Arial" w:cs="Arial"/>
          <w:lang w:val="en-GB"/>
        </w:rPr>
        <w:t>, H. (2025). Ecological risks posed by heavy metals and petroleum hydrocarbons in Persian Gulf sediments. Journal of Trace Elements in Medicine and Biology, 87, 127574. [DOI: 10.1016/j.jtemb.2024.127574]</w:t>
      </w:r>
    </w:p>
    <w:p w14:paraId="08575DC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NYS DOH (New York States Department of Health) (2007). Hopewell precision area contamination: Appendix C-NYS DOH. In Procedure for Evaluating Potential Health Risks for Contaminants of Concern. States Department of Health: New York, NY, USA. Retrieved from </w:t>
      </w:r>
      <w:hyperlink r:id="rId25" w:tgtFrame="_blank" w:history="1">
        <w:r w:rsidRPr="003B1B53">
          <w:rPr>
            <w:rStyle w:val="Lienhypertexte"/>
            <w:rFonts w:ascii="Arial" w:hAnsi="Arial" w:cs="Arial"/>
            <w:color w:val="auto"/>
            <w:lang w:val="en-GB"/>
          </w:rPr>
          <w:t>http://www.health.ny.gov/environmental/investigations/hopewell/appendc.htm</w:t>
        </w:r>
      </w:hyperlink>
    </w:p>
    <w:p w14:paraId="1AB618DA"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Ogou</w:t>
      </w:r>
      <w:proofErr w:type="spellEnd"/>
      <w:r w:rsidRPr="003B1B53">
        <w:rPr>
          <w:rFonts w:ascii="Arial" w:hAnsi="Arial" w:cs="Arial"/>
          <w:lang w:val="fr-CI"/>
        </w:rPr>
        <w:t xml:space="preserve">, A. W. A., &amp; </w:t>
      </w:r>
      <w:proofErr w:type="spellStart"/>
      <w:r w:rsidRPr="003B1B53">
        <w:rPr>
          <w:rFonts w:ascii="Arial" w:hAnsi="Arial" w:cs="Arial"/>
          <w:lang w:val="fr-CI"/>
        </w:rPr>
        <w:t>Bidi</w:t>
      </w:r>
      <w:proofErr w:type="spellEnd"/>
      <w:r w:rsidRPr="003B1B53">
        <w:rPr>
          <w:rFonts w:ascii="Arial" w:hAnsi="Arial" w:cs="Arial"/>
          <w:lang w:val="fr-CI"/>
        </w:rPr>
        <w:t xml:space="preserve">, T. J. (2019). Port, aménagement et développement durable à </w:t>
      </w:r>
      <w:proofErr w:type="spellStart"/>
      <w:r w:rsidRPr="003B1B53">
        <w:rPr>
          <w:rFonts w:ascii="Arial" w:hAnsi="Arial" w:cs="Arial"/>
          <w:lang w:val="fr-CI"/>
        </w:rPr>
        <w:t>San-Pédro</w:t>
      </w:r>
      <w:proofErr w:type="spellEnd"/>
      <w:r w:rsidRPr="003B1B53">
        <w:rPr>
          <w:rFonts w:ascii="Arial" w:hAnsi="Arial" w:cs="Arial"/>
          <w:lang w:val="fr-CI"/>
        </w:rPr>
        <w:t xml:space="preserve">. </w:t>
      </w:r>
      <w:r w:rsidRPr="003B1B53">
        <w:rPr>
          <w:rFonts w:ascii="Arial" w:hAnsi="Arial" w:cs="Arial"/>
          <w:lang w:val="en-GB"/>
        </w:rPr>
        <w:t>European Scientific Journal Edition, 15, 110–131. [DOI: 10.19044/esj.2019.v15n36p110]</w:t>
      </w:r>
    </w:p>
    <w:p w14:paraId="56E43072"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OJEU (Official Journal of the European Union) (2013). Directive 2013/39/EU of 12 August 2013. L 226, 14–17.</w:t>
      </w:r>
    </w:p>
    <w:p w14:paraId="0B2369AC"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lastRenderedPageBreak/>
        <w:t xml:space="preserve">Olivares-Rubio, H.F., &amp; Ponce-Vélez, G. (2025). </w:t>
      </w:r>
      <w:r w:rsidRPr="003B1B53">
        <w:rPr>
          <w:rFonts w:ascii="Arial" w:hAnsi="Arial" w:cs="Arial"/>
          <w:lang w:val="en-GB"/>
        </w:rPr>
        <w:t xml:space="preserve">Polycyclic aromatic hydrocarbons during the 21st Century in Southern Gulf of Mexico, a prominent petroleum area: A review. </w:t>
      </w:r>
      <w:r w:rsidRPr="003B1B53">
        <w:rPr>
          <w:rFonts w:ascii="Arial" w:hAnsi="Arial" w:cs="Arial"/>
          <w:lang w:val="fr-CI"/>
        </w:rPr>
        <w:t>Marine Pollution Bulletin, 210, 117343. [DOI: 10.1016/j.marpolbul.2024.117343]</w:t>
      </w:r>
    </w:p>
    <w:p w14:paraId="6899A04F" w14:textId="77777777" w:rsidR="008850EB" w:rsidRPr="003B1B53" w:rsidRDefault="008850EB" w:rsidP="008850EB">
      <w:pPr>
        <w:spacing w:after="160" w:line="259" w:lineRule="auto"/>
        <w:jc w:val="both"/>
        <w:rPr>
          <w:rFonts w:ascii="Arial" w:hAnsi="Arial" w:cs="Arial"/>
          <w:lang w:val="fr-CI"/>
        </w:rPr>
      </w:pPr>
      <w:proofErr w:type="spellStart"/>
      <w:r w:rsidRPr="003B1B53">
        <w:rPr>
          <w:rFonts w:ascii="Arial" w:hAnsi="Arial" w:cs="Arial"/>
          <w:lang w:val="fr-CI"/>
        </w:rPr>
        <w:t>Qiao</w:t>
      </w:r>
      <w:proofErr w:type="spellEnd"/>
      <w:r w:rsidRPr="003B1B53">
        <w:rPr>
          <w:rFonts w:ascii="Arial" w:hAnsi="Arial" w:cs="Arial"/>
          <w:lang w:val="fr-CI"/>
        </w:rPr>
        <w:t xml:space="preserve">, M., Fu, L., Li, Z., Liu, D., Bai, Y., &amp; Zhao, X. (2020). </w:t>
      </w:r>
      <w:r w:rsidRPr="003B1B53">
        <w:rPr>
          <w:rFonts w:ascii="Arial" w:hAnsi="Arial" w:cs="Arial"/>
          <w:lang w:val="en-GB"/>
        </w:rPr>
        <w:t xml:space="preserve">Distribution and ecological risk of substituted and parent PAHs in rivers of northern China.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257, 113600. [DOI: 10.1016/j.envpol.2019.113600]</w:t>
      </w:r>
    </w:p>
    <w:p w14:paraId="68A7D2B6"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SGS Côte d’Ivoire (2016). Étude d’impact environnemental et social: terminal industriel polyvalent à </w:t>
      </w:r>
      <w:proofErr w:type="spellStart"/>
      <w:r w:rsidRPr="003B1B53">
        <w:rPr>
          <w:rFonts w:ascii="Arial" w:hAnsi="Arial" w:cs="Arial"/>
          <w:lang w:val="fr-CI"/>
        </w:rPr>
        <w:t>San-Pédro</w:t>
      </w:r>
      <w:proofErr w:type="spellEnd"/>
      <w:r w:rsidRPr="003B1B53">
        <w:rPr>
          <w:rFonts w:ascii="Arial" w:hAnsi="Arial" w:cs="Arial"/>
          <w:lang w:val="fr-CI"/>
        </w:rPr>
        <w:t>. PRO-ENV 054B-2016, 32 p.</w:t>
      </w:r>
    </w:p>
    <w:p w14:paraId="094B6C0F" w14:textId="77777777" w:rsidR="008850EB" w:rsidRPr="003B1B53" w:rsidRDefault="008850EB" w:rsidP="008850EB">
      <w:pPr>
        <w:spacing w:after="160" w:line="259" w:lineRule="auto"/>
        <w:jc w:val="both"/>
        <w:rPr>
          <w:rFonts w:ascii="Arial" w:hAnsi="Arial" w:cs="Arial"/>
          <w:lang w:val="en-GB"/>
        </w:rPr>
      </w:pPr>
      <w:proofErr w:type="spellStart"/>
      <w:r w:rsidRPr="003B1B53">
        <w:rPr>
          <w:rFonts w:ascii="Arial" w:hAnsi="Arial" w:cs="Arial"/>
          <w:lang w:val="fr-CI"/>
        </w:rPr>
        <w:t>Siqueira</w:t>
      </w:r>
      <w:proofErr w:type="spellEnd"/>
      <w:r w:rsidRPr="003B1B53">
        <w:rPr>
          <w:rFonts w:ascii="Arial" w:hAnsi="Arial" w:cs="Arial"/>
          <w:lang w:val="fr-CI"/>
        </w:rPr>
        <w:t xml:space="preserve">, A.S., Almeida, L.F., &amp; </w:t>
      </w:r>
      <w:proofErr w:type="spellStart"/>
      <w:r w:rsidRPr="003B1B53">
        <w:rPr>
          <w:rFonts w:ascii="Arial" w:hAnsi="Arial" w:cs="Arial"/>
          <w:lang w:val="fr-CI"/>
        </w:rPr>
        <w:t>Fragoso</w:t>
      </w:r>
      <w:proofErr w:type="spellEnd"/>
      <w:r w:rsidRPr="003B1B53">
        <w:rPr>
          <w:rFonts w:ascii="Arial" w:hAnsi="Arial" w:cs="Arial"/>
          <w:lang w:val="fr-CI"/>
        </w:rPr>
        <w:t xml:space="preserve">, W.D. (2023). </w:t>
      </w:r>
      <w:r w:rsidRPr="003B1B53">
        <w:rPr>
          <w:rFonts w:ascii="Arial" w:hAnsi="Arial" w:cs="Arial"/>
          <w:lang w:val="en-GB"/>
        </w:rPr>
        <w:t xml:space="preserve">Determination of anthracene, phenanthrene, and fluorene in tap water and sediment samples by fluorescence spectroscopy on nylon membranes and second-order calibration. </w:t>
      </w:r>
      <w:proofErr w:type="spellStart"/>
      <w:r w:rsidRPr="003B1B53">
        <w:rPr>
          <w:rFonts w:ascii="Arial" w:hAnsi="Arial" w:cs="Arial"/>
          <w:lang w:val="en-GB"/>
        </w:rPr>
        <w:t>Talanta</w:t>
      </w:r>
      <w:proofErr w:type="spellEnd"/>
      <w:r w:rsidRPr="003B1B53">
        <w:rPr>
          <w:rFonts w:ascii="Arial" w:hAnsi="Arial" w:cs="Arial"/>
          <w:lang w:val="en-GB"/>
        </w:rPr>
        <w:t>, 253, 124002. [DOI: 10.1016/j.talanta.2022.124002]</w:t>
      </w:r>
    </w:p>
    <w:p w14:paraId="2D7D2A0E"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Tukey, J. (1949). Comparing Individual Means in the Analysis of Variance. Biometrics, 5(2), 99–114. [DOI: 10.2307/3001913]</w:t>
      </w:r>
    </w:p>
    <w:p w14:paraId="35C3342D"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(1982). Appendix A: Priority pollutants. Federal Registration, 47, 52309.</w:t>
      </w:r>
    </w:p>
    <w:p w14:paraId="1CB57B11"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US-EPA (1989). Risk Assessment Guidance for Superfund Volume I, Human Health Evaluation Manual (Part A): </w:t>
      </w:r>
      <w:proofErr w:type="spellStart"/>
      <w:r w:rsidRPr="003B1B53">
        <w:rPr>
          <w:rFonts w:ascii="Arial" w:hAnsi="Arial" w:cs="Arial"/>
          <w:lang w:val="en-GB"/>
        </w:rPr>
        <w:t>InterimFinal</w:t>
      </w:r>
      <w:proofErr w:type="spellEnd"/>
      <w:r w:rsidRPr="003B1B53">
        <w:rPr>
          <w:rFonts w:ascii="Arial" w:hAnsi="Arial" w:cs="Arial"/>
          <w:lang w:val="en-GB"/>
        </w:rPr>
        <w:t>. EPA/540/1 -89/002; PB90—155581, pp. 289.</w:t>
      </w:r>
    </w:p>
    <w:p w14:paraId="793EF10C"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(1992a). Dermal Exposure Assessment: Principles and Applications (Interim Report). EPA/600/8-91/011B. Washington, DC.</w:t>
      </w:r>
    </w:p>
    <w:p w14:paraId="7EB24A33"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(1992b). Guidelines for Exposure Assessment. EPA/600/Z-92/001. Washington, DC.</w:t>
      </w:r>
    </w:p>
    <w:p w14:paraId="18D575A6"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 EPA (2005). Guidelines for carcinogen risk assessment. 70 FR 17765-17817, United States Environmental Protection Agency, Washington, DC., United States.</w:t>
      </w:r>
    </w:p>
    <w:p w14:paraId="500F232A"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US-EPA (2009). Risk Assessment Guidance for Superfund. Vol. 1: Human Health Evaluation Manual (F). EPA/540/R/070/002. Washington, DC.</w:t>
      </w:r>
    </w:p>
    <w:p w14:paraId="6FC4F57F"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Wang, Z., Liu, Y., Zhang, A., Yang, L., Wei, C., Chen, Y., Liu, Z., &amp; Li, Z. (2024). Occurrence characteristics, environmental trend, and source analysis of polycyclic aromatic hydrocarbons in the water environment of industrial zones. Environmental Research, 245, 118053. [DOI: 10.1016/j.envres.2024.118053]</w:t>
      </w:r>
    </w:p>
    <w:p w14:paraId="720AF0E9" w14:textId="77777777" w:rsidR="008850EB" w:rsidRPr="003B1B53" w:rsidRDefault="008850EB" w:rsidP="008850EB">
      <w:pPr>
        <w:spacing w:after="160" w:line="259" w:lineRule="auto"/>
        <w:jc w:val="both"/>
        <w:rPr>
          <w:rFonts w:ascii="Arial" w:hAnsi="Arial" w:cs="Arial"/>
          <w:lang w:val="en-GB"/>
        </w:rPr>
      </w:pPr>
      <w:r w:rsidRPr="003B1B53">
        <w:rPr>
          <w:rFonts w:ascii="Arial" w:hAnsi="Arial" w:cs="Arial"/>
          <w:lang w:val="en-GB"/>
        </w:rPr>
        <w:t xml:space="preserve">World Bank (2023). </w:t>
      </w:r>
      <w:hyperlink r:id="rId26" w:tgtFrame="_blank" w:history="1">
        <w:r w:rsidRPr="003B1B53">
          <w:rPr>
            <w:rStyle w:val="Lienhypertexte"/>
            <w:rFonts w:ascii="Arial" w:hAnsi="Arial" w:cs="Arial"/>
            <w:color w:val="auto"/>
            <w:lang w:val="en-GB"/>
          </w:rPr>
          <w:t>https://donnees.banquemondiale.org/pays/cote-divoire</w:t>
        </w:r>
      </w:hyperlink>
      <w:r w:rsidRPr="003B1B53">
        <w:rPr>
          <w:rFonts w:ascii="Arial" w:hAnsi="Arial" w:cs="Arial"/>
          <w:lang w:val="en-GB"/>
        </w:rPr>
        <w:t>, consulted le 19th May 2023.</w:t>
      </w:r>
    </w:p>
    <w:p w14:paraId="28C90A84"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en-GB"/>
        </w:rPr>
        <w:t xml:space="preserve">Yang, Z., Shah, K., </w:t>
      </w:r>
      <w:proofErr w:type="spellStart"/>
      <w:r w:rsidRPr="003B1B53">
        <w:rPr>
          <w:rFonts w:ascii="Arial" w:hAnsi="Arial" w:cs="Arial"/>
          <w:lang w:val="en-GB"/>
        </w:rPr>
        <w:t>Hollebone</w:t>
      </w:r>
      <w:proofErr w:type="spellEnd"/>
      <w:r w:rsidRPr="003B1B53">
        <w:rPr>
          <w:rFonts w:ascii="Arial" w:hAnsi="Arial" w:cs="Arial"/>
          <w:lang w:val="en-GB"/>
        </w:rPr>
        <w:t xml:space="preserve">, B., Laforest, S., MacGillivray, M., Dey, D. et al. (2024). Occurrence, characterization, and ecological risk analysis of petroleum hydrocarbons in water and sediments following large-scale field simulated oil spills at the experimental lakes area, Northwestern Ontario, Canada. </w:t>
      </w:r>
      <w:r w:rsidRPr="003B1B53">
        <w:rPr>
          <w:rFonts w:ascii="Arial" w:hAnsi="Arial" w:cs="Arial"/>
          <w:lang w:val="fr-CI"/>
        </w:rPr>
        <w:t>Marine Pollution Bulletin, 209, 117235. [DOI: 10.1016/j.marpolbul.2024.117235]</w:t>
      </w:r>
    </w:p>
    <w:p w14:paraId="43A524C6"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t xml:space="preserve">Zhang, S., Xing, X., Yu, H., Du, M., Zhang, Y., Li, P., Li, X., Zou, Y., Shi, M., Liu, W., &amp; Qi, S. (2025a). </w:t>
      </w:r>
      <w:r w:rsidRPr="003B1B53">
        <w:rPr>
          <w:rFonts w:ascii="Arial" w:hAnsi="Arial" w:cs="Arial"/>
          <w:lang w:val="en-GB"/>
        </w:rPr>
        <w:t xml:space="preserve">Fate of polycyclic aromatic hydrocarbon (PAHs) in urban lakes under hydrological connectivity: A multi-media mass balance approach.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366, 125556. [DOI: 10.1016/j.envpol.2024.125556]</w:t>
      </w:r>
    </w:p>
    <w:p w14:paraId="318089F6" w14:textId="77777777" w:rsidR="008850EB" w:rsidRPr="003B1B53" w:rsidRDefault="008850EB" w:rsidP="008850EB">
      <w:pPr>
        <w:spacing w:after="160" w:line="259" w:lineRule="auto"/>
        <w:jc w:val="both"/>
        <w:rPr>
          <w:rFonts w:ascii="Arial" w:hAnsi="Arial" w:cs="Arial"/>
          <w:lang w:val="fr-CI"/>
        </w:rPr>
      </w:pPr>
      <w:r w:rsidRPr="003B1B53">
        <w:rPr>
          <w:rFonts w:ascii="Arial" w:hAnsi="Arial" w:cs="Arial"/>
          <w:lang w:val="fr-CI"/>
        </w:rPr>
        <w:lastRenderedPageBreak/>
        <w:t xml:space="preserve">Zhang, Q., Hu, R., Xie, J., Hu, X., Guo, Y., &amp; Fang, Y. (2025b). </w:t>
      </w:r>
      <w:r w:rsidRPr="003B1B53">
        <w:rPr>
          <w:rFonts w:ascii="Arial" w:hAnsi="Arial" w:cs="Arial"/>
          <w:lang w:val="en-GB"/>
        </w:rPr>
        <w:t xml:space="preserve">Effects of microplastics on polycyclic aromatic hydrocarbons migration in </w:t>
      </w:r>
      <w:proofErr w:type="spellStart"/>
      <w:r w:rsidRPr="003B1B53">
        <w:rPr>
          <w:rFonts w:ascii="Arial" w:hAnsi="Arial" w:cs="Arial"/>
          <w:lang w:val="en-GB"/>
        </w:rPr>
        <w:t>Baiyangdian</w:t>
      </w:r>
      <w:proofErr w:type="spellEnd"/>
      <w:r w:rsidRPr="003B1B53">
        <w:rPr>
          <w:rFonts w:ascii="Arial" w:hAnsi="Arial" w:cs="Arial"/>
          <w:lang w:val="en-GB"/>
        </w:rPr>
        <w:t xml:space="preserve"> Lake, northern China: Concentrations, sorption–desorption </w:t>
      </w:r>
      <w:proofErr w:type="spellStart"/>
      <w:r w:rsidRPr="003B1B53">
        <w:rPr>
          <w:rFonts w:ascii="Arial" w:hAnsi="Arial" w:cs="Arial"/>
          <w:lang w:val="en-GB"/>
        </w:rPr>
        <w:t>behavior</w:t>
      </w:r>
      <w:proofErr w:type="spellEnd"/>
      <w:r w:rsidRPr="003B1B53">
        <w:rPr>
          <w:rFonts w:ascii="Arial" w:hAnsi="Arial" w:cs="Arial"/>
          <w:lang w:val="en-GB"/>
        </w:rPr>
        <w:t xml:space="preserve">, and multi-phase exchange. </w:t>
      </w:r>
      <w:proofErr w:type="spellStart"/>
      <w:r w:rsidRPr="003B1B53">
        <w:rPr>
          <w:rFonts w:ascii="Arial" w:hAnsi="Arial" w:cs="Arial"/>
          <w:lang w:val="fr-CI"/>
        </w:rPr>
        <w:t>Environmental</w:t>
      </w:r>
      <w:proofErr w:type="spellEnd"/>
      <w:r w:rsidRPr="003B1B53">
        <w:rPr>
          <w:rFonts w:ascii="Arial" w:hAnsi="Arial" w:cs="Arial"/>
          <w:lang w:val="fr-CI"/>
        </w:rPr>
        <w:t xml:space="preserve"> Pollution, 366, 125408. [DOI: 10.1016/j.envpol.2024.125408]</w:t>
      </w:r>
    </w:p>
    <w:p w14:paraId="5969545A" w14:textId="6EEE605A" w:rsidR="004D4277" w:rsidRPr="00FB3A86" w:rsidRDefault="004D4277" w:rsidP="00441B6F">
      <w:pPr>
        <w:pStyle w:val="Appendix"/>
        <w:spacing w:after="0"/>
        <w:jc w:val="both"/>
        <w:rPr>
          <w:rFonts w:ascii="Arial" w:hAnsi="Arial" w:cs="Arial"/>
          <w:b w:val="0"/>
        </w:rPr>
        <w:sectPr w:rsidR="004D4277" w:rsidRPr="00FB3A86" w:rsidSect="00D720AB">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38D5E181" w14:textId="77777777" w:rsidR="00B01FCD" w:rsidRPr="00FB3A86" w:rsidRDefault="00B01FCD" w:rsidP="00441B6F">
      <w:pPr>
        <w:pStyle w:val="Appendix"/>
        <w:spacing w:after="0"/>
        <w:jc w:val="both"/>
        <w:rPr>
          <w:rFonts w:ascii="Arial" w:hAnsi="Arial" w:cs="Arial"/>
          <w:b w:val="0"/>
        </w:rPr>
      </w:pPr>
    </w:p>
    <w:sectPr w:rsidR="00B01FCD" w:rsidRPr="00FB3A86" w:rsidSect="00D720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7BBC" w14:textId="77777777" w:rsidR="00C775FA" w:rsidRDefault="00C775FA" w:rsidP="00C37E61">
      <w:r>
        <w:separator/>
      </w:r>
    </w:p>
  </w:endnote>
  <w:endnote w:type="continuationSeparator" w:id="0">
    <w:p w14:paraId="4CBDF57D" w14:textId="77777777" w:rsidR="00C775FA" w:rsidRDefault="00C775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687D" w14:textId="77777777" w:rsidR="00D720AB" w:rsidRDefault="00D720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D9B3" w14:textId="77777777" w:rsidR="00D720AB" w:rsidRDefault="00D720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A381" w14:textId="2CCB4EAF" w:rsidR="00754C9A" w:rsidRPr="00D720AB" w:rsidRDefault="00754C9A" w:rsidP="00D720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8237"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726D2" w14:textId="77777777" w:rsidR="00C775FA" w:rsidRDefault="00C775FA" w:rsidP="00C37E61">
      <w:r>
        <w:separator/>
      </w:r>
    </w:p>
  </w:footnote>
  <w:footnote w:type="continuationSeparator" w:id="0">
    <w:p w14:paraId="6659A917" w14:textId="77777777" w:rsidR="00C775FA" w:rsidRDefault="00C775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73FE" w14:textId="12DF31BF" w:rsidR="00D720AB" w:rsidRDefault="00000000">
    <w:pPr>
      <w:pStyle w:val="En-tte"/>
    </w:pPr>
    <w:r>
      <w:rPr>
        <w:noProof/>
      </w:rPr>
      <w:pict w14:anchorId="71598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8076" w14:textId="4012ABC2" w:rsidR="00D720AB" w:rsidRDefault="00000000">
    <w:pPr>
      <w:pStyle w:val="En-tte"/>
    </w:pPr>
    <w:r>
      <w:rPr>
        <w:noProof/>
      </w:rPr>
      <w:pict w14:anchorId="61B6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360A" w14:textId="2B9C02AB" w:rsidR="00296529" w:rsidRPr="00296529" w:rsidRDefault="00000000" w:rsidP="00296529">
    <w:pPr>
      <w:ind w:left="2160"/>
      <w:jc w:val="center"/>
      <w:rPr>
        <w:rFonts w:ascii="Times New Roman" w:eastAsia="Calibri" w:hAnsi="Times New Roman"/>
        <w:i/>
        <w:sz w:val="18"/>
        <w:szCs w:val="22"/>
      </w:rPr>
    </w:pPr>
    <w:r>
      <w:rPr>
        <w:noProof/>
      </w:rPr>
      <w:pict w14:anchorId="29C95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88081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ABD1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A3E37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5A9B6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08C7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E17BC9"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2AA5" w14:textId="24E9A242" w:rsidR="00D720AB" w:rsidRDefault="00000000">
    <w:pPr>
      <w:pStyle w:val="En-tte"/>
    </w:pPr>
    <w:r>
      <w:rPr>
        <w:noProof/>
      </w:rPr>
      <w:pict w14:anchorId="18C3A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BF52" w14:textId="177CE0DD" w:rsidR="00D720AB" w:rsidRDefault="00000000">
    <w:pPr>
      <w:pStyle w:val="En-tte"/>
    </w:pPr>
    <w:r>
      <w:rPr>
        <w:noProof/>
      </w:rPr>
      <w:pict w14:anchorId="7299F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543" w14:textId="55685C52" w:rsidR="00D720AB" w:rsidRDefault="00000000">
    <w:pPr>
      <w:pStyle w:val="En-tte"/>
    </w:pPr>
    <w:r>
      <w:rPr>
        <w:noProof/>
      </w:rPr>
      <w:pict w14:anchorId="09C49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71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5E170E"/>
    <w:multiLevelType w:val="multilevel"/>
    <w:tmpl w:val="2C8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054FE"/>
    <w:multiLevelType w:val="multilevel"/>
    <w:tmpl w:val="D03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C374FE1"/>
    <w:multiLevelType w:val="hybridMultilevel"/>
    <w:tmpl w:val="788E3CA4"/>
    <w:lvl w:ilvl="0" w:tplc="AD4E0400">
      <w:start w:val="1"/>
      <w:numFmt w:val="lowerLetter"/>
      <w:lvlText w:val="%1-"/>
      <w:lvlJc w:val="left"/>
      <w:pPr>
        <w:ind w:left="1080" w:hanging="360"/>
      </w:pPr>
      <w:rPr>
        <w:rFonts w:ascii="Times New Roman" w:eastAsiaTheme="minorEastAsia" w:hAnsi="Times New Roman" w:cs="Times New Roman"/>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22" w15:restartNumberingAfterBreak="0">
    <w:nsid w:val="70AD5B28"/>
    <w:multiLevelType w:val="multilevel"/>
    <w:tmpl w:val="C0A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4A7AB3"/>
    <w:multiLevelType w:val="multilevel"/>
    <w:tmpl w:val="FB7C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809837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1209934">
    <w:abstractNumId w:val="17"/>
  </w:num>
  <w:num w:numId="3" w16cid:durableId="784471523">
    <w:abstractNumId w:val="28"/>
  </w:num>
  <w:num w:numId="4" w16cid:durableId="13575843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48977099">
    <w:abstractNumId w:val="7"/>
  </w:num>
  <w:num w:numId="6" w16cid:durableId="276566129">
    <w:abstractNumId w:val="6"/>
  </w:num>
  <w:num w:numId="7" w16cid:durableId="270358247">
    <w:abstractNumId w:val="1"/>
  </w:num>
  <w:num w:numId="8" w16cid:durableId="1543249616">
    <w:abstractNumId w:val="14"/>
  </w:num>
  <w:num w:numId="9" w16cid:durableId="823743555">
    <w:abstractNumId w:val="30"/>
  </w:num>
  <w:num w:numId="10" w16cid:durableId="1658918796">
    <w:abstractNumId w:val="2"/>
  </w:num>
  <w:num w:numId="11" w16cid:durableId="1479112793">
    <w:abstractNumId w:val="20"/>
  </w:num>
  <w:num w:numId="12" w16cid:durableId="1820923358">
    <w:abstractNumId w:val="3"/>
  </w:num>
  <w:num w:numId="13" w16cid:durableId="250744838">
    <w:abstractNumId w:val="19"/>
  </w:num>
  <w:num w:numId="14" w16cid:durableId="377095388">
    <w:abstractNumId w:val="8"/>
  </w:num>
  <w:num w:numId="15" w16cid:durableId="1136803321">
    <w:abstractNumId w:val="26"/>
  </w:num>
  <w:num w:numId="16" w16cid:durableId="799422419">
    <w:abstractNumId w:val="5"/>
  </w:num>
  <w:num w:numId="17" w16cid:durableId="743995046">
    <w:abstractNumId w:val="27"/>
  </w:num>
  <w:num w:numId="18" w16cid:durableId="2070610667">
    <w:abstractNumId w:val="16"/>
  </w:num>
  <w:num w:numId="19" w16cid:durableId="2092002299">
    <w:abstractNumId w:val="33"/>
  </w:num>
  <w:num w:numId="20" w16cid:durableId="357007112">
    <w:abstractNumId w:val="13"/>
  </w:num>
  <w:num w:numId="21" w16cid:durableId="1322030">
    <w:abstractNumId w:val="10"/>
  </w:num>
  <w:num w:numId="22" w16cid:durableId="1394963564">
    <w:abstractNumId w:val="15"/>
  </w:num>
  <w:num w:numId="23" w16cid:durableId="1985235605">
    <w:abstractNumId w:val="24"/>
  </w:num>
  <w:num w:numId="24" w16cid:durableId="1131099331">
    <w:abstractNumId w:val="31"/>
  </w:num>
  <w:num w:numId="25" w16cid:durableId="1415978299">
    <w:abstractNumId w:val="4"/>
  </w:num>
  <w:num w:numId="26" w16cid:durableId="909656727">
    <w:abstractNumId w:val="18"/>
  </w:num>
  <w:num w:numId="27" w16cid:durableId="1551647499">
    <w:abstractNumId w:val="25"/>
  </w:num>
  <w:num w:numId="28" w16cid:durableId="120612896">
    <w:abstractNumId w:val="32"/>
  </w:num>
  <w:num w:numId="29" w16cid:durableId="1291470821">
    <w:abstractNumId w:val="29"/>
  </w:num>
  <w:num w:numId="30" w16cid:durableId="1199852250">
    <w:abstractNumId w:val="11"/>
  </w:num>
  <w:num w:numId="31" w16cid:durableId="139426290">
    <w:abstractNumId w:val="21"/>
  </w:num>
  <w:num w:numId="32" w16cid:durableId="911693226">
    <w:abstractNumId w:val="22"/>
  </w:num>
  <w:num w:numId="33" w16cid:durableId="1220481396">
    <w:abstractNumId w:val="23"/>
  </w:num>
  <w:num w:numId="34" w16cid:durableId="363987117">
    <w:abstractNumId w:val="9"/>
  </w:num>
  <w:num w:numId="35" w16cid:durableId="691565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I"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E18"/>
    <w:rsid w:val="0001760A"/>
    <w:rsid w:val="00030174"/>
    <w:rsid w:val="0004579C"/>
    <w:rsid w:val="00050013"/>
    <w:rsid w:val="00086BEF"/>
    <w:rsid w:val="000917F2"/>
    <w:rsid w:val="000A47FA"/>
    <w:rsid w:val="000A65D3"/>
    <w:rsid w:val="000B1E33"/>
    <w:rsid w:val="000B6DCC"/>
    <w:rsid w:val="000D689F"/>
    <w:rsid w:val="000E6741"/>
    <w:rsid w:val="000E7B7B"/>
    <w:rsid w:val="000E7D62"/>
    <w:rsid w:val="001032C9"/>
    <w:rsid w:val="00103357"/>
    <w:rsid w:val="00104E5B"/>
    <w:rsid w:val="00123C9F"/>
    <w:rsid w:val="00126190"/>
    <w:rsid w:val="00130F17"/>
    <w:rsid w:val="001320BF"/>
    <w:rsid w:val="001450D5"/>
    <w:rsid w:val="00163BC4"/>
    <w:rsid w:val="00191062"/>
    <w:rsid w:val="00192B72"/>
    <w:rsid w:val="001A29D8"/>
    <w:rsid w:val="001A5CAA"/>
    <w:rsid w:val="001B0427"/>
    <w:rsid w:val="001D2ECC"/>
    <w:rsid w:val="001D3A51"/>
    <w:rsid w:val="001E10D2"/>
    <w:rsid w:val="001E25B4"/>
    <w:rsid w:val="001E44FE"/>
    <w:rsid w:val="00200595"/>
    <w:rsid w:val="00204835"/>
    <w:rsid w:val="00222B9D"/>
    <w:rsid w:val="00231697"/>
    <w:rsid w:val="00231920"/>
    <w:rsid w:val="0023195C"/>
    <w:rsid w:val="0024282C"/>
    <w:rsid w:val="002460DC"/>
    <w:rsid w:val="00250985"/>
    <w:rsid w:val="00253E01"/>
    <w:rsid w:val="002556F6"/>
    <w:rsid w:val="00257251"/>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113"/>
    <w:rsid w:val="0038596A"/>
    <w:rsid w:val="0039224F"/>
    <w:rsid w:val="003A43A4"/>
    <w:rsid w:val="003A7E18"/>
    <w:rsid w:val="003C4C86"/>
    <w:rsid w:val="003C6258"/>
    <w:rsid w:val="003E2904"/>
    <w:rsid w:val="003E7657"/>
    <w:rsid w:val="00401927"/>
    <w:rsid w:val="0041027F"/>
    <w:rsid w:val="00412475"/>
    <w:rsid w:val="00412A6A"/>
    <w:rsid w:val="0041309D"/>
    <w:rsid w:val="00423789"/>
    <w:rsid w:val="00440F43"/>
    <w:rsid w:val="00441B6F"/>
    <w:rsid w:val="00446221"/>
    <w:rsid w:val="004507A8"/>
    <w:rsid w:val="00450E62"/>
    <w:rsid w:val="004539DB"/>
    <w:rsid w:val="004569E9"/>
    <w:rsid w:val="004573C6"/>
    <w:rsid w:val="00471A80"/>
    <w:rsid w:val="004760B9"/>
    <w:rsid w:val="004776EF"/>
    <w:rsid w:val="004828B3"/>
    <w:rsid w:val="004D305E"/>
    <w:rsid w:val="004D4277"/>
    <w:rsid w:val="004D4B31"/>
    <w:rsid w:val="004D5C51"/>
    <w:rsid w:val="00502516"/>
    <w:rsid w:val="00505F06"/>
    <w:rsid w:val="00506828"/>
    <w:rsid w:val="0053056E"/>
    <w:rsid w:val="0055463B"/>
    <w:rsid w:val="00554FDA"/>
    <w:rsid w:val="00583276"/>
    <w:rsid w:val="005A2BBF"/>
    <w:rsid w:val="005B2C06"/>
    <w:rsid w:val="005C429C"/>
    <w:rsid w:val="005C784C"/>
    <w:rsid w:val="005D17F6"/>
    <w:rsid w:val="005E5539"/>
    <w:rsid w:val="00602BF5"/>
    <w:rsid w:val="006174EE"/>
    <w:rsid w:val="00617FDD"/>
    <w:rsid w:val="00633614"/>
    <w:rsid w:val="00633F68"/>
    <w:rsid w:val="00636EB2"/>
    <w:rsid w:val="006375B8"/>
    <w:rsid w:val="006431FE"/>
    <w:rsid w:val="00647633"/>
    <w:rsid w:val="0066510A"/>
    <w:rsid w:val="00673F9F"/>
    <w:rsid w:val="00686953"/>
    <w:rsid w:val="00687DEA"/>
    <w:rsid w:val="00687E67"/>
    <w:rsid w:val="0069365C"/>
    <w:rsid w:val="006967F7"/>
    <w:rsid w:val="006A250C"/>
    <w:rsid w:val="006B21D3"/>
    <w:rsid w:val="006B57D0"/>
    <w:rsid w:val="006C2F80"/>
    <w:rsid w:val="006D30FF"/>
    <w:rsid w:val="006D6940"/>
    <w:rsid w:val="006F11EC"/>
    <w:rsid w:val="0070044C"/>
    <w:rsid w:val="0070082C"/>
    <w:rsid w:val="007369E6"/>
    <w:rsid w:val="00746E59"/>
    <w:rsid w:val="007510D6"/>
    <w:rsid w:val="00754C9A"/>
    <w:rsid w:val="0075599A"/>
    <w:rsid w:val="00761D52"/>
    <w:rsid w:val="0077749E"/>
    <w:rsid w:val="00783E53"/>
    <w:rsid w:val="00790ADA"/>
    <w:rsid w:val="007A3808"/>
    <w:rsid w:val="007C6AE3"/>
    <w:rsid w:val="007D2288"/>
    <w:rsid w:val="007E088F"/>
    <w:rsid w:val="007E700F"/>
    <w:rsid w:val="007F7B32"/>
    <w:rsid w:val="00804BC2"/>
    <w:rsid w:val="00811ACB"/>
    <w:rsid w:val="0081431A"/>
    <w:rsid w:val="00816D11"/>
    <w:rsid w:val="0083216F"/>
    <w:rsid w:val="00860000"/>
    <w:rsid w:val="00863BD3"/>
    <w:rsid w:val="008641ED"/>
    <w:rsid w:val="00866443"/>
    <w:rsid w:val="00866D66"/>
    <w:rsid w:val="008671C6"/>
    <w:rsid w:val="00875803"/>
    <w:rsid w:val="00881DB3"/>
    <w:rsid w:val="008850EB"/>
    <w:rsid w:val="008B459E"/>
    <w:rsid w:val="008B56BE"/>
    <w:rsid w:val="008C3B25"/>
    <w:rsid w:val="008D2C0B"/>
    <w:rsid w:val="008D7397"/>
    <w:rsid w:val="008E13AE"/>
    <w:rsid w:val="008E1506"/>
    <w:rsid w:val="008E710C"/>
    <w:rsid w:val="008F69D6"/>
    <w:rsid w:val="00902823"/>
    <w:rsid w:val="00915CA6"/>
    <w:rsid w:val="00927834"/>
    <w:rsid w:val="009500A6"/>
    <w:rsid w:val="00957C18"/>
    <w:rsid w:val="00964259"/>
    <w:rsid w:val="009659BA"/>
    <w:rsid w:val="0097471D"/>
    <w:rsid w:val="00983040"/>
    <w:rsid w:val="00993384"/>
    <w:rsid w:val="009B3FB9"/>
    <w:rsid w:val="009C2465"/>
    <w:rsid w:val="009D35A0"/>
    <w:rsid w:val="009D61F5"/>
    <w:rsid w:val="009D7EB7"/>
    <w:rsid w:val="009E048A"/>
    <w:rsid w:val="009E08E9"/>
    <w:rsid w:val="009E3DB9"/>
    <w:rsid w:val="009E6E35"/>
    <w:rsid w:val="009F0EDA"/>
    <w:rsid w:val="00A03B96"/>
    <w:rsid w:val="00A04875"/>
    <w:rsid w:val="00A04B88"/>
    <w:rsid w:val="00A05B19"/>
    <w:rsid w:val="00A1134E"/>
    <w:rsid w:val="00A127E5"/>
    <w:rsid w:val="00A24E7E"/>
    <w:rsid w:val="00A258C3"/>
    <w:rsid w:val="00A347C0"/>
    <w:rsid w:val="00A51431"/>
    <w:rsid w:val="00A539AD"/>
    <w:rsid w:val="00A70E4B"/>
    <w:rsid w:val="00A80B97"/>
    <w:rsid w:val="00A85C81"/>
    <w:rsid w:val="00A94063"/>
    <w:rsid w:val="00AA4345"/>
    <w:rsid w:val="00AA6219"/>
    <w:rsid w:val="00AA74E0"/>
    <w:rsid w:val="00AB703F"/>
    <w:rsid w:val="00AC48FD"/>
    <w:rsid w:val="00AC6BB8"/>
    <w:rsid w:val="00AD271C"/>
    <w:rsid w:val="00AE008F"/>
    <w:rsid w:val="00B01FCD"/>
    <w:rsid w:val="00B0476B"/>
    <w:rsid w:val="00B11F5C"/>
    <w:rsid w:val="00B12026"/>
    <w:rsid w:val="00B1776C"/>
    <w:rsid w:val="00B52583"/>
    <w:rsid w:val="00B52896"/>
    <w:rsid w:val="00B9010F"/>
    <w:rsid w:val="00B932E3"/>
    <w:rsid w:val="00B9427F"/>
    <w:rsid w:val="00B94693"/>
    <w:rsid w:val="00B95236"/>
    <w:rsid w:val="00B96BD9"/>
    <w:rsid w:val="00BA14E4"/>
    <w:rsid w:val="00BA1B01"/>
    <w:rsid w:val="00BA2641"/>
    <w:rsid w:val="00BA635D"/>
    <w:rsid w:val="00BB37AA"/>
    <w:rsid w:val="00BC1731"/>
    <w:rsid w:val="00BC53A0"/>
    <w:rsid w:val="00BE62AD"/>
    <w:rsid w:val="00BF121F"/>
    <w:rsid w:val="00BF1F80"/>
    <w:rsid w:val="00C166EF"/>
    <w:rsid w:val="00C17EB0"/>
    <w:rsid w:val="00C27F5F"/>
    <w:rsid w:val="00C30A0F"/>
    <w:rsid w:val="00C37E61"/>
    <w:rsid w:val="00C70F1B"/>
    <w:rsid w:val="00C71A47"/>
    <w:rsid w:val="00C7464C"/>
    <w:rsid w:val="00C775FA"/>
    <w:rsid w:val="00C85588"/>
    <w:rsid w:val="00C94077"/>
    <w:rsid w:val="00CD0B29"/>
    <w:rsid w:val="00CD6755"/>
    <w:rsid w:val="00CD6856"/>
    <w:rsid w:val="00CE0089"/>
    <w:rsid w:val="00CE793C"/>
    <w:rsid w:val="00CF193C"/>
    <w:rsid w:val="00CF489F"/>
    <w:rsid w:val="00D173F1"/>
    <w:rsid w:val="00D31B09"/>
    <w:rsid w:val="00D43248"/>
    <w:rsid w:val="00D5080E"/>
    <w:rsid w:val="00D720AB"/>
    <w:rsid w:val="00D74CB0"/>
    <w:rsid w:val="00D8295D"/>
    <w:rsid w:val="00DB077E"/>
    <w:rsid w:val="00DC2A65"/>
    <w:rsid w:val="00DE15F0"/>
    <w:rsid w:val="00DE5663"/>
    <w:rsid w:val="00DE78AA"/>
    <w:rsid w:val="00DF1B63"/>
    <w:rsid w:val="00E053D0"/>
    <w:rsid w:val="00E1155F"/>
    <w:rsid w:val="00E15994"/>
    <w:rsid w:val="00E3114E"/>
    <w:rsid w:val="00E31A70"/>
    <w:rsid w:val="00E35B02"/>
    <w:rsid w:val="00E43025"/>
    <w:rsid w:val="00E66496"/>
    <w:rsid w:val="00E66B35"/>
    <w:rsid w:val="00E66E10"/>
    <w:rsid w:val="00E769F6"/>
    <w:rsid w:val="00E8407C"/>
    <w:rsid w:val="00E84F3C"/>
    <w:rsid w:val="00EA012C"/>
    <w:rsid w:val="00EC6A55"/>
    <w:rsid w:val="00ED0288"/>
    <w:rsid w:val="00EE50DD"/>
    <w:rsid w:val="00EE52CB"/>
    <w:rsid w:val="00EF581D"/>
    <w:rsid w:val="00EF7FD8"/>
    <w:rsid w:val="00F06F59"/>
    <w:rsid w:val="00F17988"/>
    <w:rsid w:val="00F469F0"/>
    <w:rsid w:val="00F53273"/>
    <w:rsid w:val="00F65818"/>
    <w:rsid w:val="00F755E4"/>
    <w:rsid w:val="00F77D02"/>
    <w:rsid w:val="00F86D65"/>
    <w:rsid w:val="00F9234A"/>
    <w:rsid w:val="00FB3A86"/>
    <w:rsid w:val="00FB5303"/>
    <w:rsid w:val="00FB560A"/>
    <w:rsid w:val="00FB62FD"/>
    <w:rsid w:val="00FC07C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F333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semiHidden/>
    <w:unhideWhenUsed/>
    <w:qFormat/>
    <w:rsid w:val="003821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1450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character" w:customStyle="1" w:styleId="y2iqfc">
    <w:name w:val="y2iqfc"/>
    <w:basedOn w:val="Policepardfaut"/>
    <w:rsid w:val="00B0476B"/>
  </w:style>
  <w:style w:type="paragraph" w:styleId="Paragraphedeliste">
    <w:name w:val="List Paragraph"/>
    <w:basedOn w:val="Normal"/>
    <w:link w:val="ParagraphedelisteCar"/>
    <w:uiPriority w:val="34"/>
    <w:qFormat/>
    <w:rsid w:val="00B9427F"/>
    <w:pPr>
      <w:spacing w:after="160" w:line="259" w:lineRule="auto"/>
      <w:ind w:left="720"/>
      <w:contextualSpacing/>
    </w:pPr>
    <w:rPr>
      <w:rFonts w:asciiTheme="minorHAnsi" w:eastAsiaTheme="minorHAnsi" w:hAnsiTheme="minorHAnsi" w:cstheme="minorBidi"/>
      <w:kern w:val="2"/>
      <w:sz w:val="22"/>
      <w:szCs w:val="22"/>
    </w:rPr>
  </w:style>
  <w:style w:type="character" w:customStyle="1" w:styleId="ParagraphedelisteCar">
    <w:name w:val="Paragraphe de liste Car"/>
    <w:basedOn w:val="Policepardfaut"/>
    <w:link w:val="Paragraphedeliste"/>
    <w:uiPriority w:val="34"/>
    <w:rsid w:val="00B9427F"/>
    <w:rPr>
      <w:rFonts w:asciiTheme="minorHAnsi" w:eastAsiaTheme="minorHAnsi" w:hAnsiTheme="minorHAnsi" w:cstheme="minorBidi"/>
      <w:kern w:val="2"/>
      <w:sz w:val="22"/>
      <w:szCs w:val="22"/>
    </w:rPr>
  </w:style>
  <w:style w:type="character" w:customStyle="1" w:styleId="Titre2Car">
    <w:name w:val="Titre 2 Car"/>
    <w:basedOn w:val="Policepardfaut"/>
    <w:link w:val="Titre2"/>
    <w:semiHidden/>
    <w:rsid w:val="0038211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1450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954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564721">
      <w:bodyDiv w:val="1"/>
      <w:marLeft w:val="0"/>
      <w:marRight w:val="0"/>
      <w:marTop w:val="0"/>
      <w:marBottom w:val="0"/>
      <w:divBdr>
        <w:top w:val="none" w:sz="0" w:space="0" w:color="auto"/>
        <w:left w:val="none" w:sz="0" w:space="0" w:color="auto"/>
        <w:bottom w:val="none" w:sz="0" w:space="0" w:color="auto"/>
        <w:right w:val="none" w:sz="0" w:space="0" w:color="auto"/>
      </w:divBdr>
    </w:div>
    <w:div w:id="19917432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67395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348220">
      <w:bodyDiv w:val="1"/>
      <w:marLeft w:val="0"/>
      <w:marRight w:val="0"/>
      <w:marTop w:val="0"/>
      <w:marBottom w:val="0"/>
      <w:divBdr>
        <w:top w:val="none" w:sz="0" w:space="0" w:color="auto"/>
        <w:left w:val="none" w:sz="0" w:space="0" w:color="auto"/>
        <w:bottom w:val="none" w:sz="0" w:space="0" w:color="auto"/>
        <w:right w:val="none" w:sz="0" w:space="0" w:color="auto"/>
      </w:divBdr>
    </w:div>
    <w:div w:id="856429325">
      <w:bodyDiv w:val="1"/>
      <w:marLeft w:val="0"/>
      <w:marRight w:val="0"/>
      <w:marTop w:val="0"/>
      <w:marBottom w:val="0"/>
      <w:divBdr>
        <w:top w:val="none" w:sz="0" w:space="0" w:color="auto"/>
        <w:left w:val="none" w:sz="0" w:space="0" w:color="auto"/>
        <w:bottom w:val="none" w:sz="0" w:space="0" w:color="auto"/>
        <w:right w:val="none" w:sz="0" w:space="0" w:color="auto"/>
      </w:divBdr>
    </w:div>
    <w:div w:id="886180093">
      <w:bodyDiv w:val="1"/>
      <w:marLeft w:val="0"/>
      <w:marRight w:val="0"/>
      <w:marTop w:val="0"/>
      <w:marBottom w:val="0"/>
      <w:divBdr>
        <w:top w:val="none" w:sz="0" w:space="0" w:color="auto"/>
        <w:left w:val="none" w:sz="0" w:space="0" w:color="auto"/>
        <w:bottom w:val="none" w:sz="0" w:space="0" w:color="auto"/>
        <w:right w:val="none" w:sz="0" w:space="0" w:color="auto"/>
      </w:divBdr>
    </w:div>
    <w:div w:id="9739515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144731">
      <w:bodyDiv w:val="1"/>
      <w:marLeft w:val="0"/>
      <w:marRight w:val="0"/>
      <w:marTop w:val="0"/>
      <w:marBottom w:val="0"/>
      <w:divBdr>
        <w:top w:val="none" w:sz="0" w:space="0" w:color="auto"/>
        <w:left w:val="none" w:sz="0" w:space="0" w:color="auto"/>
        <w:bottom w:val="none" w:sz="0" w:space="0" w:color="auto"/>
        <w:right w:val="none" w:sz="0" w:space="0" w:color="auto"/>
      </w:divBdr>
    </w:div>
    <w:div w:id="1668166529">
      <w:bodyDiv w:val="1"/>
      <w:marLeft w:val="0"/>
      <w:marRight w:val="0"/>
      <w:marTop w:val="0"/>
      <w:marBottom w:val="0"/>
      <w:divBdr>
        <w:top w:val="none" w:sz="0" w:space="0" w:color="auto"/>
        <w:left w:val="none" w:sz="0" w:space="0" w:color="auto"/>
        <w:bottom w:val="none" w:sz="0" w:space="0" w:color="auto"/>
        <w:right w:val="none" w:sz="0" w:space="0" w:color="auto"/>
      </w:divBdr>
    </w:div>
    <w:div w:id="1689137763">
      <w:bodyDiv w:val="1"/>
      <w:marLeft w:val="0"/>
      <w:marRight w:val="0"/>
      <w:marTop w:val="0"/>
      <w:marBottom w:val="0"/>
      <w:divBdr>
        <w:top w:val="none" w:sz="0" w:space="0" w:color="auto"/>
        <w:left w:val="none" w:sz="0" w:space="0" w:color="auto"/>
        <w:bottom w:val="none" w:sz="0" w:space="0" w:color="auto"/>
        <w:right w:val="none" w:sz="0" w:space="0" w:color="auto"/>
      </w:divBdr>
    </w:div>
    <w:div w:id="1727486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576380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8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nnees.banquemondiale.org/pays/cote-divoire"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www.health.ny.gov/environmental/investigations/hopewell/appendc.htm"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ogle.com/search?q=https://regardsuds.org/spip.php%3Farticle1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google.com/search?q=http://www.atsdr.cdc.gov/toxpro2.html"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Distribution%20du%20nombre%20de%20cycles%20benz&#233;niqu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E:\Travaux%20de%20recherches\Travaux%20en%20cours\Th&#232;se\Etude%20en%20cours\Djedi%20Eric\Traitement%20des%20r&#233;sultats\Eaux\Distribution%20du%20nombre%20de%20cycles%20benz&#233;nique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Origine%20et%20risque%20sanitaire.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E:\Travaux%20de%20recherches\Travaux%20en%20cours\Th&#232;se\Etude%20en%20cours\Djedi%20Eric\Traitement%20des%20r&#233;sultats\Eaux\Origine%20et%20risque%20sanitai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2A-40AE-87AD-00F6FA1427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2A-40AE-87AD-00F6FA1427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2A-40AE-87AD-00F6FA14270C}"/>
              </c:ext>
            </c:extLst>
          </c:dPt>
          <c:dLbls>
            <c:dLbl>
              <c:idx val="1"/>
              <c:tx>
                <c:rich>
                  <a:bodyPr/>
                  <a:lstStyle/>
                  <a:p>
                    <a:fld id="{52F89FC9-293E-4AF3-A9EB-F93AB66E6D0B}"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5C6C3116-51C3-4F96-AC4A-82D22219F926}"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2A-40AE-87AD-00F6FA14270C}"/>
                </c:ext>
              </c:extLst>
            </c:dLbl>
            <c:dLbl>
              <c:idx val="2"/>
              <c:tx>
                <c:rich>
                  <a:bodyPr/>
                  <a:lstStyle/>
                  <a:p>
                    <a:fld id="{45115020-E328-405E-BECC-0F1C5BADFA40}"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C0F86489-21A0-4A26-A52E-9502E74281EA}"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A2A-40AE-87AD-00F6FA14270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Feuil1!$B$6:$B$8</c:f>
              <c:strCache>
                <c:ptCount val="3"/>
                <c:pt idx="0">
                  <c:v>ACPT</c:v>
                </c:pt>
                <c:pt idx="1">
                  <c:v>FLR</c:v>
                </c:pt>
                <c:pt idx="2">
                  <c:v>NPT</c:v>
                </c:pt>
              </c:strCache>
            </c:strRef>
          </c:cat>
          <c:val>
            <c:numRef>
              <c:f>Feuil1!$C$6:$C$8</c:f>
              <c:numCache>
                <c:formatCode>General</c:formatCode>
                <c:ptCount val="3"/>
                <c:pt idx="0">
                  <c:v>2.9</c:v>
                </c:pt>
                <c:pt idx="1">
                  <c:v>8.1</c:v>
                </c:pt>
                <c:pt idx="2">
                  <c:v>1.5</c:v>
                </c:pt>
              </c:numCache>
            </c:numRef>
          </c:val>
          <c:extLst>
            <c:ext xmlns:c16="http://schemas.microsoft.com/office/drawing/2014/chart" uri="{C3380CC4-5D6E-409C-BE32-E72D297353CC}">
              <c16:uniqueId val="{00000006-7A2A-40AE-87AD-00F6FA14270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A9-42B2-9B74-3AF4D361D9B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A9-42B2-9B74-3AF4D361D9B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A9-42B2-9B74-3AF4D361D9BD}"/>
              </c:ext>
            </c:extLst>
          </c:dPt>
          <c:dLbls>
            <c:dLbl>
              <c:idx val="0"/>
              <c:tx>
                <c:rich>
                  <a:bodyPr/>
                  <a:lstStyle/>
                  <a:p>
                    <a:fld id="{63C1399F-F8B8-4A49-97F3-1B5B3FC83641}"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8DCA3679-9DE6-4833-AE03-B2F771AD6979}"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2A9-42B2-9B74-3AF4D361D9BD}"/>
                </c:ext>
              </c:extLst>
            </c:dLbl>
            <c:dLbl>
              <c:idx val="1"/>
              <c:tx>
                <c:rich>
                  <a:bodyPr/>
                  <a:lstStyle/>
                  <a:p>
                    <a:fld id="{0F05918D-26BF-4259-9B0A-1ED8CB9AEB85}" type="CATEGORYNAME">
                      <a:rPr lang="en-US"/>
                      <a:pPr/>
                      <a:t>[NOM DE CATÉGORIE]</a:t>
                    </a:fld>
                    <a:r>
                      <a:rPr lang="en-US" baseline="0"/>
                      <a:t>
</a:t>
                    </a:r>
                    <a:fld id="{6404E9C3-DD40-4816-8C80-94D459F999EF}" type="PERCENTAGE">
                      <a:rPr lang="en-US" sz="1000" baseline="0">
                        <a:latin typeface="Arial" panose="020B0604020202020204" pitchFamily="34" charset="0"/>
                        <a:cs typeface="Arial" panose="020B0604020202020204" pitchFamily="34" charset="0"/>
                      </a:rPr>
                      <a:pPr/>
                      <a:t>[POURCENTAGE]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2A9-42B2-9B74-3AF4D361D9BD}"/>
                </c:ext>
              </c:extLst>
            </c:dLbl>
            <c:dLbl>
              <c:idx val="2"/>
              <c:tx>
                <c:rich>
                  <a:bodyPr/>
                  <a:lstStyle/>
                  <a:p>
                    <a:fld id="{5ABA4D22-8D5C-4897-971E-8819B426B91A}"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F9E10A25-4DD5-4AD9-878E-7D0FF2AA77F8}"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2A9-42B2-9B74-3AF4D361D9B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Feuil1!$F$6:$F$8</c:f>
              <c:strCache>
                <c:ptCount val="3"/>
                <c:pt idx="0">
                  <c:v>ATC</c:v>
                </c:pt>
                <c:pt idx="1">
                  <c:v>FLRT</c:v>
                </c:pt>
                <c:pt idx="2">
                  <c:v>PNT</c:v>
                </c:pt>
              </c:strCache>
            </c:strRef>
          </c:cat>
          <c:val>
            <c:numRef>
              <c:f>Feuil1!$G$6:$G$8</c:f>
              <c:numCache>
                <c:formatCode>General</c:formatCode>
                <c:ptCount val="3"/>
                <c:pt idx="0">
                  <c:v>6.4</c:v>
                </c:pt>
                <c:pt idx="1">
                  <c:v>16.7</c:v>
                </c:pt>
                <c:pt idx="2">
                  <c:v>37.1</c:v>
                </c:pt>
              </c:numCache>
            </c:numRef>
          </c:val>
          <c:extLst>
            <c:ext xmlns:c16="http://schemas.microsoft.com/office/drawing/2014/chart" uri="{C3380CC4-5D6E-409C-BE32-E72D297353CC}">
              <c16:uniqueId val="{00000006-82A9-42B2-9B74-3AF4D361D9BD}"/>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AC-4E7C-B264-6C76EC14F0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AC-4E7C-B264-6C76EC14F04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AC-4E7C-B264-6C76EC14F04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6AC-4E7C-B264-6C76EC14F047}"/>
              </c:ext>
            </c:extLst>
          </c:dPt>
          <c:dLbls>
            <c:dLbl>
              <c:idx val="0"/>
              <c:tx>
                <c:rich>
                  <a:bodyPr/>
                  <a:lstStyle/>
                  <a:p>
                    <a:fld id="{3C31E686-5891-4980-AF68-88B32A2A84F7}"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2D351DAB-BBF4-483E-94AE-74960CED7202}"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AC-4E7C-B264-6C76EC14F047}"/>
                </c:ext>
              </c:extLst>
            </c:dLbl>
            <c:dLbl>
              <c:idx val="1"/>
              <c:tx>
                <c:rich>
                  <a:bodyPr/>
                  <a:lstStyle/>
                  <a:p>
                    <a:fld id="{FF056368-F629-4CA7-86AA-6B297162D216}"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BD91AE3C-5400-42C4-AB69-F418937E0DDD}"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AC-4E7C-B264-6C76EC14F047}"/>
                </c:ext>
              </c:extLst>
            </c:dLbl>
            <c:dLbl>
              <c:idx val="2"/>
              <c:layout>
                <c:manualLayout>
                  <c:x val="-4.3939393939393938E-2"/>
                  <c:y val="8.9169147974150181E-2"/>
                </c:manualLayout>
              </c:layout>
              <c:tx>
                <c:rich>
                  <a:bodyPr/>
                  <a:lstStyle/>
                  <a:p>
                    <a:fld id="{6562C1E8-4E1F-4169-97C1-EA1FE229FFB1}"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ADE666C0-EA07-4105-BC73-B231D188255A}"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AC-4E7C-B264-6C76EC14F047}"/>
                </c:ext>
              </c:extLst>
            </c:dLbl>
            <c:dLbl>
              <c:idx val="3"/>
              <c:tx>
                <c:rich>
                  <a:bodyPr/>
                  <a:lstStyle/>
                  <a:p>
                    <a:fld id="{6F99EC2D-9678-4AEE-9FC5-80808DC31764}"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3A026F07-1608-46A3-8DC3-4A1F3530EFA7}"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AC-4E7C-B264-6C76EC14F04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Feuil1!$J$6:$J$9</c:f>
              <c:strCache>
                <c:ptCount val="4"/>
                <c:pt idx="0">
                  <c:v>BbF</c:v>
                </c:pt>
                <c:pt idx="1">
                  <c:v>BjF</c:v>
                </c:pt>
                <c:pt idx="2">
                  <c:v>BkF</c:v>
                </c:pt>
                <c:pt idx="3">
                  <c:v>PYR</c:v>
                </c:pt>
              </c:strCache>
            </c:strRef>
          </c:cat>
          <c:val>
            <c:numRef>
              <c:f>Feuil1!$K$6:$K$9</c:f>
              <c:numCache>
                <c:formatCode>General</c:formatCode>
                <c:ptCount val="4"/>
                <c:pt idx="0">
                  <c:v>5.9</c:v>
                </c:pt>
                <c:pt idx="1">
                  <c:v>0.08</c:v>
                </c:pt>
                <c:pt idx="2">
                  <c:v>1.3</c:v>
                </c:pt>
                <c:pt idx="3">
                  <c:v>12.3</c:v>
                </c:pt>
              </c:numCache>
            </c:numRef>
          </c:val>
          <c:extLst>
            <c:ext xmlns:c16="http://schemas.microsoft.com/office/drawing/2014/chart" uri="{C3380CC4-5D6E-409C-BE32-E72D297353CC}">
              <c16:uniqueId val="{00000008-16AC-4E7C-B264-6C76EC14F04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96-4034-957C-9942EE22A49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96-4034-957C-9942EE22A49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96-4034-957C-9942EE22A49A}"/>
              </c:ext>
            </c:extLst>
          </c:dPt>
          <c:dLbls>
            <c:dLbl>
              <c:idx val="0"/>
              <c:layout>
                <c:manualLayout>
                  <c:x val="-4.2194092827004218E-2"/>
                  <c:y val="-6.7340067340067339E-2"/>
                </c:manualLayout>
              </c:layout>
              <c:tx>
                <c:rich>
                  <a:bodyPr/>
                  <a:lstStyle/>
                  <a:p>
                    <a:fld id="{B76FE8D4-28E9-410E-9FFF-6DD7F5512A3F}"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D1883687-C690-40A5-9F07-5063242A1B08}"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96-4034-957C-9942EE22A49A}"/>
                </c:ext>
              </c:extLst>
            </c:dLbl>
            <c:dLbl>
              <c:idx val="1"/>
              <c:tx>
                <c:rich>
                  <a:bodyPr/>
                  <a:lstStyle/>
                  <a:p>
                    <a:fld id="{C03CCE1D-7F60-4C4A-B934-AD42E2A7FEF3}"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DC7F8141-90EA-4085-8E2A-DC03AC62FBE4}"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D96-4034-957C-9942EE22A49A}"/>
                </c:ext>
              </c:extLst>
            </c:dLbl>
            <c:dLbl>
              <c:idx val="2"/>
              <c:tx>
                <c:rich>
                  <a:bodyPr/>
                  <a:lstStyle/>
                  <a:p>
                    <a:fld id="{EA11E46C-94AD-4585-9C1A-39995157AFBB}" type="CATEGORYNAME">
                      <a:rPr lang="en-US" sz="1000">
                        <a:latin typeface="Arial" panose="020B0604020202020204" pitchFamily="34" charset="0"/>
                        <a:cs typeface="Arial" panose="020B0604020202020204" pitchFamily="34" charset="0"/>
                      </a:rPr>
                      <a:pPr/>
                      <a:t>[NOM DE CATÉGORIE]</a:t>
                    </a:fld>
                    <a:r>
                      <a:rPr lang="en-US" sz="1000" baseline="0">
                        <a:latin typeface="Arial" panose="020B0604020202020204" pitchFamily="34" charset="0"/>
                        <a:cs typeface="Arial" panose="020B0604020202020204" pitchFamily="34" charset="0"/>
                      </a:rPr>
                      <a:t>
</a:t>
                    </a:r>
                    <a:fld id="{DB6C801D-3AE5-4945-BE85-E81E26D2EB1E}"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96-4034-957C-9942EE22A4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Feuil1!$N$6:$N$8</c:f>
              <c:strCache>
                <c:ptCount val="3"/>
                <c:pt idx="0">
                  <c:v>BaA</c:v>
                </c:pt>
                <c:pt idx="1">
                  <c:v>BaP</c:v>
                </c:pt>
                <c:pt idx="2">
                  <c:v>I(1,2,3-c,d)P</c:v>
                </c:pt>
              </c:strCache>
            </c:strRef>
          </c:cat>
          <c:val>
            <c:numRef>
              <c:f>Feuil1!$O$6:$O$8</c:f>
              <c:numCache>
                <c:formatCode>General</c:formatCode>
                <c:ptCount val="3"/>
                <c:pt idx="0">
                  <c:v>3.3</c:v>
                </c:pt>
                <c:pt idx="1">
                  <c:v>2.6</c:v>
                </c:pt>
                <c:pt idx="2">
                  <c:v>1.8</c:v>
                </c:pt>
              </c:numCache>
            </c:numRef>
          </c:val>
          <c:extLst>
            <c:ext xmlns:c16="http://schemas.microsoft.com/office/drawing/2014/chart" uri="{C3380CC4-5D6E-409C-BE32-E72D297353CC}">
              <c16:uniqueId val="{00000006-AD96-4034-957C-9942EE22A49A}"/>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49-459B-9E69-466546B6C7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49-459B-9E69-466546B6C7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49-459B-9E69-466546B6C7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49-459B-9E69-466546B6C7A9}"/>
              </c:ext>
            </c:extLst>
          </c:dPt>
          <c:dLbls>
            <c:dLbl>
              <c:idx val="0"/>
              <c:tx>
                <c:rich>
                  <a:bodyPr/>
                  <a:lstStyle/>
                  <a:p>
                    <a:r>
                      <a:rPr lang="en-US" sz="1000" baseline="0">
                        <a:latin typeface="Arial" panose="020B0604020202020204" pitchFamily="34" charset="0"/>
                        <a:cs typeface="Arial" panose="020B0604020202020204" pitchFamily="34" charset="0"/>
                      </a:rPr>
                      <a:t>PAHs with 5 benzene rings
</a:t>
                    </a:r>
                    <a:fld id="{71317210-A09C-453A-84D9-D1070105BC77}"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749-459B-9E69-466546B6C7A9}"/>
                </c:ext>
              </c:extLst>
            </c:dLbl>
            <c:dLbl>
              <c:idx val="1"/>
              <c:tx>
                <c:rich>
                  <a:bodyPr/>
                  <a:lstStyle/>
                  <a:p>
                    <a:r>
                      <a:rPr lang="en-US" sz="1000" baseline="0">
                        <a:latin typeface="Arial" panose="020B0604020202020204" pitchFamily="34" charset="0"/>
                        <a:cs typeface="Arial" panose="020B0604020202020204" pitchFamily="34" charset="0"/>
                      </a:rPr>
                      <a:t>PAHs with 2 benzene rings
</a:t>
                    </a:r>
                    <a:fld id="{542C04F7-870F-40AF-AAA0-A242F8442E5E}"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749-459B-9E69-466546B6C7A9}"/>
                </c:ext>
              </c:extLst>
            </c:dLbl>
            <c:dLbl>
              <c:idx val="2"/>
              <c:layout>
                <c:manualLayout>
                  <c:x val="-0.20833333333333337"/>
                  <c:y val="-8.3333333333333329E-2"/>
                </c:manualLayout>
              </c:layout>
              <c:tx>
                <c:rich>
                  <a:bodyPr/>
                  <a:lstStyle/>
                  <a:p>
                    <a:r>
                      <a:rPr lang="en-US" sz="1000" baseline="0">
                        <a:latin typeface="Arial" panose="020B0604020202020204" pitchFamily="34" charset="0"/>
                        <a:cs typeface="Arial" panose="020B0604020202020204" pitchFamily="34" charset="0"/>
                      </a:rPr>
                      <a:t>PAHs with 4 benzene rings4 
</a:t>
                    </a:r>
                    <a:fld id="{D1E9BD0F-DAE3-4DA2-9F48-7311CC715D06}"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749-459B-9E69-466546B6C7A9}"/>
                </c:ext>
              </c:extLst>
            </c:dLbl>
            <c:dLbl>
              <c:idx val="3"/>
              <c:tx>
                <c:rich>
                  <a:bodyPr/>
                  <a:lstStyle/>
                  <a:p>
                    <a:r>
                      <a:rPr lang="en-US" sz="1000" baseline="0">
                        <a:latin typeface="Arial" panose="020B0604020202020204" pitchFamily="34" charset="0"/>
                        <a:cs typeface="Arial" panose="020B0604020202020204" pitchFamily="34" charset="0"/>
                      </a:rPr>
                      <a:t>PAHs with 3 benzene rings
</a:t>
                    </a:r>
                    <a:fld id="{CCE73953-F5AC-4C01-B156-9DB2295A21B4}" type="PERCENTAGE">
                      <a:rPr lang="en-US" sz="1000" baseline="0">
                        <a:latin typeface="Arial" panose="020B0604020202020204" pitchFamily="34" charset="0"/>
                        <a:cs typeface="Arial" panose="020B0604020202020204" pitchFamily="34" charset="0"/>
                      </a:rPr>
                      <a:pPr/>
                      <a:t>[POURCENTAGE]</a:t>
                    </a:fld>
                    <a:endParaRPr lang="en-US" sz="1000" baseline="0">
                      <a:latin typeface="Arial" panose="020B0604020202020204" pitchFamily="34" charset="0"/>
                      <a:cs typeface="Arial" panose="020B0604020202020204" pitchFamily="34"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749-459B-9E69-466546B6C7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val>
            <c:numRef>
              <c:f>Feuil1!$U$6:$U$9</c:f>
              <c:numCache>
                <c:formatCode>General</c:formatCode>
                <c:ptCount val="4"/>
                <c:pt idx="0">
                  <c:v>2</c:v>
                </c:pt>
                <c:pt idx="1">
                  <c:v>3</c:v>
                </c:pt>
                <c:pt idx="2">
                  <c:v>4</c:v>
                </c:pt>
                <c:pt idx="3">
                  <c:v>5</c:v>
                </c:pt>
              </c:numCache>
            </c:numRef>
          </c:val>
          <c:extLst>
            <c:ext xmlns:c16="http://schemas.microsoft.com/office/drawing/2014/chart" uri="{C3380CC4-5D6E-409C-BE32-E72D297353CC}">
              <c16:uniqueId val="{00000008-1749-459B-9E69-466546B6C7A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1749-459B-9E69-466546B6C7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1749-459B-9E69-466546B6C7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1749-459B-9E69-466546B6C7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1749-459B-9E69-466546B6C7A9}"/>
              </c:ext>
            </c:extLst>
          </c:dPt>
          <c:val>
            <c:numRef>
              <c:f>Feuil1!$V$6:$V$9</c:f>
              <c:numCache>
                <c:formatCode>General</c:formatCode>
                <c:ptCount val="4"/>
                <c:pt idx="0">
                  <c:v>12.4</c:v>
                </c:pt>
                <c:pt idx="1">
                  <c:v>60.2</c:v>
                </c:pt>
                <c:pt idx="2">
                  <c:v>19.7</c:v>
                </c:pt>
                <c:pt idx="3">
                  <c:v>7.7</c:v>
                </c:pt>
              </c:numCache>
            </c:numRef>
          </c:val>
          <c:extLst>
            <c:ext xmlns:c16="http://schemas.microsoft.com/office/drawing/2014/chart" uri="{C3380CC4-5D6E-409C-BE32-E72D297353CC}">
              <c16:uniqueId val="{00000011-1749-459B-9E69-466546B6C7A9}"/>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tx1">
                  <a:lumMod val="95000"/>
                  <a:lumOff val="5000"/>
                </a:schemeClr>
              </a:solidFill>
              <a:ln w="9525">
                <a:solidFill>
                  <a:schemeClr val="tx1">
                    <a:lumMod val="95000"/>
                    <a:lumOff val="5000"/>
                  </a:schemeClr>
                </a:solidFill>
              </a:ln>
              <a:effectLst/>
            </c:spPr>
          </c:marker>
          <c:yVal>
            <c:numRef>
              <c:f>eau!$G$7:$G$70</c:f>
              <c:numCache>
                <c:formatCode>General</c:formatCode>
                <c:ptCount val="64"/>
                <c:pt idx="0">
                  <c:v>0.15123966942148762</c:v>
                </c:pt>
                <c:pt idx="1">
                  <c:v>0.1517779705117086</c:v>
                </c:pt>
                <c:pt idx="2">
                  <c:v>0.15922493681550123</c:v>
                </c:pt>
                <c:pt idx="3">
                  <c:v>0.15397923875432529</c:v>
                </c:pt>
                <c:pt idx="4">
                  <c:v>0.14563928873835733</c:v>
                </c:pt>
                <c:pt idx="5">
                  <c:v>0.13577023498694518</c:v>
                </c:pt>
                <c:pt idx="6">
                  <c:v>0.16485355648535563</c:v>
                </c:pt>
                <c:pt idx="7">
                  <c:v>0.15911035072711721</c:v>
                </c:pt>
                <c:pt idx="8">
                  <c:v>0.1675084175084175</c:v>
                </c:pt>
                <c:pt idx="9">
                  <c:v>0.15920826161790019</c:v>
                </c:pt>
                <c:pt idx="10">
                  <c:v>0.16694352159468437</c:v>
                </c:pt>
                <c:pt idx="11">
                  <c:v>0.16581196581196581</c:v>
                </c:pt>
                <c:pt idx="12">
                  <c:v>0.16389351081530781</c:v>
                </c:pt>
                <c:pt idx="13">
                  <c:v>0.15120274914089346</c:v>
                </c:pt>
                <c:pt idx="14">
                  <c:v>0.16211745244003309</c:v>
                </c:pt>
                <c:pt idx="15">
                  <c:v>0.15200683176771992</c:v>
                </c:pt>
                <c:pt idx="16">
                  <c:v>0.15294117647058825</c:v>
                </c:pt>
                <c:pt idx="17">
                  <c:v>0.14285714285714285</c:v>
                </c:pt>
                <c:pt idx="18">
                  <c:v>0.1563367252543941</c:v>
                </c:pt>
                <c:pt idx="19">
                  <c:v>0.14506927465362673</c:v>
                </c:pt>
                <c:pt idx="20">
                  <c:v>0.15555555555555556</c:v>
                </c:pt>
                <c:pt idx="21">
                  <c:v>0.14608555286521388</c:v>
                </c:pt>
                <c:pt idx="22">
                  <c:v>0.15613382899628253</c:v>
                </c:pt>
                <c:pt idx="23">
                  <c:v>0.13893510815307819</c:v>
                </c:pt>
                <c:pt idx="24">
                  <c:v>0.15534883720930232</c:v>
                </c:pt>
                <c:pt idx="25">
                  <c:v>0.14525608732157849</c:v>
                </c:pt>
                <c:pt idx="26">
                  <c:v>0.15491651205936921</c:v>
                </c:pt>
                <c:pt idx="27">
                  <c:v>0.14475873544093179</c:v>
                </c:pt>
                <c:pt idx="28">
                  <c:v>0.15569972196478221</c:v>
                </c:pt>
                <c:pt idx="29">
                  <c:v>0.14044943820224717</c:v>
                </c:pt>
                <c:pt idx="30">
                  <c:v>0.15555555555555556</c:v>
                </c:pt>
                <c:pt idx="31">
                  <c:v>0.14102564102564102</c:v>
                </c:pt>
                <c:pt idx="32">
                  <c:v>0.14410134600158353</c:v>
                </c:pt>
                <c:pt idx="33">
                  <c:v>0.13747054202670855</c:v>
                </c:pt>
                <c:pt idx="34">
                  <c:v>0.13880126182965299</c:v>
                </c:pt>
                <c:pt idx="35">
                  <c:v>0.14241001564945227</c:v>
                </c:pt>
                <c:pt idx="36">
                  <c:v>0.14195083267248218</c:v>
                </c:pt>
                <c:pt idx="37">
                  <c:v>0.14319248826291081</c:v>
                </c:pt>
                <c:pt idx="38">
                  <c:v>0.14967637540453077</c:v>
                </c:pt>
                <c:pt idx="39">
                  <c:v>0.14722004698512137</c:v>
                </c:pt>
                <c:pt idx="40">
                  <c:v>0.13919129082426129</c:v>
                </c:pt>
                <c:pt idx="41">
                  <c:v>0.14218749999999999</c:v>
                </c:pt>
                <c:pt idx="42">
                  <c:v>0.14126984126984127</c:v>
                </c:pt>
                <c:pt idx="43">
                  <c:v>0.14207221350078494</c:v>
                </c:pt>
                <c:pt idx="44">
                  <c:v>0.14058776806989676</c:v>
                </c:pt>
                <c:pt idx="45">
                  <c:v>0.14050235478806911</c:v>
                </c:pt>
                <c:pt idx="46">
                  <c:v>0.14084507042253519</c:v>
                </c:pt>
                <c:pt idx="47">
                  <c:v>0.13893249607535321</c:v>
                </c:pt>
                <c:pt idx="48">
                  <c:v>0.14416666666666667</c:v>
                </c:pt>
                <c:pt idx="49">
                  <c:v>0.13729246487867178</c:v>
                </c:pt>
                <c:pt idx="50">
                  <c:v>0.13864818024263434</c:v>
                </c:pt>
                <c:pt idx="51">
                  <c:v>0.14245810055865921</c:v>
                </c:pt>
                <c:pt idx="52">
                  <c:v>0.14179104477611942</c:v>
                </c:pt>
                <c:pt idx="53">
                  <c:v>0.14307931570762053</c:v>
                </c:pt>
                <c:pt idx="54">
                  <c:v>0.15</c:v>
                </c:pt>
                <c:pt idx="55">
                  <c:v>0.14716006884681582</c:v>
                </c:pt>
                <c:pt idx="56">
                  <c:v>0.1391162029459902</c:v>
                </c:pt>
                <c:pt idx="57">
                  <c:v>0.14204003813155386</c:v>
                </c:pt>
                <c:pt idx="58">
                  <c:v>0.14131088394467831</c:v>
                </c:pt>
                <c:pt idx="59">
                  <c:v>0.14233576642335766</c:v>
                </c:pt>
                <c:pt idx="60">
                  <c:v>0.14060529634300126</c:v>
                </c:pt>
                <c:pt idx="61">
                  <c:v>0.14020270270270269</c:v>
                </c:pt>
                <c:pt idx="62">
                  <c:v>0.14094432699083861</c:v>
                </c:pt>
                <c:pt idx="63">
                  <c:v>0.13934426229508198</c:v>
                </c:pt>
              </c:numCache>
            </c:numRef>
          </c:yVal>
          <c:smooth val="0"/>
          <c:extLst>
            <c:ext xmlns:c16="http://schemas.microsoft.com/office/drawing/2014/chart" uri="{C3380CC4-5D6E-409C-BE32-E72D297353CC}">
              <c16:uniqueId val="{00000000-7EC6-4E35-8D9F-A1EA7B5B8E17}"/>
            </c:ext>
          </c:extLst>
        </c:ser>
        <c:dLbls>
          <c:showLegendKey val="0"/>
          <c:showVal val="0"/>
          <c:showCatName val="0"/>
          <c:showSerName val="0"/>
          <c:showPercent val="0"/>
          <c:showBubbleSize val="0"/>
        </c:dLbls>
        <c:axId val="1079754112"/>
        <c:axId val="1079762752"/>
      </c:scatterChart>
      <c:valAx>
        <c:axId val="1079754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a:t>
                </a:r>
                <a:r>
                  <a:rPr lang="en-US" b="1" baseline="0"/>
                  <a:t> of items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79762752"/>
        <c:crosses val="autoZero"/>
        <c:crossBetween val="midCat"/>
      </c:valAx>
      <c:valAx>
        <c:axId val="10797627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ATC/(ATC+PNT)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79754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tx1">
                  <a:lumMod val="95000"/>
                  <a:lumOff val="5000"/>
                </a:schemeClr>
              </a:solidFill>
              <a:ln w="9525">
                <a:solidFill>
                  <a:schemeClr val="tx1">
                    <a:lumMod val="95000"/>
                    <a:lumOff val="5000"/>
                  </a:schemeClr>
                </a:solidFill>
              </a:ln>
              <a:effectLst/>
            </c:spPr>
          </c:marker>
          <c:yVal>
            <c:numRef>
              <c:f>eau!$O$7:$O$70</c:f>
              <c:numCache>
                <c:formatCode>General</c:formatCode>
                <c:ptCount val="64"/>
                <c:pt idx="0">
                  <c:v>0.40213523131672602</c:v>
                </c:pt>
                <c:pt idx="1">
                  <c:v>0.39082568807339452</c:v>
                </c:pt>
                <c:pt idx="2">
                  <c:v>0.38245614035087722</c:v>
                </c:pt>
                <c:pt idx="3">
                  <c:v>0.37410071942446044</c:v>
                </c:pt>
                <c:pt idx="4">
                  <c:v>0.38405797101449279</c:v>
                </c:pt>
                <c:pt idx="5">
                  <c:v>0.37477148080438755</c:v>
                </c:pt>
                <c:pt idx="6">
                  <c:v>0.40262172284644193</c:v>
                </c:pt>
                <c:pt idx="7">
                  <c:v>0.36521739130434783</c:v>
                </c:pt>
                <c:pt idx="8">
                  <c:v>0.39399624765478425</c:v>
                </c:pt>
                <c:pt idx="9">
                  <c:v>0.39651837524177946</c:v>
                </c:pt>
                <c:pt idx="10">
                  <c:v>0.38632478632478628</c:v>
                </c:pt>
                <c:pt idx="11">
                  <c:v>0.38267148014440433</c:v>
                </c:pt>
                <c:pt idx="12">
                  <c:v>0.4025500910746812</c:v>
                </c:pt>
                <c:pt idx="13">
                  <c:v>0.39113680154142583</c:v>
                </c:pt>
                <c:pt idx="14">
                  <c:v>0.39708561020036431</c:v>
                </c:pt>
                <c:pt idx="15">
                  <c:v>0.39005736137667302</c:v>
                </c:pt>
                <c:pt idx="16">
                  <c:v>0.39726027397260277</c:v>
                </c:pt>
                <c:pt idx="17">
                  <c:v>0.38556338028169013</c:v>
                </c:pt>
                <c:pt idx="18">
                  <c:v>0.39489194499017677</c:v>
                </c:pt>
                <c:pt idx="19">
                  <c:v>0.41186736474694585</c:v>
                </c:pt>
                <c:pt idx="20">
                  <c:v>0.38416988416988418</c:v>
                </c:pt>
                <c:pt idx="21">
                  <c:v>0.40497335701598575</c:v>
                </c:pt>
                <c:pt idx="22">
                  <c:v>0.38684719535783368</c:v>
                </c:pt>
                <c:pt idx="23">
                  <c:v>0.40830449826989623</c:v>
                </c:pt>
                <c:pt idx="24">
                  <c:v>0.38878143133462278</c:v>
                </c:pt>
                <c:pt idx="25">
                  <c:v>0.39863713798977857</c:v>
                </c:pt>
                <c:pt idx="26">
                  <c:v>0.39038461538461539</c:v>
                </c:pt>
                <c:pt idx="27">
                  <c:v>0.39530988274706869</c:v>
                </c:pt>
                <c:pt idx="28">
                  <c:v>0.38996138996138996</c:v>
                </c:pt>
                <c:pt idx="29">
                  <c:v>0.39145299145299151</c:v>
                </c:pt>
                <c:pt idx="30">
                  <c:v>0.38996138996138996</c:v>
                </c:pt>
                <c:pt idx="31">
                  <c:v>0.39897260273972607</c:v>
                </c:pt>
                <c:pt idx="32">
                  <c:v>0.39242685025817553</c:v>
                </c:pt>
                <c:pt idx="33">
                  <c:v>0.40273037542662116</c:v>
                </c:pt>
                <c:pt idx="34">
                  <c:v>0.40715502555366273</c:v>
                </c:pt>
                <c:pt idx="35">
                  <c:v>0.40270727580372245</c:v>
                </c:pt>
                <c:pt idx="36">
                  <c:v>0.40103270223752147</c:v>
                </c:pt>
                <c:pt idx="37">
                  <c:v>0.4041095890410959</c:v>
                </c:pt>
                <c:pt idx="38">
                  <c:v>0.40545144804088584</c:v>
                </c:pt>
                <c:pt idx="39">
                  <c:v>0.40306122448979592</c:v>
                </c:pt>
                <c:pt idx="40">
                  <c:v>0.40368509212730314</c:v>
                </c:pt>
                <c:pt idx="41">
                  <c:v>0.41680129240710828</c:v>
                </c:pt>
                <c:pt idx="42">
                  <c:v>0.39770867430441897</c:v>
                </c:pt>
                <c:pt idx="43">
                  <c:v>0.40422077922077926</c:v>
                </c:pt>
                <c:pt idx="44">
                  <c:v>0.3870431893687708</c:v>
                </c:pt>
                <c:pt idx="45">
                  <c:v>0.40288924558587474</c:v>
                </c:pt>
                <c:pt idx="46">
                  <c:v>0.39267886855241263</c:v>
                </c:pt>
                <c:pt idx="47">
                  <c:v>0.40514469453376201</c:v>
                </c:pt>
                <c:pt idx="48">
                  <c:v>0.39311594202898553</c:v>
                </c:pt>
                <c:pt idx="49">
                  <c:v>0.4022191400832178</c:v>
                </c:pt>
                <c:pt idx="50">
                  <c:v>0.40636704119850187</c:v>
                </c:pt>
                <c:pt idx="51">
                  <c:v>0.40181268882175231</c:v>
                </c:pt>
                <c:pt idx="52">
                  <c:v>0.40080971659919035</c:v>
                </c:pt>
                <c:pt idx="53">
                  <c:v>0.40408626560726446</c:v>
                </c:pt>
                <c:pt idx="54">
                  <c:v>0.40582959641255606</c:v>
                </c:pt>
                <c:pt idx="55">
                  <c:v>0.40373831775700941</c:v>
                </c:pt>
                <c:pt idx="56">
                  <c:v>0.40388007054673725</c:v>
                </c:pt>
                <c:pt idx="57">
                  <c:v>0.41732283464566933</c:v>
                </c:pt>
                <c:pt idx="58">
                  <c:v>0.39776951672862454</c:v>
                </c:pt>
                <c:pt idx="59">
                  <c:v>0.40377358490566034</c:v>
                </c:pt>
                <c:pt idx="60">
                  <c:v>0.38735177865612647</c:v>
                </c:pt>
                <c:pt idx="61">
                  <c:v>0.40241796200345425</c:v>
                </c:pt>
                <c:pt idx="62">
                  <c:v>0.39280359820089955</c:v>
                </c:pt>
                <c:pt idx="63">
                  <c:v>0.40527577937649878</c:v>
                </c:pt>
              </c:numCache>
            </c:numRef>
          </c:yVal>
          <c:smooth val="0"/>
          <c:extLst>
            <c:ext xmlns:c16="http://schemas.microsoft.com/office/drawing/2014/chart" uri="{C3380CC4-5D6E-409C-BE32-E72D297353CC}">
              <c16:uniqueId val="{00000000-2A6A-4FB1-9607-288D373E8BAE}"/>
            </c:ext>
          </c:extLst>
        </c:ser>
        <c:dLbls>
          <c:showLegendKey val="0"/>
          <c:showVal val="0"/>
          <c:showCatName val="0"/>
          <c:showSerName val="0"/>
          <c:showPercent val="0"/>
          <c:showBubbleSize val="0"/>
        </c:dLbls>
        <c:axId val="1079705152"/>
        <c:axId val="1079710432"/>
      </c:scatterChart>
      <c:valAx>
        <c:axId val="10797051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a:t>
                </a:r>
                <a:r>
                  <a:rPr lang="en-US" b="1" baseline="0"/>
                  <a:t> of item</a:t>
                </a:r>
                <a:r>
                  <a:rPr lang="en-US" b="1"/>
                  <a: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79710432"/>
        <c:crosses val="autoZero"/>
        <c:crossBetween val="midCat"/>
      </c:valAx>
      <c:valAx>
        <c:axId val="10797104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FLR/(FLR+PYR)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797051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9450-7BD3-4036-9953-90F903D7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92</TotalTime>
  <Pages>25</Pages>
  <Words>10771</Words>
  <Characters>59245</Characters>
  <Application>Microsoft Office Word</Application>
  <DocSecurity>0</DocSecurity>
  <Lines>493</Lines>
  <Paragraphs>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69877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yaomarcelkonan@gmail.com</cp:lastModifiedBy>
  <cp:revision>20</cp:revision>
  <cp:lastPrinted>1999-07-06T11:00:00Z</cp:lastPrinted>
  <dcterms:created xsi:type="dcterms:W3CDTF">2025-06-26T21:38:00Z</dcterms:created>
  <dcterms:modified xsi:type="dcterms:W3CDTF">2025-07-05T21:43:00Z</dcterms:modified>
</cp:coreProperties>
</file>