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E71C" w14:textId="628BC7E5" w:rsidR="001E7141" w:rsidRDefault="005C7107" w:rsidP="001E7141">
      <w:pPr>
        <w:spacing w:before="120" w:after="120" w:line="360" w:lineRule="auto"/>
        <w:jc w:val="right"/>
        <w:rPr>
          <w:rFonts w:ascii="Arial" w:hAnsi="Arial" w:cs="Arial"/>
          <w:b/>
          <w:bCs/>
          <w:sz w:val="36"/>
          <w:szCs w:val="36"/>
        </w:rPr>
      </w:pPr>
      <w:bookmarkStart w:id="0" w:name="_Hlk200278832"/>
      <w:bookmarkEnd w:id="0"/>
      <w:r w:rsidRPr="001E7141">
        <w:rPr>
          <w:rFonts w:ascii="Arial" w:hAnsi="Arial" w:cs="Arial"/>
          <w:b/>
          <w:bCs/>
          <w:sz w:val="36"/>
          <w:szCs w:val="36"/>
        </w:rPr>
        <w:t xml:space="preserve">Effect of Foliar Application of Gibberellic Acid on Growth and Yield of </w:t>
      </w:r>
      <w:proofErr w:type="spellStart"/>
      <w:r w:rsidRPr="001E7141">
        <w:rPr>
          <w:rFonts w:ascii="Arial" w:hAnsi="Arial" w:cs="Arial"/>
          <w:b/>
          <w:bCs/>
          <w:sz w:val="36"/>
          <w:szCs w:val="36"/>
        </w:rPr>
        <w:t>Mungbean</w:t>
      </w:r>
      <w:proofErr w:type="spellEnd"/>
      <w:r w:rsidRPr="001E7141">
        <w:rPr>
          <w:rFonts w:ascii="Arial" w:hAnsi="Arial" w:cs="Arial"/>
          <w:b/>
          <w:bCs/>
          <w:sz w:val="36"/>
          <w:szCs w:val="36"/>
        </w:rPr>
        <w:t xml:space="preserve"> </w:t>
      </w:r>
    </w:p>
    <w:p w14:paraId="647AA660" w14:textId="094BF746" w:rsidR="005C7107" w:rsidRPr="001E7141" w:rsidRDefault="005C7107" w:rsidP="001E7141">
      <w:pPr>
        <w:spacing w:before="120" w:after="120" w:line="360" w:lineRule="auto"/>
        <w:jc w:val="right"/>
        <w:rPr>
          <w:rFonts w:ascii="Arial" w:hAnsi="Arial" w:cs="Arial"/>
          <w:b/>
          <w:bCs/>
          <w:sz w:val="36"/>
          <w:szCs w:val="36"/>
        </w:rPr>
      </w:pPr>
      <w:r w:rsidRPr="001E7141">
        <w:rPr>
          <w:rFonts w:ascii="Arial" w:hAnsi="Arial" w:cs="Arial"/>
          <w:b/>
          <w:bCs/>
          <w:sz w:val="36"/>
          <w:szCs w:val="36"/>
        </w:rPr>
        <w:t>(</w:t>
      </w:r>
      <w:r w:rsidRPr="001E7141">
        <w:rPr>
          <w:rFonts w:ascii="Arial" w:hAnsi="Arial" w:cs="Arial"/>
          <w:b/>
          <w:bCs/>
          <w:i/>
          <w:iCs/>
          <w:sz w:val="36"/>
          <w:szCs w:val="36"/>
        </w:rPr>
        <w:t>Vigna radiata</w:t>
      </w:r>
      <w:r w:rsidRPr="001E7141">
        <w:rPr>
          <w:rFonts w:ascii="Arial" w:hAnsi="Arial" w:cs="Arial"/>
          <w:b/>
          <w:bCs/>
          <w:sz w:val="36"/>
          <w:szCs w:val="36"/>
        </w:rPr>
        <w:t xml:space="preserve"> L.)</w:t>
      </w:r>
    </w:p>
    <w:p w14:paraId="08CC6D47" w14:textId="77777777" w:rsidR="00CC4FB8" w:rsidRDefault="00CC4FB8" w:rsidP="00391A8B">
      <w:pPr>
        <w:pStyle w:val="Affiliation"/>
        <w:spacing w:after="0" w:line="240" w:lineRule="auto"/>
        <w:rPr>
          <w:rFonts w:ascii="Arial" w:hAnsi="Arial" w:cs="Arial"/>
        </w:rPr>
      </w:pPr>
    </w:p>
    <w:p w14:paraId="3BF13476" w14:textId="77777777" w:rsidR="00F20E53" w:rsidRDefault="00F20E53" w:rsidP="00391A8B">
      <w:pPr>
        <w:pStyle w:val="Affiliation"/>
        <w:spacing w:after="0" w:line="240" w:lineRule="auto"/>
        <w:rPr>
          <w:rFonts w:ascii="Arial" w:hAnsi="Arial" w:cs="Arial"/>
        </w:rPr>
      </w:pPr>
    </w:p>
    <w:p w14:paraId="5455C543" w14:textId="77777777" w:rsidR="002C57D2" w:rsidRPr="00FB3A86" w:rsidRDefault="002C57D2" w:rsidP="00391A8B">
      <w:pPr>
        <w:pStyle w:val="Affiliation"/>
        <w:spacing w:after="0" w:line="240" w:lineRule="auto"/>
        <w:rPr>
          <w:rFonts w:ascii="Arial" w:hAnsi="Arial" w:cs="Arial"/>
        </w:rPr>
      </w:pPr>
    </w:p>
    <w:p w14:paraId="797D6FEE" w14:textId="3F652D27" w:rsidR="00605D82" w:rsidRDefault="00907112" w:rsidP="00441B6F">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B9967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156C5BA5" w14:textId="77777777" w:rsidR="00605D82" w:rsidRPr="00BE5A61" w:rsidRDefault="00605D82" w:rsidP="00605D82">
      <w:pPr>
        <w:spacing w:before="120" w:after="120" w:line="360" w:lineRule="auto"/>
        <w:jc w:val="both"/>
        <w:rPr>
          <w:rFonts w:ascii="Arial" w:hAnsi="Arial" w:cs="Arial"/>
          <w:b/>
          <w:bCs/>
          <w:sz w:val="22"/>
          <w:szCs w:val="22"/>
        </w:rPr>
      </w:pPr>
      <w:r w:rsidRPr="009E207C">
        <w:rPr>
          <w:rFonts w:ascii="Arial" w:hAnsi="Arial" w:cs="Arial"/>
          <w:b/>
          <w:bCs/>
          <w:sz w:val="22"/>
          <w:szCs w:val="22"/>
        </w:rPr>
        <w:t>A</w:t>
      </w:r>
      <w:r>
        <w:rPr>
          <w:rFonts w:ascii="Arial" w:hAnsi="Arial" w:cs="Arial"/>
          <w:b/>
          <w:bCs/>
          <w:sz w:val="22"/>
          <w:szCs w:val="22"/>
        </w:rPr>
        <w:t>BSTRACT</w:t>
      </w:r>
      <w:r>
        <w:rPr>
          <w:rFonts w:ascii="Arial" w:hAnsi="Arial" w:cs="Arial"/>
        </w:rPr>
        <w:t xml:space="preserve"> </w:t>
      </w:r>
    </w:p>
    <w:tbl>
      <w:tblPr>
        <w:tblpPr w:leftFromText="180" w:rightFromText="180" w:vertAnchor="text" w:horzAnchor="margin" w:tblpY="5"/>
        <w:tblW w:w="8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31"/>
      </w:tblGrid>
      <w:tr w:rsidR="00605D82" w:rsidRPr="001E44FE" w14:paraId="56A51A3F" w14:textId="77777777" w:rsidTr="00605D82">
        <w:trPr>
          <w:trHeight w:val="4334"/>
        </w:trPr>
        <w:tc>
          <w:tcPr>
            <w:tcW w:w="8631" w:type="dxa"/>
            <w:shd w:val="clear" w:color="auto" w:fill="F2F2F2"/>
          </w:tcPr>
          <w:p w14:paraId="2B14C3B7" w14:textId="554F1184" w:rsidR="00605D82" w:rsidRPr="00A605F3" w:rsidRDefault="00A605F3" w:rsidP="00A605F3">
            <w:pPr>
              <w:spacing w:before="120" w:after="120" w:line="360" w:lineRule="auto"/>
              <w:ind w:firstLine="720"/>
              <w:jc w:val="both"/>
              <w:rPr>
                <w:rFonts w:ascii="Arial" w:hAnsi="Arial" w:cs="Arial"/>
              </w:rPr>
            </w:pPr>
            <w:r>
              <w:rPr>
                <w:rFonts w:ascii="Arial" w:hAnsi="Arial" w:cs="Arial"/>
              </w:rPr>
              <w:t>Gibberellic acid (GA</w:t>
            </w:r>
            <w:r w:rsidRPr="00066CE2">
              <w:rPr>
                <w:rFonts w:ascii="Arial" w:hAnsi="Arial" w:cs="Arial"/>
                <w:vertAlign w:val="subscript"/>
              </w:rPr>
              <w:t>3</w:t>
            </w:r>
            <w:r>
              <w:rPr>
                <w:rFonts w:ascii="Arial" w:hAnsi="Arial" w:cs="Arial"/>
              </w:rPr>
              <w:t xml:space="preserve">) can significantly improve growth, yield and yield components of </w:t>
            </w:r>
            <w:proofErr w:type="spellStart"/>
            <w:r>
              <w:rPr>
                <w:rFonts w:ascii="Arial" w:hAnsi="Arial" w:cs="Arial"/>
              </w:rPr>
              <w:t>mungbean</w:t>
            </w:r>
            <w:proofErr w:type="spellEnd"/>
            <w:r>
              <w:rPr>
                <w:rFonts w:ascii="Arial" w:hAnsi="Arial" w:cs="Arial"/>
              </w:rPr>
              <w:t xml:space="preserve"> when applied as a foliar spray or seed treatment. </w:t>
            </w:r>
            <w:r w:rsidRPr="00066CE2">
              <w:rPr>
                <w:rFonts w:ascii="Arial" w:hAnsi="Arial" w:cs="Arial"/>
                <w:color w:val="000000" w:themeColor="text1"/>
              </w:rPr>
              <w:t>This</w:t>
            </w:r>
            <w:r w:rsidRPr="00D61F92">
              <w:rPr>
                <w:rFonts w:ascii="Arial" w:hAnsi="Arial" w:cs="Arial"/>
              </w:rPr>
              <w:t xml:space="preserve"> study aimed to determine the optimal rate and tim</w:t>
            </w:r>
            <w:r>
              <w:rPr>
                <w:rFonts w:ascii="Arial" w:hAnsi="Arial" w:cs="Arial"/>
              </w:rPr>
              <w:t>e</w:t>
            </w:r>
            <w:r w:rsidRPr="00D61F92">
              <w:rPr>
                <w:rFonts w:ascii="Arial" w:hAnsi="Arial" w:cs="Arial"/>
              </w:rPr>
              <w:t xml:space="preserve"> of foliar GA</w:t>
            </w:r>
            <w:r w:rsidRPr="00D61F92">
              <w:rPr>
                <w:rFonts w:ascii="Cambria Math" w:hAnsi="Cambria Math" w:cs="Cambria Math"/>
              </w:rPr>
              <w:t>₃</w:t>
            </w:r>
            <w:r w:rsidRPr="00D61F92">
              <w:rPr>
                <w:rFonts w:ascii="Arial" w:hAnsi="Arial" w:cs="Arial"/>
              </w:rPr>
              <w:t xml:space="preserve"> application on the improvement of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w:t>
            </w:r>
            <w:proofErr w:type="spellStart"/>
            <w:r>
              <w:rPr>
                <w:rFonts w:ascii="Arial" w:hAnsi="Arial" w:cs="Arial"/>
              </w:rPr>
              <w:t>Yezin</w:t>
            </w:r>
            <w:proofErr w:type="spellEnd"/>
            <w:r>
              <w:rPr>
                <w:rFonts w:ascii="Arial" w:hAnsi="Arial" w:cs="Arial"/>
              </w:rPr>
              <w:t xml:space="preserve"> 14)</w:t>
            </w:r>
            <w:r w:rsidRPr="00D61F92">
              <w:rPr>
                <w:rFonts w:ascii="Arial" w:hAnsi="Arial" w:cs="Arial"/>
              </w:rPr>
              <w:t xml:space="preserve"> </w:t>
            </w:r>
            <w:r>
              <w:rPr>
                <w:rFonts w:ascii="Arial" w:hAnsi="Arial" w:cs="Arial"/>
              </w:rPr>
              <w:t xml:space="preserve">variety </w:t>
            </w:r>
            <w:r w:rsidRPr="00D61F92">
              <w:rPr>
                <w:rFonts w:ascii="Arial" w:hAnsi="Arial" w:cs="Arial"/>
              </w:rPr>
              <w:t xml:space="preserve">in </w:t>
            </w:r>
            <w:r>
              <w:rPr>
                <w:rFonts w:ascii="Arial" w:hAnsi="Arial" w:cs="Arial"/>
              </w:rPr>
              <w:t xml:space="preserve">the </w:t>
            </w:r>
            <w:r w:rsidRPr="00D61F92">
              <w:rPr>
                <w:rFonts w:ascii="Arial" w:hAnsi="Arial" w:cs="Arial"/>
              </w:rPr>
              <w:t>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The experiment was conducted at </w:t>
            </w:r>
            <w:proofErr w:type="spellStart"/>
            <w:r w:rsidRPr="00D61F92">
              <w:rPr>
                <w:rFonts w:ascii="Arial" w:hAnsi="Arial" w:cs="Arial"/>
              </w:rPr>
              <w:t>Yezin</w:t>
            </w:r>
            <w:proofErr w:type="spellEnd"/>
            <w:r w:rsidRPr="00D61F92">
              <w:rPr>
                <w:rFonts w:ascii="Arial" w:hAnsi="Arial" w:cs="Arial"/>
              </w:rPr>
              <w:t xml:space="preserve"> Agricultural University farm</w:t>
            </w:r>
            <w:r>
              <w:rPr>
                <w:rFonts w:ascii="Arial" w:hAnsi="Arial" w:cs="Arial"/>
              </w:rPr>
              <w:t>, Myanmar</w:t>
            </w:r>
            <w:r w:rsidRPr="00D61F92">
              <w:rPr>
                <w:rFonts w:ascii="Arial" w:hAnsi="Arial" w:cs="Arial"/>
              </w:rPr>
              <w:t xml:space="preserve"> by using Randomized Complete Block Design with three replications</w:t>
            </w:r>
            <w:r>
              <w:rPr>
                <w:rFonts w:ascii="Arial" w:hAnsi="Arial" w:cs="Arial"/>
              </w:rPr>
              <w:t>.</w:t>
            </w:r>
            <w:r>
              <w:rPr>
                <w:rFonts w:ascii="Arial" w:hAnsi="Arial" w:cs="Arial"/>
                <w:sz w:val="30"/>
                <w:szCs w:val="30"/>
                <w:shd w:val="clear" w:color="auto" w:fill="FFFFFF"/>
              </w:rPr>
              <w:t xml:space="preserve"> </w:t>
            </w:r>
            <w:r>
              <w:rPr>
                <w:rFonts w:ascii="Arial" w:hAnsi="Arial" w:cs="Arial"/>
                <w:shd w:val="clear" w:color="auto" w:fill="FFFFFF"/>
              </w:rPr>
              <w:t>I</w:t>
            </w:r>
            <w:r w:rsidRPr="00766AF2">
              <w:rPr>
                <w:rFonts w:ascii="Arial" w:hAnsi="Arial" w:cs="Arial"/>
                <w:shd w:val="clear" w:color="auto" w:fill="FFFFFF"/>
              </w:rPr>
              <w:t>n</w:t>
            </w:r>
            <w:r>
              <w:rPr>
                <w:rFonts w:ascii="Arial" w:hAnsi="Arial" w:cs="Arial"/>
                <w:shd w:val="clear" w:color="auto" w:fill="FFFFFF"/>
              </w:rPr>
              <w:t xml:space="preserve"> </w:t>
            </w:r>
            <w:r w:rsidRPr="00766AF2">
              <w:rPr>
                <w:rFonts w:ascii="Arial" w:hAnsi="Arial" w:cs="Arial"/>
                <w:shd w:val="clear" w:color="auto" w:fill="FFFFFF"/>
              </w:rPr>
              <w:t>both</w:t>
            </w:r>
            <w:r>
              <w:rPr>
                <w:rFonts w:ascii="Arial" w:hAnsi="Arial" w:cs="Arial"/>
                <w:shd w:val="clear" w:color="auto" w:fill="FFFFFF"/>
              </w:rPr>
              <w:t xml:space="preserve"> </w:t>
            </w:r>
            <w:r w:rsidRPr="00766AF2">
              <w:rPr>
                <w:rFonts w:ascii="Arial" w:hAnsi="Arial" w:cs="Arial"/>
                <w:shd w:val="clear" w:color="auto" w:fill="FFFFFF"/>
              </w:rPr>
              <w:t>experiments, there were</w:t>
            </w:r>
            <w:r>
              <w:rPr>
                <w:rFonts w:ascii="Arial" w:hAnsi="Arial" w:cs="Arial"/>
                <w:shd w:val="clear" w:color="auto" w:fill="FFFFFF"/>
              </w:rPr>
              <w:t xml:space="preserve"> </w:t>
            </w:r>
            <w:r w:rsidRPr="00766AF2">
              <w:rPr>
                <w:rFonts w:ascii="Arial" w:hAnsi="Arial" w:cs="Arial"/>
                <w:shd w:val="clear" w:color="auto" w:fill="FFFFFF"/>
              </w:rPr>
              <w:t>t</w:t>
            </w:r>
            <w:r w:rsidRPr="00F53B02">
              <w:rPr>
                <w:rFonts w:ascii="Arial" w:hAnsi="Arial" w:cs="Arial"/>
                <w:shd w:val="clear" w:color="auto" w:fill="FFFFFF"/>
              </w:rPr>
              <w:t>en treatments:  control (no GA</w:t>
            </w:r>
            <w:r w:rsidRPr="00F53B02">
              <w:rPr>
                <w:rFonts w:ascii="Arial" w:hAnsi="Arial" w:cs="Arial"/>
                <w:shd w:val="clear" w:color="auto" w:fill="FFFFFF"/>
                <w:vertAlign w:val="subscript"/>
              </w:rPr>
              <w:t>3</w:t>
            </w:r>
            <w:r>
              <w:rPr>
                <w:rFonts w:ascii="Arial" w:hAnsi="Arial" w:cs="Arial"/>
                <w:shd w:val="clear" w:color="auto" w:fill="FFFFFF"/>
                <w:vertAlign w:val="subscript"/>
              </w:rPr>
              <w:t xml:space="preserve"> </w:t>
            </w:r>
            <w:r>
              <w:rPr>
                <w:rFonts w:ascii="Arial" w:hAnsi="Arial" w:cs="Arial"/>
                <w:shd w:val="clear" w:color="auto" w:fill="FFFFFF"/>
              </w:rPr>
              <w:t>with water spray</w:t>
            </w:r>
            <w:r w:rsidRPr="00F53B02">
              <w:rPr>
                <w:rFonts w:ascii="Arial" w:hAnsi="Arial" w:cs="Arial"/>
                <w:shd w:val="clear" w:color="auto" w:fill="FFFFFF"/>
              </w:rPr>
              <w:t>) (T</w:t>
            </w:r>
            <w:r w:rsidRPr="00F53B02">
              <w:rPr>
                <w:rFonts w:ascii="Arial" w:hAnsi="Arial" w:cs="Arial"/>
                <w:shd w:val="clear" w:color="auto" w:fill="FFFFFF"/>
                <w:vertAlign w:val="subscript"/>
              </w:rPr>
              <w:t>1</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days after sowing (DAS) (T</w:t>
            </w:r>
            <w:r w:rsidRPr="00F53B02">
              <w:rPr>
                <w:rFonts w:ascii="Arial" w:hAnsi="Arial" w:cs="Arial"/>
                <w:shd w:val="clear" w:color="auto" w:fill="FFFFFF"/>
                <w:vertAlign w:val="subscript"/>
              </w:rPr>
              <w:t>2</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3</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DAS (T</w:t>
            </w:r>
            <w:r w:rsidRPr="00F53B02">
              <w:rPr>
                <w:rFonts w:ascii="Arial" w:hAnsi="Arial" w:cs="Arial"/>
                <w:shd w:val="clear" w:color="auto" w:fill="FFFFFF"/>
                <w:vertAlign w:val="subscript"/>
              </w:rPr>
              <w:t>4</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5</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6</w:t>
            </w:r>
            <w:r w:rsidRPr="00F53B02">
              <w:rPr>
                <w:rFonts w:ascii="Arial" w:hAnsi="Arial" w:cs="Arial"/>
                <w:shd w:val="clear" w:color="auto" w:fill="FFFFFF"/>
              </w:rPr>
              <w:t>),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40 DAS (T</w:t>
            </w:r>
            <w:r w:rsidRPr="00F53B02">
              <w:rPr>
                <w:rFonts w:ascii="Arial" w:hAnsi="Arial" w:cs="Arial"/>
                <w:shd w:val="clear" w:color="auto" w:fill="FFFFFF"/>
                <w:vertAlign w:val="subscript"/>
              </w:rPr>
              <w:t>7</w:t>
            </w:r>
            <w:r w:rsidRPr="00F53B02">
              <w:rPr>
                <w:rFonts w:ascii="Arial" w:hAnsi="Arial" w:cs="Arial"/>
                <w:shd w:val="clear" w:color="auto" w:fill="FFFFFF"/>
              </w:rPr>
              <w:t>), 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8</w:t>
            </w:r>
            <w:r w:rsidRPr="00F53B02">
              <w:rPr>
                <w:rFonts w:ascii="Arial" w:hAnsi="Arial" w:cs="Arial"/>
                <w:shd w:val="clear" w:color="auto" w:fill="FFFFFF"/>
              </w:rPr>
              <w:t>), 100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9</w:t>
            </w:r>
            <w:r w:rsidRPr="00F53B02">
              <w:rPr>
                <w:rFonts w:ascii="Arial" w:hAnsi="Arial" w:cs="Arial"/>
                <w:shd w:val="clear" w:color="auto" w:fill="FFFFFF"/>
              </w:rPr>
              <w:t>) and 150 ppm GA</w:t>
            </w:r>
            <w:r w:rsidRPr="00F53B02">
              <w:rPr>
                <w:rFonts w:ascii="Arial" w:hAnsi="Arial" w:cs="Arial"/>
                <w:shd w:val="clear" w:color="auto" w:fill="FFFFFF"/>
                <w:vertAlign w:val="subscript"/>
              </w:rPr>
              <w:t xml:space="preserve">3 </w:t>
            </w:r>
            <w:r w:rsidRPr="00F53B02">
              <w:rPr>
                <w:rFonts w:ascii="Arial" w:hAnsi="Arial" w:cs="Arial"/>
                <w:shd w:val="clear" w:color="auto" w:fill="FFFFFF"/>
              </w:rPr>
              <w:t>at 20 and 40 DAS (T</w:t>
            </w:r>
            <w:r w:rsidRPr="00F53B02">
              <w:rPr>
                <w:rFonts w:ascii="Arial" w:hAnsi="Arial" w:cs="Arial"/>
                <w:shd w:val="clear" w:color="auto" w:fill="FFFFFF"/>
                <w:vertAlign w:val="subscript"/>
              </w:rPr>
              <w:t>10</w:t>
            </w:r>
            <w:r w:rsidRPr="00F53B02">
              <w:rPr>
                <w:rFonts w:ascii="Arial" w:hAnsi="Arial" w:cs="Arial"/>
                <w:shd w:val="clear" w:color="auto" w:fill="FFFFFF"/>
              </w:rPr>
              <w:t>)</w:t>
            </w:r>
            <w:r>
              <w:rPr>
                <w:rFonts w:ascii="Arial" w:hAnsi="Arial" w:cs="Arial"/>
                <w:shd w:val="clear" w:color="auto" w:fill="FFFFFF"/>
              </w:rPr>
              <w:t xml:space="preserve">. </w:t>
            </w:r>
            <w:r w:rsidRPr="00D61F92">
              <w:rPr>
                <w:rFonts w:ascii="Arial" w:hAnsi="Arial" w:cs="Arial"/>
              </w:rPr>
              <w:t xml:space="preserve">Key growth parameters </w:t>
            </w:r>
            <w:r>
              <w:rPr>
                <w:rFonts w:ascii="Arial" w:hAnsi="Arial" w:cs="Arial"/>
              </w:rPr>
              <w:t xml:space="preserve">yield and </w:t>
            </w:r>
            <w:r w:rsidRPr="00D61F92">
              <w:rPr>
                <w:rFonts w:ascii="Arial" w:hAnsi="Arial" w:cs="Arial"/>
              </w:rPr>
              <w:t xml:space="preserve">yield components, and </w:t>
            </w:r>
            <w:r>
              <w:rPr>
                <w:rFonts w:ascii="Arial" w:hAnsi="Arial" w:cs="Arial"/>
              </w:rPr>
              <w:t xml:space="preserve">some </w:t>
            </w:r>
            <w:r w:rsidRPr="00D61F92">
              <w:rPr>
                <w:rFonts w:ascii="Arial" w:hAnsi="Arial" w:cs="Arial"/>
              </w:rPr>
              <w:t>physiological traits were measured throughout the growing season. Results showed that foliar application of 100 ppm GA</w:t>
            </w:r>
            <w:r w:rsidRPr="00D61F92">
              <w:rPr>
                <w:rFonts w:ascii="Cambria Math" w:hAnsi="Cambria Math" w:cs="Cambria Math"/>
              </w:rPr>
              <w:t>₃</w:t>
            </w:r>
            <w:r w:rsidRPr="00D61F92">
              <w:rPr>
                <w:rFonts w:ascii="Arial" w:hAnsi="Arial" w:cs="Arial"/>
              </w:rPr>
              <w:t xml:space="preserve"> at both 20 and 40 DAS (T</w:t>
            </w:r>
            <w:r w:rsidRPr="00634EBD">
              <w:rPr>
                <w:rFonts w:ascii="Arial" w:hAnsi="Arial" w:cs="Arial"/>
                <w:vertAlign w:val="subscript"/>
              </w:rPr>
              <w:t>9</w:t>
            </w:r>
            <w:r w:rsidRPr="00D61F92">
              <w:rPr>
                <w:rFonts w:ascii="Arial" w:hAnsi="Arial" w:cs="Arial"/>
              </w:rPr>
              <w:t xml:space="preserve">) significantly enhanced plant height, SPAD value, leaf area index (LAI), crop growth rate (CGR), and total dry matter compared to other treatments. This treatment also </w:t>
            </w:r>
            <w:r>
              <w:rPr>
                <w:rFonts w:ascii="Arial" w:hAnsi="Arial" w:cs="Arial"/>
              </w:rPr>
              <w:t>resulted</w:t>
            </w:r>
            <w:r w:rsidRPr="00D61F92">
              <w:rPr>
                <w:rFonts w:ascii="Arial" w:hAnsi="Arial" w:cs="Arial"/>
              </w:rPr>
              <w:t xml:space="preserve"> the highest number of branches and pods per plant, pod length, seed yield (1927.9 kg ha</w:t>
            </w:r>
            <w:r w:rsidRPr="00232EAE">
              <w:rPr>
                <w:rFonts w:ascii="Cambria Math" w:hAnsi="Cambria Math" w:cs="Cambria Math"/>
                <w:vertAlign w:val="superscript"/>
              </w:rPr>
              <w:t>⁻</w:t>
            </w:r>
            <w:r w:rsidRPr="00232EAE">
              <w:rPr>
                <w:rFonts w:ascii="Arial" w:hAnsi="Arial" w:cs="Arial"/>
                <w:vertAlign w:val="superscript"/>
              </w:rPr>
              <w:t>1</w:t>
            </w:r>
            <w:r w:rsidRPr="00D61F92">
              <w:rPr>
                <w:rFonts w:ascii="Arial" w:hAnsi="Arial" w:cs="Arial"/>
              </w:rPr>
              <w:t xml:space="preserve"> in 2023</w:t>
            </w:r>
            <w:r>
              <w:rPr>
                <w:rFonts w:ascii="Arial" w:hAnsi="Arial" w:cs="Arial"/>
              </w:rPr>
              <w:t>-</w:t>
            </w:r>
            <w:r w:rsidRPr="00D61F92">
              <w:rPr>
                <w:rFonts w:ascii="Arial" w:hAnsi="Arial" w:cs="Arial"/>
              </w:rPr>
              <w:t>24 and 1554.7 kg ha</w:t>
            </w:r>
            <w:r w:rsidRPr="0008692B">
              <w:rPr>
                <w:rFonts w:ascii="Cambria Math" w:hAnsi="Cambria Math" w:cs="Cambria Math"/>
                <w:vertAlign w:val="superscript"/>
              </w:rPr>
              <w:t>⁻</w:t>
            </w:r>
            <w:r w:rsidRPr="0008692B">
              <w:rPr>
                <w:rFonts w:ascii="Arial" w:hAnsi="Arial" w:cs="Arial"/>
                <w:vertAlign w:val="superscript"/>
              </w:rPr>
              <w:t>1</w:t>
            </w:r>
            <w:r w:rsidRPr="00D61F92">
              <w:rPr>
                <w:rFonts w:ascii="Arial" w:hAnsi="Arial" w:cs="Arial"/>
              </w:rPr>
              <w:t xml:space="preserve"> in 2024</w:t>
            </w:r>
            <w:r>
              <w:rPr>
                <w:rFonts w:ascii="Arial" w:hAnsi="Arial" w:cs="Arial"/>
              </w:rPr>
              <w:t>-</w:t>
            </w:r>
            <w:r w:rsidRPr="00D61F92">
              <w:rPr>
                <w:rFonts w:ascii="Arial" w:hAnsi="Arial" w:cs="Arial"/>
              </w:rPr>
              <w:t xml:space="preserve">25), shelling percentage, and harvest index. These findings </w:t>
            </w:r>
            <w:r>
              <w:rPr>
                <w:rFonts w:ascii="Arial" w:hAnsi="Arial" w:cs="Arial"/>
              </w:rPr>
              <w:t>highlight</w:t>
            </w:r>
            <w:r w:rsidRPr="00D61F92">
              <w:rPr>
                <w:rFonts w:ascii="Arial" w:hAnsi="Arial" w:cs="Arial"/>
              </w:rPr>
              <w:t xml:space="preserve"> that appl</w:t>
            </w:r>
            <w:r>
              <w:rPr>
                <w:rFonts w:ascii="Arial" w:hAnsi="Arial" w:cs="Arial"/>
              </w:rPr>
              <w:t>ication of</w:t>
            </w:r>
            <w:r w:rsidRPr="00D61F92">
              <w:rPr>
                <w:rFonts w:ascii="Arial" w:hAnsi="Arial" w:cs="Arial"/>
              </w:rPr>
              <w:t xml:space="preserve"> 100 ppm GA</w:t>
            </w:r>
            <w:r w:rsidRPr="006C56B1">
              <w:rPr>
                <w:rFonts w:ascii="Arial" w:hAnsi="Arial" w:cs="Arial"/>
                <w:vertAlign w:val="subscript"/>
              </w:rPr>
              <w:t xml:space="preserve">3 </w:t>
            </w:r>
            <w:r w:rsidRPr="00D61F92">
              <w:rPr>
                <w:rFonts w:ascii="Arial" w:hAnsi="Arial" w:cs="Arial"/>
              </w:rPr>
              <w:t xml:space="preserve">twice during the early growth stages </w:t>
            </w:r>
            <w:r>
              <w:rPr>
                <w:rFonts w:ascii="Arial" w:hAnsi="Arial" w:cs="Arial"/>
              </w:rPr>
              <w:t xml:space="preserve">markedly enhances </w:t>
            </w:r>
            <w:proofErr w:type="spellStart"/>
            <w:r w:rsidRPr="00D61F92">
              <w:rPr>
                <w:rFonts w:ascii="Arial" w:hAnsi="Arial" w:cs="Arial"/>
              </w:rPr>
              <w:t>mungbean</w:t>
            </w:r>
            <w:proofErr w:type="spellEnd"/>
            <w:r w:rsidRPr="00D61F92">
              <w:rPr>
                <w:rFonts w:ascii="Arial" w:hAnsi="Arial" w:cs="Arial"/>
              </w:rPr>
              <w:t xml:space="preserve"> productivity under the </w:t>
            </w:r>
            <w:proofErr w:type="spellStart"/>
            <w:r w:rsidRPr="00D61F92">
              <w:rPr>
                <w:rFonts w:ascii="Arial" w:hAnsi="Arial" w:cs="Arial"/>
              </w:rPr>
              <w:t>agro</w:t>
            </w:r>
            <w:proofErr w:type="spellEnd"/>
            <w:r w:rsidRPr="00D61F92">
              <w:rPr>
                <w:rFonts w:ascii="Arial" w:hAnsi="Arial" w:cs="Arial"/>
              </w:rPr>
              <w:t xml:space="preserve">-climatic conditions of </w:t>
            </w:r>
            <w:proofErr w:type="spellStart"/>
            <w:r w:rsidRPr="00D61F92">
              <w:rPr>
                <w:rFonts w:ascii="Arial" w:hAnsi="Arial" w:cs="Arial"/>
              </w:rPr>
              <w:t>Yezin</w:t>
            </w:r>
            <w:proofErr w:type="spellEnd"/>
            <w:r>
              <w:rPr>
                <w:rFonts w:ascii="Arial" w:hAnsi="Arial" w:cs="Arial"/>
              </w:rPr>
              <w:t xml:space="preserve">, Nay </w:t>
            </w:r>
            <w:proofErr w:type="spellStart"/>
            <w:r>
              <w:rPr>
                <w:rFonts w:ascii="Arial" w:hAnsi="Arial" w:cs="Arial"/>
              </w:rPr>
              <w:t>Pyi</w:t>
            </w:r>
            <w:proofErr w:type="spellEnd"/>
            <w:r>
              <w:rPr>
                <w:rFonts w:ascii="Arial" w:hAnsi="Arial" w:cs="Arial"/>
              </w:rPr>
              <w:t xml:space="preserve"> Taw. </w:t>
            </w:r>
            <w:r w:rsidRPr="00D61F92">
              <w:rPr>
                <w:rFonts w:ascii="Arial" w:hAnsi="Arial" w:cs="Arial"/>
              </w:rPr>
              <w:t xml:space="preserve"> </w:t>
            </w:r>
          </w:p>
        </w:tc>
      </w:tr>
    </w:tbl>
    <w:p w14:paraId="78DFF690" w14:textId="77777777" w:rsidR="00605D82" w:rsidRPr="00605D82" w:rsidRDefault="00605D82" w:rsidP="00605D82"/>
    <w:p w14:paraId="3FA014D2" w14:textId="77777777" w:rsidR="00605D82" w:rsidRPr="00BE5A61" w:rsidRDefault="00605D82" w:rsidP="00605D82">
      <w:pPr>
        <w:spacing w:before="120" w:after="120" w:line="360" w:lineRule="auto"/>
        <w:ind w:left="1350" w:hanging="1350"/>
        <w:jc w:val="both"/>
        <w:rPr>
          <w:rFonts w:ascii="Arial" w:hAnsi="Arial" w:cs="Arial"/>
          <w:b/>
          <w:bCs/>
          <w:i/>
          <w:iCs/>
        </w:rPr>
      </w:pPr>
      <w:r w:rsidRPr="002C0017">
        <w:rPr>
          <w:rFonts w:ascii="Arial" w:hAnsi="Arial" w:cs="Arial"/>
          <w:b/>
          <w:bCs/>
          <w:i/>
          <w:iCs/>
        </w:rPr>
        <w:t>Keywords</w:t>
      </w:r>
      <w:r w:rsidRPr="002C0017">
        <w:rPr>
          <w:rFonts w:ascii="Arial" w:hAnsi="Arial" w:cs="Arial"/>
          <w:i/>
          <w:iCs/>
        </w:rPr>
        <w:t xml:space="preserve">:    </w:t>
      </w:r>
      <w:proofErr w:type="spellStart"/>
      <w:r w:rsidRPr="002C0017">
        <w:rPr>
          <w:rFonts w:ascii="Arial" w:hAnsi="Arial" w:cs="Arial"/>
          <w:b/>
          <w:bCs/>
          <w:i/>
          <w:iCs/>
        </w:rPr>
        <w:t>Mungbean</w:t>
      </w:r>
      <w:proofErr w:type="spellEnd"/>
      <w:r w:rsidRPr="002C0017">
        <w:rPr>
          <w:rFonts w:ascii="Arial" w:hAnsi="Arial" w:cs="Arial"/>
          <w:b/>
          <w:bCs/>
          <w:i/>
          <w:iCs/>
        </w:rPr>
        <w:t>; GA</w:t>
      </w:r>
      <w:r w:rsidRPr="002C0017">
        <w:rPr>
          <w:rFonts w:ascii="Arial" w:hAnsi="Arial" w:cs="Arial"/>
          <w:b/>
          <w:bCs/>
          <w:i/>
          <w:iCs/>
          <w:vertAlign w:val="subscript"/>
        </w:rPr>
        <w:t>3</w:t>
      </w:r>
      <w:r w:rsidRPr="002C0017">
        <w:rPr>
          <w:rFonts w:ascii="Arial" w:hAnsi="Arial" w:cs="Arial"/>
          <w:b/>
          <w:bCs/>
          <w:i/>
          <w:iCs/>
        </w:rPr>
        <w:t>; growth; yield; foliar application</w:t>
      </w:r>
    </w:p>
    <w:p w14:paraId="61893602" w14:textId="77777777" w:rsidR="00605D82" w:rsidRPr="00605D82" w:rsidRDefault="00605D82" w:rsidP="00605D82"/>
    <w:p w14:paraId="77EBFB41" w14:textId="2EC10761" w:rsidR="00B01FCD" w:rsidRPr="00605D82" w:rsidRDefault="00B01FCD" w:rsidP="00605D82">
      <w:pPr>
        <w:sectPr w:rsidR="00B01FCD" w:rsidRPr="00605D82" w:rsidSect="00F20E53">
          <w:headerReference w:type="even" r:id="rId8"/>
          <w:headerReference w:type="default" r:id="rId9"/>
          <w:headerReference w:type="first" r:id="rId10"/>
          <w:type w:val="continuous"/>
          <w:pgSz w:w="12240" w:h="15840" w:code="1"/>
          <w:pgMar w:top="1440" w:right="2016" w:bottom="2016" w:left="2016" w:header="720" w:footer="1296" w:gutter="0"/>
          <w:cols w:space="720"/>
          <w:docGrid w:linePitch="272"/>
        </w:sectPr>
      </w:pPr>
    </w:p>
    <w:p w14:paraId="63AF41AC" w14:textId="77777777" w:rsidR="00BE5A61" w:rsidRPr="00D61F92" w:rsidRDefault="00BE5A61" w:rsidP="00BE5A61">
      <w:pPr>
        <w:spacing w:before="120" w:after="120" w:line="360" w:lineRule="auto"/>
        <w:jc w:val="both"/>
        <w:rPr>
          <w:rFonts w:ascii="Arial" w:hAnsi="Arial" w:cs="Arial"/>
          <w:b/>
          <w:bCs/>
        </w:rPr>
      </w:pPr>
      <w:r w:rsidRPr="00D61F92">
        <w:rPr>
          <w:rFonts w:ascii="Arial" w:hAnsi="Arial" w:cs="Arial"/>
          <w:b/>
          <w:bCs/>
        </w:rPr>
        <w:lastRenderedPageBreak/>
        <w:t>1</w:t>
      </w:r>
      <w:r w:rsidRPr="005628E0">
        <w:rPr>
          <w:rFonts w:ascii="Arial" w:hAnsi="Arial" w:cs="Arial"/>
          <w:b/>
          <w:bCs/>
          <w:sz w:val="22"/>
          <w:szCs w:val="22"/>
        </w:rPr>
        <w:t>. Introduction</w:t>
      </w:r>
    </w:p>
    <w:p w14:paraId="55774AE2" w14:textId="77777777" w:rsidR="00BE5A61" w:rsidRDefault="00BE5A61" w:rsidP="00BE5A61">
      <w:pPr>
        <w:spacing w:before="120" w:after="120" w:line="360" w:lineRule="auto"/>
        <w:ind w:firstLine="720"/>
        <w:jc w:val="both"/>
        <w:rPr>
          <w:rFonts w:ascii="Arial" w:hAnsi="Arial" w:cs="Arial"/>
        </w:rPr>
      </w:pPr>
      <w:r w:rsidRPr="00D61F92">
        <w:rPr>
          <w:rFonts w:ascii="Arial" w:hAnsi="Arial" w:cs="Arial"/>
        </w:rPr>
        <w:t xml:space="preserve">Pulses are Myanmar's largest export and the second most important crop for domestic consumption. They provide dietary protein and fiber and are a significant source of vitamins and minerals. Among pulses, </w:t>
      </w:r>
      <w:proofErr w:type="spellStart"/>
      <w:r w:rsidRPr="00D61F92">
        <w:rPr>
          <w:rFonts w:ascii="Arial" w:hAnsi="Arial" w:cs="Arial"/>
        </w:rPr>
        <w:t>mungbean</w:t>
      </w:r>
      <w:proofErr w:type="spellEnd"/>
      <w:r w:rsidRPr="00D61F92">
        <w:rPr>
          <w:rFonts w:ascii="Arial" w:hAnsi="Arial" w:cs="Arial"/>
        </w:rPr>
        <w:t xml:space="preserve"> (</w:t>
      </w:r>
      <w:r w:rsidRPr="00D61F92">
        <w:rPr>
          <w:rFonts w:ascii="Arial" w:hAnsi="Arial" w:cs="Arial"/>
          <w:i/>
          <w:iCs/>
        </w:rPr>
        <w:t>Vigna radiata</w:t>
      </w:r>
      <w:r w:rsidRPr="00D61F92">
        <w:rPr>
          <w:rFonts w:ascii="Arial" w:hAnsi="Arial" w:cs="Arial"/>
        </w:rPr>
        <w:t xml:space="preserve"> L.) is one of the most important short-season grain legumes in the conventional farming systems of tropical and temperate regions. It can be grown on a variety of soils and under diverse climatic conditions, as it is tolerant to drought </w:t>
      </w:r>
      <w:r>
        <w:rPr>
          <w:rFonts w:ascii="Arial" w:hAnsi="Arial" w:cs="Arial"/>
        </w:rPr>
        <w:fldChar w:fldCharType="begin" w:fldLock="1"/>
      </w:r>
      <w:r>
        <w:rPr>
          <w:rFonts w:ascii="Arial" w:hAnsi="Arial" w:cs="Arial"/>
        </w:rPr>
        <w:instrText>ADDIN CSL_CITATION {"citationItems":[{"id":"ITEM-1","itemData":{"ISSN":"05563321","abstract":"Harvested yields of mung bean are generally very low due to relatively little information on its fertilization and irrigation management. Field experiments were conducted to evaluate the interactive effects of irrigation and phosphorus on green gram (Vigna radiata L). Four irrigation levels (I 0 = No irrigation), (I1 = irrigation at vegetative stage), (I2 = irrigation at vegetative and flowering stage), (I3 = irrigation at vegetative, flowering and pod formation stage) and five phosphorus doses (P0 = 0, P1 = 20, P2 = 40, P3 = 60 and P4 = 80 kg ha-1) were arranged in a split plot design with four replications. Irrigation treatments exhibited positive effects on yield and yield components. Less than two and more than two irrigations were not economically beneficial. Phosphorus application @ 40 kg P2O5 ha-1 affected the crop positively, below and above this level left non-significant effects. Interactive effects of two irrigations and 40 kg P2O5 ha-1 were most effective. Rest of the combinations remained statistically non-significant to each other. It may be concluded that green gram can be successfully grown under limited water supply when at least two irrigations are given with phosphorus at 40 kg P2O5 ha-1. The response of the crop was consistent during both the seasons; however, it was better during the first season than during the second one, which could be attributed to better climatic conditions.","author":[{"dropping-particle":"","family":"Malik","given":"Amjad","non-dropping-particle":"","parse-names":false,"suffix":""},{"dropping-particle":"","family":"Fayyaz-ul-Hassan","given":"","non-dropping-particle":"","parse-names":false,"suffix":""},{"dropping-particle":"","family":"Waheed","given":"Abdul","non-dropping-particle":"","parse-names":false,"suffix":""},{"dropping-particle":"","family":"Qadir","given":"Ghulam","non-dropping-particle":"","parse-names":false,"suffix":""},{"dropping-particle":"","family":"Asghar","given":"Rehana","non-dropping-particle":"","parse-names":false,"suffix":""}],"container-title":"Pakistan Journal of Botany","id":"ITEM-1","issue":"4","issued":{"date-parts":[["2006"]]},"page":"1119-1126","title":"Interactive effects of irrigation and phosphorus on green gram (Vigna radiata L.)","type":"article-journal","volume":"38"},"uris":["http://www.mendeley.com/documents/?uuid=a3d6cbd5-6ddf-4aa6-a13d-b3fb3c20f4bb"]}],"mendeley":{"formattedCitation":"(Malik et al., 2006)","plainTextFormattedCitation":"(Malik et al., 2006)","previouslyFormattedCitation":"(Malik et al., 2006)"},"properties":{"noteIndex":0},"schema":"https://github.com/citation-style-language/schema/raw/master/csl-citation.json"}</w:instrText>
      </w:r>
      <w:r>
        <w:rPr>
          <w:rFonts w:ascii="Arial" w:hAnsi="Arial" w:cs="Arial"/>
        </w:rPr>
        <w:fldChar w:fldCharType="separate"/>
      </w:r>
      <w:r w:rsidRPr="0018373B">
        <w:rPr>
          <w:rFonts w:ascii="Arial" w:hAnsi="Arial" w:cs="Arial"/>
          <w:noProof/>
        </w:rPr>
        <w:t>(Malik et al., 2006)</w:t>
      </w:r>
      <w:r>
        <w:rPr>
          <w:rFonts w:ascii="Arial" w:hAnsi="Arial" w:cs="Arial"/>
        </w:rPr>
        <w:fldChar w:fldCharType="end"/>
      </w:r>
      <w:r w:rsidRPr="00D61F92">
        <w:rPr>
          <w:rFonts w:ascii="Arial" w:hAnsi="Arial" w:cs="Arial"/>
        </w:rPr>
        <w:t xml:space="preserve">. The seed of </w:t>
      </w:r>
      <w:proofErr w:type="spellStart"/>
      <w:r w:rsidRPr="00D61F92">
        <w:rPr>
          <w:rFonts w:ascii="Arial" w:hAnsi="Arial" w:cs="Arial"/>
        </w:rPr>
        <w:t>mungbean</w:t>
      </w:r>
      <w:proofErr w:type="spellEnd"/>
      <w:r w:rsidRPr="00D61F92">
        <w:rPr>
          <w:rFonts w:ascii="Arial" w:hAnsi="Arial" w:cs="Arial"/>
        </w:rPr>
        <w:t xml:space="preserve"> contains approximately 26% protein, 62.5% carbohydrates, 1.4% fat, 4.2% fiber, and essential minerals and vitamins </w:t>
      </w:r>
      <w:r>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crops","type":"article-journal","volume":"102"},"uris":["http://www.mendeley.com/documents/?uuid=fa52a77c-8595-4932-b220-10468d8a43f6"]}],"mendeley":{"formattedCitation":"(Ali &amp; Gupta, 2012)","plainTextFormattedCitation":"(Ali &amp; Gupta, 2012)","previouslyFormattedCitation":"(Ali &amp; Gupta, 2012)"},"properties":{"noteIndex":0},"schema":"https://github.com/citation-style-language/schema/raw/master/csl-citation.json"}</w:instrText>
      </w:r>
      <w:r>
        <w:rPr>
          <w:rFonts w:ascii="Arial" w:hAnsi="Arial" w:cs="Arial"/>
        </w:rPr>
        <w:fldChar w:fldCharType="separate"/>
      </w:r>
      <w:r w:rsidRPr="0018373B">
        <w:rPr>
          <w:rFonts w:ascii="Arial" w:hAnsi="Arial" w:cs="Arial"/>
          <w:noProof/>
        </w:rPr>
        <w:t>(Ali &amp; Gupta, 2012)</w:t>
      </w:r>
      <w:r>
        <w:rPr>
          <w:rFonts w:ascii="Arial" w:hAnsi="Arial" w:cs="Arial"/>
        </w:rPr>
        <w:fldChar w:fldCharType="end"/>
      </w:r>
      <w:r w:rsidRPr="00D61F92">
        <w:rPr>
          <w:rFonts w:ascii="Arial" w:hAnsi="Arial" w:cs="Arial"/>
        </w:rPr>
        <w:t>.</w:t>
      </w:r>
    </w:p>
    <w:p w14:paraId="5C80B36A" w14:textId="4787E1A8" w:rsidR="00BE5A61" w:rsidRPr="00D61F92" w:rsidRDefault="00BE5A61" w:rsidP="00BE5A61">
      <w:pPr>
        <w:spacing w:before="120" w:after="120" w:line="360" w:lineRule="auto"/>
        <w:ind w:firstLine="720"/>
        <w:jc w:val="both"/>
        <w:rPr>
          <w:rFonts w:ascii="Arial" w:hAnsi="Arial" w:cs="Arial"/>
        </w:rPr>
      </w:pPr>
      <w:r>
        <w:rPr>
          <w:rFonts w:ascii="Arial" w:hAnsi="Arial" w:cs="Arial"/>
        </w:rPr>
        <w:t>P</w:t>
      </w:r>
      <w:r w:rsidRPr="00D61F92">
        <w:rPr>
          <w:rFonts w:ascii="Arial" w:hAnsi="Arial" w:cs="Arial"/>
        </w:rPr>
        <w:t xml:space="preserve">lant growth regulators (PGRs) are natural or synthetic compounds that influence physiological processes such as germination, growth, flowering, fruiting, and senescence </w:t>
      </w:r>
      <w:r>
        <w:rPr>
          <w:rFonts w:ascii="Arial" w:hAnsi="Arial" w:cs="Arial"/>
        </w:rPr>
        <w:fldChar w:fldCharType="begin" w:fldLock="1"/>
      </w:r>
      <w:r>
        <w:rPr>
          <w:rFonts w:ascii="Arial" w:hAnsi="Arial" w:cs="Arial"/>
        </w:rPr>
        <w:instrText>ADDIN CSL_CITATION {"citationItems":[{"id":"ITEM-1","itemData":{"author":[{"dropping-particle":"","family":"Small","given":"C. C.","non-dropping-particle":"","parse-names":false,"suffix":""},{"dropping-particle":"","family":"Degenhardt","given":"D.","non-dropping-particle":"","parse-names":false,"suffix":""}],"id":"ITEM-1","issue":"43","issued":{"date-parts":[["2018"]]},"page":"118","title":"Plant growth regulators for enhancing revegetation success in reclamation: A review. Ecological engineering","type":"article-journal","volume":"51"},"uris":["http://www.mendeley.com/documents/?uuid=c62dc955-3563-48a0-900c-8cd1243f6833"]}],"mendeley":{"formattedCitation":"(Small &amp; Degenhardt, 2018)","plainTextFormattedCitation":"(Small &amp; Degenhardt, 2018)","previouslyFormattedCitation":"(Small &amp; Degenhardt, 2018)"},"properties":{"noteIndex":0},"schema":"https://github.com/citation-style-language/schema/raw/master/csl-citation.json"}</w:instrText>
      </w:r>
      <w:r>
        <w:rPr>
          <w:rFonts w:ascii="Arial" w:hAnsi="Arial" w:cs="Arial"/>
        </w:rPr>
        <w:fldChar w:fldCharType="separate"/>
      </w:r>
      <w:r w:rsidRPr="00D67120">
        <w:rPr>
          <w:rFonts w:ascii="Arial" w:hAnsi="Arial" w:cs="Arial"/>
          <w:noProof/>
        </w:rPr>
        <w:t>(Small &amp; Degenhardt, 2018)</w:t>
      </w:r>
      <w:r>
        <w:rPr>
          <w:rFonts w:ascii="Arial" w:hAnsi="Arial" w:cs="Arial"/>
        </w:rPr>
        <w:fldChar w:fldCharType="end"/>
      </w:r>
      <w:r w:rsidRPr="00D67120">
        <w:rPr>
          <w:rFonts w:ascii="Arial" w:hAnsi="Arial" w:cs="Arial"/>
        </w:rPr>
        <w:t>.</w:t>
      </w:r>
      <w:r w:rsidRPr="00D61F92">
        <w:rPr>
          <w:rFonts w:ascii="Arial" w:hAnsi="Arial" w:cs="Arial"/>
        </w:rPr>
        <w:t xml:space="preserve"> Foliar application is often preferred when quick nutrient supply is required or when soil conditions hinder nutrient uptake </w:t>
      </w:r>
      <w:r>
        <w:rPr>
          <w:rFonts w:ascii="Arial" w:hAnsi="Arial" w:cs="Arial"/>
        </w:rPr>
        <w:fldChar w:fldCharType="begin" w:fldLock="1"/>
      </w:r>
      <w:r>
        <w:rPr>
          <w:rFonts w:ascii="Arial" w:hAnsi="Arial" w:cs="Arial"/>
        </w:rPr>
        <w:instrText>ADDIN CSL_CITATION {"citationItems":[{"id":"ITEM-1","itemData":{"author":[{"dropping-particle":"","family":"Salisbury","given":"F.B.","non-dropping-particle":"","parse-names":false,"suffix":""},{"dropping-particle":"","family":"Ross.","given":"","non-dropping-particle":"","parse-names":false,"suffix":""}],"id":"ITEM-1","issued":{"date-parts":[["1985"]]},"page":"540","title":"Plant Physiology, 3rd ed. Wadsworth, Belmont","type":"article-journal"},"uris":["http://www.mendeley.com/documents/?uuid=52b36ba8-9000-410a-8899-b9356c836d6e"]}],"mendeley":{"formattedCitation":"(Salisbury &amp; Ross., 1985)","manualFormatting":"(Salisbury &amp; Ross, 1985)","plainTextFormattedCitation":"(Salisbury &amp; Ross., 1985)","previouslyFormattedCitation":"(Salisbury &amp; Ross., 1985)"},"properties":{"noteIndex":0},"schema":"https://github.com/citation-style-language/schema/raw/master/csl-citation.json"}</w:instrText>
      </w:r>
      <w:r>
        <w:rPr>
          <w:rFonts w:ascii="Arial" w:hAnsi="Arial" w:cs="Arial"/>
        </w:rPr>
        <w:fldChar w:fldCharType="separate"/>
      </w:r>
      <w:r w:rsidRPr="008256B9">
        <w:rPr>
          <w:rFonts w:ascii="Arial" w:hAnsi="Arial" w:cs="Arial"/>
          <w:noProof/>
        </w:rPr>
        <w:t>(Salisbury &amp; Ross, 1985)</w:t>
      </w:r>
      <w:r>
        <w:rPr>
          <w:rFonts w:ascii="Arial" w:hAnsi="Arial" w:cs="Arial"/>
        </w:rPr>
        <w:fldChar w:fldCharType="end"/>
      </w:r>
      <w:r w:rsidRPr="00D61F92">
        <w:rPr>
          <w:rFonts w:ascii="Arial" w:hAnsi="Arial" w:cs="Arial"/>
        </w:rPr>
        <w:t>.</w:t>
      </w:r>
      <w:r>
        <w:rPr>
          <w:rFonts w:ascii="Arial" w:hAnsi="Arial" w:cs="Arial"/>
        </w:rPr>
        <w:t xml:space="preserve"> Additionally, </w:t>
      </w:r>
      <w:r w:rsidRPr="00D61F92">
        <w:rPr>
          <w:rFonts w:ascii="Arial" w:hAnsi="Arial" w:cs="Arial"/>
        </w:rPr>
        <w:t>GA</w:t>
      </w:r>
      <w:r w:rsidRPr="00C27B0C">
        <w:rPr>
          <w:rFonts w:ascii="Arial" w:hAnsi="Arial" w:cs="Arial"/>
          <w:vertAlign w:val="subscript"/>
        </w:rPr>
        <w:t>3</w:t>
      </w:r>
      <w:r>
        <w:rPr>
          <w:rFonts w:ascii="Arial" w:hAnsi="Arial" w:cs="Arial"/>
        </w:rPr>
        <w:t xml:space="preserve">, </w:t>
      </w:r>
      <w:r w:rsidRPr="00D61F92">
        <w:rPr>
          <w:rFonts w:ascii="Arial" w:hAnsi="Arial" w:cs="Arial"/>
        </w:rPr>
        <w:t xml:space="preserve">a key plant growth regulator, plays a crucial role in stem elongation, seed germination, breaking dormancy, leaf expansion, flowering, and fruit development </w:t>
      </w:r>
      <w:r>
        <w:rPr>
          <w:rFonts w:ascii="Arial" w:hAnsi="Arial" w:cs="Arial"/>
        </w:rPr>
        <w:fldChar w:fldCharType="begin" w:fldLock="1"/>
      </w:r>
      <w:r>
        <w:rPr>
          <w:rFonts w:ascii="Arial" w:hAnsi="Arial" w:cs="Arial"/>
        </w:rPr>
        <w:instrText>ADDIN CSL_CITATION {"citationItems":[{"id":"ITEM-1","itemData":{"ISSN":"00113891","abstract":"India is the largest producer, consumer, importer and processor of pulses in the world. Ironically, the country's pulse production has been hovering around 14- 15 Mt, coming from a near-stagnated area of 22- 23 M ha, since 1990-91. For meeting the demand of the growing population, the country is importing pulses to the tune of 2.5-3.5 Mt every year. Strong upward trend in the import of pulses is a cause of concern, since an increase in demand from India has shown to have cascading effect on international prices, thus draining the precious foreign exchange. By 2050, the domestic requirements would be 26.50 Mt, necessitating stepping up production by 81.50%, i.e. 11.9 Mt additional produce at 1.86% annual growth rate. This uphill task has to be accomplished under more severe production constraints, especially abiotic stresses, abrupt climatic changes, emergence of new species/strains of insect-pests and diseases, and increasing deficiency of secondary and micronutrients in the soil. This requires a two-pronged proactive strategy, i.e. improving per unit productivity and reducing cost of production. This article describes the present availability of pulses, demand projections in different timeframes, future challenges, and technology drivers for increasing pulse production in the country. A scheme has also been suggested for achieving self-sufficiency in pulses by 2050.","author":[{"dropping-particle":"","family":"Ali","given":"Masood","non-dropping-particle":"","parse-names":false,"suffix":""},{"dropping-particle":"","family":"Gupta","given":"Sanjeev","non-dropping-particle":"","parse-names":false,"suffix":""}],"container-title":"Current Science","id":"ITEM-1","issue":"6","issued":{"date-parts":[["2012"]]},"page":"874-881","title":"Carrying capacity of Indian agriculture: Pulse crops","type":"article-journal","volume":"102"},"uris":["http://www.mendeley.com/documents/?uuid=fa52a77c-8595-4932-b220-10468d8a43f6"]},{"id":"ITEM-2","itemData":{"author":[{"dropping-particle":"","family":"Hedden","given":"P.","non-dropping-particle":"","parse-names":false,"suffix":""},{"dropping-particle":"","family":"Phillips","given":"A. L.","non-dropping-particle":"","parse-names":false,"suffix":""}],"container-title":"Gibberellin metabolism: new insights revealed by the genes. Trends in plant science","id":"ITEM-2","issue":"12","issued":{"date-parts":[["2000"]]},"page":"523-530","title":"No Title","type":"article-journal","volume":"5"},"uris":["http://www.mendeley.com/documents/?uuid=4cf6fc54-1375-4ce0-b440-eaf411614940"]},{"id":"ITEM-3","itemData":{"author":[{"dropping-particle":"","family":"Rezaie","given":"S.","non-dropping-particle":"","parse-names":false,"suffix":""}],"container-title":"Investigation of the effect of different concentrations of Gibberellic acid cropping date on maize in the environmental condition of Semiarid","id":"ITEM-3","issued":{"date-parts":[["2007"]]},"title":"No Title","type":"article-journal"},"uris":["http://www.mendeley.com/documents/?uuid=b24782cf-8360-42bc-8abb-bd519b94b0da"]}],"mendeley":{"formattedCitation":"(Ali &amp; Gupta, 2012; Hedden &amp; Phillips, 2000; Rezaie, 2007)","manualFormatting":"(Hedden &amp; Phillips, 2000; Rezaie, 2007)","plainTextFormattedCitation":"(Ali &amp; Gupta, 2012; Hedden &amp; Phillips, 2000; Rezaie, 2007)","previouslyFormattedCitation":"(Ali &amp; Gupta, 2012; Hedden &amp; Phillips, 2000; Rezaie, 2007)"},"properties":{"noteIndex":0},"schema":"https://github.com/citation-style-language/schema/raw/master/csl-citation.json"}</w:instrText>
      </w:r>
      <w:r>
        <w:rPr>
          <w:rFonts w:ascii="Arial" w:hAnsi="Arial" w:cs="Arial"/>
        </w:rPr>
        <w:fldChar w:fldCharType="separate"/>
      </w:r>
      <w:r w:rsidRPr="0018373B">
        <w:rPr>
          <w:rFonts w:ascii="Arial" w:hAnsi="Arial" w:cs="Arial"/>
          <w:noProof/>
        </w:rPr>
        <w:t>(Hedden &amp; Phillips, 2000; Rezaie, 2007)</w:t>
      </w:r>
      <w:r>
        <w:rPr>
          <w:rFonts w:ascii="Arial" w:hAnsi="Arial" w:cs="Arial"/>
        </w:rPr>
        <w:fldChar w:fldCharType="end"/>
      </w:r>
      <w:r w:rsidRPr="00D61F92">
        <w:rPr>
          <w:rFonts w:ascii="Arial" w:hAnsi="Arial" w:cs="Arial"/>
        </w:rPr>
        <w:t>. Application of an appropriate concentration of GA</w:t>
      </w:r>
      <w:r w:rsidRPr="00177DA8">
        <w:rPr>
          <w:rFonts w:ascii="Arial" w:hAnsi="Arial" w:cs="Arial"/>
          <w:vertAlign w:val="subscript"/>
        </w:rPr>
        <w:t>3</w:t>
      </w:r>
      <w:r w:rsidRPr="00D61F92">
        <w:rPr>
          <w:rFonts w:ascii="Arial" w:hAnsi="Arial" w:cs="Arial"/>
        </w:rPr>
        <w:t xml:space="preserve"> has been shown to significantly affect the growth and yield components of various crops, including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{"citationItems":[{"id":"ITEM-1","itemData":{"author":[{"dropping-particle":"","family":"Naserpur","given":"K.","non-dropping-particle":"","parse-names":false,"suffix":""}],"container-title":"Investigation of the effect of Gibberellic acid and micro nutrient elements on the yield of Soja varieties as the second crop in Khorramabad","id":"ITEM-1","issued":{"date-parts":[["2007"]]},"title":"No Title","type":"article-journal"},"uris":["http://www.mendeley.com/documents/?uuid=b500a6fe-44e8-4d49-9c4d-487d89cd1a9d"]}],"mendeley":{"formattedCitation":"(Naserpur, 2007)","plainTextFormattedCitation":"(Naserpur, 2007)","previouslyFormattedCitation":"(Naserpur, 2007)"},"properties":{"noteIndex":0},"schema":"https://github.com/citation-style-language/schema/raw/master/csl-citation.json"}</w:instrText>
      </w:r>
      <w:r>
        <w:rPr>
          <w:rFonts w:ascii="Arial" w:hAnsi="Arial" w:cs="Arial"/>
        </w:rPr>
        <w:fldChar w:fldCharType="separate"/>
      </w:r>
      <w:r w:rsidRPr="0018373B">
        <w:rPr>
          <w:rFonts w:ascii="Arial" w:hAnsi="Arial" w:cs="Arial"/>
          <w:noProof/>
        </w:rPr>
        <w:t>(Naserpur, 2007)</w:t>
      </w:r>
      <w:r>
        <w:rPr>
          <w:rFonts w:ascii="Arial" w:hAnsi="Arial" w:cs="Arial"/>
        </w:rPr>
        <w:fldChar w:fldCharType="end"/>
      </w:r>
      <w:r w:rsidRPr="00D61F92">
        <w:rPr>
          <w:rFonts w:ascii="Arial" w:hAnsi="Arial" w:cs="Arial"/>
        </w:rPr>
        <w:t xml:space="preserve">. </w:t>
      </w:r>
      <w:r w:rsidR="009B78C4" w:rsidRPr="00156F75">
        <w:rPr>
          <w:rFonts w:ascii="Arial" w:hAnsi="Arial" w:cs="Arial"/>
        </w:rPr>
        <w:t xml:space="preserve">As demand for pulses continues to rise in the world and due to more crop diversification, abrupt weather, limited land availability, resource poor cultivator, </w:t>
      </w:r>
      <w:proofErr w:type="spellStart"/>
      <w:r w:rsidR="009B78C4" w:rsidRPr="00156F75">
        <w:rPr>
          <w:rFonts w:ascii="Arial" w:hAnsi="Arial" w:cs="Arial"/>
        </w:rPr>
        <w:t>etc</w:t>
      </w:r>
      <w:proofErr w:type="spellEnd"/>
      <w:r w:rsidR="009B78C4" w:rsidRPr="00156F75">
        <w:rPr>
          <w:rFonts w:ascii="Arial" w:hAnsi="Arial" w:cs="Arial"/>
        </w:rPr>
        <w:t xml:space="preserve"> might lead to focus on other avenues to increase production and productivity of pulse crop. In this juncture, optimizing the use of plant growth regulators like GA</w:t>
      </w:r>
      <w:r w:rsidR="009B78C4" w:rsidRPr="00156F75">
        <w:rPr>
          <w:rFonts w:ascii="Arial" w:hAnsi="Arial" w:cs="Arial"/>
          <w:vertAlign w:val="subscript"/>
        </w:rPr>
        <w:t>3</w:t>
      </w:r>
      <w:r w:rsidR="009B78C4" w:rsidRPr="00156F75">
        <w:rPr>
          <w:rFonts w:ascii="Arial" w:hAnsi="Arial" w:cs="Arial"/>
        </w:rPr>
        <w:t xml:space="preserve"> offers a valuable pathway toward sustainable legume production. The present study highlights that to achieve maximum seed yield, it is important to apply GA</w:t>
      </w:r>
      <w:r w:rsidR="009B78C4" w:rsidRPr="00156F75">
        <w:rPr>
          <w:rFonts w:ascii="Arial" w:hAnsi="Arial" w:cs="Arial"/>
          <w:vertAlign w:val="subscript"/>
        </w:rPr>
        <w:t>3</w:t>
      </w:r>
      <w:r w:rsidR="009B78C4" w:rsidRPr="00156F75">
        <w:rPr>
          <w:rFonts w:ascii="Arial" w:hAnsi="Arial" w:cs="Arial"/>
        </w:rPr>
        <w:t xml:space="preserve"> at optimum concentration at appropriate growth stages </w:t>
      </w:r>
      <w:proofErr w:type="spellStart"/>
      <w:r w:rsidR="009B78C4" w:rsidRPr="00156F75">
        <w:rPr>
          <w:rFonts w:ascii="Arial" w:hAnsi="Arial" w:cs="Arial"/>
        </w:rPr>
        <w:t>i.e</w:t>
      </w:r>
      <w:proofErr w:type="spellEnd"/>
      <w:r w:rsidR="009B78C4" w:rsidRPr="00156F75">
        <w:rPr>
          <w:rFonts w:ascii="Arial" w:hAnsi="Arial" w:cs="Arial"/>
        </w:rPr>
        <w:t xml:space="preserve"> 20 and 40 DAS can significantly enhance the productivity of the </w:t>
      </w:r>
      <w:proofErr w:type="spellStart"/>
      <w:r w:rsidR="009B78C4" w:rsidRPr="00156F75">
        <w:rPr>
          <w:rFonts w:ascii="Arial" w:hAnsi="Arial" w:cs="Arial"/>
        </w:rPr>
        <w:t>mungbean</w:t>
      </w:r>
      <w:proofErr w:type="spellEnd"/>
      <w:r w:rsidR="009B78C4" w:rsidRPr="00156F75">
        <w:rPr>
          <w:rFonts w:ascii="Arial" w:hAnsi="Arial" w:cs="Arial"/>
        </w:rPr>
        <w:t xml:space="preserve"> cultivar. </w:t>
      </w:r>
      <w:r w:rsidR="009B78C4" w:rsidRPr="00156F75">
        <w:rPr>
          <w:rFonts w:ascii="Arial" w:hAnsi="Arial" w:cs="Arial"/>
          <w:lang w:val="en-GB"/>
        </w:rPr>
        <w:t xml:space="preserve">A favourable condition for crop growth and development may be induced by applying a growth regulator exogenously in a proper concentration at a proper time in the </w:t>
      </w:r>
      <w:proofErr w:type="spellStart"/>
      <w:r w:rsidR="009B78C4" w:rsidRPr="00156F75">
        <w:rPr>
          <w:rFonts w:ascii="Arial" w:hAnsi="Arial" w:cs="Arial"/>
          <w:lang w:val="en-GB"/>
        </w:rPr>
        <w:t>mungbean</w:t>
      </w:r>
      <w:proofErr w:type="spellEnd"/>
      <w:r w:rsidR="009B78C4" w:rsidRPr="00156F75">
        <w:rPr>
          <w:rFonts w:ascii="Arial" w:hAnsi="Arial" w:cs="Arial"/>
          <w:lang w:val="en-GB"/>
        </w:rPr>
        <w:t xml:space="preserve"> crop by </w:t>
      </w:r>
      <w:r w:rsidR="009B78C4" w:rsidRPr="00156F75">
        <w:rPr>
          <w:rFonts w:ascii="Arial" w:hAnsi="Arial" w:cs="Arial"/>
        </w:rPr>
        <w:t>GA</w:t>
      </w:r>
      <w:r w:rsidR="009B78C4" w:rsidRPr="00156F75">
        <w:rPr>
          <w:rFonts w:ascii="Arial" w:hAnsi="Arial" w:cs="Arial"/>
          <w:vertAlign w:val="subscript"/>
        </w:rPr>
        <w:t>3</w:t>
      </w:r>
      <w:r w:rsidR="009B78C4" w:rsidRPr="00156F75">
        <w:rPr>
          <w:b/>
          <w:bCs/>
          <w:lang w:val="en-GB"/>
        </w:rPr>
        <w:t>.</w:t>
      </w:r>
      <w:r w:rsidR="009B78C4">
        <w:rPr>
          <w:b/>
          <w:bCs/>
          <w:lang w:val="en-GB"/>
        </w:rPr>
        <w:t xml:space="preserve"> </w:t>
      </w:r>
      <w:r w:rsidRPr="00D61F92">
        <w:rPr>
          <w:rFonts w:ascii="Arial" w:hAnsi="Arial" w:cs="Arial"/>
        </w:rPr>
        <w:t>However, despite its potential benefits, research on the effects of different GA</w:t>
      </w:r>
      <w:r w:rsidRPr="00177DA8">
        <w:rPr>
          <w:rFonts w:ascii="Arial" w:hAnsi="Arial" w:cs="Arial"/>
          <w:vertAlign w:val="subscript"/>
        </w:rPr>
        <w:t>3</w:t>
      </w:r>
      <w:r w:rsidRPr="00D61F92">
        <w:rPr>
          <w:rFonts w:ascii="Arial" w:hAnsi="Arial" w:cs="Arial"/>
        </w:rPr>
        <w:t xml:space="preserve"> application rates and tim</w:t>
      </w:r>
      <w:r>
        <w:rPr>
          <w:rFonts w:ascii="Arial" w:hAnsi="Arial" w:cs="Arial"/>
        </w:rPr>
        <w:t>e</w:t>
      </w:r>
      <w:r w:rsidRPr="00D61F92">
        <w:rPr>
          <w:rFonts w:ascii="Arial" w:hAnsi="Arial" w:cs="Arial"/>
        </w:rPr>
        <w:t xml:space="preserve">s on </w:t>
      </w:r>
      <w:proofErr w:type="spellStart"/>
      <w:r w:rsidRPr="00D61F92">
        <w:rPr>
          <w:rFonts w:ascii="Arial" w:hAnsi="Arial" w:cs="Arial"/>
        </w:rPr>
        <w:t>mungbean</w:t>
      </w:r>
      <w:proofErr w:type="spellEnd"/>
      <w:r w:rsidRPr="00D61F92">
        <w:rPr>
          <w:rFonts w:ascii="Arial" w:hAnsi="Arial" w:cs="Arial"/>
        </w:rPr>
        <w:t xml:space="preserve"> growth and yield in Myanmar remains limited.</w:t>
      </w:r>
    </w:p>
    <w:p w14:paraId="506FD840" w14:textId="5C930E35"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This study was conducted to address this knowledge gap by investigating the effects of foliar GA</w:t>
      </w:r>
      <w:r w:rsidRPr="00D61F92">
        <w:rPr>
          <w:rFonts w:ascii="Cambria Math" w:hAnsi="Cambria Math" w:cs="Cambria Math"/>
        </w:rPr>
        <w:t>₃</w:t>
      </w:r>
      <w:r w:rsidRPr="00D61F92">
        <w:rPr>
          <w:rFonts w:ascii="Arial" w:hAnsi="Arial" w:cs="Arial"/>
        </w:rPr>
        <w:t xml:space="preserve"> application on the growth and yield of </w:t>
      </w:r>
      <w:proofErr w:type="spellStart"/>
      <w:r w:rsidRPr="00D61F92">
        <w:rPr>
          <w:rFonts w:ascii="Arial" w:hAnsi="Arial" w:cs="Arial"/>
        </w:rPr>
        <w:t>mungbean</w:t>
      </w:r>
      <w:proofErr w:type="spellEnd"/>
      <w:r w:rsidR="002C3F1C">
        <w:rPr>
          <w:rFonts w:ascii="Arial" w:hAnsi="Arial" w:cs="Arial"/>
        </w:rPr>
        <w:t xml:space="preserve"> (</w:t>
      </w:r>
      <w:proofErr w:type="spellStart"/>
      <w:r w:rsidR="002C3F1C" w:rsidRPr="00D61F92">
        <w:rPr>
          <w:rFonts w:ascii="Arial" w:hAnsi="Arial" w:cs="Arial"/>
        </w:rPr>
        <w:t>Yezin</w:t>
      </w:r>
      <w:proofErr w:type="spellEnd"/>
      <w:r w:rsidR="002C3F1C" w:rsidRPr="00D61F92">
        <w:rPr>
          <w:rFonts w:ascii="Arial" w:hAnsi="Arial" w:cs="Arial"/>
        </w:rPr>
        <w:t xml:space="preserve"> 14</w:t>
      </w:r>
      <w:r w:rsidR="002C3F1C">
        <w:rPr>
          <w:rFonts w:ascii="Arial" w:hAnsi="Arial" w:cs="Arial"/>
        </w:rPr>
        <w:t xml:space="preserve">) </w:t>
      </w:r>
      <w:r w:rsidRPr="00D61F92">
        <w:rPr>
          <w:rFonts w:ascii="Arial" w:hAnsi="Arial" w:cs="Arial"/>
        </w:rPr>
        <w:t>variety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Specifically, the objectives </w:t>
      </w:r>
      <w:r w:rsidRPr="00156F75">
        <w:rPr>
          <w:rFonts w:ascii="Arial" w:hAnsi="Arial" w:cs="Arial"/>
        </w:rPr>
        <w:t>were</w:t>
      </w:r>
      <w:r w:rsidR="002475A7" w:rsidRPr="00156F75">
        <w:rPr>
          <w:rFonts w:ascii="Arial" w:hAnsi="Arial" w:cs="Arial"/>
        </w:rPr>
        <w:t xml:space="preserve"> as follows:</w:t>
      </w:r>
    </w:p>
    <w:p w14:paraId="6DC7FAEB" w14:textId="2BCE3ABE" w:rsidR="00BE5A61" w:rsidRPr="00D61F92" w:rsidRDefault="00BE5A61" w:rsidP="00BE5A61">
      <w:pPr>
        <w:pStyle w:val="ListParagraph"/>
        <w:numPr>
          <w:ilvl w:val="0"/>
          <w:numId w:val="31"/>
        </w:numPr>
        <w:autoSpaceDE w:val="0"/>
        <w:autoSpaceDN w:val="0"/>
        <w:adjustRightInd w:val="0"/>
        <w:spacing w:before="120" w:after="120" w:line="360" w:lineRule="auto"/>
        <w:jc w:val="both"/>
        <w:rPr>
          <w:rFonts w:ascii="Arial" w:hAnsi="Arial" w:cs="Arial"/>
          <w:color w:val="000000"/>
          <w:sz w:val="20"/>
          <w:szCs w:val="20"/>
        </w:rPr>
      </w:pPr>
      <w:r w:rsidRPr="00D61F92">
        <w:rPr>
          <w:rFonts w:ascii="Arial" w:hAnsi="Arial" w:cs="Arial"/>
          <w:color w:val="000000"/>
          <w:sz w:val="20"/>
          <w:szCs w:val="20"/>
        </w:rPr>
        <w:t xml:space="preserve">To </w:t>
      </w:r>
      <w:r w:rsidR="002C3F1C">
        <w:rPr>
          <w:rFonts w:ascii="Arial" w:hAnsi="Arial" w:cs="Arial"/>
          <w:color w:val="000000"/>
          <w:sz w:val="20"/>
          <w:szCs w:val="20"/>
        </w:rPr>
        <w:t>investigate</w:t>
      </w:r>
      <w:r w:rsidRPr="00D61F92">
        <w:rPr>
          <w:rFonts w:ascii="Arial" w:hAnsi="Arial" w:cs="Arial"/>
          <w:color w:val="000000"/>
          <w:sz w:val="20"/>
          <w:szCs w:val="20"/>
        </w:rPr>
        <w:t xml:space="preserve"> the effect of </w:t>
      </w:r>
      <w:r>
        <w:rPr>
          <w:rFonts w:ascii="Arial" w:hAnsi="Arial" w:cs="Arial"/>
          <w:color w:val="000000"/>
          <w:sz w:val="20"/>
          <w:szCs w:val="20"/>
        </w:rPr>
        <w:t>GA</w:t>
      </w:r>
      <w:r w:rsidRPr="003E550B">
        <w:rPr>
          <w:rFonts w:ascii="Arial" w:hAnsi="Arial" w:cs="Arial"/>
          <w:color w:val="000000"/>
          <w:sz w:val="20"/>
          <w:szCs w:val="20"/>
          <w:vertAlign w:val="subscript"/>
        </w:rPr>
        <w:t>3</w:t>
      </w:r>
      <w:r w:rsidRPr="00D61F92">
        <w:rPr>
          <w:rFonts w:ascii="Arial" w:hAnsi="Arial" w:cs="Arial"/>
          <w:color w:val="000000"/>
          <w:sz w:val="20"/>
          <w:szCs w:val="20"/>
        </w:rPr>
        <w:t xml:space="preserve"> on growth and yield of </w:t>
      </w:r>
      <w:proofErr w:type="spellStart"/>
      <w:r w:rsidRPr="00D61F92">
        <w:rPr>
          <w:rFonts w:ascii="Arial" w:hAnsi="Arial" w:cs="Arial"/>
          <w:sz w:val="20"/>
          <w:szCs w:val="20"/>
        </w:rPr>
        <w:t>mungbean</w:t>
      </w:r>
      <w:proofErr w:type="spellEnd"/>
      <w:r w:rsidRPr="00D61F92">
        <w:rPr>
          <w:rFonts w:ascii="Arial" w:hAnsi="Arial" w:cs="Arial"/>
          <w:sz w:val="20"/>
          <w:szCs w:val="20"/>
        </w:rPr>
        <w:t>, and</w:t>
      </w:r>
    </w:p>
    <w:p w14:paraId="2BF20A40" w14:textId="77777777" w:rsidR="00BE5A61" w:rsidRPr="00E64332" w:rsidRDefault="00BE5A61" w:rsidP="00BE5A61">
      <w:pPr>
        <w:pStyle w:val="ListParagraph"/>
        <w:numPr>
          <w:ilvl w:val="0"/>
          <w:numId w:val="31"/>
        </w:numPr>
        <w:shd w:val="clear" w:color="auto" w:fill="FFFFFF"/>
        <w:autoSpaceDE w:val="0"/>
        <w:autoSpaceDN w:val="0"/>
        <w:adjustRightInd w:val="0"/>
        <w:spacing w:before="120" w:after="120" w:line="360" w:lineRule="auto"/>
        <w:jc w:val="both"/>
        <w:rPr>
          <w:rFonts w:ascii="Arial" w:eastAsia="Times New Roman" w:hAnsi="Arial" w:cs="Arial"/>
          <w:b/>
          <w:bCs/>
          <w:sz w:val="20"/>
          <w:szCs w:val="20"/>
        </w:rPr>
      </w:pPr>
      <w:r w:rsidRPr="00E64332">
        <w:rPr>
          <w:rFonts w:ascii="Arial" w:hAnsi="Arial" w:cs="Arial"/>
          <w:color w:val="000000"/>
          <w:sz w:val="20"/>
          <w:szCs w:val="20"/>
        </w:rPr>
        <w:t>To determine the appropriate rate and time of GA</w:t>
      </w:r>
      <w:r w:rsidRPr="00E64332">
        <w:rPr>
          <w:rFonts w:ascii="Arial" w:hAnsi="Arial" w:cs="Arial"/>
          <w:color w:val="000000"/>
          <w:sz w:val="20"/>
          <w:szCs w:val="20"/>
          <w:vertAlign w:val="subscript"/>
        </w:rPr>
        <w:t>3</w:t>
      </w:r>
      <w:r w:rsidRPr="00E64332">
        <w:rPr>
          <w:rFonts w:ascii="Arial" w:hAnsi="Arial" w:cs="Arial"/>
          <w:color w:val="000000"/>
          <w:sz w:val="20"/>
          <w:szCs w:val="20"/>
        </w:rPr>
        <w:t xml:space="preserve"> for </w:t>
      </w:r>
      <w:proofErr w:type="spellStart"/>
      <w:r w:rsidRPr="00E64332">
        <w:rPr>
          <w:rFonts w:ascii="Arial" w:hAnsi="Arial" w:cs="Arial"/>
          <w:sz w:val="20"/>
          <w:szCs w:val="20"/>
        </w:rPr>
        <w:t>mungbean</w:t>
      </w:r>
      <w:proofErr w:type="spellEnd"/>
      <w:r w:rsidRPr="00E64332">
        <w:rPr>
          <w:rFonts w:ascii="Arial" w:hAnsi="Arial" w:cs="Arial"/>
          <w:sz w:val="20"/>
          <w:szCs w:val="20"/>
        </w:rPr>
        <w:t xml:space="preserve"> production</w:t>
      </w:r>
      <w:r w:rsidRPr="00E64332">
        <w:rPr>
          <w:rFonts w:ascii="Arial" w:hAnsi="Arial" w:cs="Arial"/>
          <w:color w:val="000000"/>
          <w:sz w:val="20"/>
          <w:szCs w:val="20"/>
        </w:rPr>
        <w:t xml:space="preserve"> </w:t>
      </w:r>
    </w:p>
    <w:p w14:paraId="7F7FFCE8" w14:textId="77777777" w:rsidR="00BE5A61" w:rsidRPr="00E64332" w:rsidRDefault="00BE5A61" w:rsidP="00BE5A61">
      <w:pPr>
        <w:pStyle w:val="ListParagraph"/>
        <w:shd w:val="clear" w:color="auto" w:fill="FFFFFF"/>
        <w:autoSpaceDE w:val="0"/>
        <w:autoSpaceDN w:val="0"/>
        <w:adjustRightInd w:val="0"/>
        <w:spacing w:before="120" w:after="120" w:line="360" w:lineRule="auto"/>
        <w:jc w:val="both"/>
        <w:rPr>
          <w:rFonts w:ascii="Arial" w:eastAsia="Times New Roman" w:hAnsi="Arial" w:cs="Arial"/>
          <w:b/>
          <w:bCs/>
          <w:sz w:val="20"/>
          <w:szCs w:val="20"/>
        </w:rPr>
      </w:pPr>
    </w:p>
    <w:p w14:paraId="2D93E636" w14:textId="57DBB7E5" w:rsidR="00BE5A61" w:rsidRPr="005628E0" w:rsidRDefault="00BE5A61" w:rsidP="00BE5A61">
      <w:pPr>
        <w:pStyle w:val="ListParagraph"/>
        <w:shd w:val="clear" w:color="auto" w:fill="FFFFFF"/>
        <w:autoSpaceDE w:val="0"/>
        <w:autoSpaceDN w:val="0"/>
        <w:adjustRightInd w:val="0"/>
        <w:spacing w:before="120" w:after="120" w:line="360" w:lineRule="auto"/>
        <w:ind w:hanging="720"/>
        <w:jc w:val="both"/>
        <w:rPr>
          <w:rFonts w:ascii="Arial" w:eastAsia="Times New Roman" w:hAnsi="Arial" w:cs="Arial"/>
          <w:b/>
          <w:bCs/>
          <w:sz w:val="22"/>
          <w:szCs w:val="22"/>
        </w:rPr>
      </w:pPr>
      <w:r w:rsidRPr="005628E0">
        <w:rPr>
          <w:rFonts w:ascii="Arial" w:eastAsia="Times New Roman" w:hAnsi="Arial" w:cs="Arial"/>
          <w:b/>
          <w:bCs/>
          <w:sz w:val="22"/>
          <w:szCs w:val="22"/>
        </w:rPr>
        <w:t>2. Material and Methods</w:t>
      </w:r>
    </w:p>
    <w:p w14:paraId="1DF36A67"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2.1 Experimental Site</w:t>
      </w:r>
    </w:p>
    <w:p w14:paraId="1E45C185" w14:textId="4485FD7B" w:rsidR="00BE5A61" w:rsidRPr="00A12931" w:rsidRDefault="00BE5A61" w:rsidP="00A12931">
      <w:pPr>
        <w:spacing w:before="120" w:after="120" w:line="360" w:lineRule="auto"/>
        <w:ind w:firstLine="720"/>
        <w:jc w:val="both"/>
        <w:rPr>
          <w:rFonts w:ascii="Arial" w:hAnsi="Arial" w:cs="Arial"/>
          <w:sz w:val="30"/>
          <w:szCs w:val="30"/>
          <w:shd w:val="clear" w:color="auto" w:fill="FFFFFF"/>
        </w:rPr>
      </w:pPr>
      <w:r w:rsidRPr="00D61F92">
        <w:rPr>
          <w:rFonts w:ascii="Arial" w:hAnsi="Arial" w:cs="Arial"/>
        </w:rPr>
        <w:t>The field experiment was conducted during the post-monsoon seasons of 2023</w:t>
      </w:r>
      <w:r>
        <w:rPr>
          <w:rFonts w:ascii="Arial" w:hAnsi="Arial" w:cs="Arial"/>
        </w:rPr>
        <w:t>-</w:t>
      </w:r>
      <w:r w:rsidRPr="00D61F92">
        <w:rPr>
          <w:rFonts w:ascii="Arial" w:hAnsi="Arial" w:cs="Arial"/>
        </w:rPr>
        <w:t>24 and 2024</w:t>
      </w:r>
      <w:r>
        <w:rPr>
          <w:rFonts w:ascii="Arial" w:hAnsi="Arial" w:cs="Arial"/>
        </w:rPr>
        <w:t>-</w:t>
      </w:r>
      <w:r w:rsidRPr="00D61F92">
        <w:rPr>
          <w:rFonts w:ascii="Arial" w:hAnsi="Arial" w:cs="Arial"/>
        </w:rPr>
        <w:t xml:space="preserve">25 at the Agronomy </w:t>
      </w:r>
      <w:r>
        <w:rPr>
          <w:rFonts w:ascii="Arial" w:hAnsi="Arial" w:cs="Arial"/>
        </w:rPr>
        <w:t>farm</w:t>
      </w:r>
      <w:r w:rsidRPr="00D61F92">
        <w:rPr>
          <w:rFonts w:ascii="Arial" w:hAnsi="Arial" w:cs="Arial"/>
        </w:rPr>
        <w:t xml:space="preserve">, </w:t>
      </w:r>
      <w:proofErr w:type="spellStart"/>
      <w:r w:rsidRPr="00D61F92">
        <w:rPr>
          <w:rFonts w:ascii="Arial" w:hAnsi="Arial" w:cs="Arial"/>
        </w:rPr>
        <w:t>Yezin</w:t>
      </w:r>
      <w:proofErr w:type="spellEnd"/>
      <w:r w:rsidRPr="00D61F92">
        <w:rPr>
          <w:rFonts w:ascii="Arial" w:hAnsi="Arial" w:cs="Arial"/>
        </w:rPr>
        <w:t xml:space="preserve"> Agricultural University, Myanmar (latitude 19.72°N, </w:t>
      </w:r>
      <w:r w:rsidRPr="00D61F92">
        <w:rPr>
          <w:rFonts w:ascii="Arial" w:hAnsi="Arial" w:cs="Arial"/>
        </w:rPr>
        <w:lastRenderedPageBreak/>
        <w:t>longitude 96.13°</w:t>
      </w:r>
      <w:r w:rsidRPr="00156F75">
        <w:rPr>
          <w:rFonts w:ascii="Arial" w:hAnsi="Arial" w:cs="Arial"/>
        </w:rPr>
        <w:t>E</w:t>
      </w:r>
      <w:r w:rsidR="002475A7" w:rsidRPr="00156F75">
        <w:rPr>
          <w:rFonts w:ascii="Arial" w:hAnsi="Arial" w:cs="Arial"/>
        </w:rPr>
        <w:t xml:space="preserve"> and 129 meters above sea level</w:t>
      </w:r>
      <w:r w:rsidRPr="00156F75">
        <w:rPr>
          <w:rFonts w:ascii="Arial" w:hAnsi="Arial" w:cs="Arial"/>
        </w:rPr>
        <w:t>). The</w:t>
      </w:r>
      <w:r w:rsidRPr="00D61F92">
        <w:rPr>
          <w:rFonts w:ascii="Arial" w:hAnsi="Arial" w:cs="Arial"/>
        </w:rPr>
        <w:t xml:space="preserve"> soil type of the experimental area was sandy loam</w:t>
      </w:r>
      <w:r>
        <w:rPr>
          <w:rFonts w:ascii="Arial" w:hAnsi="Arial" w:cs="Arial"/>
        </w:rPr>
        <w:t xml:space="preserve">. </w:t>
      </w:r>
      <w:r w:rsidRPr="00D61F92">
        <w:rPr>
          <w:rFonts w:ascii="Arial" w:hAnsi="Arial" w:cs="Arial"/>
        </w:rPr>
        <w:t xml:space="preserve">The total experimental area was </w:t>
      </w:r>
      <w:r>
        <w:rPr>
          <w:rFonts w:ascii="Arial" w:hAnsi="Arial" w:cs="Arial"/>
        </w:rPr>
        <w:t>(</w:t>
      </w:r>
      <w:r w:rsidRPr="00D61F92">
        <w:rPr>
          <w:rFonts w:ascii="Arial" w:hAnsi="Arial" w:cs="Arial"/>
        </w:rPr>
        <w:t>661.5</w:t>
      </w:r>
      <w:r>
        <w:rPr>
          <w:rFonts w:ascii="Arial" w:hAnsi="Arial" w:cs="Arial"/>
        </w:rPr>
        <w:t xml:space="preserve">) </w:t>
      </w:r>
      <w:r w:rsidRPr="00D61F92">
        <w:rPr>
          <w:rFonts w:ascii="Arial" w:hAnsi="Arial" w:cs="Arial"/>
        </w:rPr>
        <w:t>m</w:t>
      </w:r>
      <w:r w:rsidRPr="00CC7B27">
        <w:rPr>
          <w:rFonts w:ascii="Arial" w:hAnsi="Arial" w:cs="Arial"/>
          <w:vertAlign w:val="superscript"/>
        </w:rPr>
        <w:t>2</w:t>
      </w:r>
      <w:r w:rsidRPr="00D61F92">
        <w:rPr>
          <w:rFonts w:ascii="Arial" w:hAnsi="Arial" w:cs="Arial"/>
        </w:rPr>
        <w:t>, with each plot measuring 5 m × 2 m</w:t>
      </w:r>
      <w:r>
        <w:rPr>
          <w:rFonts w:ascii="Arial" w:hAnsi="Arial" w:cs="Arial"/>
        </w:rPr>
        <w:t xml:space="preserve"> with 1m distance between plots. </w:t>
      </w:r>
      <w:r>
        <w:rPr>
          <w:rFonts w:ascii="Arial" w:hAnsi="Arial" w:cs="Arial"/>
          <w:sz w:val="30"/>
          <w:szCs w:val="30"/>
          <w:shd w:val="clear" w:color="auto" w:fill="FFFFFF"/>
        </w:rPr>
        <w:t xml:space="preserve"> </w:t>
      </w:r>
      <w:r>
        <w:rPr>
          <w:rFonts w:ascii="Arial" w:hAnsi="Arial" w:cs="Arial"/>
        </w:rPr>
        <w:t xml:space="preserve"> </w:t>
      </w:r>
    </w:p>
    <w:p w14:paraId="751DC575"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2.2 Experimental Design and Treatments</w:t>
      </w:r>
    </w:p>
    <w:p w14:paraId="122D17E9" w14:textId="27A679B4" w:rsidR="00BE5A61" w:rsidRPr="00D61F92" w:rsidRDefault="00BE5A61" w:rsidP="00BE5A61">
      <w:pPr>
        <w:spacing w:before="120" w:after="120" w:line="360" w:lineRule="auto"/>
        <w:ind w:firstLine="720"/>
        <w:jc w:val="both"/>
        <w:rPr>
          <w:rFonts w:ascii="Arial" w:hAnsi="Arial" w:cs="Arial"/>
        </w:rPr>
      </w:pPr>
      <w:r w:rsidRPr="00D61F92">
        <w:rPr>
          <w:rFonts w:ascii="Arial" w:hAnsi="Arial" w:cs="Arial"/>
        </w:rPr>
        <w:t xml:space="preserve">The study </w:t>
      </w:r>
      <w:r>
        <w:rPr>
          <w:rFonts w:ascii="Arial" w:hAnsi="Arial" w:cs="Arial"/>
        </w:rPr>
        <w:t xml:space="preserve">was </w:t>
      </w:r>
      <w:r w:rsidRPr="00D61F92">
        <w:rPr>
          <w:rFonts w:ascii="Arial" w:hAnsi="Arial" w:cs="Arial"/>
        </w:rPr>
        <w:t>employed a Randomized Complete Block Design (RCBD) with three replications. Ten foliar application treatments of gibberellic acid (GA</w:t>
      </w:r>
      <w:r w:rsidRPr="00010272">
        <w:rPr>
          <w:rFonts w:ascii="Arial" w:hAnsi="Arial" w:cs="Arial"/>
          <w:vertAlign w:val="subscript"/>
        </w:rPr>
        <w:t>3</w:t>
      </w:r>
      <w:r w:rsidRPr="00D61F92">
        <w:rPr>
          <w:rFonts w:ascii="Arial" w:hAnsi="Arial" w:cs="Arial"/>
        </w:rPr>
        <w:t>) were</w:t>
      </w:r>
      <w:r w:rsidR="00742E86">
        <w:rPr>
          <w:rFonts w:ascii="Arial" w:hAnsi="Arial" w:cs="Arial"/>
        </w:rPr>
        <w:t xml:space="preserve"> </w:t>
      </w:r>
      <w:r w:rsidR="00742E86" w:rsidRPr="0072152B">
        <w:rPr>
          <w:rFonts w:ascii="Arial" w:hAnsi="Arial" w:cs="Arial"/>
        </w:rPr>
        <w:t>as follows</w:t>
      </w:r>
      <w:r w:rsidRPr="0072152B">
        <w:rPr>
          <w:rFonts w:ascii="Arial" w:hAnsi="Arial" w:cs="Arial"/>
        </w:rPr>
        <w:t>:</w:t>
      </w:r>
    </w:p>
    <w:p w14:paraId="66FB099A"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1</w:t>
      </w:r>
      <w:r w:rsidRPr="00D61F92">
        <w:rPr>
          <w:rFonts w:ascii="Arial" w:hAnsi="Arial" w:cs="Arial"/>
        </w:rPr>
        <w:t xml:space="preserve"> :</w:t>
      </w:r>
      <w:proofErr w:type="gramEnd"/>
      <w:r w:rsidRPr="00D61F92">
        <w:rPr>
          <w:rFonts w:ascii="Arial" w:hAnsi="Arial" w:cs="Arial"/>
        </w:rPr>
        <w:t xml:space="preserve"> Control (no GA</w:t>
      </w:r>
      <w:r w:rsidRPr="00B8122D">
        <w:rPr>
          <w:rFonts w:ascii="Arial" w:hAnsi="Arial" w:cs="Arial"/>
          <w:vertAlign w:val="subscript"/>
        </w:rPr>
        <w:t>3</w:t>
      </w:r>
      <w:r>
        <w:rPr>
          <w:rFonts w:ascii="Cambria Math" w:hAnsi="Cambria Math" w:cs="Cambria Math"/>
        </w:rPr>
        <w:t xml:space="preserve"> </w:t>
      </w:r>
      <w:r w:rsidRPr="00AB5E7C">
        <w:rPr>
          <w:rFonts w:ascii="Arial" w:hAnsi="Arial" w:cs="Arial"/>
        </w:rPr>
        <w:t>with water</w:t>
      </w:r>
      <w:r>
        <w:rPr>
          <w:rFonts w:ascii="Arial" w:hAnsi="Arial" w:cs="Arial"/>
        </w:rPr>
        <w:t xml:space="preserve"> spray</w:t>
      </w:r>
      <w:r w:rsidRPr="00D61F92">
        <w:rPr>
          <w:rFonts w:ascii="Arial" w:hAnsi="Arial" w:cs="Arial"/>
        </w:rPr>
        <w:t>)</w:t>
      </w:r>
    </w:p>
    <w:p w14:paraId="47AC4F7B"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2</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20 DAS</w:t>
      </w:r>
    </w:p>
    <w:p w14:paraId="3872092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3</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sidRPr="00D61F92">
        <w:rPr>
          <w:rFonts w:ascii="Arial" w:hAnsi="Arial" w:cs="Arial"/>
        </w:rPr>
        <w:t xml:space="preserve"> applied at 20 DAS</w:t>
      </w:r>
    </w:p>
    <w:p w14:paraId="09D63DD1"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4</w:t>
      </w:r>
      <w:r w:rsidRPr="00D61F92">
        <w:rPr>
          <w:rFonts w:ascii="Arial" w:hAnsi="Arial" w:cs="Arial"/>
        </w:rPr>
        <w:t xml:space="preserve"> :</w:t>
      </w:r>
      <w:proofErr w:type="gramEnd"/>
      <w:r w:rsidRPr="00D61F92">
        <w:rPr>
          <w:rFonts w:ascii="Arial" w:hAnsi="Arial" w:cs="Arial"/>
        </w:rPr>
        <w:t xml:space="preserve"> 150 ppm GA</w:t>
      </w:r>
      <w:r w:rsidRPr="00B8122D">
        <w:rPr>
          <w:rFonts w:ascii="Arial" w:hAnsi="Arial" w:cs="Arial"/>
          <w:vertAlign w:val="subscript"/>
        </w:rPr>
        <w:t>3</w:t>
      </w:r>
      <w:r w:rsidRPr="00D61F92">
        <w:rPr>
          <w:rFonts w:ascii="Arial" w:hAnsi="Arial" w:cs="Arial"/>
        </w:rPr>
        <w:t xml:space="preserve"> applied at 20 DAS</w:t>
      </w:r>
    </w:p>
    <w:p w14:paraId="7B0E3F2F"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5</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40 DAS</w:t>
      </w:r>
    </w:p>
    <w:p w14:paraId="6C9ADA1E"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6</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Pr>
          <w:rFonts w:ascii="Arial" w:hAnsi="Arial" w:cs="Arial"/>
          <w:vertAlign w:val="subscript"/>
        </w:rPr>
        <w:t xml:space="preserve"> </w:t>
      </w:r>
      <w:r w:rsidRPr="00D61F92">
        <w:rPr>
          <w:rFonts w:ascii="Arial" w:hAnsi="Arial" w:cs="Arial"/>
        </w:rPr>
        <w:t>applied at 40 DAS</w:t>
      </w:r>
    </w:p>
    <w:p w14:paraId="0BAEAE68"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7</w:t>
      </w:r>
      <w:r w:rsidRPr="00D61F92">
        <w:rPr>
          <w:rFonts w:ascii="Arial" w:hAnsi="Arial" w:cs="Arial"/>
        </w:rPr>
        <w:t xml:space="preserve"> :</w:t>
      </w:r>
      <w:proofErr w:type="gramEnd"/>
      <w:r>
        <w:rPr>
          <w:rFonts w:ascii="Arial" w:hAnsi="Arial" w:cs="Arial"/>
        </w:rPr>
        <w:t xml:space="preserve"> </w:t>
      </w:r>
      <w:r w:rsidRPr="00D61F92">
        <w:rPr>
          <w:rFonts w:ascii="Arial" w:hAnsi="Arial" w:cs="Arial"/>
        </w:rPr>
        <w:t>150 ppm GA</w:t>
      </w:r>
      <w:r w:rsidRPr="00B8122D">
        <w:rPr>
          <w:rFonts w:ascii="Arial" w:hAnsi="Arial" w:cs="Arial"/>
          <w:vertAlign w:val="subscript"/>
        </w:rPr>
        <w:t>3</w:t>
      </w:r>
      <w:r w:rsidRPr="00D61F92">
        <w:rPr>
          <w:rFonts w:ascii="Arial" w:hAnsi="Arial" w:cs="Arial"/>
        </w:rPr>
        <w:t xml:space="preserve"> applied at 40 DAS</w:t>
      </w:r>
    </w:p>
    <w:p w14:paraId="476588D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8</w:t>
      </w:r>
      <w:r w:rsidRPr="00D61F92">
        <w:rPr>
          <w:rFonts w:ascii="Arial" w:hAnsi="Arial" w:cs="Arial"/>
        </w:rPr>
        <w:t xml:space="preserve"> :</w:t>
      </w:r>
      <w:proofErr w:type="gramEnd"/>
      <w:r w:rsidRPr="00D61F92">
        <w:rPr>
          <w:rFonts w:ascii="Arial" w:hAnsi="Arial" w:cs="Arial"/>
        </w:rPr>
        <w:t xml:space="preserve"> </w:t>
      </w:r>
      <w:r>
        <w:rPr>
          <w:rFonts w:ascii="Arial" w:hAnsi="Arial" w:cs="Arial"/>
        </w:rPr>
        <w:t xml:space="preserve">  </w:t>
      </w:r>
      <w:r w:rsidRPr="00D61F92">
        <w:rPr>
          <w:rFonts w:ascii="Arial" w:hAnsi="Arial" w:cs="Arial"/>
        </w:rPr>
        <w:t>50 ppm GA</w:t>
      </w:r>
      <w:r w:rsidRPr="00B8122D">
        <w:rPr>
          <w:rFonts w:ascii="Arial" w:hAnsi="Arial" w:cs="Arial"/>
          <w:vertAlign w:val="subscript"/>
        </w:rPr>
        <w:t>3</w:t>
      </w:r>
      <w:r w:rsidRPr="00D61F92">
        <w:rPr>
          <w:rFonts w:ascii="Arial" w:hAnsi="Arial" w:cs="Arial"/>
        </w:rPr>
        <w:t xml:space="preserve"> applied at both 20 and 40 DAS</w:t>
      </w:r>
    </w:p>
    <w:p w14:paraId="1D3FC819"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9</w:t>
      </w:r>
      <w:r w:rsidRPr="00D61F92">
        <w:rPr>
          <w:rFonts w:ascii="Arial" w:hAnsi="Arial" w:cs="Arial"/>
        </w:rPr>
        <w:t xml:space="preserve"> :</w:t>
      </w:r>
      <w:proofErr w:type="gramEnd"/>
      <w:r w:rsidRPr="00D61F92">
        <w:rPr>
          <w:rFonts w:ascii="Arial" w:hAnsi="Arial" w:cs="Arial"/>
        </w:rPr>
        <w:t xml:space="preserve"> 100 ppm GA</w:t>
      </w:r>
      <w:r w:rsidRPr="00B8122D">
        <w:rPr>
          <w:rFonts w:ascii="Arial" w:hAnsi="Arial" w:cs="Arial"/>
          <w:vertAlign w:val="subscript"/>
        </w:rPr>
        <w:t>3</w:t>
      </w:r>
      <w:r w:rsidRPr="00D61F92">
        <w:rPr>
          <w:rFonts w:ascii="Arial" w:hAnsi="Arial" w:cs="Arial"/>
        </w:rPr>
        <w:t xml:space="preserve"> applied at both 20 and 40 DAS</w:t>
      </w:r>
    </w:p>
    <w:p w14:paraId="32EC23B3" w14:textId="77777777" w:rsidR="00BE5A61" w:rsidRPr="00D61F92" w:rsidRDefault="00BE5A61" w:rsidP="00BE5A61">
      <w:pPr>
        <w:numPr>
          <w:ilvl w:val="0"/>
          <w:numId w:val="32"/>
        </w:numPr>
        <w:spacing w:line="360" w:lineRule="auto"/>
        <w:jc w:val="both"/>
        <w:rPr>
          <w:rFonts w:ascii="Arial" w:hAnsi="Arial" w:cs="Arial"/>
        </w:rPr>
      </w:pPr>
      <w:r w:rsidRPr="00D61F92">
        <w:rPr>
          <w:rFonts w:ascii="Arial" w:hAnsi="Arial" w:cs="Arial"/>
        </w:rPr>
        <w:t>T</w:t>
      </w:r>
      <w:proofErr w:type="gramStart"/>
      <w:r w:rsidRPr="00B8122D">
        <w:rPr>
          <w:rFonts w:ascii="Arial" w:hAnsi="Arial" w:cs="Arial"/>
          <w:vertAlign w:val="subscript"/>
        </w:rPr>
        <w:t>10</w:t>
      </w:r>
      <w:r w:rsidRPr="00D61F92">
        <w:rPr>
          <w:rFonts w:ascii="Arial" w:hAnsi="Arial" w:cs="Arial"/>
        </w:rPr>
        <w:t xml:space="preserve"> :</w:t>
      </w:r>
      <w:proofErr w:type="gramEnd"/>
      <w:r w:rsidRPr="00D61F92">
        <w:rPr>
          <w:rFonts w:ascii="Arial" w:hAnsi="Arial" w:cs="Arial"/>
        </w:rPr>
        <w:t xml:space="preserve"> 150 ppm GA</w:t>
      </w:r>
      <w:r w:rsidRPr="00B8122D">
        <w:rPr>
          <w:rFonts w:ascii="Arial" w:hAnsi="Arial" w:cs="Arial"/>
          <w:vertAlign w:val="subscript"/>
        </w:rPr>
        <w:t>3</w:t>
      </w:r>
      <w:r w:rsidRPr="00D61F92">
        <w:rPr>
          <w:rFonts w:ascii="Arial" w:hAnsi="Arial" w:cs="Arial"/>
        </w:rPr>
        <w:t xml:space="preserve"> applied at both 20 and 40 DAS</w:t>
      </w:r>
    </w:p>
    <w:p w14:paraId="282261D8" w14:textId="77777777" w:rsidR="00BE5A61" w:rsidRPr="00D61F92" w:rsidRDefault="00BE5A61" w:rsidP="00BE5A61">
      <w:pPr>
        <w:spacing w:after="120" w:line="360" w:lineRule="auto"/>
        <w:ind w:firstLine="720"/>
        <w:jc w:val="both"/>
        <w:rPr>
          <w:rFonts w:ascii="Arial" w:hAnsi="Arial" w:cs="Arial"/>
        </w:rPr>
      </w:pPr>
      <w:r w:rsidRPr="00D61F92">
        <w:rPr>
          <w:rFonts w:ascii="Arial" w:hAnsi="Arial" w:cs="Arial"/>
        </w:rPr>
        <w:t xml:space="preserve">Each treatment was randomly assigned to individual plots, and </w:t>
      </w:r>
      <w:r>
        <w:rPr>
          <w:rFonts w:ascii="Arial" w:hAnsi="Arial" w:cs="Arial"/>
        </w:rPr>
        <w:t>GA</w:t>
      </w:r>
      <w:r w:rsidRPr="004C5D48">
        <w:rPr>
          <w:rFonts w:ascii="Arial" w:hAnsi="Arial" w:cs="Arial"/>
          <w:vertAlign w:val="subscript"/>
        </w:rPr>
        <w:t>3</w:t>
      </w:r>
      <w:r>
        <w:rPr>
          <w:rFonts w:ascii="Arial" w:hAnsi="Arial" w:cs="Arial"/>
        </w:rPr>
        <w:t xml:space="preserve"> foliar </w:t>
      </w:r>
      <w:r w:rsidRPr="00D61F92">
        <w:rPr>
          <w:rFonts w:ascii="Arial" w:hAnsi="Arial" w:cs="Arial"/>
        </w:rPr>
        <w:t>application</w:t>
      </w:r>
      <w:r>
        <w:rPr>
          <w:rFonts w:ascii="Arial" w:hAnsi="Arial" w:cs="Arial"/>
        </w:rPr>
        <w:t>s</w:t>
      </w:r>
      <w:r w:rsidRPr="00D61F92">
        <w:rPr>
          <w:rFonts w:ascii="Arial" w:hAnsi="Arial" w:cs="Arial"/>
        </w:rPr>
        <w:t xml:space="preserve"> were made manually using a hand sprayer between </w:t>
      </w:r>
      <w:r w:rsidRPr="00902DA0">
        <w:rPr>
          <w:rFonts w:ascii="Arial" w:hAnsi="Arial" w:cs="Arial"/>
        </w:rPr>
        <w:t xml:space="preserve">09:00 and 11:00 </w:t>
      </w:r>
      <w:r>
        <w:rPr>
          <w:rFonts w:ascii="Arial" w:hAnsi="Arial" w:cs="Arial"/>
        </w:rPr>
        <w:t>in the morning</w:t>
      </w:r>
      <w:r w:rsidRPr="00D61F92">
        <w:rPr>
          <w:rFonts w:ascii="Arial" w:hAnsi="Arial" w:cs="Arial"/>
        </w:rPr>
        <w:t xml:space="preserve"> to ensure uniform coverage and optimal absorption.</w:t>
      </w:r>
    </w:p>
    <w:p w14:paraId="4A1070D0"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2.3 Preparation of GA</w:t>
      </w:r>
      <w:r w:rsidRPr="005628E0">
        <w:rPr>
          <w:rFonts w:ascii="Cambria Math" w:hAnsi="Cambria Math" w:cs="Cambria Math"/>
          <w:b/>
          <w:bCs/>
          <w:sz w:val="22"/>
          <w:szCs w:val="22"/>
        </w:rPr>
        <w:t>₃</w:t>
      </w:r>
      <w:r w:rsidRPr="005628E0">
        <w:rPr>
          <w:rFonts w:ascii="Arial" w:hAnsi="Arial" w:cs="Arial"/>
          <w:b/>
          <w:bCs/>
          <w:sz w:val="22"/>
          <w:szCs w:val="22"/>
        </w:rPr>
        <w:t xml:space="preserve"> Solutions</w:t>
      </w:r>
    </w:p>
    <w:p w14:paraId="30DC0F13" w14:textId="502AD974" w:rsidR="00605D82" w:rsidRPr="00D61F92" w:rsidRDefault="00BE5A61" w:rsidP="00605D82">
      <w:pPr>
        <w:spacing w:after="120" w:line="360" w:lineRule="auto"/>
        <w:ind w:firstLine="720"/>
        <w:jc w:val="both"/>
        <w:rPr>
          <w:rFonts w:ascii="Arial" w:hAnsi="Arial" w:cs="Arial"/>
        </w:rPr>
      </w:pPr>
      <w:r w:rsidRPr="00D61F92">
        <w:rPr>
          <w:rFonts w:ascii="Arial" w:hAnsi="Arial" w:cs="Arial"/>
        </w:rPr>
        <w:t>GA</w:t>
      </w:r>
      <w:r w:rsidRPr="003A7AB8">
        <w:rPr>
          <w:rFonts w:ascii="Arial" w:hAnsi="Arial" w:cs="Arial"/>
          <w:vertAlign w:val="subscript"/>
        </w:rPr>
        <w:t>3</w:t>
      </w:r>
      <w:r>
        <w:rPr>
          <w:rFonts w:ascii="Arial" w:hAnsi="Arial" w:cs="Arial"/>
        </w:rPr>
        <w:t xml:space="preserve"> </w:t>
      </w:r>
      <w:r w:rsidRPr="00D61F92">
        <w:rPr>
          <w:rFonts w:ascii="Arial" w:hAnsi="Arial" w:cs="Arial"/>
        </w:rPr>
        <w:t xml:space="preserve">powder was dissolved in water to prepare stock solutions. For </w:t>
      </w:r>
      <w:r>
        <w:rPr>
          <w:rFonts w:ascii="Arial" w:hAnsi="Arial" w:cs="Arial"/>
        </w:rPr>
        <w:t>50 ppm,</w:t>
      </w:r>
      <w:r w:rsidRPr="00D61F92">
        <w:rPr>
          <w:rFonts w:ascii="Arial" w:hAnsi="Arial" w:cs="Arial"/>
        </w:rPr>
        <w:t xml:space="preserve"> 50 mg of GA</w:t>
      </w:r>
      <w:r w:rsidRPr="003A7AB8">
        <w:rPr>
          <w:rFonts w:ascii="Arial" w:hAnsi="Arial" w:cs="Arial"/>
          <w:vertAlign w:val="subscript"/>
        </w:rPr>
        <w:t>3</w:t>
      </w:r>
      <w:r w:rsidRPr="00D61F92">
        <w:rPr>
          <w:rFonts w:ascii="Arial" w:hAnsi="Arial" w:cs="Arial"/>
        </w:rPr>
        <w:t xml:space="preserve"> was dissolved in water to make a final volume of 1 L. Similarly, 100 ppm and 150 ppm solutions were prepared by dissolving 100 mg and 150 mg of GA</w:t>
      </w:r>
      <w:r w:rsidRPr="003A7AB8">
        <w:rPr>
          <w:rFonts w:ascii="Arial" w:hAnsi="Arial" w:cs="Arial"/>
          <w:vertAlign w:val="subscript"/>
        </w:rPr>
        <w:t>3</w:t>
      </w:r>
      <w:r w:rsidRPr="00D61F92">
        <w:rPr>
          <w:rFonts w:ascii="Arial" w:hAnsi="Arial" w:cs="Arial"/>
        </w:rPr>
        <w:t xml:space="preserve">, respectively, in 1 L of water. </w:t>
      </w:r>
    </w:p>
    <w:p w14:paraId="5BCC2976"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2.4 Crop Management</w:t>
      </w:r>
    </w:p>
    <w:p w14:paraId="425F720D" w14:textId="784C5FD4" w:rsidR="00BE5A61" w:rsidRDefault="00BE5A61" w:rsidP="00BE5A61">
      <w:pPr>
        <w:spacing w:after="120" w:line="360" w:lineRule="auto"/>
        <w:ind w:firstLine="720"/>
        <w:jc w:val="both"/>
        <w:rPr>
          <w:rFonts w:ascii="Arial" w:hAnsi="Arial" w:cs="Arial"/>
        </w:rPr>
      </w:pPr>
      <w:r w:rsidRPr="00D61F92">
        <w:rPr>
          <w:rFonts w:ascii="Arial" w:hAnsi="Arial" w:cs="Arial"/>
        </w:rPr>
        <w:t xml:space="preserve">The land was </w:t>
      </w:r>
      <w:r>
        <w:rPr>
          <w:rFonts w:ascii="Arial" w:hAnsi="Arial" w:cs="Arial"/>
        </w:rPr>
        <w:t>plough</w:t>
      </w:r>
      <w:r w:rsidRPr="00D61F92">
        <w:rPr>
          <w:rFonts w:ascii="Arial" w:hAnsi="Arial" w:cs="Arial"/>
        </w:rPr>
        <w:t xml:space="preserve">ed and harrowed to achieve fine tilth, followed by leveling and marking of plots. </w:t>
      </w:r>
      <w:proofErr w:type="spellStart"/>
      <w:r w:rsidRPr="00D61F92">
        <w:rPr>
          <w:rFonts w:ascii="Arial" w:hAnsi="Arial" w:cs="Arial"/>
        </w:rPr>
        <w:t>Yezin</w:t>
      </w:r>
      <w:proofErr w:type="spellEnd"/>
      <w:r w:rsidRPr="00D61F92">
        <w:rPr>
          <w:rFonts w:ascii="Arial" w:hAnsi="Arial" w:cs="Arial"/>
        </w:rPr>
        <w:t xml:space="preserve"> 14</w:t>
      </w:r>
      <w:r>
        <w:rPr>
          <w:rFonts w:ascii="Arial" w:hAnsi="Arial" w:cs="Arial"/>
        </w:rPr>
        <w:t xml:space="preserve"> </w:t>
      </w:r>
      <w:proofErr w:type="spellStart"/>
      <w:r>
        <w:rPr>
          <w:rFonts w:ascii="Arial" w:hAnsi="Arial" w:cs="Arial"/>
        </w:rPr>
        <w:t>m</w:t>
      </w:r>
      <w:r w:rsidRPr="00D61F92">
        <w:rPr>
          <w:rFonts w:ascii="Arial" w:hAnsi="Arial" w:cs="Arial"/>
        </w:rPr>
        <w:t>ungbean</w:t>
      </w:r>
      <w:proofErr w:type="spellEnd"/>
      <w:r w:rsidRPr="00D61F92">
        <w:rPr>
          <w:rFonts w:ascii="Arial" w:hAnsi="Arial" w:cs="Arial"/>
        </w:rPr>
        <w:t xml:space="preserve"> variety, commonly grown in central Myanmar, was used as test</w:t>
      </w:r>
      <w:r>
        <w:rPr>
          <w:rFonts w:ascii="Arial" w:hAnsi="Arial" w:cs="Arial"/>
        </w:rPr>
        <w:t>ed</w:t>
      </w:r>
      <w:r w:rsidRPr="00D61F92">
        <w:rPr>
          <w:rFonts w:ascii="Arial" w:hAnsi="Arial" w:cs="Arial"/>
        </w:rPr>
        <w:t xml:space="preserve"> </w:t>
      </w:r>
      <w:r>
        <w:rPr>
          <w:rFonts w:ascii="Arial" w:hAnsi="Arial" w:cs="Arial"/>
        </w:rPr>
        <w:t>cultivar</w:t>
      </w:r>
      <w:r w:rsidRPr="00D61F92">
        <w:rPr>
          <w:rFonts w:ascii="Arial" w:hAnsi="Arial" w:cs="Arial"/>
        </w:rPr>
        <w:t xml:space="preserve">. </w:t>
      </w:r>
      <w:r w:rsidRPr="0044690E">
        <w:rPr>
          <w:rFonts w:ascii="Arial" w:hAnsi="Arial" w:cs="Arial"/>
        </w:rPr>
        <w:t>T</w:t>
      </w:r>
      <w:r>
        <w:rPr>
          <w:rFonts w:ascii="Arial" w:hAnsi="Arial" w:cs="Arial"/>
        </w:rPr>
        <w:t>wo</w:t>
      </w:r>
      <w:r w:rsidRPr="0044690E">
        <w:rPr>
          <w:rFonts w:ascii="Arial" w:hAnsi="Arial" w:cs="Arial"/>
        </w:rPr>
        <w:t xml:space="preserve"> to </w:t>
      </w:r>
      <w:r>
        <w:rPr>
          <w:rFonts w:ascii="Arial" w:hAnsi="Arial" w:cs="Arial"/>
        </w:rPr>
        <w:t>Three</w:t>
      </w:r>
      <w:r w:rsidRPr="0044690E">
        <w:rPr>
          <w:rFonts w:ascii="Arial" w:hAnsi="Arial" w:cs="Arial"/>
        </w:rPr>
        <w:t xml:space="preserve"> seeds were sown in each hole at a spacing of 30 cm × 10</w:t>
      </w:r>
      <w:r>
        <w:rPr>
          <w:rFonts w:ascii="Arial" w:hAnsi="Arial" w:cs="Arial"/>
        </w:rPr>
        <w:t xml:space="preserve"> </w:t>
      </w:r>
      <w:r w:rsidRPr="0044690E">
        <w:rPr>
          <w:rFonts w:ascii="Arial" w:hAnsi="Arial" w:cs="Arial"/>
        </w:rPr>
        <w:t>cm.</w:t>
      </w:r>
      <w:r>
        <w:rPr>
          <w:rFonts w:ascii="Arial" w:hAnsi="Arial" w:cs="Arial"/>
        </w:rPr>
        <w:t xml:space="preserve"> </w:t>
      </w:r>
      <w:r w:rsidRPr="00036133">
        <w:rPr>
          <w:rFonts w:ascii="Arial" w:hAnsi="Arial" w:cs="Arial"/>
        </w:rPr>
        <w:t xml:space="preserve">Sowing depth was </w:t>
      </w:r>
      <w:r>
        <w:rPr>
          <w:rFonts w:ascii="Arial" w:hAnsi="Arial" w:cs="Arial"/>
        </w:rPr>
        <w:t>2-3</w:t>
      </w:r>
      <w:r w:rsidRPr="00036133">
        <w:rPr>
          <w:rFonts w:ascii="Arial" w:hAnsi="Arial" w:cs="Arial"/>
        </w:rPr>
        <w:t xml:space="preserve"> cm in soil. The plot was composed of seven lines.</w:t>
      </w:r>
      <w:r>
        <w:t xml:space="preserve"> </w:t>
      </w:r>
      <w:r w:rsidRPr="00D61F92">
        <w:rPr>
          <w:rFonts w:ascii="Arial" w:hAnsi="Arial" w:cs="Arial"/>
        </w:rPr>
        <w:t xml:space="preserve">Thinning was carried out at 14 </w:t>
      </w:r>
      <w:r>
        <w:rPr>
          <w:rFonts w:ascii="Arial" w:hAnsi="Arial" w:cs="Arial"/>
        </w:rPr>
        <w:t>DAS</w:t>
      </w:r>
      <w:r w:rsidRPr="00D61F92">
        <w:rPr>
          <w:rFonts w:ascii="Arial" w:hAnsi="Arial" w:cs="Arial"/>
        </w:rPr>
        <w:t xml:space="preserve"> to maintain two healthy plants per hill.</w:t>
      </w:r>
      <w:r>
        <w:rPr>
          <w:rFonts w:ascii="Arial" w:hAnsi="Arial" w:cs="Arial"/>
        </w:rPr>
        <w:t xml:space="preserve"> </w:t>
      </w:r>
      <w:r w:rsidRPr="00F53B02">
        <w:rPr>
          <w:rFonts w:ascii="Arial" w:hAnsi="Arial" w:cs="Arial"/>
        </w:rPr>
        <w:t xml:space="preserve">Urea, Triple Super Phosphate, Muriate of Potash </w:t>
      </w:r>
      <w:r>
        <w:rPr>
          <w:rFonts w:ascii="Arial" w:hAnsi="Arial" w:cs="Arial"/>
        </w:rPr>
        <w:t>were</w:t>
      </w:r>
      <w:r w:rsidRPr="00F53B02">
        <w:rPr>
          <w:rFonts w:ascii="Arial" w:hAnsi="Arial" w:cs="Arial"/>
        </w:rPr>
        <w:t xml:space="preserve"> applied as basal at final land preparation at 14, 30 and 20 kg ha</w:t>
      </w:r>
      <w:r w:rsidRPr="00F53B02">
        <w:rPr>
          <w:rFonts w:ascii="Arial" w:hAnsi="Arial" w:cs="Arial"/>
          <w:vertAlign w:val="superscript"/>
        </w:rPr>
        <w:t>-1</w:t>
      </w:r>
      <w:r w:rsidRPr="00F53B02">
        <w:rPr>
          <w:rFonts w:ascii="Arial" w:hAnsi="Arial" w:cs="Arial"/>
        </w:rPr>
        <w:t xml:space="preserve"> respectively. </w:t>
      </w:r>
      <w:r>
        <w:rPr>
          <w:rFonts w:ascii="Arial" w:hAnsi="Arial" w:cs="Arial"/>
        </w:rPr>
        <w:t>Insecticide sprays and manual weeding were done whenever it was needed in both seasons.</w:t>
      </w:r>
      <w:r w:rsidRPr="00D61F92">
        <w:rPr>
          <w:rFonts w:ascii="Arial" w:hAnsi="Arial" w:cs="Arial"/>
        </w:rPr>
        <w:t xml:space="preserve"> Pods were harvested twice during the post-monsoon season in each year.</w:t>
      </w:r>
      <w:r>
        <w:rPr>
          <w:rFonts w:ascii="Arial" w:hAnsi="Arial" w:cs="Arial"/>
        </w:rPr>
        <w:t xml:space="preserve"> </w:t>
      </w:r>
    </w:p>
    <w:p w14:paraId="25053CFB" w14:textId="5501317D" w:rsidR="001C75BE" w:rsidRDefault="001C75BE" w:rsidP="00BE5A61">
      <w:pPr>
        <w:spacing w:after="120" w:line="360" w:lineRule="auto"/>
        <w:ind w:firstLine="720"/>
        <w:jc w:val="both"/>
        <w:rPr>
          <w:rFonts w:ascii="Arial" w:hAnsi="Arial" w:cs="Arial"/>
        </w:rPr>
      </w:pPr>
    </w:p>
    <w:p w14:paraId="29D46D1E" w14:textId="556AD02B" w:rsidR="001C75BE" w:rsidRDefault="001C75BE" w:rsidP="00BE5A61">
      <w:pPr>
        <w:spacing w:after="120" w:line="360" w:lineRule="auto"/>
        <w:ind w:firstLine="720"/>
        <w:jc w:val="both"/>
        <w:rPr>
          <w:rFonts w:ascii="Arial" w:hAnsi="Arial" w:cs="Arial"/>
        </w:rPr>
      </w:pPr>
    </w:p>
    <w:p w14:paraId="2F053C56" w14:textId="635A339E" w:rsidR="001C75BE" w:rsidRDefault="001C75BE" w:rsidP="00A12931">
      <w:pPr>
        <w:spacing w:after="120" w:line="360" w:lineRule="auto"/>
        <w:jc w:val="both"/>
        <w:rPr>
          <w:rFonts w:ascii="Arial" w:hAnsi="Arial" w:cs="Arial"/>
        </w:rPr>
      </w:pPr>
    </w:p>
    <w:p w14:paraId="167B2FBC" w14:textId="77777777" w:rsidR="00A12931" w:rsidRDefault="00A12931" w:rsidP="00A12931">
      <w:pPr>
        <w:spacing w:after="120" w:line="360" w:lineRule="auto"/>
        <w:jc w:val="both"/>
        <w:rPr>
          <w:rFonts w:ascii="Arial" w:hAnsi="Arial" w:cs="Arial"/>
        </w:rPr>
      </w:pPr>
    </w:p>
    <w:p w14:paraId="60F55D28" w14:textId="77777777" w:rsidR="001C75BE" w:rsidRDefault="001C75BE" w:rsidP="001C75BE">
      <w:pPr>
        <w:spacing w:before="120" w:after="120" w:line="360" w:lineRule="auto"/>
        <w:rPr>
          <w:rFonts w:ascii="Arial" w:hAnsi="Arial" w:cs="Arial"/>
          <w:b/>
          <w:bCs/>
        </w:rPr>
      </w:pPr>
      <w:r>
        <w:rPr>
          <w:rFonts w:ascii="Arial" w:hAnsi="Arial" w:cs="Arial"/>
          <w:b/>
          <w:bCs/>
        </w:rPr>
        <w:lastRenderedPageBreak/>
        <w:t>Table 1. Physicochemical properties of experimental soil before experiment</w:t>
      </w:r>
    </w:p>
    <w:tbl>
      <w:tblPr>
        <w:tblpPr w:leftFromText="180" w:rightFromText="180" w:vertAnchor="text" w:horzAnchor="margin" w:tblpY="-43"/>
        <w:tblW w:w="7617" w:type="dxa"/>
        <w:tblLook w:val="04A0" w:firstRow="1" w:lastRow="0" w:firstColumn="1" w:lastColumn="0" w:noHBand="0" w:noVBand="1"/>
      </w:tblPr>
      <w:tblGrid>
        <w:gridCol w:w="3681"/>
        <w:gridCol w:w="3936"/>
      </w:tblGrid>
      <w:tr w:rsidR="001C75BE" w:rsidRPr="00D7797A" w14:paraId="5197573E" w14:textId="77777777" w:rsidTr="001C75BE">
        <w:trPr>
          <w:trHeight w:val="545"/>
        </w:trPr>
        <w:tc>
          <w:tcPr>
            <w:tcW w:w="3681" w:type="dxa"/>
            <w:tcBorders>
              <w:top w:val="single" w:sz="4" w:space="0" w:color="auto"/>
              <w:left w:val="nil"/>
              <w:bottom w:val="single" w:sz="4" w:space="0" w:color="auto"/>
              <w:right w:val="nil"/>
            </w:tcBorders>
            <w:shd w:val="clear" w:color="auto" w:fill="auto"/>
            <w:vAlign w:val="center"/>
            <w:hideMark/>
          </w:tcPr>
          <w:p w14:paraId="58D5D08E" w14:textId="77777777" w:rsidR="001C75BE" w:rsidRPr="00D7797A" w:rsidRDefault="001C75BE" w:rsidP="001C75BE">
            <w:pPr>
              <w:jc w:val="center"/>
              <w:rPr>
                <w:rFonts w:ascii="Arial" w:hAnsi="Arial" w:cs="Arial"/>
                <w:b/>
                <w:bCs/>
                <w:color w:val="000000"/>
              </w:rPr>
            </w:pPr>
            <w:r w:rsidRPr="00D7797A">
              <w:rPr>
                <w:rFonts w:ascii="Arial" w:hAnsi="Arial" w:cs="Arial"/>
                <w:b/>
                <w:bCs/>
                <w:color w:val="000000"/>
              </w:rPr>
              <w:t>Characteristics</w:t>
            </w:r>
          </w:p>
        </w:tc>
        <w:tc>
          <w:tcPr>
            <w:tcW w:w="3936" w:type="dxa"/>
            <w:tcBorders>
              <w:top w:val="single" w:sz="4" w:space="0" w:color="auto"/>
              <w:left w:val="nil"/>
              <w:bottom w:val="single" w:sz="4" w:space="0" w:color="auto"/>
              <w:right w:val="nil"/>
            </w:tcBorders>
            <w:shd w:val="clear" w:color="auto" w:fill="auto"/>
            <w:noWrap/>
            <w:vAlign w:val="center"/>
            <w:hideMark/>
          </w:tcPr>
          <w:p w14:paraId="1DAEAFB4" w14:textId="77777777" w:rsidR="001C75BE" w:rsidRPr="00D7797A" w:rsidRDefault="001C75BE" w:rsidP="001C75BE">
            <w:pPr>
              <w:jc w:val="center"/>
              <w:rPr>
                <w:rFonts w:ascii="Aptos Narrow" w:hAnsi="Aptos Narrow"/>
                <w:b/>
                <w:bCs/>
                <w:color w:val="000000"/>
                <w:sz w:val="22"/>
                <w:szCs w:val="22"/>
              </w:rPr>
            </w:pPr>
            <w:r w:rsidRPr="00D7797A">
              <w:rPr>
                <w:rFonts w:ascii="Aptos Narrow" w:hAnsi="Aptos Narrow"/>
                <w:b/>
                <w:bCs/>
                <w:color w:val="000000"/>
                <w:sz w:val="22"/>
                <w:szCs w:val="22"/>
              </w:rPr>
              <w:t>Rating</w:t>
            </w:r>
          </w:p>
        </w:tc>
      </w:tr>
      <w:tr w:rsidR="001C75BE" w:rsidRPr="00D7797A" w14:paraId="2902AA33" w14:textId="77777777" w:rsidTr="001C75BE">
        <w:trPr>
          <w:trHeight w:val="545"/>
        </w:trPr>
        <w:tc>
          <w:tcPr>
            <w:tcW w:w="3681" w:type="dxa"/>
            <w:tcBorders>
              <w:top w:val="single" w:sz="4" w:space="0" w:color="auto"/>
              <w:left w:val="nil"/>
              <w:bottom w:val="single" w:sz="4" w:space="0" w:color="auto"/>
              <w:right w:val="nil"/>
            </w:tcBorders>
            <w:shd w:val="clear" w:color="auto" w:fill="auto"/>
            <w:vAlign w:val="center"/>
          </w:tcPr>
          <w:p w14:paraId="35FAD0F9" w14:textId="77777777" w:rsidR="001C75BE" w:rsidRPr="00ED0C70" w:rsidRDefault="001C75BE" w:rsidP="001C75BE">
            <w:pPr>
              <w:jc w:val="center"/>
              <w:rPr>
                <w:rFonts w:ascii="Arial" w:hAnsi="Arial" w:cs="Arial"/>
                <w:color w:val="000000"/>
              </w:rPr>
            </w:pPr>
            <w:r w:rsidRPr="00ED0C70">
              <w:rPr>
                <w:rFonts w:ascii="Arial" w:hAnsi="Arial" w:cs="Arial"/>
                <w:color w:val="000000"/>
              </w:rPr>
              <w:t>Sand (%)</w:t>
            </w:r>
          </w:p>
        </w:tc>
        <w:tc>
          <w:tcPr>
            <w:tcW w:w="3936" w:type="dxa"/>
            <w:tcBorders>
              <w:top w:val="single" w:sz="4" w:space="0" w:color="auto"/>
              <w:left w:val="nil"/>
              <w:bottom w:val="single" w:sz="4" w:space="0" w:color="auto"/>
              <w:right w:val="nil"/>
            </w:tcBorders>
            <w:shd w:val="clear" w:color="auto" w:fill="auto"/>
            <w:noWrap/>
            <w:vAlign w:val="center"/>
          </w:tcPr>
          <w:p w14:paraId="722FA610" w14:textId="77777777" w:rsidR="001C75BE" w:rsidRPr="00ED0C70" w:rsidRDefault="001C75BE" w:rsidP="001C75BE">
            <w:pPr>
              <w:jc w:val="center"/>
              <w:rPr>
                <w:rFonts w:ascii="Arial" w:hAnsi="Arial" w:cs="Arial"/>
                <w:color w:val="000000"/>
              </w:rPr>
            </w:pPr>
            <w:r w:rsidRPr="00ED0C70">
              <w:rPr>
                <w:rFonts w:ascii="Arial" w:hAnsi="Arial" w:cs="Arial"/>
                <w:color w:val="000000"/>
              </w:rPr>
              <w:t>82.36</w:t>
            </w:r>
          </w:p>
        </w:tc>
      </w:tr>
      <w:tr w:rsidR="001C75BE" w:rsidRPr="00D7797A" w14:paraId="1F1CD51E" w14:textId="77777777" w:rsidTr="001C75BE">
        <w:trPr>
          <w:trHeight w:val="545"/>
        </w:trPr>
        <w:tc>
          <w:tcPr>
            <w:tcW w:w="3681" w:type="dxa"/>
            <w:tcBorders>
              <w:top w:val="single" w:sz="4" w:space="0" w:color="auto"/>
              <w:left w:val="nil"/>
              <w:bottom w:val="single" w:sz="4" w:space="0" w:color="auto"/>
              <w:right w:val="nil"/>
            </w:tcBorders>
            <w:shd w:val="clear" w:color="auto" w:fill="auto"/>
            <w:vAlign w:val="center"/>
          </w:tcPr>
          <w:p w14:paraId="66484011" w14:textId="77777777" w:rsidR="001C75BE" w:rsidRPr="00ED0C70" w:rsidRDefault="001C75BE" w:rsidP="001C75BE">
            <w:pPr>
              <w:jc w:val="center"/>
              <w:rPr>
                <w:rFonts w:ascii="Arial" w:hAnsi="Arial" w:cs="Arial"/>
                <w:color w:val="000000"/>
              </w:rPr>
            </w:pPr>
            <w:r w:rsidRPr="00ED0C70">
              <w:rPr>
                <w:rFonts w:ascii="Arial" w:hAnsi="Arial" w:cs="Arial"/>
                <w:color w:val="000000"/>
              </w:rPr>
              <w:t>Silt (%)</w:t>
            </w:r>
          </w:p>
        </w:tc>
        <w:tc>
          <w:tcPr>
            <w:tcW w:w="3936" w:type="dxa"/>
            <w:tcBorders>
              <w:top w:val="single" w:sz="4" w:space="0" w:color="auto"/>
              <w:left w:val="nil"/>
              <w:bottom w:val="single" w:sz="4" w:space="0" w:color="auto"/>
              <w:right w:val="nil"/>
            </w:tcBorders>
            <w:shd w:val="clear" w:color="auto" w:fill="auto"/>
            <w:noWrap/>
            <w:vAlign w:val="center"/>
          </w:tcPr>
          <w:p w14:paraId="7CCEA856" w14:textId="77777777" w:rsidR="001C75BE" w:rsidRPr="00ED0C70" w:rsidRDefault="001C75BE" w:rsidP="001C75BE">
            <w:pPr>
              <w:jc w:val="center"/>
              <w:rPr>
                <w:rFonts w:ascii="Arial" w:hAnsi="Arial" w:cs="Arial"/>
                <w:color w:val="000000"/>
              </w:rPr>
            </w:pPr>
            <w:r w:rsidRPr="00ED0C70">
              <w:rPr>
                <w:rFonts w:ascii="Arial" w:hAnsi="Arial" w:cs="Arial"/>
                <w:color w:val="000000"/>
              </w:rPr>
              <w:t>10.66</w:t>
            </w:r>
          </w:p>
        </w:tc>
      </w:tr>
      <w:tr w:rsidR="001C75BE" w:rsidRPr="00D7797A" w14:paraId="0815F24C" w14:textId="77777777" w:rsidTr="001C75BE">
        <w:trPr>
          <w:trHeight w:val="545"/>
        </w:trPr>
        <w:tc>
          <w:tcPr>
            <w:tcW w:w="3681" w:type="dxa"/>
            <w:tcBorders>
              <w:top w:val="single" w:sz="4" w:space="0" w:color="auto"/>
              <w:left w:val="nil"/>
              <w:bottom w:val="single" w:sz="4" w:space="0" w:color="auto"/>
              <w:right w:val="nil"/>
            </w:tcBorders>
            <w:shd w:val="clear" w:color="auto" w:fill="auto"/>
            <w:vAlign w:val="center"/>
          </w:tcPr>
          <w:p w14:paraId="3028ACB4" w14:textId="77777777" w:rsidR="001C75BE" w:rsidRPr="00ED0C70" w:rsidRDefault="001C75BE" w:rsidP="001C75BE">
            <w:pPr>
              <w:jc w:val="center"/>
              <w:rPr>
                <w:rFonts w:ascii="Arial" w:hAnsi="Arial" w:cs="Arial"/>
                <w:color w:val="000000"/>
              </w:rPr>
            </w:pPr>
            <w:r w:rsidRPr="00ED0C70">
              <w:rPr>
                <w:rFonts w:ascii="Arial" w:hAnsi="Arial" w:cs="Arial"/>
                <w:color w:val="000000"/>
              </w:rPr>
              <w:t>Clay (%)</w:t>
            </w:r>
          </w:p>
        </w:tc>
        <w:tc>
          <w:tcPr>
            <w:tcW w:w="3936" w:type="dxa"/>
            <w:tcBorders>
              <w:top w:val="single" w:sz="4" w:space="0" w:color="auto"/>
              <w:left w:val="nil"/>
              <w:bottom w:val="single" w:sz="4" w:space="0" w:color="auto"/>
              <w:right w:val="nil"/>
            </w:tcBorders>
            <w:shd w:val="clear" w:color="auto" w:fill="auto"/>
            <w:noWrap/>
            <w:vAlign w:val="center"/>
          </w:tcPr>
          <w:p w14:paraId="23762FD6" w14:textId="77777777" w:rsidR="001C75BE" w:rsidRPr="00ED0C70" w:rsidRDefault="001C75BE" w:rsidP="001C75BE">
            <w:pPr>
              <w:jc w:val="center"/>
              <w:rPr>
                <w:rFonts w:ascii="Arial" w:hAnsi="Arial" w:cs="Arial"/>
                <w:color w:val="000000"/>
              </w:rPr>
            </w:pPr>
            <w:r w:rsidRPr="00ED0C70">
              <w:rPr>
                <w:rFonts w:ascii="Arial" w:hAnsi="Arial" w:cs="Arial"/>
                <w:color w:val="000000"/>
              </w:rPr>
              <w:t>6.98</w:t>
            </w:r>
          </w:p>
        </w:tc>
      </w:tr>
      <w:tr w:rsidR="001C75BE" w:rsidRPr="00D7797A" w14:paraId="616B3B41" w14:textId="77777777" w:rsidTr="001C75BE">
        <w:trPr>
          <w:trHeight w:val="545"/>
        </w:trPr>
        <w:tc>
          <w:tcPr>
            <w:tcW w:w="3681" w:type="dxa"/>
            <w:tcBorders>
              <w:top w:val="single" w:sz="4" w:space="0" w:color="auto"/>
              <w:left w:val="nil"/>
              <w:bottom w:val="single" w:sz="4" w:space="0" w:color="auto"/>
              <w:right w:val="nil"/>
            </w:tcBorders>
            <w:shd w:val="clear" w:color="auto" w:fill="auto"/>
            <w:vAlign w:val="center"/>
          </w:tcPr>
          <w:p w14:paraId="4CFD0102" w14:textId="77777777" w:rsidR="001C75BE" w:rsidRPr="00ED0C70" w:rsidRDefault="001C75BE" w:rsidP="001C75BE">
            <w:pPr>
              <w:jc w:val="center"/>
              <w:rPr>
                <w:rFonts w:ascii="Arial" w:hAnsi="Arial" w:cs="Arial"/>
                <w:color w:val="000000"/>
              </w:rPr>
            </w:pPr>
            <w:r w:rsidRPr="00ED0C70">
              <w:rPr>
                <w:rFonts w:ascii="Arial" w:hAnsi="Arial" w:cs="Arial"/>
                <w:color w:val="000000"/>
              </w:rPr>
              <w:t xml:space="preserve">Soil textural class </w:t>
            </w:r>
          </w:p>
        </w:tc>
        <w:tc>
          <w:tcPr>
            <w:tcW w:w="3936" w:type="dxa"/>
            <w:tcBorders>
              <w:top w:val="single" w:sz="4" w:space="0" w:color="auto"/>
              <w:left w:val="nil"/>
              <w:bottom w:val="single" w:sz="4" w:space="0" w:color="auto"/>
              <w:right w:val="nil"/>
            </w:tcBorders>
            <w:shd w:val="clear" w:color="auto" w:fill="auto"/>
            <w:noWrap/>
            <w:vAlign w:val="center"/>
          </w:tcPr>
          <w:p w14:paraId="211C9ACC" w14:textId="77777777" w:rsidR="001C75BE" w:rsidRPr="00ED0C70" w:rsidRDefault="001C75BE" w:rsidP="001C75BE">
            <w:pPr>
              <w:jc w:val="center"/>
              <w:rPr>
                <w:rFonts w:ascii="Arial" w:hAnsi="Arial" w:cs="Arial"/>
                <w:color w:val="000000"/>
              </w:rPr>
            </w:pPr>
            <w:r w:rsidRPr="00ED0C70">
              <w:rPr>
                <w:rFonts w:ascii="Arial" w:hAnsi="Arial" w:cs="Arial"/>
                <w:color w:val="000000"/>
              </w:rPr>
              <w:t>Loamy sand</w:t>
            </w:r>
          </w:p>
        </w:tc>
      </w:tr>
      <w:tr w:rsidR="001C75BE" w:rsidRPr="00D7797A" w14:paraId="7AEFDB76" w14:textId="77777777" w:rsidTr="001C75BE">
        <w:trPr>
          <w:trHeight w:val="545"/>
        </w:trPr>
        <w:tc>
          <w:tcPr>
            <w:tcW w:w="3681" w:type="dxa"/>
            <w:tcBorders>
              <w:top w:val="nil"/>
              <w:left w:val="nil"/>
              <w:bottom w:val="nil"/>
              <w:right w:val="nil"/>
            </w:tcBorders>
            <w:shd w:val="clear" w:color="auto" w:fill="auto"/>
            <w:vAlign w:val="center"/>
            <w:hideMark/>
          </w:tcPr>
          <w:p w14:paraId="69CD20D3" w14:textId="77777777" w:rsidR="001C75BE" w:rsidRPr="00D7797A" w:rsidRDefault="001C75BE" w:rsidP="001C75BE">
            <w:pPr>
              <w:jc w:val="center"/>
              <w:rPr>
                <w:rFonts w:ascii="Arial" w:hAnsi="Arial" w:cs="Arial"/>
                <w:color w:val="000000"/>
              </w:rPr>
            </w:pPr>
            <w:r w:rsidRPr="00D7797A">
              <w:rPr>
                <w:rFonts w:ascii="Arial" w:hAnsi="Arial" w:cs="Arial"/>
                <w:color w:val="000000"/>
              </w:rPr>
              <w:t>Available N (mg kg</w:t>
            </w:r>
            <w:r w:rsidRPr="00D7797A">
              <w:rPr>
                <w:rFonts w:ascii="Arial" w:hAnsi="Arial" w:cs="Arial"/>
                <w:color w:val="000000"/>
                <w:vertAlign w:val="superscript"/>
              </w:rPr>
              <w:t>-1</w:t>
            </w:r>
            <w:r w:rsidRPr="00D7797A">
              <w:rPr>
                <w:rFonts w:ascii="Arial" w:hAnsi="Arial" w:cs="Arial"/>
                <w:color w:val="000000"/>
              </w:rPr>
              <w:t>)</w:t>
            </w:r>
          </w:p>
        </w:tc>
        <w:tc>
          <w:tcPr>
            <w:tcW w:w="3936" w:type="dxa"/>
            <w:tcBorders>
              <w:top w:val="nil"/>
              <w:left w:val="nil"/>
              <w:bottom w:val="nil"/>
              <w:right w:val="nil"/>
            </w:tcBorders>
            <w:shd w:val="clear" w:color="auto" w:fill="auto"/>
            <w:vAlign w:val="center"/>
            <w:hideMark/>
          </w:tcPr>
          <w:p w14:paraId="7D713449" w14:textId="77777777" w:rsidR="001C75BE" w:rsidRPr="00D7797A" w:rsidRDefault="001C75BE" w:rsidP="001C75BE">
            <w:pPr>
              <w:jc w:val="center"/>
              <w:rPr>
                <w:rFonts w:ascii="Arial" w:hAnsi="Arial" w:cs="Arial"/>
                <w:color w:val="000000"/>
              </w:rPr>
            </w:pPr>
            <w:r w:rsidRPr="00D7797A">
              <w:rPr>
                <w:rFonts w:ascii="Arial" w:hAnsi="Arial" w:cs="Arial"/>
                <w:color w:val="000000"/>
              </w:rPr>
              <w:t>105</w:t>
            </w:r>
            <w:r>
              <w:rPr>
                <w:rFonts w:ascii="Arial" w:hAnsi="Arial" w:cs="Arial"/>
                <w:color w:val="000000"/>
              </w:rPr>
              <w:t xml:space="preserve"> (High)</w:t>
            </w:r>
          </w:p>
        </w:tc>
      </w:tr>
      <w:tr w:rsidR="001C75BE" w:rsidRPr="00D7797A" w14:paraId="32A5673A" w14:textId="77777777" w:rsidTr="001C75BE">
        <w:trPr>
          <w:trHeight w:val="545"/>
        </w:trPr>
        <w:tc>
          <w:tcPr>
            <w:tcW w:w="3681" w:type="dxa"/>
            <w:tcBorders>
              <w:top w:val="nil"/>
              <w:left w:val="nil"/>
              <w:bottom w:val="nil"/>
              <w:right w:val="nil"/>
            </w:tcBorders>
            <w:shd w:val="clear" w:color="auto" w:fill="auto"/>
            <w:vAlign w:val="center"/>
            <w:hideMark/>
          </w:tcPr>
          <w:p w14:paraId="5EC34350" w14:textId="77777777" w:rsidR="001C75BE" w:rsidRPr="00D7797A" w:rsidRDefault="001C75BE" w:rsidP="001C75BE">
            <w:pPr>
              <w:jc w:val="center"/>
              <w:rPr>
                <w:rFonts w:ascii="Arial" w:hAnsi="Arial" w:cs="Arial"/>
                <w:color w:val="000000"/>
              </w:rPr>
            </w:pPr>
            <w:r w:rsidRPr="00D7797A">
              <w:rPr>
                <w:rFonts w:ascii="Arial" w:hAnsi="Arial" w:cs="Arial"/>
                <w:color w:val="000000"/>
              </w:rPr>
              <w:t>Available P</w:t>
            </w:r>
            <w:r w:rsidRPr="00D7797A">
              <w:rPr>
                <w:rFonts w:ascii="Arial" w:hAnsi="Arial" w:cs="Arial"/>
                <w:color w:val="000000"/>
                <w:vertAlign w:val="subscript"/>
              </w:rPr>
              <w:t>2</w:t>
            </w:r>
            <w:r w:rsidRPr="00D7797A">
              <w:rPr>
                <w:rFonts w:ascii="Arial" w:hAnsi="Arial" w:cs="Arial"/>
                <w:color w:val="000000"/>
              </w:rPr>
              <w:t>O</w:t>
            </w:r>
            <w:r w:rsidRPr="00D7797A">
              <w:rPr>
                <w:rFonts w:ascii="Arial" w:hAnsi="Arial" w:cs="Arial"/>
                <w:color w:val="000000"/>
                <w:vertAlign w:val="subscript"/>
              </w:rPr>
              <w:t>5</w:t>
            </w:r>
            <w:r w:rsidRPr="00D7797A">
              <w:rPr>
                <w:rFonts w:ascii="Arial" w:hAnsi="Arial" w:cs="Arial"/>
                <w:color w:val="000000"/>
              </w:rPr>
              <w:t xml:space="preserve"> (mg kg</w:t>
            </w:r>
            <w:r w:rsidRPr="00D7797A">
              <w:rPr>
                <w:rFonts w:ascii="Arial" w:hAnsi="Arial" w:cs="Arial"/>
                <w:color w:val="000000"/>
                <w:vertAlign w:val="superscript"/>
              </w:rPr>
              <w:t>-1</w:t>
            </w:r>
            <w:r w:rsidRPr="00D7797A">
              <w:rPr>
                <w:rFonts w:ascii="Arial" w:hAnsi="Arial" w:cs="Arial"/>
                <w:color w:val="000000"/>
              </w:rPr>
              <w:t>)</w:t>
            </w:r>
          </w:p>
        </w:tc>
        <w:tc>
          <w:tcPr>
            <w:tcW w:w="3936" w:type="dxa"/>
            <w:tcBorders>
              <w:top w:val="nil"/>
              <w:left w:val="nil"/>
              <w:bottom w:val="nil"/>
              <w:right w:val="nil"/>
            </w:tcBorders>
            <w:shd w:val="clear" w:color="auto" w:fill="auto"/>
            <w:vAlign w:val="center"/>
            <w:hideMark/>
          </w:tcPr>
          <w:p w14:paraId="03FA413D" w14:textId="77777777" w:rsidR="001C75BE" w:rsidRPr="00D7797A" w:rsidRDefault="001C75BE" w:rsidP="001C75BE">
            <w:pPr>
              <w:jc w:val="center"/>
              <w:rPr>
                <w:rFonts w:ascii="Arial" w:hAnsi="Arial" w:cs="Arial"/>
                <w:color w:val="000000"/>
              </w:rPr>
            </w:pPr>
            <w:r w:rsidRPr="00D7797A">
              <w:rPr>
                <w:rFonts w:ascii="Arial" w:hAnsi="Arial" w:cs="Arial"/>
                <w:color w:val="000000"/>
              </w:rPr>
              <w:t>12</w:t>
            </w:r>
            <w:r>
              <w:rPr>
                <w:rFonts w:ascii="Arial" w:hAnsi="Arial" w:cs="Arial"/>
                <w:color w:val="000000"/>
              </w:rPr>
              <w:t xml:space="preserve"> (Medium)</w:t>
            </w:r>
          </w:p>
        </w:tc>
      </w:tr>
      <w:tr w:rsidR="001C75BE" w:rsidRPr="00D7797A" w14:paraId="0E84C67E" w14:textId="77777777" w:rsidTr="001C75BE">
        <w:trPr>
          <w:trHeight w:val="545"/>
        </w:trPr>
        <w:tc>
          <w:tcPr>
            <w:tcW w:w="3681" w:type="dxa"/>
            <w:tcBorders>
              <w:top w:val="nil"/>
              <w:left w:val="nil"/>
              <w:bottom w:val="nil"/>
              <w:right w:val="nil"/>
            </w:tcBorders>
            <w:shd w:val="clear" w:color="auto" w:fill="auto"/>
            <w:vAlign w:val="center"/>
            <w:hideMark/>
          </w:tcPr>
          <w:p w14:paraId="0E75DA0A" w14:textId="77777777" w:rsidR="001C75BE" w:rsidRPr="00D7797A" w:rsidRDefault="001C75BE" w:rsidP="001C75BE">
            <w:pPr>
              <w:jc w:val="center"/>
              <w:rPr>
                <w:rFonts w:ascii="Arial" w:hAnsi="Arial" w:cs="Arial"/>
                <w:color w:val="000000"/>
              </w:rPr>
            </w:pPr>
            <w:r w:rsidRPr="00D7797A">
              <w:rPr>
                <w:rFonts w:ascii="Arial" w:hAnsi="Arial" w:cs="Arial"/>
                <w:color w:val="000000"/>
              </w:rPr>
              <w:t>Available K</w:t>
            </w:r>
            <w:r w:rsidRPr="00D7797A">
              <w:rPr>
                <w:rFonts w:ascii="Arial" w:hAnsi="Arial" w:cs="Arial"/>
                <w:color w:val="000000"/>
                <w:vertAlign w:val="subscript"/>
              </w:rPr>
              <w:t>2</w:t>
            </w:r>
            <w:r w:rsidRPr="00D7797A">
              <w:rPr>
                <w:rFonts w:ascii="Arial" w:hAnsi="Arial" w:cs="Arial"/>
                <w:color w:val="000000"/>
              </w:rPr>
              <w:t>O (mg kg</w:t>
            </w:r>
            <w:r w:rsidRPr="00D7797A">
              <w:rPr>
                <w:rFonts w:ascii="Arial" w:hAnsi="Arial" w:cs="Arial"/>
                <w:color w:val="000000"/>
                <w:vertAlign w:val="superscript"/>
              </w:rPr>
              <w:t>-1</w:t>
            </w:r>
            <w:r w:rsidRPr="00D7797A">
              <w:rPr>
                <w:rFonts w:ascii="Arial" w:hAnsi="Arial" w:cs="Arial"/>
                <w:color w:val="000000"/>
              </w:rPr>
              <w:t>)</w:t>
            </w:r>
          </w:p>
        </w:tc>
        <w:tc>
          <w:tcPr>
            <w:tcW w:w="3936" w:type="dxa"/>
            <w:tcBorders>
              <w:top w:val="nil"/>
              <w:left w:val="nil"/>
              <w:bottom w:val="nil"/>
              <w:right w:val="nil"/>
            </w:tcBorders>
            <w:shd w:val="clear" w:color="auto" w:fill="auto"/>
            <w:vAlign w:val="center"/>
            <w:hideMark/>
          </w:tcPr>
          <w:p w14:paraId="5A3A6D6D" w14:textId="77777777" w:rsidR="001C75BE" w:rsidRPr="00D7797A" w:rsidRDefault="001C75BE" w:rsidP="001C75BE">
            <w:pPr>
              <w:jc w:val="center"/>
              <w:rPr>
                <w:rFonts w:ascii="Arial" w:hAnsi="Arial" w:cs="Arial"/>
                <w:color w:val="000000"/>
              </w:rPr>
            </w:pPr>
            <w:r w:rsidRPr="00D7797A">
              <w:rPr>
                <w:rFonts w:ascii="Arial" w:hAnsi="Arial" w:cs="Arial"/>
                <w:color w:val="000000"/>
              </w:rPr>
              <w:t>47</w:t>
            </w:r>
            <w:r>
              <w:rPr>
                <w:rFonts w:ascii="Arial" w:hAnsi="Arial" w:cs="Arial"/>
                <w:color w:val="000000"/>
              </w:rPr>
              <w:t xml:space="preserve"> (Low)</w:t>
            </w:r>
          </w:p>
        </w:tc>
      </w:tr>
      <w:tr w:rsidR="001C75BE" w:rsidRPr="00D7797A" w14:paraId="79EC8083" w14:textId="77777777" w:rsidTr="001C75BE">
        <w:trPr>
          <w:trHeight w:val="545"/>
        </w:trPr>
        <w:tc>
          <w:tcPr>
            <w:tcW w:w="3681" w:type="dxa"/>
            <w:tcBorders>
              <w:top w:val="nil"/>
              <w:left w:val="nil"/>
              <w:bottom w:val="nil"/>
              <w:right w:val="nil"/>
            </w:tcBorders>
            <w:shd w:val="clear" w:color="auto" w:fill="auto"/>
            <w:vAlign w:val="center"/>
            <w:hideMark/>
          </w:tcPr>
          <w:p w14:paraId="16BF85BA" w14:textId="77777777" w:rsidR="001C75BE" w:rsidRPr="00D7797A" w:rsidRDefault="001C75BE" w:rsidP="001C75BE">
            <w:pPr>
              <w:jc w:val="center"/>
              <w:rPr>
                <w:rFonts w:ascii="Arial" w:hAnsi="Arial" w:cs="Arial"/>
                <w:color w:val="000000"/>
              </w:rPr>
            </w:pPr>
            <w:r w:rsidRPr="00D7797A">
              <w:rPr>
                <w:rFonts w:ascii="Arial" w:hAnsi="Arial" w:cs="Arial"/>
                <w:color w:val="000000"/>
              </w:rPr>
              <w:t xml:space="preserve">Exchangeable Ca </w:t>
            </w:r>
            <w:r>
              <w:rPr>
                <w:rFonts w:ascii="Arial" w:hAnsi="Arial" w:cs="Arial"/>
                <w:color w:val="000000"/>
              </w:rPr>
              <w:t>(</w:t>
            </w:r>
            <w:proofErr w:type="spellStart"/>
            <w:r>
              <w:rPr>
                <w:rFonts w:ascii="Arial" w:hAnsi="Arial" w:cs="Arial"/>
                <w:color w:val="000000"/>
              </w:rPr>
              <w:t>c</w:t>
            </w:r>
            <w:r w:rsidRPr="00D7797A">
              <w:rPr>
                <w:rFonts w:ascii="Arial" w:hAnsi="Arial" w:cs="Arial"/>
                <w:color w:val="000000"/>
              </w:rPr>
              <w:t>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Pr>
                <w:rFonts w:ascii="Arial" w:hAnsi="Arial" w:cs="Arial"/>
                <w:color w:val="000000"/>
              </w:rPr>
              <w:t>)</w:t>
            </w:r>
          </w:p>
        </w:tc>
        <w:tc>
          <w:tcPr>
            <w:tcW w:w="3936" w:type="dxa"/>
            <w:tcBorders>
              <w:top w:val="nil"/>
              <w:left w:val="nil"/>
              <w:bottom w:val="nil"/>
              <w:right w:val="nil"/>
            </w:tcBorders>
            <w:shd w:val="clear" w:color="auto" w:fill="auto"/>
            <w:vAlign w:val="center"/>
            <w:hideMark/>
          </w:tcPr>
          <w:p w14:paraId="4C79DBA7" w14:textId="77777777" w:rsidR="001C75BE" w:rsidRPr="00D7797A" w:rsidRDefault="001C75BE" w:rsidP="001C75BE">
            <w:pPr>
              <w:jc w:val="center"/>
              <w:rPr>
                <w:rFonts w:ascii="Arial" w:hAnsi="Arial" w:cs="Arial"/>
                <w:color w:val="000000"/>
              </w:rPr>
            </w:pPr>
            <w:r w:rsidRPr="00D7797A">
              <w:rPr>
                <w:rFonts w:ascii="Arial" w:hAnsi="Arial" w:cs="Arial"/>
                <w:color w:val="000000"/>
              </w:rPr>
              <w:t>2.9</w:t>
            </w:r>
            <w:r>
              <w:rPr>
                <w:rFonts w:ascii="Arial" w:hAnsi="Arial" w:cs="Arial"/>
                <w:color w:val="000000"/>
              </w:rPr>
              <w:t xml:space="preserve"> (Low)</w:t>
            </w:r>
          </w:p>
        </w:tc>
      </w:tr>
      <w:tr w:rsidR="001C75BE" w:rsidRPr="00D7797A" w14:paraId="5BBCF70A" w14:textId="77777777" w:rsidTr="001C75BE">
        <w:trPr>
          <w:trHeight w:val="545"/>
        </w:trPr>
        <w:tc>
          <w:tcPr>
            <w:tcW w:w="3681" w:type="dxa"/>
            <w:tcBorders>
              <w:top w:val="nil"/>
              <w:left w:val="nil"/>
              <w:bottom w:val="nil"/>
              <w:right w:val="nil"/>
            </w:tcBorders>
            <w:shd w:val="clear" w:color="auto" w:fill="auto"/>
            <w:vAlign w:val="center"/>
            <w:hideMark/>
          </w:tcPr>
          <w:p w14:paraId="010B228C" w14:textId="77777777" w:rsidR="001C75BE" w:rsidRPr="00D7797A" w:rsidRDefault="001C75BE" w:rsidP="001C75BE">
            <w:pPr>
              <w:jc w:val="center"/>
              <w:rPr>
                <w:rFonts w:ascii="Arial" w:hAnsi="Arial" w:cs="Arial"/>
                <w:color w:val="000000"/>
              </w:rPr>
            </w:pPr>
            <w:r w:rsidRPr="00D7797A">
              <w:rPr>
                <w:rFonts w:ascii="Arial" w:hAnsi="Arial" w:cs="Arial"/>
                <w:color w:val="000000"/>
              </w:rPr>
              <w:t>Exchangeable Mg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3936" w:type="dxa"/>
            <w:tcBorders>
              <w:top w:val="nil"/>
              <w:left w:val="nil"/>
              <w:bottom w:val="nil"/>
              <w:right w:val="nil"/>
            </w:tcBorders>
            <w:shd w:val="clear" w:color="auto" w:fill="auto"/>
            <w:vAlign w:val="center"/>
            <w:hideMark/>
          </w:tcPr>
          <w:p w14:paraId="2338F934" w14:textId="77777777" w:rsidR="001C75BE" w:rsidRPr="00D7797A" w:rsidRDefault="001C75BE" w:rsidP="001C75BE">
            <w:pPr>
              <w:jc w:val="center"/>
              <w:rPr>
                <w:rFonts w:ascii="Arial" w:hAnsi="Arial" w:cs="Arial"/>
                <w:color w:val="000000"/>
              </w:rPr>
            </w:pPr>
            <w:r w:rsidRPr="00D7797A">
              <w:rPr>
                <w:rFonts w:ascii="Arial" w:hAnsi="Arial" w:cs="Arial"/>
                <w:color w:val="000000"/>
              </w:rPr>
              <w:t>0.88</w:t>
            </w:r>
            <w:r>
              <w:rPr>
                <w:rFonts w:ascii="Arial" w:hAnsi="Arial" w:cs="Arial"/>
                <w:color w:val="000000"/>
              </w:rPr>
              <w:t xml:space="preserve"> (Medium)</w:t>
            </w:r>
          </w:p>
        </w:tc>
      </w:tr>
      <w:tr w:rsidR="001C75BE" w:rsidRPr="00D7797A" w14:paraId="7E4EB4AC" w14:textId="77777777" w:rsidTr="001C75BE">
        <w:trPr>
          <w:trHeight w:val="545"/>
        </w:trPr>
        <w:tc>
          <w:tcPr>
            <w:tcW w:w="3681" w:type="dxa"/>
            <w:tcBorders>
              <w:top w:val="nil"/>
              <w:left w:val="nil"/>
              <w:bottom w:val="nil"/>
              <w:right w:val="nil"/>
            </w:tcBorders>
            <w:shd w:val="clear" w:color="auto" w:fill="auto"/>
            <w:vAlign w:val="center"/>
            <w:hideMark/>
          </w:tcPr>
          <w:p w14:paraId="7B5E13FB" w14:textId="77777777" w:rsidR="001C75BE" w:rsidRPr="00D7797A" w:rsidRDefault="001C75BE" w:rsidP="001C75BE">
            <w:pPr>
              <w:jc w:val="center"/>
              <w:rPr>
                <w:rFonts w:ascii="Arial" w:hAnsi="Arial" w:cs="Arial"/>
                <w:color w:val="000000"/>
              </w:rPr>
            </w:pPr>
            <w:r w:rsidRPr="00D7797A">
              <w:rPr>
                <w:rFonts w:ascii="Arial" w:hAnsi="Arial" w:cs="Arial"/>
                <w:color w:val="000000"/>
              </w:rPr>
              <w:t>Exchangeable Na (</w:t>
            </w:r>
            <w:proofErr w:type="spellStart"/>
            <w:r w:rsidRPr="00D7797A">
              <w:rPr>
                <w:rFonts w:ascii="Arial" w:hAnsi="Arial" w:cs="Arial"/>
                <w:color w:val="000000"/>
              </w:rPr>
              <w:t>cmol</w:t>
            </w:r>
            <w:r w:rsidRPr="00D7797A">
              <w:rPr>
                <w:rFonts w:ascii="Arial" w:hAnsi="Arial" w:cs="Arial"/>
                <w:color w:val="000000"/>
                <w:vertAlign w:val="subscript"/>
              </w:rPr>
              <w:t>c</w:t>
            </w:r>
            <w:proofErr w:type="spellEnd"/>
            <w:r w:rsidRPr="00D7797A">
              <w:rPr>
                <w:rFonts w:ascii="Arial" w:hAnsi="Arial" w:cs="Arial"/>
                <w:color w:val="000000"/>
              </w:rPr>
              <w:t xml:space="preserve"> kg</w:t>
            </w:r>
            <w:r w:rsidRPr="00D7797A">
              <w:rPr>
                <w:rFonts w:ascii="Arial" w:hAnsi="Arial" w:cs="Arial"/>
                <w:color w:val="000000"/>
                <w:vertAlign w:val="superscript"/>
              </w:rPr>
              <w:t>-1</w:t>
            </w:r>
            <w:r w:rsidRPr="00D7797A">
              <w:rPr>
                <w:rFonts w:ascii="Arial" w:hAnsi="Arial" w:cs="Arial"/>
                <w:color w:val="000000"/>
              </w:rPr>
              <w:t>)</w:t>
            </w:r>
          </w:p>
        </w:tc>
        <w:tc>
          <w:tcPr>
            <w:tcW w:w="3936" w:type="dxa"/>
            <w:tcBorders>
              <w:top w:val="nil"/>
              <w:left w:val="nil"/>
              <w:bottom w:val="nil"/>
              <w:right w:val="nil"/>
            </w:tcBorders>
            <w:shd w:val="clear" w:color="auto" w:fill="auto"/>
            <w:vAlign w:val="center"/>
            <w:hideMark/>
          </w:tcPr>
          <w:p w14:paraId="63318881" w14:textId="77777777" w:rsidR="001C75BE" w:rsidRPr="00D7797A" w:rsidRDefault="001C75BE" w:rsidP="001C75BE">
            <w:pPr>
              <w:jc w:val="center"/>
              <w:rPr>
                <w:rFonts w:ascii="Arial" w:hAnsi="Arial" w:cs="Arial"/>
                <w:color w:val="000000"/>
              </w:rPr>
            </w:pPr>
            <w:r w:rsidRPr="00D7797A">
              <w:rPr>
                <w:rFonts w:ascii="Arial" w:hAnsi="Arial" w:cs="Arial"/>
                <w:color w:val="000000"/>
              </w:rPr>
              <w:t>0.09</w:t>
            </w:r>
            <w:r>
              <w:rPr>
                <w:rFonts w:ascii="Arial" w:hAnsi="Arial" w:cs="Arial"/>
                <w:color w:val="000000"/>
              </w:rPr>
              <w:t xml:space="preserve"> (Very low)</w:t>
            </w:r>
          </w:p>
        </w:tc>
      </w:tr>
      <w:tr w:rsidR="001C75BE" w:rsidRPr="00D7797A" w14:paraId="0111DDF8" w14:textId="77777777" w:rsidTr="001C75BE">
        <w:trPr>
          <w:trHeight w:val="545"/>
        </w:trPr>
        <w:tc>
          <w:tcPr>
            <w:tcW w:w="3681" w:type="dxa"/>
            <w:tcBorders>
              <w:top w:val="nil"/>
              <w:left w:val="nil"/>
              <w:bottom w:val="nil"/>
              <w:right w:val="nil"/>
            </w:tcBorders>
            <w:shd w:val="clear" w:color="auto" w:fill="auto"/>
            <w:vAlign w:val="center"/>
            <w:hideMark/>
          </w:tcPr>
          <w:p w14:paraId="2C761555" w14:textId="77777777" w:rsidR="001C75BE" w:rsidRPr="00D7797A" w:rsidRDefault="001C75BE" w:rsidP="001C75BE">
            <w:pPr>
              <w:jc w:val="center"/>
              <w:rPr>
                <w:rFonts w:ascii="Arial" w:hAnsi="Arial" w:cs="Arial"/>
                <w:color w:val="000000"/>
              </w:rPr>
            </w:pPr>
            <w:r w:rsidRPr="00D7797A">
              <w:rPr>
                <w:rFonts w:ascii="Arial" w:hAnsi="Arial" w:cs="Arial"/>
                <w:color w:val="000000"/>
              </w:rPr>
              <w:t>Organic matter (%)</w:t>
            </w:r>
          </w:p>
        </w:tc>
        <w:tc>
          <w:tcPr>
            <w:tcW w:w="3936" w:type="dxa"/>
            <w:tcBorders>
              <w:top w:val="nil"/>
              <w:left w:val="nil"/>
              <w:bottom w:val="nil"/>
              <w:right w:val="nil"/>
            </w:tcBorders>
            <w:shd w:val="clear" w:color="auto" w:fill="auto"/>
            <w:vAlign w:val="center"/>
            <w:hideMark/>
          </w:tcPr>
          <w:p w14:paraId="491D389E" w14:textId="77777777" w:rsidR="001C75BE" w:rsidRPr="00D7797A" w:rsidRDefault="001C75BE" w:rsidP="001C75BE">
            <w:pPr>
              <w:jc w:val="center"/>
              <w:rPr>
                <w:rFonts w:ascii="Arial" w:hAnsi="Arial" w:cs="Arial"/>
                <w:color w:val="000000"/>
              </w:rPr>
            </w:pPr>
            <w:r w:rsidRPr="00D7797A">
              <w:rPr>
                <w:rFonts w:ascii="Arial" w:hAnsi="Arial" w:cs="Arial"/>
                <w:color w:val="000000"/>
              </w:rPr>
              <w:t>0.76</w:t>
            </w:r>
            <w:r>
              <w:rPr>
                <w:rFonts w:ascii="Arial" w:hAnsi="Arial" w:cs="Arial"/>
                <w:color w:val="000000"/>
              </w:rPr>
              <w:t xml:space="preserve"> (Low)</w:t>
            </w:r>
          </w:p>
        </w:tc>
      </w:tr>
      <w:tr w:rsidR="001C75BE" w:rsidRPr="00D7797A" w14:paraId="7523F7D8" w14:textId="77777777" w:rsidTr="001C75BE">
        <w:trPr>
          <w:trHeight w:val="545"/>
        </w:trPr>
        <w:tc>
          <w:tcPr>
            <w:tcW w:w="3681" w:type="dxa"/>
            <w:tcBorders>
              <w:top w:val="nil"/>
              <w:left w:val="nil"/>
              <w:bottom w:val="nil"/>
              <w:right w:val="nil"/>
            </w:tcBorders>
            <w:shd w:val="clear" w:color="auto" w:fill="auto"/>
            <w:vAlign w:val="center"/>
            <w:hideMark/>
          </w:tcPr>
          <w:p w14:paraId="257D1B08" w14:textId="77777777" w:rsidR="001C75BE" w:rsidRPr="00D7797A" w:rsidRDefault="001C75BE" w:rsidP="001C75BE">
            <w:pPr>
              <w:jc w:val="center"/>
              <w:rPr>
                <w:rFonts w:ascii="Arial" w:hAnsi="Arial" w:cs="Arial"/>
                <w:color w:val="000000"/>
              </w:rPr>
            </w:pPr>
            <w:r w:rsidRPr="00D7797A">
              <w:rPr>
                <w:rFonts w:ascii="Arial" w:hAnsi="Arial" w:cs="Arial"/>
                <w:color w:val="000000"/>
              </w:rPr>
              <w:t>Moisture (%)</w:t>
            </w:r>
          </w:p>
        </w:tc>
        <w:tc>
          <w:tcPr>
            <w:tcW w:w="3936" w:type="dxa"/>
            <w:tcBorders>
              <w:top w:val="nil"/>
              <w:left w:val="nil"/>
              <w:bottom w:val="nil"/>
              <w:right w:val="nil"/>
            </w:tcBorders>
            <w:shd w:val="clear" w:color="auto" w:fill="auto"/>
            <w:vAlign w:val="center"/>
            <w:hideMark/>
          </w:tcPr>
          <w:p w14:paraId="4B82D4A1" w14:textId="77777777" w:rsidR="001C75BE" w:rsidRPr="00D7797A" w:rsidRDefault="001C75BE" w:rsidP="001C75BE">
            <w:pPr>
              <w:jc w:val="center"/>
              <w:rPr>
                <w:rFonts w:ascii="Arial" w:hAnsi="Arial" w:cs="Arial"/>
                <w:color w:val="000000"/>
              </w:rPr>
            </w:pPr>
            <w:r w:rsidRPr="00D7797A">
              <w:rPr>
                <w:rFonts w:ascii="Arial" w:hAnsi="Arial" w:cs="Arial"/>
                <w:color w:val="000000"/>
              </w:rPr>
              <w:t>12.71</w:t>
            </w:r>
          </w:p>
        </w:tc>
      </w:tr>
      <w:tr w:rsidR="001C75BE" w:rsidRPr="00D7797A" w14:paraId="7367D39C" w14:textId="77777777" w:rsidTr="001C75BE">
        <w:trPr>
          <w:trHeight w:val="545"/>
        </w:trPr>
        <w:tc>
          <w:tcPr>
            <w:tcW w:w="3681" w:type="dxa"/>
            <w:tcBorders>
              <w:top w:val="nil"/>
              <w:left w:val="nil"/>
              <w:bottom w:val="single" w:sz="4" w:space="0" w:color="auto"/>
              <w:right w:val="nil"/>
            </w:tcBorders>
            <w:shd w:val="clear" w:color="auto" w:fill="auto"/>
            <w:vAlign w:val="center"/>
            <w:hideMark/>
          </w:tcPr>
          <w:p w14:paraId="7FE80968" w14:textId="77777777" w:rsidR="001C75BE" w:rsidRPr="00D7797A" w:rsidRDefault="001C75BE" w:rsidP="001C75BE">
            <w:pPr>
              <w:jc w:val="center"/>
              <w:rPr>
                <w:rFonts w:ascii="Arial" w:hAnsi="Arial" w:cs="Arial"/>
                <w:color w:val="000000"/>
              </w:rPr>
            </w:pPr>
            <w:r w:rsidRPr="00D7797A">
              <w:rPr>
                <w:rFonts w:ascii="Arial" w:hAnsi="Arial" w:cs="Arial"/>
                <w:color w:val="000000"/>
              </w:rPr>
              <w:t>pH</w:t>
            </w:r>
          </w:p>
        </w:tc>
        <w:tc>
          <w:tcPr>
            <w:tcW w:w="3936" w:type="dxa"/>
            <w:tcBorders>
              <w:top w:val="nil"/>
              <w:left w:val="nil"/>
              <w:bottom w:val="single" w:sz="4" w:space="0" w:color="auto"/>
              <w:right w:val="nil"/>
            </w:tcBorders>
            <w:shd w:val="clear" w:color="auto" w:fill="auto"/>
            <w:vAlign w:val="center"/>
            <w:hideMark/>
          </w:tcPr>
          <w:p w14:paraId="03BDE960" w14:textId="77777777" w:rsidR="001C75BE" w:rsidRDefault="001C75BE" w:rsidP="001C75BE">
            <w:pPr>
              <w:jc w:val="center"/>
              <w:rPr>
                <w:rFonts w:ascii="Arial" w:hAnsi="Arial" w:cs="Arial"/>
                <w:color w:val="000000"/>
              </w:rPr>
            </w:pPr>
            <w:r w:rsidRPr="00D7797A">
              <w:rPr>
                <w:rFonts w:ascii="Arial" w:hAnsi="Arial" w:cs="Arial"/>
                <w:color w:val="000000"/>
              </w:rPr>
              <w:t>6</w:t>
            </w:r>
          </w:p>
          <w:p w14:paraId="27AEAE77" w14:textId="77777777" w:rsidR="001C75BE" w:rsidRPr="00D7797A" w:rsidRDefault="001C75BE" w:rsidP="001C75BE">
            <w:pPr>
              <w:jc w:val="center"/>
              <w:rPr>
                <w:rFonts w:ascii="Arial" w:hAnsi="Arial" w:cs="Arial"/>
                <w:color w:val="000000"/>
              </w:rPr>
            </w:pPr>
            <w:r>
              <w:rPr>
                <w:rFonts w:ascii="Arial" w:hAnsi="Arial" w:cs="Arial"/>
                <w:color w:val="000000"/>
              </w:rPr>
              <w:t>(Moderately acid)</w:t>
            </w:r>
          </w:p>
        </w:tc>
      </w:tr>
    </w:tbl>
    <w:p w14:paraId="157C69D9" w14:textId="77777777" w:rsidR="001C75BE" w:rsidRPr="00D61F92" w:rsidRDefault="001C75BE" w:rsidP="001C75BE">
      <w:pPr>
        <w:spacing w:after="120" w:line="360" w:lineRule="auto"/>
        <w:jc w:val="both"/>
        <w:rPr>
          <w:rFonts w:ascii="Arial" w:hAnsi="Arial" w:cs="Arial"/>
        </w:rPr>
      </w:pPr>
    </w:p>
    <w:p w14:paraId="50644D5F" w14:textId="77777777" w:rsidR="001C75BE" w:rsidRDefault="001C75BE" w:rsidP="00BE5A61">
      <w:pPr>
        <w:spacing w:after="120" w:line="360" w:lineRule="auto"/>
        <w:jc w:val="both"/>
        <w:rPr>
          <w:rFonts w:ascii="Arial" w:hAnsi="Arial" w:cs="Arial"/>
          <w:b/>
          <w:bCs/>
          <w:sz w:val="22"/>
          <w:szCs w:val="22"/>
        </w:rPr>
      </w:pPr>
    </w:p>
    <w:p w14:paraId="18CBB5FD" w14:textId="77777777" w:rsidR="001C75BE" w:rsidRDefault="001C75BE" w:rsidP="00BE5A61">
      <w:pPr>
        <w:spacing w:after="120" w:line="360" w:lineRule="auto"/>
        <w:jc w:val="both"/>
        <w:rPr>
          <w:rFonts w:ascii="Arial" w:hAnsi="Arial" w:cs="Arial"/>
          <w:b/>
          <w:bCs/>
          <w:sz w:val="22"/>
          <w:szCs w:val="22"/>
        </w:rPr>
      </w:pPr>
    </w:p>
    <w:p w14:paraId="6A726A33" w14:textId="77777777" w:rsidR="001C75BE" w:rsidRDefault="001C75BE" w:rsidP="00BE5A61">
      <w:pPr>
        <w:spacing w:after="120" w:line="360" w:lineRule="auto"/>
        <w:jc w:val="both"/>
        <w:rPr>
          <w:rFonts w:ascii="Arial" w:hAnsi="Arial" w:cs="Arial"/>
          <w:b/>
          <w:bCs/>
          <w:sz w:val="22"/>
          <w:szCs w:val="22"/>
        </w:rPr>
      </w:pPr>
    </w:p>
    <w:p w14:paraId="21884318" w14:textId="77777777" w:rsidR="001C75BE" w:rsidRDefault="001C75BE" w:rsidP="00BE5A61">
      <w:pPr>
        <w:spacing w:after="120" w:line="360" w:lineRule="auto"/>
        <w:jc w:val="both"/>
        <w:rPr>
          <w:rFonts w:ascii="Arial" w:hAnsi="Arial" w:cs="Arial"/>
          <w:b/>
          <w:bCs/>
          <w:sz w:val="22"/>
          <w:szCs w:val="22"/>
        </w:rPr>
      </w:pPr>
    </w:p>
    <w:p w14:paraId="487EA706" w14:textId="77777777" w:rsidR="001C75BE" w:rsidRDefault="001C75BE" w:rsidP="00BE5A61">
      <w:pPr>
        <w:spacing w:after="120" w:line="360" w:lineRule="auto"/>
        <w:jc w:val="both"/>
        <w:rPr>
          <w:rFonts w:ascii="Arial" w:hAnsi="Arial" w:cs="Arial"/>
          <w:b/>
          <w:bCs/>
          <w:sz w:val="22"/>
          <w:szCs w:val="22"/>
        </w:rPr>
      </w:pPr>
    </w:p>
    <w:p w14:paraId="7CC48D74" w14:textId="77777777" w:rsidR="001C75BE" w:rsidRDefault="001C75BE" w:rsidP="00BE5A61">
      <w:pPr>
        <w:spacing w:after="120" w:line="360" w:lineRule="auto"/>
        <w:jc w:val="both"/>
        <w:rPr>
          <w:rFonts w:ascii="Arial" w:hAnsi="Arial" w:cs="Arial"/>
          <w:b/>
          <w:bCs/>
          <w:sz w:val="22"/>
          <w:szCs w:val="22"/>
        </w:rPr>
      </w:pPr>
    </w:p>
    <w:p w14:paraId="3D660D5B" w14:textId="77777777" w:rsidR="001C75BE" w:rsidRDefault="001C75BE" w:rsidP="00BE5A61">
      <w:pPr>
        <w:spacing w:after="120" w:line="360" w:lineRule="auto"/>
        <w:jc w:val="both"/>
        <w:rPr>
          <w:rFonts w:ascii="Arial" w:hAnsi="Arial" w:cs="Arial"/>
          <w:b/>
          <w:bCs/>
          <w:sz w:val="22"/>
          <w:szCs w:val="22"/>
        </w:rPr>
      </w:pPr>
    </w:p>
    <w:p w14:paraId="1E5A937C" w14:textId="77777777" w:rsidR="001C75BE" w:rsidRDefault="001C75BE" w:rsidP="00BE5A61">
      <w:pPr>
        <w:spacing w:after="120" w:line="360" w:lineRule="auto"/>
        <w:jc w:val="both"/>
        <w:rPr>
          <w:rFonts w:ascii="Arial" w:hAnsi="Arial" w:cs="Arial"/>
          <w:b/>
          <w:bCs/>
          <w:sz w:val="22"/>
          <w:szCs w:val="22"/>
        </w:rPr>
      </w:pPr>
    </w:p>
    <w:p w14:paraId="7C4B0868" w14:textId="77777777" w:rsidR="001C75BE" w:rsidRDefault="001C75BE" w:rsidP="00BE5A61">
      <w:pPr>
        <w:spacing w:after="120" w:line="360" w:lineRule="auto"/>
        <w:jc w:val="both"/>
        <w:rPr>
          <w:rFonts w:ascii="Arial" w:hAnsi="Arial" w:cs="Arial"/>
          <w:b/>
          <w:bCs/>
          <w:sz w:val="22"/>
          <w:szCs w:val="22"/>
        </w:rPr>
      </w:pPr>
    </w:p>
    <w:p w14:paraId="260863C8" w14:textId="77777777" w:rsidR="001C75BE" w:rsidRDefault="001C75BE" w:rsidP="00BE5A61">
      <w:pPr>
        <w:spacing w:after="120" w:line="360" w:lineRule="auto"/>
        <w:jc w:val="both"/>
        <w:rPr>
          <w:rFonts w:ascii="Arial" w:hAnsi="Arial" w:cs="Arial"/>
          <w:b/>
          <w:bCs/>
          <w:sz w:val="22"/>
          <w:szCs w:val="22"/>
        </w:rPr>
      </w:pPr>
    </w:p>
    <w:p w14:paraId="3D4518CE" w14:textId="77777777" w:rsidR="001C75BE" w:rsidRDefault="001C75BE" w:rsidP="00BE5A61">
      <w:pPr>
        <w:spacing w:after="120" w:line="360" w:lineRule="auto"/>
        <w:jc w:val="both"/>
        <w:rPr>
          <w:rFonts w:ascii="Arial" w:hAnsi="Arial" w:cs="Arial"/>
          <w:b/>
          <w:bCs/>
          <w:sz w:val="22"/>
          <w:szCs w:val="22"/>
        </w:rPr>
      </w:pPr>
    </w:p>
    <w:p w14:paraId="7AE66A52" w14:textId="77777777" w:rsidR="001C75BE" w:rsidRDefault="001C75BE" w:rsidP="00BE5A61">
      <w:pPr>
        <w:spacing w:after="120" w:line="360" w:lineRule="auto"/>
        <w:jc w:val="both"/>
        <w:rPr>
          <w:rFonts w:ascii="Arial" w:hAnsi="Arial" w:cs="Arial"/>
          <w:b/>
          <w:bCs/>
          <w:sz w:val="22"/>
          <w:szCs w:val="22"/>
        </w:rPr>
      </w:pPr>
    </w:p>
    <w:p w14:paraId="65DF3B88" w14:textId="77777777" w:rsidR="001C75BE" w:rsidRDefault="001C75BE" w:rsidP="00BE5A61">
      <w:pPr>
        <w:spacing w:after="120" w:line="360" w:lineRule="auto"/>
        <w:jc w:val="both"/>
        <w:rPr>
          <w:rFonts w:ascii="Arial" w:hAnsi="Arial" w:cs="Arial"/>
          <w:b/>
          <w:bCs/>
          <w:sz w:val="22"/>
          <w:szCs w:val="22"/>
        </w:rPr>
      </w:pPr>
    </w:p>
    <w:p w14:paraId="38F7D3EF" w14:textId="77777777" w:rsidR="001C75BE" w:rsidRDefault="001C75BE" w:rsidP="00BE5A61">
      <w:pPr>
        <w:spacing w:after="120" w:line="360" w:lineRule="auto"/>
        <w:jc w:val="both"/>
        <w:rPr>
          <w:rFonts w:ascii="Arial" w:hAnsi="Arial" w:cs="Arial"/>
          <w:b/>
          <w:bCs/>
          <w:sz w:val="22"/>
          <w:szCs w:val="22"/>
        </w:rPr>
      </w:pPr>
    </w:p>
    <w:p w14:paraId="76631A26" w14:textId="64DAEE66" w:rsidR="001C75BE" w:rsidRDefault="001C75BE" w:rsidP="00BE5A61">
      <w:pPr>
        <w:spacing w:after="120" w:line="360" w:lineRule="auto"/>
        <w:jc w:val="both"/>
        <w:rPr>
          <w:rFonts w:ascii="Arial" w:hAnsi="Arial" w:cs="Arial"/>
          <w:b/>
          <w:bCs/>
          <w:sz w:val="22"/>
          <w:szCs w:val="22"/>
        </w:rPr>
      </w:pPr>
    </w:p>
    <w:p w14:paraId="3DF8A615" w14:textId="3A34991E" w:rsidR="00825864" w:rsidRDefault="00825864" w:rsidP="00BE5A61">
      <w:pPr>
        <w:spacing w:after="120" w:line="360" w:lineRule="auto"/>
        <w:jc w:val="both"/>
        <w:rPr>
          <w:rFonts w:ascii="Arial" w:hAnsi="Arial" w:cs="Arial"/>
          <w:b/>
          <w:bCs/>
          <w:sz w:val="22"/>
          <w:szCs w:val="22"/>
        </w:rPr>
      </w:pPr>
      <w:r>
        <w:rPr>
          <w:noProof/>
        </w:rPr>
        <w:drawing>
          <wp:inline distT="0" distB="0" distL="0" distR="0" wp14:anchorId="53815599" wp14:editId="23BDAC8B">
            <wp:extent cx="2487295" cy="2164080"/>
            <wp:effectExtent l="0" t="0" r="825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295" cy="2164080"/>
                    </a:xfrm>
                    <a:prstGeom prst="rect">
                      <a:avLst/>
                    </a:prstGeom>
                    <a:noFill/>
                  </pic:spPr>
                </pic:pic>
              </a:graphicData>
            </a:graphic>
          </wp:inline>
        </w:drawing>
      </w:r>
      <w:r>
        <w:rPr>
          <w:rFonts w:ascii="Arial" w:hAnsi="Arial" w:cs="Arial"/>
          <w:b/>
          <w:bCs/>
          <w:sz w:val="22"/>
          <w:szCs w:val="22"/>
        </w:rPr>
        <w:t xml:space="preserve"> </w:t>
      </w:r>
      <w:r>
        <w:rPr>
          <w:noProof/>
        </w:rPr>
        <w:drawing>
          <wp:inline distT="0" distB="0" distL="0" distR="0" wp14:anchorId="0EE2EFD7" wp14:editId="3317B9B6">
            <wp:extent cx="2651760" cy="21640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760" cy="2164080"/>
                    </a:xfrm>
                    <a:prstGeom prst="rect">
                      <a:avLst/>
                    </a:prstGeom>
                    <a:noFill/>
                  </pic:spPr>
                </pic:pic>
              </a:graphicData>
            </a:graphic>
          </wp:inline>
        </w:drawing>
      </w:r>
    </w:p>
    <w:p w14:paraId="4AAE2A5B" w14:textId="095CC0BC" w:rsidR="00825864" w:rsidRPr="009730E9" w:rsidRDefault="00825864" w:rsidP="009730E9">
      <w:pPr>
        <w:tabs>
          <w:tab w:val="left" w:pos="900"/>
        </w:tabs>
        <w:spacing w:after="120" w:line="360" w:lineRule="auto"/>
        <w:ind w:left="990" w:hanging="990"/>
        <w:jc w:val="both"/>
        <w:rPr>
          <w:rFonts w:ascii="Arial" w:hAnsi="Arial" w:cs="Arial"/>
          <w:b/>
          <w:bCs/>
        </w:rPr>
      </w:pPr>
      <w:r w:rsidRPr="009730E9">
        <w:rPr>
          <w:rFonts w:ascii="Arial" w:hAnsi="Arial" w:cs="Arial"/>
          <w:b/>
          <w:bCs/>
        </w:rPr>
        <w:t>Fig</w:t>
      </w:r>
      <w:r w:rsidR="009730E9" w:rsidRPr="009730E9">
        <w:rPr>
          <w:rFonts w:ascii="Arial" w:hAnsi="Arial" w:cs="Arial"/>
          <w:b/>
          <w:bCs/>
        </w:rPr>
        <w:t>ure</w:t>
      </w:r>
      <w:r w:rsidR="000B4663" w:rsidRPr="009730E9">
        <w:rPr>
          <w:rFonts w:ascii="Arial" w:hAnsi="Arial" w:cs="Arial"/>
          <w:b/>
          <w:bCs/>
        </w:rPr>
        <w:t xml:space="preserve"> </w:t>
      </w:r>
      <w:r w:rsidRPr="009730E9">
        <w:rPr>
          <w:rFonts w:ascii="Arial" w:hAnsi="Arial" w:cs="Arial"/>
          <w:b/>
          <w:bCs/>
        </w:rPr>
        <w:t>1.  Monthly rainfall, maximum and minimum temperature during experimental periods</w:t>
      </w:r>
      <w:r w:rsidR="009730E9" w:rsidRPr="009730E9">
        <w:rPr>
          <w:rFonts w:ascii="Arial" w:hAnsi="Arial" w:cs="Arial"/>
          <w:b/>
          <w:bCs/>
        </w:rPr>
        <w:t xml:space="preserve"> </w:t>
      </w:r>
      <w:r w:rsidRPr="009730E9">
        <w:rPr>
          <w:rFonts w:ascii="Arial" w:hAnsi="Arial" w:cs="Arial"/>
          <w:b/>
          <w:bCs/>
        </w:rPr>
        <w:t xml:space="preserve">in </w:t>
      </w:r>
      <w:proofErr w:type="spellStart"/>
      <w:r w:rsidRPr="009730E9">
        <w:rPr>
          <w:rFonts w:ascii="Arial" w:hAnsi="Arial" w:cs="Arial"/>
          <w:b/>
          <w:bCs/>
        </w:rPr>
        <w:t>Yezin</w:t>
      </w:r>
      <w:proofErr w:type="spellEnd"/>
    </w:p>
    <w:p w14:paraId="7321EAC1" w14:textId="77777777" w:rsidR="00825864" w:rsidRDefault="00825864" w:rsidP="00BE5A61">
      <w:pPr>
        <w:spacing w:after="120" w:line="360" w:lineRule="auto"/>
        <w:jc w:val="both"/>
        <w:rPr>
          <w:rFonts w:ascii="Arial" w:hAnsi="Arial" w:cs="Arial"/>
          <w:b/>
          <w:bCs/>
          <w:sz w:val="22"/>
          <w:szCs w:val="22"/>
        </w:rPr>
      </w:pPr>
    </w:p>
    <w:p w14:paraId="35FDFF59" w14:textId="77777777" w:rsidR="00825864" w:rsidRDefault="00825864" w:rsidP="00BE5A61">
      <w:pPr>
        <w:spacing w:after="120" w:line="360" w:lineRule="auto"/>
        <w:jc w:val="both"/>
        <w:rPr>
          <w:rFonts w:ascii="Arial" w:hAnsi="Arial" w:cs="Arial"/>
          <w:b/>
          <w:bCs/>
          <w:sz w:val="22"/>
          <w:szCs w:val="22"/>
        </w:rPr>
      </w:pPr>
    </w:p>
    <w:p w14:paraId="5BBF303E" w14:textId="7737E2A0" w:rsidR="00BD7BD3" w:rsidRDefault="00240FDF" w:rsidP="00BE5A61">
      <w:pPr>
        <w:spacing w:after="120" w:line="360" w:lineRule="auto"/>
        <w:jc w:val="both"/>
        <w:rPr>
          <w:rFonts w:ascii="Arial" w:hAnsi="Arial" w:cs="Arial"/>
          <w:b/>
          <w:bCs/>
          <w:sz w:val="22"/>
          <w:szCs w:val="22"/>
        </w:rPr>
      </w:pPr>
      <w:r>
        <w:rPr>
          <w:rFonts w:ascii="Arial" w:hAnsi="Arial" w:cs="Arial"/>
          <w:b/>
          <w:bCs/>
          <w:sz w:val="22"/>
          <w:szCs w:val="22"/>
        </w:rPr>
        <w:lastRenderedPageBreak/>
        <w:t xml:space="preserve"> </w:t>
      </w:r>
    </w:p>
    <w:p w14:paraId="62A742EC" w14:textId="29E5F7E0" w:rsidR="00BE5A61" w:rsidRPr="005628E0" w:rsidRDefault="00BE5A61" w:rsidP="00BE5A61">
      <w:pPr>
        <w:spacing w:after="120" w:line="360" w:lineRule="auto"/>
        <w:jc w:val="both"/>
        <w:rPr>
          <w:rFonts w:ascii="Arial" w:hAnsi="Arial" w:cs="Arial"/>
          <w:b/>
          <w:bCs/>
          <w:sz w:val="22"/>
          <w:szCs w:val="22"/>
        </w:rPr>
      </w:pPr>
      <w:r w:rsidRPr="005628E0">
        <w:rPr>
          <w:rFonts w:ascii="Arial" w:hAnsi="Arial" w:cs="Arial"/>
          <w:b/>
          <w:bCs/>
          <w:sz w:val="22"/>
          <w:szCs w:val="22"/>
        </w:rPr>
        <w:t>2.5 Data Collection and Calculation</w:t>
      </w:r>
    </w:p>
    <w:p w14:paraId="45BF4EA5" w14:textId="77777777" w:rsidR="00BE5A61" w:rsidRPr="005628E0" w:rsidRDefault="00BE5A61" w:rsidP="00BE5A61">
      <w:pPr>
        <w:spacing w:line="360" w:lineRule="auto"/>
        <w:jc w:val="both"/>
        <w:rPr>
          <w:rFonts w:ascii="Arial" w:hAnsi="Arial" w:cs="Arial"/>
          <w:b/>
          <w:bCs/>
          <w:sz w:val="22"/>
          <w:szCs w:val="22"/>
        </w:rPr>
      </w:pPr>
      <w:r w:rsidRPr="005628E0">
        <w:rPr>
          <w:rFonts w:ascii="Arial" w:hAnsi="Arial" w:cs="Arial"/>
          <w:b/>
          <w:bCs/>
          <w:sz w:val="22"/>
          <w:szCs w:val="22"/>
        </w:rPr>
        <w:t>Growth Parameters</w:t>
      </w:r>
    </w:p>
    <w:p w14:paraId="5738F3E5" w14:textId="77777777" w:rsidR="00BE5A61" w:rsidRDefault="00BE5A61" w:rsidP="00BE5A61">
      <w:pPr>
        <w:spacing w:after="120" w:line="360" w:lineRule="auto"/>
        <w:ind w:firstLine="720"/>
        <w:jc w:val="both"/>
        <w:rPr>
          <w:rFonts w:ascii="Arial" w:hAnsi="Arial" w:cs="Arial"/>
          <w:shd w:val="clear" w:color="auto" w:fill="FFFFFF"/>
        </w:rPr>
      </w:pPr>
      <w:r w:rsidRPr="00F53B02">
        <w:rPr>
          <w:rFonts w:ascii="Arial" w:hAnsi="Arial" w:cs="Arial"/>
        </w:rPr>
        <w:t xml:space="preserve">Plant height was measured weekly from 21 to 70 DAS </w:t>
      </w:r>
      <w:r>
        <w:rPr>
          <w:rFonts w:ascii="Arial" w:hAnsi="Arial" w:cs="Arial"/>
        </w:rPr>
        <w:t xml:space="preserve">on five tagged plants per plot using a meter scale </w:t>
      </w:r>
      <w:r w:rsidRPr="003F7EC4">
        <w:rPr>
          <w:rFonts w:ascii="Arial" w:hAnsi="Arial" w:cs="Arial"/>
        </w:rPr>
        <w:t>from the base to the uppermost growing point of the plant</w:t>
      </w:r>
      <w:r>
        <w:rPr>
          <w:rFonts w:ascii="Arial" w:hAnsi="Arial" w:cs="Arial"/>
        </w:rPr>
        <w:t xml:space="preserve">. </w:t>
      </w:r>
      <w:r w:rsidRPr="00F53B02">
        <w:rPr>
          <w:rFonts w:ascii="Arial" w:hAnsi="Arial" w:cs="Arial"/>
        </w:rPr>
        <w:t xml:space="preserve">The number of branches </w:t>
      </w:r>
      <w:r>
        <w:rPr>
          <w:rFonts w:ascii="Arial" w:hAnsi="Arial" w:cs="Arial"/>
        </w:rPr>
        <w:t>per plant was</w:t>
      </w:r>
      <w:r w:rsidRPr="00F53B02">
        <w:rPr>
          <w:rFonts w:ascii="Arial" w:hAnsi="Arial" w:cs="Arial"/>
        </w:rPr>
        <w:t xml:space="preserve"> recorded at harvest from five</w:t>
      </w:r>
      <w:r>
        <w:rPr>
          <w:rFonts w:ascii="Arial" w:hAnsi="Arial" w:cs="Arial"/>
        </w:rPr>
        <w:t xml:space="preserve"> </w:t>
      </w:r>
      <w:r w:rsidRPr="00F53B02">
        <w:rPr>
          <w:rFonts w:ascii="Arial" w:hAnsi="Arial" w:cs="Arial"/>
        </w:rPr>
        <w:t>randomly selected plants</w:t>
      </w:r>
      <w:r>
        <w:rPr>
          <w:rFonts w:ascii="Arial" w:hAnsi="Arial" w:cs="Arial"/>
        </w:rPr>
        <w:t xml:space="preserve"> per plot</w:t>
      </w:r>
      <w:r w:rsidRPr="00F53B02">
        <w:rPr>
          <w:rFonts w:ascii="Arial" w:hAnsi="Arial" w:cs="Arial"/>
        </w:rPr>
        <w:t xml:space="preserve">. </w:t>
      </w:r>
      <w:r>
        <w:rPr>
          <w:rFonts w:ascii="Arial" w:hAnsi="Arial" w:cs="Arial"/>
        </w:rPr>
        <w:t xml:space="preserve">Total dry matter (TDM) was measured at 10-day intervals from 30 to 70 DAS. Five plants per plot were oven-dried at </w:t>
      </w:r>
      <w:r w:rsidRPr="00F53B02">
        <w:rPr>
          <w:rFonts w:ascii="Arial" w:hAnsi="Arial" w:cs="Arial"/>
          <w:shd w:val="clear" w:color="auto" w:fill="FFFFFF"/>
        </w:rPr>
        <w:t>70 °C</w:t>
      </w:r>
      <w:r>
        <w:rPr>
          <w:rFonts w:ascii="Arial" w:hAnsi="Arial" w:cs="Arial"/>
          <w:shd w:val="clear" w:color="auto" w:fill="FFFFFF"/>
        </w:rPr>
        <w:t xml:space="preserve"> for 72 hours, and dry weights of leaves, stems, and reproductive parts were recorded. </w:t>
      </w:r>
    </w:p>
    <w:p w14:paraId="3EF17DDF" w14:textId="77777777" w:rsidR="00BE5A61" w:rsidRDefault="00BE5A61" w:rsidP="00BE5A61">
      <w:pPr>
        <w:spacing w:after="120" w:line="360" w:lineRule="auto"/>
        <w:jc w:val="both"/>
        <w:rPr>
          <w:rFonts w:ascii="Arial" w:hAnsi="Arial" w:cs="Arial"/>
        </w:rPr>
      </w:pPr>
      <w:r w:rsidRPr="00297A99">
        <w:rPr>
          <w:rFonts w:ascii="Arial" w:hAnsi="Arial" w:cs="Arial"/>
          <w:b/>
          <w:bCs/>
        </w:rPr>
        <w:t xml:space="preserve">SPAD </w:t>
      </w:r>
      <w:proofErr w:type="gramStart"/>
      <w:r w:rsidRPr="00297A99">
        <w:rPr>
          <w:rFonts w:ascii="Arial" w:hAnsi="Arial" w:cs="Arial"/>
          <w:b/>
          <w:bCs/>
        </w:rPr>
        <w:t>value</w:t>
      </w:r>
      <w:r>
        <w:rPr>
          <w:rFonts w:ascii="Arial" w:hAnsi="Arial" w:cs="Arial"/>
        </w:rPr>
        <w:t xml:space="preserve"> :</w:t>
      </w:r>
      <w:proofErr w:type="gramEnd"/>
      <w:r>
        <w:rPr>
          <w:rFonts w:ascii="Arial" w:hAnsi="Arial" w:cs="Arial"/>
        </w:rPr>
        <w:t xml:space="preserve"> Chlorophyll content was estimated using a SPAD meter at 58 DAS on five randomly selected plants per plot. </w:t>
      </w:r>
    </w:p>
    <w:p w14:paraId="51769A25" w14:textId="77777777" w:rsidR="00BE5A61" w:rsidRDefault="00BE5A61" w:rsidP="00BE5A61">
      <w:pPr>
        <w:spacing w:line="360" w:lineRule="auto"/>
        <w:jc w:val="both"/>
        <w:rPr>
          <w:rFonts w:ascii="Arial" w:hAnsi="Arial" w:cs="Arial"/>
          <w:shd w:val="clear" w:color="auto" w:fill="FFFFFF"/>
        </w:rPr>
      </w:pPr>
      <w:r w:rsidRPr="00297A99">
        <w:rPr>
          <w:rFonts w:ascii="Arial" w:hAnsi="Arial" w:cs="Arial"/>
          <w:b/>
          <w:bCs/>
          <w:shd w:val="clear" w:color="auto" w:fill="FFFFFF"/>
        </w:rPr>
        <w:t>Leaf area index (LAI)</w:t>
      </w:r>
      <w:r w:rsidRPr="003871DF">
        <w:rPr>
          <w:rFonts w:ascii="Arial" w:hAnsi="Arial" w:cs="Arial"/>
          <w:shd w:val="clear" w:color="auto" w:fill="FFFFFF"/>
        </w:rPr>
        <w:t xml:space="preserve">: </w:t>
      </w:r>
      <w:r>
        <w:rPr>
          <w:rFonts w:ascii="Arial" w:hAnsi="Arial" w:cs="Arial"/>
        </w:rPr>
        <w:t>L</w:t>
      </w:r>
      <w:r w:rsidRPr="00F53B02">
        <w:rPr>
          <w:rFonts w:ascii="Arial" w:hAnsi="Arial" w:cs="Arial"/>
        </w:rPr>
        <w:t xml:space="preserve">eaf area index (LAI) </w:t>
      </w:r>
      <w:r>
        <w:rPr>
          <w:rFonts w:ascii="Arial" w:hAnsi="Arial" w:cs="Arial"/>
        </w:rPr>
        <w:t xml:space="preserve">was determined at 10-day intervals from 30 to 70 DAS using a Li-Cor 3100 leaf area meter. </w:t>
      </w:r>
      <w:r w:rsidRPr="00F53B02">
        <w:rPr>
          <w:rFonts w:ascii="Arial" w:hAnsi="Arial" w:cs="Arial"/>
        </w:rPr>
        <w:t>LAI</w:t>
      </w:r>
      <w:r>
        <w:rPr>
          <w:rFonts w:ascii="Arial" w:hAnsi="Arial" w:cs="Arial"/>
        </w:rPr>
        <w:t xml:space="preserve"> </w:t>
      </w:r>
      <w:r w:rsidRPr="00F53B02">
        <w:rPr>
          <w:rFonts w:ascii="Arial" w:hAnsi="Arial" w:cs="Arial"/>
        </w:rPr>
        <w:t xml:space="preserve">was calculated </w:t>
      </w:r>
      <w:r>
        <w:rPr>
          <w:rFonts w:ascii="Arial" w:hAnsi="Arial" w:cs="Arial"/>
        </w:rPr>
        <w:t>as the ratio of total leaf area to ground area</w:t>
      </w:r>
      <w:r w:rsidRPr="003871DF">
        <w:rPr>
          <w:rFonts w:ascii="Arial" w:hAnsi="Arial" w:cs="Arial"/>
          <w:shd w:val="clear" w:color="auto" w:fill="FFFFFF"/>
        </w:rPr>
        <w:t xml:space="preserve"> by the formula described by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Pr>
          <w:rFonts w:ascii="Arial" w:hAnsi="Arial" w:cs="Arial"/>
          <w:shd w:val="clear" w:color="auto" w:fill="FFFFFF"/>
        </w:rPr>
        <w:fldChar w:fldCharType="end"/>
      </w:r>
      <w:r w:rsidRPr="003871DF">
        <w:rPr>
          <w:rFonts w:ascii="Arial" w:hAnsi="Arial" w:cs="Arial"/>
          <w:shd w:val="clear" w:color="auto" w:fill="FFFFFF"/>
        </w:rPr>
        <w:t>.</w:t>
      </w:r>
    </w:p>
    <w:p w14:paraId="4E0457E1" w14:textId="77777777" w:rsidR="00BE5A61" w:rsidRDefault="00BE5A61" w:rsidP="00BE5A61">
      <w:pPr>
        <w:spacing w:line="360" w:lineRule="auto"/>
        <w:jc w:val="both"/>
        <w:rPr>
          <w:rFonts w:ascii="Arial" w:hAnsi="Arial" w:cs="Arial"/>
          <w:shd w:val="clear" w:color="auto" w:fill="FFFFFF"/>
        </w:rPr>
      </w:pPr>
    </w:p>
    <w:p w14:paraId="17AC35CC" w14:textId="77777777" w:rsidR="00BE5A61" w:rsidRDefault="00BE5A61" w:rsidP="00BE5A61">
      <w:pPr>
        <w:spacing w:line="360" w:lineRule="auto"/>
        <w:ind w:firstLine="720"/>
        <w:jc w:val="center"/>
        <w:rPr>
          <w:rFonts w:ascii="Arial" w:eastAsiaTheme="minorEastAsia" w:hAnsi="Arial" w:cs="Arial"/>
          <w:iCs/>
          <w:shd w:val="clear" w:color="auto" w:fill="FFFFFF"/>
        </w:rPr>
      </w:pPr>
      <w:r w:rsidRPr="00297A99">
        <w:rPr>
          <w:rFonts w:ascii="Arial" w:hAnsi="Arial" w:cs="Arial"/>
          <w:b/>
          <w:bCs/>
          <w:shd w:val="clear" w:color="auto" w:fill="FFFFFF"/>
        </w:rPr>
        <w:t>LAI</w:t>
      </w:r>
      <w:r>
        <w:rPr>
          <w:rFonts w:ascii="Arial" w:hAnsi="Arial" w:cs="Arial"/>
          <w:shd w:val="clear" w:color="auto" w:fill="FFFFFF"/>
        </w:rPr>
        <w:t xml:space="preserve"> =</w:t>
      </w:r>
      <w:r w:rsidRPr="00297A99">
        <w:rPr>
          <w:rFonts w:ascii="Arial" w:hAnsi="Arial" w:cs="Arial"/>
          <w:iCs/>
          <w:shd w:val="clear" w:color="auto" w:fill="FFFFFF"/>
        </w:rPr>
        <w:t xml:space="preserve"> </w:t>
      </w:r>
      <m:oMath>
        <m:f>
          <m:fPr>
            <m:ctrlPr>
              <w:rPr>
                <w:rFonts w:ascii="Cambria Math" w:hAnsi="Cambria Math" w:cs="Arial"/>
                <w:iCs/>
                <w:sz w:val="26"/>
                <w:szCs w:val="26"/>
                <w:shd w:val="clear" w:color="auto" w:fill="FFFFFF"/>
              </w:rPr>
            </m:ctrlPr>
          </m:fPr>
          <m:num>
            <m:r>
              <m:rPr>
                <m:nor/>
              </m:rPr>
              <w:rPr>
                <w:rFonts w:ascii="Arial" w:hAnsi="Arial" w:cs="Arial"/>
                <w:sz w:val="26"/>
                <w:szCs w:val="26"/>
                <w:shd w:val="clear" w:color="auto" w:fill="FFFFFF"/>
              </w:rPr>
              <m:t>Leaf area</m:t>
            </m:r>
          </m:num>
          <m:den>
            <m:r>
              <m:rPr>
                <m:nor/>
              </m:rPr>
              <w:rPr>
                <w:rFonts w:ascii="Arial" w:hAnsi="Arial" w:cs="Arial"/>
                <w:sz w:val="26"/>
                <w:szCs w:val="26"/>
                <w:shd w:val="clear" w:color="auto" w:fill="FFFFFF"/>
              </w:rPr>
              <m:t>Ground area</m:t>
            </m:r>
          </m:den>
        </m:f>
      </m:oMath>
    </w:p>
    <w:p w14:paraId="44988B88" w14:textId="77777777" w:rsidR="00BE5A61" w:rsidRPr="00A261E7" w:rsidRDefault="00BE5A61" w:rsidP="00BE5A61">
      <w:pPr>
        <w:spacing w:line="360" w:lineRule="auto"/>
        <w:jc w:val="both"/>
        <w:rPr>
          <w:rFonts w:ascii="Arial" w:hAnsi="Arial" w:cs="Arial"/>
        </w:rPr>
      </w:pPr>
      <w:r w:rsidRPr="00297A99">
        <w:rPr>
          <w:rFonts w:ascii="Arial" w:hAnsi="Arial" w:cs="Arial"/>
          <w:b/>
          <w:bCs/>
          <w:shd w:val="clear" w:color="auto" w:fill="FFFFFF"/>
        </w:rPr>
        <w:t>Crop growth rate (CGR)</w:t>
      </w:r>
      <w:r w:rsidRPr="00A261E7">
        <w:rPr>
          <w:rFonts w:ascii="Arial" w:hAnsi="Arial" w:cs="Arial"/>
          <w:shd w:val="clear" w:color="auto" w:fill="FFFFFF"/>
        </w:rPr>
        <w:t xml:space="preserve">: CGR of </w:t>
      </w:r>
      <w:proofErr w:type="spellStart"/>
      <w:r>
        <w:rPr>
          <w:rFonts w:ascii="Arial" w:hAnsi="Arial" w:cs="Arial"/>
          <w:shd w:val="clear" w:color="auto" w:fill="FFFFFF"/>
        </w:rPr>
        <w:t>mungbean</w:t>
      </w:r>
      <w:proofErr w:type="spellEnd"/>
      <w:r>
        <w:rPr>
          <w:rFonts w:ascii="Arial" w:hAnsi="Arial" w:cs="Arial"/>
          <w:shd w:val="clear" w:color="auto" w:fill="FFFFFF"/>
        </w:rPr>
        <w:t xml:space="preserve"> </w:t>
      </w:r>
      <w:r w:rsidRPr="00A261E7">
        <w:rPr>
          <w:rFonts w:ascii="Arial" w:hAnsi="Arial" w:cs="Arial"/>
          <w:shd w:val="clear" w:color="auto" w:fill="FFFFFF"/>
        </w:rPr>
        <w:t>was measured in g m</w:t>
      </w:r>
      <w:r w:rsidRPr="00A261E7">
        <w:rPr>
          <w:rFonts w:ascii="Arial" w:hAnsi="Arial" w:cs="Arial"/>
          <w:shd w:val="clear" w:color="auto" w:fill="FFFFFF"/>
          <w:vertAlign w:val="superscript"/>
        </w:rPr>
        <w:t xml:space="preserve">-2 </w:t>
      </w:r>
      <w:r w:rsidRPr="00A261E7">
        <w:rPr>
          <w:rFonts w:ascii="Arial" w:hAnsi="Arial" w:cs="Arial"/>
          <w:shd w:val="clear" w:color="auto" w:fill="FFFFFF"/>
        </w:rPr>
        <w:t>day</w:t>
      </w:r>
      <w:r w:rsidRPr="00A261E7">
        <w:rPr>
          <w:rFonts w:ascii="Arial" w:hAnsi="Arial" w:cs="Arial"/>
          <w:shd w:val="clear" w:color="auto" w:fill="FFFFFF"/>
          <w:vertAlign w:val="superscript"/>
        </w:rPr>
        <w:t>-1</w:t>
      </w:r>
      <w:r>
        <w:rPr>
          <w:rFonts w:ascii="Arial" w:hAnsi="Arial" w:cs="Arial"/>
          <w:shd w:val="clear" w:color="auto" w:fill="FFFFFF"/>
        </w:rPr>
        <w:t xml:space="preserve"> </w:t>
      </w:r>
      <w:r w:rsidRPr="00A261E7">
        <w:rPr>
          <w:rFonts w:ascii="Arial" w:hAnsi="Arial" w:cs="Arial"/>
          <w:shd w:val="clear" w:color="auto" w:fill="FFFFFF"/>
        </w:rPr>
        <w:t xml:space="preserve">by the formula,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{"citationItems":[{"id":"ITEM-1","itemData":{"author":[{"dropping-particle":"","family":"Watson","given":"D. J.","non-dropping-particle":"","parse-names":false,"suffix":""}],"id":"ITEM-1","issue":"11","issued":{"date-parts":[["1947"]]},"page":"41-76","title":"Comparative physiological studies on the growth of field crops: I. Variation in net assimilation rate and leaf area between species and varieties, and within and between years. Annals of botany.","type":"article-journal","volume":"41"},"uris":["http://www.mendeley.com/documents/?uuid=60b91418-26a1-4580-83b7-8a10a5b04ca3"]}],"mendeley":{"formattedCitation":"(Watson, 1947)","manualFormatting":"Watson, (1947)","plainTextFormattedCitation":"(Watson, 1947)","previouslyFormattedCitation":"(Watson, 1947)"},"properties":{"noteIndex":0},"schema":"https://github.com/citation-style-language/schema/raw/master/csl-citation.json"}</w:instrText>
      </w:r>
      <w:r>
        <w:rPr>
          <w:rFonts w:ascii="Arial" w:hAnsi="Arial" w:cs="Arial"/>
          <w:shd w:val="clear" w:color="auto" w:fill="FFFFFF"/>
        </w:rPr>
        <w:fldChar w:fldCharType="separate"/>
      </w:r>
      <w:r w:rsidRPr="00B65CE6">
        <w:rPr>
          <w:rFonts w:ascii="Arial" w:hAnsi="Arial" w:cs="Arial"/>
          <w:noProof/>
          <w:shd w:val="clear" w:color="auto" w:fill="FFFFFF"/>
        </w:rPr>
        <w:t xml:space="preserve">Watson, </w:t>
      </w:r>
      <w:r>
        <w:rPr>
          <w:rFonts w:ascii="Arial" w:hAnsi="Arial" w:cs="Arial"/>
          <w:noProof/>
          <w:shd w:val="clear" w:color="auto" w:fill="FFFFFF"/>
        </w:rPr>
        <w:t>(</w:t>
      </w:r>
      <w:r w:rsidRPr="00B65CE6">
        <w:rPr>
          <w:rFonts w:ascii="Arial" w:hAnsi="Arial" w:cs="Arial"/>
          <w:noProof/>
          <w:shd w:val="clear" w:color="auto" w:fill="FFFFFF"/>
        </w:rPr>
        <w:t>1947)</w:t>
      </w:r>
      <w:r>
        <w:rPr>
          <w:rFonts w:ascii="Arial" w:hAnsi="Arial" w:cs="Arial"/>
          <w:shd w:val="clear" w:color="auto" w:fill="FFFFFF"/>
        </w:rPr>
        <w:fldChar w:fldCharType="end"/>
      </w:r>
      <w:r w:rsidRPr="00A261E7">
        <w:rPr>
          <w:rFonts w:ascii="Arial" w:hAnsi="Arial" w:cs="Arial"/>
          <w:shd w:val="clear" w:color="auto" w:fill="FFFFFF"/>
        </w:rPr>
        <w:t>.</w:t>
      </w:r>
    </w:p>
    <w:p w14:paraId="2B2DB1A1" w14:textId="77777777" w:rsidR="00BE5A61" w:rsidRPr="00297A99" w:rsidRDefault="00BE5A61" w:rsidP="00BE5A61">
      <w:pPr>
        <w:spacing w:line="360" w:lineRule="auto"/>
        <w:ind w:firstLine="720"/>
        <w:jc w:val="center"/>
        <w:rPr>
          <w:rFonts w:ascii="Arial" w:eastAsiaTheme="minorEastAsia" w:hAnsi="Arial" w:cs="Arial"/>
          <w:shd w:val="clear" w:color="auto" w:fill="FFFFFF"/>
        </w:rPr>
      </w:pPr>
      <m:oMathPara>
        <m:oMath>
          <m:r>
            <m:rPr>
              <m:nor/>
            </m:rPr>
            <w:rPr>
              <w:rFonts w:ascii="Arial" w:hAnsi="Arial" w:cs="Arial"/>
              <w:b/>
              <w:bCs/>
              <w:shd w:val="clear" w:color="auto" w:fill="FFFFFF"/>
            </w:rPr>
            <m:t>CGR</m:t>
          </m:r>
          <m:r>
            <m:rPr>
              <m:nor/>
            </m:rPr>
            <w:rPr>
              <w:rFonts w:ascii="Cambria Math" w:hAnsi="Arial" w:cs="Arial"/>
              <w:shd w:val="clear" w:color="auto" w:fill="FFFFFF"/>
            </w:rPr>
            <m:t xml:space="preserve"> </m:t>
          </m:r>
          <m:r>
            <m:rPr>
              <m:nor/>
            </m:rPr>
            <w:rPr>
              <w:rFonts w:ascii="Arial" w:hAnsi="Arial" w:cs="Arial"/>
              <w:shd w:val="clear" w:color="auto" w:fill="FFFFFF"/>
            </w:rPr>
            <m:t>=</m:t>
          </m:r>
          <m:f>
            <m:fPr>
              <m:ctrlPr>
                <w:rPr>
                  <w:rFonts w:ascii="Cambria Math" w:hAnsi="Cambria Math" w:cs="Arial"/>
                  <w:shd w:val="clear" w:color="auto" w:fill="FFFFFF"/>
                </w:rPr>
              </m:ctrlPr>
            </m:fPr>
            <m:num>
              <m:r>
                <m:rPr>
                  <m:nor/>
                </m:rPr>
                <w:rPr>
                  <w:rFonts w:ascii="Arial" w:hAnsi="Arial" w:cs="Arial"/>
                  <w:shd w:val="clear" w:color="auto" w:fill="FFFFFF"/>
                </w:rPr>
                <m:t>(W2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W1)</m:t>
              </m:r>
            </m:num>
            <m:den>
              <m:r>
                <m:rPr>
                  <m:nor/>
                </m:rPr>
                <w:rPr>
                  <w:rFonts w:ascii="Arial" w:hAnsi="Arial" w:cs="Arial"/>
                  <w:shd w:val="clear" w:color="auto" w:fill="FFFFFF"/>
                </w:rPr>
                <m:t>(T2</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T1)</m:t>
              </m:r>
              <m:r>
                <m:rPr>
                  <m:nor/>
                </m:rPr>
                <w:rPr>
                  <w:rFonts w:ascii="Cambria Math" w:hAnsi="Arial" w:cs="Arial"/>
                  <w:shd w:val="clear" w:color="auto" w:fill="FFFFFF"/>
                </w:rPr>
                <m:t xml:space="preserve"> </m:t>
              </m:r>
              <m:r>
                <m:rPr>
                  <m:nor/>
                </m:rPr>
                <w:rPr>
                  <w:rFonts w:ascii="Arial" w:hAnsi="Arial" w:cs="Arial"/>
                  <w:shd w:val="clear" w:color="auto" w:fill="FFFFFF"/>
                </w:rPr>
                <m:t>×</m:t>
              </m:r>
              <m:r>
                <m:rPr>
                  <m:nor/>
                </m:rPr>
                <w:rPr>
                  <w:rFonts w:ascii="Cambria Math" w:hAnsi="Arial" w:cs="Arial"/>
                  <w:shd w:val="clear" w:color="auto" w:fill="FFFFFF"/>
                </w:rPr>
                <m:t xml:space="preserve"> </m:t>
              </m:r>
              <m:r>
                <m:rPr>
                  <m:nor/>
                </m:rPr>
                <w:rPr>
                  <w:rFonts w:ascii="Arial" w:hAnsi="Arial" w:cs="Arial"/>
                  <w:shd w:val="clear" w:color="auto" w:fill="FFFFFF"/>
                </w:rPr>
                <m:t>Area</m:t>
              </m:r>
            </m:den>
          </m:f>
        </m:oMath>
      </m:oMathPara>
    </w:p>
    <w:p w14:paraId="1304436F" w14:textId="77777777" w:rsidR="00BE5A61" w:rsidRDefault="00BE5A61" w:rsidP="00BE5A61">
      <w:pPr>
        <w:spacing w:line="360" w:lineRule="auto"/>
        <w:rPr>
          <w:rFonts w:ascii="Arial" w:hAnsi="Arial" w:cs="Arial"/>
          <w:shd w:val="clear" w:color="auto" w:fill="FFFFFF"/>
        </w:rPr>
      </w:pPr>
      <w:r>
        <w:rPr>
          <w:rFonts w:ascii="Arial" w:hAnsi="Arial" w:cs="Arial"/>
          <w:shd w:val="clear" w:color="auto" w:fill="FFFFFF"/>
        </w:rPr>
        <w:t>Where,</w:t>
      </w:r>
    </w:p>
    <w:p w14:paraId="259BB9EA" w14:textId="77777777" w:rsidR="00BE5A61" w:rsidRDefault="00BE5A61" w:rsidP="00BE5A61">
      <w:pPr>
        <w:spacing w:line="360" w:lineRule="auto"/>
        <w:ind w:firstLine="720"/>
        <w:rPr>
          <w:rFonts w:ascii="Arial" w:hAnsi="Arial" w:cs="Arial"/>
          <w:shd w:val="clear" w:color="auto" w:fill="FFFFFF"/>
        </w:rPr>
      </w:pPr>
      <w:r>
        <w:rPr>
          <w:rFonts w:ascii="Arial" w:hAnsi="Arial" w:cs="Arial"/>
          <w:shd w:val="clear" w:color="auto" w:fill="FFFFFF"/>
        </w:rPr>
        <w:t>W1 and W</w:t>
      </w:r>
      <w:proofErr w:type="gramStart"/>
      <w:r>
        <w:rPr>
          <w:rFonts w:ascii="Arial" w:hAnsi="Arial" w:cs="Arial"/>
          <w:shd w:val="clear" w:color="auto" w:fill="FFFFFF"/>
        </w:rPr>
        <w:t>2  =</w:t>
      </w:r>
      <w:proofErr w:type="gramEnd"/>
      <w:r>
        <w:rPr>
          <w:rFonts w:ascii="Arial" w:hAnsi="Arial" w:cs="Arial"/>
          <w:shd w:val="clear" w:color="auto" w:fill="FFFFFF"/>
        </w:rPr>
        <w:t xml:space="preserve">  total dry weight of plant</w:t>
      </w:r>
    </w:p>
    <w:p w14:paraId="62380F83" w14:textId="77777777" w:rsidR="00BE5A61" w:rsidRDefault="00BE5A61" w:rsidP="00BE5A61">
      <w:pPr>
        <w:spacing w:line="360" w:lineRule="auto"/>
        <w:rPr>
          <w:rFonts w:ascii="Arial" w:hAnsi="Arial" w:cs="Arial"/>
          <w:shd w:val="clear" w:color="auto" w:fill="FFFFFF"/>
        </w:rPr>
      </w:pPr>
      <w:r>
        <w:rPr>
          <w:rFonts w:ascii="Arial" w:hAnsi="Arial" w:cs="Arial"/>
          <w:shd w:val="clear" w:color="auto" w:fill="FFFFFF"/>
        </w:rPr>
        <w:t xml:space="preserve"> </w:t>
      </w:r>
      <w:r>
        <w:rPr>
          <w:rFonts w:ascii="Arial" w:hAnsi="Arial" w:cs="Arial"/>
          <w:shd w:val="clear" w:color="auto" w:fill="FFFFFF"/>
        </w:rPr>
        <w:tab/>
        <w:t xml:space="preserve">T1 and T2    </w:t>
      </w:r>
      <w:proofErr w:type="gramStart"/>
      <w:r>
        <w:rPr>
          <w:rFonts w:ascii="Arial" w:hAnsi="Arial" w:cs="Arial"/>
          <w:shd w:val="clear" w:color="auto" w:fill="FFFFFF"/>
        </w:rPr>
        <w:t>=  sampling</w:t>
      </w:r>
      <w:proofErr w:type="gramEnd"/>
      <w:r>
        <w:rPr>
          <w:rFonts w:ascii="Arial" w:hAnsi="Arial" w:cs="Arial"/>
          <w:shd w:val="clear" w:color="auto" w:fill="FFFFFF"/>
        </w:rPr>
        <w:t xml:space="preserve"> times</w:t>
      </w:r>
    </w:p>
    <w:p w14:paraId="1BB7F5B3" w14:textId="77777777" w:rsidR="00BE5A61" w:rsidRDefault="00BE5A61" w:rsidP="00BE5A61">
      <w:pPr>
        <w:spacing w:line="360" w:lineRule="auto"/>
        <w:rPr>
          <w:rFonts w:ascii="Arial" w:hAnsi="Arial" w:cs="Arial"/>
          <w:shd w:val="clear" w:color="auto" w:fill="FFFFFF"/>
        </w:rPr>
      </w:pPr>
    </w:p>
    <w:p w14:paraId="0A7F6C6D" w14:textId="0585F60B" w:rsidR="00BE5A61" w:rsidRDefault="00BE5A61" w:rsidP="00605D82">
      <w:pPr>
        <w:spacing w:line="360" w:lineRule="auto"/>
        <w:ind w:firstLine="720"/>
        <w:jc w:val="both"/>
        <w:rPr>
          <w:rFonts w:ascii="Arial" w:hAnsi="Arial" w:cs="Arial"/>
        </w:rPr>
      </w:pPr>
      <w:r>
        <w:rPr>
          <w:rFonts w:ascii="Arial" w:hAnsi="Arial" w:cs="Arial"/>
        </w:rPr>
        <w:t>N</w:t>
      </w:r>
      <w:r w:rsidRPr="009C5A00">
        <w:rPr>
          <w:rFonts w:ascii="Arial" w:hAnsi="Arial" w:cs="Arial"/>
        </w:rPr>
        <w:t>umber</w:t>
      </w:r>
      <w:r>
        <w:rPr>
          <w:rFonts w:ascii="Arial" w:hAnsi="Arial" w:cs="Arial"/>
        </w:rPr>
        <w:t xml:space="preserve"> of</w:t>
      </w:r>
      <w:r w:rsidRPr="009C5A00">
        <w:rPr>
          <w:rFonts w:ascii="Arial" w:hAnsi="Arial" w:cs="Arial"/>
        </w:rPr>
        <w:t xml:space="preserve"> pod</w:t>
      </w:r>
      <w:r>
        <w:rPr>
          <w:rFonts w:ascii="Arial" w:hAnsi="Arial" w:cs="Arial"/>
        </w:rPr>
        <w:t>s</w:t>
      </w:r>
      <w:r w:rsidRPr="009C5A00">
        <w:rPr>
          <w:rFonts w:ascii="Arial" w:hAnsi="Arial" w:cs="Arial"/>
        </w:rPr>
        <w:t xml:space="preserve"> </w:t>
      </w:r>
      <w:r>
        <w:rPr>
          <w:rFonts w:ascii="Arial" w:hAnsi="Arial" w:cs="Arial"/>
        </w:rPr>
        <w:t>per plant</w:t>
      </w:r>
      <w:r w:rsidRPr="009C5A00">
        <w:rPr>
          <w:rFonts w:ascii="Arial" w:hAnsi="Arial" w:cs="Arial"/>
        </w:rPr>
        <w:t xml:space="preserve"> </w:t>
      </w:r>
      <w:r>
        <w:rPr>
          <w:rFonts w:ascii="Arial" w:hAnsi="Arial" w:cs="Arial"/>
        </w:rPr>
        <w:t xml:space="preserve">was counted from five randomly selected plants per plot at harvest. </w:t>
      </w:r>
      <w:r w:rsidRPr="009C5A00">
        <w:rPr>
          <w:rFonts w:ascii="Arial" w:hAnsi="Arial" w:cs="Arial"/>
        </w:rPr>
        <w:t xml:space="preserve">Pod length was </w:t>
      </w:r>
      <w:r>
        <w:rPr>
          <w:rFonts w:ascii="Arial" w:hAnsi="Arial" w:cs="Arial"/>
        </w:rPr>
        <w:t xml:space="preserve">measured from ten randomly collected pods per plot. </w:t>
      </w:r>
      <w:r w:rsidRPr="009C5A00">
        <w:rPr>
          <w:rFonts w:ascii="Arial" w:hAnsi="Arial" w:cs="Arial"/>
        </w:rPr>
        <w:t>The number of seeds per pod was determined</w:t>
      </w:r>
      <w:r>
        <w:rPr>
          <w:rFonts w:ascii="Arial" w:hAnsi="Arial" w:cs="Arial"/>
        </w:rPr>
        <w:t xml:space="preserve"> </w:t>
      </w:r>
      <w:r w:rsidRPr="009C5A00">
        <w:rPr>
          <w:rFonts w:ascii="Arial" w:hAnsi="Arial" w:cs="Arial"/>
        </w:rPr>
        <w:t xml:space="preserve">using </w:t>
      </w:r>
      <w:r>
        <w:rPr>
          <w:rFonts w:ascii="Arial" w:hAnsi="Arial" w:cs="Arial"/>
        </w:rPr>
        <w:t>10</w:t>
      </w:r>
      <w:r w:rsidRPr="009C5A00">
        <w:rPr>
          <w:rFonts w:ascii="Arial" w:hAnsi="Arial" w:cs="Arial"/>
        </w:rPr>
        <w:t xml:space="preserve"> pods per </w:t>
      </w:r>
      <w:r>
        <w:rPr>
          <w:rFonts w:ascii="Arial" w:hAnsi="Arial" w:cs="Arial"/>
        </w:rPr>
        <w:t>plot</w:t>
      </w:r>
      <w:r w:rsidRPr="009C5A00">
        <w:rPr>
          <w:rFonts w:ascii="Arial" w:hAnsi="Arial" w:cs="Arial"/>
        </w:rPr>
        <w:t xml:space="preserve">. Hundred seed weight was </w:t>
      </w:r>
      <w:r>
        <w:rPr>
          <w:rFonts w:ascii="Arial" w:hAnsi="Arial" w:cs="Arial"/>
        </w:rPr>
        <w:t>weighed from a random sample of 100 seeds per plot using an electrical balance. Shelling percentage (%) was calculated by dividing the weight of seeds by the weight of the pods and multiplying by 100.</w:t>
      </w:r>
      <w:r w:rsidRPr="00B84F75">
        <w:rPr>
          <w:rFonts w:ascii="Arial" w:hAnsi="Arial" w:cs="Arial"/>
        </w:rPr>
        <w:t xml:space="preserve">The harvest index was </w:t>
      </w:r>
      <w:r>
        <w:rPr>
          <w:rFonts w:ascii="Arial" w:hAnsi="Arial" w:cs="Arial"/>
        </w:rPr>
        <w:t>estimated</w:t>
      </w:r>
      <w:r w:rsidRPr="00B84F75">
        <w:rPr>
          <w:rFonts w:ascii="Arial" w:hAnsi="Arial" w:cs="Arial"/>
        </w:rPr>
        <w:t xml:space="preserve"> by dividing the seed yield and biological yield</w:t>
      </w:r>
      <w:r>
        <w:rPr>
          <w:rFonts w:ascii="Arial" w:hAnsi="Arial" w:cs="Arial"/>
        </w:rPr>
        <w:t xml:space="preserve"> </w:t>
      </w:r>
      <w:r w:rsidRPr="00B84F75">
        <w:rPr>
          <w:rFonts w:ascii="Arial" w:hAnsi="Arial" w:cs="Arial"/>
        </w:rPr>
        <w:t xml:space="preserve">from the same area and multiplying the result by 100 </w:t>
      </w:r>
      <w:r>
        <w:rPr>
          <w:rFonts w:ascii="Arial" w:hAnsi="Arial" w:cs="Arial"/>
        </w:rPr>
        <w:fldChar w:fldCharType="begin" w:fldLock="1"/>
      </w:r>
      <w:r>
        <w:rPr>
          <w:rFonts w:ascii="Arial" w:hAnsi="Arial" w:cs="Arial"/>
        </w:rPr>
        <w:instrText>ADDIN CSL_CITATION {"citationItems":[{"id":"ITEM-1","itemData":{"author":[{"dropping-particle":"","family":"Gardner","given":"R.","non-dropping-particle":"","parse-names":false,"suffix":""},{"dropping-particle":"","family":"Pearce","given":"B.","non-dropping-particle":"","parse-names":false,"suffix":""},{"dropping-particle":"","family":"Mitchell","given":"R. L.","non-dropping-particle":"","parse-names":false,"suffix":""}],"id":"ITEM-1","issued":{"date-parts":[["1985"]]},"page":"327","title":"Physiology of crop plants. Iowa state university press in Ames p.","type":"article-journal"},"uris":["http://www.mendeley.com/documents/?uuid=236a3545-d127-42a2-860d-8b35ab531715"]}],"mendeley":{"formattedCitation":"(Gardner et al., 1985)","plainTextFormattedCitation":"(Gardner et al., 1985)","previouslyFormattedCitation":"(Gardner et al., 1985)"},"properties":{"noteIndex":0},"schema":"https://github.com/citation-style-language/schema/raw/master/csl-citation.json"}</w:instrText>
      </w:r>
      <w:r>
        <w:rPr>
          <w:rFonts w:ascii="Arial" w:hAnsi="Arial" w:cs="Arial"/>
        </w:rPr>
        <w:fldChar w:fldCharType="separate"/>
      </w:r>
      <w:r w:rsidRPr="00874023">
        <w:rPr>
          <w:rFonts w:ascii="Arial" w:hAnsi="Arial" w:cs="Arial"/>
          <w:noProof/>
        </w:rPr>
        <w:t>(Gardner et al., 1985)</w:t>
      </w:r>
      <w:r>
        <w:rPr>
          <w:rFonts w:ascii="Arial" w:hAnsi="Arial" w:cs="Arial"/>
        </w:rPr>
        <w:fldChar w:fldCharType="end"/>
      </w:r>
      <w:r w:rsidRPr="00B84F75">
        <w:rPr>
          <w:rFonts w:ascii="Arial" w:hAnsi="Arial" w:cs="Arial"/>
        </w:rPr>
        <w:t>.</w:t>
      </w:r>
      <w:r>
        <w:rPr>
          <w:rFonts w:ascii="Arial" w:hAnsi="Arial" w:cs="Arial"/>
        </w:rPr>
        <w:t xml:space="preserve"> </w:t>
      </w:r>
      <w:r w:rsidRPr="00F53B02">
        <w:rPr>
          <w:rFonts w:ascii="Arial" w:hAnsi="Arial" w:cs="Arial"/>
        </w:rPr>
        <w:t>Total seed yield was calculated from the actual harvest area per plot and converted to kilograms per hectare (kg ha</w:t>
      </w:r>
      <w:r w:rsidRPr="00F53B02">
        <w:rPr>
          <w:rFonts w:ascii="Cambria Math" w:hAnsi="Cambria Math" w:cs="Cambria Math"/>
          <w:vertAlign w:val="superscript"/>
        </w:rPr>
        <w:t>-</w:t>
      </w:r>
      <w:r w:rsidRPr="00F53B02">
        <w:rPr>
          <w:rFonts w:ascii="Arial" w:hAnsi="Arial" w:cs="Arial"/>
          <w:vertAlign w:val="superscript"/>
        </w:rPr>
        <w:t>1</w:t>
      </w:r>
      <w:r w:rsidRPr="00F53B02">
        <w:rPr>
          <w:rFonts w:ascii="Arial" w:hAnsi="Arial" w:cs="Arial"/>
        </w:rPr>
        <w:t>)</w:t>
      </w:r>
      <w:r>
        <w:rPr>
          <w:rFonts w:ascii="Arial" w:hAnsi="Arial" w:cs="Arial"/>
        </w:rPr>
        <w:t xml:space="preserve"> and adjusted to 12% moisture content.</w:t>
      </w:r>
    </w:p>
    <w:p w14:paraId="17EF5DCA"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2.6 Statistical Analysis</w:t>
      </w:r>
    </w:p>
    <w:p w14:paraId="6D594CC8" w14:textId="460C0035" w:rsidR="00097FB2" w:rsidRPr="00097FB2" w:rsidRDefault="00BE5A61" w:rsidP="00605D82">
      <w:pPr>
        <w:spacing w:before="120" w:after="120" w:line="360" w:lineRule="auto"/>
        <w:ind w:firstLine="720"/>
        <w:jc w:val="both"/>
        <w:rPr>
          <w:rFonts w:ascii="Arial" w:hAnsi="Arial" w:cs="Arial"/>
        </w:rPr>
      </w:pPr>
      <w:r w:rsidRPr="00D61F92">
        <w:rPr>
          <w:rFonts w:ascii="Arial" w:hAnsi="Arial" w:cs="Arial"/>
        </w:rPr>
        <w:t xml:space="preserve">All collected data were subjected to analysis of variance (ANOVA) using </w:t>
      </w:r>
      <w:proofErr w:type="spellStart"/>
      <w:r w:rsidRPr="00D61F92">
        <w:rPr>
          <w:rFonts w:ascii="Arial" w:hAnsi="Arial" w:cs="Arial"/>
        </w:rPr>
        <w:t>Statistix</w:t>
      </w:r>
      <w:proofErr w:type="spellEnd"/>
      <w:r w:rsidRPr="00D61F92">
        <w:rPr>
          <w:rFonts w:ascii="Arial" w:hAnsi="Arial" w:cs="Arial"/>
        </w:rPr>
        <w:t xml:space="preserve"> 8.0 software. Significant differences among treatment means were separated using the Least Significant Difference (LSD) test at the </w:t>
      </w:r>
      <w:r>
        <w:rPr>
          <w:rFonts w:ascii="Arial" w:hAnsi="Arial" w:cs="Arial"/>
        </w:rPr>
        <w:t xml:space="preserve">0.05 </w:t>
      </w:r>
      <w:r w:rsidRPr="00D61F92">
        <w:rPr>
          <w:rFonts w:ascii="Arial" w:hAnsi="Arial" w:cs="Arial"/>
        </w:rPr>
        <w:t xml:space="preserve">% probability level. </w:t>
      </w:r>
    </w:p>
    <w:p w14:paraId="2A55A514" w14:textId="1AD6F905"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lastRenderedPageBreak/>
        <w:t>3. Results and Discussion</w:t>
      </w:r>
    </w:p>
    <w:p w14:paraId="32AAC3BD" w14:textId="77777777" w:rsidR="00BE5A61" w:rsidRPr="005628E0" w:rsidRDefault="00BE5A61" w:rsidP="00BE5A61">
      <w:pPr>
        <w:spacing w:before="120" w:after="120" w:line="360" w:lineRule="auto"/>
        <w:jc w:val="both"/>
        <w:rPr>
          <w:rFonts w:ascii="Arial" w:hAnsi="Arial" w:cs="Arial"/>
          <w:b/>
          <w:bCs/>
          <w:sz w:val="22"/>
          <w:szCs w:val="22"/>
        </w:rPr>
      </w:pPr>
      <w:r w:rsidRPr="005628E0">
        <w:rPr>
          <w:rFonts w:ascii="Arial" w:hAnsi="Arial" w:cs="Arial"/>
          <w:b/>
          <w:bCs/>
          <w:sz w:val="22"/>
          <w:szCs w:val="22"/>
        </w:rPr>
        <w:t>3.1 Plant Height</w:t>
      </w:r>
    </w:p>
    <w:p w14:paraId="6F0D7C8D" w14:textId="082E83AC" w:rsidR="00AE0EAA" w:rsidRPr="00AE0EAA" w:rsidRDefault="009730E9" w:rsidP="009730E9">
      <w:pPr>
        <w:spacing w:before="120" w:after="240" w:line="360" w:lineRule="auto"/>
        <w:ind w:firstLine="720"/>
        <w:jc w:val="both"/>
        <w:rPr>
          <w:rFonts w:ascii="Arial" w:hAnsi="Arial" w:cs="Arial"/>
        </w:rPr>
      </w:pPr>
      <w:r w:rsidRPr="00D7797A">
        <w:rPr>
          <w:rFonts w:ascii="Arial" w:hAnsi="Arial" w:cs="Arial"/>
          <w:noProof/>
        </w:rPr>
        <w:drawing>
          <wp:anchor distT="0" distB="0" distL="114300" distR="114300" simplePos="0" relativeHeight="251682304" behindDoc="0" locked="0" layoutInCell="1" allowOverlap="1" wp14:anchorId="683DF763" wp14:editId="0FD2BF72">
            <wp:simplePos x="0" y="0"/>
            <wp:positionH relativeFrom="column">
              <wp:posOffset>2715407</wp:posOffset>
            </wp:positionH>
            <wp:positionV relativeFrom="paragraph">
              <wp:posOffset>2797426</wp:posOffset>
            </wp:positionV>
            <wp:extent cx="2669540" cy="1799590"/>
            <wp:effectExtent l="0" t="0" r="16510" b="10160"/>
            <wp:wrapTopAndBottom/>
            <wp:docPr id="999972918" name="Chart 999972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Pr="00D7797A">
        <w:rPr>
          <w:rFonts w:ascii="Arial" w:hAnsi="Arial" w:cs="Arial"/>
          <w:noProof/>
        </w:rPr>
        <w:drawing>
          <wp:anchor distT="0" distB="0" distL="114300" distR="114300" simplePos="0" relativeHeight="251664896" behindDoc="0" locked="0" layoutInCell="1" allowOverlap="1" wp14:anchorId="749A4B73" wp14:editId="51AE6091">
            <wp:simplePos x="0" y="0"/>
            <wp:positionH relativeFrom="margin">
              <wp:posOffset>95531</wp:posOffset>
            </wp:positionH>
            <wp:positionV relativeFrom="paragraph">
              <wp:posOffset>2799154</wp:posOffset>
            </wp:positionV>
            <wp:extent cx="2535555" cy="1799590"/>
            <wp:effectExtent l="0" t="0" r="17145" b="10160"/>
            <wp:wrapTopAndBottom/>
            <wp:docPr id="875473304" name="Chart 875473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AE0EAA">
        <w:rPr>
          <w:rFonts w:ascii="Arial" w:hAnsi="Arial" w:cs="Arial"/>
        </w:rPr>
        <w:t>The f</w:t>
      </w:r>
      <w:r w:rsidR="00AE0EAA" w:rsidRPr="00D61F92">
        <w:rPr>
          <w:rFonts w:ascii="Arial" w:hAnsi="Arial" w:cs="Arial"/>
        </w:rPr>
        <w:t>oliar application of GA</w:t>
      </w:r>
      <w:r w:rsidR="00AE0EAA" w:rsidRPr="002A7A68">
        <w:rPr>
          <w:rFonts w:ascii="Arial" w:hAnsi="Arial" w:cs="Arial"/>
          <w:vertAlign w:val="subscript"/>
        </w:rPr>
        <w:t>3</w:t>
      </w:r>
      <w:r w:rsidR="00AE0EAA" w:rsidRPr="00D61F92">
        <w:rPr>
          <w:rFonts w:ascii="Arial" w:hAnsi="Arial" w:cs="Arial"/>
        </w:rPr>
        <w:t xml:space="preserve"> significantly </w:t>
      </w:r>
      <w:r w:rsidR="00AE0EAA">
        <w:rPr>
          <w:rFonts w:ascii="Arial" w:hAnsi="Arial" w:cs="Arial"/>
        </w:rPr>
        <w:t>affect</w:t>
      </w:r>
      <w:r w:rsidR="00AE0EAA" w:rsidRPr="00D61F92">
        <w:rPr>
          <w:rFonts w:ascii="Arial" w:hAnsi="Arial" w:cs="Arial"/>
        </w:rPr>
        <w:t xml:space="preserve">ed plant height </w:t>
      </w:r>
      <w:r w:rsidR="00AE0EAA">
        <w:rPr>
          <w:rFonts w:ascii="Arial" w:hAnsi="Arial" w:cs="Arial"/>
        </w:rPr>
        <w:t xml:space="preserve">in </w:t>
      </w:r>
      <w:r w:rsidR="00AE0EAA" w:rsidRPr="00D61F92">
        <w:rPr>
          <w:rFonts w:ascii="Arial" w:hAnsi="Arial" w:cs="Arial"/>
        </w:rPr>
        <w:t>both experimental seasons (2023</w:t>
      </w:r>
      <w:r w:rsidR="00AE0EAA">
        <w:rPr>
          <w:rFonts w:ascii="Arial" w:hAnsi="Arial" w:cs="Arial"/>
        </w:rPr>
        <w:t>-</w:t>
      </w:r>
      <w:r w:rsidR="00AE0EAA" w:rsidRPr="00D61F92">
        <w:rPr>
          <w:rFonts w:ascii="Arial" w:hAnsi="Arial" w:cs="Arial"/>
        </w:rPr>
        <w:t>24 and 2024</w:t>
      </w:r>
      <w:r w:rsidR="00AE0EAA">
        <w:rPr>
          <w:rFonts w:ascii="Arial" w:hAnsi="Arial" w:cs="Arial"/>
        </w:rPr>
        <w:t>-</w:t>
      </w:r>
      <w:r w:rsidR="00AE0EAA" w:rsidRPr="00D61F92">
        <w:rPr>
          <w:rFonts w:ascii="Arial" w:hAnsi="Arial" w:cs="Arial"/>
        </w:rPr>
        <w:t>25). The tallest plants were recorded for treatment T</w:t>
      </w:r>
      <w:r w:rsidR="00AE0EAA" w:rsidRPr="00082ECD">
        <w:rPr>
          <w:rFonts w:ascii="Arial" w:hAnsi="Arial" w:cs="Arial"/>
          <w:vertAlign w:val="subscript"/>
        </w:rPr>
        <w:t>9</w:t>
      </w:r>
      <w:r w:rsidR="00AE0EAA" w:rsidRPr="00D61F92">
        <w:rPr>
          <w:rFonts w:ascii="Arial" w:hAnsi="Arial" w:cs="Arial"/>
        </w:rPr>
        <w:t xml:space="preserve"> (100 ppm GA</w:t>
      </w:r>
      <w:r w:rsidR="00AE0EAA" w:rsidRPr="004357BD">
        <w:rPr>
          <w:rFonts w:ascii="Arial" w:hAnsi="Arial" w:cs="Arial"/>
          <w:vertAlign w:val="subscript"/>
        </w:rPr>
        <w:t>3</w:t>
      </w:r>
      <w:r w:rsidR="00AE0EAA" w:rsidRPr="00D61F92">
        <w:rPr>
          <w:rFonts w:ascii="Arial" w:hAnsi="Arial" w:cs="Arial"/>
        </w:rPr>
        <w:t xml:space="preserve"> applied at both 20 and 40 DAS), reaching 56.75 cm and 67.22 cm at 70 DAS in the respective seasons (Fig. </w:t>
      </w:r>
      <w:r w:rsidR="00EF6F86">
        <w:rPr>
          <w:rFonts w:ascii="Arial" w:hAnsi="Arial" w:cs="Arial"/>
        </w:rPr>
        <w:t>2</w:t>
      </w:r>
      <w:r w:rsidR="00AE0EAA" w:rsidRPr="00D61F92">
        <w:rPr>
          <w:rFonts w:ascii="Arial" w:hAnsi="Arial" w:cs="Arial"/>
        </w:rPr>
        <w:t xml:space="preserve">A and </w:t>
      </w:r>
      <w:r w:rsidR="00EF6F86">
        <w:rPr>
          <w:rFonts w:ascii="Arial" w:hAnsi="Arial" w:cs="Arial"/>
        </w:rPr>
        <w:t>2</w:t>
      </w:r>
      <w:r w:rsidR="00AE0EAA" w:rsidRPr="00D61F92">
        <w:rPr>
          <w:rFonts w:ascii="Arial" w:hAnsi="Arial" w:cs="Arial"/>
        </w:rPr>
        <w:t>B). In contrast, the control (T</w:t>
      </w:r>
      <w:r w:rsidR="00AE0EAA" w:rsidRPr="00082ECD">
        <w:rPr>
          <w:rFonts w:ascii="Arial" w:hAnsi="Arial" w:cs="Arial"/>
          <w:vertAlign w:val="subscript"/>
        </w:rPr>
        <w:t>1</w:t>
      </w:r>
      <w:r w:rsidR="00AE0EAA" w:rsidRPr="00D61F92">
        <w:rPr>
          <w:rFonts w:ascii="Arial" w:hAnsi="Arial" w:cs="Arial"/>
        </w:rPr>
        <w:t xml:space="preserve">) showed the </w:t>
      </w:r>
      <w:r w:rsidR="00AE0EAA">
        <w:rPr>
          <w:rFonts w:ascii="Arial" w:hAnsi="Arial" w:cs="Arial"/>
        </w:rPr>
        <w:t>shortest</w:t>
      </w:r>
      <w:r w:rsidR="00AE0EAA" w:rsidRPr="00D61F92">
        <w:rPr>
          <w:rFonts w:ascii="Arial" w:hAnsi="Arial" w:cs="Arial"/>
        </w:rPr>
        <w:t xml:space="preserve"> plant height (45.06 cm and 54.64 cm)</w:t>
      </w:r>
      <w:r w:rsidR="00AE0EAA">
        <w:rPr>
          <w:rFonts w:ascii="Arial" w:hAnsi="Arial" w:cs="Arial"/>
        </w:rPr>
        <w:t xml:space="preserve"> in both seasons</w:t>
      </w:r>
      <w:r w:rsidR="00AE0EAA" w:rsidRPr="00D61F92">
        <w:rPr>
          <w:rFonts w:ascii="Arial" w:hAnsi="Arial" w:cs="Arial"/>
        </w:rPr>
        <w:t xml:space="preserve">. The increase in plant height </w:t>
      </w:r>
      <w:r w:rsidR="00AE0EAA">
        <w:rPr>
          <w:rFonts w:ascii="Arial" w:hAnsi="Arial" w:cs="Arial"/>
        </w:rPr>
        <w:t xml:space="preserve">may be </w:t>
      </w:r>
      <w:r w:rsidR="00AE0EAA" w:rsidRPr="00D61F92">
        <w:rPr>
          <w:rFonts w:ascii="Arial" w:hAnsi="Arial" w:cs="Arial"/>
        </w:rPr>
        <w:t>due to dual applications of 100 ppm GA</w:t>
      </w:r>
      <w:r w:rsidR="00AE0EAA" w:rsidRPr="004357BD">
        <w:rPr>
          <w:rFonts w:ascii="Arial" w:hAnsi="Arial" w:cs="Arial"/>
          <w:vertAlign w:val="subscript"/>
        </w:rPr>
        <w:t>3</w:t>
      </w:r>
      <w:r w:rsidR="00AE0EAA" w:rsidRPr="00D61F92">
        <w:rPr>
          <w:rFonts w:ascii="Arial" w:hAnsi="Arial" w:cs="Arial"/>
        </w:rPr>
        <w:t xml:space="preserve"> </w:t>
      </w:r>
      <w:r w:rsidR="00AE0EAA">
        <w:rPr>
          <w:rFonts w:ascii="Arial" w:hAnsi="Arial" w:cs="Arial"/>
        </w:rPr>
        <w:t xml:space="preserve">that </w:t>
      </w:r>
      <w:r w:rsidR="00AE0EAA" w:rsidRPr="00D61F92">
        <w:rPr>
          <w:rFonts w:ascii="Arial" w:hAnsi="Arial" w:cs="Arial"/>
        </w:rPr>
        <w:t>suggests a cumulative effect of hormone action on internode elongation and meristematic activity.</w:t>
      </w:r>
      <w:r w:rsidR="00247EEC">
        <w:rPr>
          <w:rFonts w:ascii="Arial" w:hAnsi="Arial" w:cs="Arial"/>
        </w:rPr>
        <w:t xml:space="preserve"> </w:t>
      </w:r>
      <w:r w:rsidR="00BA0E43" w:rsidRPr="00247EEC">
        <w:rPr>
          <w:rFonts w:ascii="Arial" w:hAnsi="Arial" w:cs="Arial"/>
        </w:rPr>
        <w:t>Similar results of increases due to GA</w:t>
      </w:r>
      <w:r w:rsidR="00BA0E43" w:rsidRPr="00247EEC">
        <w:rPr>
          <w:rFonts w:ascii="Cambria Math" w:hAnsi="Cambria Math" w:cs="Cambria Math"/>
        </w:rPr>
        <w:t>₃</w:t>
      </w:r>
      <w:r w:rsidR="00BA0E43" w:rsidRPr="00247EEC">
        <w:rPr>
          <w:rFonts w:ascii="Arial" w:hAnsi="Arial" w:cs="Arial"/>
        </w:rPr>
        <w:t xml:space="preserve"> treatments have been found in various plants by different researchers </w:t>
      </w:r>
      <w:r w:rsidR="00BA0E43" w:rsidRPr="00247EEC">
        <w:rPr>
          <w:rFonts w:ascii="Arial" w:hAnsi="Arial" w:cs="Arial"/>
        </w:rPr>
        <w:fldChar w:fldCharType="begin" w:fldLock="1"/>
      </w:r>
      <w:r w:rsidR="00995668" w:rsidRPr="00247EEC">
        <w:rPr>
          <w:rFonts w:ascii="Arial" w:hAnsi="Arial" w:cs="Arial"/>
        </w:rPr>
        <w:instrText>ADDIN CSL_CITATION {"citationItems":[{"id":"ITEM-1","itemData":{"author":[{"dropping-particle":"","family":"Jahan","given":"T.","non-dropping-particle":"","parse-names":false,"suffix":""},{"dropping-particle":"","family":"Khan","given":"F. I.","non-dropping-particle":"","parse-names":false,"suffix":""},{"dropping-particle":"","family":"Adam","given":"A. G.","non-dropping-particle":"","parse-names":false,"suffix":""},{"dropping-particle":"","family":"Begum","given":"H. H.","non-dropping-particle":"","parse-names":false,"suffix":""}],"container-title":"Bangladesh Journal of Botany","id":"ITEM-1","issue":"4","issued":{"date-parts":[["2018"]]},"page":"839-846","title":"Growth, yield and biochemical responses of BARI Chhola-9 (Cicer arietinum L.) to GA3 and Rhizobium application","type":"article-journal","volume":"47"},"uris":["http://www.mendeley.com/documents/?uuid=ae1f0598-7065-4ffb-8e36-29e75600a944"]},{"id":"ITEM-2","itemData":{"author":[{"dropping-particle":"","family":"Tasnim","given":"S.","non-dropping-particle":"","parse-names":false,"suffix":""},{"dropping-particle":"","family":"Alam","given":"M. J.","non-dropping-particle":"","parse-names":false,"suffix":""},{"dropping-particle":"","family":"Rahman","given":"M. M.","non-dropping-particle":"","parse-names":false,"suffix":""},{"dropping-particle":"","family":"Islam","given":"M. S.","non-dropping-particle":"","parse-names":false,"suffix":""},{"dropping-particle":"","family":"Sikdar","given":"M. S. I.","non-dropping-particle":"","parse-names":false,"suffix":""}],"container-title":"Asian Journal of Crop, Soil Science, and Plant Nutrition","id":"ITEM-2","issue":"2","issued":{"date-parts":[["2019"]]},"page":"28-36","title":"Response of mungbean growth and yield to GA3 rate and time of application","type":"article-journal","volume":"1"},"uris":["http://www.mendeley.com/documents/?uuid=81e00ec0-0a45-4a1d-a593-c7ee74a5e70b"]}],"mendeley":{"formattedCitation":"(Jahan et al., 2018; Tasnim et al., 2019)","manualFormatting":"(Tasnim et al., 2019; Jahan et al.,2018)","plainTextFormattedCitation":"(Jahan et al., 2018; Tasnim et al., 2019)","previouslyFormattedCitation":"(Jahan et al., 2018; Tasnim et al., 2019)"},"properties":{"noteIndex":0},"schema":"https://github.com/citation-style-language/schema/raw/master/csl-citation.json"}</w:instrText>
      </w:r>
      <w:r w:rsidR="00BA0E43" w:rsidRPr="00247EEC">
        <w:rPr>
          <w:rFonts w:ascii="Arial" w:hAnsi="Arial" w:cs="Arial"/>
        </w:rPr>
        <w:fldChar w:fldCharType="separate"/>
      </w:r>
      <w:r w:rsidR="00BA0E43" w:rsidRPr="00247EEC">
        <w:rPr>
          <w:rFonts w:ascii="Arial" w:hAnsi="Arial" w:cs="Arial"/>
          <w:noProof/>
        </w:rPr>
        <w:t>(Tasnim et al.,</w:t>
      </w:r>
      <w:r w:rsidR="00395BC4" w:rsidRPr="00247EEC">
        <w:rPr>
          <w:rFonts w:ascii="Arial" w:hAnsi="Arial" w:cs="Arial"/>
          <w:noProof/>
        </w:rPr>
        <w:t xml:space="preserve"> 2019; Jahan</w:t>
      </w:r>
      <w:r w:rsidR="00901468" w:rsidRPr="00247EEC">
        <w:rPr>
          <w:rFonts w:ascii="Arial" w:hAnsi="Arial" w:cs="Arial"/>
          <w:noProof/>
        </w:rPr>
        <w:t xml:space="preserve"> </w:t>
      </w:r>
      <w:r w:rsidR="00395BC4" w:rsidRPr="00247EEC">
        <w:rPr>
          <w:rFonts w:ascii="Arial" w:hAnsi="Arial" w:cs="Arial"/>
          <w:noProof/>
        </w:rPr>
        <w:t>et</w:t>
      </w:r>
      <w:r w:rsidR="00AE4642" w:rsidRPr="00247EEC">
        <w:rPr>
          <w:rFonts w:ascii="Arial" w:hAnsi="Arial" w:cs="Arial"/>
          <w:noProof/>
        </w:rPr>
        <w:t xml:space="preserve"> </w:t>
      </w:r>
      <w:r w:rsidR="00395BC4" w:rsidRPr="00247EEC">
        <w:rPr>
          <w:rFonts w:ascii="Arial" w:hAnsi="Arial" w:cs="Arial"/>
          <w:noProof/>
        </w:rPr>
        <w:t>al.,2018</w:t>
      </w:r>
      <w:r w:rsidR="00BA0E43" w:rsidRPr="00247EEC">
        <w:rPr>
          <w:rFonts w:ascii="Arial" w:hAnsi="Arial" w:cs="Arial"/>
          <w:noProof/>
        </w:rPr>
        <w:t>)</w:t>
      </w:r>
      <w:r w:rsidR="00BA0E43" w:rsidRPr="00247EEC">
        <w:rPr>
          <w:rFonts w:ascii="Arial" w:hAnsi="Arial" w:cs="Arial"/>
        </w:rPr>
        <w:fldChar w:fldCharType="end"/>
      </w:r>
      <w:r w:rsidR="00BA0E43" w:rsidRPr="00247EEC">
        <w:rPr>
          <w:rFonts w:ascii="Arial" w:hAnsi="Arial" w:cs="Arial"/>
        </w:rPr>
        <w:t>.</w:t>
      </w:r>
      <w:r w:rsidR="00BA0E43" w:rsidRPr="00BA0E43">
        <w:rPr>
          <w:rFonts w:ascii="Arial" w:hAnsi="Arial" w:cs="Arial"/>
        </w:rPr>
        <w:t xml:space="preserve"> </w:t>
      </w:r>
      <w:r w:rsidR="00AE0EAA" w:rsidRPr="00D61F92">
        <w:rPr>
          <w:rFonts w:ascii="Arial" w:hAnsi="Arial" w:cs="Arial"/>
        </w:rPr>
        <w:t>The dose-dependent effect of GA</w:t>
      </w:r>
      <w:r w:rsidR="00AE0EAA" w:rsidRPr="004357BD">
        <w:rPr>
          <w:rFonts w:ascii="Arial" w:hAnsi="Arial" w:cs="Arial"/>
          <w:vertAlign w:val="subscript"/>
        </w:rPr>
        <w:t>3</w:t>
      </w:r>
      <w:r w:rsidR="00AE0EAA" w:rsidRPr="00D61F92">
        <w:rPr>
          <w:rFonts w:ascii="Arial" w:hAnsi="Arial" w:cs="Arial"/>
        </w:rPr>
        <w:t xml:space="preserve"> was also evident, as higher concentrations (e.g., 150 ppm) did not yield greater increases in plant height compared to</w:t>
      </w:r>
      <w:r w:rsidR="00AE0EAA">
        <w:rPr>
          <w:rFonts w:ascii="Arial" w:hAnsi="Arial" w:cs="Arial"/>
        </w:rPr>
        <w:t xml:space="preserve"> 100</w:t>
      </w:r>
      <w:r w:rsidR="00AE0EAA" w:rsidRPr="00D7797A">
        <w:rPr>
          <w:rFonts w:ascii="Arial" w:hAnsi="Arial" w:cs="Arial"/>
        </w:rPr>
        <w:t xml:space="preserve">ppm. These findings suggest that </w:t>
      </w:r>
      <w:r w:rsidR="00AE0EAA">
        <w:rPr>
          <w:rFonts w:ascii="Arial" w:hAnsi="Arial" w:cs="Arial"/>
        </w:rPr>
        <w:t xml:space="preserve">appropriate </w:t>
      </w:r>
      <w:r w:rsidR="00AE0EAA" w:rsidRPr="00D61F92">
        <w:rPr>
          <w:rFonts w:ascii="Arial" w:hAnsi="Arial" w:cs="Arial"/>
        </w:rPr>
        <w:t>GA</w:t>
      </w:r>
      <w:r w:rsidR="00AE0EAA" w:rsidRPr="004357BD">
        <w:rPr>
          <w:rFonts w:ascii="Arial" w:hAnsi="Arial" w:cs="Arial"/>
          <w:vertAlign w:val="subscript"/>
        </w:rPr>
        <w:t>3</w:t>
      </w:r>
      <w:r w:rsidR="00AE0EAA">
        <w:rPr>
          <w:rFonts w:ascii="Arial" w:hAnsi="Arial" w:cs="Arial"/>
        </w:rPr>
        <w:t xml:space="preserve"> </w:t>
      </w:r>
      <w:r w:rsidR="00AE0EAA" w:rsidRPr="00D7797A">
        <w:rPr>
          <w:rFonts w:ascii="Arial" w:hAnsi="Arial" w:cs="Arial"/>
        </w:rPr>
        <w:t>concentration is crucial for maximizing growth</w:t>
      </w:r>
      <w:r w:rsidR="00AE0EAA">
        <w:rPr>
          <w:rFonts w:ascii="Arial" w:hAnsi="Arial" w:cs="Arial"/>
        </w:rPr>
        <w:t xml:space="preserve"> of </w:t>
      </w:r>
      <w:proofErr w:type="spellStart"/>
      <w:r w:rsidR="00AE0EAA">
        <w:rPr>
          <w:rFonts w:ascii="Arial" w:hAnsi="Arial" w:cs="Arial"/>
        </w:rPr>
        <w:t>mungbean</w:t>
      </w:r>
      <w:proofErr w:type="spellEnd"/>
      <w:r w:rsidR="00AE0EAA">
        <w:rPr>
          <w:rFonts w:ascii="Arial" w:hAnsi="Arial" w:cs="Arial"/>
        </w:rPr>
        <w:t xml:space="preserve"> without </w:t>
      </w:r>
      <w:r w:rsidR="00AE0EAA" w:rsidRPr="00D7797A">
        <w:rPr>
          <w:rFonts w:ascii="Arial" w:hAnsi="Arial" w:cs="Arial"/>
        </w:rPr>
        <w:t>inducing physiological stress or diminishing returns</w:t>
      </w:r>
      <w:r w:rsidR="00AE0EAA">
        <w:rPr>
          <w:rFonts w:ascii="Arial" w:hAnsi="Arial" w:cs="Arial"/>
        </w:rPr>
        <w:t>.</w:t>
      </w:r>
    </w:p>
    <w:p w14:paraId="0152A4E6" w14:textId="4B146416" w:rsidR="00BE5A61" w:rsidRPr="0097085A" w:rsidRDefault="00097FB2" w:rsidP="00097FB2">
      <w:pPr>
        <w:spacing w:before="120" w:after="240" w:line="360" w:lineRule="auto"/>
        <w:ind w:firstLine="720"/>
        <w:jc w:val="both"/>
        <w:rPr>
          <w:rFonts w:ascii="Arial" w:hAnsi="Arial" w:cs="Arial"/>
        </w:rPr>
      </w:pPr>
      <w:r>
        <w:rPr>
          <w:rFonts w:ascii="Arial" w:hAnsi="Arial" w:cs="Arial"/>
        </w:rPr>
        <w:t xml:space="preserve">                      </w:t>
      </w:r>
      <w:r w:rsidR="00BE5A61">
        <w:rPr>
          <w:rFonts w:ascii="Arial" w:hAnsi="Arial" w:cs="Arial"/>
        </w:rPr>
        <w:t>(A)</w:t>
      </w:r>
      <w:r w:rsidR="00BE5A61" w:rsidRPr="0097085A">
        <w:rPr>
          <w:rFonts w:ascii="Arial" w:hAnsi="Arial" w:cs="Arial"/>
        </w:rPr>
        <w:t xml:space="preserve">                                    </w:t>
      </w:r>
      <w:r>
        <w:rPr>
          <w:rFonts w:ascii="Arial" w:hAnsi="Arial" w:cs="Arial"/>
        </w:rPr>
        <w:t xml:space="preserve">       </w:t>
      </w:r>
      <w:r w:rsidR="00BE5A61" w:rsidRPr="0097085A">
        <w:rPr>
          <w:rFonts w:ascii="Arial" w:hAnsi="Arial" w:cs="Arial"/>
        </w:rPr>
        <w:t xml:space="preserve">                      </w:t>
      </w:r>
      <w:proofErr w:type="gramStart"/>
      <w:r w:rsidR="00BE5A61" w:rsidRPr="0097085A">
        <w:rPr>
          <w:rFonts w:ascii="Arial" w:hAnsi="Arial" w:cs="Arial"/>
        </w:rPr>
        <w:t xml:space="preserve">   (</w:t>
      </w:r>
      <w:proofErr w:type="gramEnd"/>
      <w:r w:rsidR="00BE5A61" w:rsidRPr="0097085A">
        <w:rPr>
          <w:rFonts w:ascii="Arial" w:hAnsi="Arial" w:cs="Arial"/>
        </w:rPr>
        <w:t>B)</w:t>
      </w:r>
    </w:p>
    <w:p w14:paraId="6A49C233" w14:textId="27987D65" w:rsidR="00EA433E" w:rsidRPr="0082013C" w:rsidRDefault="00BE5A61" w:rsidP="00EA433E">
      <w:pPr>
        <w:spacing w:before="120" w:after="120" w:line="360" w:lineRule="auto"/>
        <w:ind w:left="990" w:hanging="990"/>
        <w:jc w:val="both"/>
        <w:rPr>
          <w:rFonts w:ascii="Arial" w:hAnsi="Arial" w:cs="Arial"/>
          <w:b/>
          <w:bCs/>
        </w:rPr>
      </w:pPr>
      <w:r w:rsidRPr="00297A99">
        <w:rPr>
          <w:rFonts w:ascii="Arial" w:hAnsi="Arial" w:cs="Arial"/>
          <w:b/>
          <w:bCs/>
        </w:rPr>
        <w:t xml:space="preserve">Figure </w:t>
      </w:r>
      <w:r w:rsidR="009730E9">
        <w:rPr>
          <w:rFonts w:ascii="Arial" w:hAnsi="Arial" w:cs="Arial"/>
          <w:b/>
          <w:bCs/>
        </w:rPr>
        <w:t>2</w:t>
      </w:r>
      <w:r w:rsidRPr="00297A99">
        <w:rPr>
          <w:rFonts w:ascii="Arial" w:hAnsi="Arial" w:cs="Arial"/>
          <w:b/>
          <w:bCs/>
        </w:rPr>
        <w:t>. Mean values of plant height as affected by different foliar gibberellic acid application during post-monsoon season, (A) 2023–24 and (B) 2024–25</w:t>
      </w:r>
    </w:p>
    <w:p w14:paraId="614AACF4" w14:textId="3663532F" w:rsidR="00BE5A61" w:rsidRPr="000125F1" w:rsidRDefault="00BE5A61" w:rsidP="00BE5A61">
      <w:pPr>
        <w:spacing w:before="120" w:after="120"/>
        <w:rPr>
          <w:rFonts w:ascii="Arial" w:hAnsi="Arial" w:cs="Arial"/>
          <w:b/>
          <w:bCs/>
          <w:sz w:val="22"/>
          <w:szCs w:val="22"/>
        </w:rPr>
      </w:pPr>
      <w:r w:rsidRPr="000125F1">
        <w:rPr>
          <w:rFonts w:ascii="Arial" w:hAnsi="Arial" w:cs="Arial"/>
          <w:b/>
          <w:bCs/>
          <w:sz w:val="22"/>
          <w:szCs w:val="22"/>
        </w:rPr>
        <w:t>3.2 SPAD Value</w:t>
      </w:r>
    </w:p>
    <w:p w14:paraId="63329EB8" w14:textId="780D86FC" w:rsidR="00097FB2" w:rsidRPr="00A06879" w:rsidRDefault="00BE5A61" w:rsidP="00097FB2">
      <w:pPr>
        <w:spacing w:before="120" w:after="120" w:line="360" w:lineRule="auto"/>
        <w:ind w:firstLine="720"/>
        <w:jc w:val="both"/>
        <w:rPr>
          <w:rFonts w:ascii="Arial" w:hAnsi="Arial" w:cs="Arial"/>
        </w:rPr>
      </w:pPr>
      <w:r w:rsidRPr="009470A1">
        <w:rPr>
          <w:rFonts w:ascii="Arial" w:hAnsi="Arial" w:cs="Arial"/>
        </w:rPr>
        <w:t>There was significantly different in SPAD value among different concentrations of foliar GA</w:t>
      </w:r>
      <w:r w:rsidRPr="009470A1">
        <w:rPr>
          <w:rFonts w:ascii="Arial" w:hAnsi="Arial" w:cs="Arial"/>
          <w:vertAlign w:val="subscript"/>
        </w:rPr>
        <w:t>3</w:t>
      </w:r>
      <w:r w:rsidRPr="009470A1">
        <w:rPr>
          <w:rFonts w:ascii="Arial" w:hAnsi="Arial" w:cs="Arial"/>
        </w:rPr>
        <w:t xml:space="preserve"> application</w:t>
      </w:r>
      <w:r>
        <w:rPr>
          <w:rFonts w:ascii="Times New Roman" w:hAnsi="Times New Roman"/>
        </w:rPr>
        <w:t xml:space="preserve"> </w:t>
      </w:r>
      <w:r w:rsidRPr="00D61F92">
        <w:rPr>
          <w:rFonts w:ascii="Arial" w:hAnsi="Arial" w:cs="Arial"/>
        </w:rPr>
        <w:t xml:space="preserve">(Table </w:t>
      </w:r>
      <w:r w:rsidR="009A733A">
        <w:rPr>
          <w:rFonts w:ascii="Arial" w:hAnsi="Arial" w:cs="Arial"/>
        </w:rPr>
        <w:t>2</w:t>
      </w:r>
      <w:r w:rsidRPr="00D61F92">
        <w:rPr>
          <w:rFonts w:ascii="Arial" w:hAnsi="Arial" w:cs="Arial"/>
        </w:rPr>
        <w:t>). The highest SPAD value (52.38 in 2023</w:t>
      </w:r>
      <w:r>
        <w:rPr>
          <w:rFonts w:ascii="Arial" w:hAnsi="Arial" w:cs="Arial"/>
        </w:rPr>
        <w:t>-</w:t>
      </w:r>
      <w:r w:rsidRPr="00D61F92">
        <w:rPr>
          <w:rFonts w:ascii="Arial" w:hAnsi="Arial" w:cs="Arial"/>
        </w:rPr>
        <w:t>24 and 38.62 in 2024</w:t>
      </w:r>
      <w:r>
        <w:rPr>
          <w:rFonts w:ascii="Arial" w:hAnsi="Arial" w:cs="Arial"/>
        </w:rPr>
        <w:t>-</w:t>
      </w:r>
      <w:r w:rsidRPr="00D61F92">
        <w:rPr>
          <w:rFonts w:ascii="Arial" w:hAnsi="Arial" w:cs="Arial"/>
        </w:rPr>
        <w:t xml:space="preserve">25) was recorded </w:t>
      </w:r>
      <w:r>
        <w:rPr>
          <w:rFonts w:ascii="Arial" w:hAnsi="Arial" w:cs="Arial"/>
        </w:rPr>
        <w:t>from</w:t>
      </w:r>
      <w:r w:rsidRPr="00D61F92">
        <w:rPr>
          <w:rFonts w:ascii="Arial" w:hAnsi="Arial" w:cs="Arial"/>
        </w:rPr>
        <w:t xml:space="preserve"> treatment T</w:t>
      </w:r>
      <w:r w:rsidRPr="00082ECD">
        <w:rPr>
          <w:rFonts w:ascii="Arial" w:hAnsi="Arial" w:cs="Arial"/>
          <w:vertAlign w:val="subscript"/>
        </w:rPr>
        <w:t>9</w:t>
      </w:r>
      <w:r w:rsidRPr="00D61F92">
        <w:rPr>
          <w:rFonts w:ascii="Arial" w:hAnsi="Arial" w:cs="Arial"/>
        </w:rPr>
        <w:t xml:space="preserve"> (100 ppm GA</w:t>
      </w:r>
      <w:r w:rsidRPr="00D61F92">
        <w:rPr>
          <w:rFonts w:ascii="Cambria Math" w:hAnsi="Cambria Math" w:cs="Cambria Math"/>
        </w:rPr>
        <w:t>₃</w:t>
      </w:r>
      <w:r w:rsidRPr="00D61F92">
        <w:rPr>
          <w:rFonts w:ascii="Arial" w:hAnsi="Arial" w:cs="Arial"/>
        </w:rPr>
        <w:t xml:space="preserve"> at both 20 and 40 DAS), whereas the lowest values were obtained in the control plots (T</w:t>
      </w:r>
      <w:r w:rsidRPr="00BA0F27">
        <w:rPr>
          <w:rFonts w:ascii="Arial" w:hAnsi="Arial" w:cs="Arial"/>
          <w:vertAlign w:val="subscript"/>
        </w:rPr>
        <w:t>1</w:t>
      </w:r>
      <w:r w:rsidRPr="00D61F92">
        <w:rPr>
          <w:rFonts w:ascii="Arial" w:hAnsi="Arial" w:cs="Arial"/>
        </w:rPr>
        <w:t xml:space="preserve">). </w:t>
      </w:r>
      <w:r w:rsidRPr="00CA2229">
        <w:rPr>
          <w:rFonts w:ascii="Arial" w:hAnsi="Arial" w:cs="Arial"/>
        </w:rPr>
        <w:t xml:space="preserve">According to research on </w:t>
      </w:r>
      <w:proofErr w:type="spellStart"/>
      <w:r w:rsidRPr="00CA2229">
        <w:rPr>
          <w:rFonts w:ascii="Arial" w:hAnsi="Arial" w:cs="Arial"/>
        </w:rPr>
        <w:t>mungbean</w:t>
      </w:r>
      <w:proofErr w:type="spellEnd"/>
      <w:r w:rsidRPr="00CA2229">
        <w:rPr>
          <w:rFonts w:ascii="Arial" w:hAnsi="Arial" w:cs="Arial"/>
        </w:rPr>
        <w:t xml:space="preserve">, foliar </w:t>
      </w:r>
      <w:r w:rsidR="00AE0EAA">
        <w:rPr>
          <w:rFonts w:ascii="Arial" w:hAnsi="Arial" w:cs="Arial"/>
        </w:rPr>
        <w:t xml:space="preserve">spraying of </w:t>
      </w:r>
      <w:r w:rsidRPr="00CA2229">
        <w:rPr>
          <w:rFonts w:ascii="Arial" w:hAnsi="Arial" w:cs="Arial"/>
        </w:rPr>
        <w:t>GA</w:t>
      </w:r>
      <w:r w:rsidRPr="00CA2229">
        <w:rPr>
          <w:rFonts w:ascii="Arial" w:hAnsi="Arial" w:cs="Arial"/>
          <w:vertAlign w:val="subscript"/>
        </w:rPr>
        <w:t>3</w:t>
      </w:r>
      <w:r w:rsidRPr="00CA2229">
        <w:rPr>
          <w:rFonts w:ascii="Arial" w:hAnsi="Arial" w:cs="Arial"/>
        </w:rPr>
        <w:t xml:space="preserve"> can improve </w:t>
      </w:r>
      <w:r>
        <w:rPr>
          <w:rFonts w:ascii="Arial" w:hAnsi="Arial" w:cs="Arial"/>
        </w:rPr>
        <w:t xml:space="preserve">nutrient absorption especially nitrogen and magnesium which are critical for </w:t>
      </w:r>
      <w:r w:rsidRPr="00CA2229">
        <w:rPr>
          <w:rFonts w:ascii="Arial" w:hAnsi="Arial" w:cs="Arial"/>
        </w:rPr>
        <w:t xml:space="preserve">chlorophyll </w:t>
      </w:r>
      <w:r>
        <w:rPr>
          <w:rFonts w:ascii="Arial" w:hAnsi="Arial" w:cs="Arial"/>
        </w:rPr>
        <w:t>synthesis</w:t>
      </w:r>
      <w:r w:rsidRPr="00CA2229">
        <w:rPr>
          <w:rFonts w:ascii="Arial" w:hAnsi="Arial" w:cs="Arial"/>
        </w:rPr>
        <w:t xml:space="preserve"> and as a result, SPAD values.</w:t>
      </w:r>
      <w:r w:rsidRPr="004D064E">
        <w:rPr>
          <w:rFonts w:ascii="Times New Roman" w:hAnsi="Times New Roman"/>
        </w:rPr>
        <w:t xml:space="preserve"> </w:t>
      </w:r>
      <w:r w:rsidR="00A06879" w:rsidRPr="00F10901">
        <w:rPr>
          <w:rFonts w:ascii="Arial" w:hAnsi="Arial" w:cs="Arial"/>
        </w:rPr>
        <w:t>These results are supported by several studies reporting that GA</w:t>
      </w:r>
      <w:r w:rsidR="00A06879" w:rsidRPr="00F10901">
        <w:rPr>
          <w:rFonts w:ascii="Arial" w:hAnsi="Arial" w:cs="Arial"/>
          <w:vertAlign w:val="subscript"/>
        </w:rPr>
        <w:t>3</w:t>
      </w:r>
      <w:r w:rsidR="00A06879" w:rsidRPr="00F10901">
        <w:rPr>
          <w:rFonts w:ascii="Arial" w:hAnsi="Arial" w:cs="Arial"/>
        </w:rPr>
        <w:t xml:space="preserve"> enhanced the </w:t>
      </w:r>
      <w:r w:rsidR="006176C7" w:rsidRPr="00F10901">
        <w:rPr>
          <w:rFonts w:ascii="Arial" w:hAnsi="Arial" w:cs="Arial"/>
        </w:rPr>
        <w:t>chlorophyll content</w:t>
      </w:r>
      <w:r w:rsidR="00A06879" w:rsidRPr="00F10901">
        <w:rPr>
          <w:rFonts w:ascii="Arial" w:hAnsi="Arial" w:cs="Arial"/>
        </w:rPr>
        <w:t xml:space="preserve"> in </w:t>
      </w:r>
      <w:r w:rsidR="00A06879" w:rsidRPr="00F10901">
        <w:rPr>
          <w:rFonts w:ascii="Arial" w:hAnsi="Arial" w:cs="Arial"/>
          <w:i/>
          <w:iCs/>
        </w:rPr>
        <w:t>Vigna radiata</w:t>
      </w:r>
      <w:r w:rsidR="00A06879" w:rsidRPr="00F10901">
        <w:rPr>
          <w:rFonts w:ascii="Arial" w:hAnsi="Arial" w:cs="Arial"/>
        </w:rPr>
        <w:t xml:space="preserve"> </w:t>
      </w:r>
      <w:r w:rsidR="00995668" w:rsidRPr="00F10901">
        <w:rPr>
          <w:rFonts w:ascii="Arial" w:hAnsi="Arial" w:cs="Arial"/>
        </w:rPr>
        <w:fldChar w:fldCharType="begin" w:fldLock="1"/>
      </w:r>
      <w:r w:rsidR="0095615D" w:rsidRPr="00F10901">
        <w:rPr>
          <w:rFonts w:ascii="Arial" w:hAnsi="Arial" w:cs="Arial"/>
        </w:rPr>
        <w:instrText>ADDIN CSL_CITATION {"citationItems":[{"id":"ITEM-1","itemData":{"author":[{"dropping-particle":"","family":"Karamany","given":"M. F. E.","non-dropping-particle":"","parse-names":false,"suffix":""},{"dropping-particle":"","family":"Sadak","given":"M. S.","non-dropping-particle":"","parse-names":false,"suffix":""},{"dropping-particle":"","family":"Bakry","given":"B. A.","non-dropping-particle":"","parse-names":false,"suffix":""}],"container-title":"Journal of Applied Sciences","id":"ITEM-1","issue":"7","issued":{"date-parts":[["2019"]]},"page":"718-724","title":"Synergistic effect of indole acetic acid and gibberellic acid on mung bean grown under sandy soil conditions","type":"article-journal","volume":"19"},"uris":["http://www.mendeley.com/documents/?uuid=c6d6d4d1-4249-4d25-a9c9-57f55c631c8a"]}],"mendeley":{"formattedCitation":"(Karamany et al., 2019)","manualFormatting":"(EI Karamany et al., 2019)","plainTextFormattedCitation":"(Karamany et al., 2019)","previouslyFormattedCitation":"(Karamany et al., 2019)"},"properties":{"noteIndex":0},"schema":"https://github.com/citation-style-language/schema/raw/master/csl-citation.json"}</w:instrText>
      </w:r>
      <w:r w:rsidR="00995668" w:rsidRPr="00F10901">
        <w:rPr>
          <w:rFonts w:ascii="Arial" w:hAnsi="Arial" w:cs="Arial"/>
        </w:rPr>
        <w:fldChar w:fldCharType="separate"/>
      </w:r>
      <w:r w:rsidR="00995668" w:rsidRPr="00F10901">
        <w:rPr>
          <w:rFonts w:ascii="Arial" w:hAnsi="Arial" w:cs="Arial"/>
          <w:noProof/>
        </w:rPr>
        <w:t>(Karamany et al., 2019)</w:t>
      </w:r>
      <w:r w:rsidR="00995668" w:rsidRPr="00F10901">
        <w:rPr>
          <w:rFonts w:ascii="Arial" w:hAnsi="Arial" w:cs="Arial"/>
        </w:rPr>
        <w:fldChar w:fldCharType="end"/>
      </w:r>
      <w:r w:rsidR="00995668" w:rsidRPr="00F10901">
        <w:rPr>
          <w:rFonts w:ascii="Arial" w:hAnsi="Arial" w:cs="Arial"/>
        </w:rPr>
        <w:t xml:space="preserve"> </w:t>
      </w:r>
      <w:r w:rsidR="00A06879" w:rsidRPr="00F10901">
        <w:rPr>
          <w:rFonts w:ascii="Arial" w:hAnsi="Arial" w:cs="Arial"/>
        </w:rPr>
        <w:t xml:space="preserve">as well as other crops like wheat </w:t>
      </w:r>
      <w:r w:rsidR="0095615D" w:rsidRPr="00F10901">
        <w:rPr>
          <w:rFonts w:ascii="Arial" w:hAnsi="Arial" w:cs="Arial"/>
        </w:rPr>
        <w:fldChar w:fldCharType="begin" w:fldLock="1"/>
      </w:r>
      <w:r w:rsidR="006E3B95" w:rsidRPr="00F10901">
        <w:rPr>
          <w:rFonts w:ascii="Arial" w:hAnsi="Arial" w:cs="Arial"/>
        </w:rPr>
        <w:instrText>ADDIN CSL_CITATION {"citationItems":[{"id":"ITEM-1","itemData":{"author":[{"dropping-particle":"","family":"Pazuki","given":"A.","non-dropping-particle":"","parse-names":false,"suffix":""},{"dropping-particle":"","family":"Sedghi","given":"M.","non-dropping-particle":"","parse-names":false,"suffix":""},{"dropping-particle":"","family":"Aflaki","given":"F.","non-dropping-particle":"","parse-names":false,"suffix":""}],"container-title":"Agriculture","id":"ITEM-1","issue":"1","issued":{"date-parts":[["2013"]]},"page":"33","title":"Interaction of salinity and phytohormones on wheat photosynthetic traits and membrane stability","type":"article-journal","volume":"59"},"uris":["http://www.mendeley.com/documents/?uuid=0863b85e-0cb5-45de-aba8-939600dea9d9"]}],"mendeley":{"formattedCitation":"(Pazuki et al., 2013)","plainTextFormattedCitation":"(Pazuki et al., 2013)","previouslyFormattedCitation":"(Pazuki et al., 2013)"},"properties":{"noteIndex":0},"schema":"https://github.com/citation-style-language/schema/raw/master/csl-citation.json"}</w:instrText>
      </w:r>
      <w:r w:rsidR="0095615D" w:rsidRPr="00F10901">
        <w:rPr>
          <w:rFonts w:ascii="Arial" w:hAnsi="Arial" w:cs="Arial"/>
        </w:rPr>
        <w:fldChar w:fldCharType="separate"/>
      </w:r>
      <w:r w:rsidR="0095615D" w:rsidRPr="00F10901">
        <w:rPr>
          <w:rFonts w:ascii="Arial" w:hAnsi="Arial" w:cs="Arial"/>
          <w:noProof/>
        </w:rPr>
        <w:t>(Pazuki et al., 2013)</w:t>
      </w:r>
      <w:r w:rsidR="0095615D" w:rsidRPr="00F10901">
        <w:rPr>
          <w:rFonts w:ascii="Arial" w:hAnsi="Arial" w:cs="Arial"/>
        </w:rPr>
        <w:fldChar w:fldCharType="end"/>
      </w:r>
      <w:r w:rsidR="00A06879" w:rsidRPr="00F10901">
        <w:rPr>
          <w:rFonts w:ascii="Arial" w:hAnsi="Arial" w:cs="Arial"/>
        </w:rPr>
        <w:t>.</w:t>
      </w:r>
    </w:p>
    <w:p w14:paraId="53B47D3A" w14:textId="374C9ACB" w:rsidR="00605D82" w:rsidRDefault="00605D82" w:rsidP="00EA433E">
      <w:pPr>
        <w:spacing w:before="120" w:after="120" w:line="360" w:lineRule="auto"/>
        <w:jc w:val="both"/>
        <w:rPr>
          <w:rFonts w:ascii="Arial" w:hAnsi="Arial" w:cs="Arial"/>
        </w:rPr>
      </w:pPr>
    </w:p>
    <w:p w14:paraId="10DB4094" w14:textId="77777777" w:rsidR="009A733A" w:rsidRPr="00D61F92" w:rsidRDefault="009A733A" w:rsidP="00EA433E">
      <w:pPr>
        <w:spacing w:before="120" w:after="120" w:line="360" w:lineRule="auto"/>
        <w:jc w:val="both"/>
        <w:rPr>
          <w:rFonts w:ascii="Arial" w:hAnsi="Arial" w:cs="Arial"/>
        </w:rPr>
      </w:pPr>
    </w:p>
    <w:tbl>
      <w:tblPr>
        <w:tblpPr w:leftFromText="180" w:rightFromText="180" w:vertAnchor="text" w:horzAnchor="margin" w:tblpXSpec="right" w:tblpY="917"/>
        <w:tblW w:w="8232" w:type="dxa"/>
        <w:tblLook w:val="04A0" w:firstRow="1" w:lastRow="0" w:firstColumn="1" w:lastColumn="0" w:noHBand="0" w:noVBand="1"/>
      </w:tblPr>
      <w:tblGrid>
        <w:gridCol w:w="3112"/>
        <w:gridCol w:w="2560"/>
        <w:gridCol w:w="2560"/>
      </w:tblGrid>
      <w:tr w:rsidR="00EA433E" w:rsidRPr="006A6ED2" w14:paraId="14F2F0F5" w14:textId="77777777" w:rsidTr="00EA433E">
        <w:trPr>
          <w:trHeight w:val="465"/>
        </w:trPr>
        <w:tc>
          <w:tcPr>
            <w:tcW w:w="3112" w:type="dxa"/>
            <w:vMerge w:val="restart"/>
            <w:tcBorders>
              <w:top w:val="single" w:sz="8" w:space="0" w:color="auto"/>
              <w:left w:val="nil"/>
              <w:bottom w:val="single" w:sz="8" w:space="0" w:color="000000"/>
              <w:right w:val="nil"/>
            </w:tcBorders>
            <w:shd w:val="clear" w:color="auto" w:fill="auto"/>
            <w:vAlign w:val="center"/>
            <w:hideMark/>
          </w:tcPr>
          <w:p w14:paraId="5A91B822" w14:textId="77777777" w:rsidR="00EA433E" w:rsidRPr="006A6ED2" w:rsidRDefault="00EA433E" w:rsidP="00EA433E">
            <w:pPr>
              <w:ind w:left="-270" w:firstLine="270"/>
              <w:jc w:val="center"/>
              <w:rPr>
                <w:rFonts w:ascii="Arial" w:hAnsi="Arial" w:cs="Arial"/>
                <w:b/>
                <w:bCs/>
                <w:color w:val="000000"/>
              </w:rPr>
            </w:pPr>
            <w:r w:rsidRPr="006A6ED2">
              <w:rPr>
                <w:rFonts w:ascii="Arial" w:hAnsi="Arial" w:cs="Arial"/>
                <w:b/>
                <w:bCs/>
                <w:color w:val="000000"/>
              </w:rPr>
              <w:lastRenderedPageBreak/>
              <w:t>Treatments</w:t>
            </w:r>
          </w:p>
        </w:tc>
        <w:tc>
          <w:tcPr>
            <w:tcW w:w="2560" w:type="dxa"/>
            <w:tcBorders>
              <w:top w:val="single" w:sz="8" w:space="0" w:color="auto"/>
              <w:left w:val="nil"/>
              <w:bottom w:val="nil"/>
              <w:right w:val="nil"/>
            </w:tcBorders>
            <w:shd w:val="clear" w:color="auto" w:fill="auto"/>
            <w:vAlign w:val="center"/>
            <w:hideMark/>
          </w:tcPr>
          <w:p w14:paraId="2351E3D1"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c>
          <w:tcPr>
            <w:tcW w:w="2560" w:type="dxa"/>
            <w:tcBorders>
              <w:top w:val="single" w:sz="8" w:space="0" w:color="auto"/>
              <w:left w:val="nil"/>
              <w:bottom w:val="nil"/>
              <w:right w:val="nil"/>
            </w:tcBorders>
            <w:shd w:val="clear" w:color="auto" w:fill="auto"/>
            <w:vAlign w:val="center"/>
            <w:hideMark/>
          </w:tcPr>
          <w:p w14:paraId="179D9F3F"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SPAD values at 58 DAS</w:t>
            </w:r>
          </w:p>
        </w:tc>
      </w:tr>
      <w:tr w:rsidR="00EA433E" w:rsidRPr="006A6ED2" w14:paraId="18454BDC" w14:textId="77777777" w:rsidTr="00EA433E">
        <w:trPr>
          <w:trHeight w:val="315"/>
        </w:trPr>
        <w:tc>
          <w:tcPr>
            <w:tcW w:w="3112" w:type="dxa"/>
            <w:vMerge/>
            <w:tcBorders>
              <w:top w:val="single" w:sz="8" w:space="0" w:color="auto"/>
              <w:left w:val="nil"/>
              <w:bottom w:val="single" w:sz="8" w:space="0" w:color="000000"/>
              <w:right w:val="nil"/>
            </w:tcBorders>
            <w:vAlign w:val="center"/>
            <w:hideMark/>
          </w:tcPr>
          <w:p w14:paraId="47129BE7" w14:textId="77777777" w:rsidR="00EA433E" w:rsidRPr="006A6ED2" w:rsidRDefault="00EA433E" w:rsidP="00EA433E">
            <w:pPr>
              <w:rPr>
                <w:rFonts w:ascii="Arial" w:hAnsi="Arial" w:cs="Arial"/>
                <w:b/>
                <w:bCs/>
                <w:color w:val="000000"/>
              </w:rPr>
            </w:pPr>
          </w:p>
        </w:tc>
        <w:tc>
          <w:tcPr>
            <w:tcW w:w="2560" w:type="dxa"/>
            <w:tcBorders>
              <w:top w:val="nil"/>
              <w:left w:val="nil"/>
              <w:bottom w:val="single" w:sz="8" w:space="0" w:color="auto"/>
              <w:right w:val="nil"/>
            </w:tcBorders>
            <w:shd w:val="clear" w:color="auto" w:fill="auto"/>
            <w:vAlign w:val="center"/>
            <w:hideMark/>
          </w:tcPr>
          <w:p w14:paraId="2FF3CFE6"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(2023-24)</w:t>
            </w:r>
          </w:p>
        </w:tc>
        <w:tc>
          <w:tcPr>
            <w:tcW w:w="2560" w:type="dxa"/>
            <w:tcBorders>
              <w:top w:val="nil"/>
              <w:left w:val="nil"/>
              <w:bottom w:val="single" w:sz="8" w:space="0" w:color="auto"/>
              <w:right w:val="nil"/>
            </w:tcBorders>
            <w:shd w:val="clear" w:color="auto" w:fill="auto"/>
            <w:vAlign w:val="center"/>
            <w:hideMark/>
          </w:tcPr>
          <w:p w14:paraId="377B825F" w14:textId="77777777" w:rsidR="00EA433E" w:rsidRPr="006A6ED2" w:rsidRDefault="00EA433E" w:rsidP="00EA433E">
            <w:pPr>
              <w:jc w:val="center"/>
              <w:rPr>
                <w:rFonts w:ascii="Arial" w:hAnsi="Arial" w:cs="Arial"/>
                <w:b/>
                <w:bCs/>
                <w:color w:val="000000"/>
              </w:rPr>
            </w:pPr>
            <w:r w:rsidRPr="006A6ED2">
              <w:rPr>
                <w:rFonts w:ascii="Arial" w:hAnsi="Arial" w:cs="Arial"/>
                <w:b/>
                <w:bCs/>
                <w:color w:val="000000"/>
              </w:rPr>
              <w:t>(2024-25)</w:t>
            </w:r>
          </w:p>
        </w:tc>
      </w:tr>
      <w:tr w:rsidR="00EA433E" w:rsidRPr="006A6ED2" w14:paraId="6ECCA408" w14:textId="77777777" w:rsidTr="00EA433E">
        <w:trPr>
          <w:trHeight w:val="432"/>
        </w:trPr>
        <w:tc>
          <w:tcPr>
            <w:tcW w:w="3112" w:type="dxa"/>
            <w:tcBorders>
              <w:top w:val="nil"/>
              <w:left w:val="nil"/>
              <w:bottom w:val="nil"/>
              <w:right w:val="nil"/>
            </w:tcBorders>
            <w:shd w:val="clear" w:color="auto" w:fill="auto"/>
            <w:vAlign w:val="center"/>
            <w:hideMark/>
          </w:tcPr>
          <w:p w14:paraId="357BE621"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w:t>
            </w:r>
          </w:p>
        </w:tc>
        <w:tc>
          <w:tcPr>
            <w:tcW w:w="2560" w:type="dxa"/>
            <w:tcBorders>
              <w:top w:val="nil"/>
              <w:left w:val="nil"/>
              <w:bottom w:val="nil"/>
              <w:right w:val="nil"/>
            </w:tcBorders>
            <w:shd w:val="clear" w:color="auto" w:fill="auto"/>
            <w:vAlign w:val="center"/>
            <w:hideMark/>
          </w:tcPr>
          <w:p w14:paraId="6D384418" w14:textId="77777777" w:rsidR="00EA433E" w:rsidRPr="006A6ED2" w:rsidRDefault="00EA433E" w:rsidP="00EA433E">
            <w:pPr>
              <w:jc w:val="center"/>
              <w:rPr>
                <w:rFonts w:ascii="Arial" w:hAnsi="Arial" w:cs="Arial"/>
                <w:color w:val="000000"/>
              </w:rPr>
            </w:pPr>
            <w:r w:rsidRPr="006A6ED2">
              <w:rPr>
                <w:rFonts w:ascii="Arial" w:hAnsi="Arial" w:cs="Arial"/>
                <w:color w:val="000000"/>
              </w:rPr>
              <w:t>41.55 j</w:t>
            </w:r>
          </w:p>
        </w:tc>
        <w:tc>
          <w:tcPr>
            <w:tcW w:w="2560" w:type="dxa"/>
            <w:tcBorders>
              <w:top w:val="nil"/>
              <w:left w:val="nil"/>
              <w:bottom w:val="nil"/>
              <w:right w:val="nil"/>
            </w:tcBorders>
            <w:shd w:val="clear" w:color="auto" w:fill="auto"/>
            <w:vAlign w:val="center"/>
            <w:hideMark/>
          </w:tcPr>
          <w:p w14:paraId="22995132" w14:textId="77777777" w:rsidR="00EA433E" w:rsidRPr="006A6ED2" w:rsidRDefault="00EA433E" w:rsidP="00EA433E">
            <w:pPr>
              <w:jc w:val="center"/>
              <w:rPr>
                <w:rFonts w:ascii="Arial" w:hAnsi="Arial" w:cs="Arial"/>
                <w:color w:val="000000"/>
              </w:rPr>
            </w:pPr>
            <w:r w:rsidRPr="006A6ED2">
              <w:rPr>
                <w:rFonts w:ascii="Arial" w:hAnsi="Arial" w:cs="Arial"/>
                <w:color w:val="000000"/>
              </w:rPr>
              <w:t>30.50 c</w:t>
            </w:r>
          </w:p>
        </w:tc>
      </w:tr>
      <w:tr w:rsidR="00EA433E" w:rsidRPr="006A6ED2" w14:paraId="297F3517" w14:textId="77777777" w:rsidTr="00EA433E">
        <w:trPr>
          <w:trHeight w:val="432"/>
        </w:trPr>
        <w:tc>
          <w:tcPr>
            <w:tcW w:w="3112" w:type="dxa"/>
            <w:tcBorders>
              <w:top w:val="nil"/>
              <w:left w:val="nil"/>
              <w:bottom w:val="nil"/>
              <w:right w:val="nil"/>
            </w:tcBorders>
            <w:shd w:val="clear" w:color="auto" w:fill="auto"/>
            <w:vAlign w:val="center"/>
            <w:hideMark/>
          </w:tcPr>
          <w:p w14:paraId="3BBDC1F0"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2</w:t>
            </w:r>
          </w:p>
        </w:tc>
        <w:tc>
          <w:tcPr>
            <w:tcW w:w="2560" w:type="dxa"/>
            <w:tcBorders>
              <w:top w:val="nil"/>
              <w:left w:val="nil"/>
              <w:bottom w:val="nil"/>
              <w:right w:val="nil"/>
            </w:tcBorders>
            <w:shd w:val="clear" w:color="auto" w:fill="auto"/>
            <w:vAlign w:val="center"/>
            <w:hideMark/>
          </w:tcPr>
          <w:p w14:paraId="79C5F7E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42.61 </w:t>
            </w:r>
            <w:proofErr w:type="spellStart"/>
            <w:r w:rsidRPr="006A6ED2">
              <w:rPr>
                <w:rFonts w:ascii="Arial" w:hAnsi="Arial" w:cs="Arial"/>
                <w:color w:val="000000"/>
              </w:rPr>
              <w:t>i</w:t>
            </w:r>
            <w:proofErr w:type="spellEnd"/>
          </w:p>
        </w:tc>
        <w:tc>
          <w:tcPr>
            <w:tcW w:w="2560" w:type="dxa"/>
            <w:tcBorders>
              <w:top w:val="nil"/>
              <w:left w:val="nil"/>
              <w:bottom w:val="nil"/>
              <w:right w:val="nil"/>
            </w:tcBorders>
            <w:shd w:val="clear" w:color="auto" w:fill="auto"/>
            <w:vAlign w:val="center"/>
            <w:hideMark/>
          </w:tcPr>
          <w:p w14:paraId="3AC4C325"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31.96 </w:t>
            </w:r>
            <w:proofErr w:type="spellStart"/>
            <w:r w:rsidRPr="006A6ED2">
              <w:rPr>
                <w:rFonts w:ascii="Arial" w:hAnsi="Arial" w:cs="Arial"/>
                <w:color w:val="000000"/>
              </w:rPr>
              <w:t>bc</w:t>
            </w:r>
            <w:proofErr w:type="spellEnd"/>
          </w:p>
        </w:tc>
      </w:tr>
      <w:tr w:rsidR="00EA433E" w:rsidRPr="006A6ED2" w14:paraId="2324BA0F" w14:textId="77777777" w:rsidTr="00EA433E">
        <w:trPr>
          <w:trHeight w:val="432"/>
        </w:trPr>
        <w:tc>
          <w:tcPr>
            <w:tcW w:w="3112" w:type="dxa"/>
            <w:tcBorders>
              <w:top w:val="nil"/>
              <w:left w:val="nil"/>
              <w:bottom w:val="nil"/>
              <w:right w:val="nil"/>
            </w:tcBorders>
            <w:shd w:val="clear" w:color="auto" w:fill="auto"/>
            <w:vAlign w:val="center"/>
            <w:hideMark/>
          </w:tcPr>
          <w:p w14:paraId="1024743F"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3</w:t>
            </w:r>
          </w:p>
        </w:tc>
        <w:tc>
          <w:tcPr>
            <w:tcW w:w="2560" w:type="dxa"/>
            <w:tcBorders>
              <w:top w:val="nil"/>
              <w:left w:val="nil"/>
              <w:bottom w:val="nil"/>
              <w:right w:val="nil"/>
            </w:tcBorders>
            <w:shd w:val="clear" w:color="auto" w:fill="auto"/>
            <w:vAlign w:val="center"/>
            <w:hideMark/>
          </w:tcPr>
          <w:p w14:paraId="618C53E6" w14:textId="77777777" w:rsidR="00EA433E" w:rsidRPr="006A6ED2" w:rsidRDefault="00EA433E" w:rsidP="00EA433E">
            <w:pPr>
              <w:jc w:val="center"/>
              <w:rPr>
                <w:rFonts w:ascii="Arial" w:hAnsi="Arial" w:cs="Arial"/>
                <w:color w:val="000000"/>
              </w:rPr>
            </w:pPr>
            <w:r w:rsidRPr="006A6ED2">
              <w:rPr>
                <w:rFonts w:ascii="Arial" w:hAnsi="Arial" w:cs="Arial"/>
                <w:color w:val="000000"/>
              </w:rPr>
              <w:t>43.89 f</w:t>
            </w:r>
          </w:p>
        </w:tc>
        <w:tc>
          <w:tcPr>
            <w:tcW w:w="2560" w:type="dxa"/>
            <w:tcBorders>
              <w:top w:val="nil"/>
              <w:left w:val="nil"/>
              <w:bottom w:val="nil"/>
              <w:right w:val="nil"/>
            </w:tcBorders>
            <w:shd w:val="clear" w:color="auto" w:fill="auto"/>
            <w:vAlign w:val="center"/>
            <w:hideMark/>
          </w:tcPr>
          <w:p w14:paraId="5F7B958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34.39 </w:t>
            </w:r>
            <w:proofErr w:type="spellStart"/>
            <w:r w:rsidRPr="006A6ED2">
              <w:rPr>
                <w:rFonts w:ascii="Arial" w:hAnsi="Arial" w:cs="Arial"/>
                <w:color w:val="000000"/>
              </w:rPr>
              <w:t>bc</w:t>
            </w:r>
            <w:proofErr w:type="spellEnd"/>
          </w:p>
        </w:tc>
      </w:tr>
      <w:tr w:rsidR="00EA433E" w:rsidRPr="006A6ED2" w14:paraId="6C1E411D" w14:textId="77777777" w:rsidTr="00EA433E">
        <w:trPr>
          <w:trHeight w:val="432"/>
        </w:trPr>
        <w:tc>
          <w:tcPr>
            <w:tcW w:w="3112" w:type="dxa"/>
            <w:tcBorders>
              <w:top w:val="nil"/>
              <w:left w:val="nil"/>
              <w:bottom w:val="nil"/>
              <w:right w:val="nil"/>
            </w:tcBorders>
            <w:shd w:val="clear" w:color="auto" w:fill="auto"/>
            <w:vAlign w:val="center"/>
            <w:hideMark/>
          </w:tcPr>
          <w:p w14:paraId="53028CA4"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4</w:t>
            </w:r>
          </w:p>
        </w:tc>
        <w:tc>
          <w:tcPr>
            <w:tcW w:w="2560" w:type="dxa"/>
            <w:tcBorders>
              <w:top w:val="nil"/>
              <w:left w:val="nil"/>
              <w:bottom w:val="nil"/>
              <w:right w:val="nil"/>
            </w:tcBorders>
            <w:shd w:val="clear" w:color="auto" w:fill="auto"/>
            <w:vAlign w:val="center"/>
            <w:hideMark/>
          </w:tcPr>
          <w:p w14:paraId="23DA5C73" w14:textId="77777777" w:rsidR="00EA433E" w:rsidRPr="006A6ED2" w:rsidRDefault="00EA433E" w:rsidP="00EA433E">
            <w:pPr>
              <w:jc w:val="center"/>
              <w:rPr>
                <w:rFonts w:ascii="Arial" w:hAnsi="Arial" w:cs="Arial"/>
                <w:color w:val="000000"/>
              </w:rPr>
            </w:pPr>
            <w:r w:rsidRPr="006A6ED2">
              <w:rPr>
                <w:rFonts w:ascii="Arial" w:hAnsi="Arial" w:cs="Arial"/>
                <w:color w:val="000000"/>
              </w:rPr>
              <w:t>48.29 b</w:t>
            </w:r>
          </w:p>
        </w:tc>
        <w:tc>
          <w:tcPr>
            <w:tcW w:w="2560" w:type="dxa"/>
            <w:tcBorders>
              <w:top w:val="nil"/>
              <w:left w:val="nil"/>
              <w:bottom w:val="nil"/>
              <w:right w:val="nil"/>
            </w:tcBorders>
            <w:shd w:val="clear" w:color="auto" w:fill="auto"/>
            <w:vAlign w:val="center"/>
            <w:hideMark/>
          </w:tcPr>
          <w:p w14:paraId="0B197EB3" w14:textId="77777777" w:rsidR="00EA433E" w:rsidRPr="006A6ED2" w:rsidRDefault="00EA433E" w:rsidP="00EA433E">
            <w:pPr>
              <w:jc w:val="center"/>
              <w:rPr>
                <w:rFonts w:ascii="Arial" w:hAnsi="Arial" w:cs="Arial"/>
                <w:color w:val="000000"/>
              </w:rPr>
            </w:pPr>
            <w:r w:rsidRPr="006A6ED2">
              <w:rPr>
                <w:rFonts w:ascii="Arial" w:hAnsi="Arial" w:cs="Arial"/>
                <w:color w:val="000000"/>
              </w:rPr>
              <w:t>32.92 ab</w:t>
            </w:r>
          </w:p>
        </w:tc>
      </w:tr>
      <w:tr w:rsidR="00EA433E" w:rsidRPr="006A6ED2" w14:paraId="6B859EB5" w14:textId="77777777" w:rsidTr="00EA433E">
        <w:trPr>
          <w:trHeight w:val="432"/>
        </w:trPr>
        <w:tc>
          <w:tcPr>
            <w:tcW w:w="3112" w:type="dxa"/>
            <w:tcBorders>
              <w:top w:val="nil"/>
              <w:left w:val="nil"/>
              <w:bottom w:val="nil"/>
              <w:right w:val="nil"/>
            </w:tcBorders>
            <w:shd w:val="clear" w:color="auto" w:fill="auto"/>
            <w:vAlign w:val="center"/>
            <w:hideMark/>
          </w:tcPr>
          <w:p w14:paraId="5FB4D631"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5</w:t>
            </w:r>
          </w:p>
        </w:tc>
        <w:tc>
          <w:tcPr>
            <w:tcW w:w="2560" w:type="dxa"/>
            <w:tcBorders>
              <w:top w:val="nil"/>
              <w:left w:val="nil"/>
              <w:bottom w:val="nil"/>
              <w:right w:val="nil"/>
            </w:tcBorders>
            <w:shd w:val="clear" w:color="auto" w:fill="auto"/>
            <w:vAlign w:val="center"/>
            <w:hideMark/>
          </w:tcPr>
          <w:p w14:paraId="3789FBEE" w14:textId="77777777" w:rsidR="00EA433E" w:rsidRPr="006A6ED2" w:rsidRDefault="00EA433E" w:rsidP="00EA433E">
            <w:pPr>
              <w:jc w:val="center"/>
              <w:rPr>
                <w:rFonts w:ascii="Arial" w:hAnsi="Arial" w:cs="Arial"/>
                <w:color w:val="000000"/>
              </w:rPr>
            </w:pPr>
            <w:r w:rsidRPr="006A6ED2">
              <w:rPr>
                <w:rFonts w:ascii="Arial" w:hAnsi="Arial" w:cs="Arial"/>
                <w:color w:val="000000"/>
              </w:rPr>
              <w:t>45.47 d</w:t>
            </w:r>
          </w:p>
        </w:tc>
        <w:tc>
          <w:tcPr>
            <w:tcW w:w="2560" w:type="dxa"/>
            <w:tcBorders>
              <w:top w:val="nil"/>
              <w:left w:val="nil"/>
              <w:bottom w:val="nil"/>
              <w:right w:val="nil"/>
            </w:tcBorders>
            <w:shd w:val="clear" w:color="auto" w:fill="auto"/>
            <w:vAlign w:val="center"/>
            <w:hideMark/>
          </w:tcPr>
          <w:p w14:paraId="4392A30A"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34.10 </w:t>
            </w:r>
            <w:proofErr w:type="spellStart"/>
            <w:r w:rsidRPr="006A6ED2">
              <w:rPr>
                <w:rFonts w:ascii="Arial" w:hAnsi="Arial" w:cs="Arial"/>
                <w:color w:val="000000"/>
              </w:rPr>
              <w:t>bc</w:t>
            </w:r>
            <w:proofErr w:type="spellEnd"/>
          </w:p>
        </w:tc>
      </w:tr>
      <w:tr w:rsidR="00EA433E" w:rsidRPr="006A6ED2" w14:paraId="347FD6FB" w14:textId="77777777" w:rsidTr="00EA433E">
        <w:trPr>
          <w:trHeight w:val="432"/>
        </w:trPr>
        <w:tc>
          <w:tcPr>
            <w:tcW w:w="3112" w:type="dxa"/>
            <w:tcBorders>
              <w:top w:val="nil"/>
              <w:left w:val="nil"/>
              <w:bottom w:val="nil"/>
              <w:right w:val="nil"/>
            </w:tcBorders>
            <w:shd w:val="clear" w:color="auto" w:fill="auto"/>
            <w:vAlign w:val="center"/>
            <w:hideMark/>
          </w:tcPr>
          <w:p w14:paraId="00266B10"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6</w:t>
            </w:r>
          </w:p>
        </w:tc>
        <w:tc>
          <w:tcPr>
            <w:tcW w:w="2560" w:type="dxa"/>
            <w:tcBorders>
              <w:top w:val="nil"/>
              <w:left w:val="nil"/>
              <w:bottom w:val="nil"/>
              <w:right w:val="nil"/>
            </w:tcBorders>
            <w:shd w:val="clear" w:color="auto" w:fill="auto"/>
            <w:vAlign w:val="center"/>
            <w:hideMark/>
          </w:tcPr>
          <w:p w14:paraId="5CE5E81A" w14:textId="77777777" w:rsidR="00EA433E" w:rsidRPr="006A6ED2" w:rsidRDefault="00EA433E" w:rsidP="00EA433E">
            <w:pPr>
              <w:jc w:val="center"/>
              <w:rPr>
                <w:rFonts w:ascii="Arial" w:hAnsi="Arial" w:cs="Arial"/>
                <w:color w:val="000000"/>
              </w:rPr>
            </w:pPr>
            <w:r w:rsidRPr="006A6ED2">
              <w:rPr>
                <w:rFonts w:ascii="Arial" w:hAnsi="Arial" w:cs="Arial"/>
                <w:color w:val="000000"/>
              </w:rPr>
              <w:t>45.85 c</w:t>
            </w:r>
          </w:p>
        </w:tc>
        <w:tc>
          <w:tcPr>
            <w:tcW w:w="2560" w:type="dxa"/>
            <w:tcBorders>
              <w:top w:val="nil"/>
              <w:left w:val="nil"/>
              <w:bottom w:val="nil"/>
              <w:right w:val="nil"/>
            </w:tcBorders>
            <w:shd w:val="clear" w:color="auto" w:fill="auto"/>
            <w:vAlign w:val="center"/>
            <w:hideMark/>
          </w:tcPr>
          <w:p w14:paraId="7B061C7D" w14:textId="77777777" w:rsidR="00EA433E" w:rsidRPr="006A6ED2" w:rsidRDefault="00EA433E" w:rsidP="00EA433E">
            <w:pPr>
              <w:jc w:val="center"/>
              <w:rPr>
                <w:rFonts w:ascii="Arial" w:hAnsi="Arial" w:cs="Arial"/>
                <w:color w:val="000000"/>
              </w:rPr>
            </w:pPr>
            <w:r w:rsidRPr="006A6ED2">
              <w:rPr>
                <w:rFonts w:ascii="Arial" w:hAnsi="Arial" w:cs="Arial"/>
                <w:color w:val="000000"/>
              </w:rPr>
              <w:t>36.22 ab</w:t>
            </w:r>
          </w:p>
        </w:tc>
      </w:tr>
      <w:tr w:rsidR="00EA433E" w:rsidRPr="006A6ED2" w14:paraId="30E21D29" w14:textId="77777777" w:rsidTr="00EA433E">
        <w:trPr>
          <w:trHeight w:val="432"/>
        </w:trPr>
        <w:tc>
          <w:tcPr>
            <w:tcW w:w="3112" w:type="dxa"/>
            <w:tcBorders>
              <w:top w:val="nil"/>
              <w:left w:val="nil"/>
              <w:bottom w:val="nil"/>
              <w:right w:val="nil"/>
            </w:tcBorders>
            <w:shd w:val="clear" w:color="auto" w:fill="auto"/>
            <w:vAlign w:val="center"/>
            <w:hideMark/>
          </w:tcPr>
          <w:p w14:paraId="2767207E"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7</w:t>
            </w:r>
          </w:p>
        </w:tc>
        <w:tc>
          <w:tcPr>
            <w:tcW w:w="2560" w:type="dxa"/>
            <w:tcBorders>
              <w:top w:val="nil"/>
              <w:left w:val="nil"/>
              <w:bottom w:val="nil"/>
              <w:right w:val="nil"/>
            </w:tcBorders>
            <w:shd w:val="clear" w:color="auto" w:fill="auto"/>
            <w:vAlign w:val="center"/>
            <w:hideMark/>
          </w:tcPr>
          <w:p w14:paraId="3A565C4A" w14:textId="77777777" w:rsidR="00EA433E" w:rsidRPr="006A6ED2" w:rsidRDefault="00EA433E" w:rsidP="00EA433E">
            <w:pPr>
              <w:jc w:val="center"/>
              <w:rPr>
                <w:rFonts w:ascii="Arial" w:hAnsi="Arial" w:cs="Arial"/>
                <w:color w:val="000000"/>
              </w:rPr>
            </w:pPr>
            <w:r w:rsidRPr="006A6ED2">
              <w:rPr>
                <w:rFonts w:ascii="Arial" w:hAnsi="Arial" w:cs="Arial"/>
                <w:color w:val="000000"/>
              </w:rPr>
              <w:t>43.54 g</w:t>
            </w:r>
          </w:p>
        </w:tc>
        <w:tc>
          <w:tcPr>
            <w:tcW w:w="2560" w:type="dxa"/>
            <w:tcBorders>
              <w:top w:val="nil"/>
              <w:left w:val="nil"/>
              <w:bottom w:val="nil"/>
              <w:right w:val="nil"/>
            </w:tcBorders>
            <w:shd w:val="clear" w:color="auto" w:fill="auto"/>
            <w:vAlign w:val="center"/>
            <w:hideMark/>
          </w:tcPr>
          <w:p w14:paraId="1E1F468C"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32.65 </w:t>
            </w:r>
            <w:proofErr w:type="spellStart"/>
            <w:r w:rsidRPr="006A6ED2">
              <w:rPr>
                <w:rFonts w:ascii="Arial" w:hAnsi="Arial" w:cs="Arial"/>
                <w:color w:val="000000"/>
              </w:rPr>
              <w:t>bc</w:t>
            </w:r>
            <w:proofErr w:type="spellEnd"/>
          </w:p>
        </w:tc>
      </w:tr>
      <w:tr w:rsidR="00EA433E" w:rsidRPr="006A6ED2" w14:paraId="10FD4BF9" w14:textId="77777777" w:rsidTr="00EA433E">
        <w:trPr>
          <w:trHeight w:val="432"/>
        </w:trPr>
        <w:tc>
          <w:tcPr>
            <w:tcW w:w="3112" w:type="dxa"/>
            <w:tcBorders>
              <w:top w:val="nil"/>
              <w:left w:val="nil"/>
              <w:bottom w:val="nil"/>
              <w:right w:val="nil"/>
            </w:tcBorders>
            <w:shd w:val="clear" w:color="auto" w:fill="auto"/>
            <w:vAlign w:val="center"/>
            <w:hideMark/>
          </w:tcPr>
          <w:p w14:paraId="6D857F7D"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8</w:t>
            </w:r>
          </w:p>
        </w:tc>
        <w:tc>
          <w:tcPr>
            <w:tcW w:w="2560" w:type="dxa"/>
            <w:tcBorders>
              <w:top w:val="nil"/>
              <w:left w:val="nil"/>
              <w:bottom w:val="nil"/>
              <w:right w:val="nil"/>
            </w:tcBorders>
            <w:shd w:val="clear" w:color="auto" w:fill="auto"/>
            <w:vAlign w:val="center"/>
            <w:hideMark/>
          </w:tcPr>
          <w:p w14:paraId="3578D732" w14:textId="77777777" w:rsidR="00EA433E" w:rsidRPr="006A6ED2" w:rsidRDefault="00EA433E" w:rsidP="00EA433E">
            <w:pPr>
              <w:jc w:val="center"/>
              <w:rPr>
                <w:rFonts w:ascii="Arial" w:hAnsi="Arial" w:cs="Arial"/>
                <w:color w:val="000000"/>
              </w:rPr>
            </w:pPr>
            <w:r w:rsidRPr="006A6ED2">
              <w:rPr>
                <w:rFonts w:ascii="Arial" w:hAnsi="Arial" w:cs="Arial"/>
                <w:color w:val="000000"/>
              </w:rPr>
              <w:t>43.07 h</w:t>
            </w:r>
          </w:p>
        </w:tc>
        <w:tc>
          <w:tcPr>
            <w:tcW w:w="2560" w:type="dxa"/>
            <w:tcBorders>
              <w:top w:val="nil"/>
              <w:left w:val="nil"/>
              <w:bottom w:val="nil"/>
              <w:right w:val="nil"/>
            </w:tcBorders>
            <w:shd w:val="clear" w:color="auto" w:fill="auto"/>
            <w:vAlign w:val="center"/>
            <w:hideMark/>
          </w:tcPr>
          <w:p w14:paraId="77E46B82"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32.31 </w:t>
            </w:r>
            <w:proofErr w:type="spellStart"/>
            <w:r w:rsidRPr="006A6ED2">
              <w:rPr>
                <w:rFonts w:ascii="Arial" w:hAnsi="Arial" w:cs="Arial"/>
                <w:color w:val="000000"/>
              </w:rPr>
              <w:t>bc</w:t>
            </w:r>
            <w:proofErr w:type="spellEnd"/>
          </w:p>
        </w:tc>
      </w:tr>
      <w:tr w:rsidR="00EA433E" w:rsidRPr="006A6ED2" w14:paraId="4AA3A6B1" w14:textId="77777777" w:rsidTr="00EA433E">
        <w:trPr>
          <w:trHeight w:val="432"/>
        </w:trPr>
        <w:tc>
          <w:tcPr>
            <w:tcW w:w="3112" w:type="dxa"/>
            <w:tcBorders>
              <w:top w:val="nil"/>
              <w:left w:val="nil"/>
              <w:bottom w:val="nil"/>
              <w:right w:val="nil"/>
            </w:tcBorders>
            <w:shd w:val="clear" w:color="auto" w:fill="auto"/>
            <w:vAlign w:val="center"/>
            <w:hideMark/>
          </w:tcPr>
          <w:p w14:paraId="605838BE"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9</w:t>
            </w:r>
          </w:p>
        </w:tc>
        <w:tc>
          <w:tcPr>
            <w:tcW w:w="2560" w:type="dxa"/>
            <w:tcBorders>
              <w:top w:val="nil"/>
              <w:left w:val="nil"/>
              <w:bottom w:val="nil"/>
              <w:right w:val="nil"/>
            </w:tcBorders>
            <w:shd w:val="clear" w:color="auto" w:fill="auto"/>
            <w:vAlign w:val="center"/>
            <w:hideMark/>
          </w:tcPr>
          <w:p w14:paraId="3385AE16" w14:textId="77777777" w:rsidR="00EA433E" w:rsidRPr="006A6ED2" w:rsidRDefault="00EA433E" w:rsidP="00EA433E">
            <w:pPr>
              <w:jc w:val="center"/>
              <w:rPr>
                <w:rFonts w:ascii="Arial" w:hAnsi="Arial" w:cs="Arial"/>
                <w:color w:val="000000"/>
              </w:rPr>
            </w:pPr>
            <w:r w:rsidRPr="006A6ED2">
              <w:rPr>
                <w:rFonts w:ascii="Arial" w:hAnsi="Arial" w:cs="Arial"/>
                <w:color w:val="000000"/>
              </w:rPr>
              <w:t>52.38 a</w:t>
            </w:r>
          </w:p>
        </w:tc>
        <w:tc>
          <w:tcPr>
            <w:tcW w:w="2560" w:type="dxa"/>
            <w:tcBorders>
              <w:top w:val="nil"/>
              <w:left w:val="nil"/>
              <w:bottom w:val="nil"/>
              <w:right w:val="nil"/>
            </w:tcBorders>
            <w:shd w:val="clear" w:color="auto" w:fill="auto"/>
            <w:vAlign w:val="center"/>
            <w:hideMark/>
          </w:tcPr>
          <w:p w14:paraId="2A744C66" w14:textId="77777777" w:rsidR="00EA433E" w:rsidRPr="006A6ED2" w:rsidRDefault="00EA433E" w:rsidP="00EA433E">
            <w:pPr>
              <w:jc w:val="center"/>
              <w:rPr>
                <w:rFonts w:ascii="Arial" w:hAnsi="Arial" w:cs="Arial"/>
                <w:color w:val="000000"/>
              </w:rPr>
            </w:pPr>
            <w:r w:rsidRPr="006A6ED2">
              <w:rPr>
                <w:rFonts w:ascii="Arial" w:hAnsi="Arial" w:cs="Arial"/>
                <w:color w:val="000000"/>
              </w:rPr>
              <w:t>38.62 a</w:t>
            </w:r>
          </w:p>
        </w:tc>
      </w:tr>
      <w:tr w:rsidR="00EA433E" w:rsidRPr="006A6ED2" w14:paraId="5C01A579" w14:textId="77777777" w:rsidTr="00EA433E">
        <w:trPr>
          <w:trHeight w:val="432"/>
        </w:trPr>
        <w:tc>
          <w:tcPr>
            <w:tcW w:w="3112" w:type="dxa"/>
            <w:tcBorders>
              <w:top w:val="nil"/>
              <w:left w:val="nil"/>
              <w:bottom w:val="nil"/>
              <w:right w:val="nil"/>
            </w:tcBorders>
            <w:shd w:val="clear" w:color="auto" w:fill="auto"/>
            <w:vAlign w:val="center"/>
            <w:hideMark/>
          </w:tcPr>
          <w:p w14:paraId="033EB2A4" w14:textId="77777777" w:rsidR="00EA433E" w:rsidRPr="006A6ED2" w:rsidRDefault="00EA433E" w:rsidP="00EA433E">
            <w:pPr>
              <w:jc w:val="center"/>
              <w:rPr>
                <w:rFonts w:ascii="Arial" w:hAnsi="Arial" w:cs="Arial"/>
                <w:color w:val="000000"/>
              </w:rPr>
            </w:pPr>
            <w:r w:rsidRPr="006A6ED2">
              <w:rPr>
                <w:rFonts w:ascii="Arial" w:hAnsi="Arial" w:cs="Arial"/>
                <w:color w:val="000000"/>
              </w:rPr>
              <w:t>T</w:t>
            </w:r>
            <w:r w:rsidRPr="006A6ED2">
              <w:rPr>
                <w:rFonts w:ascii="Arial" w:hAnsi="Arial" w:cs="Arial"/>
                <w:color w:val="000000"/>
                <w:vertAlign w:val="subscript"/>
              </w:rPr>
              <w:t>10</w:t>
            </w:r>
          </w:p>
        </w:tc>
        <w:tc>
          <w:tcPr>
            <w:tcW w:w="2560" w:type="dxa"/>
            <w:tcBorders>
              <w:top w:val="nil"/>
              <w:left w:val="nil"/>
              <w:bottom w:val="nil"/>
              <w:right w:val="nil"/>
            </w:tcBorders>
            <w:shd w:val="clear" w:color="auto" w:fill="auto"/>
            <w:vAlign w:val="center"/>
            <w:hideMark/>
          </w:tcPr>
          <w:p w14:paraId="1757E4FE" w14:textId="77777777" w:rsidR="00EA433E" w:rsidRPr="006A6ED2" w:rsidRDefault="00EA433E" w:rsidP="00EA433E">
            <w:pPr>
              <w:jc w:val="center"/>
              <w:rPr>
                <w:rFonts w:ascii="Arial" w:hAnsi="Arial" w:cs="Arial"/>
                <w:color w:val="000000"/>
              </w:rPr>
            </w:pPr>
            <w:r w:rsidRPr="006A6ED2">
              <w:rPr>
                <w:rFonts w:ascii="Arial" w:hAnsi="Arial" w:cs="Arial"/>
                <w:color w:val="000000"/>
              </w:rPr>
              <w:t>44.86 e</w:t>
            </w:r>
          </w:p>
        </w:tc>
        <w:tc>
          <w:tcPr>
            <w:tcW w:w="2560" w:type="dxa"/>
            <w:tcBorders>
              <w:top w:val="nil"/>
              <w:left w:val="nil"/>
              <w:bottom w:val="nil"/>
              <w:right w:val="nil"/>
            </w:tcBorders>
            <w:shd w:val="clear" w:color="auto" w:fill="auto"/>
            <w:vAlign w:val="center"/>
            <w:hideMark/>
          </w:tcPr>
          <w:p w14:paraId="21F8AC95"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33.65 </w:t>
            </w:r>
            <w:proofErr w:type="spellStart"/>
            <w:r w:rsidRPr="006A6ED2">
              <w:rPr>
                <w:rFonts w:ascii="Arial" w:hAnsi="Arial" w:cs="Arial"/>
                <w:color w:val="000000"/>
              </w:rPr>
              <w:t>bc</w:t>
            </w:r>
            <w:proofErr w:type="spellEnd"/>
          </w:p>
        </w:tc>
      </w:tr>
      <w:tr w:rsidR="00EA433E" w:rsidRPr="006A6ED2" w14:paraId="56606007" w14:textId="77777777" w:rsidTr="00EA433E">
        <w:trPr>
          <w:trHeight w:val="432"/>
        </w:trPr>
        <w:tc>
          <w:tcPr>
            <w:tcW w:w="3112" w:type="dxa"/>
            <w:tcBorders>
              <w:top w:val="nil"/>
              <w:left w:val="nil"/>
              <w:bottom w:val="nil"/>
              <w:right w:val="nil"/>
            </w:tcBorders>
            <w:shd w:val="clear" w:color="auto" w:fill="auto"/>
            <w:vAlign w:val="center"/>
            <w:hideMark/>
          </w:tcPr>
          <w:p w14:paraId="4635E886" w14:textId="77777777" w:rsidR="00EA433E" w:rsidRPr="006A6ED2" w:rsidRDefault="00EA433E" w:rsidP="00EA433E">
            <w:pPr>
              <w:jc w:val="center"/>
              <w:rPr>
                <w:rFonts w:ascii="Arial" w:hAnsi="Arial" w:cs="Arial"/>
                <w:color w:val="000000"/>
              </w:rPr>
            </w:pPr>
            <w:r w:rsidRPr="006A6ED2">
              <w:rPr>
                <w:rFonts w:ascii="Arial" w:hAnsi="Arial" w:cs="Arial"/>
                <w:color w:val="000000"/>
              </w:rPr>
              <w:t xml:space="preserve">LSD </w:t>
            </w:r>
            <w:r w:rsidRPr="006A6ED2">
              <w:rPr>
                <w:rFonts w:ascii="Arial" w:hAnsi="Arial" w:cs="Arial"/>
                <w:color w:val="000000"/>
                <w:vertAlign w:val="subscript"/>
              </w:rPr>
              <w:t>0.05</w:t>
            </w:r>
          </w:p>
        </w:tc>
        <w:tc>
          <w:tcPr>
            <w:tcW w:w="2560" w:type="dxa"/>
            <w:tcBorders>
              <w:top w:val="nil"/>
              <w:left w:val="nil"/>
              <w:bottom w:val="nil"/>
              <w:right w:val="nil"/>
            </w:tcBorders>
            <w:shd w:val="clear" w:color="auto" w:fill="auto"/>
            <w:vAlign w:val="center"/>
            <w:hideMark/>
          </w:tcPr>
          <w:p w14:paraId="1D264728" w14:textId="77777777" w:rsidR="00EA433E" w:rsidRPr="006A6ED2" w:rsidRDefault="00EA433E" w:rsidP="00EA433E">
            <w:pPr>
              <w:jc w:val="center"/>
              <w:rPr>
                <w:rFonts w:ascii="Arial" w:hAnsi="Arial" w:cs="Arial"/>
                <w:color w:val="000000"/>
              </w:rPr>
            </w:pPr>
            <w:r w:rsidRPr="006A6ED2">
              <w:rPr>
                <w:rFonts w:ascii="Arial" w:hAnsi="Arial" w:cs="Arial"/>
                <w:color w:val="000000"/>
              </w:rPr>
              <w:t>4.58</w:t>
            </w:r>
          </w:p>
        </w:tc>
        <w:tc>
          <w:tcPr>
            <w:tcW w:w="2560" w:type="dxa"/>
            <w:tcBorders>
              <w:top w:val="nil"/>
              <w:left w:val="nil"/>
              <w:bottom w:val="nil"/>
              <w:right w:val="nil"/>
            </w:tcBorders>
            <w:shd w:val="clear" w:color="auto" w:fill="auto"/>
            <w:vAlign w:val="center"/>
            <w:hideMark/>
          </w:tcPr>
          <w:p w14:paraId="60848147" w14:textId="77777777" w:rsidR="00EA433E" w:rsidRPr="006A6ED2" w:rsidRDefault="00EA433E" w:rsidP="00EA433E">
            <w:pPr>
              <w:jc w:val="center"/>
              <w:rPr>
                <w:rFonts w:ascii="Arial" w:hAnsi="Arial" w:cs="Arial"/>
                <w:color w:val="000000"/>
              </w:rPr>
            </w:pPr>
            <w:r w:rsidRPr="006A6ED2">
              <w:rPr>
                <w:rFonts w:ascii="Arial" w:hAnsi="Arial" w:cs="Arial"/>
                <w:color w:val="000000"/>
              </w:rPr>
              <w:t>4.12</w:t>
            </w:r>
          </w:p>
        </w:tc>
      </w:tr>
      <w:tr w:rsidR="00EA433E" w:rsidRPr="006A6ED2" w14:paraId="1BF20D87" w14:textId="77777777" w:rsidTr="00EA433E">
        <w:trPr>
          <w:trHeight w:val="432"/>
        </w:trPr>
        <w:tc>
          <w:tcPr>
            <w:tcW w:w="3112" w:type="dxa"/>
            <w:tcBorders>
              <w:top w:val="nil"/>
              <w:left w:val="nil"/>
              <w:bottom w:val="nil"/>
              <w:right w:val="nil"/>
            </w:tcBorders>
            <w:shd w:val="clear" w:color="auto" w:fill="auto"/>
            <w:vAlign w:val="center"/>
            <w:hideMark/>
          </w:tcPr>
          <w:p w14:paraId="4A50C136" w14:textId="77777777" w:rsidR="00EA433E" w:rsidRPr="006A6ED2" w:rsidRDefault="00EA433E" w:rsidP="00EA433E">
            <w:pPr>
              <w:jc w:val="center"/>
              <w:rPr>
                <w:rFonts w:ascii="Arial" w:hAnsi="Arial" w:cs="Arial"/>
                <w:color w:val="000000"/>
              </w:rPr>
            </w:pPr>
            <w:proofErr w:type="spellStart"/>
            <w:r w:rsidRPr="006A6ED2">
              <w:rPr>
                <w:rFonts w:ascii="Arial" w:hAnsi="Arial" w:cs="Arial"/>
                <w:color w:val="000000"/>
              </w:rPr>
              <w:t>Pr</w:t>
            </w:r>
            <w:proofErr w:type="spellEnd"/>
            <w:r w:rsidRPr="006A6ED2">
              <w:rPr>
                <w:rFonts w:ascii="Arial" w:hAnsi="Arial" w:cs="Arial"/>
                <w:color w:val="000000"/>
              </w:rPr>
              <w:t xml:space="preserve"> &gt; F</w:t>
            </w:r>
          </w:p>
        </w:tc>
        <w:tc>
          <w:tcPr>
            <w:tcW w:w="2560" w:type="dxa"/>
            <w:tcBorders>
              <w:top w:val="nil"/>
              <w:left w:val="nil"/>
              <w:bottom w:val="nil"/>
              <w:right w:val="nil"/>
            </w:tcBorders>
            <w:shd w:val="clear" w:color="auto" w:fill="auto"/>
            <w:vAlign w:val="center"/>
            <w:hideMark/>
          </w:tcPr>
          <w:p w14:paraId="17111833" w14:textId="77777777" w:rsidR="00EA433E" w:rsidRPr="006A6ED2" w:rsidRDefault="00EA433E" w:rsidP="00EA433E">
            <w:pPr>
              <w:jc w:val="center"/>
              <w:rPr>
                <w:rFonts w:ascii="Arial" w:hAnsi="Arial" w:cs="Arial"/>
                <w:color w:val="000000"/>
              </w:rPr>
            </w:pPr>
            <w:r w:rsidRPr="006A6ED2">
              <w:rPr>
                <w:rFonts w:ascii="Arial" w:hAnsi="Arial" w:cs="Arial"/>
                <w:color w:val="000000"/>
              </w:rPr>
              <w:t>**</w:t>
            </w:r>
          </w:p>
        </w:tc>
        <w:tc>
          <w:tcPr>
            <w:tcW w:w="2560" w:type="dxa"/>
            <w:tcBorders>
              <w:top w:val="nil"/>
              <w:left w:val="nil"/>
              <w:bottom w:val="nil"/>
              <w:right w:val="nil"/>
            </w:tcBorders>
            <w:shd w:val="clear" w:color="auto" w:fill="auto"/>
            <w:vAlign w:val="center"/>
            <w:hideMark/>
          </w:tcPr>
          <w:p w14:paraId="05DA1F5E" w14:textId="77777777" w:rsidR="00EA433E" w:rsidRPr="006A6ED2" w:rsidRDefault="00EA433E" w:rsidP="00EA433E">
            <w:pPr>
              <w:jc w:val="center"/>
              <w:rPr>
                <w:rFonts w:ascii="Arial" w:hAnsi="Arial" w:cs="Arial"/>
                <w:color w:val="000000"/>
              </w:rPr>
            </w:pPr>
            <w:r w:rsidRPr="006A6ED2">
              <w:rPr>
                <w:rFonts w:ascii="Arial" w:hAnsi="Arial" w:cs="Arial"/>
                <w:color w:val="000000"/>
              </w:rPr>
              <w:t>*</w:t>
            </w:r>
          </w:p>
        </w:tc>
      </w:tr>
      <w:tr w:rsidR="00EA433E" w:rsidRPr="006A6ED2" w14:paraId="078F15C1" w14:textId="77777777" w:rsidTr="00EA433E">
        <w:trPr>
          <w:trHeight w:val="432"/>
        </w:trPr>
        <w:tc>
          <w:tcPr>
            <w:tcW w:w="3112" w:type="dxa"/>
            <w:tcBorders>
              <w:top w:val="nil"/>
              <w:left w:val="nil"/>
              <w:bottom w:val="single" w:sz="8" w:space="0" w:color="auto"/>
              <w:right w:val="nil"/>
            </w:tcBorders>
            <w:shd w:val="clear" w:color="auto" w:fill="auto"/>
            <w:vAlign w:val="center"/>
            <w:hideMark/>
          </w:tcPr>
          <w:p w14:paraId="2FFDA63F" w14:textId="77777777" w:rsidR="00EA433E" w:rsidRPr="006A6ED2" w:rsidRDefault="00EA433E" w:rsidP="00EA433E">
            <w:pPr>
              <w:jc w:val="center"/>
              <w:rPr>
                <w:rFonts w:ascii="Arial" w:hAnsi="Arial" w:cs="Arial"/>
                <w:color w:val="000000"/>
              </w:rPr>
            </w:pPr>
            <w:r w:rsidRPr="006A6ED2">
              <w:rPr>
                <w:rFonts w:ascii="Arial" w:hAnsi="Arial" w:cs="Arial"/>
                <w:color w:val="000000"/>
              </w:rPr>
              <w:t>CV %</w:t>
            </w:r>
          </w:p>
        </w:tc>
        <w:tc>
          <w:tcPr>
            <w:tcW w:w="2560" w:type="dxa"/>
            <w:tcBorders>
              <w:top w:val="nil"/>
              <w:left w:val="nil"/>
              <w:bottom w:val="single" w:sz="8" w:space="0" w:color="auto"/>
              <w:right w:val="nil"/>
            </w:tcBorders>
            <w:shd w:val="clear" w:color="auto" w:fill="auto"/>
            <w:vAlign w:val="center"/>
            <w:hideMark/>
          </w:tcPr>
          <w:p w14:paraId="30DF8D30" w14:textId="77777777" w:rsidR="00EA433E" w:rsidRPr="006A6ED2" w:rsidRDefault="00EA433E" w:rsidP="00EA433E">
            <w:pPr>
              <w:jc w:val="center"/>
              <w:rPr>
                <w:rFonts w:ascii="Arial" w:hAnsi="Arial" w:cs="Arial"/>
                <w:color w:val="000000"/>
              </w:rPr>
            </w:pPr>
            <w:r w:rsidRPr="006A6ED2">
              <w:rPr>
                <w:rFonts w:ascii="Arial" w:hAnsi="Arial" w:cs="Arial"/>
                <w:color w:val="000000"/>
              </w:rPr>
              <w:t>5.91</w:t>
            </w:r>
          </w:p>
        </w:tc>
        <w:tc>
          <w:tcPr>
            <w:tcW w:w="2560" w:type="dxa"/>
            <w:tcBorders>
              <w:top w:val="nil"/>
              <w:left w:val="nil"/>
              <w:bottom w:val="single" w:sz="8" w:space="0" w:color="auto"/>
              <w:right w:val="nil"/>
            </w:tcBorders>
            <w:shd w:val="clear" w:color="auto" w:fill="auto"/>
            <w:vAlign w:val="center"/>
            <w:hideMark/>
          </w:tcPr>
          <w:p w14:paraId="0B383D29" w14:textId="77777777" w:rsidR="00EA433E" w:rsidRPr="006A6ED2" w:rsidRDefault="00EA433E" w:rsidP="00EA433E">
            <w:pPr>
              <w:jc w:val="center"/>
              <w:rPr>
                <w:rFonts w:ascii="Arial" w:hAnsi="Arial" w:cs="Arial"/>
                <w:color w:val="000000"/>
              </w:rPr>
            </w:pPr>
            <w:r w:rsidRPr="006A6ED2">
              <w:rPr>
                <w:rFonts w:ascii="Arial" w:hAnsi="Arial" w:cs="Arial"/>
                <w:color w:val="000000"/>
              </w:rPr>
              <w:t>7.11</w:t>
            </w:r>
          </w:p>
        </w:tc>
      </w:tr>
    </w:tbl>
    <w:p w14:paraId="2CD56B3C" w14:textId="01E89288" w:rsidR="005B74E6" w:rsidRPr="005B74E6" w:rsidRDefault="00097FB2" w:rsidP="005B74E6">
      <w:pPr>
        <w:spacing w:before="120" w:after="120" w:line="360" w:lineRule="auto"/>
        <w:ind w:left="900" w:hanging="900"/>
        <w:jc w:val="both"/>
        <w:rPr>
          <w:rFonts w:ascii="Arial" w:hAnsi="Arial" w:cs="Arial"/>
          <w:b/>
          <w:bCs/>
        </w:rPr>
      </w:pPr>
      <w:r w:rsidRPr="00297A99">
        <w:rPr>
          <w:rFonts w:ascii="Arial" w:hAnsi="Arial" w:cs="Arial"/>
          <w:b/>
          <w:bCs/>
        </w:rPr>
        <w:t xml:space="preserve">Table </w:t>
      </w:r>
      <w:r w:rsidR="009A733A">
        <w:rPr>
          <w:rFonts w:ascii="Arial" w:hAnsi="Arial" w:cs="Arial"/>
          <w:b/>
          <w:bCs/>
        </w:rPr>
        <w:t>2</w:t>
      </w:r>
      <w:r w:rsidRPr="00297A99">
        <w:rPr>
          <w:rFonts w:ascii="Arial" w:hAnsi="Arial" w:cs="Arial"/>
          <w:b/>
          <w:bCs/>
        </w:rPr>
        <w:t>. Mean values of SPAD value as affected by different foliar gibberellic acid application during the post-monsoon seasons, 2023-24 and 2024-25</w:t>
      </w:r>
    </w:p>
    <w:p w14:paraId="3F9AA3DC" w14:textId="388AFFB9" w:rsidR="00BE5A61" w:rsidRPr="00097FB2" w:rsidRDefault="005B74E6" w:rsidP="00097FB2">
      <w:pPr>
        <w:spacing w:before="120" w:after="120" w:line="360" w:lineRule="auto"/>
        <w:ind w:left="900" w:hanging="900"/>
        <w:jc w:val="both"/>
        <w:rPr>
          <w:rFonts w:ascii="Arial" w:hAnsi="Arial" w:cs="Arial"/>
        </w:rPr>
      </w:pPr>
      <w:r>
        <w:rPr>
          <w:rFonts w:ascii="Arial" w:hAnsi="Arial" w:cs="Arial"/>
        </w:rPr>
        <w:t>* Means followed by different letter in the same column are significantly different by LSD test at 5% level</w:t>
      </w:r>
      <w:r w:rsidR="00BE5A61">
        <w:rPr>
          <w:rFonts w:ascii="Arial" w:hAnsi="Arial" w:cs="Arial"/>
        </w:rPr>
        <w:br w:type="page"/>
      </w:r>
    </w:p>
    <w:p w14:paraId="54923016" w14:textId="77777777" w:rsidR="00BE5A61" w:rsidRPr="000125F1" w:rsidRDefault="00BE5A61" w:rsidP="00BE5A61">
      <w:pPr>
        <w:spacing w:before="240" w:after="120" w:line="360" w:lineRule="auto"/>
        <w:jc w:val="both"/>
        <w:rPr>
          <w:rFonts w:ascii="Arial" w:hAnsi="Arial" w:cs="Arial"/>
          <w:b/>
          <w:bCs/>
          <w:sz w:val="22"/>
          <w:szCs w:val="22"/>
        </w:rPr>
      </w:pPr>
      <w:r w:rsidRPr="000125F1">
        <w:rPr>
          <w:rFonts w:ascii="Arial" w:hAnsi="Arial" w:cs="Arial"/>
          <w:b/>
          <w:bCs/>
          <w:sz w:val="22"/>
          <w:szCs w:val="22"/>
        </w:rPr>
        <w:lastRenderedPageBreak/>
        <w:t>3.3 Total Dry Matter (TDM)</w:t>
      </w:r>
    </w:p>
    <w:p w14:paraId="28100722" w14:textId="2297267D" w:rsidR="00BE5A61" w:rsidRDefault="00BE5A61" w:rsidP="00097FB2">
      <w:pPr>
        <w:spacing w:before="120" w:after="120" w:line="360" w:lineRule="auto"/>
        <w:ind w:firstLine="720"/>
        <w:jc w:val="both"/>
        <w:rPr>
          <w:rFonts w:ascii="Arial" w:hAnsi="Arial" w:cs="Arial"/>
        </w:rPr>
      </w:pPr>
      <w:r w:rsidRPr="00D61F92">
        <w:rPr>
          <w:rFonts w:ascii="Arial" w:hAnsi="Arial" w:cs="Arial"/>
        </w:rPr>
        <w:t>Total dry matter</w:t>
      </w:r>
      <w:r>
        <w:rPr>
          <w:rFonts w:ascii="Arial" w:hAnsi="Arial" w:cs="Arial"/>
        </w:rPr>
        <w:t xml:space="preserve"> (TDM)</w:t>
      </w:r>
      <w:r w:rsidRPr="00D61F92">
        <w:rPr>
          <w:rFonts w:ascii="Arial" w:hAnsi="Arial" w:cs="Arial"/>
        </w:rPr>
        <w:t xml:space="preserve"> accumulation was significantly affected by GA</w:t>
      </w:r>
      <w:r w:rsidRPr="00570FDB">
        <w:rPr>
          <w:rFonts w:ascii="Arial" w:hAnsi="Arial" w:cs="Arial"/>
          <w:vertAlign w:val="subscript"/>
        </w:rPr>
        <w:t>3</w:t>
      </w:r>
      <w:r w:rsidRPr="00D61F92">
        <w:rPr>
          <w:rFonts w:ascii="Arial" w:hAnsi="Arial" w:cs="Arial"/>
        </w:rPr>
        <w:t xml:space="preserve"> application </w:t>
      </w:r>
      <w:r>
        <w:rPr>
          <w:rFonts w:ascii="Arial" w:hAnsi="Arial" w:cs="Arial"/>
        </w:rPr>
        <w:t xml:space="preserve">(Fig. </w:t>
      </w:r>
      <w:r w:rsidR="00EF6F86">
        <w:rPr>
          <w:rFonts w:ascii="Arial" w:hAnsi="Arial" w:cs="Arial"/>
        </w:rPr>
        <w:t>3</w:t>
      </w:r>
      <w:r>
        <w:rPr>
          <w:rFonts w:ascii="Arial" w:hAnsi="Arial" w:cs="Arial"/>
        </w:rPr>
        <w:t xml:space="preserve">A and </w:t>
      </w:r>
      <w:r w:rsidR="00EF6F86">
        <w:rPr>
          <w:rFonts w:ascii="Arial" w:hAnsi="Arial" w:cs="Arial"/>
        </w:rPr>
        <w:t>3</w:t>
      </w:r>
      <w:r>
        <w:rPr>
          <w:rFonts w:ascii="Arial" w:hAnsi="Arial" w:cs="Arial"/>
        </w:rPr>
        <w:t>B)</w:t>
      </w:r>
      <w:r w:rsidRPr="00D61F92">
        <w:rPr>
          <w:rFonts w:ascii="Arial" w:hAnsi="Arial" w:cs="Arial"/>
        </w:rPr>
        <w:t xml:space="preserve">. </w:t>
      </w:r>
      <w:r>
        <w:rPr>
          <w:rFonts w:ascii="Arial" w:hAnsi="Arial" w:cs="Arial"/>
        </w:rPr>
        <w:t>TDM</w:t>
      </w:r>
      <w:r w:rsidRPr="00F063B9">
        <w:rPr>
          <w:rFonts w:ascii="Arial" w:hAnsi="Arial" w:cs="Arial"/>
        </w:rPr>
        <w:t xml:space="preserve"> was recorded at ten-day intervals started from 30 to 70 DAS.</w:t>
      </w:r>
      <w:r>
        <w:rPr>
          <w:rFonts w:ascii="Arial" w:hAnsi="Arial" w:cs="Arial"/>
        </w:rPr>
        <w:t xml:space="preserve"> </w:t>
      </w:r>
      <w:r w:rsidRPr="00D61F92">
        <w:rPr>
          <w:rFonts w:ascii="Arial" w:hAnsi="Arial" w:cs="Arial"/>
        </w:rPr>
        <w:t>The maximum TDM (18.67 g m</w:t>
      </w:r>
      <w:r w:rsidRPr="00D61F92">
        <w:rPr>
          <w:rFonts w:ascii="Cambria Math" w:hAnsi="Cambria Math" w:cs="Cambria Math"/>
        </w:rPr>
        <w:t>⁻</w:t>
      </w:r>
      <w:r w:rsidRPr="00D61F92">
        <w:rPr>
          <w:rFonts w:ascii="Arial" w:hAnsi="Arial" w:cs="Arial"/>
        </w:rPr>
        <w:t>² in 2023</w:t>
      </w:r>
      <w:r>
        <w:rPr>
          <w:rFonts w:ascii="Arial" w:hAnsi="Arial" w:cs="Arial"/>
        </w:rPr>
        <w:t>-</w:t>
      </w:r>
      <w:r w:rsidRPr="00D61F92">
        <w:rPr>
          <w:rFonts w:ascii="Arial" w:hAnsi="Arial" w:cs="Arial"/>
        </w:rPr>
        <w:t>24 and 13.83 g m</w:t>
      </w:r>
      <w:r w:rsidRPr="00D61F92">
        <w:rPr>
          <w:rFonts w:ascii="Cambria Math" w:hAnsi="Cambria Math" w:cs="Cambria Math"/>
        </w:rPr>
        <w:t>⁻</w:t>
      </w:r>
      <w:r w:rsidRPr="00D61F92">
        <w:rPr>
          <w:rFonts w:ascii="Arial" w:hAnsi="Arial" w:cs="Arial"/>
        </w:rPr>
        <w:t>² in 2024</w:t>
      </w:r>
      <w:r>
        <w:rPr>
          <w:rFonts w:ascii="Arial" w:hAnsi="Arial" w:cs="Arial"/>
        </w:rPr>
        <w:t>-</w:t>
      </w:r>
      <w:r w:rsidRPr="00D61F92">
        <w:rPr>
          <w:rFonts w:ascii="Arial" w:hAnsi="Arial" w:cs="Arial"/>
        </w:rPr>
        <w:t xml:space="preserve">25) </w:t>
      </w:r>
      <w:r>
        <w:rPr>
          <w:rFonts w:ascii="Arial" w:hAnsi="Arial" w:cs="Arial"/>
        </w:rPr>
        <w:t xml:space="preserve">at 70 DAS </w:t>
      </w:r>
      <w:r w:rsidRPr="00D61F92">
        <w:rPr>
          <w:rFonts w:ascii="Arial" w:hAnsi="Arial" w:cs="Arial"/>
        </w:rPr>
        <w:t>was achieved with treatment T</w:t>
      </w:r>
      <w:r w:rsidRPr="001616E5">
        <w:rPr>
          <w:rFonts w:ascii="Arial" w:hAnsi="Arial" w:cs="Arial"/>
          <w:vertAlign w:val="subscript"/>
        </w:rPr>
        <w:t>9</w:t>
      </w:r>
      <w:r w:rsidRPr="00D61F92">
        <w:rPr>
          <w:rFonts w:ascii="Arial" w:hAnsi="Arial" w:cs="Arial"/>
        </w:rPr>
        <w:t>, while the minimum was recorded in the control (T</w:t>
      </w:r>
      <w:r w:rsidRPr="001616E5">
        <w:rPr>
          <w:rFonts w:ascii="Arial" w:hAnsi="Arial" w:cs="Arial"/>
          <w:vertAlign w:val="subscript"/>
        </w:rPr>
        <w:t>1</w:t>
      </w:r>
      <w:r w:rsidRPr="00D61F92">
        <w:rPr>
          <w:rFonts w:ascii="Arial" w:hAnsi="Arial" w:cs="Arial"/>
        </w:rPr>
        <w:t>). Exogenous GA</w:t>
      </w:r>
      <w:r w:rsidRPr="003828CB">
        <w:rPr>
          <w:rFonts w:ascii="Arial" w:hAnsi="Arial" w:cs="Arial"/>
          <w:vertAlign w:val="subscript"/>
        </w:rPr>
        <w:t>3</w:t>
      </w:r>
      <w:r w:rsidRPr="00D61F92">
        <w:rPr>
          <w:rFonts w:ascii="Arial" w:hAnsi="Arial" w:cs="Arial"/>
        </w:rPr>
        <w:t xml:space="preserve"> application stimulated overall plant growth by enhancing cell division and elongation, resulting in increased biomass production </w:t>
      </w:r>
      <w:r>
        <w:rPr>
          <w:rFonts w:ascii="Arial" w:hAnsi="Arial" w:cs="Arial"/>
        </w:rPr>
        <w:fldChar w:fldCharType="begin" w:fldLock="1"/>
      </w:r>
      <w:r>
        <w:rPr>
          <w:rFonts w:ascii="Arial" w:hAnsi="Arial" w:cs="Arial"/>
        </w:rPr>
        <w:instrText>ADDIN CSL_CITATION {"citationItems":[{"id":"ITEM-1","itemData":{"author":[{"dropping-particle":"","family":"Akter","given":"A.","non-dropping-particle":"","parse-names":false,"suffix":""},{"dropping-particle":"","family":"Ali","given":"E.","non-dropping-particle":"","parse-names":false,"suffix":""},{"dropping-particle":"","family":"Islam","given":"M. M. Z.","non-dropping-particle":"","parse-names":false,"suffix":""},{"dropping-particle":"","family":"Karim","given":"R.","non-dropping-particle":"","parse-names":false,"suffix":""},{"dropping-particle":"","family":"Razzaque","given":"A. H. M.","non-dropping-particle":"","parse-names":false,"suffix":""}],"id":"ITEM-1","issue":"2","issued":{"date-parts":[["2007"]]},"page":"16-20","title":"Effect of GA3 on growth and yield of mustard. International Journal of Sustainable Crop Production,","type":"article-journal","volume":"2"},"uris":["http://www.mendeley.com/documents/?uuid=0ec8de76-4664-42d6-802a-831d41f9036b"]}],"mendeley":{"formattedCitation":"(Akter et al., 2007)","plainTextFormattedCitation":"(Akter et al., 2007)","previouslyFormattedCitation":"(Akter et al., 2007)"},"properties":{"noteIndex":0},"schema":"https://github.com/citation-style-language/schema/raw/master/csl-citation.json"}</w:instrText>
      </w:r>
      <w:r>
        <w:rPr>
          <w:rFonts w:ascii="Arial" w:hAnsi="Arial" w:cs="Arial"/>
        </w:rPr>
        <w:fldChar w:fldCharType="separate"/>
      </w:r>
      <w:r w:rsidRPr="00E4745A">
        <w:rPr>
          <w:rFonts w:ascii="Arial" w:hAnsi="Arial" w:cs="Arial"/>
          <w:noProof/>
        </w:rPr>
        <w:t>(Akter et al., 2007)</w:t>
      </w:r>
      <w:r>
        <w:rPr>
          <w:rFonts w:ascii="Arial" w:hAnsi="Arial" w:cs="Arial"/>
        </w:rPr>
        <w:fldChar w:fldCharType="end"/>
      </w:r>
      <w:r w:rsidRPr="00D61F92">
        <w:rPr>
          <w:rFonts w:ascii="Arial" w:hAnsi="Arial" w:cs="Arial"/>
        </w:rPr>
        <w:t>. Among the treatments, T</w:t>
      </w:r>
      <w:r w:rsidRPr="003828CB">
        <w:rPr>
          <w:rFonts w:ascii="Arial" w:hAnsi="Arial" w:cs="Arial"/>
          <w:vertAlign w:val="subscript"/>
        </w:rPr>
        <w:t>9</w:t>
      </w:r>
      <w:r w:rsidRPr="00D61F92">
        <w:rPr>
          <w:rFonts w:ascii="Arial" w:hAnsi="Arial" w:cs="Arial"/>
        </w:rPr>
        <w:t xml:space="preserve"> consistently outperformed others, likely due to the synergistic effect of two application timings that ensured sustained hormonal influence during critical growth phases.</w:t>
      </w:r>
      <w:r>
        <w:rPr>
          <w:rFonts w:ascii="Arial" w:hAnsi="Arial" w:cs="Arial"/>
        </w:rPr>
        <w:t xml:space="preserve"> </w:t>
      </w:r>
      <w:r w:rsidRPr="00D61F92">
        <w:rPr>
          <w:rFonts w:ascii="Arial" w:hAnsi="Arial" w:cs="Arial"/>
        </w:rPr>
        <w:t>This result is consistent with previous studies showing that GA</w:t>
      </w:r>
      <w:r w:rsidRPr="00082A01">
        <w:rPr>
          <w:rFonts w:ascii="Arial" w:hAnsi="Arial" w:cs="Arial"/>
          <w:vertAlign w:val="subscript"/>
        </w:rPr>
        <w:t>3</w:t>
      </w:r>
      <w:r w:rsidRPr="00D61F92">
        <w:rPr>
          <w:rFonts w:ascii="Arial" w:hAnsi="Arial" w:cs="Arial"/>
        </w:rPr>
        <w:t xml:space="preserve"> improves dry matter accumulation in crops such as mustard and soybean by enhancing leaf area and photosynthetic capacity </w:t>
      </w:r>
      <w:r>
        <w:rPr>
          <w:rFonts w:ascii="Arial" w:hAnsi="Arial" w:cs="Arial"/>
        </w:rPr>
        <w:fldChar w:fldCharType="begin" w:fldLock="1"/>
      </w:r>
      <w:r w:rsidR="00BB0DEC">
        <w:rPr>
          <w:rFonts w:ascii="Arial" w:hAnsi="Arial" w:cs="Arial"/>
        </w:rPr>
        <w:instrText>ADDIN CSL_CITATION {"citationItems":[{"id":"ITEM-1","itemData":{"author":[{"dropping-particle":"","family":"Khan","given":"M. N. M. A.","non-dropping-particle":"","parse-names":false,"suffix":""},{"dropping-particle":"","family":"Masroor","given":"A.","non-dropping-particle":"","parse-names":false,"suffix":""},{"dropping-particle":"","family":"GAUTAM","given":"C.","non-dropping-particle":"","parse-names":false,"suffix":""},{"dropping-particle":"","family":"MOHAMMAD","given":"F.","non-dropping-particle":"","parse-names":false,"suffix":""},{"dropping-particle":"","family":"SIDDIQUI","given":"M. H.","non-dropping-particle":"","parse-names":false,"suffix":""},{"dropping-particle":"","family":"Naeem","given":"M.","non-dropping-particle":"","parse-names":false,"suffix":""},{"dropping-particle":"","family":"KHAN","given":"M. N.","non-dropping-particle":"","parse-names":false,"suffix":""}],"id":"ITEM-1","issue":"1","issued":{"date-parts":[["2006"]]},"page":"11-16","title":"Effect of gibberellic acid spray on performance of tomato. Turkish Journal of Biology","type":"article-journal","volume":"30"},"uris":["http://www.mendeley.com/documents/?uuid=0de7238c-3f37-4939-be93-82420adaee1a"]},{"id":"ITEM-2","itemData":{"author":[{"dropping-particle":"","family":"Islam","given":"M. S.","non-dropping-particle":"","parse-names":false,"suffix":""},{"dropping-particle":"","family":"Hasan","given":"M. K.","non-dropping-particle":"","parse-names":false,"suffix":""},{"dropping-particle":"","family":"Islam","given":"B.","non-dropping-particle":"","parse-names":false,"suffix":""},{"dropping-particle":"","family":"Renu","given":"N. A.","non-dropping-particle":"","parse-names":false,"suffix":""},{"dropping-particle":"","family":"Hakim","given":"M. A.","non-dropping-particle":"","parse-names":false,"suffix":""},{"dropping-particle":"","family":"Islam, M. R.","given":"...","non-dropping-particle":"","parse-names":false,"suffix":""},{"dropping-particle":"","family":"&amp; El Sabagh","given":"A.","non-dropping-particle":"","parse-names":false,"suffix":""}],"id":"ITEM-2","issued":{"date-parts":[["2021"]]},"title":"Responses of water and pigments status, dry matter partitioning, seed production, and traits of yield and quality to foliar application of GA3 in Mungbean (Vigna radiata L.).","type":"article-journal"},"uris":["http://www.mendeley.com/documents/?uuid=74c423e7-02d5-4fc0-b7f7-76ec0755bde9"]}],"mendeley":{"formattedCitation":"(Islam et al., 2021; Khan et al., 2006)","manualFormatting":"(Islam et al., 2021)","plainTextFormattedCitation":"(Islam et al., 2021; Khan et al., 2006)","previouslyFormattedCitation":"(Islam et al., 2021; Khan et al., 2006)"},"properties":{"noteIndex":0},"schema":"https://github.com/citation-style-language/schema/raw/master/csl-citation.json"}</w:instrText>
      </w:r>
      <w:r>
        <w:rPr>
          <w:rFonts w:ascii="Arial" w:hAnsi="Arial" w:cs="Arial"/>
        </w:rPr>
        <w:fldChar w:fldCharType="separate"/>
      </w:r>
      <w:r w:rsidRPr="00961199">
        <w:rPr>
          <w:rFonts w:ascii="Arial" w:hAnsi="Arial" w:cs="Arial"/>
          <w:noProof/>
        </w:rPr>
        <w:t>(Islam et al., 2021)</w:t>
      </w:r>
      <w:r>
        <w:rPr>
          <w:rFonts w:ascii="Arial" w:hAnsi="Arial" w:cs="Arial"/>
        </w:rPr>
        <w:fldChar w:fldCharType="end"/>
      </w:r>
      <w:r w:rsidRPr="00D61F92">
        <w:rPr>
          <w:rFonts w:ascii="Arial" w:hAnsi="Arial" w:cs="Arial"/>
        </w:rPr>
        <w:t xml:space="preserve">. </w:t>
      </w:r>
    </w:p>
    <w:p w14:paraId="09EE7CF8" w14:textId="77777777" w:rsidR="00BE5A61" w:rsidRDefault="00BE5A61" w:rsidP="00BE5A61">
      <w:pPr>
        <w:spacing w:before="120" w:after="120" w:line="360" w:lineRule="auto"/>
        <w:jc w:val="both"/>
        <w:rPr>
          <w:rFonts w:ascii="Arial" w:hAnsi="Arial" w:cs="Arial"/>
        </w:rPr>
      </w:pPr>
      <w:r w:rsidRPr="00ED41C3">
        <w:rPr>
          <w:rFonts w:ascii="Arial" w:hAnsi="Arial" w:cs="Arial"/>
          <w:noProof/>
        </w:rPr>
        <w:drawing>
          <wp:inline distT="0" distB="0" distL="0" distR="0" wp14:anchorId="5AD8DEEF" wp14:editId="4CED542F">
            <wp:extent cx="2545690" cy="1784350"/>
            <wp:effectExtent l="0" t="0" r="762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Arial" w:hAnsi="Arial" w:cs="Arial"/>
        </w:rPr>
        <w:t xml:space="preserve"> </w:t>
      </w:r>
      <w:r>
        <w:rPr>
          <w:noProof/>
        </w:rPr>
        <w:drawing>
          <wp:inline distT="0" distB="0" distL="0" distR="0" wp14:anchorId="47C3755A" wp14:editId="3079D536">
            <wp:extent cx="2515870" cy="1784426"/>
            <wp:effectExtent l="0" t="0" r="1778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3CF2DD" w14:textId="77777777" w:rsidR="00BE5A61" w:rsidRPr="0097085A" w:rsidRDefault="00BE5A61" w:rsidP="00BE5A61">
      <w:pPr>
        <w:spacing w:before="120" w:after="120" w:line="360" w:lineRule="auto"/>
        <w:jc w:val="both"/>
        <w:rPr>
          <w:rFonts w:ascii="Arial" w:hAnsi="Arial" w:cs="Arial"/>
        </w:rPr>
      </w:pPr>
      <w:r>
        <w:rPr>
          <w:rFonts w:ascii="Arial" w:hAnsi="Arial" w:cs="Arial"/>
        </w:rPr>
        <w:t xml:space="preserve">                                   (A)</w:t>
      </w:r>
      <w:r w:rsidRPr="0097085A">
        <w:rPr>
          <w:rFonts w:ascii="Arial" w:hAnsi="Arial" w:cs="Arial"/>
        </w:rPr>
        <w:t xml:space="preserve">                                                       </w:t>
      </w:r>
      <w:r>
        <w:rPr>
          <w:rFonts w:ascii="Arial" w:hAnsi="Arial" w:cs="Arial"/>
        </w:rPr>
        <w:t xml:space="preserve">         </w:t>
      </w:r>
      <w:r w:rsidRPr="0097085A">
        <w:rPr>
          <w:rFonts w:ascii="Arial" w:hAnsi="Arial" w:cs="Arial"/>
        </w:rPr>
        <w:t xml:space="preserve">  </w:t>
      </w:r>
      <w:proofErr w:type="gramStart"/>
      <w:r w:rsidRPr="0097085A">
        <w:rPr>
          <w:rFonts w:ascii="Arial" w:hAnsi="Arial" w:cs="Arial"/>
        </w:rPr>
        <w:t xml:space="preserve">   (</w:t>
      </w:r>
      <w:proofErr w:type="gramEnd"/>
      <w:r w:rsidRPr="0097085A">
        <w:rPr>
          <w:rFonts w:ascii="Arial" w:hAnsi="Arial" w:cs="Arial"/>
        </w:rPr>
        <w:t>B)</w:t>
      </w:r>
    </w:p>
    <w:p w14:paraId="6146B261" w14:textId="3EB627F1" w:rsidR="00705ADE" w:rsidRPr="00DE0571" w:rsidRDefault="00BE5A61" w:rsidP="00097FB2">
      <w:pPr>
        <w:spacing w:before="120" w:after="120" w:line="360" w:lineRule="auto"/>
        <w:ind w:left="990" w:hanging="990"/>
        <w:jc w:val="both"/>
        <w:rPr>
          <w:rFonts w:ascii="Arial" w:hAnsi="Arial" w:cs="Arial"/>
          <w:b/>
          <w:bCs/>
        </w:rPr>
      </w:pPr>
      <w:r w:rsidRPr="00297A99">
        <w:rPr>
          <w:rFonts w:ascii="Arial" w:hAnsi="Arial" w:cs="Arial"/>
          <w:b/>
          <w:bCs/>
        </w:rPr>
        <w:t xml:space="preserve">Figure </w:t>
      </w:r>
      <w:r w:rsidR="00EF6F86">
        <w:rPr>
          <w:rFonts w:ascii="Arial" w:hAnsi="Arial" w:cs="Arial"/>
          <w:b/>
          <w:bCs/>
        </w:rPr>
        <w:t>3</w:t>
      </w:r>
      <w:r w:rsidRPr="00297A99">
        <w:rPr>
          <w:rFonts w:ascii="Arial" w:hAnsi="Arial" w:cs="Arial"/>
          <w:b/>
          <w:bCs/>
        </w:rPr>
        <w:t xml:space="preserve">. Mean values of </w:t>
      </w:r>
      <w:r>
        <w:rPr>
          <w:rFonts w:ascii="Arial" w:hAnsi="Arial" w:cs="Arial"/>
          <w:b/>
          <w:bCs/>
        </w:rPr>
        <w:t>total dry matter</w:t>
      </w:r>
      <w:r w:rsidRPr="00297A99">
        <w:rPr>
          <w:rFonts w:ascii="Arial" w:hAnsi="Arial" w:cs="Arial"/>
          <w:b/>
          <w:bCs/>
        </w:rPr>
        <w:t xml:space="preserve"> as affected by different foliar gibberellic acid application during post-monsoon season, (A) 2023–24 and (B) 2024–25</w:t>
      </w:r>
    </w:p>
    <w:p w14:paraId="4B2204F3" w14:textId="77777777" w:rsidR="00BE5A61" w:rsidRPr="000125F1" w:rsidRDefault="00BE5A61" w:rsidP="00BE5A61">
      <w:pPr>
        <w:spacing w:before="120" w:after="120" w:line="360" w:lineRule="auto"/>
        <w:jc w:val="both"/>
        <w:rPr>
          <w:rFonts w:ascii="Arial" w:hAnsi="Arial" w:cs="Arial"/>
          <w:b/>
          <w:bCs/>
          <w:sz w:val="22"/>
          <w:szCs w:val="22"/>
        </w:rPr>
      </w:pPr>
      <w:r w:rsidRPr="000125F1">
        <w:rPr>
          <w:rFonts w:ascii="Arial" w:hAnsi="Arial" w:cs="Arial"/>
          <w:b/>
          <w:bCs/>
          <w:sz w:val="22"/>
          <w:szCs w:val="22"/>
        </w:rPr>
        <w:t>3.4 Leaf Area Index (LAI)</w:t>
      </w:r>
    </w:p>
    <w:p w14:paraId="345063B8" w14:textId="015E06A6" w:rsidR="006D6556" w:rsidRPr="006E3B95" w:rsidRDefault="009A733A" w:rsidP="006D6556">
      <w:pPr>
        <w:spacing w:before="120" w:after="120" w:line="360" w:lineRule="auto"/>
        <w:ind w:firstLine="720"/>
        <w:jc w:val="both"/>
        <w:rPr>
          <w:rFonts w:ascii="Arial" w:hAnsi="Arial" w:cs="Arial"/>
        </w:rPr>
      </w:pPr>
      <w:r>
        <w:rPr>
          <w:rFonts w:ascii="Arial" w:hAnsi="Arial" w:cs="Arial"/>
        </w:rPr>
        <w:t xml:space="preserve">The </w:t>
      </w:r>
      <w:r w:rsidR="006D6556" w:rsidRPr="004643F0">
        <w:rPr>
          <w:rFonts w:ascii="Arial" w:hAnsi="Arial" w:cs="Arial"/>
        </w:rPr>
        <w:t>GA</w:t>
      </w:r>
      <w:r w:rsidR="006D6556" w:rsidRPr="004643F0">
        <w:rPr>
          <w:rFonts w:ascii="Arial" w:hAnsi="Arial" w:cs="Arial"/>
          <w:vertAlign w:val="subscript"/>
        </w:rPr>
        <w:t>3</w:t>
      </w:r>
      <w:r w:rsidR="006D6556">
        <w:rPr>
          <w:rFonts w:ascii="Arial" w:hAnsi="Arial" w:cs="Arial"/>
          <w:vertAlign w:val="subscript"/>
        </w:rPr>
        <w:t xml:space="preserve"> </w:t>
      </w:r>
      <w:r w:rsidR="006D6556">
        <w:rPr>
          <w:rFonts w:ascii="Arial" w:hAnsi="Arial" w:cs="Arial"/>
        </w:rPr>
        <w:t xml:space="preserve">application had a significant effect on </w:t>
      </w:r>
      <w:r w:rsidR="006D6556" w:rsidRPr="00D61F92">
        <w:rPr>
          <w:rFonts w:ascii="Arial" w:hAnsi="Arial" w:cs="Arial"/>
        </w:rPr>
        <w:t>LAI, with treatment T</w:t>
      </w:r>
      <w:r w:rsidR="006D6556" w:rsidRPr="00D61F92">
        <w:rPr>
          <w:rFonts w:ascii="Cambria Math" w:hAnsi="Cambria Math" w:cs="Cambria Math"/>
        </w:rPr>
        <w:t>₉</w:t>
      </w:r>
      <w:r w:rsidR="006D6556" w:rsidRPr="00D61F92">
        <w:rPr>
          <w:rFonts w:ascii="Arial" w:hAnsi="Arial" w:cs="Arial"/>
        </w:rPr>
        <w:t xml:space="preserve"> </w:t>
      </w:r>
      <w:r w:rsidR="006D6556">
        <w:rPr>
          <w:rFonts w:ascii="Arial" w:hAnsi="Arial" w:cs="Arial"/>
        </w:rPr>
        <w:t xml:space="preserve">showing </w:t>
      </w:r>
      <w:r w:rsidR="006D6556" w:rsidRPr="00D61F92">
        <w:rPr>
          <w:rFonts w:ascii="Arial" w:hAnsi="Arial" w:cs="Arial"/>
        </w:rPr>
        <w:t>the highest LAI (</w:t>
      </w:r>
      <w:r w:rsidR="006D6556">
        <w:rPr>
          <w:rFonts w:ascii="Arial" w:hAnsi="Arial" w:cs="Arial"/>
        </w:rPr>
        <w:t>4.68</w:t>
      </w:r>
      <w:r w:rsidR="006D6556" w:rsidRPr="00D61F92">
        <w:rPr>
          <w:rFonts w:ascii="Arial" w:hAnsi="Arial" w:cs="Arial"/>
        </w:rPr>
        <w:t xml:space="preserve"> in 2023</w:t>
      </w:r>
      <w:r w:rsidR="006D6556">
        <w:rPr>
          <w:rFonts w:ascii="Arial" w:hAnsi="Arial" w:cs="Arial"/>
        </w:rPr>
        <w:t>-</w:t>
      </w:r>
      <w:r w:rsidR="006D6556" w:rsidRPr="00D61F92">
        <w:rPr>
          <w:rFonts w:ascii="Arial" w:hAnsi="Arial" w:cs="Arial"/>
        </w:rPr>
        <w:t xml:space="preserve">24 and </w:t>
      </w:r>
      <w:r w:rsidR="006D6556">
        <w:rPr>
          <w:rFonts w:ascii="Arial" w:hAnsi="Arial" w:cs="Arial"/>
        </w:rPr>
        <w:t>1.96</w:t>
      </w:r>
      <w:r w:rsidR="006D6556" w:rsidRPr="00D61F92">
        <w:rPr>
          <w:rFonts w:ascii="Arial" w:hAnsi="Arial" w:cs="Arial"/>
        </w:rPr>
        <w:t xml:space="preserve"> in 2024</w:t>
      </w:r>
      <w:r w:rsidR="006D6556">
        <w:rPr>
          <w:rFonts w:ascii="Arial" w:hAnsi="Arial" w:cs="Arial"/>
        </w:rPr>
        <w:t>-</w:t>
      </w:r>
      <w:r w:rsidR="006D6556" w:rsidRPr="00D61F92">
        <w:rPr>
          <w:rFonts w:ascii="Arial" w:hAnsi="Arial" w:cs="Arial"/>
        </w:rPr>
        <w:t xml:space="preserve">25) at </w:t>
      </w:r>
      <w:r w:rsidR="006D6556">
        <w:rPr>
          <w:rFonts w:ascii="Arial" w:hAnsi="Arial" w:cs="Arial"/>
        </w:rPr>
        <w:t>5</w:t>
      </w:r>
      <w:r w:rsidR="006D6556" w:rsidRPr="00D61F92">
        <w:rPr>
          <w:rFonts w:ascii="Arial" w:hAnsi="Arial" w:cs="Arial"/>
        </w:rPr>
        <w:t>0 DAS. The lowest LAI was observed in the control (T</w:t>
      </w:r>
      <w:r w:rsidR="006D6556" w:rsidRPr="002953B2">
        <w:rPr>
          <w:rFonts w:ascii="Arial" w:hAnsi="Arial" w:cs="Arial"/>
          <w:vertAlign w:val="subscript"/>
        </w:rPr>
        <w:t>1</w:t>
      </w:r>
      <w:r w:rsidR="006D6556" w:rsidRPr="00D61F92">
        <w:rPr>
          <w:rFonts w:ascii="Arial" w:hAnsi="Arial" w:cs="Arial"/>
        </w:rPr>
        <w:t>) (</w:t>
      </w:r>
      <w:r w:rsidR="006D6556">
        <w:rPr>
          <w:rFonts w:ascii="Arial" w:hAnsi="Arial" w:cs="Arial"/>
        </w:rPr>
        <w:t xml:space="preserve">Fig. </w:t>
      </w:r>
      <w:r w:rsidR="00616B1E">
        <w:rPr>
          <w:rFonts w:ascii="Arial" w:hAnsi="Arial" w:cs="Arial"/>
        </w:rPr>
        <w:t>4</w:t>
      </w:r>
      <w:r w:rsidR="006D6556">
        <w:rPr>
          <w:rFonts w:ascii="Arial" w:hAnsi="Arial" w:cs="Arial"/>
        </w:rPr>
        <w:t xml:space="preserve">A and </w:t>
      </w:r>
      <w:r w:rsidR="00616B1E">
        <w:rPr>
          <w:rFonts w:ascii="Arial" w:hAnsi="Arial" w:cs="Arial"/>
        </w:rPr>
        <w:t>4</w:t>
      </w:r>
      <w:r w:rsidR="006D6556">
        <w:rPr>
          <w:rFonts w:ascii="Arial" w:hAnsi="Arial" w:cs="Arial"/>
        </w:rPr>
        <w:t>B</w:t>
      </w:r>
      <w:r w:rsidR="006D6556" w:rsidRPr="00D61F92">
        <w:rPr>
          <w:rFonts w:ascii="Arial" w:hAnsi="Arial" w:cs="Arial"/>
        </w:rPr>
        <w:t xml:space="preserve">). </w:t>
      </w:r>
      <w:r w:rsidR="006D6556" w:rsidRPr="004643F0">
        <w:rPr>
          <w:rFonts w:ascii="Arial" w:hAnsi="Arial" w:cs="Arial"/>
        </w:rPr>
        <w:t xml:space="preserve">The highest leaf area index </w:t>
      </w:r>
      <w:r w:rsidR="006D6556">
        <w:rPr>
          <w:rFonts w:ascii="Arial" w:hAnsi="Arial" w:cs="Arial"/>
        </w:rPr>
        <w:t xml:space="preserve">observed </w:t>
      </w:r>
      <w:r w:rsidR="006D6556" w:rsidRPr="004643F0">
        <w:rPr>
          <w:rFonts w:ascii="Arial" w:hAnsi="Arial" w:cs="Arial"/>
        </w:rPr>
        <w:t>with GA</w:t>
      </w:r>
      <w:r w:rsidR="006D6556" w:rsidRPr="004643F0">
        <w:rPr>
          <w:rFonts w:ascii="Arial" w:hAnsi="Arial" w:cs="Arial"/>
          <w:vertAlign w:val="subscript"/>
        </w:rPr>
        <w:t>3</w:t>
      </w:r>
      <w:r w:rsidR="006D6556" w:rsidRPr="004643F0">
        <w:rPr>
          <w:rFonts w:ascii="Arial" w:hAnsi="Arial" w:cs="Arial"/>
        </w:rPr>
        <w:t xml:space="preserve"> </w:t>
      </w:r>
      <w:r w:rsidR="006D6556">
        <w:rPr>
          <w:rFonts w:ascii="Arial" w:hAnsi="Arial" w:cs="Arial"/>
        </w:rPr>
        <w:t>application may result from its role in</w:t>
      </w:r>
      <w:r w:rsidR="006D6556" w:rsidRPr="004643F0">
        <w:rPr>
          <w:rFonts w:ascii="Arial" w:hAnsi="Arial" w:cs="Arial"/>
        </w:rPr>
        <w:t xml:space="preserve"> upregulat</w:t>
      </w:r>
      <w:r w:rsidR="006D6556">
        <w:rPr>
          <w:rFonts w:ascii="Arial" w:hAnsi="Arial" w:cs="Arial"/>
        </w:rPr>
        <w:t>ing</w:t>
      </w:r>
      <w:r w:rsidR="006D6556" w:rsidRPr="004643F0">
        <w:rPr>
          <w:rFonts w:ascii="Arial" w:hAnsi="Arial" w:cs="Arial"/>
        </w:rPr>
        <w:t xml:space="preserve"> genes </w:t>
      </w:r>
      <w:r w:rsidR="006D6556">
        <w:rPr>
          <w:rFonts w:ascii="Arial" w:hAnsi="Arial" w:cs="Arial"/>
        </w:rPr>
        <w:t xml:space="preserve">that promote </w:t>
      </w:r>
      <w:r w:rsidR="006D6556" w:rsidRPr="004643F0">
        <w:rPr>
          <w:rFonts w:ascii="Arial" w:hAnsi="Arial" w:cs="Arial"/>
        </w:rPr>
        <w:t xml:space="preserve">cell wall loosening and carbohydrate metabolism, </w:t>
      </w:r>
      <w:r w:rsidR="006D6556">
        <w:rPr>
          <w:rFonts w:ascii="Arial" w:hAnsi="Arial" w:cs="Arial"/>
        </w:rPr>
        <w:t xml:space="preserve">which supports greater </w:t>
      </w:r>
      <w:r w:rsidR="006D6556" w:rsidRPr="004643F0">
        <w:rPr>
          <w:rFonts w:ascii="Arial" w:hAnsi="Arial" w:cs="Arial"/>
        </w:rPr>
        <w:t>leaf development.</w:t>
      </w:r>
      <w:r w:rsidR="006D6556">
        <w:rPr>
          <w:rFonts w:ascii="Arial" w:hAnsi="Arial" w:cs="Arial"/>
        </w:rPr>
        <w:t xml:space="preserve"> </w:t>
      </w:r>
      <w:r w:rsidR="006E3B95" w:rsidRPr="007C64E8">
        <w:rPr>
          <w:rFonts w:ascii="Arial" w:hAnsi="Arial" w:cs="Arial"/>
        </w:rPr>
        <w:t xml:space="preserve">This indicates that LAI and TDM are the most important parameters for increasing seed yield. </w:t>
      </w:r>
      <w:r w:rsidR="006E3B95" w:rsidRPr="007C64E8">
        <w:rPr>
          <w:rFonts w:ascii="Arial" w:hAnsi="Arial" w:cs="Arial"/>
        </w:rPr>
        <w:fldChar w:fldCharType="begin" w:fldLock="1"/>
      </w:r>
      <w:r w:rsidR="00995142" w:rsidRPr="007C64E8">
        <w:rPr>
          <w:rFonts w:ascii="Arial" w:hAnsi="Arial" w:cs="Arial"/>
        </w:rPr>
        <w:instrText>ADDIN CSL_CITATION {"citationItems":[{"id":"ITEM-1","itemData":{"author":[{"dropping-particle":"","family":"Tesfaye, K., Walker, S., &amp; Tsubo","given":"M.","non-dropping-particle":"","parse-names":false,"suffix":""}],"container-title":"European journal of Agronomy","id":"ITEM-1","issue":"1","issued":{"date-parts":[["2006"]]},"page":"60-70","title":"Radiation interception and radiation use efficiency of three grain legumes under water deficit conditions in a semi-arid environment","type":"article-journal","volume":"25"},"uris":["http://www.mendeley.com/documents/?uuid=439065d3-23f4-4f19-8289-7d29b26b6e9a"]}],"mendeley":{"formattedCitation":"(Tesfaye, K., Walker, S., &amp; Tsubo, 2006)","manualFormatting":"Tesfaye et al. (2006","plainTextFormattedCitation":"(Tesfaye, K., Walker, S., &amp; Tsubo, 2006)","previouslyFormattedCitation":"(Tesfaye, K., Walker, S., &amp; Tsubo, 2006)"},"properties":{"noteIndex":0},"schema":"https://github.com/citation-style-language/schema/raw/master/csl-citation.json"}</w:instrText>
      </w:r>
      <w:r w:rsidR="006E3B95" w:rsidRPr="007C64E8">
        <w:rPr>
          <w:rFonts w:ascii="Arial" w:hAnsi="Arial" w:cs="Arial"/>
        </w:rPr>
        <w:fldChar w:fldCharType="separate"/>
      </w:r>
      <w:r w:rsidR="006E3B95" w:rsidRPr="007C64E8">
        <w:rPr>
          <w:rFonts w:ascii="Arial" w:hAnsi="Arial" w:cs="Arial"/>
          <w:noProof/>
        </w:rPr>
        <w:t>Tesfaye et al. (2006</w:t>
      </w:r>
      <w:r w:rsidR="006E3B95" w:rsidRPr="007C64E8">
        <w:rPr>
          <w:rFonts w:ascii="Arial" w:hAnsi="Arial" w:cs="Arial"/>
        </w:rPr>
        <w:fldChar w:fldCharType="end"/>
      </w:r>
      <w:r w:rsidR="006E3B95" w:rsidRPr="007C64E8">
        <w:rPr>
          <w:rFonts w:ascii="Arial" w:hAnsi="Arial" w:cs="Arial"/>
        </w:rPr>
        <w:t>) reported that attainment of high LAI reduces soil water evaporation, intercepts and converts radiation into dry matter efficiently and partitioning of the dry matter to the seed which is the major requirement for high seed yield.</w:t>
      </w:r>
    </w:p>
    <w:p w14:paraId="62310EA6" w14:textId="77777777" w:rsidR="00BE5A61" w:rsidRPr="00FA594C" w:rsidRDefault="00BE5A61" w:rsidP="00BE5A61">
      <w:pPr>
        <w:spacing w:before="120" w:after="120" w:line="360" w:lineRule="auto"/>
        <w:jc w:val="both"/>
        <w:rPr>
          <w:rFonts w:ascii="Arial" w:hAnsi="Arial" w:cs="Arial"/>
        </w:rPr>
      </w:pPr>
      <w:r>
        <w:rPr>
          <w:rFonts w:ascii="Arial" w:hAnsi="Arial" w:cs="Arial"/>
          <w:noProof/>
        </w:rPr>
        <w:lastRenderedPageBreak/>
        <w:drawing>
          <wp:anchor distT="0" distB="0" distL="114300" distR="114300" simplePos="0" relativeHeight="251625984" behindDoc="0" locked="0" layoutInCell="1" allowOverlap="1" wp14:anchorId="4CF55873" wp14:editId="7B4F19D4">
            <wp:simplePos x="0" y="0"/>
            <wp:positionH relativeFrom="column">
              <wp:posOffset>39370</wp:posOffset>
            </wp:positionH>
            <wp:positionV relativeFrom="paragraph">
              <wp:posOffset>0</wp:posOffset>
            </wp:positionV>
            <wp:extent cx="2532888" cy="1801368"/>
            <wp:effectExtent l="0" t="0" r="1270" b="889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rFonts w:ascii="Arial" w:hAnsi="Arial" w:cs="Arial"/>
        </w:rPr>
        <w:t xml:space="preserve">   </w:t>
      </w:r>
      <w:r>
        <w:rPr>
          <w:noProof/>
        </w:rPr>
        <w:drawing>
          <wp:anchor distT="0" distB="0" distL="114300" distR="114300" simplePos="0" relativeHeight="251623936" behindDoc="0" locked="0" layoutInCell="1" allowOverlap="1" wp14:anchorId="249EC2FE" wp14:editId="79AB502E">
            <wp:simplePos x="0" y="0"/>
            <wp:positionH relativeFrom="column">
              <wp:posOffset>2640965</wp:posOffset>
            </wp:positionH>
            <wp:positionV relativeFrom="paragraph">
              <wp:posOffset>0</wp:posOffset>
            </wp:positionV>
            <wp:extent cx="2532380" cy="1800860"/>
            <wp:effectExtent l="0" t="0" r="1270" b="8890"/>
            <wp:wrapTopAndBottom/>
            <wp:docPr id="4" name="Chart 4" descr="Leaf Area Inde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rPr>
        <w:tab/>
      </w:r>
      <w:r>
        <w:rPr>
          <w:rFonts w:ascii="Arial" w:hAnsi="Arial" w:cs="Arial"/>
        </w:rPr>
        <w:tab/>
        <w:t xml:space="preserve">     (A)                                                                     </w:t>
      </w:r>
      <w:proofErr w:type="gramStart"/>
      <w:r>
        <w:rPr>
          <w:rFonts w:ascii="Arial" w:hAnsi="Arial" w:cs="Arial"/>
        </w:rPr>
        <w:t xml:space="preserve">   (</w:t>
      </w:r>
      <w:proofErr w:type="gramEnd"/>
      <w:r>
        <w:rPr>
          <w:rFonts w:ascii="Arial" w:hAnsi="Arial" w:cs="Arial"/>
        </w:rPr>
        <w:t>B)</w:t>
      </w:r>
    </w:p>
    <w:p w14:paraId="37E27711" w14:textId="049E936B" w:rsidR="00097FB2" w:rsidRPr="006A6ED2" w:rsidRDefault="00BE5A61" w:rsidP="00097FB2">
      <w:pPr>
        <w:spacing w:before="120" w:after="120" w:line="360" w:lineRule="auto"/>
        <w:ind w:left="900" w:hanging="900"/>
        <w:jc w:val="both"/>
        <w:rPr>
          <w:rFonts w:ascii="Arial" w:hAnsi="Arial" w:cs="Arial"/>
          <w:b/>
          <w:bCs/>
        </w:rPr>
      </w:pPr>
      <w:r w:rsidRPr="006A6ED2">
        <w:rPr>
          <w:rFonts w:ascii="Arial" w:hAnsi="Arial" w:cs="Arial"/>
          <w:b/>
          <w:bCs/>
        </w:rPr>
        <w:t xml:space="preserve">Figure </w:t>
      </w:r>
      <w:r w:rsidR="00616B1E">
        <w:rPr>
          <w:rFonts w:ascii="Arial" w:hAnsi="Arial" w:cs="Arial"/>
          <w:b/>
          <w:bCs/>
        </w:rPr>
        <w:t>4</w:t>
      </w:r>
      <w:r w:rsidRPr="006A6ED2">
        <w:rPr>
          <w:rFonts w:ascii="Arial" w:hAnsi="Arial" w:cs="Arial"/>
          <w:b/>
          <w:bCs/>
        </w:rPr>
        <w:t>. Mean values of leaf area index (LAI) as affected by different foliar gibberellic acid application during post-monsoon season, (A) 2023–24 and (B) 2024–25</w:t>
      </w:r>
    </w:p>
    <w:p w14:paraId="687A7860" w14:textId="77777777" w:rsidR="00BE5A61" w:rsidRPr="00973275" w:rsidRDefault="00BE5A61" w:rsidP="00BE5A61">
      <w:pPr>
        <w:spacing w:before="120" w:after="120" w:line="360" w:lineRule="auto"/>
        <w:jc w:val="both"/>
        <w:rPr>
          <w:rFonts w:ascii="Arial" w:hAnsi="Arial" w:cs="Arial"/>
          <w:sz w:val="22"/>
          <w:szCs w:val="22"/>
        </w:rPr>
      </w:pPr>
      <w:r w:rsidRPr="00973275">
        <w:rPr>
          <w:rFonts w:ascii="Arial" w:hAnsi="Arial" w:cs="Arial"/>
          <w:b/>
          <w:bCs/>
          <w:sz w:val="22"/>
          <w:szCs w:val="22"/>
        </w:rPr>
        <w:t>3.5 Crop Growth Rate (CGR)</w:t>
      </w:r>
    </w:p>
    <w:p w14:paraId="3D68F349" w14:textId="3E7021F1" w:rsidR="00BE5A61" w:rsidRPr="00995142" w:rsidRDefault="00297E69" w:rsidP="00BE5A61">
      <w:pPr>
        <w:spacing w:before="120" w:after="120" w:line="360" w:lineRule="auto"/>
        <w:ind w:firstLine="720"/>
        <w:jc w:val="both"/>
        <w:rPr>
          <w:rFonts w:ascii="Arial" w:hAnsi="Arial" w:cs="Arial"/>
        </w:rPr>
      </w:pPr>
      <w:r w:rsidRPr="00995142">
        <w:rPr>
          <w:rFonts w:ascii="Arial" w:hAnsi="Arial" w:cs="Arial"/>
        </w:rPr>
        <w:t>Crop growth rate (</w:t>
      </w:r>
      <w:r w:rsidR="00BE5A61" w:rsidRPr="00995142">
        <w:rPr>
          <w:rFonts w:ascii="Arial" w:hAnsi="Arial" w:cs="Arial"/>
        </w:rPr>
        <w:t>CGR</w:t>
      </w:r>
      <w:r w:rsidRPr="00995142">
        <w:rPr>
          <w:rFonts w:ascii="Arial" w:hAnsi="Arial" w:cs="Arial"/>
        </w:rPr>
        <w:t>)</w:t>
      </w:r>
      <w:r w:rsidR="00BE5A61" w:rsidRPr="00995142">
        <w:rPr>
          <w:rFonts w:ascii="Arial" w:hAnsi="Arial" w:cs="Arial"/>
        </w:rPr>
        <w:t xml:space="preserve"> was significantly higher in GA</w:t>
      </w:r>
      <w:r w:rsidR="00BE5A61" w:rsidRPr="00995142">
        <w:rPr>
          <w:rFonts w:ascii="Arial" w:hAnsi="Arial" w:cs="Arial"/>
          <w:vertAlign w:val="subscript"/>
        </w:rPr>
        <w:t>3</w:t>
      </w:r>
      <w:r w:rsidR="00BE5A61" w:rsidRPr="00995142">
        <w:rPr>
          <w:rFonts w:ascii="Arial" w:hAnsi="Arial" w:cs="Arial"/>
        </w:rPr>
        <w:t xml:space="preserve">-treated plots compared to the control, particularly during the growth stages (40-50 DAS) (Fig. </w:t>
      </w:r>
      <w:r w:rsidR="00616B1E">
        <w:rPr>
          <w:rFonts w:ascii="Arial" w:hAnsi="Arial" w:cs="Arial"/>
        </w:rPr>
        <w:t>5</w:t>
      </w:r>
      <w:r w:rsidR="00BE5A61" w:rsidRPr="00995142">
        <w:rPr>
          <w:rFonts w:ascii="Arial" w:hAnsi="Arial" w:cs="Arial"/>
        </w:rPr>
        <w:t xml:space="preserve">A and </w:t>
      </w:r>
      <w:r w:rsidR="00616B1E">
        <w:rPr>
          <w:rFonts w:ascii="Arial" w:hAnsi="Arial" w:cs="Arial"/>
        </w:rPr>
        <w:t>5</w:t>
      </w:r>
      <w:r w:rsidR="00BE5A61" w:rsidRPr="00995142">
        <w:rPr>
          <w:rFonts w:ascii="Arial" w:hAnsi="Arial" w:cs="Arial"/>
        </w:rPr>
        <w:t>B). The maximum CGR (27.09 g m</w:t>
      </w:r>
      <w:r w:rsidR="00BE5A61" w:rsidRPr="00995142">
        <w:rPr>
          <w:rFonts w:ascii="Cambria Math" w:hAnsi="Cambria Math" w:cs="Cambria Math"/>
          <w:vertAlign w:val="superscript"/>
        </w:rPr>
        <w:t>⁻</w:t>
      </w:r>
      <w:r w:rsidR="00BE5A61" w:rsidRPr="00995142">
        <w:rPr>
          <w:rFonts w:ascii="Arial" w:hAnsi="Arial" w:cs="Arial"/>
          <w:vertAlign w:val="superscript"/>
        </w:rPr>
        <w:t>2</w:t>
      </w:r>
      <w:r w:rsidR="00BE5A61" w:rsidRPr="00995142">
        <w:rPr>
          <w:rFonts w:ascii="Arial" w:hAnsi="Arial" w:cs="Arial"/>
        </w:rPr>
        <w:t xml:space="preserve"> day</w:t>
      </w:r>
      <w:r w:rsidR="00BE5A61" w:rsidRPr="00995142">
        <w:rPr>
          <w:rFonts w:ascii="Cambria Math" w:hAnsi="Cambria Math" w:cs="Cambria Math"/>
        </w:rPr>
        <w:t>⁻</w:t>
      </w:r>
      <w:r w:rsidR="00BE5A61" w:rsidRPr="00995142">
        <w:rPr>
          <w:rFonts w:ascii="Arial" w:hAnsi="Arial" w:cs="Arial"/>
          <w:vertAlign w:val="superscript"/>
        </w:rPr>
        <w:t>1</w:t>
      </w:r>
      <w:r w:rsidR="00BE5A61" w:rsidRPr="00995142">
        <w:rPr>
          <w:rFonts w:ascii="Arial" w:hAnsi="Arial" w:cs="Arial"/>
        </w:rPr>
        <w:t xml:space="preserve"> in 2023-24 and 17.48 g m</w:t>
      </w:r>
      <w:r w:rsidR="00BE5A61" w:rsidRPr="00995142">
        <w:rPr>
          <w:rFonts w:ascii="Cambria Math" w:hAnsi="Cambria Math" w:cs="Cambria Math"/>
        </w:rPr>
        <w:t>⁻</w:t>
      </w:r>
      <w:r w:rsidR="00BE5A61" w:rsidRPr="00995142">
        <w:rPr>
          <w:rFonts w:ascii="Arial" w:hAnsi="Arial" w:cs="Arial"/>
          <w:vertAlign w:val="superscript"/>
        </w:rPr>
        <w:t>2</w:t>
      </w:r>
      <w:r w:rsidR="00BE5A61" w:rsidRPr="00995142">
        <w:rPr>
          <w:rFonts w:ascii="Arial" w:hAnsi="Arial" w:cs="Arial"/>
        </w:rPr>
        <w:t xml:space="preserve"> day</w:t>
      </w:r>
      <w:r w:rsidR="00BE5A61" w:rsidRPr="00995142">
        <w:rPr>
          <w:rFonts w:ascii="Cambria Math" w:hAnsi="Cambria Math" w:cs="Cambria Math"/>
        </w:rPr>
        <w:t>⁻</w:t>
      </w:r>
      <w:r w:rsidR="00BE5A61" w:rsidRPr="00995142">
        <w:rPr>
          <w:rFonts w:ascii="Arial" w:hAnsi="Arial" w:cs="Arial"/>
          <w:vertAlign w:val="superscript"/>
        </w:rPr>
        <w:t>1</w:t>
      </w:r>
      <w:r w:rsidR="00BE5A61" w:rsidRPr="00995142">
        <w:rPr>
          <w:rFonts w:ascii="Arial" w:hAnsi="Arial" w:cs="Arial"/>
        </w:rPr>
        <w:t xml:space="preserve"> in 2024-25) was recorded in treatment T</w:t>
      </w:r>
      <w:r w:rsidR="00BE5A61" w:rsidRPr="00995142">
        <w:rPr>
          <w:rFonts w:ascii="Arial" w:hAnsi="Arial" w:cs="Arial"/>
          <w:vertAlign w:val="subscript"/>
        </w:rPr>
        <w:t>9</w:t>
      </w:r>
      <w:r w:rsidR="006A0024" w:rsidRPr="00995142">
        <w:rPr>
          <w:rFonts w:ascii="Arial" w:hAnsi="Arial" w:cs="Arial"/>
          <w:vertAlign w:val="subscript"/>
        </w:rPr>
        <w:t>.</w:t>
      </w:r>
      <w:r w:rsidR="006A0024" w:rsidRPr="00995142">
        <w:rPr>
          <w:rFonts w:ascii="Arial" w:hAnsi="Arial" w:cs="Arial"/>
        </w:rPr>
        <w:t xml:space="preserve"> This enhancement in CGR values is mainly due to faster translocation of assimilates and utilization of carbohydrates by the sink in an efficient way. </w:t>
      </w:r>
      <w:r w:rsidR="00E514F2" w:rsidRPr="002E0861">
        <w:rPr>
          <w:rFonts w:ascii="Arial" w:hAnsi="Arial" w:cs="Arial"/>
        </w:rPr>
        <w:t xml:space="preserve">Improvement in growth parameters of </w:t>
      </w:r>
      <w:proofErr w:type="spellStart"/>
      <w:r w:rsidR="00E514F2" w:rsidRPr="002E0861">
        <w:rPr>
          <w:rFonts w:ascii="Arial" w:hAnsi="Arial" w:cs="Arial"/>
        </w:rPr>
        <w:t>mungbean</w:t>
      </w:r>
      <w:proofErr w:type="spellEnd"/>
      <w:r w:rsidR="00E514F2" w:rsidRPr="002E0861">
        <w:rPr>
          <w:rFonts w:ascii="Arial" w:hAnsi="Arial" w:cs="Arial"/>
        </w:rPr>
        <w:t xml:space="preserve"> crop due to foliar application of different concentrations of GA</w:t>
      </w:r>
      <w:r w:rsidR="00E514F2" w:rsidRPr="002E0861">
        <w:rPr>
          <w:rFonts w:ascii="Arial" w:hAnsi="Arial" w:cs="Arial"/>
          <w:vertAlign w:val="subscript"/>
        </w:rPr>
        <w:t>3</w:t>
      </w:r>
      <w:r w:rsidR="00E514F2" w:rsidRPr="002E0861">
        <w:rPr>
          <w:rFonts w:ascii="Arial" w:hAnsi="Arial" w:cs="Arial"/>
        </w:rPr>
        <w:t xml:space="preserve"> over untreated (control) may be because of beneficial effects of GA</w:t>
      </w:r>
      <w:r w:rsidR="00E514F2" w:rsidRPr="002E0861">
        <w:rPr>
          <w:rFonts w:ascii="Arial" w:hAnsi="Arial" w:cs="Arial"/>
          <w:vertAlign w:val="subscript"/>
        </w:rPr>
        <w:t>3</w:t>
      </w:r>
      <w:r w:rsidR="00E514F2" w:rsidRPr="002E0861">
        <w:rPr>
          <w:rFonts w:ascii="Arial" w:hAnsi="Arial" w:cs="Arial"/>
        </w:rPr>
        <w:t xml:space="preserve"> </w:t>
      </w:r>
      <w:r w:rsidR="006A0024" w:rsidRPr="002E0861">
        <w:rPr>
          <w:rFonts w:ascii="Arial" w:hAnsi="Arial" w:cs="Arial"/>
        </w:rPr>
        <w:t>on cell multiplication</w:t>
      </w:r>
      <w:r w:rsidR="00995142" w:rsidRPr="002E0861">
        <w:rPr>
          <w:rFonts w:ascii="Arial" w:hAnsi="Arial" w:cs="Arial"/>
        </w:rPr>
        <w:t xml:space="preserve"> that</w:t>
      </w:r>
      <w:r w:rsidR="006A0024" w:rsidRPr="002E0861">
        <w:rPr>
          <w:rFonts w:ascii="Arial" w:hAnsi="Arial" w:cs="Arial"/>
        </w:rPr>
        <w:t xml:space="preserve"> might reflect the rapid increase in CGR</w:t>
      </w:r>
      <w:r w:rsidR="00E514F2" w:rsidRPr="002E0861">
        <w:rPr>
          <w:rFonts w:ascii="Arial" w:hAnsi="Arial" w:cs="Arial"/>
        </w:rPr>
        <w:t xml:space="preserve">, increase in photosynthetic activity and supported efficient translocation of photosynthates from source to sink resulted in higher dry matter accumulation in </w:t>
      </w:r>
      <w:proofErr w:type="spellStart"/>
      <w:r w:rsidR="00E514F2" w:rsidRPr="002E0861">
        <w:rPr>
          <w:rFonts w:ascii="Arial" w:hAnsi="Arial" w:cs="Arial"/>
        </w:rPr>
        <w:t>mungbean</w:t>
      </w:r>
      <w:proofErr w:type="spellEnd"/>
      <w:r w:rsidR="00E514F2" w:rsidRPr="002E0861">
        <w:rPr>
          <w:rFonts w:ascii="Arial" w:hAnsi="Arial" w:cs="Arial"/>
        </w:rPr>
        <w:t xml:space="preserve"> crop. The results of the present experiment support by the findings of </w:t>
      </w:r>
      <w:r w:rsidR="00995142" w:rsidRPr="002E0861">
        <w:rPr>
          <w:rFonts w:ascii="Arial" w:hAnsi="Arial" w:cs="Arial"/>
        </w:rPr>
        <w:fldChar w:fldCharType="begin" w:fldLock="1"/>
      </w:r>
      <w:r w:rsidR="00220DA9" w:rsidRPr="002E0861">
        <w:rPr>
          <w:rFonts w:ascii="Arial" w:hAnsi="Arial" w:cs="Arial"/>
        </w:rPr>
        <w:instrText>ADDIN CSL_CITATION {"citationItems":[{"id":"ITEM-1","itemData":{"author":[{"dropping-particle":"","family":"Sarwar","given":"N.","non-dropping-particle":"","parse-names":false,"suffix":""},{"dropping-particle":"","family":"Farooq","given":"O.","non-dropping-particle":"","parse-names":false,"suffix":""},{"dropping-particle":"","family":"Mubeen","given":"K.","non-dropping-particle":"","parse-names":false,"suffix":""},{"dropping-particle":"","family":"Wasaya","given":"A.","non-dropping-particle":"","parse-names":false,"suffix":""},{"dropping-particle":"","family":"Nouman","given":"W.","non-dropping-particle":"","parse-names":false,"suffix":""},{"dropping-particle":"","family":"Zafar Ali","given":"M.","non-dropping-particle":"","parse-names":false,"suffix":""},{"dropping-particle":"","family":"Shehzad","given":"M.","non-dropping-particle":"","parse-names":false,"suffix":""}],"id":"ITEM-1","issued":{"date-parts":[["2017"]]},"title":"Exogenous application of gibberellic acid improves the maize crop productivity under scarce and sufficient soil moisture condition.","type":"article-journal"},"uris":["http://www.mendeley.com/documents/?uuid=e89a8529-5c8e-4083-9880-55ba8255406b"]},{"id":"ITEM-2","itemData":{"author":[{"dropping-particle":"","family":"Salingpa","given":"T. W.","non-dropping-particle":"","parse-names":false,"suffix":""},{"dropping-particle":"","family":"Lal","given":"E. P.","non-dropping-particle":"","parse-names":false,"suffix":""},{"dropping-particle":"","family":"Shukla","given":"P. K.","non-dropping-particle":"","parse-names":false,"suffix":""}],"container-title":"Journal of Pharmacognosy and Phytochemistry","id":"ITEM-2","issue":"6","issued":{"date-parts":[["2018"]]},"page":"1857-1860.","title":"Effect of foliar application of salicylic acid on growth, yield, physiological and biochemical characteristics of mung bean (Vigna radiata L.) under salt stress.","type":"article-journal","volume":"7"},"uris":["http://www.mendeley.com/documents/?uuid=cf450afb-5de2-4183-8122-b2e3b911fbc4"]}],"mendeley":{"formattedCitation":"(Salingpa et al., 2018; Sarwar et al., 2017)","manualFormatting":"(Tiwari et al., 2018; Sarwar et al., 2017)","plainTextFormattedCitation":"(Salingpa et al., 2018; Sarwar et al., 2017)","previouslyFormattedCitation":"(Salingpa et al., 2018; Sarwar et al., 2017)"},"properties":{"noteIndex":0},"schema":"https://github.com/citation-style-language/schema/raw/master/csl-citation.json"}</w:instrText>
      </w:r>
      <w:r w:rsidR="00995142" w:rsidRPr="002E0861">
        <w:rPr>
          <w:rFonts w:ascii="Arial" w:hAnsi="Arial" w:cs="Arial"/>
        </w:rPr>
        <w:fldChar w:fldCharType="separate"/>
      </w:r>
      <w:r w:rsidR="00995142" w:rsidRPr="002E0861">
        <w:rPr>
          <w:rFonts w:ascii="Arial" w:hAnsi="Arial" w:cs="Arial"/>
          <w:noProof/>
        </w:rPr>
        <w:t>(</w:t>
      </w:r>
      <w:r w:rsidR="007D3A64">
        <w:rPr>
          <w:rFonts w:ascii="Arial" w:hAnsi="Arial" w:cs="Arial"/>
          <w:noProof/>
        </w:rPr>
        <w:t>Salingpa</w:t>
      </w:r>
      <w:r w:rsidR="00995142" w:rsidRPr="002E0861">
        <w:rPr>
          <w:rFonts w:ascii="Arial" w:hAnsi="Arial" w:cs="Arial"/>
          <w:noProof/>
        </w:rPr>
        <w:t xml:space="preserve"> et al., 2018; Sarwar et al., 2017)</w:t>
      </w:r>
      <w:r w:rsidR="00995142" w:rsidRPr="002E0861">
        <w:rPr>
          <w:rFonts w:ascii="Arial" w:hAnsi="Arial" w:cs="Arial"/>
        </w:rPr>
        <w:fldChar w:fldCharType="end"/>
      </w:r>
      <w:r w:rsidR="00E514F2" w:rsidRPr="002E0861">
        <w:rPr>
          <w:rFonts w:ascii="Arial" w:hAnsi="Arial" w:cs="Arial"/>
        </w:rPr>
        <w:t xml:space="preserve">. Further findings suggested by </w:t>
      </w:r>
      <w:r w:rsidR="00220DA9" w:rsidRPr="002E0861">
        <w:rPr>
          <w:rFonts w:ascii="Arial" w:hAnsi="Arial" w:cs="Arial"/>
        </w:rPr>
        <w:fldChar w:fldCharType="begin" w:fldLock="1"/>
      </w:r>
      <w:r w:rsidR="00220DA9" w:rsidRPr="002E0861">
        <w:rPr>
          <w:rFonts w:ascii="Arial" w:hAnsi="Arial" w:cs="Arial"/>
        </w:rPr>
        <w:instrText>ADDIN CSL_CITATION {"citationItems":[{"id":"ITEM-1","itemData":{"author":[{"dropping-particle":"","family":"Singh","given":"C.","non-dropping-particle":"","parse-names":false,"suffix":""},{"dropping-particle":"","family":"Jambukiya","given":"H.","non-dropping-particle":"","parse-names":false,"suffix":""}],"id":"ITEM-1","issued":{"date-parts":[["2020"]]},"title":"Effect of foliar application of plant growth regulators on growth and yield attributing characters of green gram (Vigna radiata L. Wilczek).","type":"article-journal"},"uris":["http://www.mendeley.com/documents/?uuid=848ed59b-9eba-4e60-b452-80e546c78af9"]}],"mendeley":{"formattedCitation":"(Singh &amp; Jambukiya, 2020)","plainTextFormattedCitation":"(Singh &amp; Jambukiya, 2020)","previouslyFormattedCitation":"(Singh &amp; Jambukiya, 2020)"},"properties":{"noteIndex":0},"schema":"https://github.com/citation-style-language/schema/raw/master/csl-citation.json"}</w:instrText>
      </w:r>
      <w:r w:rsidR="00220DA9" w:rsidRPr="002E0861">
        <w:rPr>
          <w:rFonts w:ascii="Arial" w:hAnsi="Arial" w:cs="Arial"/>
        </w:rPr>
        <w:fldChar w:fldCharType="separate"/>
      </w:r>
      <w:r w:rsidR="00220DA9" w:rsidRPr="002E0861">
        <w:rPr>
          <w:rFonts w:ascii="Arial" w:hAnsi="Arial" w:cs="Arial"/>
          <w:noProof/>
        </w:rPr>
        <w:t>(Singh &amp; Jambukiya, 2020)</w:t>
      </w:r>
      <w:r w:rsidR="00220DA9" w:rsidRPr="002E0861">
        <w:rPr>
          <w:rFonts w:ascii="Arial" w:hAnsi="Arial" w:cs="Arial"/>
        </w:rPr>
        <w:fldChar w:fldCharType="end"/>
      </w:r>
      <w:r w:rsidR="00220DA9" w:rsidRPr="002E0861">
        <w:rPr>
          <w:rFonts w:ascii="Arial" w:hAnsi="Arial" w:cs="Arial"/>
        </w:rPr>
        <w:t xml:space="preserve"> </w:t>
      </w:r>
      <w:r w:rsidR="00E514F2" w:rsidRPr="002E0861">
        <w:rPr>
          <w:rFonts w:ascii="Arial" w:hAnsi="Arial" w:cs="Arial"/>
        </w:rPr>
        <w:t>in green</w:t>
      </w:r>
      <w:r w:rsidR="00220DA9" w:rsidRPr="002E0861">
        <w:rPr>
          <w:rFonts w:ascii="Arial" w:hAnsi="Arial" w:cs="Arial"/>
        </w:rPr>
        <w:t xml:space="preserve"> </w:t>
      </w:r>
      <w:r w:rsidR="00E514F2" w:rsidRPr="002E0861">
        <w:rPr>
          <w:rFonts w:ascii="Arial" w:hAnsi="Arial" w:cs="Arial"/>
        </w:rPr>
        <w:t xml:space="preserve">gram and </w:t>
      </w:r>
      <w:r w:rsidR="00220DA9" w:rsidRPr="002E0861">
        <w:rPr>
          <w:rFonts w:ascii="Arial" w:hAnsi="Arial" w:cs="Arial"/>
        </w:rPr>
        <w:fldChar w:fldCharType="begin" w:fldLock="1"/>
      </w:r>
      <w:r w:rsidR="00E63353" w:rsidRPr="002E0861">
        <w:rPr>
          <w:rFonts w:ascii="Arial" w:hAnsi="Arial" w:cs="Arial"/>
        </w:rPr>
        <w:instrText>ADDIN CSL_CITATION {"citationItems":[{"id":"ITEM-1","itemData":{"author":[{"dropping-particle":"","family":"Kunjammal","given":"P.","non-dropping-particle":"","parse-names":false,"suffix":""},{"dropping-particle":"","family":"Sukumar","given":"J.","non-dropping-particle":"","parse-names":false,"suffix":""}],"id":"ITEM-1","issued":{"date-parts":[["2019"]]},"title":"Effect of foliar application of nutrients and growth regulator on growth and yield of green gram (Vigna radiate L.).","type":"article-journal"},"uris":["http://www.mendeley.com/documents/?uuid=d1b63971-610a-4090-9b54-63d532740931"]}],"mendeley":{"formattedCitation":"(Kunjammal &amp; Sukumar, 2019)","plainTextFormattedCitation":"(Kunjammal &amp; Sukumar, 2019)","previouslyFormattedCitation":"(Kunjammal &amp; Sukumar, 2019)"},"properties":{"noteIndex":0},"schema":"https://github.com/citation-style-language/schema/raw/master/csl-citation.json"}</w:instrText>
      </w:r>
      <w:r w:rsidR="00220DA9" w:rsidRPr="002E0861">
        <w:rPr>
          <w:rFonts w:ascii="Arial" w:hAnsi="Arial" w:cs="Arial"/>
        </w:rPr>
        <w:fldChar w:fldCharType="separate"/>
      </w:r>
      <w:r w:rsidR="00220DA9" w:rsidRPr="002E0861">
        <w:rPr>
          <w:rFonts w:ascii="Arial" w:hAnsi="Arial" w:cs="Arial"/>
          <w:noProof/>
        </w:rPr>
        <w:t>(Kunjammal &amp; Sukumar, 2019)</w:t>
      </w:r>
      <w:r w:rsidR="00220DA9" w:rsidRPr="002E0861">
        <w:rPr>
          <w:rFonts w:ascii="Arial" w:hAnsi="Arial" w:cs="Arial"/>
        </w:rPr>
        <w:fldChar w:fldCharType="end"/>
      </w:r>
      <w:r w:rsidR="00220DA9" w:rsidRPr="002E0861">
        <w:rPr>
          <w:rFonts w:ascii="Arial" w:hAnsi="Arial" w:cs="Arial"/>
        </w:rPr>
        <w:t xml:space="preserve"> </w:t>
      </w:r>
      <w:r w:rsidR="00E514F2" w:rsidRPr="002E0861">
        <w:rPr>
          <w:rFonts w:ascii="Arial" w:hAnsi="Arial" w:cs="Arial"/>
        </w:rPr>
        <w:t>in green gram</w:t>
      </w:r>
      <w:r w:rsidR="00995142" w:rsidRPr="002E0861">
        <w:rPr>
          <w:rFonts w:ascii="Arial" w:hAnsi="Arial" w:cs="Arial"/>
        </w:rPr>
        <w:t>.</w:t>
      </w:r>
      <w:r w:rsidR="00995142" w:rsidRPr="00995142">
        <w:rPr>
          <w:rFonts w:ascii="Arial" w:hAnsi="Arial" w:cs="Arial"/>
        </w:rPr>
        <w:t xml:space="preserve"> Thus, foliar application of GA</w:t>
      </w:r>
      <w:r w:rsidR="00995142" w:rsidRPr="00995142">
        <w:rPr>
          <w:rFonts w:ascii="Arial" w:hAnsi="Arial" w:cs="Arial"/>
          <w:vertAlign w:val="subscript"/>
        </w:rPr>
        <w:t>3</w:t>
      </w:r>
      <w:r w:rsidR="00995142" w:rsidRPr="00995142">
        <w:rPr>
          <w:rFonts w:ascii="Arial" w:hAnsi="Arial" w:cs="Arial"/>
        </w:rPr>
        <w:t xml:space="preserve"> appears to be a promising strategy for boosting </w:t>
      </w:r>
      <w:proofErr w:type="spellStart"/>
      <w:r w:rsidR="00995142" w:rsidRPr="00995142">
        <w:rPr>
          <w:rFonts w:ascii="Arial" w:hAnsi="Arial" w:cs="Arial"/>
        </w:rPr>
        <w:t>mungbean</w:t>
      </w:r>
      <w:proofErr w:type="spellEnd"/>
      <w:r w:rsidR="00995142" w:rsidRPr="00995142">
        <w:rPr>
          <w:rFonts w:ascii="Arial" w:hAnsi="Arial" w:cs="Arial"/>
        </w:rPr>
        <w:t xml:space="preserve"> productivity by accelerating growth dynamics. </w:t>
      </w:r>
    </w:p>
    <w:p w14:paraId="578FDEF6" w14:textId="7BD8004C" w:rsidR="00F12151" w:rsidRPr="006A0024" w:rsidRDefault="005670EE" w:rsidP="006A0024">
      <w:pPr>
        <w:pStyle w:val="ListParagraph"/>
        <w:spacing w:before="120" w:after="120" w:line="360" w:lineRule="auto"/>
        <w:jc w:val="both"/>
        <w:rPr>
          <w:rFonts w:ascii="Arial" w:hAnsi="Arial" w:cs="Arial"/>
          <w:sz w:val="20"/>
          <w:szCs w:val="20"/>
        </w:rPr>
      </w:pPr>
      <w:r w:rsidRPr="005670EE">
        <w:rPr>
          <w:noProof/>
          <w:sz w:val="20"/>
          <w:szCs w:val="20"/>
        </w:rPr>
        <w:drawing>
          <wp:anchor distT="0" distB="0" distL="114300" distR="114300" simplePos="0" relativeHeight="251621888" behindDoc="0" locked="0" layoutInCell="1" allowOverlap="1" wp14:anchorId="3C2FE09C" wp14:editId="44FC1FCA">
            <wp:simplePos x="0" y="0"/>
            <wp:positionH relativeFrom="margin">
              <wp:posOffset>2698115</wp:posOffset>
            </wp:positionH>
            <wp:positionV relativeFrom="paragraph">
              <wp:posOffset>0</wp:posOffset>
            </wp:positionV>
            <wp:extent cx="2560320" cy="1809750"/>
            <wp:effectExtent l="0" t="0" r="1143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F12151" w:rsidRPr="005670EE">
        <w:rPr>
          <w:noProof/>
          <w:sz w:val="20"/>
          <w:szCs w:val="20"/>
        </w:rPr>
        <w:drawing>
          <wp:anchor distT="0" distB="0" distL="114300" distR="114300" simplePos="0" relativeHeight="251619840" behindDoc="0" locked="0" layoutInCell="1" allowOverlap="1" wp14:anchorId="0F58823C" wp14:editId="02379EDD">
            <wp:simplePos x="0" y="0"/>
            <wp:positionH relativeFrom="margin">
              <wp:posOffset>84455</wp:posOffset>
            </wp:positionH>
            <wp:positionV relativeFrom="paragraph">
              <wp:posOffset>0</wp:posOffset>
            </wp:positionV>
            <wp:extent cx="2486025" cy="1810385"/>
            <wp:effectExtent l="0" t="0" r="952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Pr="005670EE">
        <w:rPr>
          <w:rFonts w:ascii="Arial" w:hAnsi="Arial" w:cs="Arial"/>
          <w:sz w:val="20"/>
          <w:szCs w:val="20"/>
        </w:rPr>
        <w:t xml:space="preserve">               (A)                                                                         </w:t>
      </w:r>
      <w:proofErr w:type="gramStart"/>
      <w:r w:rsidRPr="005670EE">
        <w:rPr>
          <w:rFonts w:ascii="Arial" w:hAnsi="Arial" w:cs="Arial"/>
          <w:sz w:val="20"/>
          <w:szCs w:val="20"/>
        </w:rPr>
        <w:t xml:space="preserve">   (</w:t>
      </w:r>
      <w:proofErr w:type="gramEnd"/>
      <w:r w:rsidRPr="005670EE">
        <w:rPr>
          <w:rFonts w:ascii="Arial" w:hAnsi="Arial" w:cs="Arial"/>
          <w:sz w:val="20"/>
          <w:szCs w:val="20"/>
        </w:rPr>
        <w:t>B)</w:t>
      </w:r>
    </w:p>
    <w:p w14:paraId="0E36596D" w14:textId="2EEAC702" w:rsidR="00097FB2" w:rsidRPr="00B80BAD" w:rsidRDefault="00BE5A61" w:rsidP="00E514F2">
      <w:pPr>
        <w:spacing w:before="120" w:after="120" w:line="360" w:lineRule="auto"/>
        <w:ind w:left="900" w:hanging="900"/>
        <w:jc w:val="both"/>
        <w:rPr>
          <w:rFonts w:ascii="Arial" w:hAnsi="Arial" w:cs="Arial"/>
          <w:b/>
          <w:bCs/>
        </w:rPr>
      </w:pPr>
      <w:r w:rsidRPr="008A7961">
        <w:rPr>
          <w:rFonts w:ascii="Arial" w:hAnsi="Arial" w:cs="Arial"/>
          <w:b/>
          <w:bCs/>
        </w:rPr>
        <w:t xml:space="preserve">Figure </w:t>
      </w:r>
      <w:r w:rsidR="00616B1E">
        <w:rPr>
          <w:rFonts w:ascii="Arial" w:hAnsi="Arial" w:cs="Arial"/>
          <w:b/>
          <w:bCs/>
        </w:rPr>
        <w:t>5</w:t>
      </w:r>
      <w:r w:rsidRPr="008A7961">
        <w:rPr>
          <w:rFonts w:ascii="Arial" w:hAnsi="Arial" w:cs="Arial"/>
          <w:b/>
          <w:bCs/>
        </w:rPr>
        <w:t>. Mean values of crop growth rate as affected by different foliar gibberellic acid application during post-monsoon season, (A) 2023-24 and (B) 2024-25</w:t>
      </w:r>
    </w:p>
    <w:p w14:paraId="7FF27752" w14:textId="77777777" w:rsidR="00BE5A61" w:rsidRPr="000677BE" w:rsidRDefault="00BE5A61" w:rsidP="00BE5A61">
      <w:pPr>
        <w:spacing w:before="120" w:after="120" w:line="360" w:lineRule="auto"/>
        <w:jc w:val="both"/>
        <w:rPr>
          <w:rFonts w:ascii="Arial" w:hAnsi="Arial" w:cs="Arial"/>
          <w:b/>
          <w:bCs/>
          <w:sz w:val="22"/>
          <w:szCs w:val="22"/>
        </w:rPr>
      </w:pPr>
      <w:r w:rsidRPr="000677BE">
        <w:rPr>
          <w:rFonts w:ascii="Arial" w:hAnsi="Arial" w:cs="Arial"/>
          <w:b/>
          <w:bCs/>
          <w:sz w:val="22"/>
          <w:szCs w:val="22"/>
        </w:rPr>
        <w:lastRenderedPageBreak/>
        <w:t>3.6 Yield and Yield Components</w:t>
      </w:r>
    </w:p>
    <w:p w14:paraId="13D8867E" w14:textId="1A36B208" w:rsidR="00BE5A61" w:rsidRDefault="00BE5A61" w:rsidP="00BE5A61">
      <w:pPr>
        <w:spacing w:before="120" w:after="120" w:line="360" w:lineRule="auto"/>
        <w:ind w:firstLine="720"/>
        <w:jc w:val="both"/>
        <w:rPr>
          <w:rFonts w:ascii="Arial" w:hAnsi="Arial" w:cs="Arial"/>
        </w:rPr>
      </w:pPr>
      <w:r w:rsidRPr="00D61F92">
        <w:rPr>
          <w:rFonts w:ascii="Arial" w:hAnsi="Arial" w:cs="Arial"/>
        </w:rPr>
        <w:t>Foliar application of GA</w:t>
      </w:r>
      <w:r w:rsidRPr="009C1227">
        <w:rPr>
          <w:rFonts w:ascii="Arial" w:hAnsi="Arial" w:cs="Arial"/>
          <w:vertAlign w:val="subscript"/>
        </w:rPr>
        <w:t>3</w:t>
      </w:r>
      <w:r w:rsidRPr="00D61F92">
        <w:rPr>
          <w:rFonts w:ascii="Arial" w:hAnsi="Arial" w:cs="Arial"/>
        </w:rPr>
        <w:t xml:space="preserve"> significantly improved several yield components including number of branches per plant, number of pods per plant, pod length, number of seeds per pod, shelling percentage</w:t>
      </w:r>
      <w:r>
        <w:rPr>
          <w:rFonts w:ascii="Arial" w:hAnsi="Arial" w:cs="Arial"/>
        </w:rPr>
        <w:t xml:space="preserve"> and </w:t>
      </w:r>
      <w:r w:rsidRPr="00D61F92">
        <w:rPr>
          <w:rFonts w:ascii="Arial" w:hAnsi="Arial" w:cs="Arial"/>
        </w:rPr>
        <w:t>harvest index</w:t>
      </w:r>
      <w:r>
        <w:rPr>
          <w:rFonts w:ascii="Arial" w:hAnsi="Arial" w:cs="Arial"/>
        </w:rPr>
        <w:t xml:space="preserve">. </w:t>
      </w:r>
      <w:r w:rsidRPr="00D61F92">
        <w:rPr>
          <w:rFonts w:ascii="Arial" w:hAnsi="Arial" w:cs="Arial"/>
        </w:rPr>
        <w:t>Treatment T</w:t>
      </w:r>
      <w:r w:rsidRPr="009C1227">
        <w:rPr>
          <w:rFonts w:ascii="Arial" w:hAnsi="Arial" w:cs="Arial"/>
          <w:vertAlign w:val="subscript"/>
        </w:rPr>
        <w:t>9</w:t>
      </w:r>
      <w:r w:rsidRPr="00D61F92">
        <w:rPr>
          <w:rFonts w:ascii="Arial" w:hAnsi="Arial" w:cs="Arial"/>
        </w:rPr>
        <w:t xml:space="preserve"> (100 ppm GA</w:t>
      </w:r>
      <w:r w:rsidRPr="000B24EB">
        <w:rPr>
          <w:rFonts w:ascii="Arial" w:hAnsi="Arial" w:cs="Arial"/>
          <w:vertAlign w:val="subscript"/>
        </w:rPr>
        <w:t>3</w:t>
      </w:r>
      <w:r w:rsidRPr="00D61F92">
        <w:rPr>
          <w:rFonts w:ascii="Arial" w:hAnsi="Arial" w:cs="Arial"/>
        </w:rPr>
        <w:t xml:space="preserve"> applied at both 20 and 40 DAS) consistently outperformed other treatments in both seasons (Tables </w:t>
      </w:r>
      <w:r w:rsidR="00AE2E48">
        <w:rPr>
          <w:rFonts w:ascii="Arial" w:hAnsi="Arial" w:cs="Arial"/>
        </w:rPr>
        <w:t>3</w:t>
      </w:r>
      <w:r w:rsidRPr="00D61F92">
        <w:rPr>
          <w:rFonts w:ascii="Arial" w:hAnsi="Arial" w:cs="Arial"/>
        </w:rPr>
        <w:t xml:space="preserve"> and </w:t>
      </w:r>
      <w:r w:rsidR="00AE2E48">
        <w:rPr>
          <w:rFonts w:ascii="Arial" w:hAnsi="Arial" w:cs="Arial"/>
        </w:rPr>
        <w:t>4</w:t>
      </w:r>
      <w:r w:rsidRPr="00D61F92">
        <w:rPr>
          <w:rFonts w:ascii="Arial" w:hAnsi="Arial" w:cs="Arial"/>
        </w:rPr>
        <w:t>).</w:t>
      </w:r>
      <w:r>
        <w:rPr>
          <w:rFonts w:ascii="Arial" w:hAnsi="Arial" w:cs="Arial"/>
        </w:rPr>
        <w:t xml:space="preserve"> </w:t>
      </w:r>
      <w:r w:rsidRPr="00D61F92">
        <w:rPr>
          <w:rFonts w:ascii="Arial" w:hAnsi="Arial" w:cs="Arial"/>
        </w:rPr>
        <w:t>The increase in pod number per plant could be linked to enhanced flowering and fruit set facilitated by GA</w:t>
      </w:r>
      <w:r w:rsidRPr="000B24EB">
        <w:rPr>
          <w:rFonts w:ascii="Arial" w:hAnsi="Arial" w:cs="Arial"/>
          <w:vertAlign w:val="subscript"/>
        </w:rPr>
        <w:t>3</w:t>
      </w:r>
      <w:r w:rsidRPr="00D61F92">
        <w:rPr>
          <w:rFonts w:ascii="Arial" w:hAnsi="Arial" w:cs="Arial"/>
        </w:rPr>
        <w:t xml:space="preserve">-induced hormonal regulation </w:t>
      </w:r>
      <w:r>
        <w:rPr>
          <w:rFonts w:ascii="Arial" w:hAnsi="Arial" w:cs="Arial"/>
        </w:rPr>
        <w:fldChar w:fldCharType="begin" w:fldLock="1"/>
      </w:r>
      <w:r>
        <w:rPr>
          <w:rFonts w:ascii="Arial" w:hAnsi="Arial" w:cs="Arial"/>
        </w:rPr>
        <w:instrText>ADDIN CSL_CITATION {"citationItems":[{"id":"ITEM-1","itemData":{"author":[{"dropping-particle":"","family":"Ilias","given":"I.","non-dropping-particle":"","parse-names":false,"suffix":""},{"dropping-particle":"","family":"Ouzounidou","given":"G.","non-dropping-particle":"","parse-names":false,"suffix":""},{"dropping-particle":"","family":"Giannakoula","given":"A.","non-dropping-particle":"","parse-names":false,"suffix":""},{"dropping-particle":"","family":"Papadopoulou","given":"P.","non-dropping-particle":"","parse-names":false,"suffix":""}],"id":"ITEM-1","issue":"51","issued":{"date-parts":[["2007"]]},"page":"575-578","title":"Effects of gibberellic acid and prohexadione-calcium on growth, chlorophyll fluorescence and quality of okra plant. Biologia Plantarum,, .","type":"article-journal"},"uris":["http://www.mendeley.com/documents/?uuid=c367c1df-848c-49ac-a778-687b0629756a"]}],"mendeley":{"formattedCitation":"(Ilias et al., 2007)","plainTextFormattedCitation":"(Ilias et al., 2007)","previouslyFormattedCitation":"(Ilias et al., 2007)"},"properties":{"noteIndex":0},"schema":"https://github.com/citation-style-language/schema/raw/master/csl-citation.json"}</w:instrText>
      </w:r>
      <w:r>
        <w:rPr>
          <w:rFonts w:ascii="Arial" w:hAnsi="Arial" w:cs="Arial"/>
        </w:rPr>
        <w:fldChar w:fldCharType="separate"/>
      </w:r>
      <w:r w:rsidRPr="00AE4CC3">
        <w:rPr>
          <w:rFonts w:ascii="Arial" w:hAnsi="Arial" w:cs="Arial"/>
          <w:noProof/>
        </w:rPr>
        <w:t>(Ilias et al., 2007)</w:t>
      </w:r>
      <w:r>
        <w:rPr>
          <w:rFonts w:ascii="Arial" w:hAnsi="Arial" w:cs="Arial"/>
        </w:rPr>
        <w:fldChar w:fldCharType="end"/>
      </w:r>
      <w:r w:rsidRPr="00B57D24">
        <w:rPr>
          <w:rFonts w:ascii="Arial" w:hAnsi="Arial" w:cs="Arial"/>
        </w:rPr>
        <w:t>.</w:t>
      </w:r>
      <w:r w:rsidRPr="00D61F92">
        <w:rPr>
          <w:rFonts w:ascii="Arial" w:hAnsi="Arial" w:cs="Arial"/>
        </w:rPr>
        <w:t xml:space="preserve"> Similarly, pod length and seed count per pod were positively influenced by GA</w:t>
      </w:r>
      <w:r w:rsidRPr="000B24EB">
        <w:rPr>
          <w:rFonts w:ascii="Arial" w:hAnsi="Arial" w:cs="Arial"/>
          <w:vertAlign w:val="subscript"/>
        </w:rPr>
        <w:t>3</w:t>
      </w:r>
      <w:r w:rsidRPr="00D61F92">
        <w:rPr>
          <w:rFonts w:ascii="Arial" w:hAnsi="Arial" w:cs="Arial"/>
        </w:rPr>
        <w:t xml:space="preserve">, likely due to enhanced xylem and phloem development, facilitating better nutrient supply to developing seeds </w:t>
      </w:r>
      <w:r>
        <w:rPr>
          <w:rFonts w:ascii="Arial" w:hAnsi="Arial" w:cs="Arial"/>
        </w:rPr>
        <w:fldChar w:fldCharType="begin" w:fldLock="1"/>
      </w:r>
      <w:r>
        <w:rPr>
          <w:rFonts w:ascii="Arial" w:hAnsi="Arial" w:cs="Arial"/>
        </w:rPr>
        <w:instrText>ADDIN CSL_CITATION {"citationItems":[{"id":"ITEM-1","itemData":{"author":[{"dropping-particle":"","family":"Agawane","given":"R. B.","non-dropping-particle":"","parse-names":false,"suffix":""},{"dropping-particle":"","family":"Parhe","given":"S. D.","non-dropping-particle":"","parse-names":false,"suffix":""}],"id":"ITEM-1","issue":"10","issued":{"date-parts":[["2015"]]},"page":"265-270","title":"Effect of seed priming on crop growth and seed yield of soybean [Glycine max (L.)","type":"article-journal","volume":"1"},"uris":["http://www.mendeley.com/documents/?uuid=2d637846-7395-46cb-a196-30f76fe59d31"]}],"mendeley":{"formattedCitation":"(Agawane &amp; Parhe, 2015)","plainTextFormattedCitation":"(Agawane &amp; Parhe, 2015)","previouslyFormattedCitation":"(Agawane &amp; Parhe, 2015)"},"properties":{"noteIndex":0},"schema":"https://github.com/citation-style-language/schema/raw/master/csl-citation.json"}</w:instrText>
      </w:r>
      <w:r>
        <w:rPr>
          <w:rFonts w:ascii="Arial" w:hAnsi="Arial" w:cs="Arial"/>
        </w:rPr>
        <w:fldChar w:fldCharType="separate"/>
      </w:r>
      <w:r w:rsidRPr="00D8382E">
        <w:rPr>
          <w:rFonts w:ascii="Arial" w:hAnsi="Arial" w:cs="Arial"/>
          <w:noProof/>
        </w:rPr>
        <w:t>(Agawane &amp; Parhe,</w:t>
      </w:r>
      <w:r w:rsidR="00B60609">
        <w:rPr>
          <w:rFonts w:ascii="Arial" w:hAnsi="Arial" w:cs="Arial"/>
          <w:noProof/>
        </w:rPr>
        <w:t xml:space="preserve"> </w:t>
      </w:r>
      <w:r w:rsidRPr="00D8382E">
        <w:rPr>
          <w:rFonts w:ascii="Arial" w:hAnsi="Arial" w:cs="Arial"/>
          <w:noProof/>
        </w:rPr>
        <w:t>2015)</w:t>
      </w:r>
      <w:r>
        <w:rPr>
          <w:rFonts w:ascii="Arial" w:hAnsi="Arial" w:cs="Arial"/>
        </w:rPr>
        <w:fldChar w:fldCharType="end"/>
      </w:r>
      <w:r w:rsidRPr="00D61F92">
        <w:rPr>
          <w:rFonts w:ascii="Arial" w:hAnsi="Arial" w:cs="Arial"/>
        </w:rPr>
        <w:t>.</w:t>
      </w:r>
      <w:r>
        <w:rPr>
          <w:rFonts w:ascii="Arial" w:hAnsi="Arial" w:cs="Arial"/>
        </w:rPr>
        <w:t xml:space="preserve"> </w:t>
      </w:r>
      <w:r w:rsidRPr="00D61F92">
        <w:rPr>
          <w:rFonts w:ascii="Arial" w:hAnsi="Arial" w:cs="Arial"/>
        </w:rPr>
        <w:t>Harvest index (HI) was also significantly improved by GA</w:t>
      </w:r>
      <w:r w:rsidRPr="000B24EB">
        <w:rPr>
          <w:rFonts w:ascii="Arial" w:hAnsi="Arial" w:cs="Arial"/>
          <w:vertAlign w:val="subscript"/>
        </w:rPr>
        <w:t>3</w:t>
      </w:r>
      <w:r w:rsidRPr="00D61F92">
        <w:rPr>
          <w:rFonts w:ascii="Arial" w:hAnsi="Arial" w:cs="Arial"/>
        </w:rPr>
        <w:t xml:space="preserve"> application</w:t>
      </w:r>
      <w:r>
        <w:rPr>
          <w:rFonts w:ascii="Arial" w:hAnsi="Arial" w:cs="Arial"/>
        </w:rPr>
        <w:t xml:space="preserve"> treatments compared with control</w:t>
      </w:r>
      <w:r w:rsidRPr="00D61F92">
        <w:rPr>
          <w:rFonts w:ascii="Arial" w:hAnsi="Arial" w:cs="Arial"/>
        </w:rPr>
        <w:t>, with T</w:t>
      </w:r>
      <w:r w:rsidRPr="000B24EB">
        <w:rPr>
          <w:rFonts w:ascii="Arial" w:hAnsi="Arial" w:cs="Arial"/>
          <w:vertAlign w:val="subscript"/>
        </w:rPr>
        <w:t>9</w:t>
      </w:r>
      <w:r w:rsidRPr="00D61F92">
        <w:rPr>
          <w:rFonts w:ascii="Arial" w:hAnsi="Arial" w:cs="Arial"/>
        </w:rPr>
        <w:t xml:space="preserve"> achieving the highest HI (0.38 and 0.42 in the two seasons). Improved HI indicates better partitioning of assimilates toward reproductive structures, likely due to enhanced sink strength and source-sink coordination </w:t>
      </w:r>
      <w:r w:rsidRPr="00550B1D">
        <w:rPr>
          <w:rFonts w:ascii="Arial" w:hAnsi="Arial" w:cs="Arial"/>
        </w:rPr>
        <w:fldChar w:fldCharType="begin" w:fldLock="1"/>
      </w:r>
      <w:r w:rsidR="00995668">
        <w:rPr>
          <w:rFonts w:ascii="Arial" w:hAnsi="Arial" w:cs="Arial"/>
        </w:rPr>
        <w:instrText xml:space="preserve">ADDIN CSL_CITATION {"citationItems":[{"id":"ITEM-1","itemData":{"ISSN":"1228-1230","abstract":"An experiment was conducted during Zaid season of 2020 at Crop Research Farm, Department of Agronomy, SHUATS, Prayagraj (UP) to study the \"effect of plant growth regulators on growth and yield of Zaid Mung bean (Vigna radiata L.)\". The experiment was laid out in Randomized Block Design with ten treatments of plant growth regulators of Salicylic acid (100&amp;150ppm), GA3 (50&amp;100ppm), NAA (10&amp;20ppm) and Chlormequat chloride (146&amp;337ppm) foliar spray at 25 and 35 DAS and replicated thrice. Among the different treatments, treatment 4 (GA3 100ppm Foliar spray at 35 DAS) has recorded maximum plant height (47.47 cm), more number of branches per plant (4.63), more number of nodules per plant (12.85) and maximum plant dry weight (6.24 g/plant) and significantly highest number of pods per plant (33.29), number of seeds per pod (9.34), maximum seed yield (1289 kg/ha) and stover yield (2894 kg/ha) was obtained. Highest gross returns (97623 </w:instrText>
      </w:r>
      <w:r w:rsidR="00995668">
        <w:rPr>
          <w:rFonts w:ascii="Cambria Math" w:hAnsi="Cambria Math" w:cs="Cambria Math"/>
        </w:rPr>
        <w:instrText>₹</w:instrText>
      </w:r>
      <w:r w:rsidR="00995668">
        <w:rPr>
          <w:rFonts w:ascii="Arial" w:hAnsi="Arial" w:cs="Arial"/>
        </w:rPr>
        <w:instrText xml:space="preserve">/ha), net returns (64668 </w:instrText>
      </w:r>
      <w:r w:rsidR="00995668">
        <w:rPr>
          <w:rFonts w:ascii="Cambria Math" w:hAnsi="Cambria Math" w:cs="Cambria Math"/>
        </w:rPr>
        <w:instrText>₹</w:instrText>
      </w:r>
      <w:r w:rsidR="00995668">
        <w:rPr>
          <w:rFonts w:ascii="Arial" w:hAnsi="Arial" w:cs="Arial"/>
        </w:rPr>
        <w:instrText>/ha) and B:C ratio (1.96) was also noted under treatment 4 (GA3 100ppm Foliar spray at 35 DAS).","author":[{"dropping-particle":"","family":"Navya","given":"PP","non-dropping-particle":"","parse-names":false,"suffix":""},{"dropping-particle":"","family":"Akhila","given":"M","non-dropping-particle":"","parse-names":false,"suffix":""},{"dropping-particle":"","family":"and","given":"J Dawson - Journal of Pharmacognosy","non-dropping-particle":"","parse-names":false,"suffix":""},{"dropping-particle":"","family":"2021","given":"undefined","non-dropping-particle":"","parse-names":false,"suffix":""}],"container-title":"Phytojournal.Com","id":"ITEM-1","issue":"2","issued":{"date-parts":[["2021"]]},"page":"1228-1230","title":"Effect of plant growth regulators on growth and yield of Zaid Mung bean (Vigna radiata L.)","type":"article-journal","volume":"10"},"uris":["http://www.mendeley.com/documents/?uuid=7a1744f6-9b44-4773-876e-8836f691c5bc"]}],"mendeley":{"formattedCitation":"(Navya et al., 2021)","plainTextFormattedCitation":"(Navya et al., 2021)","previouslyFormattedCitation":"(Navya et al., 2021)"},"properties":{"noteIndex":0},"schema":"https://github.com/citation-style-language/schema/raw/master/csl-citation.json"}</w:instrText>
      </w:r>
      <w:r w:rsidRPr="00550B1D">
        <w:rPr>
          <w:rFonts w:ascii="Arial" w:hAnsi="Arial" w:cs="Arial"/>
        </w:rPr>
        <w:fldChar w:fldCharType="separate"/>
      </w:r>
      <w:r w:rsidR="00BA0E43" w:rsidRPr="00BA0E43">
        <w:rPr>
          <w:rFonts w:ascii="Arial" w:hAnsi="Arial" w:cs="Arial"/>
          <w:noProof/>
        </w:rPr>
        <w:t>(Navya et al., 2021)</w:t>
      </w:r>
      <w:r w:rsidRPr="00550B1D">
        <w:rPr>
          <w:rFonts w:ascii="Arial" w:hAnsi="Arial" w:cs="Arial"/>
        </w:rPr>
        <w:fldChar w:fldCharType="end"/>
      </w:r>
      <w:r w:rsidRPr="00550B1D">
        <w:rPr>
          <w:rFonts w:ascii="Arial" w:hAnsi="Arial" w:cs="Arial"/>
        </w:rPr>
        <w:t>.</w:t>
      </w:r>
    </w:p>
    <w:p w14:paraId="74AC536E" w14:textId="0E696D36" w:rsidR="00BE5A61" w:rsidRDefault="00983E50" w:rsidP="00BE5A61">
      <w:pPr>
        <w:spacing w:before="120" w:after="120" w:line="360" w:lineRule="auto"/>
        <w:ind w:firstLine="720"/>
        <w:jc w:val="both"/>
        <w:rPr>
          <w:rFonts w:ascii="Arial" w:hAnsi="Arial" w:cs="Arial"/>
        </w:rPr>
      </w:pPr>
      <w:r>
        <w:rPr>
          <w:noProof/>
        </w:rPr>
        <mc:AlternateContent>
          <mc:Choice Requires="wps">
            <w:drawing>
              <wp:anchor distT="0" distB="0" distL="114300" distR="114300" simplePos="0" relativeHeight="251690496" behindDoc="0" locked="0" layoutInCell="1" allowOverlap="1" wp14:anchorId="6E1AA93D" wp14:editId="18F7BBEE">
                <wp:simplePos x="0" y="0"/>
                <wp:positionH relativeFrom="column">
                  <wp:posOffset>695325</wp:posOffset>
                </wp:positionH>
                <wp:positionV relativeFrom="paragraph">
                  <wp:posOffset>1397635</wp:posOffset>
                </wp:positionV>
                <wp:extent cx="1111885" cy="498763"/>
                <wp:effectExtent l="0" t="0" r="0" b="0"/>
                <wp:wrapNone/>
                <wp:docPr id="8" name="Text Box 8"/>
                <wp:cNvGraphicFramePr/>
                <a:graphic xmlns:a="http://schemas.openxmlformats.org/drawingml/2006/main">
                  <a:graphicData uri="http://schemas.microsoft.com/office/word/2010/wordprocessingShape">
                    <wps:wsp>
                      <wps:cNvSpPr txBox="1"/>
                      <wps:spPr>
                        <a:xfrm>
                          <a:off x="0" y="0"/>
                          <a:ext cx="1111885" cy="498763"/>
                        </a:xfrm>
                        <a:prstGeom prst="rect">
                          <a:avLst/>
                        </a:prstGeom>
                        <a:solidFill>
                          <a:sysClr val="window" lastClr="FFFFFF"/>
                        </a:solidFill>
                        <a:ln w="6350">
                          <a:noFill/>
                        </a:ln>
                      </wps:spPr>
                      <wps:txbx>
                        <w:txbxContent>
                          <w:p w14:paraId="7FD50EE7" w14:textId="77777777" w:rsidR="00150115" w:rsidRPr="009C03F8" w:rsidRDefault="00150115" w:rsidP="00BE5A61">
                            <w:pPr>
                              <w:rPr>
                                <w:rFonts w:ascii="Arial" w:hAnsi="Arial" w:cs="Arial"/>
                                <w:sz w:val="18"/>
                                <w:szCs w:val="18"/>
                              </w:rPr>
                            </w:pPr>
                            <w:proofErr w:type="spellStart"/>
                            <w:r w:rsidRPr="009C03F8">
                              <w:rPr>
                                <w:rFonts w:ascii="Arial" w:hAnsi="Arial" w:cs="Arial"/>
                                <w:sz w:val="18"/>
                                <w:szCs w:val="18"/>
                              </w:rPr>
                              <w:t>Pr</w:t>
                            </w:r>
                            <w:proofErr w:type="spellEnd"/>
                            <w:r w:rsidRPr="009C03F8">
                              <w:rPr>
                                <w:rFonts w:ascii="Arial" w:hAnsi="Arial" w:cs="Arial"/>
                                <w:sz w:val="18"/>
                                <w:szCs w:val="18"/>
                              </w:rPr>
                              <w:t xml:space="preserve">&gt;F    </w:t>
                            </w:r>
                            <w:proofErr w:type="gramStart"/>
                            <w:r w:rsidRPr="009C03F8">
                              <w:rPr>
                                <w:rFonts w:ascii="Arial" w:hAnsi="Arial" w:cs="Arial"/>
                                <w:sz w:val="18"/>
                                <w:szCs w:val="18"/>
                              </w:rPr>
                              <w:t>=  *</w:t>
                            </w:r>
                            <w:proofErr w:type="gramEnd"/>
                            <w:r w:rsidRPr="009C03F8">
                              <w:rPr>
                                <w:rFonts w:ascii="Arial" w:hAnsi="Arial" w:cs="Arial"/>
                                <w:sz w:val="18"/>
                                <w:szCs w:val="18"/>
                              </w:rPr>
                              <w:t>*    LSD</w:t>
                            </w:r>
                            <w:r w:rsidRPr="009C03F8">
                              <w:rPr>
                                <w:rFonts w:ascii="Arial" w:hAnsi="Arial" w:cs="Arial"/>
                                <w:sz w:val="18"/>
                                <w:szCs w:val="18"/>
                                <w:vertAlign w:val="subscript"/>
                              </w:rPr>
                              <w:t>0.05</w:t>
                            </w:r>
                            <w:r w:rsidRPr="009C03F8">
                              <w:rPr>
                                <w:rFonts w:ascii="Arial" w:hAnsi="Arial" w:cs="Arial"/>
                                <w:sz w:val="18"/>
                                <w:szCs w:val="18"/>
                              </w:rPr>
                              <w:t xml:space="preserve"> = </w:t>
                            </w:r>
                            <w:proofErr w:type="gramStart"/>
                            <w:r w:rsidRPr="009C03F8">
                              <w:rPr>
                                <w:rFonts w:ascii="Arial" w:hAnsi="Arial" w:cs="Arial"/>
                                <w:sz w:val="18"/>
                                <w:szCs w:val="18"/>
                              </w:rPr>
                              <w:t>149.06  CV</w:t>
                            </w:r>
                            <w:proofErr w:type="gramEnd"/>
                            <w:r w:rsidRPr="009C03F8">
                              <w:rPr>
                                <w:rFonts w:ascii="Arial" w:hAnsi="Arial" w:cs="Arial"/>
                                <w:sz w:val="18"/>
                                <w:szCs w:val="18"/>
                              </w:rPr>
                              <w:t xml:space="preserve"> (%) = 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AA93D" id="_x0000_t202" coordsize="21600,21600" o:spt="202" path="m,l,21600r21600,l21600,xe">
                <v:stroke joinstyle="miter"/>
                <v:path gradientshapeok="t" o:connecttype="rect"/>
              </v:shapetype>
              <v:shape id="Text Box 8" o:spid="_x0000_s1026" type="#_x0000_t202" style="position:absolute;left:0;text-align:left;margin-left:54.75pt;margin-top:110.05pt;width:87.55pt;height:3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" fillcolor="window" stroked="f" strokeweight=".5pt">
                <v:textbox>
                  <w:txbxContent>
                    <w:p w14:paraId="7FD50EE7" w14:textId="77777777" w:rsidR="00150115" w:rsidRPr="009C03F8" w:rsidRDefault="00150115" w:rsidP="00BE5A61">
                      <w:pPr>
                        <w:rPr>
                          <w:rFonts w:ascii="Arial" w:hAnsi="Arial" w:cs="Arial"/>
                          <w:sz w:val="18"/>
                          <w:szCs w:val="18"/>
                        </w:rPr>
                      </w:pPr>
                      <w:proofErr w:type="spellStart"/>
                      <w:r w:rsidRPr="009C03F8">
                        <w:rPr>
                          <w:rFonts w:ascii="Arial" w:hAnsi="Arial" w:cs="Arial"/>
                          <w:sz w:val="18"/>
                          <w:szCs w:val="18"/>
                        </w:rPr>
                        <w:t>Pr</w:t>
                      </w:r>
                      <w:proofErr w:type="spellEnd"/>
                      <w:r w:rsidRPr="009C03F8">
                        <w:rPr>
                          <w:rFonts w:ascii="Arial" w:hAnsi="Arial" w:cs="Arial"/>
                          <w:sz w:val="18"/>
                          <w:szCs w:val="18"/>
                        </w:rPr>
                        <w:t xml:space="preserve">&gt;F    </w:t>
                      </w:r>
                      <w:proofErr w:type="gramStart"/>
                      <w:r w:rsidRPr="009C03F8">
                        <w:rPr>
                          <w:rFonts w:ascii="Arial" w:hAnsi="Arial" w:cs="Arial"/>
                          <w:sz w:val="18"/>
                          <w:szCs w:val="18"/>
                        </w:rPr>
                        <w:t>=  *</w:t>
                      </w:r>
                      <w:proofErr w:type="gramEnd"/>
                      <w:r w:rsidRPr="009C03F8">
                        <w:rPr>
                          <w:rFonts w:ascii="Arial" w:hAnsi="Arial" w:cs="Arial"/>
                          <w:sz w:val="18"/>
                          <w:szCs w:val="18"/>
                        </w:rPr>
                        <w:t>*    LSD</w:t>
                      </w:r>
                      <w:r w:rsidRPr="009C03F8">
                        <w:rPr>
                          <w:rFonts w:ascii="Arial" w:hAnsi="Arial" w:cs="Arial"/>
                          <w:sz w:val="18"/>
                          <w:szCs w:val="18"/>
                          <w:vertAlign w:val="subscript"/>
                        </w:rPr>
                        <w:t>0.05</w:t>
                      </w:r>
                      <w:r w:rsidRPr="009C03F8">
                        <w:rPr>
                          <w:rFonts w:ascii="Arial" w:hAnsi="Arial" w:cs="Arial"/>
                          <w:sz w:val="18"/>
                          <w:szCs w:val="18"/>
                        </w:rPr>
                        <w:t xml:space="preserve"> = 149.06  CV (%) = 6.01</w:t>
                      </w:r>
                    </w:p>
                  </w:txbxContent>
                </v:textbox>
              </v:shape>
            </w:pict>
          </mc:Fallback>
        </mc:AlternateContent>
      </w:r>
      <w:r w:rsidRPr="00FE01E0">
        <w:rPr>
          <w:rFonts w:ascii="Arial" w:hAnsi="Arial" w:cs="Arial"/>
          <w:noProof/>
        </w:rPr>
        <w:drawing>
          <wp:anchor distT="0" distB="0" distL="114300" distR="114300" simplePos="0" relativeHeight="251617792" behindDoc="0" locked="0" layoutInCell="1" allowOverlap="1" wp14:anchorId="31A40E0A" wp14:editId="1C7B4F00">
            <wp:simplePos x="0" y="0"/>
            <wp:positionH relativeFrom="column">
              <wp:posOffset>-45085</wp:posOffset>
            </wp:positionH>
            <wp:positionV relativeFrom="paragraph">
              <wp:posOffset>1378585</wp:posOffset>
            </wp:positionV>
            <wp:extent cx="2532888" cy="1810512"/>
            <wp:effectExtent l="0" t="0" r="1270" b="1841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928" behindDoc="0" locked="0" layoutInCell="1" allowOverlap="1" wp14:anchorId="0D016ABE" wp14:editId="2D39A57A">
                <wp:simplePos x="0" y="0"/>
                <wp:positionH relativeFrom="column">
                  <wp:posOffset>3187065</wp:posOffset>
                </wp:positionH>
                <wp:positionV relativeFrom="paragraph">
                  <wp:posOffset>1400175</wp:posOffset>
                </wp:positionV>
                <wp:extent cx="1123950" cy="4667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ysClr val="window" lastClr="FFFFFF"/>
                        </a:solidFill>
                        <a:ln w="6350">
                          <a:noFill/>
                        </a:ln>
                      </wps:spPr>
                      <wps:txbx>
                        <w:txbxContent>
                          <w:p w14:paraId="250DC92F" w14:textId="77777777" w:rsidR="00150115" w:rsidRPr="009C03F8" w:rsidRDefault="00150115" w:rsidP="00BE5A61">
                            <w:pPr>
                              <w:rPr>
                                <w:rFonts w:ascii="Arial" w:hAnsi="Arial" w:cs="Arial"/>
                                <w:sz w:val="18"/>
                                <w:szCs w:val="18"/>
                              </w:rPr>
                            </w:pPr>
                            <w:proofErr w:type="spellStart"/>
                            <w:r w:rsidRPr="009C03F8">
                              <w:rPr>
                                <w:rFonts w:ascii="Arial" w:hAnsi="Arial" w:cs="Arial"/>
                                <w:sz w:val="18"/>
                                <w:szCs w:val="18"/>
                              </w:rPr>
                              <w:t>Pr</w:t>
                            </w:r>
                            <w:proofErr w:type="spellEnd"/>
                            <w:r w:rsidRPr="009C03F8">
                              <w:rPr>
                                <w:rFonts w:ascii="Arial" w:hAnsi="Arial" w:cs="Arial"/>
                                <w:sz w:val="18"/>
                                <w:szCs w:val="18"/>
                              </w:rPr>
                              <w:t xml:space="preserve">&gt;F    </w:t>
                            </w:r>
                            <w:proofErr w:type="gramStart"/>
                            <w:r w:rsidRPr="009C03F8">
                              <w:rPr>
                                <w:rFonts w:ascii="Arial" w:hAnsi="Arial" w:cs="Arial"/>
                                <w:sz w:val="18"/>
                                <w:szCs w:val="18"/>
                              </w:rPr>
                              <w:t>=  *</w:t>
                            </w:r>
                            <w:proofErr w:type="gramEnd"/>
                            <w:r w:rsidRPr="009C03F8">
                              <w:rPr>
                                <w:rFonts w:ascii="Arial" w:hAnsi="Arial" w:cs="Arial"/>
                                <w:sz w:val="18"/>
                                <w:szCs w:val="18"/>
                              </w:rPr>
                              <w:t>*</w:t>
                            </w:r>
                          </w:p>
                          <w:p w14:paraId="1CEBDF6D" w14:textId="77777777" w:rsidR="00150115" w:rsidRPr="009C03F8" w:rsidRDefault="00150115" w:rsidP="00BE5A61">
                            <w:pPr>
                              <w:rPr>
                                <w:rFonts w:ascii="Arial" w:hAnsi="Arial" w:cs="Arial"/>
                                <w:sz w:val="18"/>
                                <w:szCs w:val="18"/>
                              </w:rPr>
                            </w:pPr>
                            <w:r w:rsidRPr="009C03F8">
                              <w:rPr>
                                <w:rFonts w:ascii="Arial" w:hAnsi="Arial" w:cs="Arial"/>
                                <w:sz w:val="18"/>
                                <w:szCs w:val="18"/>
                              </w:rPr>
                              <w:t>LSD</w:t>
                            </w:r>
                            <w:r w:rsidRPr="009C03F8">
                              <w:rPr>
                                <w:rFonts w:ascii="Arial" w:hAnsi="Arial" w:cs="Arial"/>
                                <w:sz w:val="18"/>
                                <w:szCs w:val="18"/>
                                <w:vertAlign w:val="subscript"/>
                              </w:rPr>
                              <w:t>0.05</w:t>
                            </w:r>
                            <w:r w:rsidRPr="009C03F8">
                              <w:rPr>
                                <w:rFonts w:ascii="Arial" w:hAnsi="Arial" w:cs="Arial"/>
                                <w:sz w:val="18"/>
                                <w:szCs w:val="18"/>
                              </w:rPr>
                              <w:t xml:space="preserve"> = 222.48 CV (%) = 10.33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6ABE" id="Text Box 9" o:spid="_x0000_s1027" type="#_x0000_t202" style="position:absolute;left:0;text-align:left;margin-left:250.95pt;margin-top:110.25pt;width:88.5pt;height:3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" fillcolor="window" stroked="f" strokeweight=".5pt">
                <v:textbox>
                  <w:txbxContent>
                    <w:p w14:paraId="250DC92F" w14:textId="77777777" w:rsidR="00150115" w:rsidRPr="009C03F8" w:rsidRDefault="00150115" w:rsidP="00BE5A61">
                      <w:pPr>
                        <w:rPr>
                          <w:rFonts w:ascii="Arial" w:hAnsi="Arial" w:cs="Arial"/>
                          <w:sz w:val="18"/>
                          <w:szCs w:val="18"/>
                        </w:rPr>
                      </w:pPr>
                      <w:proofErr w:type="spellStart"/>
                      <w:r w:rsidRPr="009C03F8">
                        <w:rPr>
                          <w:rFonts w:ascii="Arial" w:hAnsi="Arial" w:cs="Arial"/>
                          <w:sz w:val="18"/>
                          <w:szCs w:val="18"/>
                        </w:rPr>
                        <w:t>Pr</w:t>
                      </w:r>
                      <w:proofErr w:type="spellEnd"/>
                      <w:r w:rsidRPr="009C03F8">
                        <w:rPr>
                          <w:rFonts w:ascii="Arial" w:hAnsi="Arial" w:cs="Arial"/>
                          <w:sz w:val="18"/>
                          <w:szCs w:val="18"/>
                        </w:rPr>
                        <w:t xml:space="preserve">&gt;F    </w:t>
                      </w:r>
                      <w:proofErr w:type="gramStart"/>
                      <w:r w:rsidRPr="009C03F8">
                        <w:rPr>
                          <w:rFonts w:ascii="Arial" w:hAnsi="Arial" w:cs="Arial"/>
                          <w:sz w:val="18"/>
                          <w:szCs w:val="18"/>
                        </w:rPr>
                        <w:t>=  *</w:t>
                      </w:r>
                      <w:proofErr w:type="gramEnd"/>
                      <w:r w:rsidRPr="009C03F8">
                        <w:rPr>
                          <w:rFonts w:ascii="Arial" w:hAnsi="Arial" w:cs="Arial"/>
                          <w:sz w:val="18"/>
                          <w:szCs w:val="18"/>
                        </w:rPr>
                        <w:t>*</w:t>
                      </w:r>
                    </w:p>
                    <w:p w14:paraId="1CEBDF6D" w14:textId="77777777" w:rsidR="00150115" w:rsidRPr="009C03F8" w:rsidRDefault="00150115" w:rsidP="00BE5A61">
                      <w:pPr>
                        <w:rPr>
                          <w:rFonts w:ascii="Arial" w:hAnsi="Arial" w:cs="Arial"/>
                          <w:sz w:val="18"/>
                          <w:szCs w:val="18"/>
                        </w:rPr>
                      </w:pPr>
                      <w:r w:rsidRPr="009C03F8">
                        <w:rPr>
                          <w:rFonts w:ascii="Arial" w:hAnsi="Arial" w:cs="Arial"/>
                          <w:sz w:val="18"/>
                          <w:szCs w:val="18"/>
                        </w:rPr>
                        <w:t>LSD</w:t>
                      </w:r>
                      <w:r w:rsidRPr="009C03F8">
                        <w:rPr>
                          <w:rFonts w:ascii="Arial" w:hAnsi="Arial" w:cs="Arial"/>
                          <w:sz w:val="18"/>
                          <w:szCs w:val="18"/>
                          <w:vertAlign w:val="subscript"/>
                        </w:rPr>
                        <w:t>0.05</w:t>
                      </w:r>
                      <w:r w:rsidRPr="009C03F8">
                        <w:rPr>
                          <w:rFonts w:ascii="Arial" w:hAnsi="Arial" w:cs="Arial"/>
                          <w:sz w:val="18"/>
                          <w:szCs w:val="18"/>
                        </w:rPr>
                        <w:t xml:space="preserve"> = 222.48 CV (%) = 10.33</w:t>
                      </w:r>
                    </w:p>
                  </w:txbxContent>
                </v:textbox>
              </v:shape>
            </w:pict>
          </mc:Fallback>
        </mc:AlternateContent>
      </w:r>
      <w:r w:rsidRPr="00F53B02">
        <w:rPr>
          <w:noProof/>
        </w:rPr>
        <w:drawing>
          <wp:anchor distT="0" distB="0" distL="114300" distR="114300" simplePos="0" relativeHeight="251644416" behindDoc="0" locked="0" layoutInCell="1" allowOverlap="1" wp14:anchorId="6FDBF873" wp14:editId="47F77F11">
            <wp:simplePos x="0" y="0"/>
            <wp:positionH relativeFrom="column">
              <wp:posOffset>2568575</wp:posOffset>
            </wp:positionH>
            <wp:positionV relativeFrom="paragraph">
              <wp:posOffset>1388110</wp:posOffset>
            </wp:positionV>
            <wp:extent cx="2532888" cy="1810512"/>
            <wp:effectExtent l="0" t="0" r="1270" b="1841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D56C35" w:rsidRPr="00D56C35">
        <w:rPr>
          <w:rFonts w:ascii="Arial" w:hAnsi="Arial" w:cs="Arial"/>
        </w:rPr>
        <w:t xml:space="preserve"> </w:t>
      </w:r>
      <w:r w:rsidR="00D56C35">
        <w:rPr>
          <w:rFonts w:ascii="Arial" w:hAnsi="Arial" w:cs="Arial"/>
        </w:rPr>
        <w:t>The maximum seed yield was observed from</w:t>
      </w:r>
      <w:r w:rsidR="00D56C35" w:rsidRPr="00D61F92">
        <w:rPr>
          <w:rFonts w:ascii="Arial" w:hAnsi="Arial" w:cs="Arial"/>
        </w:rPr>
        <w:t xml:space="preserve"> treatment T</w:t>
      </w:r>
      <w:r w:rsidR="00D56C35" w:rsidRPr="000B24EB">
        <w:rPr>
          <w:rFonts w:ascii="Arial" w:hAnsi="Arial" w:cs="Arial"/>
          <w:vertAlign w:val="subscript"/>
        </w:rPr>
        <w:t>9</w:t>
      </w:r>
      <w:r w:rsidR="00D56C35" w:rsidRPr="00D61F92">
        <w:rPr>
          <w:rFonts w:ascii="Arial" w:hAnsi="Arial" w:cs="Arial"/>
        </w:rPr>
        <w:t xml:space="preserve">, </w:t>
      </w:r>
      <w:r w:rsidR="00D56C35">
        <w:rPr>
          <w:rFonts w:ascii="Arial" w:hAnsi="Arial" w:cs="Arial"/>
        </w:rPr>
        <w:t xml:space="preserve">with seed </w:t>
      </w:r>
      <w:r w:rsidR="00D56C35" w:rsidRPr="00D61F92">
        <w:rPr>
          <w:rFonts w:ascii="Arial" w:hAnsi="Arial" w:cs="Arial"/>
        </w:rPr>
        <w:t>yield</w:t>
      </w:r>
      <w:r w:rsidR="00D56C35">
        <w:rPr>
          <w:rFonts w:ascii="Arial" w:hAnsi="Arial" w:cs="Arial"/>
        </w:rPr>
        <w:t>s of</w:t>
      </w:r>
      <w:r w:rsidR="00D56C35" w:rsidRPr="00D61F92">
        <w:rPr>
          <w:rFonts w:ascii="Arial" w:hAnsi="Arial" w:cs="Arial"/>
        </w:rPr>
        <w:t xml:space="preserve"> 1927.9 kg ha</w:t>
      </w:r>
      <w:r w:rsidR="00D56C35" w:rsidRPr="006959A2">
        <w:rPr>
          <w:rFonts w:ascii="Arial" w:hAnsi="Arial" w:cs="Arial"/>
          <w:vertAlign w:val="superscript"/>
        </w:rPr>
        <w:t>-1</w:t>
      </w:r>
      <w:r w:rsidR="00D56C35" w:rsidRPr="00D61F92">
        <w:rPr>
          <w:rFonts w:ascii="Arial" w:hAnsi="Arial" w:cs="Arial"/>
        </w:rPr>
        <w:t xml:space="preserve"> in 2023</w:t>
      </w:r>
      <w:r w:rsidR="00D56C35">
        <w:rPr>
          <w:rFonts w:ascii="Arial" w:hAnsi="Arial" w:cs="Arial"/>
        </w:rPr>
        <w:t>-</w:t>
      </w:r>
      <w:r w:rsidR="00D56C35" w:rsidRPr="00D61F92">
        <w:rPr>
          <w:rFonts w:ascii="Arial" w:hAnsi="Arial" w:cs="Arial"/>
        </w:rPr>
        <w:t>24 and 1554.7 kg ha</w:t>
      </w:r>
      <w:r w:rsidR="00D56C35" w:rsidRPr="006959A2">
        <w:rPr>
          <w:rFonts w:ascii="Arial" w:hAnsi="Arial" w:cs="Arial"/>
          <w:vertAlign w:val="superscript"/>
        </w:rPr>
        <w:t>-1</w:t>
      </w:r>
      <w:r w:rsidR="00D56C35" w:rsidRPr="00D61F92">
        <w:rPr>
          <w:rFonts w:ascii="Arial" w:hAnsi="Arial" w:cs="Arial"/>
        </w:rPr>
        <w:t xml:space="preserve"> in 2024</w:t>
      </w:r>
      <w:r w:rsidR="00D56C35">
        <w:rPr>
          <w:rFonts w:ascii="Arial" w:hAnsi="Arial" w:cs="Arial"/>
        </w:rPr>
        <w:t>-</w:t>
      </w:r>
      <w:r w:rsidR="00D56C35" w:rsidRPr="00D61F92">
        <w:rPr>
          <w:rFonts w:ascii="Arial" w:hAnsi="Arial" w:cs="Arial"/>
        </w:rPr>
        <w:t>25,</w:t>
      </w:r>
      <w:r w:rsidR="00D56C35">
        <w:rPr>
          <w:rFonts w:ascii="Arial" w:hAnsi="Arial" w:cs="Arial"/>
        </w:rPr>
        <w:t xml:space="preserve"> which</w:t>
      </w:r>
      <w:r w:rsidR="00D56C35" w:rsidRPr="00D61F92">
        <w:rPr>
          <w:rFonts w:ascii="Arial" w:hAnsi="Arial" w:cs="Arial"/>
        </w:rPr>
        <w:t xml:space="preserve"> represent</w:t>
      </w:r>
      <w:r w:rsidR="00D56C35">
        <w:rPr>
          <w:rFonts w:ascii="Arial" w:hAnsi="Arial" w:cs="Arial"/>
        </w:rPr>
        <w:t>ed</w:t>
      </w:r>
      <w:r w:rsidR="00D56C35" w:rsidRPr="00D61F92">
        <w:rPr>
          <w:rFonts w:ascii="Arial" w:hAnsi="Arial" w:cs="Arial"/>
        </w:rPr>
        <w:t xml:space="preserve"> significant improvements </w:t>
      </w:r>
      <w:r w:rsidR="00D56C35">
        <w:rPr>
          <w:rFonts w:ascii="Arial" w:hAnsi="Arial" w:cs="Arial"/>
        </w:rPr>
        <w:t>compared to</w:t>
      </w:r>
      <w:r w:rsidR="00D56C35" w:rsidRPr="00D61F92">
        <w:rPr>
          <w:rFonts w:ascii="Arial" w:hAnsi="Arial" w:cs="Arial"/>
        </w:rPr>
        <w:t xml:space="preserve"> </w:t>
      </w:r>
      <w:r w:rsidR="00D56C35">
        <w:rPr>
          <w:rFonts w:ascii="Arial" w:hAnsi="Arial" w:cs="Arial"/>
        </w:rPr>
        <w:t xml:space="preserve">other treatments (Fig. </w:t>
      </w:r>
      <w:r w:rsidR="00616B1E">
        <w:rPr>
          <w:rFonts w:ascii="Arial" w:hAnsi="Arial" w:cs="Arial"/>
        </w:rPr>
        <w:t>6</w:t>
      </w:r>
      <w:r w:rsidR="00D56C35">
        <w:rPr>
          <w:rFonts w:ascii="Arial" w:hAnsi="Arial" w:cs="Arial"/>
        </w:rPr>
        <w:t xml:space="preserve">A and </w:t>
      </w:r>
      <w:r w:rsidR="00616B1E">
        <w:rPr>
          <w:rFonts w:ascii="Arial" w:hAnsi="Arial" w:cs="Arial"/>
        </w:rPr>
        <w:t>6</w:t>
      </w:r>
      <w:r w:rsidR="00D56C35">
        <w:rPr>
          <w:rFonts w:ascii="Arial" w:hAnsi="Arial" w:cs="Arial"/>
        </w:rPr>
        <w:t>B)</w:t>
      </w:r>
      <w:r w:rsidR="00D56C35" w:rsidRPr="00D61F92">
        <w:rPr>
          <w:rFonts w:ascii="Arial" w:hAnsi="Arial" w:cs="Arial"/>
        </w:rPr>
        <w:t xml:space="preserve">. These results </w:t>
      </w:r>
      <w:r w:rsidR="00D56C35">
        <w:rPr>
          <w:rFonts w:ascii="Arial" w:hAnsi="Arial" w:cs="Arial"/>
        </w:rPr>
        <w:t xml:space="preserve">are consistent with </w:t>
      </w:r>
      <w:r w:rsidR="00D56C35" w:rsidRPr="00D61F92">
        <w:rPr>
          <w:rFonts w:ascii="Arial" w:hAnsi="Arial" w:cs="Arial"/>
        </w:rPr>
        <w:t>earlier studies in soybean and</w:t>
      </w:r>
      <w:r w:rsidR="00D56C35">
        <w:rPr>
          <w:rFonts w:ascii="Arial" w:hAnsi="Arial" w:cs="Arial"/>
        </w:rPr>
        <w:t xml:space="preserve"> </w:t>
      </w:r>
      <w:proofErr w:type="spellStart"/>
      <w:r w:rsidR="00D56C35" w:rsidRPr="00D61F92">
        <w:rPr>
          <w:rFonts w:ascii="Arial" w:hAnsi="Arial" w:cs="Arial"/>
        </w:rPr>
        <w:t>mungbean</w:t>
      </w:r>
      <w:proofErr w:type="spellEnd"/>
      <w:r w:rsidR="00D56C35" w:rsidRPr="00D61F92">
        <w:rPr>
          <w:rFonts w:ascii="Arial" w:hAnsi="Arial" w:cs="Arial"/>
        </w:rPr>
        <w:t xml:space="preserve"> where</w:t>
      </w:r>
      <w:r w:rsidR="00D56C35">
        <w:rPr>
          <w:rFonts w:ascii="Arial" w:hAnsi="Arial" w:cs="Arial"/>
        </w:rPr>
        <w:t xml:space="preserve"> </w:t>
      </w:r>
      <w:r w:rsidR="00D56C35" w:rsidRPr="00D61F92">
        <w:rPr>
          <w:rFonts w:ascii="Arial" w:hAnsi="Arial" w:cs="Arial"/>
        </w:rPr>
        <w:t>GA</w:t>
      </w:r>
      <w:r w:rsidR="00D56C35" w:rsidRPr="000B24EB">
        <w:rPr>
          <w:rFonts w:ascii="Arial" w:hAnsi="Arial" w:cs="Arial"/>
          <w:vertAlign w:val="subscript"/>
        </w:rPr>
        <w:t>3</w:t>
      </w:r>
      <w:r w:rsidR="00D56C35" w:rsidRPr="00D61F92">
        <w:rPr>
          <w:rFonts w:ascii="Arial" w:hAnsi="Arial" w:cs="Arial"/>
        </w:rPr>
        <w:t xml:space="preserve"> application </w:t>
      </w:r>
      <w:r w:rsidR="00D56C35">
        <w:rPr>
          <w:rFonts w:ascii="Arial" w:hAnsi="Arial" w:cs="Arial"/>
        </w:rPr>
        <w:t>enhanc</w:t>
      </w:r>
      <w:r w:rsidR="00D56C35" w:rsidRPr="00D61F92">
        <w:rPr>
          <w:rFonts w:ascii="Arial" w:hAnsi="Arial" w:cs="Arial"/>
        </w:rPr>
        <w:t>ed yield</w:t>
      </w:r>
      <w:r w:rsidR="00D56C35">
        <w:rPr>
          <w:rFonts w:ascii="Arial" w:hAnsi="Arial" w:cs="Arial"/>
        </w:rPr>
        <w:t xml:space="preserve"> </w:t>
      </w:r>
      <w:r w:rsidR="00D56C35" w:rsidRPr="00D61F92">
        <w:rPr>
          <w:rFonts w:ascii="Arial" w:hAnsi="Arial" w:cs="Arial"/>
        </w:rPr>
        <w:t xml:space="preserve">through similar </w:t>
      </w:r>
      <w:r w:rsidR="00D56C35">
        <w:rPr>
          <w:rFonts w:ascii="Arial" w:hAnsi="Arial" w:cs="Arial"/>
        </w:rPr>
        <w:t xml:space="preserve">physiological </w:t>
      </w:r>
      <w:r w:rsidR="00D56C35" w:rsidRPr="00D61F92">
        <w:rPr>
          <w:rFonts w:ascii="Arial" w:hAnsi="Arial" w:cs="Arial"/>
        </w:rPr>
        <w:t xml:space="preserve">mechanisms </w:t>
      </w:r>
      <w:r w:rsidR="00D56C35" w:rsidRPr="00542463">
        <w:rPr>
          <w:rFonts w:ascii="Arial" w:hAnsi="Arial" w:cs="Arial"/>
        </w:rPr>
        <w:fldChar w:fldCharType="begin" w:fldLock="1"/>
      </w:r>
      <w:r w:rsidR="00D56C35">
        <w:rPr>
          <w:rFonts w:ascii="Arial" w:hAnsi="Arial" w:cs="Arial"/>
        </w:rPr>
        <w:instrText>ADDIN CSL_CITATION {"citationItems":[{"id":"ITEM-1","itemData":{"author":[{"dropping-particle":"","family":"Upadhyay","given":"R. G.","non-dropping-particle":"","parse-names":false,"suffix":""},{"dropping-particle":"","family":"Rajeev","given":"","non-dropping-particle":"","parse-names":false,"suffix":""},{"dropping-particle":"","family":"Ranjan","given":"R. R.","non-dropping-particle":"","parse-names":false,"suffix":""}],"id":"ITEM-1","issued":{"date-parts":[["2015"]]},"title":"Effect of growth hormones on morphological parameters, yield and quality of soybean (Glycine max L.) during changing scenario of climate under mid hill conditions of Uttarakhand.","type":"article-journal"},"uris":["http://www.mendeley.com/documents/?uuid=48306feb-4c00-4615-aa56-72305d0ab86e"]},{"id":"ITEM-2","itemData":{"author":[{"dropping-particle":"","family":"Tiwari","given":"V.","non-dropping-particle":"","parse-names":false,"suffix":""},{"dropping-particle":"","family":"Lal","given":"E. P.","non-dropping-particle":"","parse-names":false,"suffix":""}],"container-title":"International Journal of Chemical Studies,","id":"ITEM-2","issue":"6","issued":{"date-parts":[["2018"]]},"page":"713-717","title":"Effect of foliar application of gibberellic acid on growth, yield, physiological and biochemical characteristics of mungbean (Vigna radiata L.) under salt stress","type":"article-journal","volume":"5"},"uris":["http://www.mendeley.com/documents/?uuid=a5ed96e6-4b09-43a3-8c67-48db323a650a"]}],"mendeley":{"formattedCitation":"(Tiwari &amp; Lal, 2018; Upadhyay et al., 2015)","manualFormatting":"(Tiwari et al., 2018; Upadhyay &amp; Ranjan, 2015)","plainTextFormattedCitation":"(Tiwari &amp; Lal, 2018; Upadhyay et al., 2015)","previouslyFormattedCitation":"(Tiwari &amp; Lal, 2018; Upadhyay et al., 2015)"},"properties":{"noteIndex":0},"schema":"https://github.com/citation-style-language/schema/raw/master/csl-citation.json"}</w:instrText>
      </w:r>
      <w:r w:rsidR="00D56C35" w:rsidRPr="00542463">
        <w:rPr>
          <w:rFonts w:ascii="Arial" w:hAnsi="Arial" w:cs="Arial"/>
        </w:rPr>
        <w:fldChar w:fldCharType="separate"/>
      </w:r>
      <w:r w:rsidR="00D56C35" w:rsidRPr="00542463">
        <w:rPr>
          <w:rFonts w:ascii="Arial" w:hAnsi="Arial" w:cs="Arial"/>
          <w:noProof/>
        </w:rPr>
        <w:t>(Tiwari et al., 2018; Upadhyay &amp; Ranjan, 2015)</w:t>
      </w:r>
      <w:r w:rsidR="00D56C35" w:rsidRPr="00542463">
        <w:rPr>
          <w:rFonts w:ascii="Arial" w:hAnsi="Arial" w:cs="Arial"/>
        </w:rPr>
        <w:fldChar w:fldCharType="end"/>
      </w:r>
      <w:r w:rsidR="00BE5A61" w:rsidRPr="00542463">
        <w:rPr>
          <w:rFonts w:ascii="Arial" w:hAnsi="Arial" w:cs="Arial"/>
        </w:rPr>
        <w:t>.</w:t>
      </w:r>
      <w:r w:rsidR="00BE5A61" w:rsidRPr="00E4610B">
        <w:rPr>
          <w:noProof/>
        </w:rPr>
        <w:t xml:space="preserve"> </w:t>
      </w:r>
    </w:p>
    <w:p w14:paraId="1209A3FE" w14:textId="4C1B8D50" w:rsidR="00BE5A61" w:rsidRPr="000223AA" w:rsidRDefault="00BE5A61" w:rsidP="00BE5A61">
      <w:pPr>
        <w:spacing w:before="240" w:after="120" w:line="36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(A)                                                                </w:t>
      </w:r>
      <w:proofErr w:type="gramStart"/>
      <w:r>
        <w:rPr>
          <w:rFonts w:ascii="Arial" w:hAnsi="Arial" w:cs="Arial"/>
        </w:rPr>
        <w:t xml:space="preserve">   (</w:t>
      </w:r>
      <w:proofErr w:type="gramEnd"/>
      <w:r>
        <w:rPr>
          <w:rFonts w:ascii="Arial" w:hAnsi="Arial" w:cs="Arial"/>
        </w:rPr>
        <w:t>B)</w:t>
      </w:r>
    </w:p>
    <w:p w14:paraId="14290090" w14:textId="05FFA2AA" w:rsidR="00BE5A61" w:rsidRDefault="00BE5A61" w:rsidP="00BE5A61">
      <w:pPr>
        <w:pStyle w:val="Body"/>
        <w:spacing w:after="0"/>
        <w:rPr>
          <w:rFonts w:ascii="Arial" w:hAnsi="Arial" w:cs="Arial"/>
          <w:b/>
          <w:bCs/>
        </w:rPr>
      </w:pPr>
      <w:r w:rsidRPr="008A7961">
        <w:rPr>
          <w:rFonts w:ascii="Arial" w:hAnsi="Arial" w:cs="Arial"/>
          <w:b/>
          <w:bCs/>
        </w:rPr>
        <w:t xml:space="preserve">Figure </w:t>
      </w:r>
      <w:r w:rsidR="00616B1E">
        <w:rPr>
          <w:rFonts w:ascii="Arial" w:hAnsi="Arial" w:cs="Arial"/>
          <w:b/>
          <w:bCs/>
        </w:rPr>
        <w:t>6</w:t>
      </w:r>
      <w:r w:rsidRPr="008A7961">
        <w:rPr>
          <w:rFonts w:ascii="Arial" w:hAnsi="Arial" w:cs="Arial"/>
          <w:b/>
          <w:bCs/>
        </w:rPr>
        <w:t>. Mean values of seed yield as affected by different foliar gibberellic acid</w:t>
      </w:r>
    </w:p>
    <w:p w14:paraId="309A1019" w14:textId="4F7C3E3F" w:rsidR="00983E50" w:rsidRDefault="00983E50" w:rsidP="00BE5A61">
      <w:pPr>
        <w:pStyle w:val="Body"/>
        <w:spacing w:after="0"/>
        <w:rPr>
          <w:rFonts w:ascii="Arial" w:hAnsi="Arial" w:cs="Arial"/>
        </w:rPr>
      </w:pPr>
      <w:r>
        <w:rPr>
          <w:rFonts w:ascii="Arial" w:hAnsi="Arial" w:cs="Arial"/>
        </w:rPr>
        <w:t xml:space="preserve">                </w:t>
      </w:r>
      <w:r w:rsidRPr="008A7961">
        <w:rPr>
          <w:rFonts w:ascii="Arial" w:hAnsi="Arial" w:cs="Arial"/>
          <w:b/>
          <w:bCs/>
        </w:rPr>
        <w:t>application during the post- monsoon season, (A) 2023-24 and (B) 2024-25</w:t>
      </w:r>
      <w:r>
        <w:rPr>
          <w:rFonts w:ascii="Arial" w:hAnsi="Arial" w:cs="Arial"/>
        </w:rPr>
        <w:t xml:space="preserve">  </w:t>
      </w:r>
    </w:p>
    <w:p w14:paraId="6C6CCBB4" w14:textId="684D1A6B" w:rsidR="00983E50" w:rsidRDefault="00983E50" w:rsidP="00BE5A61">
      <w:pPr>
        <w:pStyle w:val="Body"/>
        <w:spacing w:after="0"/>
        <w:rPr>
          <w:rFonts w:ascii="Arial" w:hAnsi="Arial" w:cs="Arial"/>
        </w:rPr>
      </w:pPr>
    </w:p>
    <w:p w14:paraId="70FB742D" w14:textId="28B3A0E4" w:rsidR="00983E50" w:rsidRDefault="00983E50" w:rsidP="00BE5A61">
      <w:pPr>
        <w:pStyle w:val="Body"/>
        <w:spacing w:after="0"/>
        <w:rPr>
          <w:rFonts w:ascii="Arial" w:hAnsi="Arial" w:cs="Arial"/>
        </w:rPr>
      </w:pPr>
    </w:p>
    <w:p w14:paraId="0E300F77" w14:textId="22D86B74" w:rsidR="00983E50" w:rsidRDefault="00983E50" w:rsidP="00BE5A61">
      <w:pPr>
        <w:pStyle w:val="Body"/>
        <w:spacing w:after="0"/>
        <w:rPr>
          <w:rFonts w:ascii="Arial" w:hAnsi="Arial" w:cs="Arial"/>
        </w:rPr>
      </w:pPr>
    </w:p>
    <w:p w14:paraId="639F04CD" w14:textId="41D0EDE5" w:rsidR="00983E50" w:rsidRDefault="00983E50" w:rsidP="00BE5A61">
      <w:pPr>
        <w:pStyle w:val="Body"/>
        <w:spacing w:after="0"/>
        <w:rPr>
          <w:rFonts w:ascii="Arial" w:hAnsi="Arial" w:cs="Arial"/>
        </w:rPr>
      </w:pPr>
    </w:p>
    <w:p w14:paraId="7CF93149" w14:textId="79085D86" w:rsidR="00CD0181" w:rsidRDefault="00CD0181" w:rsidP="00E514F2">
      <w:pPr>
        <w:spacing w:before="120" w:after="120" w:line="360" w:lineRule="auto"/>
        <w:jc w:val="both"/>
        <w:rPr>
          <w:rFonts w:ascii="Arial" w:hAnsi="Arial" w:cs="Arial"/>
        </w:rPr>
      </w:pPr>
    </w:p>
    <w:p w14:paraId="50F8DB42" w14:textId="493C3FAE" w:rsidR="00770A33" w:rsidRDefault="00770A33" w:rsidP="00E514F2">
      <w:pPr>
        <w:spacing w:before="120" w:after="120" w:line="360" w:lineRule="auto"/>
        <w:jc w:val="both"/>
        <w:rPr>
          <w:rFonts w:ascii="Arial" w:hAnsi="Arial" w:cs="Arial"/>
        </w:rPr>
      </w:pPr>
    </w:p>
    <w:p w14:paraId="2763D11A" w14:textId="3B599296" w:rsidR="007D3A64" w:rsidRDefault="007D3A64" w:rsidP="00E514F2">
      <w:pPr>
        <w:spacing w:before="120" w:after="120" w:line="360" w:lineRule="auto"/>
        <w:jc w:val="both"/>
        <w:rPr>
          <w:rFonts w:ascii="Arial" w:hAnsi="Arial" w:cs="Arial"/>
        </w:rPr>
      </w:pPr>
    </w:p>
    <w:p w14:paraId="76594A8C" w14:textId="77777777" w:rsidR="007D3A64" w:rsidRDefault="007D3A64" w:rsidP="00E514F2">
      <w:pPr>
        <w:spacing w:before="120" w:after="120" w:line="360" w:lineRule="auto"/>
        <w:jc w:val="both"/>
        <w:rPr>
          <w:rFonts w:ascii="Arial" w:hAnsi="Arial" w:cs="Arial"/>
        </w:rPr>
      </w:pPr>
    </w:p>
    <w:p w14:paraId="2B26B00F" w14:textId="35A200A5" w:rsidR="00CD0181" w:rsidRDefault="00983E50" w:rsidP="00CD0181">
      <w:pPr>
        <w:spacing w:before="120" w:after="120" w:line="360" w:lineRule="auto"/>
        <w:ind w:left="-360"/>
        <w:jc w:val="both"/>
        <w:rPr>
          <w:rFonts w:ascii="Arial" w:hAnsi="Arial" w:cs="Arial"/>
          <w:b/>
          <w:bCs/>
        </w:rPr>
      </w:pPr>
      <w:r>
        <w:rPr>
          <w:rFonts w:ascii="Arial" w:hAnsi="Arial" w:cs="Arial"/>
          <w:noProof/>
        </w:rPr>
        <w:lastRenderedPageBreak/>
        <mc:AlternateContent>
          <mc:Choice Requires="wps">
            <w:drawing>
              <wp:anchor distT="0" distB="0" distL="114300" distR="114300" simplePos="0" relativeHeight="251710976" behindDoc="0" locked="0" layoutInCell="1" allowOverlap="1" wp14:anchorId="324496FB" wp14:editId="0C60DDCC">
                <wp:simplePos x="0" y="0"/>
                <wp:positionH relativeFrom="column">
                  <wp:posOffset>9157051</wp:posOffset>
                </wp:positionH>
                <wp:positionV relativeFrom="paragraph">
                  <wp:posOffset>1854987</wp:posOffset>
                </wp:positionV>
                <wp:extent cx="163773" cy="368490"/>
                <wp:effectExtent l="0" t="0" r="27305" b="12700"/>
                <wp:wrapNone/>
                <wp:docPr id="1752401078" name="Rectangle 9"/>
                <wp:cNvGraphicFramePr/>
                <a:graphic xmlns:a="http://schemas.openxmlformats.org/drawingml/2006/main">
                  <a:graphicData uri="http://schemas.microsoft.com/office/word/2010/wordprocessingShape">
                    <wps:wsp>
                      <wps:cNvSpPr/>
                      <wps:spPr>
                        <a:xfrm>
                          <a:off x="0" y="0"/>
                          <a:ext cx="163773" cy="3684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2B525" id="Rectangle 9" o:spid="_x0000_s1026" style="position:absolute;margin-left:721.05pt;margin-top:146.05pt;width:12.9pt;height:2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" fillcolor="white [3212]" strokecolor="white [3212]" strokeweight="2pt"/>
            </w:pict>
          </mc:Fallback>
        </mc:AlternateContent>
      </w:r>
      <w:r w:rsidRPr="00D61F92">
        <w:rPr>
          <w:rFonts w:ascii="Arial" w:hAnsi="Arial" w:cs="Arial"/>
        </w:rPr>
        <w:t>T</w:t>
      </w:r>
      <w:r w:rsidRPr="008A7961">
        <w:rPr>
          <w:rFonts w:ascii="Arial" w:hAnsi="Arial" w:cs="Arial"/>
          <w:b/>
          <w:bCs/>
        </w:rPr>
        <w:t xml:space="preserve">able </w:t>
      </w:r>
      <w:r w:rsidR="00AE2E48">
        <w:rPr>
          <w:rFonts w:ascii="Arial" w:hAnsi="Arial" w:cs="Arial"/>
          <w:b/>
          <w:bCs/>
        </w:rPr>
        <w:t>3</w:t>
      </w:r>
      <w:r w:rsidRPr="008A7961">
        <w:rPr>
          <w:rFonts w:ascii="Arial" w:hAnsi="Arial" w:cs="Arial"/>
          <w:b/>
          <w:bCs/>
        </w:rPr>
        <w:t xml:space="preserve">. Yield and yield components of </w:t>
      </w:r>
      <w:proofErr w:type="spellStart"/>
      <w:r w:rsidRPr="008A7961">
        <w:rPr>
          <w:rFonts w:ascii="Arial" w:hAnsi="Arial" w:cs="Arial"/>
          <w:b/>
          <w:bCs/>
        </w:rPr>
        <w:t>mungbean</w:t>
      </w:r>
      <w:proofErr w:type="spellEnd"/>
      <w:r w:rsidRPr="008A7961">
        <w:rPr>
          <w:rFonts w:ascii="Arial" w:hAnsi="Arial" w:cs="Arial"/>
          <w:b/>
          <w:bCs/>
        </w:rPr>
        <w:t xml:space="preserve"> as affected by foliar gibberellic acid </w:t>
      </w:r>
    </w:p>
    <w:p w14:paraId="7C793B0D" w14:textId="2B264195" w:rsidR="00983E50" w:rsidRDefault="004615E3" w:rsidP="00CD0181">
      <w:pPr>
        <w:spacing w:before="120" w:after="120" w:line="360" w:lineRule="auto"/>
        <w:ind w:left="-360"/>
        <w:jc w:val="both"/>
        <w:rPr>
          <w:rFonts w:ascii="Arial" w:hAnsi="Arial" w:cs="Arial"/>
          <w:b/>
          <w:bCs/>
        </w:rPr>
      </w:pPr>
      <w:r>
        <w:rPr>
          <w:rFonts w:ascii="Arial" w:hAnsi="Arial" w:cs="Arial"/>
          <w:noProof/>
        </w:rPr>
        <mc:AlternateContent>
          <mc:Choice Requires="wps">
            <w:drawing>
              <wp:anchor distT="0" distB="0" distL="114300" distR="114300" simplePos="0" relativeHeight="251715584" behindDoc="0" locked="0" layoutInCell="1" allowOverlap="1" wp14:anchorId="61999AC5" wp14:editId="031ECF41">
                <wp:simplePos x="0" y="0"/>
                <wp:positionH relativeFrom="column">
                  <wp:posOffset>-330835</wp:posOffset>
                </wp:positionH>
                <wp:positionV relativeFrom="paragraph">
                  <wp:posOffset>7734300</wp:posOffset>
                </wp:positionV>
                <wp:extent cx="5876925" cy="5810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5876925" cy="581025"/>
                        </a:xfrm>
                        <a:prstGeom prst="rect">
                          <a:avLst/>
                        </a:prstGeom>
                        <a:solidFill>
                          <a:schemeClr val="lt1"/>
                        </a:solidFill>
                        <a:ln w="6350">
                          <a:noFill/>
                        </a:ln>
                      </wps:spPr>
                      <wps:txbx>
                        <w:txbxContent>
                          <w:p w14:paraId="75341C91" w14:textId="4DE073CB" w:rsidR="00150115" w:rsidRDefault="00150115">
                            <w:r>
                              <w:rPr>
                                <w:rFonts w:ascii="Arial" w:hAnsi="Arial" w:cs="Arial"/>
                              </w:rPr>
                              <w:t>* Means followed by different letter in the same column are significantly different by LSD test at 5%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99AC5" id="Text Box 13" o:spid="_x0000_s1028" type="#_x0000_t202" style="position:absolute;left:0;text-align:left;margin-left:-26.05pt;margin-top:609pt;width:462.75pt;height:45.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" fillcolor="white [3201]" stroked="f" strokeweight=".5pt">
                <v:textbox>
                  <w:txbxContent>
                    <w:p w14:paraId="75341C91" w14:textId="4DE073CB" w:rsidR="00150115" w:rsidRDefault="00150115">
                      <w:r>
                        <w:rPr>
                          <w:rFonts w:ascii="Arial" w:hAnsi="Arial" w:cs="Arial"/>
                        </w:rPr>
                        <w:t>* Means followed by different letter in the same column are significantly different by LSD test at 5% level</w:t>
                      </w:r>
                    </w:p>
                  </w:txbxContent>
                </v:textbox>
              </v:shape>
            </w:pict>
          </mc:Fallback>
        </mc:AlternateContent>
      </w:r>
      <w:r w:rsidR="00CD0181">
        <w:rPr>
          <w:rFonts w:ascii="Arial" w:hAnsi="Arial" w:cs="Arial"/>
        </w:rPr>
        <w:t xml:space="preserve">               </w:t>
      </w:r>
      <w:r w:rsidR="00983E50" w:rsidRPr="008A7961">
        <w:rPr>
          <w:rFonts w:ascii="Arial" w:hAnsi="Arial" w:cs="Arial"/>
          <w:b/>
          <w:bCs/>
        </w:rPr>
        <w:t>application during the post-monsoon season, 2023-24</w:t>
      </w:r>
    </w:p>
    <w:tbl>
      <w:tblPr>
        <w:tblW w:w="5536" w:type="pct"/>
        <w:jc w:val="center"/>
        <w:tblLayout w:type="fixed"/>
        <w:tblLook w:val="04A0" w:firstRow="1" w:lastRow="0" w:firstColumn="1" w:lastColumn="0" w:noHBand="0" w:noVBand="1"/>
      </w:tblPr>
      <w:tblGrid>
        <w:gridCol w:w="1351"/>
        <w:gridCol w:w="1226"/>
        <w:gridCol w:w="1139"/>
        <w:gridCol w:w="1052"/>
        <w:gridCol w:w="1039"/>
        <w:gridCol w:w="976"/>
        <w:gridCol w:w="1250"/>
        <w:gridCol w:w="1052"/>
      </w:tblGrid>
      <w:tr w:rsidR="004615E3" w:rsidRPr="0097085A" w14:paraId="4FB143D6" w14:textId="77777777" w:rsidTr="004615E3">
        <w:trPr>
          <w:trHeight w:val="1018"/>
          <w:jc w:val="center"/>
        </w:trPr>
        <w:tc>
          <w:tcPr>
            <w:tcW w:w="743" w:type="pct"/>
            <w:tcBorders>
              <w:top w:val="single" w:sz="4" w:space="0" w:color="auto"/>
              <w:left w:val="nil"/>
              <w:bottom w:val="single" w:sz="4" w:space="0" w:color="auto"/>
              <w:right w:val="nil"/>
            </w:tcBorders>
            <w:shd w:val="clear" w:color="auto" w:fill="auto"/>
            <w:vAlign w:val="center"/>
            <w:hideMark/>
          </w:tcPr>
          <w:p w14:paraId="51DB6BBD" w14:textId="7F4F605A" w:rsidR="00983E50" w:rsidRPr="0097085A" w:rsidRDefault="00983E50" w:rsidP="00663C91">
            <w:pPr>
              <w:jc w:val="center"/>
              <w:rPr>
                <w:rFonts w:ascii="Arial" w:hAnsi="Arial" w:cs="Arial"/>
                <w:b/>
                <w:bCs/>
                <w:color w:val="000000"/>
              </w:rPr>
            </w:pPr>
            <w:r w:rsidRPr="0097085A">
              <w:rPr>
                <w:rFonts w:ascii="Arial" w:hAnsi="Arial" w:cs="Arial"/>
                <w:b/>
                <w:bCs/>
                <w:color w:val="000000"/>
              </w:rPr>
              <w:t>Treatment</w:t>
            </w:r>
            <w:r w:rsidR="00043B37">
              <w:rPr>
                <w:rFonts w:ascii="Arial" w:hAnsi="Arial" w:cs="Arial"/>
                <w:b/>
                <w:bCs/>
                <w:color w:val="000000"/>
              </w:rPr>
              <w:t>s</w:t>
            </w:r>
          </w:p>
        </w:tc>
        <w:tc>
          <w:tcPr>
            <w:tcW w:w="675" w:type="pct"/>
            <w:tcBorders>
              <w:top w:val="single" w:sz="4" w:space="0" w:color="auto"/>
              <w:left w:val="nil"/>
              <w:bottom w:val="single" w:sz="4" w:space="0" w:color="auto"/>
              <w:right w:val="nil"/>
            </w:tcBorders>
            <w:shd w:val="clear" w:color="auto" w:fill="auto"/>
            <w:vAlign w:val="center"/>
            <w:hideMark/>
          </w:tcPr>
          <w:p w14:paraId="69C121FA"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Branches plant</w:t>
            </w:r>
            <w:r w:rsidRPr="0097085A">
              <w:rPr>
                <w:rFonts w:ascii="Arial" w:hAnsi="Arial" w:cs="Arial"/>
                <w:b/>
                <w:bCs/>
                <w:color w:val="000000"/>
                <w:vertAlign w:val="superscript"/>
              </w:rPr>
              <w:t xml:space="preserve">-1 </w:t>
            </w:r>
            <w:r w:rsidRPr="0097085A">
              <w:rPr>
                <w:rFonts w:ascii="Arial" w:hAnsi="Arial" w:cs="Arial"/>
                <w:b/>
                <w:bCs/>
                <w:color w:val="000000"/>
              </w:rPr>
              <w:t>(no.)</w:t>
            </w:r>
          </w:p>
        </w:tc>
        <w:tc>
          <w:tcPr>
            <w:tcW w:w="627" w:type="pct"/>
            <w:tcBorders>
              <w:top w:val="single" w:sz="4" w:space="0" w:color="auto"/>
              <w:left w:val="nil"/>
              <w:bottom w:val="single" w:sz="4" w:space="0" w:color="auto"/>
              <w:right w:val="nil"/>
            </w:tcBorders>
            <w:shd w:val="clear" w:color="auto" w:fill="auto"/>
            <w:vAlign w:val="center"/>
            <w:hideMark/>
          </w:tcPr>
          <w:p w14:paraId="31415860"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Pods plant</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79" w:type="pct"/>
            <w:tcBorders>
              <w:top w:val="single" w:sz="4" w:space="0" w:color="auto"/>
              <w:left w:val="nil"/>
              <w:bottom w:val="single" w:sz="4" w:space="0" w:color="auto"/>
              <w:right w:val="nil"/>
            </w:tcBorders>
            <w:shd w:val="clear" w:color="auto" w:fill="auto"/>
            <w:vAlign w:val="center"/>
            <w:hideMark/>
          </w:tcPr>
          <w:p w14:paraId="32E82B93"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Pod length (cm)</w:t>
            </w:r>
          </w:p>
        </w:tc>
        <w:tc>
          <w:tcPr>
            <w:tcW w:w="572" w:type="pct"/>
            <w:tcBorders>
              <w:top w:val="single" w:sz="4" w:space="0" w:color="auto"/>
              <w:left w:val="nil"/>
              <w:bottom w:val="single" w:sz="4" w:space="0" w:color="auto"/>
              <w:right w:val="nil"/>
            </w:tcBorders>
            <w:shd w:val="clear" w:color="auto" w:fill="auto"/>
            <w:vAlign w:val="center"/>
            <w:hideMark/>
          </w:tcPr>
          <w:p w14:paraId="0FDC71EF"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Seeds pod</w:t>
            </w:r>
            <w:r w:rsidRPr="0097085A">
              <w:rPr>
                <w:rFonts w:ascii="Arial" w:hAnsi="Arial" w:cs="Arial"/>
                <w:b/>
                <w:bCs/>
                <w:color w:val="000000"/>
                <w:vertAlign w:val="superscript"/>
              </w:rPr>
              <w:t>-1</w:t>
            </w:r>
            <w:r w:rsidRPr="0097085A">
              <w:rPr>
                <w:rFonts w:ascii="Arial" w:hAnsi="Arial" w:cs="Arial"/>
                <w:b/>
                <w:bCs/>
                <w:color w:val="000000"/>
              </w:rPr>
              <w:t xml:space="preserve"> (no.)</w:t>
            </w:r>
          </w:p>
        </w:tc>
        <w:tc>
          <w:tcPr>
            <w:tcW w:w="537" w:type="pct"/>
            <w:tcBorders>
              <w:top w:val="single" w:sz="4" w:space="0" w:color="auto"/>
              <w:left w:val="nil"/>
              <w:bottom w:val="single" w:sz="4" w:space="0" w:color="auto"/>
              <w:right w:val="nil"/>
            </w:tcBorders>
            <w:shd w:val="clear" w:color="auto" w:fill="auto"/>
            <w:vAlign w:val="center"/>
            <w:hideMark/>
          </w:tcPr>
          <w:p w14:paraId="170B94E6"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Hundred seed weight (g)</w:t>
            </w:r>
          </w:p>
        </w:tc>
        <w:tc>
          <w:tcPr>
            <w:tcW w:w="688" w:type="pct"/>
            <w:tcBorders>
              <w:top w:val="single" w:sz="4" w:space="0" w:color="auto"/>
              <w:left w:val="nil"/>
              <w:bottom w:val="single" w:sz="4" w:space="0" w:color="auto"/>
              <w:right w:val="nil"/>
            </w:tcBorders>
            <w:shd w:val="clear" w:color="auto" w:fill="auto"/>
            <w:vAlign w:val="center"/>
            <w:hideMark/>
          </w:tcPr>
          <w:p w14:paraId="325C0270"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Shelling %</w:t>
            </w:r>
          </w:p>
        </w:tc>
        <w:tc>
          <w:tcPr>
            <w:tcW w:w="579" w:type="pct"/>
            <w:tcBorders>
              <w:top w:val="single" w:sz="4" w:space="0" w:color="auto"/>
              <w:left w:val="nil"/>
              <w:bottom w:val="single" w:sz="4" w:space="0" w:color="auto"/>
              <w:right w:val="nil"/>
            </w:tcBorders>
            <w:shd w:val="clear" w:color="auto" w:fill="auto"/>
            <w:vAlign w:val="center"/>
            <w:hideMark/>
          </w:tcPr>
          <w:p w14:paraId="0ED65616" w14:textId="77777777" w:rsidR="00983E50" w:rsidRPr="0097085A" w:rsidRDefault="00983E50" w:rsidP="00663C91">
            <w:pPr>
              <w:jc w:val="center"/>
              <w:rPr>
                <w:rFonts w:ascii="Arial" w:hAnsi="Arial" w:cs="Arial"/>
                <w:b/>
                <w:bCs/>
                <w:color w:val="000000"/>
              </w:rPr>
            </w:pPr>
            <w:r w:rsidRPr="0097085A">
              <w:rPr>
                <w:rFonts w:ascii="Arial" w:hAnsi="Arial" w:cs="Arial"/>
                <w:b/>
                <w:bCs/>
                <w:color w:val="000000"/>
              </w:rPr>
              <w:t>Harvest index</w:t>
            </w:r>
          </w:p>
        </w:tc>
      </w:tr>
      <w:tr w:rsidR="004615E3" w:rsidRPr="0097085A" w14:paraId="324B7CAE" w14:textId="77777777" w:rsidTr="004615E3">
        <w:trPr>
          <w:trHeight w:val="792"/>
          <w:jc w:val="center"/>
        </w:trPr>
        <w:tc>
          <w:tcPr>
            <w:tcW w:w="743" w:type="pct"/>
            <w:tcBorders>
              <w:top w:val="nil"/>
              <w:left w:val="nil"/>
              <w:bottom w:val="nil"/>
              <w:right w:val="nil"/>
            </w:tcBorders>
            <w:shd w:val="clear" w:color="auto" w:fill="auto"/>
            <w:vAlign w:val="center"/>
            <w:hideMark/>
          </w:tcPr>
          <w:p w14:paraId="5E844B45"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w:t>
            </w:r>
          </w:p>
        </w:tc>
        <w:tc>
          <w:tcPr>
            <w:tcW w:w="675" w:type="pct"/>
            <w:tcBorders>
              <w:top w:val="nil"/>
              <w:left w:val="nil"/>
              <w:bottom w:val="nil"/>
              <w:right w:val="nil"/>
            </w:tcBorders>
            <w:shd w:val="clear" w:color="auto" w:fill="auto"/>
            <w:vAlign w:val="center"/>
            <w:hideMark/>
          </w:tcPr>
          <w:p w14:paraId="144890CD" w14:textId="77777777" w:rsidR="00983E50" w:rsidRPr="0097085A" w:rsidRDefault="00983E50" w:rsidP="00663C91">
            <w:pPr>
              <w:jc w:val="center"/>
              <w:rPr>
                <w:rFonts w:ascii="Arial" w:hAnsi="Arial" w:cs="Arial"/>
                <w:color w:val="000000"/>
              </w:rPr>
            </w:pPr>
            <w:r w:rsidRPr="0097085A">
              <w:rPr>
                <w:rFonts w:ascii="Arial" w:hAnsi="Arial" w:cs="Arial"/>
                <w:color w:val="000000"/>
              </w:rPr>
              <w:t>3.40 e</w:t>
            </w:r>
          </w:p>
        </w:tc>
        <w:tc>
          <w:tcPr>
            <w:tcW w:w="627" w:type="pct"/>
            <w:tcBorders>
              <w:top w:val="nil"/>
              <w:left w:val="nil"/>
              <w:bottom w:val="nil"/>
              <w:right w:val="nil"/>
            </w:tcBorders>
            <w:shd w:val="clear" w:color="auto" w:fill="auto"/>
            <w:vAlign w:val="center"/>
            <w:hideMark/>
          </w:tcPr>
          <w:p w14:paraId="3EE7D02E" w14:textId="77777777" w:rsidR="00983E50" w:rsidRPr="0097085A" w:rsidRDefault="00983E50" w:rsidP="00663C91">
            <w:pPr>
              <w:jc w:val="center"/>
              <w:rPr>
                <w:rFonts w:ascii="Arial" w:hAnsi="Arial" w:cs="Arial"/>
                <w:color w:val="000000"/>
              </w:rPr>
            </w:pPr>
            <w:r w:rsidRPr="0097085A">
              <w:rPr>
                <w:rFonts w:ascii="Arial" w:hAnsi="Arial" w:cs="Arial"/>
                <w:color w:val="000000"/>
              </w:rPr>
              <w:t>25.00 d</w:t>
            </w:r>
          </w:p>
        </w:tc>
        <w:tc>
          <w:tcPr>
            <w:tcW w:w="579" w:type="pct"/>
            <w:tcBorders>
              <w:top w:val="nil"/>
              <w:left w:val="nil"/>
              <w:bottom w:val="nil"/>
              <w:right w:val="nil"/>
            </w:tcBorders>
            <w:shd w:val="clear" w:color="auto" w:fill="auto"/>
            <w:vAlign w:val="center"/>
            <w:hideMark/>
          </w:tcPr>
          <w:p w14:paraId="5E2A4808" w14:textId="77777777" w:rsidR="00983E50" w:rsidRPr="0097085A" w:rsidRDefault="00983E50" w:rsidP="00663C91">
            <w:pPr>
              <w:jc w:val="center"/>
              <w:rPr>
                <w:rFonts w:ascii="Arial" w:hAnsi="Arial" w:cs="Arial"/>
                <w:color w:val="000000"/>
              </w:rPr>
            </w:pPr>
            <w:r w:rsidRPr="0097085A">
              <w:rPr>
                <w:rFonts w:ascii="Arial" w:hAnsi="Arial" w:cs="Arial"/>
                <w:color w:val="000000"/>
              </w:rPr>
              <w:t>8.24 c</w:t>
            </w:r>
          </w:p>
        </w:tc>
        <w:tc>
          <w:tcPr>
            <w:tcW w:w="572" w:type="pct"/>
            <w:tcBorders>
              <w:top w:val="nil"/>
              <w:left w:val="nil"/>
              <w:bottom w:val="nil"/>
              <w:right w:val="nil"/>
            </w:tcBorders>
            <w:shd w:val="clear" w:color="auto" w:fill="auto"/>
            <w:vAlign w:val="center"/>
            <w:hideMark/>
          </w:tcPr>
          <w:p w14:paraId="171A3426" w14:textId="77777777" w:rsidR="00983E50" w:rsidRPr="0097085A" w:rsidRDefault="00983E50" w:rsidP="00663C91">
            <w:pPr>
              <w:jc w:val="center"/>
              <w:rPr>
                <w:rFonts w:ascii="Arial" w:hAnsi="Arial" w:cs="Arial"/>
                <w:color w:val="000000"/>
              </w:rPr>
            </w:pPr>
            <w:r w:rsidRPr="0097085A">
              <w:rPr>
                <w:rFonts w:ascii="Arial" w:hAnsi="Arial" w:cs="Arial"/>
                <w:color w:val="000000"/>
              </w:rPr>
              <w:t>9.77 c</w:t>
            </w:r>
          </w:p>
        </w:tc>
        <w:tc>
          <w:tcPr>
            <w:tcW w:w="537" w:type="pct"/>
            <w:tcBorders>
              <w:top w:val="nil"/>
              <w:left w:val="nil"/>
              <w:bottom w:val="nil"/>
              <w:right w:val="nil"/>
            </w:tcBorders>
            <w:shd w:val="clear" w:color="auto" w:fill="auto"/>
            <w:vAlign w:val="center"/>
            <w:hideMark/>
          </w:tcPr>
          <w:p w14:paraId="634F5617" w14:textId="77777777" w:rsidR="00983E50" w:rsidRPr="0097085A" w:rsidRDefault="00983E50" w:rsidP="00663C91">
            <w:pPr>
              <w:jc w:val="center"/>
              <w:rPr>
                <w:rFonts w:ascii="Arial" w:hAnsi="Arial" w:cs="Arial"/>
                <w:color w:val="000000"/>
              </w:rPr>
            </w:pPr>
            <w:r w:rsidRPr="0097085A">
              <w:rPr>
                <w:rFonts w:ascii="Arial" w:hAnsi="Arial" w:cs="Arial"/>
                <w:color w:val="000000"/>
              </w:rPr>
              <w:t>5.64</w:t>
            </w:r>
          </w:p>
        </w:tc>
        <w:tc>
          <w:tcPr>
            <w:tcW w:w="688" w:type="pct"/>
            <w:tcBorders>
              <w:top w:val="nil"/>
              <w:left w:val="nil"/>
              <w:bottom w:val="nil"/>
              <w:right w:val="nil"/>
            </w:tcBorders>
            <w:shd w:val="clear" w:color="auto" w:fill="auto"/>
            <w:vAlign w:val="center"/>
            <w:hideMark/>
          </w:tcPr>
          <w:p w14:paraId="75A6AAB6" w14:textId="77777777" w:rsidR="00983E50" w:rsidRPr="0097085A" w:rsidRDefault="00983E50" w:rsidP="00663C91">
            <w:pPr>
              <w:jc w:val="center"/>
              <w:rPr>
                <w:rFonts w:ascii="Arial" w:hAnsi="Arial" w:cs="Arial"/>
                <w:color w:val="000000"/>
              </w:rPr>
            </w:pPr>
            <w:r w:rsidRPr="0097085A">
              <w:rPr>
                <w:rFonts w:ascii="Arial" w:hAnsi="Arial" w:cs="Arial"/>
                <w:color w:val="000000"/>
              </w:rPr>
              <w:t>69.66 d</w:t>
            </w:r>
          </w:p>
        </w:tc>
        <w:tc>
          <w:tcPr>
            <w:tcW w:w="579" w:type="pct"/>
            <w:tcBorders>
              <w:top w:val="nil"/>
              <w:left w:val="nil"/>
              <w:bottom w:val="nil"/>
              <w:right w:val="nil"/>
            </w:tcBorders>
            <w:shd w:val="clear" w:color="auto" w:fill="auto"/>
            <w:vAlign w:val="center"/>
            <w:hideMark/>
          </w:tcPr>
          <w:p w14:paraId="15EFF9B6" w14:textId="77777777" w:rsidR="00983E50" w:rsidRPr="0097085A" w:rsidRDefault="00983E50" w:rsidP="00663C91">
            <w:pPr>
              <w:jc w:val="center"/>
              <w:rPr>
                <w:rFonts w:ascii="Arial" w:hAnsi="Arial" w:cs="Arial"/>
                <w:color w:val="000000"/>
              </w:rPr>
            </w:pPr>
            <w:r w:rsidRPr="0097085A">
              <w:rPr>
                <w:rFonts w:ascii="Arial" w:hAnsi="Arial" w:cs="Arial"/>
                <w:color w:val="000000"/>
              </w:rPr>
              <w:t>0.23 c</w:t>
            </w:r>
          </w:p>
        </w:tc>
      </w:tr>
      <w:tr w:rsidR="004615E3" w:rsidRPr="0097085A" w14:paraId="6D3095A3" w14:textId="77777777" w:rsidTr="004615E3">
        <w:trPr>
          <w:trHeight w:val="792"/>
          <w:jc w:val="center"/>
        </w:trPr>
        <w:tc>
          <w:tcPr>
            <w:tcW w:w="743" w:type="pct"/>
            <w:tcBorders>
              <w:top w:val="nil"/>
              <w:left w:val="nil"/>
              <w:bottom w:val="nil"/>
              <w:right w:val="nil"/>
            </w:tcBorders>
            <w:shd w:val="clear" w:color="auto" w:fill="auto"/>
            <w:vAlign w:val="center"/>
            <w:hideMark/>
          </w:tcPr>
          <w:p w14:paraId="14FAF695"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2</w:t>
            </w:r>
          </w:p>
        </w:tc>
        <w:tc>
          <w:tcPr>
            <w:tcW w:w="675" w:type="pct"/>
            <w:tcBorders>
              <w:top w:val="nil"/>
              <w:left w:val="nil"/>
              <w:bottom w:val="nil"/>
              <w:right w:val="nil"/>
            </w:tcBorders>
            <w:shd w:val="clear" w:color="auto" w:fill="auto"/>
            <w:vAlign w:val="center"/>
            <w:hideMark/>
          </w:tcPr>
          <w:p w14:paraId="7AD25DA9" w14:textId="77777777" w:rsidR="00983E50" w:rsidRPr="0097085A" w:rsidRDefault="00983E50" w:rsidP="00663C91">
            <w:pPr>
              <w:jc w:val="center"/>
              <w:rPr>
                <w:rFonts w:ascii="Arial" w:hAnsi="Arial" w:cs="Arial"/>
                <w:color w:val="000000"/>
              </w:rPr>
            </w:pPr>
            <w:r w:rsidRPr="0097085A">
              <w:rPr>
                <w:rFonts w:ascii="Arial" w:hAnsi="Arial" w:cs="Arial"/>
                <w:color w:val="000000"/>
              </w:rPr>
              <w:t>4.52 cd</w:t>
            </w:r>
          </w:p>
        </w:tc>
        <w:tc>
          <w:tcPr>
            <w:tcW w:w="627" w:type="pct"/>
            <w:tcBorders>
              <w:top w:val="nil"/>
              <w:left w:val="nil"/>
              <w:bottom w:val="nil"/>
              <w:right w:val="nil"/>
            </w:tcBorders>
            <w:shd w:val="clear" w:color="auto" w:fill="auto"/>
            <w:vAlign w:val="center"/>
            <w:hideMark/>
          </w:tcPr>
          <w:p w14:paraId="73600AB0" w14:textId="77777777" w:rsidR="00983E50" w:rsidRPr="0097085A" w:rsidRDefault="00983E50" w:rsidP="00663C91">
            <w:pPr>
              <w:jc w:val="center"/>
              <w:rPr>
                <w:rFonts w:ascii="Arial" w:hAnsi="Arial" w:cs="Arial"/>
                <w:color w:val="000000"/>
              </w:rPr>
            </w:pPr>
            <w:r w:rsidRPr="0097085A">
              <w:rPr>
                <w:rFonts w:ascii="Arial" w:hAnsi="Arial" w:cs="Arial"/>
                <w:color w:val="000000"/>
              </w:rPr>
              <w:t>41.00 c</w:t>
            </w:r>
          </w:p>
        </w:tc>
        <w:tc>
          <w:tcPr>
            <w:tcW w:w="579" w:type="pct"/>
            <w:tcBorders>
              <w:top w:val="nil"/>
              <w:left w:val="nil"/>
              <w:bottom w:val="nil"/>
              <w:right w:val="nil"/>
            </w:tcBorders>
            <w:shd w:val="clear" w:color="auto" w:fill="auto"/>
            <w:vAlign w:val="center"/>
            <w:hideMark/>
          </w:tcPr>
          <w:p w14:paraId="4686EA2A" w14:textId="77777777" w:rsidR="00983E50" w:rsidRPr="0097085A" w:rsidRDefault="00983E50" w:rsidP="00663C91">
            <w:pPr>
              <w:jc w:val="center"/>
              <w:rPr>
                <w:rFonts w:ascii="Arial" w:hAnsi="Arial" w:cs="Arial"/>
                <w:color w:val="000000"/>
              </w:rPr>
            </w:pPr>
            <w:r w:rsidRPr="0097085A">
              <w:rPr>
                <w:rFonts w:ascii="Arial" w:hAnsi="Arial" w:cs="Arial"/>
                <w:color w:val="000000"/>
              </w:rPr>
              <w:t>9.00 ab</w:t>
            </w:r>
          </w:p>
        </w:tc>
        <w:tc>
          <w:tcPr>
            <w:tcW w:w="572" w:type="pct"/>
            <w:tcBorders>
              <w:top w:val="nil"/>
              <w:left w:val="nil"/>
              <w:bottom w:val="nil"/>
              <w:right w:val="nil"/>
            </w:tcBorders>
            <w:shd w:val="clear" w:color="auto" w:fill="auto"/>
            <w:vAlign w:val="center"/>
            <w:hideMark/>
          </w:tcPr>
          <w:p w14:paraId="40D21A36" w14:textId="77777777" w:rsidR="00983E50" w:rsidRPr="0097085A" w:rsidRDefault="00983E50" w:rsidP="00663C91">
            <w:pPr>
              <w:jc w:val="center"/>
              <w:rPr>
                <w:rFonts w:ascii="Arial" w:hAnsi="Arial" w:cs="Arial"/>
                <w:color w:val="000000"/>
              </w:rPr>
            </w:pPr>
            <w:r w:rsidRPr="0097085A">
              <w:rPr>
                <w:rFonts w:ascii="Arial" w:hAnsi="Arial" w:cs="Arial"/>
                <w:color w:val="000000"/>
              </w:rPr>
              <w:t>10.93 b</w:t>
            </w:r>
          </w:p>
        </w:tc>
        <w:tc>
          <w:tcPr>
            <w:tcW w:w="537" w:type="pct"/>
            <w:tcBorders>
              <w:top w:val="nil"/>
              <w:left w:val="nil"/>
              <w:bottom w:val="nil"/>
              <w:right w:val="nil"/>
            </w:tcBorders>
            <w:shd w:val="clear" w:color="auto" w:fill="auto"/>
            <w:vAlign w:val="center"/>
            <w:hideMark/>
          </w:tcPr>
          <w:p w14:paraId="574451FF" w14:textId="77777777" w:rsidR="00983E50" w:rsidRPr="0097085A" w:rsidRDefault="00983E50" w:rsidP="00663C91">
            <w:pPr>
              <w:jc w:val="center"/>
              <w:rPr>
                <w:rFonts w:ascii="Arial" w:hAnsi="Arial" w:cs="Arial"/>
                <w:color w:val="000000"/>
              </w:rPr>
            </w:pPr>
            <w:r w:rsidRPr="0097085A">
              <w:rPr>
                <w:rFonts w:ascii="Arial" w:hAnsi="Arial" w:cs="Arial"/>
                <w:color w:val="000000"/>
              </w:rPr>
              <w:t>6.05</w:t>
            </w:r>
          </w:p>
        </w:tc>
        <w:tc>
          <w:tcPr>
            <w:tcW w:w="688" w:type="pct"/>
            <w:tcBorders>
              <w:top w:val="nil"/>
              <w:left w:val="nil"/>
              <w:bottom w:val="nil"/>
              <w:right w:val="nil"/>
            </w:tcBorders>
            <w:shd w:val="clear" w:color="auto" w:fill="auto"/>
            <w:vAlign w:val="center"/>
            <w:hideMark/>
          </w:tcPr>
          <w:p w14:paraId="730A8F4E"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72.75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7728A436" w14:textId="77777777" w:rsidR="00983E50" w:rsidRPr="0097085A" w:rsidRDefault="00983E50" w:rsidP="00663C91">
            <w:pPr>
              <w:jc w:val="center"/>
              <w:rPr>
                <w:rFonts w:ascii="Arial" w:hAnsi="Arial" w:cs="Arial"/>
                <w:color w:val="000000"/>
              </w:rPr>
            </w:pPr>
            <w:r w:rsidRPr="0097085A">
              <w:rPr>
                <w:rFonts w:ascii="Arial" w:hAnsi="Arial" w:cs="Arial"/>
                <w:color w:val="000000"/>
              </w:rPr>
              <w:t>0.35 ab</w:t>
            </w:r>
          </w:p>
        </w:tc>
      </w:tr>
      <w:tr w:rsidR="004615E3" w:rsidRPr="0097085A" w14:paraId="4ECCB03D" w14:textId="77777777" w:rsidTr="004615E3">
        <w:trPr>
          <w:trHeight w:val="792"/>
          <w:jc w:val="center"/>
        </w:trPr>
        <w:tc>
          <w:tcPr>
            <w:tcW w:w="743" w:type="pct"/>
            <w:tcBorders>
              <w:top w:val="nil"/>
              <w:left w:val="nil"/>
              <w:bottom w:val="nil"/>
              <w:right w:val="nil"/>
            </w:tcBorders>
            <w:shd w:val="clear" w:color="auto" w:fill="auto"/>
            <w:vAlign w:val="center"/>
            <w:hideMark/>
          </w:tcPr>
          <w:p w14:paraId="7BE98F50"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3</w:t>
            </w:r>
          </w:p>
        </w:tc>
        <w:tc>
          <w:tcPr>
            <w:tcW w:w="675" w:type="pct"/>
            <w:tcBorders>
              <w:top w:val="nil"/>
              <w:left w:val="nil"/>
              <w:bottom w:val="nil"/>
              <w:right w:val="nil"/>
            </w:tcBorders>
            <w:shd w:val="clear" w:color="auto" w:fill="auto"/>
            <w:vAlign w:val="center"/>
            <w:hideMark/>
          </w:tcPr>
          <w:p w14:paraId="4A2BEF11" w14:textId="77777777" w:rsidR="00983E50" w:rsidRPr="0097085A" w:rsidRDefault="00983E50" w:rsidP="00663C91">
            <w:pPr>
              <w:jc w:val="center"/>
              <w:rPr>
                <w:rFonts w:ascii="Arial" w:hAnsi="Arial" w:cs="Arial"/>
                <w:color w:val="000000"/>
              </w:rPr>
            </w:pPr>
            <w:r w:rsidRPr="0097085A">
              <w:rPr>
                <w:rFonts w:ascii="Arial" w:hAnsi="Arial" w:cs="Arial"/>
                <w:color w:val="000000"/>
              </w:rPr>
              <w:t>4.27 d</w:t>
            </w:r>
          </w:p>
        </w:tc>
        <w:tc>
          <w:tcPr>
            <w:tcW w:w="627" w:type="pct"/>
            <w:tcBorders>
              <w:top w:val="nil"/>
              <w:left w:val="nil"/>
              <w:bottom w:val="nil"/>
              <w:right w:val="nil"/>
            </w:tcBorders>
            <w:shd w:val="clear" w:color="auto" w:fill="auto"/>
            <w:vAlign w:val="center"/>
            <w:hideMark/>
          </w:tcPr>
          <w:p w14:paraId="127F3486"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50.67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350EA7E3" w14:textId="77777777" w:rsidR="00983E50" w:rsidRPr="0097085A" w:rsidRDefault="00983E50" w:rsidP="00663C91">
            <w:pPr>
              <w:jc w:val="center"/>
              <w:rPr>
                <w:rFonts w:ascii="Arial" w:hAnsi="Arial" w:cs="Arial"/>
                <w:color w:val="000000"/>
              </w:rPr>
            </w:pPr>
            <w:r w:rsidRPr="0097085A">
              <w:rPr>
                <w:rFonts w:ascii="Arial" w:hAnsi="Arial" w:cs="Arial"/>
                <w:color w:val="000000"/>
              </w:rPr>
              <w:t>9.11 ab</w:t>
            </w:r>
          </w:p>
        </w:tc>
        <w:tc>
          <w:tcPr>
            <w:tcW w:w="572" w:type="pct"/>
            <w:tcBorders>
              <w:top w:val="nil"/>
              <w:left w:val="nil"/>
              <w:bottom w:val="nil"/>
              <w:right w:val="nil"/>
            </w:tcBorders>
            <w:shd w:val="clear" w:color="auto" w:fill="auto"/>
            <w:vAlign w:val="center"/>
            <w:hideMark/>
          </w:tcPr>
          <w:p w14:paraId="0E4B7394"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7F9DAC82" w14:textId="77777777" w:rsidR="00983E50" w:rsidRPr="0097085A" w:rsidRDefault="00983E50" w:rsidP="00663C91">
            <w:pPr>
              <w:jc w:val="center"/>
              <w:rPr>
                <w:rFonts w:ascii="Arial" w:hAnsi="Arial" w:cs="Arial"/>
                <w:color w:val="000000"/>
              </w:rPr>
            </w:pPr>
            <w:r w:rsidRPr="0097085A">
              <w:rPr>
                <w:rFonts w:ascii="Arial" w:hAnsi="Arial" w:cs="Arial"/>
                <w:color w:val="000000"/>
              </w:rPr>
              <w:t>5.95</w:t>
            </w:r>
          </w:p>
        </w:tc>
        <w:tc>
          <w:tcPr>
            <w:tcW w:w="688" w:type="pct"/>
            <w:tcBorders>
              <w:top w:val="nil"/>
              <w:left w:val="nil"/>
              <w:bottom w:val="nil"/>
              <w:right w:val="nil"/>
            </w:tcBorders>
            <w:shd w:val="clear" w:color="auto" w:fill="auto"/>
            <w:vAlign w:val="center"/>
            <w:hideMark/>
          </w:tcPr>
          <w:p w14:paraId="5EEFFCD2"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72.32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37C2FF66" w14:textId="77777777"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14:paraId="3951C6D6" w14:textId="77777777" w:rsidTr="004615E3">
        <w:trPr>
          <w:trHeight w:val="792"/>
          <w:jc w:val="center"/>
        </w:trPr>
        <w:tc>
          <w:tcPr>
            <w:tcW w:w="743" w:type="pct"/>
            <w:tcBorders>
              <w:top w:val="nil"/>
              <w:left w:val="nil"/>
              <w:bottom w:val="nil"/>
              <w:right w:val="nil"/>
            </w:tcBorders>
            <w:shd w:val="clear" w:color="auto" w:fill="auto"/>
            <w:vAlign w:val="center"/>
            <w:hideMark/>
          </w:tcPr>
          <w:p w14:paraId="1D91F93E"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4</w:t>
            </w:r>
          </w:p>
        </w:tc>
        <w:tc>
          <w:tcPr>
            <w:tcW w:w="675" w:type="pct"/>
            <w:tcBorders>
              <w:top w:val="nil"/>
              <w:left w:val="nil"/>
              <w:bottom w:val="nil"/>
              <w:right w:val="nil"/>
            </w:tcBorders>
            <w:shd w:val="clear" w:color="auto" w:fill="auto"/>
            <w:vAlign w:val="center"/>
            <w:hideMark/>
          </w:tcPr>
          <w:p w14:paraId="04137447"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5.15 </w:t>
            </w:r>
            <w:proofErr w:type="spellStart"/>
            <w:r w:rsidRPr="0097085A">
              <w:rPr>
                <w:rFonts w:ascii="Arial" w:hAnsi="Arial" w:cs="Arial"/>
                <w:color w:val="000000"/>
              </w:rPr>
              <w:t>abc</w:t>
            </w:r>
            <w:proofErr w:type="spellEnd"/>
          </w:p>
        </w:tc>
        <w:tc>
          <w:tcPr>
            <w:tcW w:w="627" w:type="pct"/>
            <w:tcBorders>
              <w:top w:val="nil"/>
              <w:left w:val="nil"/>
              <w:bottom w:val="nil"/>
              <w:right w:val="nil"/>
            </w:tcBorders>
            <w:shd w:val="clear" w:color="auto" w:fill="auto"/>
            <w:vAlign w:val="center"/>
            <w:hideMark/>
          </w:tcPr>
          <w:p w14:paraId="79607678"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50.00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04ADE005" w14:textId="77777777" w:rsidR="00983E50" w:rsidRPr="0097085A" w:rsidRDefault="00983E50" w:rsidP="00663C91">
            <w:pPr>
              <w:jc w:val="center"/>
              <w:rPr>
                <w:rFonts w:ascii="Arial" w:hAnsi="Arial" w:cs="Arial"/>
                <w:color w:val="000000"/>
              </w:rPr>
            </w:pPr>
            <w:r w:rsidRPr="0097085A">
              <w:rPr>
                <w:rFonts w:ascii="Arial" w:hAnsi="Arial" w:cs="Arial"/>
                <w:color w:val="000000"/>
              </w:rPr>
              <w:t>9.10 ab</w:t>
            </w:r>
          </w:p>
        </w:tc>
        <w:tc>
          <w:tcPr>
            <w:tcW w:w="572" w:type="pct"/>
            <w:tcBorders>
              <w:top w:val="nil"/>
              <w:left w:val="nil"/>
              <w:bottom w:val="nil"/>
              <w:right w:val="nil"/>
            </w:tcBorders>
            <w:shd w:val="clear" w:color="auto" w:fill="auto"/>
            <w:vAlign w:val="center"/>
            <w:hideMark/>
          </w:tcPr>
          <w:p w14:paraId="1D77CE33"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182E3EB7" w14:textId="77777777" w:rsidR="00983E50" w:rsidRPr="0097085A" w:rsidRDefault="00983E50" w:rsidP="00663C91">
            <w:pPr>
              <w:jc w:val="center"/>
              <w:rPr>
                <w:rFonts w:ascii="Arial" w:hAnsi="Arial" w:cs="Arial"/>
                <w:color w:val="000000"/>
              </w:rPr>
            </w:pPr>
            <w:r w:rsidRPr="0097085A">
              <w:rPr>
                <w:rFonts w:ascii="Arial" w:hAnsi="Arial" w:cs="Arial"/>
                <w:color w:val="000000"/>
              </w:rPr>
              <w:t>5.81</w:t>
            </w:r>
          </w:p>
        </w:tc>
        <w:tc>
          <w:tcPr>
            <w:tcW w:w="688" w:type="pct"/>
            <w:tcBorders>
              <w:top w:val="nil"/>
              <w:left w:val="nil"/>
              <w:bottom w:val="nil"/>
              <w:right w:val="nil"/>
            </w:tcBorders>
            <w:shd w:val="clear" w:color="auto" w:fill="auto"/>
            <w:vAlign w:val="center"/>
            <w:hideMark/>
          </w:tcPr>
          <w:p w14:paraId="4128B132"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71.80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5122A647" w14:textId="77777777" w:rsidR="00983E50" w:rsidRPr="0097085A" w:rsidRDefault="00983E50" w:rsidP="00663C91">
            <w:pPr>
              <w:jc w:val="center"/>
              <w:rPr>
                <w:rFonts w:ascii="Arial" w:hAnsi="Arial" w:cs="Arial"/>
                <w:color w:val="000000"/>
              </w:rPr>
            </w:pPr>
            <w:r w:rsidRPr="0097085A">
              <w:rPr>
                <w:rFonts w:ascii="Arial" w:hAnsi="Arial" w:cs="Arial"/>
                <w:color w:val="000000"/>
              </w:rPr>
              <w:t>0.31 b</w:t>
            </w:r>
          </w:p>
        </w:tc>
      </w:tr>
      <w:tr w:rsidR="004615E3" w:rsidRPr="0097085A" w14:paraId="33A77F81" w14:textId="77777777" w:rsidTr="004615E3">
        <w:trPr>
          <w:trHeight w:val="792"/>
          <w:jc w:val="center"/>
        </w:trPr>
        <w:tc>
          <w:tcPr>
            <w:tcW w:w="743" w:type="pct"/>
            <w:tcBorders>
              <w:top w:val="nil"/>
              <w:left w:val="nil"/>
              <w:bottom w:val="nil"/>
              <w:right w:val="nil"/>
            </w:tcBorders>
            <w:shd w:val="clear" w:color="auto" w:fill="auto"/>
            <w:vAlign w:val="center"/>
            <w:hideMark/>
          </w:tcPr>
          <w:p w14:paraId="1145DFCE"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5</w:t>
            </w:r>
          </w:p>
        </w:tc>
        <w:tc>
          <w:tcPr>
            <w:tcW w:w="675" w:type="pct"/>
            <w:tcBorders>
              <w:top w:val="nil"/>
              <w:left w:val="nil"/>
              <w:bottom w:val="nil"/>
              <w:right w:val="nil"/>
            </w:tcBorders>
            <w:shd w:val="clear" w:color="auto" w:fill="auto"/>
            <w:vAlign w:val="center"/>
            <w:hideMark/>
          </w:tcPr>
          <w:p w14:paraId="40A79011"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4.80 </w:t>
            </w:r>
            <w:proofErr w:type="spellStart"/>
            <w:r w:rsidRPr="0097085A">
              <w:rPr>
                <w:rFonts w:ascii="Arial" w:hAnsi="Arial" w:cs="Arial"/>
                <w:color w:val="000000"/>
              </w:rPr>
              <w:t>bcd</w:t>
            </w:r>
            <w:proofErr w:type="spellEnd"/>
          </w:p>
        </w:tc>
        <w:tc>
          <w:tcPr>
            <w:tcW w:w="627" w:type="pct"/>
            <w:tcBorders>
              <w:top w:val="nil"/>
              <w:left w:val="nil"/>
              <w:bottom w:val="nil"/>
              <w:right w:val="nil"/>
            </w:tcBorders>
            <w:shd w:val="clear" w:color="auto" w:fill="auto"/>
            <w:vAlign w:val="center"/>
            <w:hideMark/>
          </w:tcPr>
          <w:p w14:paraId="774EB8C9"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46.00 </w:t>
            </w:r>
            <w:proofErr w:type="spellStart"/>
            <w:r w:rsidRPr="0097085A">
              <w:rPr>
                <w:rFonts w:ascii="Arial" w:hAnsi="Arial" w:cs="Arial"/>
                <w:color w:val="000000"/>
              </w:rPr>
              <w:t>bc</w:t>
            </w:r>
            <w:proofErr w:type="spellEnd"/>
          </w:p>
        </w:tc>
        <w:tc>
          <w:tcPr>
            <w:tcW w:w="579" w:type="pct"/>
            <w:tcBorders>
              <w:top w:val="nil"/>
              <w:left w:val="nil"/>
              <w:bottom w:val="nil"/>
              <w:right w:val="nil"/>
            </w:tcBorders>
            <w:shd w:val="clear" w:color="auto" w:fill="auto"/>
            <w:vAlign w:val="center"/>
            <w:hideMark/>
          </w:tcPr>
          <w:p w14:paraId="2213E458" w14:textId="77777777" w:rsidR="00983E50" w:rsidRPr="0097085A" w:rsidRDefault="00983E50" w:rsidP="00663C91">
            <w:pPr>
              <w:jc w:val="center"/>
              <w:rPr>
                <w:rFonts w:ascii="Arial" w:hAnsi="Arial" w:cs="Arial"/>
                <w:color w:val="000000"/>
              </w:rPr>
            </w:pPr>
            <w:r w:rsidRPr="0097085A">
              <w:rPr>
                <w:rFonts w:ascii="Arial" w:hAnsi="Arial" w:cs="Arial"/>
                <w:color w:val="000000"/>
              </w:rPr>
              <w:t>8.88 b</w:t>
            </w:r>
          </w:p>
        </w:tc>
        <w:tc>
          <w:tcPr>
            <w:tcW w:w="572" w:type="pct"/>
            <w:tcBorders>
              <w:top w:val="nil"/>
              <w:left w:val="nil"/>
              <w:bottom w:val="nil"/>
              <w:right w:val="nil"/>
            </w:tcBorders>
            <w:shd w:val="clear" w:color="auto" w:fill="auto"/>
            <w:vAlign w:val="center"/>
            <w:hideMark/>
          </w:tcPr>
          <w:p w14:paraId="702BB80B" w14:textId="77777777" w:rsidR="00983E50" w:rsidRPr="0097085A" w:rsidRDefault="00983E50" w:rsidP="00663C91">
            <w:pPr>
              <w:jc w:val="center"/>
              <w:rPr>
                <w:rFonts w:ascii="Arial" w:hAnsi="Arial" w:cs="Arial"/>
                <w:color w:val="000000"/>
              </w:rPr>
            </w:pPr>
            <w:r w:rsidRPr="0097085A">
              <w:rPr>
                <w:rFonts w:ascii="Arial" w:hAnsi="Arial" w:cs="Arial"/>
                <w:color w:val="000000"/>
              </w:rPr>
              <w:t>11.00 b</w:t>
            </w:r>
          </w:p>
        </w:tc>
        <w:tc>
          <w:tcPr>
            <w:tcW w:w="537" w:type="pct"/>
            <w:tcBorders>
              <w:top w:val="nil"/>
              <w:left w:val="nil"/>
              <w:bottom w:val="nil"/>
              <w:right w:val="nil"/>
            </w:tcBorders>
            <w:shd w:val="clear" w:color="auto" w:fill="auto"/>
            <w:vAlign w:val="center"/>
            <w:hideMark/>
          </w:tcPr>
          <w:p w14:paraId="5840610D" w14:textId="77777777" w:rsidR="00983E50" w:rsidRPr="0097085A" w:rsidRDefault="00983E50" w:rsidP="00663C91">
            <w:pPr>
              <w:jc w:val="center"/>
              <w:rPr>
                <w:rFonts w:ascii="Arial" w:hAnsi="Arial" w:cs="Arial"/>
                <w:color w:val="000000"/>
              </w:rPr>
            </w:pPr>
            <w:r w:rsidRPr="0097085A">
              <w:rPr>
                <w:rFonts w:ascii="Arial" w:hAnsi="Arial" w:cs="Arial"/>
                <w:color w:val="000000"/>
              </w:rPr>
              <w:t>5.51</w:t>
            </w:r>
          </w:p>
        </w:tc>
        <w:tc>
          <w:tcPr>
            <w:tcW w:w="688" w:type="pct"/>
            <w:tcBorders>
              <w:top w:val="nil"/>
              <w:left w:val="nil"/>
              <w:bottom w:val="nil"/>
              <w:right w:val="nil"/>
            </w:tcBorders>
            <w:shd w:val="clear" w:color="auto" w:fill="auto"/>
            <w:vAlign w:val="center"/>
            <w:hideMark/>
          </w:tcPr>
          <w:p w14:paraId="38D80EA8" w14:textId="77777777" w:rsidR="00983E50" w:rsidRPr="0097085A" w:rsidRDefault="00983E50" w:rsidP="00663C91">
            <w:pPr>
              <w:jc w:val="center"/>
              <w:rPr>
                <w:rFonts w:ascii="Arial" w:hAnsi="Arial" w:cs="Arial"/>
                <w:color w:val="000000"/>
              </w:rPr>
            </w:pPr>
            <w:r w:rsidRPr="0097085A">
              <w:rPr>
                <w:rFonts w:ascii="Arial" w:hAnsi="Arial" w:cs="Arial"/>
                <w:color w:val="000000"/>
              </w:rPr>
              <w:t>71.38 cd</w:t>
            </w:r>
          </w:p>
        </w:tc>
        <w:tc>
          <w:tcPr>
            <w:tcW w:w="579" w:type="pct"/>
            <w:tcBorders>
              <w:top w:val="nil"/>
              <w:left w:val="nil"/>
              <w:bottom w:val="nil"/>
              <w:right w:val="nil"/>
            </w:tcBorders>
            <w:shd w:val="clear" w:color="auto" w:fill="auto"/>
            <w:vAlign w:val="center"/>
            <w:hideMark/>
          </w:tcPr>
          <w:p w14:paraId="53B72230" w14:textId="77777777" w:rsidR="00983E50" w:rsidRPr="0097085A" w:rsidRDefault="00983E50" w:rsidP="00663C91">
            <w:pPr>
              <w:jc w:val="center"/>
              <w:rPr>
                <w:rFonts w:ascii="Arial" w:hAnsi="Arial" w:cs="Arial"/>
                <w:color w:val="000000"/>
              </w:rPr>
            </w:pPr>
            <w:r w:rsidRPr="0097085A">
              <w:rPr>
                <w:rFonts w:ascii="Arial" w:hAnsi="Arial" w:cs="Arial"/>
                <w:color w:val="000000"/>
              </w:rPr>
              <w:t>0.32 b</w:t>
            </w:r>
          </w:p>
        </w:tc>
      </w:tr>
      <w:tr w:rsidR="004615E3" w:rsidRPr="0097085A" w14:paraId="766C561A" w14:textId="77777777" w:rsidTr="004615E3">
        <w:trPr>
          <w:trHeight w:val="792"/>
          <w:jc w:val="center"/>
        </w:trPr>
        <w:tc>
          <w:tcPr>
            <w:tcW w:w="743" w:type="pct"/>
            <w:tcBorders>
              <w:top w:val="nil"/>
              <w:left w:val="nil"/>
              <w:bottom w:val="nil"/>
              <w:right w:val="nil"/>
            </w:tcBorders>
            <w:shd w:val="clear" w:color="auto" w:fill="auto"/>
            <w:vAlign w:val="center"/>
            <w:hideMark/>
          </w:tcPr>
          <w:p w14:paraId="3BD33934"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6</w:t>
            </w:r>
          </w:p>
        </w:tc>
        <w:tc>
          <w:tcPr>
            <w:tcW w:w="675" w:type="pct"/>
            <w:tcBorders>
              <w:top w:val="nil"/>
              <w:left w:val="nil"/>
              <w:bottom w:val="nil"/>
              <w:right w:val="nil"/>
            </w:tcBorders>
            <w:shd w:val="clear" w:color="auto" w:fill="auto"/>
            <w:vAlign w:val="center"/>
            <w:hideMark/>
          </w:tcPr>
          <w:p w14:paraId="3146425A"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4.94 </w:t>
            </w:r>
            <w:proofErr w:type="spellStart"/>
            <w:r w:rsidRPr="0097085A">
              <w:rPr>
                <w:rFonts w:ascii="Arial" w:hAnsi="Arial" w:cs="Arial"/>
                <w:color w:val="000000"/>
              </w:rPr>
              <w:t>abc</w:t>
            </w:r>
            <w:proofErr w:type="spellEnd"/>
          </w:p>
        </w:tc>
        <w:tc>
          <w:tcPr>
            <w:tcW w:w="627" w:type="pct"/>
            <w:tcBorders>
              <w:top w:val="nil"/>
              <w:left w:val="nil"/>
              <w:bottom w:val="nil"/>
              <w:right w:val="nil"/>
            </w:tcBorders>
            <w:shd w:val="clear" w:color="auto" w:fill="auto"/>
            <w:vAlign w:val="center"/>
            <w:hideMark/>
          </w:tcPr>
          <w:p w14:paraId="6F6C54F4"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53.33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2A0401D0" w14:textId="77777777" w:rsidR="00983E50" w:rsidRPr="0097085A" w:rsidRDefault="00983E50" w:rsidP="00663C91">
            <w:pPr>
              <w:jc w:val="center"/>
              <w:rPr>
                <w:rFonts w:ascii="Arial" w:hAnsi="Arial" w:cs="Arial"/>
                <w:color w:val="000000"/>
              </w:rPr>
            </w:pPr>
            <w:r w:rsidRPr="0097085A">
              <w:rPr>
                <w:rFonts w:ascii="Arial" w:hAnsi="Arial" w:cs="Arial"/>
                <w:color w:val="000000"/>
              </w:rPr>
              <w:t>9.24 ab</w:t>
            </w:r>
          </w:p>
        </w:tc>
        <w:tc>
          <w:tcPr>
            <w:tcW w:w="572" w:type="pct"/>
            <w:tcBorders>
              <w:top w:val="nil"/>
              <w:left w:val="nil"/>
              <w:bottom w:val="nil"/>
              <w:right w:val="nil"/>
            </w:tcBorders>
            <w:shd w:val="clear" w:color="auto" w:fill="auto"/>
            <w:vAlign w:val="center"/>
            <w:hideMark/>
          </w:tcPr>
          <w:p w14:paraId="76C65510" w14:textId="77777777" w:rsidR="00983E50" w:rsidRPr="0097085A" w:rsidRDefault="00983E50" w:rsidP="00663C91">
            <w:pPr>
              <w:jc w:val="center"/>
              <w:rPr>
                <w:rFonts w:ascii="Arial" w:hAnsi="Arial" w:cs="Arial"/>
                <w:color w:val="000000"/>
              </w:rPr>
            </w:pPr>
            <w:r w:rsidRPr="0097085A">
              <w:rPr>
                <w:rFonts w:ascii="Arial" w:hAnsi="Arial" w:cs="Arial"/>
                <w:color w:val="000000"/>
              </w:rPr>
              <w:t>11.03 b</w:t>
            </w:r>
          </w:p>
        </w:tc>
        <w:tc>
          <w:tcPr>
            <w:tcW w:w="537" w:type="pct"/>
            <w:tcBorders>
              <w:top w:val="nil"/>
              <w:left w:val="nil"/>
              <w:bottom w:val="nil"/>
              <w:right w:val="nil"/>
            </w:tcBorders>
            <w:shd w:val="clear" w:color="auto" w:fill="auto"/>
            <w:vAlign w:val="center"/>
            <w:hideMark/>
          </w:tcPr>
          <w:p w14:paraId="31BA321C" w14:textId="77777777" w:rsidR="00983E50" w:rsidRPr="0097085A" w:rsidRDefault="00983E50" w:rsidP="00663C91">
            <w:pPr>
              <w:jc w:val="center"/>
              <w:rPr>
                <w:rFonts w:ascii="Arial" w:hAnsi="Arial" w:cs="Arial"/>
                <w:color w:val="000000"/>
              </w:rPr>
            </w:pPr>
            <w:r w:rsidRPr="0097085A">
              <w:rPr>
                <w:rFonts w:ascii="Arial" w:hAnsi="Arial" w:cs="Arial"/>
                <w:color w:val="000000"/>
              </w:rPr>
              <w:t>6.1</w:t>
            </w:r>
          </w:p>
        </w:tc>
        <w:tc>
          <w:tcPr>
            <w:tcW w:w="688" w:type="pct"/>
            <w:tcBorders>
              <w:top w:val="nil"/>
              <w:left w:val="nil"/>
              <w:bottom w:val="nil"/>
              <w:right w:val="nil"/>
            </w:tcBorders>
            <w:shd w:val="clear" w:color="auto" w:fill="auto"/>
            <w:vAlign w:val="center"/>
            <w:hideMark/>
          </w:tcPr>
          <w:p w14:paraId="4F213A35"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72.65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48C2DB85" w14:textId="77777777" w:rsidR="00983E50" w:rsidRPr="0097085A" w:rsidRDefault="00983E50" w:rsidP="00663C91">
            <w:pPr>
              <w:jc w:val="center"/>
              <w:rPr>
                <w:rFonts w:ascii="Arial" w:hAnsi="Arial" w:cs="Arial"/>
                <w:color w:val="000000"/>
              </w:rPr>
            </w:pPr>
            <w:r w:rsidRPr="0097085A">
              <w:rPr>
                <w:rFonts w:ascii="Arial" w:hAnsi="Arial" w:cs="Arial"/>
                <w:color w:val="000000"/>
              </w:rPr>
              <w:t>0.37 ab</w:t>
            </w:r>
          </w:p>
        </w:tc>
      </w:tr>
      <w:tr w:rsidR="004615E3" w:rsidRPr="0097085A" w14:paraId="51BDDE71" w14:textId="77777777" w:rsidTr="004615E3">
        <w:trPr>
          <w:trHeight w:val="792"/>
          <w:jc w:val="center"/>
        </w:trPr>
        <w:tc>
          <w:tcPr>
            <w:tcW w:w="743" w:type="pct"/>
            <w:tcBorders>
              <w:top w:val="nil"/>
              <w:left w:val="nil"/>
              <w:bottom w:val="nil"/>
              <w:right w:val="nil"/>
            </w:tcBorders>
            <w:shd w:val="clear" w:color="auto" w:fill="auto"/>
            <w:vAlign w:val="center"/>
            <w:hideMark/>
          </w:tcPr>
          <w:p w14:paraId="35302D04"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7</w:t>
            </w:r>
          </w:p>
        </w:tc>
        <w:tc>
          <w:tcPr>
            <w:tcW w:w="675" w:type="pct"/>
            <w:tcBorders>
              <w:top w:val="nil"/>
              <w:left w:val="nil"/>
              <w:bottom w:val="nil"/>
              <w:right w:val="nil"/>
            </w:tcBorders>
            <w:shd w:val="clear" w:color="auto" w:fill="auto"/>
            <w:vAlign w:val="center"/>
            <w:hideMark/>
          </w:tcPr>
          <w:p w14:paraId="143BB8D0"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4.83 </w:t>
            </w:r>
            <w:proofErr w:type="spellStart"/>
            <w:r w:rsidRPr="0097085A">
              <w:rPr>
                <w:rFonts w:ascii="Arial" w:hAnsi="Arial" w:cs="Arial"/>
                <w:color w:val="000000"/>
              </w:rPr>
              <w:t>bcd</w:t>
            </w:r>
            <w:proofErr w:type="spellEnd"/>
          </w:p>
        </w:tc>
        <w:tc>
          <w:tcPr>
            <w:tcW w:w="627" w:type="pct"/>
            <w:tcBorders>
              <w:top w:val="nil"/>
              <w:left w:val="nil"/>
              <w:bottom w:val="nil"/>
              <w:right w:val="nil"/>
            </w:tcBorders>
            <w:shd w:val="clear" w:color="auto" w:fill="auto"/>
            <w:vAlign w:val="center"/>
            <w:hideMark/>
          </w:tcPr>
          <w:p w14:paraId="522DCC8B"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50.33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420CC730" w14:textId="77777777" w:rsidR="00983E50" w:rsidRPr="0097085A" w:rsidRDefault="00983E50" w:rsidP="00663C91">
            <w:pPr>
              <w:jc w:val="center"/>
              <w:rPr>
                <w:rFonts w:ascii="Arial" w:hAnsi="Arial" w:cs="Arial"/>
                <w:color w:val="000000"/>
              </w:rPr>
            </w:pPr>
            <w:r w:rsidRPr="0097085A">
              <w:rPr>
                <w:rFonts w:ascii="Arial" w:hAnsi="Arial" w:cs="Arial"/>
                <w:color w:val="000000"/>
              </w:rPr>
              <w:t>9.07 ab</w:t>
            </w:r>
          </w:p>
        </w:tc>
        <w:tc>
          <w:tcPr>
            <w:tcW w:w="572" w:type="pct"/>
            <w:tcBorders>
              <w:top w:val="nil"/>
              <w:left w:val="nil"/>
              <w:bottom w:val="nil"/>
              <w:right w:val="nil"/>
            </w:tcBorders>
            <w:shd w:val="clear" w:color="auto" w:fill="auto"/>
            <w:vAlign w:val="center"/>
            <w:hideMark/>
          </w:tcPr>
          <w:p w14:paraId="7F425C58" w14:textId="77777777" w:rsidR="00983E50" w:rsidRPr="0097085A" w:rsidRDefault="00983E50" w:rsidP="00663C91">
            <w:pPr>
              <w:jc w:val="center"/>
              <w:rPr>
                <w:rFonts w:ascii="Arial" w:hAnsi="Arial" w:cs="Arial"/>
                <w:color w:val="000000"/>
              </w:rPr>
            </w:pPr>
            <w:r w:rsidRPr="0097085A">
              <w:rPr>
                <w:rFonts w:ascii="Arial" w:hAnsi="Arial" w:cs="Arial"/>
                <w:color w:val="000000"/>
              </w:rPr>
              <w:t>10.83 b</w:t>
            </w:r>
          </w:p>
        </w:tc>
        <w:tc>
          <w:tcPr>
            <w:tcW w:w="537" w:type="pct"/>
            <w:tcBorders>
              <w:top w:val="nil"/>
              <w:left w:val="nil"/>
              <w:bottom w:val="nil"/>
              <w:right w:val="nil"/>
            </w:tcBorders>
            <w:shd w:val="clear" w:color="auto" w:fill="auto"/>
            <w:vAlign w:val="center"/>
            <w:hideMark/>
          </w:tcPr>
          <w:p w14:paraId="2FDD88FE" w14:textId="77777777" w:rsidR="00983E50" w:rsidRPr="0097085A" w:rsidRDefault="00983E50" w:rsidP="00663C91">
            <w:pPr>
              <w:jc w:val="center"/>
              <w:rPr>
                <w:rFonts w:ascii="Arial" w:hAnsi="Arial" w:cs="Arial"/>
                <w:color w:val="000000"/>
              </w:rPr>
            </w:pPr>
            <w:r w:rsidRPr="0097085A">
              <w:rPr>
                <w:rFonts w:ascii="Arial" w:hAnsi="Arial" w:cs="Arial"/>
                <w:color w:val="000000"/>
              </w:rPr>
              <w:t>5.78</w:t>
            </w:r>
          </w:p>
        </w:tc>
        <w:tc>
          <w:tcPr>
            <w:tcW w:w="688" w:type="pct"/>
            <w:tcBorders>
              <w:top w:val="nil"/>
              <w:left w:val="nil"/>
              <w:bottom w:val="nil"/>
              <w:right w:val="nil"/>
            </w:tcBorders>
            <w:shd w:val="clear" w:color="auto" w:fill="auto"/>
            <w:vAlign w:val="center"/>
            <w:hideMark/>
          </w:tcPr>
          <w:p w14:paraId="60DD36D6"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72.78 </w:t>
            </w:r>
            <w:proofErr w:type="spellStart"/>
            <w:r w:rsidRPr="0097085A">
              <w:rPr>
                <w:rFonts w:ascii="Arial" w:hAnsi="Arial" w:cs="Arial"/>
                <w:color w:val="000000"/>
              </w:rPr>
              <w:t>abc</w:t>
            </w:r>
            <w:proofErr w:type="spellEnd"/>
          </w:p>
        </w:tc>
        <w:tc>
          <w:tcPr>
            <w:tcW w:w="579" w:type="pct"/>
            <w:tcBorders>
              <w:top w:val="nil"/>
              <w:left w:val="nil"/>
              <w:bottom w:val="nil"/>
              <w:right w:val="nil"/>
            </w:tcBorders>
            <w:shd w:val="clear" w:color="auto" w:fill="auto"/>
            <w:vAlign w:val="center"/>
            <w:hideMark/>
          </w:tcPr>
          <w:p w14:paraId="218DA349" w14:textId="77777777" w:rsidR="00983E50" w:rsidRPr="0097085A" w:rsidRDefault="00983E50" w:rsidP="00663C91">
            <w:pPr>
              <w:jc w:val="center"/>
              <w:rPr>
                <w:rFonts w:ascii="Arial" w:hAnsi="Arial" w:cs="Arial"/>
                <w:color w:val="000000"/>
              </w:rPr>
            </w:pPr>
            <w:r w:rsidRPr="0097085A">
              <w:rPr>
                <w:rFonts w:ascii="Arial" w:hAnsi="Arial" w:cs="Arial"/>
                <w:color w:val="000000"/>
              </w:rPr>
              <w:t>0.33 ab</w:t>
            </w:r>
          </w:p>
        </w:tc>
      </w:tr>
      <w:tr w:rsidR="004615E3" w:rsidRPr="0097085A" w14:paraId="2DA2295D" w14:textId="77777777" w:rsidTr="004615E3">
        <w:trPr>
          <w:trHeight w:val="792"/>
          <w:jc w:val="center"/>
        </w:trPr>
        <w:tc>
          <w:tcPr>
            <w:tcW w:w="743" w:type="pct"/>
            <w:tcBorders>
              <w:top w:val="nil"/>
              <w:left w:val="nil"/>
              <w:bottom w:val="nil"/>
              <w:right w:val="nil"/>
            </w:tcBorders>
            <w:shd w:val="clear" w:color="auto" w:fill="auto"/>
            <w:vAlign w:val="center"/>
            <w:hideMark/>
          </w:tcPr>
          <w:p w14:paraId="7C0B745B"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8</w:t>
            </w:r>
          </w:p>
        </w:tc>
        <w:tc>
          <w:tcPr>
            <w:tcW w:w="675" w:type="pct"/>
            <w:tcBorders>
              <w:top w:val="nil"/>
              <w:left w:val="nil"/>
              <w:bottom w:val="nil"/>
              <w:right w:val="nil"/>
            </w:tcBorders>
            <w:shd w:val="clear" w:color="auto" w:fill="auto"/>
            <w:vAlign w:val="center"/>
            <w:hideMark/>
          </w:tcPr>
          <w:p w14:paraId="5E7BC90F" w14:textId="77777777" w:rsidR="00983E50" w:rsidRPr="0097085A" w:rsidRDefault="00983E50" w:rsidP="00663C91">
            <w:pPr>
              <w:jc w:val="center"/>
              <w:rPr>
                <w:rFonts w:ascii="Arial" w:hAnsi="Arial" w:cs="Arial"/>
                <w:color w:val="000000"/>
              </w:rPr>
            </w:pPr>
            <w:r w:rsidRPr="0097085A">
              <w:rPr>
                <w:rFonts w:ascii="Arial" w:hAnsi="Arial" w:cs="Arial"/>
                <w:color w:val="000000"/>
              </w:rPr>
              <w:t>5.36 ab</w:t>
            </w:r>
          </w:p>
        </w:tc>
        <w:tc>
          <w:tcPr>
            <w:tcW w:w="627" w:type="pct"/>
            <w:tcBorders>
              <w:top w:val="nil"/>
              <w:left w:val="nil"/>
              <w:bottom w:val="nil"/>
              <w:right w:val="nil"/>
            </w:tcBorders>
            <w:shd w:val="clear" w:color="auto" w:fill="auto"/>
            <w:vAlign w:val="center"/>
            <w:hideMark/>
          </w:tcPr>
          <w:p w14:paraId="4DDD23FB" w14:textId="77777777" w:rsidR="00983E50" w:rsidRPr="0097085A" w:rsidRDefault="00983E50" w:rsidP="00663C91">
            <w:pPr>
              <w:jc w:val="center"/>
              <w:rPr>
                <w:rFonts w:ascii="Arial" w:hAnsi="Arial" w:cs="Arial"/>
                <w:color w:val="000000"/>
              </w:rPr>
            </w:pPr>
            <w:r w:rsidRPr="0097085A">
              <w:rPr>
                <w:rFonts w:ascii="Arial" w:hAnsi="Arial" w:cs="Arial"/>
                <w:color w:val="000000"/>
              </w:rPr>
              <w:t>55.00 ab</w:t>
            </w:r>
          </w:p>
        </w:tc>
        <w:tc>
          <w:tcPr>
            <w:tcW w:w="579" w:type="pct"/>
            <w:tcBorders>
              <w:top w:val="nil"/>
              <w:left w:val="nil"/>
              <w:bottom w:val="nil"/>
              <w:right w:val="nil"/>
            </w:tcBorders>
            <w:shd w:val="clear" w:color="auto" w:fill="auto"/>
            <w:vAlign w:val="center"/>
            <w:hideMark/>
          </w:tcPr>
          <w:p w14:paraId="37BA44BA" w14:textId="77777777" w:rsidR="00983E50" w:rsidRPr="0097085A" w:rsidRDefault="00983E50" w:rsidP="00663C91">
            <w:pPr>
              <w:jc w:val="center"/>
              <w:rPr>
                <w:rFonts w:ascii="Arial" w:hAnsi="Arial" w:cs="Arial"/>
                <w:color w:val="000000"/>
              </w:rPr>
            </w:pPr>
            <w:r w:rsidRPr="0097085A">
              <w:rPr>
                <w:rFonts w:ascii="Arial" w:hAnsi="Arial" w:cs="Arial"/>
                <w:color w:val="000000"/>
              </w:rPr>
              <w:t>9.27 ab</w:t>
            </w:r>
          </w:p>
        </w:tc>
        <w:tc>
          <w:tcPr>
            <w:tcW w:w="572" w:type="pct"/>
            <w:tcBorders>
              <w:top w:val="nil"/>
              <w:left w:val="nil"/>
              <w:bottom w:val="nil"/>
              <w:right w:val="nil"/>
            </w:tcBorders>
            <w:shd w:val="clear" w:color="auto" w:fill="auto"/>
            <w:vAlign w:val="center"/>
            <w:hideMark/>
          </w:tcPr>
          <w:p w14:paraId="7FEB66AA" w14:textId="77777777" w:rsidR="00983E50" w:rsidRPr="0097085A" w:rsidRDefault="00983E50" w:rsidP="00663C91">
            <w:pPr>
              <w:jc w:val="center"/>
              <w:rPr>
                <w:rFonts w:ascii="Arial" w:hAnsi="Arial" w:cs="Arial"/>
                <w:color w:val="000000"/>
              </w:rPr>
            </w:pPr>
            <w:r w:rsidRPr="0097085A">
              <w:rPr>
                <w:rFonts w:ascii="Arial" w:hAnsi="Arial" w:cs="Arial"/>
                <w:color w:val="000000"/>
              </w:rPr>
              <w:t>11.20 b</w:t>
            </w:r>
          </w:p>
        </w:tc>
        <w:tc>
          <w:tcPr>
            <w:tcW w:w="537" w:type="pct"/>
            <w:tcBorders>
              <w:top w:val="nil"/>
              <w:left w:val="nil"/>
              <w:bottom w:val="nil"/>
              <w:right w:val="nil"/>
            </w:tcBorders>
            <w:shd w:val="clear" w:color="auto" w:fill="auto"/>
            <w:vAlign w:val="center"/>
            <w:hideMark/>
          </w:tcPr>
          <w:p w14:paraId="04CE7276" w14:textId="77777777"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bottom w:val="nil"/>
              <w:right w:val="nil"/>
            </w:tcBorders>
            <w:shd w:val="clear" w:color="auto" w:fill="auto"/>
            <w:vAlign w:val="center"/>
            <w:hideMark/>
          </w:tcPr>
          <w:p w14:paraId="7F09BF27" w14:textId="77777777" w:rsidR="00983E50" w:rsidRPr="0097085A" w:rsidRDefault="00983E50" w:rsidP="00663C91">
            <w:pPr>
              <w:jc w:val="center"/>
              <w:rPr>
                <w:rFonts w:ascii="Arial" w:hAnsi="Arial" w:cs="Arial"/>
                <w:color w:val="000000"/>
              </w:rPr>
            </w:pPr>
            <w:r w:rsidRPr="0097085A">
              <w:rPr>
                <w:rFonts w:ascii="Arial" w:hAnsi="Arial" w:cs="Arial"/>
                <w:color w:val="000000"/>
              </w:rPr>
              <w:t>73.41 ab</w:t>
            </w:r>
          </w:p>
        </w:tc>
        <w:tc>
          <w:tcPr>
            <w:tcW w:w="579" w:type="pct"/>
            <w:tcBorders>
              <w:top w:val="nil"/>
              <w:left w:val="nil"/>
              <w:bottom w:val="nil"/>
              <w:right w:val="nil"/>
            </w:tcBorders>
            <w:shd w:val="clear" w:color="auto" w:fill="auto"/>
            <w:vAlign w:val="center"/>
            <w:hideMark/>
          </w:tcPr>
          <w:p w14:paraId="33F73467" w14:textId="77777777" w:rsidR="00983E50" w:rsidRPr="0097085A" w:rsidRDefault="00983E50" w:rsidP="00663C91">
            <w:pPr>
              <w:jc w:val="center"/>
              <w:rPr>
                <w:rFonts w:ascii="Arial" w:hAnsi="Arial" w:cs="Arial"/>
                <w:color w:val="000000"/>
              </w:rPr>
            </w:pPr>
            <w:r w:rsidRPr="0097085A">
              <w:rPr>
                <w:rFonts w:ascii="Arial" w:hAnsi="Arial" w:cs="Arial"/>
                <w:color w:val="000000"/>
              </w:rPr>
              <w:t>0.36 ab</w:t>
            </w:r>
          </w:p>
        </w:tc>
      </w:tr>
      <w:tr w:rsidR="004615E3" w:rsidRPr="0097085A" w14:paraId="0DDE20B0" w14:textId="77777777" w:rsidTr="004615E3">
        <w:trPr>
          <w:trHeight w:val="792"/>
          <w:jc w:val="center"/>
        </w:trPr>
        <w:tc>
          <w:tcPr>
            <w:tcW w:w="743" w:type="pct"/>
            <w:tcBorders>
              <w:top w:val="nil"/>
              <w:left w:val="nil"/>
              <w:bottom w:val="nil"/>
              <w:right w:val="nil"/>
            </w:tcBorders>
            <w:shd w:val="clear" w:color="auto" w:fill="auto"/>
            <w:vAlign w:val="center"/>
            <w:hideMark/>
          </w:tcPr>
          <w:p w14:paraId="41199560"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9</w:t>
            </w:r>
          </w:p>
        </w:tc>
        <w:tc>
          <w:tcPr>
            <w:tcW w:w="675" w:type="pct"/>
            <w:tcBorders>
              <w:top w:val="nil"/>
              <w:left w:val="nil"/>
              <w:bottom w:val="nil"/>
              <w:right w:val="nil"/>
            </w:tcBorders>
            <w:shd w:val="clear" w:color="auto" w:fill="auto"/>
            <w:vAlign w:val="center"/>
            <w:hideMark/>
          </w:tcPr>
          <w:p w14:paraId="0D844D62" w14:textId="77777777" w:rsidR="00983E50" w:rsidRPr="0097085A" w:rsidRDefault="00983E50" w:rsidP="00663C91">
            <w:pPr>
              <w:jc w:val="center"/>
              <w:rPr>
                <w:rFonts w:ascii="Arial" w:hAnsi="Arial" w:cs="Arial"/>
                <w:color w:val="000000"/>
              </w:rPr>
            </w:pPr>
            <w:r w:rsidRPr="0097085A">
              <w:rPr>
                <w:rFonts w:ascii="Arial" w:hAnsi="Arial" w:cs="Arial"/>
                <w:color w:val="000000"/>
              </w:rPr>
              <w:t>5.57 a</w:t>
            </w:r>
          </w:p>
        </w:tc>
        <w:tc>
          <w:tcPr>
            <w:tcW w:w="627" w:type="pct"/>
            <w:tcBorders>
              <w:top w:val="nil"/>
              <w:left w:val="nil"/>
              <w:bottom w:val="nil"/>
              <w:right w:val="nil"/>
            </w:tcBorders>
            <w:shd w:val="clear" w:color="auto" w:fill="auto"/>
            <w:vAlign w:val="center"/>
            <w:hideMark/>
          </w:tcPr>
          <w:p w14:paraId="27996359" w14:textId="77777777" w:rsidR="00983E50" w:rsidRPr="0097085A" w:rsidRDefault="00983E50" w:rsidP="00663C91">
            <w:pPr>
              <w:jc w:val="center"/>
              <w:rPr>
                <w:rFonts w:ascii="Arial" w:hAnsi="Arial" w:cs="Arial"/>
                <w:color w:val="000000"/>
              </w:rPr>
            </w:pPr>
            <w:r w:rsidRPr="0097085A">
              <w:rPr>
                <w:rFonts w:ascii="Arial" w:hAnsi="Arial" w:cs="Arial"/>
                <w:color w:val="000000"/>
              </w:rPr>
              <w:t>61.67 a</w:t>
            </w:r>
          </w:p>
        </w:tc>
        <w:tc>
          <w:tcPr>
            <w:tcW w:w="579" w:type="pct"/>
            <w:tcBorders>
              <w:top w:val="nil"/>
              <w:left w:val="nil"/>
              <w:bottom w:val="nil"/>
              <w:right w:val="nil"/>
            </w:tcBorders>
            <w:shd w:val="clear" w:color="auto" w:fill="auto"/>
            <w:vAlign w:val="center"/>
            <w:hideMark/>
          </w:tcPr>
          <w:p w14:paraId="42851065" w14:textId="77777777" w:rsidR="00983E50" w:rsidRPr="0097085A" w:rsidRDefault="00983E50" w:rsidP="00663C91">
            <w:pPr>
              <w:jc w:val="center"/>
              <w:rPr>
                <w:rFonts w:ascii="Arial" w:hAnsi="Arial" w:cs="Arial"/>
                <w:color w:val="000000"/>
              </w:rPr>
            </w:pPr>
            <w:r w:rsidRPr="0097085A">
              <w:rPr>
                <w:rFonts w:ascii="Arial" w:hAnsi="Arial" w:cs="Arial"/>
                <w:color w:val="000000"/>
              </w:rPr>
              <w:t>9.36 a</w:t>
            </w:r>
          </w:p>
        </w:tc>
        <w:tc>
          <w:tcPr>
            <w:tcW w:w="572" w:type="pct"/>
            <w:tcBorders>
              <w:top w:val="nil"/>
              <w:left w:val="nil"/>
              <w:bottom w:val="nil"/>
              <w:right w:val="nil"/>
            </w:tcBorders>
            <w:shd w:val="clear" w:color="auto" w:fill="auto"/>
            <w:vAlign w:val="center"/>
            <w:hideMark/>
          </w:tcPr>
          <w:p w14:paraId="05D2BBFA" w14:textId="77777777" w:rsidR="00983E50" w:rsidRPr="0097085A" w:rsidRDefault="00983E50" w:rsidP="00663C91">
            <w:pPr>
              <w:jc w:val="center"/>
              <w:rPr>
                <w:rFonts w:ascii="Arial" w:hAnsi="Arial" w:cs="Arial"/>
                <w:color w:val="000000"/>
              </w:rPr>
            </w:pPr>
            <w:r w:rsidRPr="0097085A">
              <w:rPr>
                <w:rFonts w:ascii="Arial" w:hAnsi="Arial" w:cs="Arial"/>
                <w:color w:val="000000"/>
              </w:rPr>
              <w:t>12.20 a</w:t>
            </w:r>
          </w:p>
        </w:tc>
        <w:tc>
          <w:tcPr>
            <w:tcW w:w="537" w:type="pct"/>
            <w:tcBorders>
              <w:top w:val="nil"/>
              <w:left w:val="nil"/>
              <w:bottom w:val="nil"/>
              <w:right w:val="nil"/>
            </w:tcBorders>
            <w:shd w:val="clear" w:color="auto" w:fill="auto"/>
            <w:vAlign w:val="center"/>
            <w:hideMark/>
          </w:tcPr>
          <w:p w14:paraId="00820BAA" w14:textId="77777777" w:rsidR="00983E50" w:rsidRPr="0097085A" w:rsidRDefault="00983E50" w:rsidP="00663C91">
            <w:pPr>
              <w:jc w:val="center"/>
              <w:rPr>
                <w:rFonts w:ascii="Arial" w:hAnsi="Arial" w:cs="Arial"/>
                <w:color w:val="000000"/>
              </w:rPr>
            </w:pPr>
            <w:r w:rsidRPr="0097085A">
              <w:rPr>
                <w:rFonts w:ascii="Arial" w:hAnsi="Arial" w:cs="Arial"/>
                <w:color w:val="000000"/>
              </w:rPr>
              <w:t>6.24</w:t>
            </w:r>
          </w:p>
        </w:tc>
        <w:tc>
          <w:tcPr>
            <w:tcW w:w="688" w:type="pct"/>
            <w:tcBorders>
              <w:top w:val="nil"/>
              <w:left w:val="nil"/>
              <w:bottom w:val="nil"/>
              <w:right w:val="nil"/>
            </w:tcBorders>
            <w:shd w:val="clear" w:color="auto" w:fill="auto"/>
            <w:vAlign w:val="center"/>
            <w:hideMark/>
          </w:tcPr>
          <w:p w14:paraId="180621D2" w14:textId="77777777" w:rsidR="00983E50" w:rsidRPr="0097085A" w:rsidRDefault="00983E50" w:rsidP="00663C91">
            <w:pPr>
              <w:jc w:val="center"/>
              <w:rPr>
                <w:rFonts w:ascii="Arial" w:hAnsi="Arial" w:cs="Arial"/>
                <w:color w:val="000000"/>
              </w:rPr>
            </w:pPr>
            <w:r w:rsidRPr="0097085A">
              <w:rPr>
                <w:rFonts w:ascii="Arial" w:hAnsi="Arial" w:cs="Arial"/>
                <w:color w:val="000000"/>
              </w:rPr>
              <w:t>74.38 a</w:t>
            </w:r>
          </w:p>
        </w:tc>
        <w:tc>
          <w:tcPr>
            <w:tcW w:w="579" w:type="pct"/>
            <w:tcBorders>
              <w:top w:val="nil"/>
              <w:left w:val="nil"/>
              <w:bottom w:val="nil"/>
              <w:right w:val="nil"/>
            </w:tcBorders>
            <w:shd w:val="clear" w:color="auto" w:fill="auto"/>
            <w:vAlign w:val="center"/>
            <w:hideMark/>
          </w:tcPr>
          <w:p w14:paraId="3E4C3D72" w14:textId="77777777" w:rsidR="00983E50" w:rsidRPr="0097085A" w:rsidRDefault="00983E50" w:rsidP="00663C91">
            <w:pPr>
              <w:jc w:val="center"/>
              <w:rPr>
                <w:rFonts w:ascii="Arial" w:hAnsi="Arial" w:cs="Arial"/>
                <w:color w:val="000000"/>
              </w:rPr>
            </w:pPr>
            <w:r w:rsidRPr="0097085A">
              <w:rPr>
                <w:rFonts w:ascii="Arial" w:hAnsi="Arial" w:cs="Arial"/>
                <w:color w:val="000000"/>
              </w:rPr>
              <w:t>0.38 a</w:t>
            </w:r>
          </w:p>
        </w:tc>
      </w:tr>
      <w:tr w:rsidR="004615E3" w:rsidRPr="0097085A" w14:paraId="7C6AACFF" w14:textId="77777777" w:rsidTr="004615E3">
        <w:trPr>
          <w:trHeight w:val="792"/>
          <w:jc w:val="center"/>
        </w:trPr>
        <w:tc>
          <w:tcPr>
            <w:tcW w:w="743" w:type="pct"/>
            <w:tcBorders>
              <w:top w:val="nil"/>
              <w:left w:val="nil"/>
              <w:right w:val="nil"/>
            </w:tcBorders>
            <w:shd w:val="clear" w:color="auto" w:fill="auto"/>
            <w:vAlign w:val="center"/>
            <w:hideMark/>
          </w:tcPr>
          <w:p w14:paraId="1D98A8B3" w14:textId="77777777" w:rsidR="00983E50" w:rsidRPr="0097085A" w:rsidRDefault="00983E50" w:rsidP="00663C91">
            <w:pPr>
              <w:jc w:val="center"/>
              <w:rPr>
                <w:rFonts w:ascii="Arial" w:hAnsi="Arial" w:cs="Arial"/>
                <w:color w:val="000000"/>
              </w:rPr>
            </w:pPr>
            <w:r w:rsidRPr="0097085A">
              <w:rPr>
                <w:rFonts w:ascii="Arial" w:hAnsi="Arial" w:cs="Arial"/>
                <w:color w:val="000000"/>
              </w:rPr>
              <w:t>T</w:t>
            </w:r>
            <w:r w:rsidRPr="0097085A">
              <w:rPr>
                <w:rFonts w:ascii="Arial" w:hAnsi="Arial" w:cs="Arial"/>
                <w:color w:val="000000"/>
                <w:vertAlign w:val="subscript"/>
              </w:rPr>
              <w:t>10</w:t>
            </w:r>
          </w:p>
        </w:tc>
        <w:tc>
          <w:tcPr>
            <w:tcW w:w="675" w:type="pct"/>
            <w:tcBorders>
              <w:top w:val="nil"/>
              <w:left w:val="nil"/>
              <w:right w:val="nil"/>
            </w:tcBorders>
            <w:shd w:val="clear" w:color="auto" w:fill="auto"/>
            <w:vAlign w:val="center"/>
            <w:hideMark/>
          </w:tcPr>
          <w:p w14:paraId="048CADAD" w14:textId="77777777" w:rsidR="00983E50" w:rsidRPr="0097085A" w:rsidRDefault="00983E50" w:rsidP="00663C91">
            <w:pPr>
              <w:jc w:val="center"/>
              <w:rPr>
                <w:rFonts w:ascii="Arial" w:hAnsi="Arial" w:cs="Arial"/>
                <w:color w:val="000000"/>
              </w:rPr>
            </w:pPr>
            <w:r w:rsidRPr="0097085A">
              <w:rPr>
                <w:rFonts w:ascii="Arial" w:hAnsi="Arial" w:cs="Arial"/>
                <w:color w:val="000000"/>
              </w:rPr>
              <w:t>5.25 ab</w:t>
            </w:r>
          </w:p>
        </w:tc>
        <w:tc>
          <w:tcPr>
            <w:tcW w:w="627" w:type="pct"/>
            <w:tcBorders>
              <w:top w:val="nil"/>
              <w:left w:val="nil"/>
              <w:right w:val="nil"/>
            </w:tcBorders>
            <w:shd w:val="clear" w:color="auto" w:fill="auto"/>
            <w:vAlign w:val="center"/>
            <w:hideMark/>
          </w:tcPr>
          <w:p w14:paraId="23EF86BD" w14:textId="77777777" w:rsidR="00983E50" w:rsidRPr="0097085A" w:rsidRDefault="00983E50" w:rsidP="00663C91">
            <w:pPr>
              <w:jc w:val="center"/>
              <w:rPr>
                <w:rFonts w:ascii="Arial" w:hAnsi="Arial" w:cs="Arial"/>
                <w:color w:val="000000"/>
              </w:rPr>
            </w:pPr>
            <w:r w:rsidRPr="0097085A">
              <w:rPr>
                <w:rFonts w:ascii="Arial" w:hAnsi="Arial" w:cs="Arial"/>
                <w:color w:val="000000"/>
              </w:rPr>
              <w:t>58.67 ab</w:t>
            </w:r>
          </w:p>
        </w:tc>
        <w:tc>
          <w:tcPr>
            <w:tcW w:w="579" w:type="pct"/>
            <w:tcBorders>
              <w:top w:val="nil"/>
              <w:left w:val="nil"/>
              <w:right w:val="nil"/>
            </w:tcBorders>
            <w:shd w:val="clear" w:color="auto" w:fill="auto"/>
            <w:vAlign w:val="center"/>
            <w:hideMark/>
          </w:tcPr>
          <w:p w14:paraId="3710BFAD" w14:textId="77777777" w:rsidR="00983E50" w:rsidRPr="0097085A" w:rsidRDefault="00983E50" w:rsidP="00663C91">
            <w:pPr>
              <w:jc w:val="center"/>
              <w:rPr>
                <w:rFonts w:ascii="Arial" w:hAnsi="Arial" w:cs="Arial"/>
                <w:color w:val="000000"/>
              </w:rPr>
            </w:pPr>
            <w:r w:rsidRPr="0097085A">
              <w:rPr>
                <w:rFonts w:ascii="Arial" w:hAnsi="Arial" w:cs="Arial"/>
                <w:color w:val="000000"/>
              </w:rPr>
              <w:t>9.35 a</w:t>
            </w:r>
          </w:p>
        </w:tc>
        <w:tc>
          <w:tcPr>
            <w:tcW w:w="572" w:type="pct"/>
            <w:tcBorders>
              <w:top w:val="nil"/>
              <w:left w:val="nil"/>
              <w:right w:val="nil"/>
            </w:tcBorders>
            <w:shd w:val="clear" w:color="auto" w:fill="auto"/>
            <w:vAlign w:val="center"/>
            <w:hideMark/>
          </w:tcPr>
          <w:p w14:paraId="18962079" w14:textId="77777777" w:rsidR="00983E50" w:rsidRPr="0097085A" w:rsidRDefault="00983E50" w:rsidP="00663C91">
            <w:pPr>
              <w:jc w:val="center"/>
              <w:rPr>
                <w:rFonts w:ascii="Arial" w:hAnsi="Arial" w:cs="Arial"/>
                <w:color w:val="000000"/>
              </w:rPr>
            </w:pPr>
            <w:r w:rsidRPr="0097085A">
              <w:rPr>
                <w:rFonts w:ascii="Arial" w:hAnsi="Arial" w:cs="Arial"/>
                <w:color w:val="000000"/>
              </w:rPr>
              <w:t>11.27 ab</w:t>
            </w:r>
          </w:p>
        </w:tc>
        <w:tc>
          <w:tcPr>
            <w:tcW w:w="537" w:type="pct"/>
            <w:tcBorders>
              <w:top w:val="nil"/>
              <w:left w:val="nil"/>
              <w:right w:val="nil"/>
            </w:tcBorders>
            <w:shd w:val="clear" w:color="auto" w:fill="auto"/>
            <w:vAlign w:val="center"/>
            <w:hideMark/>
          </w:tcPr>
          <w:p w14:paraId="52688684" w14:textId="77777777" w:rsidR="00983E50" w:rsidRPr="0097085A" w:rsidRDefault="00983E50" w:rsidP="00663C91">
            <w:pPr>
              <w:jc w:val="center"/>
              <w:rPr>
                <w:rFonts w:ascii="Arial" w:hAnsi="Arial" w:cs="Arial"/>
                <w:color w:val="000000"/>
              </w:rPr>
            </w:pPr>
            <w:r w:rsidRPr="0097085A">
              <w:rPr>
                <w:rFonts w:ascii="Arial" w:hAnsi="Arial" w:cs="Arial"/>
                <w:color w:val="000000"/>
              </w:rPr>
              <w:t>5.79</w:t>
            </w:r>
          </w:p>
        </w:tc>
        <w:tc>
          <w:tcPr>
            <w:tcW w:w="688" w:type="pct"/>
            <w:tcBorders>
              <w:top w:val="nil"/>
              <w:left w:val="nil"/>
              <w:right w:val="nil"/>
            </w:tcBorders>
            <w:shd w:val="clear" w:color="auto" w:fill="auto"/>
            <w:vAlign w:val="center"/>
            <w:hideMark/>
          </w:tcPr>
          <w:p w14:paraId="0EFD5783"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72.89 </w:t>
            </w:r>
            <w:proofErr w:type="spellStart"/>
            <w:r w:rsidRPr="0097085A">
              <w:rPr>
                <w:rFonts w:ascii="Arial" w:hAnsi="Arial" w:cs="Arial"/>
                <w:color w:val="000000"/>
              </w:rPr>
              <w:t>abc</w:t>
            </w:r>
            <w:proofErr w:type="spellEnd"/>
          </w:p>
        </w:tc>
        <w:tc>
          <w:tcPr>
            <w:tcW w:w="579" w:type="pct"/>
            <w:tcBorders>
              <w:top w:val="nil"/>
              <w:left w:val="nil"/>
              <w:right w:val="nil"/>
            </w:tcBorders>
            <w:shd w:val="clear" w:color="auto" w:fill="auto"/>
            <w:vAlign w:val="center"/>
            <w:hideMark/>
          </w:tcPr>
          <w:p w14:paraId="28130319" w14:textId="77777777" w:rsidR="00983E50" w:rsidRPr="0097085A" w:rsidRDefault="00983E50" w:rsidP="00663C91">
            <w:pPr>
              <w:jc w:val="center"/>
              <w:rPr>
                <w:rFonts w:ascii="Arial" w:hAnsi="Arial" w:cs="Arial"/>
                <w:color w:val="000000"/>
              </w:rPr>
            </w:pPr>
            <w:r w:rsidRPr="0097085A">
              <w:rPr>
                <w:rFonts w:ascii="Arial" w:hAnsi="Arial" w:cs="Arial"/>
                <w:color w:val="000000"/>
              </w:rPr>
              <w:t>0.34 ab</w:t>
            </w:r>
          </w:p>
        </w:tc>
      </w:tr>
      <w:tr w:rsidR="004615E3" w:rsidRPr="0097085A" w14:paraId="2761E14B" w14:textId="77777777" w:rsidTr="004615E3">
        <w:trPr>
          <w:trHeight w:val="792"/>
          <w:jc w:val="center"/>
        </w:trPr>
        <w:tc>
          <w:tcPr>
            <w:tcW w:w="743" w:type="pct"/>
            <w:tcBorders>
              <w:left w:val="nil"/>
              <w:right w:val="nil"/>
            </w:tcBorders>
            <w:shd w:val="clear" w:color="auto" w:fill="auto"/>
            <w:vAlign w:val="center"/>
            <w:hideMark/>
          </w:tcPr>
          <w:p w14:paraId="237BA774" w14:textId="77777777" w:rsidR="00983E50" w:rsidRPr="0097085A" w:rsidRDefault="00983E50" w:rsidP="00663C91">
            <w:pPr>
              <w:jc w:val="center"/>
              <w:rPr>
                <w:rFonts w:ascii="Arial" w:hAnsi="Arial" w:cs="Arial"/>
                <w:color w:val="000000"/>
              </w:rPr>
            </w:pPr>
            <w:r w:rsidRPr="0097085A">
              <w:rPr>
                <w:rFonts w:ascii="Arial" w:hAnsi="Arial" w:cs="Arial"/>
                <w:color w:val="000000"/>
              </w:rPr>
              <w:t xml:space="preserve">LSD </w:t>
            </w:r>
            <w:r w:rsidRPr="0097085A">
              <w:rPr>
                <w:rFonts w:ascii="Arial" w:hAnsi="Arial" w:cs="Arial"/>
                <w:color w:val="000000"/>
                <w:vertAlign w:val="subscript"/>
              </w:rPr>
              <w:t>0.05</w:t>
            </w:r>
          </w:p>
        </w:tc>
        <w:tc>
          <w:tcPr>
            <w:tcW w:w="675" w:type="pct"/>
            <w:tcBorders>
              <w:left w:val="nil"/>
              <w:right w:val="nil"/>
            </w:tcBorders>
            <w:shd w:val="clear" w:color="auto" w:fill="auto"/>
            <w:vAlign w:val="center"/>
            <w:hideMark/>
          </w:tcPr>
          <w:p w14:paraId="59D3C782" w14:textId="77777777" w:rsidR="00983E50" w:rsidRPr="0097085A" w:rsidRDefault="00983E50" w:rsidP="00663C91">
            <w:pPr>
              <w:jc w:val="center"/>
              <w:rPr>
                <w:rFonts w:ascii="Arial" w:hAnsi="Arial" w:cs="Arial"/>
                <w:color w:val="000000"/>
              </w:rPr>
            </w:pPr>
            <w:r w:rsidRPr="0097085A">
              <w:rPr>
                <w:rFonts w:ascii="Arial" w:hAnsi="Arial" w:cs="Arial"/>
                <w:color w:val="000000"/>
              </w:rPr>
              <w:t>0.64</w:t>
            </w:r>
          </w:p>
        </w:tc>
        <w:tc>
          <w:tcPr>
            <w:tcW w:w="627" w:type="pct"/>
            <w:tcBorders>
              <w:left w:val="nil"/>
              <w:right w:val="nil"/>
            </w:tcBorders>
            <w:shd w:val="clear" w:color="auto" w:fill="auto"/>
            <w:vAlign w:val="center"/>
            <w:hideMark/>
          </w:tcPr>
          <w:p w14:paraId="2C99B32C" w14:textId="77777777" w:rsidR="00983E50" w:rsidRPr="0097085A" w:rsidRDefault="00983E50" w:rsidP="00663C91">
            <w:pPr>
              <w:jc w:val="center"/>
              <w:rPr>
                <w:rFonts w:ascii="Arial" w:hAnsi="Arial" w:cs="Arial"/>
                <w:color w:val="000000"/>
              </w:rPr>
            </w:pPr>
            <w:r w:rsidRPr="0097085A">
              <w:rPr>
                <w:rFonts w:ascii="Arial" w:hAnsi="Arial" w:cs="Arial"/>
                <w:color w:val="000000"/>
              </w:rPr>
              <w:t>13.02</w:t>
            </w:r>
          </w:p>
        </w:tc>
        <w:tc>
          <w:tcPr>
            <w:tcW w:w="579" w:type="pct"/>
            <w:tcBorders>
              <w:left w:val="nil"/>
              <w:right w:val="nil"/>
            </w:tcBorders>
            <w:shd w:val="clear" w:color="auto" w:fill="auto"/>
            <w:vAlign w:val="center"/>
            <w:hideMark/>
          </w:tcPr>
          <w:p w14:paraId="1F7B7CDF" w14:textId="77777777" w:rsidR="00983E50" w:rsidRPr="0097085A" w:rsidRDefault="00983E50" w:rsidP="00663C91">
            <w:pPr>
              <w:jc w:val="center"/>
              <w:rPr>
                <w:rFonts w:ascii="Arial" w:hAnsi="Arial" w:cs="Arial"/>
                <w:color w:val="000000"/>
              </w:rPr>
            </w:pPr>
            <w:r w:rsidRPr="0097085A">
              <w:rPr>
                <w:rFonts w:ascii="Arial" w:hAnsi="Arial" w:cs="Arial"/>
                <w:color w:val="000000"/>
              </w:rPr>
              <w:t>0.42</w:t>
            </w:r>
          </w:p>
        </w:tc>
        <w:tc>
          <w:tcPr>
            <w:tcW w:w="572" w:type="pct"/>
            <w:tcBorders>
              <w:left w:val="nil"/>
              <w:right w:val="nil"/>
            </w:tcBorders>
            <w:shd w:val="clear" w:color="auto" w:fill="auto"/>
            <w:vAlign w:val="center"/>
            <w:hideMark/>
          </w:tcPr>
          <w:p w14:paraId="5F724157" w14:textId="77777777" w:rsidR="00983E50" w:rsidRPr="0097085A" w:rsidRDefault="00983E50" w:rsidP="00663C91">
            <w:pPr>
              <w:jc w:val="center"/>
              <w:rPr>
                <w:rFonts w:ascii="Arial" w:hAnsi="Arial" w:cs="Arial"/>
                <w:color w:val="000000"/>
              </w:rPr>
            </w:pPr>
            <w:r w:rsidRPr="0097085A">
              <w:rPr>
                <w:rFonts w:ascii="Arial" w:hAnsi="Arial" w:cs="Arial"/>
                <w:color w:val="000000"/>
              </w:rPr>
              <w:t>0.99</w:t>
            </w:r>
          </w:p>
        </w:tc>
        <w:tc>
          <w:tcPr>
            <w:tcW w:w="537" w:type="pct"/>
            <w:tcBorders>
              <w:left w:val="nil"/>
              <w:right w:val="nil"/>
            </w:tcBorders>
            <w:shd w:val="clear" w:color="auto" w:fill="auto"/>
            <w:vAlign w:val="center"/>
            <w:hideMark/>
          </w:tcPr>
          <w:p w14:paraId="3D4187A3" w14:textId="77777777" w:rsidR="00983E50" w:rsidRPr="0097085A" w:rsidRDefault="00983E50" w:rsidP="00663C91">
            <w:pPr>
              <w:jc w:val="center"/>
              <w:rPr>
                <w:rFonts w:ascii="Arial" w:hAnsi="Arial" w:cs="Arial"/>
                <w:color w:val="000000"/>
              </w:rPr>
            </w:pPr>
            <w:r w:rsidRPr="0097085A">
              <w:rPr>
                <w:rFonts w:ascii="Arial" w:hAnsi="Arial" w:cs="Arial"/>
                <w:color w:val="000000"/>
              </w:rPr>
              <w:t>0.55</w:t>
            </w:r>
          </w:p>
        </w:tc>
        <w:tc>
          <w:tcPr>
            <w:tcW w:w="688" w:type="pct"/>
            <w:tcBorders>
              <w:left w:val="nil"/>
              <w:right w:val="nil"/>
            </w:tcBorders>
            <w:shd w:val="clear" w:color="auto" w:fill="auto"/>
            <w:vAlign w:val="center"/>
            <w:hideMark/>
          </w:tcPr>
          <w:p w14:paraId="15FD5AAC" w14:textId="77777777" w:rsidR="00983E50" w:rsidRPr="0097085A" w:rsidRDefault="00983E50" w:rsidP="00663C91">
            <w:pPr>
              <w:jc w:val="center"/>
              <w:rPr>
                <w:rFonts w:ascii="Arial" w:hAnsi="Arial" w:cs="Arial"/>
                <w:color w:val="000000"/>
              </w:rPr>
            </w:pPr>
            <w:r w:rsidRPr="0097085A">
              <w:rPr>
                <w:rFonts w:ascii="Arial" w:hAnsi="Arial" w:cs="Arial"/>
                <w:color w:val="000000"/>
              </w:rPr>
              <w:t>2.03</w:t>
            </w:r>
          </w:p>
        </w:tc>
        <w:tc>
          <w:tcPr>
            <w:tcW w:w="579" w:type="pct"/>
            <w:tcBorders>
              <w:left w:val="nil"/>
              <w:right w:val="nil"/>
            </w:tcBorders>
            <w:shd w:val="clear" w:color="auto" w:fill="auto"/>
            <w:vAlign w:val="center"/>
            <w:hideMark/>
          </w:tcPr>
          <w:p w14:paraId="338C45E3" w14:textId="77777777" w:rsidR="00983E50" w:rsidRPr="0097085A" w:rsidRDefault="00983E50" w:rsidP="00663C91">
            <w:pPr>
              <w:jc w:val="center"/>
              <w:rPr>
                <w:rFonts w:ascii="Arial" w:hAnsi="Arial" w:cs="Arial"/>
                <w:color w:val="000000"/>
              </w:rPr>
            </w:pPr>
            <w:r w:rsidRPr="0097085A">
              <w:rPr>
                <w:rFonts w:ascii="Arial" w:hAnsi="Arial" w:cs="Arial"/>
                <w:color w:val="000000"/>
              </w:rPr>
              <w:t>0.06</w:t>
            </w:r>
          </w:p>
        </w:tc>
      </w:tr>
      <w:tr w:rsidR="004615E3" w:rsidRPr="0097085A" w14:paraId="747BA12B" w14:textId="77777777" w:rsidTr="004615E3">
        <w:trPr>
          <w:trHeight w:val="792"/>
          <w:jc w:val="center"/>
        </w:trPr>
        <w:tc>
          <w:tcPr>
            <w:tcW w:w="743" w:type="pct"/>
            <w:tcBorders>
              <w:left w:val="nil"/>
              <w:bottom w:val="single" w:sz="4" w:space="0" w:color="auto"/>
              <w:right w:val="nil"/>
            </w:tcBorders>
            <w:shd w:val="clear" w:color="auto" w:fill="auto"/>
            <w:vAlign w:val="center"/>
            <w:hideMark/>
          </w:tcPr>
          <w:p w14:paraId="710CCD30" w14:textId="77777777" w:rsidR="00983E50" w:rsidRPr="0097085A" w:rsidRDefault="00983E50" w:rsidP="00663C91">
            <w:pPr>
              <w:jc w:val="center"/>
              <w:rPr>
                <w:rFonts w:ascii="Arial" w:hAnsi="Arial" w:cs="Arial"/>
                <w:color w:val="000000"/>
              </w:rPr>
            </w:pPr>
            <w:proofErr w:type="spellStart"/>
            <w:r w:rsidRPr="0097085A">
              <w:rPr>
                <w:rFonts w:ascii="Arial" w:hAnsi="Arial" w:cs="Arial"/>
                <w:color w:val="000000"/>
              </w:rPr>
              <w:t>Pr</w:t>
            </w:r>
            <w:proofErr w:type="spellEnd"/>
            <w:r w:rsidRPr="0097085A">
              <w:rPr>
                <w:rFonts w:ascii="Arial" w:hAnsi="Arial" w:cs="Arial"/>
                <w:color w:val="000000"/>
              </w:rPr>
              <w:t xml:space="preserve"> &gt; F</w:t>
            </w:r>
          </w:p>
        </w:tc>
        <w:tc>
          <w:tcPr>
            <w:tcW w:w="675" w:type="pct"/>
            <w:tcBorders>
              <w:left w:val="nil"/>
              <w:bottom w:val="single" w:sz="4" w:space="0" w:color="auto"/>
              <w:right w:val="nil"/>
            </w:tcBorders>
            <w:shd w:val="clear" w:color="auto" w:fill="auto"/>
            <w:vAlign w:val="center"/>
            <w:hideMark/>
          </w:tcPr>
          <w:p w14:paraId="1328AD91"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627" w:type="pct"/>
            <w:tcBorders>
              <w:left w:val="nil"/>
              <w:bottom w:val="single" w:sz="4" w:space="0" w:color="auto"/>
              <w:right w:val="nil"/>
            </w:tcBorders>
            <w:shd w:val="clear" w:color="auto" w:fill="auto"/>
            <w:vAlign w:val="center"/>
            <w:hideMark/>
          </w:tcPr>
          <w:p w14:paraId="1A97425C"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14:paraId="37D97D1E"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2" w:type="pct"/>
            <w:tcBorders>
              <w:left w:val="nil"/>
              <w:bottom w:val="single" w:sz="4" w:space="0" w:color="auto"/>
              <w:right w:val="nil"/>
            </w:tcBorders>
            <w:shd w:val="clear" w:color="auto" w:fill="auto"/>
            <w:vAlign w:val="center"/>
            <w:hideMark/>
          </w:tcPr>
          <w:p w14:paraId="2DA1BC7E"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37" w:type="pct"/>
            <w:tcBorders>
              <w:left w:val="nil"/>
              <w:bottom w:val="single" w:sz="4" w:space="0" w:color="auto"/>
              <w:right w:val="nil"/>
            </w:tcBorders>
            <w:shd w:val="clear" w:color="auto" w:fill="auto"/>
            <w:vAlign w:val="center"/>
            <w:hideMark/>
          </w:tcPr>
          <w:p w14:paraId="30C90A63" w14:textId="77777777" w:rsidR="00983E50" w:rsidRPr="0097085A" w:rsidRDefault="00983E50" w:rsidP="00663C91">
            <w:pPr>
              <w:jc w:val="center"/>
              <w:rPr>
                <w:rFonts w:ascii="Arial" w:hAnsi="Arial" w:cs="Arial"/>
                <w:color w:val="000000"/>
              </w:rPr>
            </w:pPr>
            <w:r>
              <w:rPr>
                <w:rFonts w:ascii="Arial" w:hAnsi="Arial" w:cs="Arial"/>
                <w:color w:val="000000"/>
              </w:rPr>
              <w:t>ns</w:t>
            </w:r>
          </w:p>
        </w:tc>
        <w:tc>
          <w:tcPr>
            <w:tcW w:w="688" w:type="pct"/>
            <w:tcBorders>
              <w:left w:val="nil"/>
              <w:bottom w:val="single" w:sz="4" w:space="0" w:color="auto"/>
              <w:right w:val="nil"/>
            </w:tcBorders>
            <w:shd w:val="clear" w:color="auto" w:fill="auto"/>
            <w:vAlign w:val="center"/>
            <w:hideMark/>
          </w:tcPr>
          <w:p w14:paraId="2BA03EEC" w14:textId="77777777" w:rsidR="00983E50" w:rsidRPr="0097085A" w:rsidRDefault="00983E50" w:rsidP="00663C91">
            <w:pPr>
              <w:jc w:val="center"/>
              <w:rPr>
                <w:rFonts w:ascii="Arial" w:hAnsi="Arial" w:cs="Arial"/>
                <w:color w:val="000000"/>
              </w:rPr>
            </w:pPr>
            <w:r>
              <w:rPr>
                <w:rFonts w:ascii="Arial" w:hAnsi="Arial" w:cs="Arial"/>
                <w:color w:val="000000"/>
              </w:rPr>
              <w:t>*</w:t>
            </w:r>
          </w:p>
        </w:tc>
        <w:tc>
          <w:tcPr>
            <w:tcW w:w="579" w:type="pct"/>
            <w:tcBorders>
              <w:left w:val="nil"/>
              <w:bottom w:val="single" w:sz="4" w:space="0" w:color="auto"/>
              <w:right w:val="nil"/>
            </w:tcBorders>
            <w:shd w:val="clear" w:color="auto" w:fill="auto"/>
            <w:vAlign w:val="center"/>
            <w:hideMark/>
          </w:tcPr>
          <w:p w14:paraId="3D9ABE19" w14:textId="77777777" w:rsidR="00983E50" w:rsidRPr="0097085A" w:rsidRDefault="00983E50" w:rsidP="00663C91">
            <w:pPr>
              <w:jc w:val="center"/>
              <w:rPr>
                <w:rFonts w:ascii="Arial" w:hAnsi="Arial" w:cs="Arial"/>
                <w:color w:val="000000"/>
              </w:rPr>
            </w:pPr>
            <w:r>
              <w:rPr>
                <w:rFonts w:ascii="Arial" w:hAnsi="Arial" w:cs="Arial"/>
                <w:color w:val="000000"/>
              </w:rPr>
              <w:t>**</w:t>
            </w:r>
          </w:p>
        </w:tc>
      </w:tr>
      <w:tr w:rsidR="004615E3" w:rsidRPr="0097085A" w14:paraId="39BD042C" w14:textId="77777777" w:rsidTr="004615E3">
        <w:trPr>
          <w:trHeight w:val="792"/>
          <w:jc w:val="center"/>
        </w:trPr>
        <w:tc>
          <w:tcPr>
            <w:tcW w:w="743" w:type="pct"/>
            <w:tcBorders>
              <w:top w:val="single" w:sz="4" w:space="0" w:color="auto"/>
              <w:left w:val="nil"/>
              <w:bottom w:val="single" w:sz="4" w:space="0" w:color="auto"/>
              <w:right w:val="nil"/>
            </w:tcBorders>
            <w:shd w:val="clear" w:color="auto" w:fill="auto"/>
            <w:vAlign w:val="center"/>
          </w:tcPr>
          <w:p w14:paraId="45E2D187"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CV %</w:t>
            </w:r>
          </w:p>
        </w:tc>
        <w:tc>
          <w:tcPr>
            <w:tcW w:w="675" w:type="pct"/>
            <w:tcBorders>
              <w:top w:val="single" w:sz="4" w:space="0" w:color="auto"/>
              <w:left w:val="nil"/>
              <w:bottom w:val="single" w:sz="4" w:space="0" w:color="auto"/>
              <w:right w:val="nil"/>
            </w:tcBorders>
            <w:shd w:val="clear" w:color="auto" w:fill="auto"/>
            <w:vAlign w:val="center"/>
          </w:tcPr>
          <w:p w14:paraId="298CF8E4"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7.77</w:t>
            </w:r>
          </w:p>
        </w:tc>
        <w:tc>
          <w:tcPr>
            <w:tcW w:w="627" w:type="pct"/>
            <w:tcBorders>
              <w:top w:val="single" w:sz="4" w:space="0" w:color="auto"/>
              <w:left w:val="nil"/>
              <w:bottom w:val="single" w:sz="4" w:space="0" w:color="auto"/>
              <w:right w:val="nil"/>
            </w:tcBorders>
            <w:shd w:val="clear" w:color="auto" w:fill="auto"/>
            <w:vAlign w:val="center"/>
          </w:tcPr>
          <w:p w14:paraId="20351C4B"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15.44</w:t>
            </w:r>
          </w:p>
        </w:tc>
        <w:tc>
          <w:tcPr>
            <w:tcW w:w="579" w:type="pct"/>
            <w:tcBorders>
              <w:top w:val="single" w:sz="4" w:space="0" w:color="auto"/>
              <w:left w:val="nil"/>
              <w:bottom w:val="single" w:sz="4" w:space="0" w:color="auto"/>
              <w:right w:val="nil"/>
            </w:tcBorders>
            <w:shd w:val="clear" w:color="auto" w:fill="auto"/>
            <w:vAlign w:val="center"/>
          </w:tcPr>
          <w:p w14:paraId="308B3E71"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2.68</w:t>
            </w:r>
          </w:p>
        </w:tc>
        <w:tc>
          <w:tcPr>
            <w:tcW w:w="572" w:type="pct"/>
            <w:tcBorders>
              <w:top w:val="single" w:sz="4" w:space="0" w:color="auto"/>
              <w:left w:val="nil"/>
              <w:bottom w:val="single" w:sz="4" w:space="0" w:color="auto"/>
              <w:right w:val="nil"/>
            </w:tcBorders>
            <w:shd w:val="clear" w:color="auto" w:fill="auto"/>
            <w:vAlign w:val="center"/>
          </w:tcPr>
          <w:p w14:paraId="68E73CAE"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5.29</w:t>
            </w:r>
          </w:p>
        </w:tc>
        <w:tc>
          <w:tcPr>
            <w:tcW w:w="537" w:type="pct"/>
            <w:tcBorders>
              <w:top w:val="single" w:sz="4" w:space="0" w:color="auto"/>
              <w:left w:val="nil"/>
              <w:bottom w:val="single" w:sz="4" w:space="0" w:color="auto"/>
              <w:right w:val="nil"/>
            </w:tcBorders>
            <w:shd w:val="clear" w:color="auto" w:fill="auto"/>
            <w:vAlign w:val="center"/>
          </w:tcPr>
          <w:p w14:paraId="0A0FD1EE"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5.42</w:t>
            </w:r>
          </w:p>
        </w:tc>
        <w:tc>
          <w:tcPr>
            <w:tcW w:w="688" w:type="pct"/>
            <w:tcBorders>
              <w:top w:val="single" w:sz="4" w:space="0" w:color="auto"/>
              <w:left w:val="nil"/>
              <w:bottom w:val="single" w:sz="4" w:space="0" w:color="auto"/>
              <w:right w:val="nil"/>
            </w:tcBorders>
            <w:shd w:val="clear" w:color="auto" w:fill="auto"/>
            <w:vAlign w:val="center"/>
          </w:tcPr>
          <w:p w14:paraId="1BF54E76"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1.63</w:t>
            </w:r>
          </w:p>
        </w:tc>
        <w:tc>
          <w:tcPr>
            <w:tcW w:w="579" w:type="pct"/>
            <w:tcBorders>
              <w:top w:val="single" w:sz="4" w:space="0" w:color="auto"/>
              <w:left w:val="nil"/>
              <w:bottom w:val="single" w:sz="4" w:space="0" w:color="auto"/>
              <w:right w:val="nil"/>
            </w:tcBorders>
            <w:shd w:val="clear" w:color="auto" w:fill="auto"/>
            <w:vAlign w:val="center"/>
          </w:tcPr>
          <w:p w14:paraId="2CCFC4C8" w14:textId="77777777" w:rsidR="00983E50" w:rsidRPr="005E6F0B" w:rsidRDefault="00983E50" w:rsidP="00663C91">
            <w:pPr>
              <w:jc w:val="center"/>
              <w:rPr>
                <w:rFonts w:ascii="Arial" w:hAnsi="Arial" w:cs="Arial"/>
                <w:b/>
                <w:bCs/>
                <w:color w:val="000000"/>
              </w:rPr>
            </w:pPr>
            <w:r w:rsidRPr="005E6F0B">
              <w:rPr>
                <w:rFonts w:ascii="Arial" w:hAnsi="Arial" w:cs="Arial"/>
                <w:b/>
                <w:bCs/>
                <w:color w:val="000000"/>
              </w:rPr>
              <w:t>9.87</w:t>
            </w:r>
          </w:p>
        </w:tc>
      </w:tr>
    </w:tbl>
    <w:p w14:paraId="2355EBD2" w14:textId="77777777" w:rsidR="00983E50" w:rsidRPr="00825664" w:rsidRDefault="00983E50" w:rsidP="00983E50">
      <w:pPr>
        <w:spacing w:before="120" w:after="120" w:line="360" w:lineRule="auto"/>
        <w:jc w:val="both"/>
        <w:rPr>
          <w:rFonts w:ascii="Arial" w:hAnsi="Arial" w:cs="Arial"/>
        </w:rPr>
        <w:sectPr w:rsidR="00983E50" w:rsidRPr="00825664" w:rsidSect="00F20E53">
          <w:headerReference w:type="even" r:id="rId23"/>
          <w:headerReference w:type="default" r:id="rId24"/>
          <w:headerReference w:type="first" r:id="rId25"/>
          <w:type w:val="continuous"/>
          <w:pgSz w:w="11906" w:h="16838" w:code="9"/>
          <w:pgMar w:top="1440" w:right="1440" w:bottom="1440" w:left="2261" w:header="720" w:footer="720" w:gutter="0"/>
          <w:cols w:space="720"/>
          <w:docGrid w:linePitch="360"/>
        </w:sectPr>
      </w:pPr>
    </w:p>
    <w:p w14:paraId="677713EB" w14:textId="405CA245" w:rsidR="00AB64AA" w:rsidRDefault="00983E50" w:rsidP="00983E50">
      <w:pPr>
        <w:spacing w:before="120" w:after="120"/>
        <w:rPr>
          <w:rFonts w:ascii="Arial" w:hAnsi="Arial" w:cs="Arial"/>
          <w:b/>
          <w:bCs/>
        </w:rPr>
      </w:pPr>
      <w:r>
        <w:rPr>
          <w:rFonts w:ascii="Arial" w:hAnsi="Arial" w:cs="Arial"/>
          <w:noProof/>
        </w:rPr>
        <w:lastRenderedPageBreak/>
        <mc:AlternateContent>
          <mc:Choice Requires="wps">
            <w:drawing>
              <wp:anchor distT="0" distB="0" distL="114300" distR="114300" simplePos="0" relativeHeight="251714048" behindDoc="0" locked="0" layoutInCell="1" allowOverlap="1" wp14:anchorId="0CB4D456" wp14:editId="10429361">
                <wp:simplePos x="0" y="0"/>
                <wp:positionH relativeFrom="column">
                  <wp:posOffset>9128125</wp:posOffset>
                </wp:positionH>
                <wp:positionV relativeFrom="paragraph">
                  <wp:posOffset>2325692</wp:posOffset>
                </wp:positionV>
                <wp:extent cx="81280" cy="532130"/>
                <wp:effectExtent l="0" t="0" r="13970" b="20320"/>
                <wp:wrapNone/>
                <wp:docPr id="1330015903" name="Rectangle 9"/>
                <wp:cNvGraphicFramePr/>
                <a:graphic xmlns:a="http://schemas.openxmlformats.org/drawingml/2006/main">
                  <a:graphicData uri="http://schemas.microsoft.com/office/word/2010/wordprocessingShape">
                    <wps:wsp>
                      <wps:cNvSpPr/>
                      <wps:spPr>
                        <a:xfrm flipV="1">
                          <a:off x="0" y="0"/>
                          <a:ext cx="81280" cy="53213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6042A" id="Rectangle 9" o:spid="_x0000_s1026" style="position:absolute;margin-left:718.75pt;margin-top:183.15pt;width:6.4pt;height:41.9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" fillcolor="white [3212]" strokecolor="white [3212]" strokeweight="2pt"/>
            </w:pict>
          </mc:Fallback>
        </mc:AlternateContent>
      </w:r>
      <w:r w:rsidRPr="008A7961">
        <w:rPr>
          <w:rFonts w:ascii="Arial" w:hAnsi="Arial" w:cs="Arial"/>
          <w:b/>
          <w:bCs/>
        </w:rPr>
        <w:t xml:space="preserve">Table </w:t>
      </w:r>
      <w:r w:rsidR="00AE2E48">
        <w:rPr>
          <w:rFonts w:ascii="Arial" w:hAnsi="Arial" w:cs="Arial"/>
          <w:b/>
          <w:bCs/>
        </w:rPr>
        <w:t>4</w:t>
      </w:r>
      <w:r w:rsidRPr="008A7961">
        <w:rPr>
          <w:rFonts w:ascii="Arial" w:hAnsi="Arial" w:cs="Arial"/>
          <w:b/>
          <w:bCs/>
        </w:rPr>
        <w:t xml:space="preserve">. Yield and yield components of </w:t>
      </w:r>
      <w:proofErr w:type="spellStart"/>
      <w:r w:rsidRPr="008A7961">
        <w:rPr>
          <w:rFonts w:ascii="Arial" w:hAnsi="Arial" w:cs="Arial"/>
          <w:b/>
          <w:bCs/>
        </w:rPr>
        <w:t>mungbean</w:t>
      </w:r>
      <w:proofErr w:type="spellEnd"/>
      <w:r w:rsidRPr="008A7961">
        <w:rPr>
          <w:rFonts w:ascii="Arial" w:hAnsi="Arial" w:cs="Arial"/>
          <w:b/>
          <w:bCs/>
        </w:rPr>
        <w:t xml:space="preserve"> as affected by foliar gibberellic </w:t>
      </w:r>
      <w:r w:rsidR="00AB64AA">
        <w:rPr>
          <w:rFonts w:ascii="Arial" w:hAnsi="Arial" w:cs="Arial"/>
          <w:b/>
          <w:bCs/>
        </w:rPr>
        <w:t xml:space="preserve">  </w:t>
      </w:r>
    </w:p>
    <w:p w14:paraId="4E8CDADB" w14:textId="54388B06" w:rsidR="00983E50" w:rsidRDefault="00AB64AA" w:rsidP="00983E50">
      <w:pPr>
        <w:spacing w:before="120" w:after="120"/>
        <w:rPr>
          <w:rFonts w:ascii="Arial" w:hAnsi="Arial" w:cs="Arial"/>
          <w:b/>
          <w:bCs/>
        </w:rPr>
      </w:pPr>
      <w:r>
        <w:rPr>
          <w:rFonts w:ascii="Arial" w:hAnsi="Arial" w:cs="Arial"/>
          <w:b/>
          <w:bCs/>
        </w:rPr>
        <w:t xml:space="preserve">               </w:t>
      </w:r>
      <w:r w:rsidR="007B1399">
        <w:rPr>
          <w:rFonts w:ascii="Arial" w:hAnsi="Arial" w:cs="Arial"/>
          <w:b/>
          <w:bCs/>
        </w:rPr>
        <w:t>acid applicat</w:t>
      </w:r>
      <w:r>
        <w:rPr>
          <w:rFonts w:ascii="Arial" w:hAnsi="Arial" w:cs="Arial"/>
          <w:b/>
          <w:bCs/>
        </w:rPr>
        <w:t>ion</w:t>
      </w:r>
      <w:r w:rsidR="007B1399">
        <w:rPr>
          <w:rFonts w:ascii="Arial" w:hAnsi="Arial" w:cs="Arial"/>
          <w:b/>
          <w:bCs/>
        </w:rPr>
        <w:t xml:space="preserve"> </w:t>
      </w:r>
      <w:r w:rsidR="00983E50" w:rsidRPr="008A7961">
        <w:rPr>
          <w:rFonts w:ascii="Arial" w:hAnsi="Arial" w:cs="Arial"/>
          <w:b/>
          <w:bCs/>
        </w:rPr>
        <w:t>during the post-monsoon season, 2024-25</w:t>
      </w:r>
    </w:p>
    <w:p w14:paraId="1AAC946D" w14:textId="75361404" w:rsidR="00BE5A61" w:rsidRDefault="00BE5A61" w:rsidP="00441B6F">
      <w:pPr>
        <w:pStyle w:val="Body"/>
        <w:spacing w:after="0"/>
        <w:rPr>
          <w:rFonts w:ascii="Arial" w:hAnsi="Arial" w:cs="Arial"/>
        </w:rPr>
      </w:pPr>
    </w:p>
    <w:tbl>
      <w:tblPr>
        <w:tblStyle w:val="TableGrid"/>
        <w:tblpPr w:leftFromText="180" w:rightFromText="180" w:vertAnchor="page" w:horzAnchor="page" w:tblpX="2146" w:tblpY="2566"/>
        <w:tblW w:w="5516" w:type="pct"/>
        <w:tblLayout w:type="fixed"/>
        <w:tblLook w:val="04A0" w:firstRow="1" w:lastRow="0" w:firstColumn="1" w:lastColumn="0" w:noHBand="0" w:noVBand="1"/>
      </w:tblPr>
      <w:tblGrid>
        <w:gridCol w:w="1341"/>
        <w:gridCol w:w="1163"/>
        <w:gridCol w:w="1024"/>
        <w:gridCol w:w="1046"/>
        <w:gridCol w:w="1050"/>
        <w:gridCol w:w="1053"/>
        <w:gridCol w:w="1050"/>
        <w:gridCol w:w="963"/>
      </w:tblGrid>
      <w:tr w:rsidR="00AB64AA" w:rsidRPr="00D61F92" w14:paraId="4F687CC7" w14:textId="77777777" w:rsidTr="0005429D">
        <w:trPr>
          <w:trHeight w:val="1631"/>
        </w:trPr>
        <w:tc>
          <w:tcPr>
            <w:tcW w:w="772" w:type="pct"/>
            <w:tcBorders>
              <w:left w:val="nil"/>
              <w:bottom w:val="single" w:sz="4" w:space="0" w:color="auto"/>
              <w:right w:val="nil"/>
            </w:tcBorders>
            <w:vAlign w:val="center"/>
          </w:tcPr>
          <w:p w14:paraId="4E63266B"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Treatments</w:t>
            </w:r>
          </w:p>
        </w:tc>
        <w:tc>
          <w:tcPr>
            <w:tcW w:w="669" w:type="pct"/>
            <w:tcBorders>
              <w:left w:val="nil"/>
              <w:bottom w:val="single" w:sz="4" w:space="0" w:color="auto"/>
              <w:right w:val="nil"/>
            </w:tcBorders>
            <w:vAlign w:val="center"/>
          </w:tcPr>
          <w:p w14:paraId="4CC5B55B" w14:textId="77777777" w:rsidR="007B1399" w:rsidRPr="00D61F92" w:rsidRDefault="007B1399" w:rsidP="00AB64AA">
            <w:pPr>
              <w:spacing w:before="120" w:after="120"/>
              <w:jc w:val="center"/>
              <w:rPr>
                <w:rFonts w:ascii="Arial" w:hAnsi="Arial" w:cs="Arial"/>
                <w:b/>
                <w:sz w:val="20"/>
                <w:szCs w:val="20"/>
                <w:vertAlign w:val="superscript"/>
              </w:rPr>
            </w:pPr>
            <w:r w:rsidRPr="00D61F92">
              <w:rPr>
                <w:rFonts w:ascii="Arial" w:hAnsi="Arial" w:cs="Arial"/>
                <w:b/>
                <w:sz w:val="20"/>
                <w:szCs w:val="20"/>
              </w:rPr>
              <w:t>Branches plant</w:t>
            </w:r>
            <w:r w:rsidRPr="00D61F92">
              <w:rPr>
                <w:rFonts w:ascii="Arial" w:hAnsi="Arial" w:cs="Arial"/>
                <w:b/>
                <w:sz w:val="20"/>
                <w:szCs w:val="20"/>
                <w:vertAlign w:val="superscript"/>
              </w:rPr>
              <w:t>-1</w:t>
            </w:r>
          </w:p>
          <w:p w14:paraId="57CB3FC5"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(no.)</w:t>
            </w:r>
          </w:p>
        </w:tc>
        <w:tc>
          <w:tcPr>
            <w:tcW w:w="589" w:type="pct"/>
            <w:tcBorders>
              <w:left w:val="nil"/>
              <w:bottom w:val="single" w:sz="4" w:space="0" w:color="auto"/>
              <w:right w:val="nil"/>
            </w:tcBorders>
            <w:vAlign w:val="center"/>
          </w:tcPr>
          <w:p w14:paraId="2B5A4EFF"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w:t>
            </w:r>
            <w:r>
              <w:rPr>
                <w:rFonts w:ascii="Arial" w:hAnsi="Arial" w:cs="Arial"/>
                <w:b/>
                <w:sz w:val="20"/>
                <w:szCs w:val="20"/>
              </w:rPr>
              <w:t>s</w:t>
            </w:r>
            <w:r w:rsidRPr="00D61F92">
              <w:rPr>
                <w:rFonts w:ascii="Arial" w:hAnsi="Arial" w:cs="Arial"/>
                <w:b/>
                <w:sz w:val="20"/>
                <w:szCs w:val="20"/>
              </w:rPr>
              <w:t xml:space="preserve"> plant</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2" w:type="pct"/>
            <w:tcBorders>
              <w:left w:val="nil"/>
              <w:bottom w:val="single" w:sz="4" w:space="0" w:color="auto"/>
              <w:right w:val="nil"/>
            </w:tcBorders>
            <w:vAlign w:val="center"/>
          </w:tcPr>
          <w:p w14:paraId="42954BBA"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Pod length</w:t>
            </w:r>
          </w:p>
          <w:p w14:paraId="7486F629"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(cm)</w:t>
            </w:r>
          </w:p>
        </w:tc>
        <w:tc>
          <w:tcPr>
            <w:tcW w:w="604" w:type="pct"/>
            <w:tcBorders>
              <w:left w:val="nil"/>
              <w:bottom w:val="single" w:sz="4" w:space="0" w:color="auto"/>
              <w:right w:val="nil"/>
            </w:tcBorders>
            <w:vAlign w:val="center"/>
          </w:tcPr>
          <w:p w14:paraId="789E69B1"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Seed</w:t>
            </w:r>
            <w:r>
              <w:rPr>
                <w:rFonts w:ascii="Arial" w:hAnsi="Arial" w:cs="Arial"/>
                <w:b/>
                <w:sz w:val="20"/>
                <w:szCs w:val="20"/>
              </w:rPr>
              <w:t>s</w:t>
            </w:r>
            <w:r w:rsidRPr="00D61F92">
              <w:rPr>
                <w:rFonts w:ascii="Arial" w:hAnsi="Arial" w:cs="Arial"/>
                <w:b/>
                <w:sz w:val="20"/>
                <w:szCs w:val="20"/>
              </w:rPr>
              <w:t xml:space="preserve"> pod-</w:t>
            </w:r>
            <w:r w:rsidRPr="00D61F92">
              <w:rPr>
                <w:rFonts w:ascii="Arial" w:hAnsi="Arial" w:cs="Arial"/>
                <w:b/>
                <w:sz w:val="20"/>
                <w:szCs w:val="20"/>
                <w:vertAlign w:val="superscript"/>
              </w:rPr>
              <w:t xml:space="preserve">1 </w:t>
            </w:r>
            <w:r w:rsidRPr="00D61F92">
              <w:rPr>
                <w:rFonts w:ascii="Arial" w:hAnsi="Arial" w:cs="Arial"/>
                <w:b/>
                <w:sz w:val="20"/>
                <w:szCs w:val="20"/>
              </w:rPr>
              <w:t>(no.)</w:t>
            </w:r>
          </w:p>
        </w:tc>
        <w:tc>
          <w:tcPr>
            <w:tcW w:w="606" w:type="pct"/>
            <w:tcBorders>
              <w:left w:val="nil"/>
              <w:bottom w:val="single" w:sz="4" w:space="0" w:color="auto"/>
              <w:right w:val="nil"/>
            </w:tcBorders>
            <w:vAlign w:val="center"/>
          </w:tcPr>
          <w:p w14:paraId="7049B398"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Hundred seed weight (g)</w:t>
            </w:r>
          </w:p>
        </w:tc>
        <w:tc>
          <w:tcPr>
            <w:tcW w:w="604" w:type="pct"/>
            <w:tcBorders>
              <w:left w:val="nil"/>
              <w:bottom w:val="single" w:sz="4" w:space="0" w:color="auto"/>
              <w:right w:val="nil"/>
            </w:tcBorders>
            <w:vAlign w:val="center"/>
          </w:tcPr>
          <w:p w14:paraId="567BB7A4"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Shelling %</w:t>
            </w:r>
          </w:p>
        </w:tc>
        <w:tc>
          <w:tcPr>
            <w:tcW w:w="554" w:type="pct"/>
            <w:tcBorders>
              <w:left w:val="nil"/>
              <w:bottom w:val="single" w:sz="4" w:space="0" w:color="auto"/>
              <w:right w:val="nil"/>
            </w:tcBorders>
            <w:vAlign w:val="center"/>
          </w:tcPr>
          <w:p w14:paraId="6340FE4B" w14:textId="77777777" w:rsidR="007B1399" w:rsidRPr="00D61F92" w:rsidRDefault="007B1399" w:rsidP="00AB64AA">
            <w:pPr>
              <w:spacing w:before="120" w:after="120"/>
              <w:jc w:val="center"/>
              <w:rPr>
                <w:rFonts w:ascii="Arial" w:hAnsi="Arial" w:cs="Arial"/>
                <w:b/>
                <w:sz w:val="20"/>
                <w:szCs w:val="20"/>
              </w:rPr>
            </w:pPr>
            <w:r w:rsidRPr="00D61F92">
              <w:rPr>
                <w:rFonts w:ascii="Arial" w:hAnsi="Arial" w:cs="Arial"/>
                <w:b/>
                <w:sz w:val="20"/>
                <w:szCs w:val="20"/>
              </w:rPr>
              <w:t>Harvest index</w:t>
            </w:r>
          </w:p>
        </w:tc>
      </w:tr>
      <w:tr w:rsidR="00AB64AA" w:rsidRPr="00D61F92" w14:paraId="63B74178" w14:textId="77777777" w:rsidTr="0005429D">
        <w:trPr>
          <w:trHeight w:val="659"/>
        </w:trPr>
        <w:tc>
          <w:tcPr>
            <w:tcW w:w="772" w:type="pct"/>
            <w:tcBorders>
              <w:left w:val="nil"/>
              <w:bottom w:val="nil"/>
              <w:right w:val="nil"/>
            </w:tcBorders>
            <w:vAlign w:val="center"/>
          </w:tcPr>
          <w:p w14:paraId="7687CFF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w:t>
            </w:r>
          </w:p>
        </w:tc>
        <w:tc>
          <w:tcPr>
            <w:tcW w:w="669" w:type="pct"/>
            <w:tcBorders>
              <w:left w:val="nil"/>
              <w:bottom w:val="nil"/>
              <w:right w:val="nil"/>
            </w:tcBorders>
            <w:vAlign w:val="center"/>
          </w:tcPr>
          <w:p w14:paraId="5341D8E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3.23 e</w:t>
            </w:r>
          </w:p>
        </w:tc>
        <w:tc>
          <w:tcPr>
            <w:tcW w:w="589" w:type="pct"/>
            <w:tcBorders>
              <w:left w:val="nil"/>
              <w:bottom w:val="nil"/>
              <w:right w:val="nil"/>
            </w:tcBorders>
            <w:vAlign w:val="center"/>
          </w:tcPr>
          <w:p w14:paraId="202AC2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28.00</w:t>
            </w:r>
            <w:r>
              <w:rPr>
                <w:rFonts w:ascii="Arial" w:hAnsi="Arial" w:cs="Arial"/>
                <w:sz w:val="20"/>
                <w:szCs w:val="20"/>
              </w:rPr>
              <w:t xml:space="preserve"> </w:t>
            </w:r>
            <w:r w:rsidRPr="00D61F92">
              <w:rPr>
                <w:rFonts w:ascii="Arial" w:hAnsi="Arial" w:cs="Arial"/>
                <w:sz w:val="20"/>
                <w:szCs w:val="20"/>
              </w:rPr>
              <w:t>c</w:t>
            </w:r>
          </w:p>
        </w:tc>
        <w:tc>
          <w:tcPr>
            <w:tcW w:w="602" w:type="pct"/>
            <w:tcBorders>
              <w:left w:val="nil"/>
              <w:bottom w:val="nil"/>
              <w:right w:val="nil"/>
            </w:tcBorders>
            <w:vAlign w:val="center"/>
          </w:tcPr>
          <w:p w14:paraId="238004B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8.59 c</w:t>
            </w:r>
          </w:p>
        </w:tc>
        <w:tc>
          <w:tcPr>
            <w:tcW w:w="604" w:type="pct"/>
            <w:tcBorders>
              <w:left w:val="nil"/>
              <w:bottom w:val="nil"/>
              <w:right w:val="nil"/>
            </w:tcBorders>
            <w:vAlign w:val="center"/>
          </w:tcPr>
          <w:p w14:paraId="0142D7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10.70 c</w:t>
            </w:r>
          </w:p>
        </w:tc>
        <w:tc>
          <w:tcPr>
            <w:tcW w:w="606" w:type="pct"/>
            <w:tcBorders>
              <w:left w:val="nil"/>
              <w:bottom w:val="nil"/>
              <w:right w:val="nil"/>
            </w:tcBorders>
            <w:vAlign w:val="center"/>
          </w:tcPr>
          <w:p w14:paraId="7C5D80B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6.69</w:t>
            </w:r>
          </w:p>
        </w:tc>
        <w:tc>
          <w:tcPr>
            <w:tcW w:w="604" w:type="pct"/>
            <w:tcBorders>
              <w:left w:val="nil"/>
              <w:bottom w:val="nil"/>
              <w:right w:val="nil"/>
            </w:tcBorders>
            <w:vAlign w:val="center"/>
          </w:tcPr>
          <w:p w14:paraId="2A2054B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69.47 c</w:t>
            </w:r>
          </w:p>
        </w:tc>
        <w:tc>
          <w:tcPr>
            <w:tcW w:w="554" w:type="pct"/>
            <w:tcBorders>
              <w:left w:val="nil"/>
              <w:bottom w:val="nil"/>
              <w:right w:val="nil"/>
            </w:tcBorders>
            <w:vAlign w:val="center"/>
          </w:tcPr>
          <w:p w14:paraId="355D9F5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0.25 b</w:t>
            </w:r>
          </w:p>
        </w:tc>
      </w:tr>
      <w:tr w:rsidR="00AB64AA" w:rsidRPr="00D61F92" w14:paraId="7EF2DDF6" w14:textId="77777777" w:rsidTr="0005429D">
        <w:trPr>
          <w:trHeight w:val="659"/>
        </w:trPr>
        <w:tc>
          <w:tcPr>
            <w:tcW w:w="772" w:type="pct"/>
            <w:tcBorders>
              <w:top w:val="nil"/>
              <w:left w:val="nil"/>
              <w:bottom w:val="nil"/>
              <w:right w:val="nil"/>
            </w:tcBorders>
            <w:vAlign w:val="center"/>
          </w:tcPr>
          <w:p w14:paraId="0857898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2</w:t>
            </w:r>
          </w:p>
        </w:tc>
        <w:tc>
          <w:tcPr>
            <w:tcW w:w="669" w:type="pct"/>
            <w:tcBorders>
              <w:top w:val="nil"/>
              <w:left w:val="nil"/>
              <w:bottom w:val="nil"/>
              <w:right w:val="nil"/>
            </w:tcBorders>
            <w:vAlign w:val="center"/>
          </w:tcPr>
          <w:p w14:paraId="2143362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4.30 cd</w:t>
            </w:r>
          </w:p>
        </w:tc>
        <w:tc>
          <w:tcPr>
            <w:tcW w:w="589" w:type="pct"/>
            <w:tcBorders>
              <w:top w:val="nil"/>
              <w:left w:val="nil"/>
              <w:bottom w:val="nil"/>
              <w:right w:val="nil"/>
            </w:tcBorders>
            <w:vAlign w:val="center"/>
          </w:tcPr>
          <w:p w14:paraId="2A81BF5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42.00 b</w:t>
            </w:r>
          </w:p>
        </w:tc>
        <w:tc>
          <w:tcPr>
            <w:tcW w:w="602" w:type="pct"/>
            <w:tcBorders>
              <w:top w:val="nil"/>
              <w:left w:val="nil"/>
              <w:bottom w:val="nil"/>
              <w:right w:val="nil"/>
            </w:tcBorders>
            <w:vAlign w:val="center"/>
          </w:tcPr>
          <w:p w14:paraId="4E96AE3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10.04 b</w:t>
            </w:r>
          </w:p>
        </w:tc>
        <w:tc>
          <w:tcPr>
            <w:tcW w:w="604" w:type="pct"/>
            <w:tcBorders>
              <w:top w:val="nil"/>
              <w:left w:val="nil"/>
              <w:bottom w:val="nil"/>
              <w:right w:val="nil"/>
            </w:tcBorders>
            <w:vAlign w:val="center"/>
          </w:tcPr>
          <w:p w14:paraId="05A681F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11.47 b</w:t>
            </w:r>
          </w:p>
        </w:tc>
        <w:tc>
          <w:tcPr>
            <w:tcW w:w="606" w:type="pct"/>
            <w:tcBorders>
              <w:top w:val="nil"/>
              <w:left w:val="nil"/>
              <w:bottom w:val="nil"/>
              <w:right w:val="nil"/>
            </w:tcBorders>
            <w:vAlign w:val="center"/>
          </w:tcPr>
          <w:p w14:paraId="5FD4E8F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6.52</w:t>
            </w:r>
          </w:p>
        </w:tc>
        <w:tc>
          <w:tcPr>
            <w:tcW w:w="604" w:type="pct"/>
            <w:tcBorders>
              <w:top w:val="nil"/>
              <w:left w:val="nil"/>
              <w:bottom w:val="nil"/>
              <w:right w:val="nil"/>
            </w:tcBorders>
            <w:vAlign w:val="center"/>
          </w:tcPr>
          <w:p w14:paraId="05F994A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73.01 ab</w:t>
            </w:r>
          </w:p>
        </w:tc>
        <w:tc>
          <w:tcPr>
            <w:tcW w:w="554" w:type="pct"/>
            <w:tcBorders>
              <w:top w:val="nil"/>
              <w:left w:val="nil"/>
              <w:bottom w:val="nil"/>
              <w:right w:val="nil"/>
            </w:tcBorders>
            <w:vAlign w:val="center"/>
          </w:tcPr>
          <w:p w14:paraId="52C8DDD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1ADC3D72" w14:textId="77777777" w:rsidTr="0005429D">
        <w:trPr>
          <w:trHeight w:val="659"/>
        </w:trPr>
        <w:tc>
          <w:tcPr>
            <w:tcW w:w="772" w:type="pct"/>
            <w:tcBorders>
              <w:top w:val="nil"/>
              <w:left w:val="nil"/>
              <w:bottom w:val="nil"/>
              <w:right w:val="nil"/>
            </w:tcBorders>
            <w:vAlign w:val="center"/>
          </w:tcPr>
          <w:p w14:paraId="463A1F4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3</w:t>
            </w:r>
          </w:p>
        </w:tc>
        <w:tc>
          <w:tcPr>
            <w:tcW w:w="669" w:type="pct"/>
            <w:tcBorders>
              <w:top w:val="nil"/>
              <w:left w:val="nil"/>
              <w:bottom w:val="nil"/>
              <w:right w:val="nil"/>
            </w:tcBorders>
            <w:vAlign w:val="center"/>
          </w:tcPr>
          <w:p w14:paraId="3ECFAD6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4.07 d</w:t>
            </w:r>
          </w:p>
        </w:tc>
        <w:tc>
          <w:tcPr>
            <w:tcW w:w="589" w:type="pct"/>
            <w:tcBorders>
              <w:top w:val="nil"/>
              <w:left w:val="nil"/>
              <w:bottom w:val="nil"/>
              <w:right w:val="nil"/>
            </w:tcBorders>
            <w:vAlign w:val="center"/>
          </w:tcPr>
          <w:p w14:paraId="403C3FD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48.93 ab</w:t>
            </w:r>
          </w:p>
        </w:tc>
        <w:tc>
          <w:tcPr>
            <w:tcW w:w="602" w:type="pct"/>
            <w:tcBorders>
              <w:top w:val="nil"/>
              <w:left w:val="nil"/>
              <w:bottom w:val="nil"/>
              <w:right w:val="nil"/>
            </w:tcBorders>
            <w:vAlign w:val="center"/>
          </w:tcPr>
          <w:p w14:paraId="626A7C9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9.88 b</w:t>
            </w:r>
          </w:p>
        </w:tc>
        <w:tc>
          <w:tcPr>
            <w:tcW w:w="604" w:type="pct"/>
            <w:tcBorders>
              <w:top w:val="nil"/>
              <w:left w:val="nil"/>
              <w:bottom w:val="nil"/>
              <w:right w:val="nil"/>
            </w:tcBorders>
            <w:vAlign w:val="center"/>
          </w:tcPr>
          <w:p w14:paraId="2A398F8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14:paraId="7D4336F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6.65</w:t>
            </w:r>
          </w:p>
        </w:tc>
        <w:tc>
          <w:tcPr>
            <w:tcW w:w="604" w:type="pct"/>
            <w:tcBorders>
              <w:top w:val="nil"/>
              <w:left w:val="nil"/>
              <w:bottom w:val="nil"/>
              <w:right w:val="nil"/>
            </w:tcBorders>
            <w:vAlign w:val="center"/>
          </w:tcPr>
          <w:p w14:paraId="16A1235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72.63 ab</w:t>
            </w:r>
          </w:p>
        </w:tc>
        <w:tc>
          <w:tcPr>
            <w:tcW w:w="554" w:type="pct"/>
            <w:tcBorders>
              <w:top w:val="nil"/>
              <w:left w:val="nil"/>
              <w:bottom w:val="nil"/>
              <w:right w:val="nil"/>
            </w:tcBorders>
            <w:vAlign w:val="center"/>
          </w:tcPr>
          <w:p w14:paraId="3ED5604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0.38 a</w:t>
            </w:r>
          </w:p>
        </w:tc>
      </w:tr>
      <w:tr w:rsidR="00AB64AA" w:rsidRPr="00D61F92" w14:paraId="4F25BB91" w14:textId="77777777" w:rsidTr="0005429D">
        <w:trPr>
          <w:trHeight w:val="659"/>
        </w:trPr>
        <w:tc>
          <w:tcPr>
            <w:tcW w:w="772" w:type="pct"/>
            <w:tcBorders>
              <w:top w:val="nil"/>
              <w:left w:val="nil"/>
              <w:bottom w:val="nil"/>
              <w:right w:val="nil"/>
            </w:tcBorders>
            <w:vAlign w:val="center"/>
          </w:tcPr>
          <w:p w14:paraId="0E2DFF3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4</w:t>
            </w:r>
          </w:p>
        </w:tc>
        <w:tc>
          <w:tcPr>
            <w:tcW w:w="669" w:type="pct"/>
            <w:tcBorders>
              <w:top w:val="nil"/>
              <w:left w:val="nil"/>
              <w:bottom w:val="nil"/>
              <w:right w:val="nil"/>
            </w:tcBorders>
            <w:vAlign w:val="center"/>
          </w:tcPr>
          <w:p w14:paraId="15A5327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4.90 </w:t>
            </w:r>
            <w:proofErr w:type="spellStart"/>
            <w:r w:rsidRPr="00D61F92">
              <w:rPr>
                <w:rFonts w:ascii="Arial" w:hAnsi="Arial" w:cs="Arial"/>
                <w:sz w:val="20"/>
                <w:szCs w:val="20"/>
              </w:rPr>
              <w:t>abc</w:t>
            </w:r>
            <w:proofErr w:type="spellEnd"/>
          </w:p>
        </w:tc>
        <w:tc>
          <w:tcPr>
            <w:tcW w:w="589" w:type="pct"/>
            <w:tcBorders>
              <w:top w:val="nil"/>
              <w:left w:val="nil"/>
              <w:bottom w:val="nil"/>
              <w:right w:val="nil"/>
            </w:tcBorders>
            <w:vAlign w:val="center"/>
          </w:tcPr>
          <w:p w14:paraId="7D8E6D6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47.93 ab</w:t>
            </w:r>
          </w:p>
        </w:tc>
        <w:tc>
          <w:tcPr>
            <w:tcW w:w="602" w:type="pct"/>
            <w:tcBorders>
              <w:top w:val="nil"/>
              <w:left w:val="nil"/>
              <w:bottom w:val="nil"/>
              <w:right w:val="nil"/>
            </w:tcBorders>
            <w:vAlign w:val="center"/>
          </w:tcPr>
          <w:p w14:paraId="5C08D92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10.14ab</w:t>
            </w:r>
          </w:p>
        </w:tc>
        <w:tc>
          <w:tcPr>
            <w:tcW w:w="604" w:type="pct"/>
            <w:tcBorders>
              <w:top w:val="nil"/>
              <w:left w:val="nil"/>
              <w:bottom w:val="nil"/>
              <w:right w:val="nil"/>
            </w:tcBorders>
            <w:vAlign w:val="center"/>
          </w:tcPr>
          <w:p w14:paraId="5A7F45A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11.63 ab</w:t>
            </w:r>
          </w:p>
        </w:tc>
        <w:tc>
          <w:tcPr>
            <w:tcW w:w="606" w:type="pct"/>
            <w:tcBorders>
              <w:top w:val="nil"/>
              <w:left w:val="nil"/>
              <w:bottom w:val="nil"/>
              <w:right w:val="nil"/>
            </w:tcBorders>
            <w:vAlign w:val="center"/>
          </w:tcPr>
          <w:p w14:paraId="5FA09A2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6.63</w:t>
            </w:r>
          </w:p>
        </w:tc>
        <w:tc>
          <w:tcPr>
            <w:tcW w:w="604" w:type="pct"/>
            <w:tcBorders>
              <w:top w:val="nil"/>
              <w:left w:val="nil"/>
              <w:bottom w:val="nil"/>
              <w:right w:val="nil"/>
            </w:tcBorders>
            <w:vAlign w:val="center"/>
          </w:tcPr>
          <w:p w14:paraId="2F4756CA"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73.23 ab</w:t>
            </w:r>
          </w:p>
        </w:tc>
        <w:tc>
          <w:tcPr>
            <w:tcW w:w="554" w:type="pct"/>
            <w:tcBorders>
              <w:top w:val="nil"/>
              <w:left w:val="nil"/>
              <w:bottom w:val="nil"/>
              <w:right w:val="nil"/>
            </w:tcBorders>
            <w:vAlign w:val="center"/>
          </w:tcPr>
          <w:p w14:paraId="5ED93DD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0.39 a</w:t>
            </w:r>
          </w:p>
        </w:tc>
      </w:tr>
      <w:tr w:rsidR="00AB64AA" w:rsidRPr="00D61F92" w14:paraId="0229B4CD" w14:textId="77777777" w:rsidTr="0005429D">
        <w:trPr>
          <w:trHeight w:val="659"/>
        </w:trPr>
        <w:tc>
          <w:tcPr>
            <w:tcW w:w="772" w:type="pct"/>
            <w:tcBorders>
              <w:top w:val="nil"/>
              <w:left w:val="nil"/>
              <w:bottom w:val="nil"/>
              <w:right w:val="nil"/>
            </w:tcBorders>
            <w:vAlign w:val="center"/>
          </w:tcPr>
          <w:p w14:paraId="7599837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5</w:t>
            </w:r>
          </w:p>
        </w:tc>
        <w:tc>
          <w:tcPr>
            <w:tcW w:w="669" w:type="pct"/>
            <w:tcBorders>
              <w:top w:val="nil"/>
              <w:left w:val="nil"/>
              <w:bottom w:val="nil"/>
              <w:right w:val="nil"/>
            </w:tcBorders>
            <w:vAlign w:val="center"/>
          </w:tcPr>
          <w:p w14:paraId="1D5450C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4.57 </w:t>
            </w:r>
            <w:proofErr w:type="spellStart"/>
            <w:r w:rsidRPr="00D61F92">
              <w:rPr>
                <w:rFonts w:ascii="Arial" w:hAnsi="Arial" w:cs="Arial"/>
                <w:sz w:val="20"/>
                <w:szCs w:val="20"/>
              </w:rPr>
              <w:t>bcd</w:t>
            </w:r>
            <w:proofErr w:type="spellEnd"/>
          </w:p>
        </w:tc>
        <w:tc>
          <w:tcPr>
            <w:tcW w:w="589" w:type="pct"/>
            <w:tcBorders>
              <w:top w:val="nil"/>
              <w:left w:val="nil"/>
              <w:bottom w:val="nil"/>
              <w:right w:val="nil"/>
            </w:tcBorders>
            <w:vAlign w:val="center"/>
          </w:tcPr>
          <w:p w14:paraId="46AAD9B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44.00 ab</w:t>
            </w:r>
          </w:p>
        </w:tc>
        <w:tc>
          <w:tcPr>
            <w:tcW w:w="602" w:type="pct"/>
            <w:tcBorders>
              <w:top w:val="nil"/>
              <w:left w:val="nil"/>
              <w:bottom w:val="nil"/>
              <w:right w:val="nil"/>
            </w:tcBorders>
            <w:vAlign w:val="center"/>
          </w:tcPr>
          <w:p w14:paraId="236E7CD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10.30ab</w:t>
            </w:r>
          </w:p>
        </w:tc>
        <w:tc>
          <w:tcPr>
            <w:tcW w:w="604" w:type="pct"/>
            <w:tcBorders>
              <w:top w:val="nil"/>
              <w:left w:val="nil"/>
              <w:bottom w:val="nil"/>
              <w:right w:val="nil"/>
            </w:tcBorders>
            <w:vAlign w:val="center"/>
          </w:tcPr>
          <w:p w14:paraId="60B85BF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nil"/>
              <w:right w:val="nil"/>
            </w:tcBorders>
            <w:vAlign w:val="center"/>
          </w:tcPr>
          <w:p w14:paraId="1BADB38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6.73</w:t>
            </w:r>
          </w:p>
        </w:tc>
        <w:tc>
          <w:tcPr>
            <w:tcW w:w="604" w:type="pct"/>
            <w:tcBorders>
              <w:top w:val="nil"/>
              <w:left w:val="nil"/>
              <w:bottom w:val="nil"/>
              <w:right w:val="nil"/>
            </w:tcBorders>
            <w:vAlign w:val="center"/>
          </w:tcPr>
          <w:p w14:paraId="71CC375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73.20 ab</w:t>
            </w:r>
          </w:p>
        </w:tc>
        <w:tc>
          <w:tcPr>
            <w:tcW w:w="554" w:type="pct"/>
            <w:tcBorders>
              <w:top w:val="nil"/>
              <w:left w:val="nil"/>
              <w:bottom w:val="nil"/>
              <w:right w:val="nil"/>
            </w:tcBorders>
            <w:vAlign w:val="center"/>
          </w:tcPr>
          <w:p w14:paraId="4274493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0.36 a</w:t>
            </w:r>
          </w:p>
        </w:tc>
      </w:tr>
      <w:tr w:rsidR="00AB64AA" w:rsidRPr="00D61F92" w14:paraId="7AB49EC3" w14:textId="77777777" w:rsidTr="0005429D">
        <w:trPr>
          <w:trHeight w:val="659"/>
        </w:trPr>
        <w:tc>
          <w:tcPr>
            <w:tcW w:w="772" w:type="pct"/>
            <w:tcBorders>
              <w:top w:val="nil"/>
              <w:left w:val="nil"/>
              <w:bottom w:val="nil"/>
              <w:right w:val="nil"/>
            </w:tcBorders>
            <w:vAlign w:val="center"/>
          </w:tcPr>
          <w:p w14:paraId="1509CC9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6</w:t>
            </w:r>
          </w:p>
        </w:tc>
        <w:tc>
          <w:tcPr>
            <w:tcW w:w="669" w:type="pct"/>
            <w:tcBorders>
              <w:top w:val="nil"/>
              <w:left w:val="nil"/>
              <w:bottom w:val="nil"/>
              <w:right w:val="nil"/>
            </w:tcBorders>
            <w:vAlign w:val="center"/>
          </w:tcPr>
          <w:p w14:paraId="33FA14C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4.70 </w:t>
            </w:r>
            <w:proofErr w:type="spellStart"/>
            <w:r w:rsidRPr="00D61F92">
              <w:rPr>
                <w:rFonts w:ascii="Arial" w:hAnsi="Arial" w:cs="Arial"/>
                <w:sz w:val="20"/>
                <w:szCs w:val="20"/>
              </w:rPr>
              <w:t>abc</w:t>
            </w:r>
            <w:proofErr w:type="spellEnd"/>
          </w:p>
        </w:tc>
        <w:tc>
          <w:tcPr>
            <w:tcW w:w="589" w:type="pct"/>
            <w:tcBorders>
              <w:top w:val="nil"/>
              <w:left w:val="nil"/>
              <w:bottom w:val="nil"/>
              <w:right w:val="nil"/>
            </w:tcBorders>
            <w:vAlign w:val="center"/>
          </w:tcPr>
          <w:p w14:paraId="1BFBB39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49.67 ab</w:t>
            </w:r>
          </w:p>
        </w:tc>
        <w:tc>
          <w:tcPr>
            <w:tcW w:w="602" w:type="pct"/>
            <w:tcBorders>
              <w:top w:val="nil"/>
              <w:left w:val="nil"/>
              <w:bottom w:val="nil"/>
              <w:right w:val="nil"/>
            </w:tcBorders>
            <w:vAlign w:val="center"/>
          </w:tcPr>
          <w:p w14:paraId="2225828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10.26ab</w:t>
            </w:r>
          </w:p>
        </w:tc>
        <w:tc>
          <w:tcPr>
            <w:tcW w:w="604" w:type="pct"/>
            <w:tcBorders>
              <w:top w:val="nil"/>
              <w:left w:val="nil"/>
              <w:bottom w:val="nil"/>
              <w:right w:val="nil"/>
            </w:tcBorders>
            <w:vAlign w:val="center"/>
          </w:tcPr>
          <w:p w14:paraId="140CF9E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11.53 ab</w:t>
            </w:r>
          </w:p>
        </w:tc>
        <w:tc>
          <w:tcPr>
            <w:tcW w:w="606" w:type="pct"/>
            <w:tcBorders>
              <w:top w:val="nil"/>
              <w:left w:val="nil"/>
              <w:bottom w:val="nil"/>
              <w:right w:val="nil"/>
            </w:tcBorders>
            <w:vAlign w:val="center"/>
          </w:tcPr>
          <w:p w14:paraId="50DC586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6.79</w:t>
            </w:r>
          </w:p>
        </w:tc>
        <w:tc>
          <w:tcPr>
            <w:tcW w:w="604" w:type="pct"/>
            <w:tcBorders>
              <w:top w:val="nil"/>
              <w:left w:val="nil"/>
              <w:bottom w:val="nil"/>
              <w:right w:val="nil"/>
            </w:tcBorders>
            <w:vAlign w:val="center"/>
          </w:tcPr>
          <w:p w14:paraId="3039464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72.71 ab</w:t>
            </w:r>
          </w:p>
        </w:tc>
        <w:tc>
          <w:tcPr>
            <w:tcW w:w="554" w:type="pct"/>
            <w:tcBorders>
              <w:top w:val="nil"/>
              <w:left w:val="nil"/>
              <w:bottom w:val="nil"/>
              <w:right w:val="nil"/>
            </w:tcBorders>
            <w:vAlign w:val="center"/>
          </w:tcPr>
          <w:p w14:paraId="204B101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1EC15548" w14:textId="77777777" w:rsidTr="0005429D">
        <w:trPr>
          <w:trHeight w:val="659"/>
        </w:trPr>
        <w:tc>
          <w:tcPr>
            <w:tcW w:w="772" w:type="pct"/>
            <w:tcBorders>
              <w:top w:val="nil"/>
              <w:left w:val="nil"/>
              <w:bottom w:val="nil"/>
              <w:right w:val="nil"/>
            </w:tcBorders>
            <w:vAlign w:val="center"/>
          </w:tcPr>
          <w:p w14:paraId="7E3B9453"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7</w:t>
            </w:r>
          </w:p>
        </w:tc>
        <w:tc>
          <w:tcPr>
            <w:tcW w:w="669" w:type="pct"/>
            <w:tcBorders>
              <w:top w:val="nil"/>
              <w:left w:val="nil"/>
              <w:bottom w:val="nil"/>
              <w:right w:val="nil"/>
            </w:tcBorders>
            <w:vAlign w:val="center"/>
          </w:tcPr>
          <w:p w14:paraId="4EB62D2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4.60 </w:t>
            </w:r>
            <w:proofErr w:type="spellStart"/>
            <w:r w:rsidRPr="00D61F92">
              <w:rPr>
                <w:rFonts w:ascii="Arial" w:hAnsi="Arial" w:cs="Arial"/>
                <w:sz w:val="20"/>
                <w:szCs w:val="20"/>
              </w:rPr>
              <w:t>bcd</w:t>
            </w:r>
            <w:proofErr w:type="spellEnd"/>
          </w:p>
        </w:tc>
        <w:tc>
          <w:tcPr>
            <w:tcW w:w="589" w:type="pct"/>
            <w:tcBorders>
              <w:top w:val="nil"/>
              <w:left w:val="nil"/>
              <w:bottom w:val="nil"/>
              <w:right w:val="nil"/>
            </w:tcBorders>
            <w:vAlign w:val="center"/>
          </w:tcPr>
          <w:p w14:paraId="3DEF653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49.33 ab</w:t>
            </w:r>
          </w:p>
        </w:tc>
        <w:tc>
          <w:tcPr>
            <w:tcW w:w="602" w:type="pct"/>
            <w:tcBorders>
              <w:top w:val="nil"/>
              <w:left w:val="nil"/>
              <w:bottom w:val="nil"/>
              <w:right w:val="nil"/>
            </w:tcBorders>
            <w:vAlign w:val="center"/>
          </w:tcPr>
          <w:p w14:paraId="240B01B1"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10.28ab</w:t>
            </w:r>
          </w:p>
        </w:tc>
        <w:tc>
          <w:tcPr>
            <w:tcW w:w="604" w:type="pct"/>
            <w:tcBorders>
              <w:top w:val="nil"/>
              <w:left w:val="nil"/>
              <w:bottom w:val="nil"/>
              <w:right w:val="nil"/>
            </w:tcBorders>
            <w:vAlign w:val="center"/>
          </w:tcPr>
          <w:p w14:paraId="554CAFC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11.57 ab</w:t>
            </w:r>
          </w:p>
        </w:tc>
        <w:tc>
          <w:tcPr>
            <w:tcW w:w="606" w:type="pct"/>
            <w:tcBorders>
              <w:top w:val="nil"/>
              <w:left w:val="nil"/>
              <w:bottom w:val="nil"/>
              <w:right w:val="nil"/>
            </w:tcBorders>
            <w:vAlign w:val="center"/>
          </w:tcPr>
          <w:p w14:paraId="7A0136C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6.46</w:t>
            </w:r>
          </w:p>
        </w:tc>
        <w:tc>
          <w:tcPr>
            <w:tcW w:w="604" w:type="pct"/>
            <w:tcBorders>
              <w:top w:val="nil"/>
              <w:left w:val="nil"/>
              <w:bottom w:val="nil"/>
              <w:right w:val="nil"/>
            </w:tcBorders>
            <w:vAlign w:val="center"/>
          </w:tcPr>
          <w:p w14:paraId="1B9F019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72.42 b</w:t>
            </w:r>
          </w:p>
        </w:tc>
        <w:tc>
          <w:tcPr>
            <w:tcW w:w="554" w:type="pct"/>
            <w:tcBorders>
              <w:top w:val="nil"/>
              <w:left w:val="nil"/>
              <w:bottom w:val="nil"/>
              <w:right w:val="nil"/>
            </w:tcBorders>
            <w:vAlign w:val="center"/>
          </w:tcPr>
          <w:p w14:paraId="3E0D494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0.35 a</w:t>
            </w:r>
          </w:p>
        </w:tc>
      </w:tr>
      <w:tr w:rsidR="00AB64AA" w:rsidRPr="00D61F92" w14:paraId="7468CE27" w14:textId="77777777" w:rsidTr="0005429D">
        <w:trPr>
          <w:trHeight w:val="659"/>
        </w:trPr>
        <w:tc>
          <w:tcPr>
            <w:tcW w:w="772" w:type="pct"/>
            <w:tcBorders>
              <w:top w:val="nil"/>
              <w:left w:val="nil"/>
              <w:bottom w:val="nil"/>
              <w:right w:val="nil"/>
            </w:tcBorders>
            <w:vAlign w:val="center"/>
          </w:tcPr>
          <w:p w14:paraId="79F163E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8</w:t>
            </w:r>
          </w:p>
        </w:tc>
        <w:tc>
          <w:tcPr>
            <w:tcW w:w="669" w:type="pct"/>
            <w:tcBorders>
              <w:top w:val="nil"/>
              <w:left w:val="nil"/>
              <w:bottom w:val="nil"/>
              <w:right w:val="nil"/>
            </w:tcBorders>
            <w:vAlign w:val="center"/>
          </w:tcPr>
          <w:p w14:paraId="3C91757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5.10 ab</w:t>
            </w:r>
          </w:p>
        </w:tc>
        <w:tc>
          <w:tcPr>
            <w:tcW w:w="589" w:type="pct"/>
            <w:tcBorders>
              <w:top w:val="nil"/>
              <w:left w:val="nil"/>
              <w:bottom w:val="nil"/>
              <w:right w:val="nil"/>
            </w:tcBorders>
            <w:vAlign w:val="center"/>
          </w:tcPr>
          <w:p w14:paraId="3354686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52.00 ab</w:t>
            </w:r>
          </w:p>
        </w:tc>
        <w:tc>
          <w:tcPr>
            <w:tcW w:w="602" w:type="pct"/>
            <w:tcBorders>
              <w:top w:val="nil"/>
              <w:left w:val="nil"/>
              <w:bottom w:val="nil"/>
              <w:right w:val="nil"/>
            </w:tcBorders>
            <w:vAlign w:val="center"/>
          </w:tcPr>
          <w:p w14:paraId="483692F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10.35ab</w:t>
            </w:r>
          </w:p>
        </w:tc>
        <w:tc>
          <w:tcPr>
            <w:tcW w:w="604" w:type="pct"/>
            <w:tcBorders>
              <w:top w:val="nil"/>
              <w:left w:val="nil"/>
              <w:bottom w:val="nil"/>
              <w:right w:val="nil"/>
            </w:tcBorders>
            <w:vAlign w:val="center"/>
          </w:tcPr>
          <w:p w14:paraId="70B0A2C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11.93 ab</w:t>
            </w:r>
          </w:p>
        </w:tc>
        <w:tc>
          <w:tcPr>
            <w:tcW w:w="606" w:type="pct"/>
            <w:tcBorders>
              <w:top w:val="nil"/>
              <w:left w:val="nil"/>
              <w:bottom w:val="nil"/>
              <w:right w:val="nil"/>
            </w:tcBorders>
            <w:vAlign w:val="center"/>
          </w:tcPr>
          <w:p w14:paraId="4361D46F"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6.70</w:t>
            </w:r>
          </w:p>
        </w:tc>
        <w:tc>
          <w:tcPr>
            <w:tcW w:w="604" w:type="pct"/>
            <w:tcBorders>
              <w:top w:val="nil"/>
              <w:left w:val="nil"/>
              <w:bottom w:val="nil"/>
              <w:right w:val="nil"/>
            </w:tcBorders>
            <w:vAlign w:val="center"/>
          </w:tcPr>
          <w:p w14:paraId="1B1F70E1"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74.40 ab</w:t>
            </w:r>
          </w:p>
        </w:tc>
        <w:tc>
          <w:tcPr>
            <w:tcW w:w="554" w:type="pct"/>
            <w:tcBorders>
              <w:top w:val="nil"/>
              <w:left w:val="nil"/>
              <w:bottom w:val="nil"/>
              <w:right w:val="nil"/>
            </w:tcBorders>
            <w:vAlign w:val="center"/>
          </w:tcPr>
          <w:p w14:paraId="203A375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0.40 a</w:t>
            </w:r>
          </w:p>
        </w:tc>
      </w:tr>
      <w:tr w:rsidR="00AB64AA" w:rsidRPr="00D61F92" w14:paraId="1D41CADB" w14:textId="77777777" w:rsidTr="0005429D">
        <w:trPr>
          <w:trHeight w:val="659"/>
        </w:trPr>
        <w:tc>
          <w:tcPr>
            <w:tcW w:w="772" w:type="pct"/>
            <w:tcBorders>
              <w:top w:val="nil"/>
              <w:left w:val="nil"/>
              <w:bottom w:val="nil"/>
              <w:right w:val="nil"/>
            </w:tcBorders>
            <w:vAlign w:val="center"/>
          </w:tcPr>
          <w:p w14:paraId="73B9A30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9</w:t>
            </w:r>
          </w:p>
        </w:tc>
        <w:tc>
          <w:tcPr>
            <w:tcW w:w="669" w:type="pct"/>
            <w:tcBorders>
              <w:top w:val="nil"/>
              <w:left w:val="nil"/>
              <w:bottom w:val="nil"/>
              <w:right w:val="nil"/>
            </w:tcBorders>
            <w:vAlign w:val="center"/>
          </w:tcPr>
          <w:p w14:paraId="33B137B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5.30 a</w:t>
            </w:r>
          </w:p>
        </w:tc>
        <w:tc>
          <w:tcPr>
            <w:tcW w:w="589" w:type="pct"/>
            <w:tcBorders>
              <w:top w:val="nil"/>
              <w:left w:val="nil"/>
              <w:bottom w:val="nil"/>
              <w:right w:val="nil"/>
            </w:tcBorders>
            <w:vAlign w:val="center"/>
          </w:tcPr>
          <w:p w14:paraId="30B3230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54.33 a</w:t>
            </w:r>
          </w:p>
        </w:tc>
        <w:tc>
          <w:tcPr>
            <w:tcW w:w="602" w:type="pct"/>
            <w:tcBorders>
              <w:top w:val="nil"/>
              <w:left w:val="nil"/>
              <w:bottom w:val="nil"/>
              <w:right w:val="nil"/>
            </w:tcBorders>
            <w:vAlign w:val="center"/>
          </w:tcPr>
          <w:p w14:paraId="63546CB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10.68a</w:t>
            </w:r>
          </w:p>
        </w:tc>
        <w:tc>
          <w:tcPr>
            <w:tcW w:w="604" w:type="pct"/>
            <w:tcBorders>
              <w:top w:val="nil"/>
              <w:left w:val="nil"/>
              <w:bottom w:val="nil"/>
              <w:right w:val="nil"/>
            </w:tcBorders>
            <w:vAlign w:val="center"/>
          </w:tcPr>
          <w:p w14:paraId="38DB446E"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12.17 a</w:t>
            </w:r>
          </w:p>
        </w:tc>
        <w:tc>
          <w:tcPr>
            <w:tcW w:w="606" w:type="pct"/>
            <w:tcBorders>
              <w:top w:val="nil"/>
              <w:left w:val="nil"/>
              <w:bottom w:val="nil"/>
              <w:right w:val="nil"/>
            </w:tcBorders>
            <w:vAlign w:val="center"/>
          </w:tcPr>
          <w:p w14:paraId="4EDD004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6.80</w:t>
            </w:r>
          </w:p>
        </w:tc>
        <w:tc>
          <w:tcPr>
            <w:tcW w:w="604" w:type="pct"/>
            <w:tcBorders>
              <w:top w:val="nil"/>
              <w:left w:val="nil"/>
              <w:bottom w:val="nil"/>
              <w:right w:val="nil"/>
            </w:tcBorders>
            <w:vAlign w:val="center"/>
          </w:tcPr>
          <w:p w14:paraId="0F60BF9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74.84 a</w:t>
            </w:r>
          </w:p>
        </w:tc>
        <w:tc>
          <w:tcPr>
            <w:tcW w:w="554" w:type="pct"/>
            <w:tcBorders>
              <w:top w:val="nil"/>
              <w:left w:val="nil"/>
              <w:bottom w:val="nil"/>
              <w:right w:val="nil"/>
            </w:tcBorders>
            <w:vAlign w:val="center"/>
          </w:tcPr>
          <w:p w14:paraId="0DA20FB8"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0.42 a</w:t>
            </w:r>
          </w:p>
        </w:tc>
      </w:tr>
      <w:tr w:rsidR="00AB64AA" w:rsidRPr="00D61F92" w14:paraId="03AD7FC0" w14:textId="77777777" w:rsidTr="0005429D">
        <w:trPr>
          <w:trHeight w:val="659"/>
        </w:trPr>
        <w:tc>
          <w:tcPr>
            <w:tcW w:w="772" w:type="pct"/>
            <w:tcBorders>
              <w:top w:val="nil"/>
              <w:left w:val="nil"/>
              <w:bottom w:val="single" w:sz="4" w:space="0" w:color="auto"/>
              <w:right w:val="nil"/>
            </w:tcBorders>
            <w:vAlign w:val="center"/>
          </w:tcPr>
          <w:p w14:paraId="000FF23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T</w:t>
            </w:r>
            <w:r w:rsidRPr="00D61F92">
              <w:rPr>
                <w:rFonts w:ascii="Arial" w:hAnsi="Arial" w:cs="Arial"/>
                <w:sz w:val="20"/>
                <w:szCs w:val="20"/>
                <w:vertAlign w:val="subscript"/>
              </w:rPr>
              <w:t>10</w:t>
            </w:r>
          </w:p>
        </w:tc>
        <w:tc>
          <w:tcPr>
            <w:tcW w:w="669" w:type="pct"/>
            <w:tcBorders>
              <w:top w:val="nil"/>
              <w:left w:val="nil"/>
              <w:bottom w:val="single" w:sz="4" w:space="0" w:color="auto"/>
              <w:right w:val="nil"/>
            </w:tcBorders>
            <w:vAlign w:val="center"/>
          </w:tcPr>
          <w:p w14:paraId="7ECB62A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 ab</w:t>
            </w:r>
          </w:p>
        </w:tc>
        <w:tc>
          <w:tcPr>
            <w:tcW w:w="589" w:type="pct"/>
            <w:tcBorders>
              <w:top w:val="nil"/>
              <w:left w:val="nil"/>
              <w:bottom w:val="single" w:sz="4" w:space="0" w:color="auto"/>
              <w:right w:val="nil"/>
            </w:tcBorders>
            <w:vAlign w:val="center"/>
          </w:tcPr>
          <w:p w14:paraId="5B9539A6"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50.00 ab</w:t>
            </w:r>
          </w:p>
        </w:tc>
        <w:tc>
          <w:tcPr>
            <w:tcW w:w="602" w:type="pct"/>
            <w:tcBorders>
              <w:top w:val="nil"/>
              <w:left w:val="nil"/>
              <w:bottom w:val="single" w:sz="4" w:space="0" w:color="auto"/>
              <w:right w:val="nil"/>
            </w:tcBorders>
            <w:vAlign w:val="center"/>
          </w:tcPr>
          <w:p w14:paraId="06D182C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10.31ab</w:t>
            </w:r>
          </w:p>
        </w:tc>
        <w:tc>
          <w:tcPr>
            <w:tcW w:w="604" w:type="pct"/>
            <w:tcBorders>
              <w:top w:val="nil"/>
              <w:left w:val="nil"/>
              <w:bottom w:val="single" w:sz="4" w:space="0" w:color="auto"/>
              <w:right w:val="nil"/>
            </w:tcBorders>
            <w:vAlign w:val="center"/>
          </w:tcPr>
          <w:p w14:paraId="2E92CE3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11.80 ab</w:t>
            </w:r>
          </w:p>
        </w:tc>
        <w:tc>
          <w:tcPr>
            <w:tcW w:w="606" w:type="pct"/>
            <w:tcBorders>
              <w:top w:val="nil"/>
              <w:left w:val="nil"/>
              <w:bottom w:val="single" w:sz="4" w:space="0" w:color="auto"/>
              <w:right w:val="nil"/>
            </w:tcBorders>
            <w:vAlign w:val="center"/>
          </w:tcPr>
          <w:p w14:paraId="50FE814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6.72</w:t>
            </w:r>
          </w:p>
        </w:tc>
        <w:tc>
          <w:tcPr>
            <w:tcW w:w="604" w:type="pct"/>
            <w:tcBorders>
              <w:top w:val="nil"/>
              <w:left w:val="nil"/>
              <w:bottom w:val="single" w:sz="4" w:space="0" w:color="auto"/>
              <w:right w:val="nil"/>
            </w:tcBorders>
            <w:vAlign w:val="center"/>
          </w:tcPr>
          <w:p w14:paraId="4EB26472"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74.48 ab</w:t>
            </w:r>
          </w:p>
        </w:tc>
        <w:tc>
          <w:tcPr>
            <w:tcW w:w="554" w:type="pct"/>
            <w:tcBorders>
              <w:top w:val="nil"/>
              <w:left w:val="nil"/>
              <w:bottom w:val="single" w:sz="4" w:space="0" w:color="auto"/>
              <w:right w:val="nil"/>
            </w:tcBorders>
            <w:vAlign w:val="center"/>
          </w:tcPr>
          <w:p w14:paraId="2CC45995"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0.41 a</w:t>
            </w:r>
          </w:p>
        </w:tc>
      </w:tr>
      <w:tr w:rsidR="00AB64AA" w:rsidRPr="00D61F92" w14:paraId="0FA38AFF" w14:textId="77777777" w:rsidTr="0005429D">
        <w:trPr>
          <w:trHeight w:val="659"/>
        </w:trPr>
        <w:tc>
          <w:tcPr>
            <w:tcW w:w="772" w:type="pct"/>
            <w:tcBorders>
              <w:left w:val="nil"/>
              <w:right w:val="nil"/>
            </w:tcBorders>
            <w:vAlign w:val="center"/>
          </w:tcPr>
          <w:p w14:paraId="320A9B54"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 xml:space="preserve">LSD </w:t>
            </w:r>
            <w:r w:rsidRPr="00D61F92">
              <w:rPr>
                <w:rFonts w:ascii="Arial" w:hAnsi="Arial" w:cs="Arial"/>
                <w:sz w:val="20"/>
                <w:szCs w:val="20"/>
                <w:vertAlign w:val="subscript"/>
              </w:rPr>
              <w:t>0.05</w:t>
            </w:r>
          </w:p>
        </w:tc>
        <w:tc>
          <w:tcPr>
            <w:tcW w:w="669" w:type="pct"/>
            <w:tcBorders>
              <w:left w:val="nil"/>
              <w:right w:val="nil"/>
            </w:tcBorders>
            <w:vAlign w:val="center"/>
          </w:tcPr>
          <w:p w14:paraId="5BF5B04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0.61</w:t>
            </w:r>
          </w:p>
        </w:tc>
        <w:tc>
          <w:tcPr>
            <w:tcW w:w="589" w:type="pct"/>
            <w:tcBorders>
              <w:left w:val="nil"/>
              <w:right w:val="nil"/>
            </w:tcBorders>
            <w:vAlign w:val="center"/>
          </w:tcPr>
          <w:p w14:paraId="7B7911B9"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11.32</w:t>
            </w:r>
          </w:p>
        </w:tc>
        <w:tc>
          <w:tcPr>
            <w:tcW w:w="602" w:type="pct"/>
            <w:tcBorders>
              <w:left w:val="nil"/>
              <w:right w:val="nil"/>
            </w:tcBorders>
            <w:vAlign w:val="center"/>
          </w:tcPr>
          <w:p w14:paraId="6EA9D64C"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0.62</w:t>
            </w:r>
          </w:p>
        </w:tc>
        <w:tc>
          <w:tcPr>
            <w:tcW w:w="604" w:type="pct"/>
            <w:tcBorders>
              <w:left w:val="nil"/>
              <w:right w:val="nil"/>
            </w:tcBorders>
            <w:vAlign w:val="center"/>
          </w:tcPr>
          <w:p w14:paraId="048F17A0"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0.66</w:t>
            </w:r>
          </w:p>
        </w:tc>
        <w:tc>
          <w:tcPr>
            <w:tcW w:w="606" w:type="pct"/>
            <w:tcBorders>
              <w:left w:val="nil"/>
              <w:right w:val="nil"/>
            </w:tcBorders>
            <w:vAlign w:val="center"/>
          </w:tcPr>
          <w:p w14:paraId="008A0BE7"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0.27</w:t>
            </w:r>
          </w:p>
        </w:tc>
        <w:tc>
          <w:tcPr>
            <w:tcW w:w="604" w:type="pct"/>
            <w:tcBorders>
              <w:left w:val="nil"/>
              <w:right w:val="nil"/>
            </w:tcBorders>
            <w:vAlign w:val="center"/>
          </w:tcPr>
          <w:p w14:paraId="4AF747ED"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2.28</w:t>
            </w:r>
          </w:p>
        </w:tc>
        <w:tc>
          <w:tcPr>
            <w:tcW w:w="554" w:type="pct"/>
            <w:tcBorders>
              <w:left w:val="nil"/>
              <w:right w:val="nil"/>
            </w:tcBorders>
            <w:vAlign w:val="center"/>
          </w:tcPr>
          <w:p w14:paraId="0B8F32FB" w14:textId="77777777" w:rsidR="007B1399" w:rsidRPr="00D61F92" w:rsidRDefault="007B1399" w:rsidP="00AB64AA">
            <w:pPr>
              <w:spacing w:before="120" w:after="120"/>
              <w:jc w:val="center"/>
              <w:rPr>
                <w:rFonts w:ascii="Arial" w:hAnsi="Arial" w:cs="Arial"/>
                <w:sz w:val="20"/>
                <w:szCs w:val="20"/>
              </w:rPr>
            </w:pPr>
            <w:r w:rsidRPr="00D61F92">
              <w:rPr>
                <w:rFonts w:ascii="Arial" w:hAnsi="Arial" w:cs="Arial"/>
                <w:sz w:val="20"/>
                <w:szCs w:val="20"/>
              </w:rPr>
              <w:t>0.09</w:t>
            </w:r>
          </w:p>
        </w:tc>
      </w:tr>
      <w:tr w:rsidR="00AB64AA" w:rsidRPr="00D61F92" w14:paraId="4FF4B0D6" w14:textId="77777777" w:rsidTr="0005429D">
        <w:trPr>
          <w:trHeight w:val="659"/>
        </w:trPr>
        <w:tc>
          <w:tcPr>
            <w:tcW w:w="772" w:type="pct"/>
            <w:tcBorders>
              <w:left w:val="nil"/>
              <w:right w:val="nil"/>
            </w:tcBorders>
            <w:vAlign w:val="center"/>
          </w:tcPr>
          <w:p w14:paraId="10181AE0" w14:textId="77777777" w:rsidR="007B1399" w:rsidRPr="00D61F92" w:rsidRDefault="007B1399" w:rsidP="00AB64AA">
            <w:pPr>
              <w:spacing w:before="120" w:after="120"/>
              <w:jc w:val="center"/>
              <w:rPr>
                <w:rFonts w:ascii="Arial" w:hAnsi="Arial" w:cs="Arial"/>
                <w:sz w:val="20"/>
                <w:szCs w:val="20"/>
              </w:rPr>
            </w:pPr>
            <w:proofErr w:type="spellStart"/>
            <w:r w:rsidRPr="00D61F92">
              <w:rPr>
                <w:rFonts w:ascii="Arial" w:hAnsi="Arial" w:cs="Arial"/>
                <w:sz w:val="20"/>
                <w:szCs w:val="20"/>
              </w:rPr>
              <w:t>Pr</w:t>
            </w:r>
            <w:proofErr w:type="spellEnd"/>
            <w:r w:rsidRPr="00D61F92">
              <w:rPr>
                <w:rFonts w:ascii="Arial" w:hAnsi="Arial" w:cs="Arial"/>
                <w:sz w:val="20"/>
                <w:szCs w:val="20"/>
              </w:rPr>
              <w:t xml:space="preserve"> &gt; F</w:t>
            </w:r>
          </w:p>
        </w:tc>
        <w:tc>
          <w:tcPr>
            <w:tcW w:w="669" w:type="pct"/>
            <w:tcBorders>
              <w:left w:val="nil"/>
              <w:right w:val="nil"/>
            </w:tcBorders>
            <w:vAlign w:val="center"/>
          </w:tcPr>
          <w:p w14:paraId="07CBCCB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89" w:type="pct"/>
            <w:tcBorders>
              <w:left w:val="nil"/>
              <w:right w:val="nil"/>
            </w:tcBorders>
            <w:vAlign w:val="center"/>
          </w:tcPr>
          <w:p w14:paraId="3079F51B"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2" w:type="pct"/>
            <w:tcBorders>
              <w:left w:val="nil"/>
              <w:right w:val="nil"/>
            </w:tcBorders>
            <w:vAlign w:val="center"/>
          </w:tcPr>
          <w:p w14:paraId="51BCD81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4" w:type="pct"/>
            <w:tcBorders>
              <w:left w:val="nil"/>
              <w:right w:val="nil"/>
            </w:tcBorders>
            <w:vAlign w:val="center"/>
          </w:tcPr>
          <w:p w14:paraId="54BB9911"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606" w:type="pct"/>
            <w:tcBorders>
              <w:left w:val="nil"/>
              <w:right w:val="nil"/>
            </w:tcBorders>
            <w:vAlign w:val="center"/>
          </w:tcPr>
          <w:p w14:paraId="3BEBF46C"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ns</w:t>
            </w:r>
          </w:p>
        </w:tc>
        <w:tc>
          <w:tcPr>
            <w:tcW w:w="604" w:type="pct"/>
            <w:tcBorders>
              <w:left w:val="nil"/>
              <w:right w:val="nil"/>
            </w:tcBorders>
            <w:vAlign w:val="center"/>
          </w:tcPr>
          <w:p w14:paraId="660CA581"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c>
          <w:tcPr>
            <w:tcW w:w="554" w:type="pct"/>
            <w:tcBorders>
              <w:left w:val="nil"/>
              <w:right w:val="nil"/>
            </w:tcBorders>
            <w:vAlign w:val="center"/>
          </w:tcPr>
          <w:p w14:paraId="0E3630A4" w14:textId="77777777" w:rsidR="007B1399" w:rsidRPr="00D61F92" w:rsidRDefault="007B1399" w:rsidP="00AB64AA">
            <w:pPr>
              <w:spacing w:before="120" w:after="120"/>
              <w:jc w:val="center"/>
              <w:rPr>
                <w:rFonts w:ascii="Arial" w:hAnsi="Arial" w:cs="Arial"/>
                <w:sz w:val="20"/>
                <w:szCs w:val="20"/>
              </w:rPr>
            </w:pPr>
            <w:r>
              <w:rPr>
                <w:rFonts w:ascii="Arial" w:hAnsi="Arial" w:cs="Arial"/>
                <w:sz w:val="20"/>
                <w:szCs w:val="20"/>
              </w:rPr>
              <w:t>*</w:t>
            </w:r>
          </w:p>
        </w:tc>
      </w:tr>
      <w:tr w:rsidR="00AB64AA" w:rsidRPr="008A7961" w14:paraId="12DEF575" w14:textId="77777777" w:rsidTr="0005429D">
        <w:trPr>
          <w:trHeight w:val="659"/>
        </w:trPr>
        <w:tc>
          <w:tcPr>
            <w:tcW w:w="772" w:type="pct"/>
            <w:tcBorders>
              <w:left w:val="nil"/>
              <w:right w:val="nil"/>
            </w:tcBorders>
            <w:vAlign w:val="center"/>
          </w:tcPr>
          <w:p w14:paraId="7930D07D"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CV %</w:t>
            </w:r>
          </w:p>
        </w:tc>
        <w:tc>
          <w:tcPr>
            <w:tcW w:w="669" w:type="pct"/>
            <w:tcBorders>
              <w:left w:val="nil"/>
              <w:right w:val="nil"/>
            </w:tcBorders>
            <w:vAlign w:val="center"/>
          </w:tcPr>
          <w:p w14:paraId="60BB47F0"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7.76</w:t>
            </w:r>
          </w:p>
        </w:tc>
        <w:tc>
          <w:tcPr>
            <w:tcW w:w="589" w:type="pct"/>
            <w:tcBorders>
              <w:left w:val="nil"/>
              <w:right w:val="nil"/>
            </w:tcBorders>
            <w:vAlign w:val="center"/>
          </w:tcPr>
          <w:p w14:paraId="0BC3BE33"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14.16</w:t>
            </w:r>
          </w:p>
        </w:tc>
        <w:tc>
          <w:tcPr>
            <w:tcW w:w="602" w:type="pct"/>
            <w:tcBorders>
              <w:left w:val="nil"/>
              <w:right w:val="nil"/>
            </w:tcBorders>
            <w:vAlign w:val="center"/>
          </w:tcPr>
          <w:p w14:paraId="6F644F3D"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3.59</w:t>
            </w:r>
          </w:p>
        </w:tc>
        <w:tc>
          <w:tcPr>
            <w:tcW w:w="604" w:type="pct"/>
            <w:tcBorders>
              <w:left w:val="nil"/>
              <w:right w:val="nil"/>
            </w:tcBorders>
            <w:vAlign w:val="center"/>
          </w:tcPr>
          <w:p w14:paraId="7640D782"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3.30</w:t>
            </w:r>
          </w:p>
        </w:tc>
        <w:tc>
          <w:tcPr>
            <w:tcW w:w="606" w:type="pct"/>
            <w:tcBorders>
              <w:left w:val="nil"/>
              <w:right w:val="nil"/>
            </w:tcBorders>
            <w:vAlign w:val="center"/>
          </w:tcPr>
          <w:p w14:paraId="30989C46"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2.39</w:t>
            </w:r>
          </w:p>
        </w:tc>
        <w:tc>
          <w:tcPr>
            <w:tcW w:w="604" w:type="pct"/>
            <w:tcBorders>
              <w:left w:val="nil"/>
              <w:right w:val="nil"/>
            </w:tcBorders>
            <w:vAlign w:val="center"/>
          </w:tcPr>
          <w:p w14:paraId="69B0019E"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1.82</w:t>
            </w:r>
          </w:p>
        </w:tc>
        <w:tc>
          <w:tcPr>
            <w:tcW w:w="554" w:type="pct"/>
            <w:tcBorders>
              <w:left w:val="nil"/>
              <w:right w:val="nil"/>
            </w:tcBorders>
            <w:vAlign w:val="center"/>
          </w:tcPr>
          <w:p w14:paraId="203B0296" w14:textId="77777777" w:rsidR="007B1399" w:rsidRPr="008A7961" w:rsidRDefault="007B1399" w:rsidP="00AB64AA">
            <w:pPr>
              <w:spacing w:before="120" w:after="120"/>
              <w:jc w:val="center"/>
              <w:rPr>
                <w:rFonts w:ascii="Arial" w:hAnsi="Arial" w:cs="Arial"/>
                <w:b/>
                <w:bCs/>
                <w:sz w:val="20"/>
                <w:szCs w:val="20"/>
              </w:rPr>
            </w:pPr>
            <w:r w:rsidRPr="008A7961">
              <w:rPr>
                <w:rFonts w:ascii="Arial" w:hAnsi="Arial" w:cs="Arial"/>
                <w:b/>
                <w:bCs/>
                <w:sz w:val="20"/>
                <w:szCs w:val="20"/>
              </w:rPr>
              <w:t>14.45</w:t>
            </w:r>
          </w:p>
        </w:tc>
      </w:tr>
    </w:tbl>
    <w:p w14:paraId="0FDDFAB2" w14:textId="6241992F" w:rsidR="007B1399" w:rsidRDefault="007B1399" w:rsidP="00441B6F">
      <w:pPr>
        <w:pStyle w:val="Body"/>
        <w:spacing w:after="0"/>
        <w:rPr>
          <w:rFonts w:ascii="Arial" w:hAnsi="Arial" w:cs="Arial"/>
        </w:rPr>
      </w:pPr>
    </w:p>
    <w:p w14:paraId="2A63F804" w14:textId="77777777" w:rsidR="004615E3" w:rsidRDefault="004615E3" w:rsidP="004615E3">
      <w:pPr>
        <w:rPr>
          <w:rFonts w:ascii="Arial" w:hAnsi="Arial" w:cs="Arial"/>
        </w:rPr>
      </w:pPr>
      <w:r>
        <w:rPr>
          <w:rFonts w:ascii="Arial" w:hAnsi="Arial" w:cs="Arial"/>
        </w:rPr>
        <w:t xml:space="preserve">* Means followed by different letter in the same column are significantly different by LSD     </w:t>
      </w:r>
    </w:p>
    <w:p w14:paraId="78701469" w14:textId="44C5BF27" w:rsidR="004615E3" w:rsidRDefault="004615E3" w:rsidP="004615E3">
      <w:r>
        <w:rPr>
          <w:rFonts w:ascii="Arial" w:hAnsi="Arial" w:cs="Arial"/>
        </w:rPr>
        <w:t xml:space="preserve">   test at 5% level</w:t>
      </w:r>
    </w:p>
    <w:p w14:paraId="099E812F" w14:textId="718CF6CE" w:rsidR="007B1399" w:rsidRDefault="007B1399" w:rsidP="00441B6F">
      <w:pPr>
        <w:pStyle w:val="Body"/>
        <w:spacing w:after="0"/>
        <w:rPr>
          <w:rFonts w:ascii="Arial" w:hAnsi="Arial" w:cs="Arial"/>
        </w:rPr>
      </w:pPr>
    </w:p>
    <w:p w14:paraId="008963E3" w14:textId="53C6ABD1" w:rsidR="005B74E6" w:rsidRDefault="005B74E6" w:rsidP="00097FB2">
      <w:pPr>
        <w:spacing w:before="120" w:after="120" w:line="360" w:lineRule="auto"/>
        <w:jc w:val="both"/>
        <w:rPr>
          <w:rFonts w:ascii="Arial" w:hAnsi="Arial" w:cs="Arial"/>
        </w:rPr>
      </w:pPr>
    </w:p>
    <w:p w14:paraId="07BA63DF" w14:textId="77777777" w:rsidR="0005429D" w:rsidRDefault="0005429D" w:rsidP="00097FB2">
      <w:pPr>
        <w:spacing w:before="120" w:after="120" w:line="360" w:lineRule="auto"/>
        <w:jc w:val="both"/>
        <w:rPr>
          <w:rFonts w:ascii="Arial" w:hAnsi="Arial" w:cs="Arial"/>
          <w:b/>
          <w:bCs/>
          <w:sz w:val="22"/>
          <w:szCs w:val="22"/>
        </w:rPr>
      </w:pPr>
    </w:p>
    <w:p w14:paraId="4E4E8CF1" w14:textId="477C244C" w:rsidR="00097FB2" w:rsidRPr="00A34C76" w:rsidRDefault="00097FB2" w:rsidP="005B74E6">
      <w:pPr>
        <w:spacing w:before="120" w:after="120" w:line="360" w:lineRule="auto"/>
        <w:ind w:right="-583"/>
        <w:jc w:val="both"/>
        <w:rPr>
          <w:rFonts w:ascii="Arial" w:hAnsi="Arial" w:cs="Arial"/>
          <w:b/>
          <w:bCs/>
          <w:sz w:val="22"/>
          <w:szCs w:val="22"/>
        </w:rPr>
      </w:pPr>
      <w:r w:rsidRPr="00A34C76">
        <w:rPr>
          <w:rFonts w:ascii="Arial" w:hAnsi="Arial" w:cs="Arial"/>
          <w:b/>
          <w:bCs/>
          <w:sz w:val="22"/>
          <w:szCs w:val="22"/>
        </w:rPr>
        <w:lastRenderedPageBreak/>
        <w:t>4. Conclusion</w:t>
      </w:r>
    </w:p>
    <w:p w14:paraId="5D9D97A3" w14:textId="1FE8D7B7" w:rsidR="00166C9F" w:rsidRDefault="006B2A32" w:rsidP="00E514F2">
      <w:pPr>
        <w:spacing w:before="120" w:after="120" w:line="360" w:lineRule="auto"/>
        <w:ind w:firstLine="720"/>
        <w:jc w:val="both"/>
        <w:rPr>
          <w:rFonts w:ascii="Arial" w:hAnsi="Arial" w:cs="Arial"/>
        </w:rPr>
      </w:pPr>
      <w:r w:rsidRPr="00D61F92">
        <w:rPr>
          <w:rFonts w:ascii="Arial" w:hAnsi="Arial" w:cs="Arial"/>
        </w:rPr>
        <w:t>The results demonstrated that foliar application of GA</w:t>
      </w:r>
      <w:r w:rsidRPr="00BF316C">
        <w:rPr>
          <w:rFonts w:ascii="Arial" w:hAnsi="Arial" w:cs="Arial"/>
          <w:vertAlign w:val="subscript"/>
        </w:rPr>
        <w:t>3</w:t>
      </w:r>
      <w:r w:rsidRPr="00D61F92">
        <w:rPr>
          <w:rFonts w:ascii="Arial" w:hAnsi="Arial" w:cs="Arial"/>
        </w:rPr>
        <w:t xml:space="preserve"> significantly enhanced key growth parameters </w:t>
      </w:r>
      <w:r>
        <w:rPr>
          <w:rFonts w:ascii="Arial" w:hAnsi="Arial" w:cs="Arial"/>
        </w:rPr>
        <w:t xml:space="preserve">including </w:t>
      </w:r>
      <w:r w:rsidRPr="00D61F92">
        <w:rPr>
          <w:rFonts w:ascii="Arial" w:hAnsi="Arial" w:cs="Arial"/>
        </w:rPr>
        <w:t>plant height, SPAD values, total dry matter, leaf area index (LAI)</w:t>
      </w:r>
      <w:r>
        <w:rPr>
          <w:rFonts w:ascii="Arial" w:hAnsi="Arial" w:cs="Arial"/>
        </w:rPr>
        <w:t xml:space="preserve"> and</w:t>
      </w:r>
      <w:r w:rsidRPr="00D61F92">
        <w:rPr>
          <w:rFonts w:ascii="Arial" w:hAnsi="Arial" w:cs="Arial"/>
        </w:rPr>
        <w:t xml:space="preserve"> crop growth rate (CGR). </w:t>
      </w:r>
      <w:r w:rsidRPr="008B0C03">
        <w:rPr>
          <w:rFonts w:ascii="Arial" w:hAnsi="Arial" w:cs="Arial"/>
        </w:rPr>
        <w:t>Among all treatments, the application of 100 ppm GA</w:t>
      </w:r>
      <w:r w:rsidRPr="008B0C03">
        <w:rPr>
          <w:rFonts w:ascii="Arial" w:hAnsi="Arial" w:cs="Arial"/>
          <w:vertAlign w:val="subscript"/>
        </w:rPr>
        <w:t>3</w:t>
      </w:r>
      <w:r w:rsidRPr="008B0C03">
        <w:rPr>
          <w:rFonts w:ascii="Arial" w:hAnsi="Arial" w:cs="Arial"/>
        </w:rPr>
        <w:t xml:space="preserve"> at both 20 and 40 days after sowing (T</w:t>
      </w:r>
      <w:r w:rsidRPr="008B0C03">
        <w:rPr>
          <w:rFonts w:ascii="Arial" w:hAnsi="Arial" w:cs="Arial"/>
          <w:vertAlign w:val="subscript"/>
        </w:rPr>
        <w:t>9</w:t>
      </w:r>
      <w:r w:rsidRPr="008B0C03">
        <w:rPr>
          <w:rFonts w:ascii="Arial" w:hAnsi="Arial" w:cs="Arial"/>
        </w:rPr>
        <w:t xml:space="preserve">) </w:t>
      </w:r>
      <w:r>
        <w:rPr>
          <w:rFonts w:ascii="Arial" w:hAnsi="Arial" w:cs="Arial"/>
        </w:rPr>
        <w:t xml:space="preserve">produced the highest </w:t>
      </w:r>
      <w:r w:rsidRPr="008B0C03">
        <w:rPr>
          <w:rFonts w:ascii="Arial" w:hAnsi="Arial" w:cs="Arial"/>
        </w:rPr>
        <w:t>seed yield across both experimental seasons (2023-24 and 2024-25).</w:t>
      </w:r>
      <w:r w:rsidRPr="00D61F92">
        <w:rPr>
          <w:rFonts w:ascii="Arial" w:hAnsi="Arial" w:cs="Arial"/>
        </w:rPr>
        <w:t xml:space="preserve"> This treatment also </w:t>
      </w:r>
      <w:r>
        <w:rPr>
          <w:rFonts w:ascii="Arial" w:hAnsi="Arial" w:cs="Arial"/>
        </w:rPr>
        <w:t>resulted in</w:t>
      </w:r>
      <w:r w:rsidRPr="00D61F92">
        <w:rPr>
          <w:rFonts w:ascii="Arial" w:hAnsi="Arial" w:cs="Arial"/>
        </w:rPr>
        <w:t xml:space="preserve"> significant improvements in </w:t>
      </w:r>
      <w:r>
        <w:rPr>
          <w:rFonts w:ascii="Arial" w:hAnsi="Arial" w:cs="Arial"/>
        </w:rPr>
        <w:t xml:space="preserve">yield and </w:t>
      </w:r>
      <w:r w:rsidRPr="00D61F92">
        <w:rPr>
          <w:rFonts w:ascii="Arial" w:hAnsi="Arial" w:cs="Arial"/>
        </w:rPr>
        <w:t>yield components, including the number of branches per plant, pods per plant, pod length, seed</w:t>
      </w:r>
      <w:r>
        <w:rPr>
          <w:rFonts w:ascii="Arial" w:hAnsi="Arial" w:cs="Arial"/>
        </w:rPr>
        <w:t>s</w:t>
      </w:r>
      <w:r w:rsidRPr="00D61F92">
        <w:rPr>
          <w:rFonts w:ascii="Arial" w:hAnsi="Arial" w:cs="Arial"/>
        </w:rPr>
        <w:t xml:space="preserve"> per pod, shelling percentage, harvest index, and ultimately, seed yield.</w:t>
      </w:r>
      <w:r>
        <w:rPr>
          <w:rFonts w:ascii="Arial" w:hAnsi="Arial" w:cs="Arial"/>
        </w:rPr>
        <w:t xml:space="preserve"> Based on findings of the two seasons study, t</w:t>
      </w:r>
      <w:r w:rsidRPr="00D61F92">
        <w:rPr>
          <w:rFonts w:ascii="Arial" w:hAnsi="Arial" w:cs="Arial"/>
        </w:rPr>
        <w:t>he application of 100 ppm GA</w:t>
      </w:r>
      <w:r w:rsidRPr="008510D6">
        <w:rPr>
          <w:rFonts w:ascii="Arial" w:hAnsi="Arial" w:cs="Arial"/>
          <w:vertAlign w:val="subscript"/>
        </w:rPr>
        <w:t>3</w:t>
      </w:r>
      <w:r w:rsidRPr="00D61F92">
        <w:rPr>
          <w:rFonts w:ascii="Arial" w:hAnsi="Arial" w:cs="Arial"/>
        </w:rPr>
        <w:t xml:space="preserve"> at 20 and 40 DAS </w:t>
      </w:r>
      <w:r>
        <w:rPr>
          <w:rFonts w:ascii="Arial" w:hAnsi="Arial" w:cs="Arial"/>
        </w:rPr>
        <w:t>was identified as the optimum</w:t>
      </w:r>
      <w:r w:rsidRPr="0077656F">
        <w:rPr>
          <w:rFonts w:ascii="Arial" w:hAnsi="Arial" w:cs="Arial"/>
        </w:rPr>
        <w:t xml:space="preserve"> concentration and appropriate time </w:t>
      </w:r>
      <w:r>
        <w:rPr>
          <w:rFonts w:ascii="Arial" w:hAnsi="Arial" w:cs="Arial"/>
        </w:rPr>
        <w:t xml:space="preserve">of </w:t>
      </w:r>
      <w:r w:rsidRPr="00D61F92">
        <w:rPr>
          <w:rFonts w:ascii="Arial" w:hAnsi="Arial" w:cs="Arial"/>
        </w:rPr>
        <w:t xml:space="preserve">foliar treatment for enhancing the growth and yield of </w:t>
      </w:r>
      <w:proofErr w:type="spellStart"/>
      <w:r w:rsidRPr="00D61F92">
        <w:rPr>
          <w:rFonts w:ascii="Arial" w:hAnsi="Arial" w:cs="Arial"/>
        </w:rPr>
        <w:t>mungbean</w:t>
      </w:r>
      <w:proofErr w:type="spellEnd"/>
      <w:r w:rsidRPr="00D61F92">
        <w:rPr>
          <w:rFonts w:ascii="Arial" w:hAnsi="Arial" w:cs="Arial"/>
        </w:rPr>
        <w:t xml:space="preserve"> </w:t>
      </w:r>
      <w:r>
        <w:rPr>
          <w:rFonts w:ascii="Arial" w:hAnsi="Arial" w:cs="Arial"/>
        </w:rPr>
        <w:t xml:space="preserve">under </w:t>
      </w:r>
      <w:r w:rsidRPr="00D61F92">
        <w:rPr>
          <w:rFonts w:ascii="Arial" w:hAnsi="Arial" w:cs="Arial"/>
        </w:rPr>
        <w:t>the studied</w:t>
      </w:r>
      <w:r>
        <w:rPr>
          <w:rFonts w:ascii="Arial" w:hAnsi="Arial" w:cs="Arial"/>
        </w:rPr>
        <w:t xml:space="preserve"> conditions</w:t>
      </w:r>
      <w:r w:rsidRPr="00D61F92">
        <w:rPr>
          <w:rFonts w:ascii="Arial" w:hAnsi="Arial" w:cs="Arial"/>
        </w:rPr>
        <w:t>.</w:t>
      </w:r>
      <w:r>
        <w:rPr>
          <w:rFonts w:ascii="Arial" w:hAnsi="Arial" w:cs="Arial"/>
        </w:rPr>
        <w:t xml:space="preserve"> The present study highlights that to achieve maximum seed yield, it is important to apply GA</w:t>
      </w:r>
      <w:r w:rsidRPr="00AD48CC">
        <w:rPr>
          <w:rFonts w:ascii="Arial" w:hAnsi="Arial" w:cs="Arial"/>
          <w:vertAlign w:val="subscript"/>
        </w:rPr>
        <w:t>3</w:t>
      </w:r>
      <w:r>
        <w:rPr>
          <w:rFonts w:ascii="Arial" w:hAnsi="Arial" w:cs="Arial"/>
        </w:rPr>
        <w:t xml:space="preserve"> at optimum concentration at appropriate growth stages, which can significantly enhance the productivity of the tested </w:t>
      </w:r>
      <w:proofErr w:type="spellStart"/>
      <w:r>
        <w:rPr>
          <w:rFonts w:ascii="Arial" w:hAnsi="Arial" w:cs="Arial"/>
        </w:rPr>
        <w:t>mungbean</w:t>
      </w:r>
      <w:proofErr w:type="spellEnd"/>
      <w:r>
        <w:rPr>
          <w:rFonts w:ascii="Arial" w:hAnsi="Arial" w:cs="Arial"/>
        </w:rPr>
        <w:t xml:space="preserve"> cultivar. </w:t>
      </w:r>
      <w:r w:rsidRPr="00D61F92">
        <w:rPr>
          <w:rFonts w:ascii="Arial" w:hAnsi="Arial" w:cs="Arial"/>
        </w:rPr>
        <w:t>As global demand for pulses continues to rise, optimizing the use of plant growth regulators like GA</w:t>
      </w:r>
      <w:r w:rsidRPr="008510D6">
        <w:rPr>
          <w:rFonts w:ascii="Arial" w:hAnsi="Arial" w:cs="Arial"/>
          <w:vertAlign w:val="subscript"/>
        </w:rPr>
        <w:t>3</w:t>
      </w:r>
      <w:r w:rsidRPr="00D61F92">
        <w:rPr>
          <w:rFonts w:ascii="Arial" w:hAnsi="Arial" w:cs="Arial"/>
        </w:rPr>
        <w:t xml:space="preserve"> </w:t>
      </w:r>
      <w:r>
        <w:rPr>
          <w:rFonts w:ascii="Arial" w:hAnsi="Arial" w:cs="Arial"/>
        </w:rPr>
        <w:t>offers</w:t>
      </w:r>
      <w:r w:rsidRPr="00D61F92">
        <w:rPr>
          <w:rFonts w:ascii="Arial" w:hAnsi="Arial" w:cs="Arial"/>
        </w:rPr>
        <w:t xml:space="preserve"> a valuable pathway toward sustainable intensification of legume production</w:t>
      </w:r>
      <w:r>
        <w:rPr>
          <w:rFonts w:ascii="Arial" w:hAnsi="Arial" w:cs="Arial"/>
        </w:rPr>
        <w:t>, especially</w:t>
      </w:r>
      <w:r w:rsidRPr="00D61F92">
        <w:rPr>
          <w:rFonts w:ascii="Arial" w:hAnsi="Arial" w:cs="Arial"/>
        </w:rPr>
        <w:t xml:space="preserve"> in resource-limited settings</w:t>
      </w:r>
      <w:r>
        <w:rPr>
          <w:rFonts w:ascii="Arial" w:hAnsi="Arial" w:cs="Arial"/>
        </w:rPr>
        <w:t xml:space="preserve">. </w:t>
      </w:r>
    </w:p>
    <w:p w14:paraId="197D554E" w14:textId="77777777" w:rsidR="001B7036" w:rsidRPr="00150115" w:rsidRDefault="001B7036" w:rsidP="00150115">
      <w:pPr>
        <w:spacing w:after="200" w:line="360" w:lineRule="auto"/>
        <w:jc w:val="both"/>
        <w:rPr>
          <w:rFonts w:ascii="Arial" w:eastAsia="Calibri" w:hAnsi="Arial" w:cs="Arial"/>
          <w:kern w:val="2"/>
        </w:rPr>
      </w:pPr>
      <w:bookmarkStart w:id="1" w:name="_Hlk197682619"/>
      <w:bookmarkStart w:id="2" w:name="_Hlk180402183"/>
      <w:bookmarkStart w:id="3" w:name="_Hlk183680988"/>
      <w:r w:rsidRPr="00150115">
        <w:rPr>
          <w:rFonts w:ascii="Arial" w:eastAsia="Calibri" w:hAnsi="Arial" w:cs="Arial"/>
          <w:kern w:val="2"/>
        </w:rPr>
        <w:t>Disclaimer (Artificial intelligence)</w:t>
      </w:r>
    </w:p>
    <w:p w14:paraId="783E4B67" w14:textId="77777777" w:rsidR="001B7036" w:rsidRPr="00150115" w:rsidRDefault="001B7036" w:rsidP="00150115">
      <w:pPr>
        <w:spacing w:after="200" w:line="360" w:lineRule="auto"/>
        <w:jc w:val="both"/>
        <w:rPr>
          <w:rFonts w:ascii="Arial" w:eastAsia="Calibri" w:hAnsi="Arial" w:cs="Arial"/>
          <w:kern w:val="2"/>
        </w:rPr>
      </w:pPr>
      <w:r w:rsidRPr="00150115">
        <w:rPr>
          <w:rFonts w:ascii="Arial" w:eastAsia="Calibri" w:hAnsi="Arial" w:cs="Arial"/>
          <w:kern w:val="2"/>
        </w:rPr>
        <w:t xml:space="preserve">Option 1: </w:t>
      </w:r>
    </w:p>
    <w:p w14:paraId="69BCF563" w14:textId="0A3005E1" w:rsidR="00F20E53" w:rsidRPr="0072422A" w:rsidRDefault="001B7036" w:rsidP="0072422A">
      <w:pPr>
        <w:spacing w:after="200" w:line="360" w:lineRule="auto"/>
        <w:jc w:val="both"/>
        <w:rPr>
          <w:rFonts w:ascii="Arial" w:eastAsia="Calibri" w:hAnsi="Arial" w:cs="Arial"/>
          <w:kern w:val="2"/>
        </w:rPr>
      </w:pPr>
      <w:r w:rsidRPr="00150115">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14:paraId="332240F0" w14:textId="77777777" w:rsidR="005C2898" w:rsidRDefault="005C2898" w:rsidP="005C2898">
      <w:pPr>
        <w:pStyle w:val="ReferHead"/>
        <w:spacing w:after="0"/>
        <w:jc w:val="both"/>
        <w:rPr>
          <w:rFonts w:ascii="Arial" w:hAnsi="Arial" w:cs="Arial"/>
        </w:rPr>
      </w:pPr>
      <w:r w:rsidRPr="00FB3A86">
        <w:rPr>
          <w:rFonts w:ascii="Arial" w:hAnsi="Arial" w:cs="Arial"/>
        </w:rPr>
        <w:t>References</w:t>
      </w:r>
    </w:p>
    <w:p w14:paraId="2DFAEB11" w14:textId="527E90BE" w:rsidR="00E63353" w:rsidRPr="005F7B01" w:rsidRDefault="00E63353" w:rsidP="008A6EE3">
      <w:pPr>
        <w:widowControl w:val="0"/>
        <w:autoSpaceDE w:val="0"/>
        <w:autoSpaceDN w:val="0"/>
        <w:adjustRightInd w:val="0"/>
        <w:spacing w:before="120" w:after="120" w:line="360" w:lineRule="auto"/>
        <w:ind w:left="480" w:hanging="480"/>
        <w:jc w:val="both"/>
        <w:rPr>
          <w:rFonts w:ascii="Arial" w:hAnsi="Arial" w:cs="Arial"/>
          <w:noProof/>
          <w:lang w:val="nb-NO"/>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Pr="00E63353">
        <w:rPr>
          <w:rFonts w:ascii="Arial" w:hAnsi="Arial" w:cs="Arial"/>
          <w:noProof/>
        </w:rPr>
        <w:t xml:space="preserve"> </w:t>
      </w:r>
      <w:r w:rsidRPr="007B1399">
        <w:rPr>
          <w:rFonts w:ascii="Arial" w:hAnsi="Arial" w:cs="Arial"/>
          <w:noProof/>
        </w:rPr>
        <w:t>Agawane, R. B., &amp; Parhe, S. D. (2015). Effect of seed priming on crop growth and seed yield of soybean [</w:t>
      </w:r>
      <w:r w:rsidRPr="00DB6F74">
        <w:rPr>
          <w:rFonts w:ascii="Arial" w:hAnsi="Arial" w:cs="Arial"/>
          <w:i/>
          <w:iCs/>
          <w:noProof/>
        </w:rPr>
        <w:t xml:space="preserve">Glycine max </w:t>
      </w:r>
      <w:r w:rsidRPr="007B1399">
        <w:rPr>
          <w:rFonts w:ascii="Arial" w:hAnsi="Arial" w:cs="Arial"/>
          <w:noProof/>
        </w:rPr>
        <w:t xml:space="preserve">(L.). </w:t>
      </w:r>
      <w:r w:rsidRPr="00B60609">
        <w:rPr>
          <w:rFonts w:ascii="Arial" w:hAnsi="Arial" w:cs="Arial"/>
          <w:i/>
          <w:iCs/>
        </w:rPr>
        <w:t>Bioscan</w:t>
      </w:r>
      <w:r>
        <w:t xml:space="preserve"> </w:t>
      </w:r>
      <w:r w:rsidRPr="005F7B01">
        <w:rPr>
          <w:rFonts w:ascii="Arial" w:hAnsi="Arial" w:cs="Arial"/>
          <w:i/>
          <w:iCs/>
          <w:noProof/>
          <w:lang w:val="nb-NO"/>
        </w:rPr>
        <w:t>1</w:t>
      </w:r>
      <w:r w:rsidRPr="005F7B01">
        <w:rPr>
          <w:rFonts w:ascii="Arial" w:hAnsi="Arial" w:cs="Arial"/>
          <w:noProof/>
          <w:lang w:val="nb-NO"/>
        </w:rPr>
        <w:t>(10), 265–270.</w:t>
      </w:r>
    </w:p>
    <w:p w14:paraId="0E18BE0D" w14:textId="77777777" w:rsidR="00E63353" w:rsidRPr="007B1399" w:rsidRDefault="00E63353" w:rsidP="008A6EE3">
      <w:pPr>
        <w:widowControl w:val="0"/>
        <w:autoSpaceDE w:val="0"/>
        <w:autoSpaceDN w:val="0"/>
        <w:adjustRightInd w:val="0"/>
        <w:spacing w:before="120" w:after="120" w:line="360" w:lineRule="auto"/>
        <w:ind w:left="480" w:hanging="480"/>
        <w:jc w:val="both"/>
        <w:rPr>
          <w:rFonts w:ascii="Arial" w:hAnsi="Arial" w:cs="Arial"/>
          <w:noProof/>
        </w:rPr>
      </w:pPr>
      <w:r w:rsidRPr="00C52667">
        <w:rPr>
          <w:rFonts w:ascii="Arial" w:hAnsi="Arial" w:cs="Arial"/>
          <w:noProof/>
          <w:lang w:val="nb-NO"/>
        </w:rPr>
        <w:t xml:space="preserve">Akter, A., Ali, E., Islam, M. M. Z., Karim, R., &amp; Razzaque, A. H. M. (2007). </w:t>
      </w:r>
      <w:r w:rsidRPr="00C52667">
        <w:rPr>
          <w:rFonts w:ascii="Arial" w:hAnsi="Arial" w:cs="Arial"/>
          <w:noProof/>
        </w:rPr>
        <w:t xml:space="preserve">Effect of GA3 on growth and yield of mustard. </w:t>
      </w:r>
      <w:r w:rsidRPr="00C52667">
        <w:rPr>
          <w:rFonts w:ascii="Arial" w:hAnsi="Arial" w:cs="Arial"/>
          <w:i/>
          <w:iCs/>
          <w:noProof/>
        </w:rPr>
        <w:t>International Journal of Sustainable Crop Production</w:t>
      </w:r>
      <w:r w:rsidRPr="00C52667">
        <w:rPr>
          <w:rFonts w:ascii="Arial" w:hAnsi="Arial" w:cs="Arial"/>
          <w:noProof/>
        </w:rPr>
        <w:t xml:space="preserve">,. </w:t>
      </w:r>
      <w:r w:rsidRPr="00C52667">
        <w:rPr>
          <w:rFonts w:ascii="Arial" w:hAnsi="Arial" w:cs="Arial"/>
          <w:i/>
          <w:iCs/>
          <w:noProof/>
        </w:rPr>
        <w:t>2</w:t>
      </w:r>
      <w:r w:rsidRPr="00C52667">
        <w:rPr>
          <w:rFonts w:ascii="Arial" w:hAnsi="Arial" w:cs="Arial"/>
          <w:noProof/>
        </w:rPr>
        <w:t>(2), 16–20.</w:t>
      </w:r>
    </w:p>
    <w:p w14:paraId="663FA826" w14:textId="77777777" w:rsidR="00E63353" w:rsidRPr="007B1399" w:rsidRDefault="00E63353" w:rsidP="008A6EE3">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Ali, M., &amp; Gupta, S. (2012). Carrying capacity of Indian agriculture: Pulse crops. </w:t>
      </w:r>
      <w:r w:rsidRPr="00DB6F74">
        <w:rPr>
          <w:rFonts w:ascii="Arial" w:hAnsi="Arial" w:cs="Arial"/>
          <w:i/>
          <w:iCs/>
          <w:noProof/>
        </w:rPr>
        <w:t>Current Science</w:t>
      </w:r>
      <w:r w:rsidRPr="007B1399">
        <w:rPr>
          <w:rFonts w:ascii="Arial" w:hAnsi="Arial" w:cs="Arial"/>
          <w:noProof/>
        </w:rPr>
        <w:t xml:space="preserve">, </w:t>
      </w:r>
      <w:r w:rsidRPr="00DB6F74">
        <w:rPr>
          <w:rFonts w:ascii="Arial" w:hAnsi="Arial" w:cs="Arial"/>
          <w:i/>
          <w:iCs/>
          <w:noProof/>
        </w:rPr>
        <w:t>102</w:t>
      </w:r>
      <w:r w:rsidRPr="007B1399">
        <w:rPr>
          <w:rFonts w:ascii="Arial" w:hAnsi="Arial" w:cs="Arial"/>
          <w:noProof/>
        </w:rPr>
        <w:t>(6), 874–881.</w:t>
      </w:r>
    </w:p>
    <w:p w14:paraId="3322B92F" w14:textId="77777777" w:rsidR="00E63353" w:rsidRPr="007B1399" w:rsidRDefault="00E63353" w:rsidP="008A6EE3">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Gardner, R., Pearce, B., &amp; Mitchell, R. L. (1985). Physiology of crop plants. Iowa state university press in Ames p. 327.</w:t>
      </w:r>
    </w:p>
    <w:p w14:paraId="33E385A6" w14:textId="77777777" w:rsidR="00E63353" w:rsidRPr="007B1399" w:rsidRDefault="00E63353" w:rsidP="008A6EE3">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 xml:space="preserve">Hedden, P., &amp; Phillips, A. L. (2000). Gibberellin Metabolism: </w:t>
      </w:r>
      <w:r w:rsidRPr="00DB6F74">
        <w:rPr>
          <w:rFonts w:ascii="Arial" w:hAnsi="Arial" w:cs="Arial"/>
          <w:noProof/>
        </w:rPr>
        <w:t>New Insights Revealed by the Genes</w:t>
      </w:r>
      <w:r w:rsidRPr="007B1399">
        <w:rPr>
          <w:rFonts w:ascii="Arial" w:hAnsi="Arial" w:cs="Arial"/>
          <w:noProof/>
        </w:rPr>
        <w:t xml:space="preserve">. </w:t>
      </w:r>
      <w:r w:rsidRPr="00DB6F74">
        <w:rPr>
          <w:rFonts w:ascii="Arial" w:hAnsi="Arial" w:cs="Arial"/>
          <w:i/>
          <w:iCs/>
          <w:noProof/>
        </w:rPr>
        <w:t>Trends in Plant Science,</w:t>
      </w:r>
      <w:r w:rsidRPr="007B1399">
        <w:rPr>
          <w:rFonts w:ascii="Arial" w:hAnsi="Arial" w:cs="Arial"/>
          <w:noProof/>
        </w:rPr>
        <w:t xml:space="preserve"> </w:t>
      </w:r>
      <w:r w:rsidRPr="00DB6F74">
        <w:rPr>
          <w:rFonts w:ascii="Arial" w:hAnsi="Arial" w:cs="Arial"/>
          <w:i/>
          <w:iCs/>
          <w:noProof/>
        </w:rPr>
        <w:t>5</w:t>
      </w:r>
      <w:r w:rsidRPr="007B1399">
        <w:rPr>
          <w:rFonts w:ascii="Arial" w:hAnsi="Arial" w:cs="Arial"/>
          <w:noProof/>
        </w:rPr>
        <w:t>(12), 523–530.</w:t>
      </w:r>
    </w:p>
    <w:p w14:paraId="00DBB747" w14:textId="179851DA" w:rsidR="00E63353" w:rsidRPr="007B1399" w:rsidRDefault="00E63353" w:rsidP="008A6EE3">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lastRenderedPageBreak/>
        <w:t xml:space="preserve">Ilias,I., Ouzounidou, G., Giannakoula, A., &amp; Papadopoulou, P. (2007). Effects of gibberellic acid and prohexadione-calcium on growth, chlorophyll fluorescence and quality of okra plant. </w:t>
      </w:r>
      <w:r w:rsidRPr="00DB6F74">
        <w:rPr>
          <w:rFonts w:ascii="Arial" w:hAnsi="Arial" w:cs="Arial"/>
          <w:i/>
          <w:iCs/>
          <w:noProof/>
        </w:rPr>
        <w:t>Biologia Plantarum</w:t>
      </w:r>
      <w:r w:rsidRPr="007B1399">
        <w:rPr>
          <w:rFonts w:ascii="Arial" w:hAnsi="Arial" w:cs="Arial"/>
          <w:noProof/>
        </w:rPr>
        <w:t>,5</w:t>
      </w:r>
      <w:r w:rsidR="009D05BB">
        <w:rPr>
          <w:rFonts w:ascii="Arial" w:hAnsi="Arial" w:cs="Arial"/>
          <w:noProof/>
        </w:rPr>
        <w:t>(</w:t>
      </w:r>
      <w:r w:rsidRPr="007B1399">
        <w:rPr>
          <w:rFonts w:ascii="Arial" w:hAnsi="Arial" w:cs="Arial"/>
          <w:noProof/>
        </w:rPr>
        <w:t>1</w:t>
      </w:r>
      <w:r w:rsidR="009D05BB">
        <w:rPr>
          <w:rFonts w:ascii="Arial" w:hAnsi="Arial" w:cs="Arial"/>
          <w:noProof/>
        </w:rPr>
        <w:t>)</w:t>
      </w:r>
      <w:r w:rsidRPr="007B1399">
        <w:rPr>
          <w:rFonts w:ascii="Arial" w:hAnsi="Arial" w:cs="Arial"/>
          <w:noProof/>
        </w:rPr>
        <w:t>, 575–578.</w:t>
      </w:r>
    </w:p>
    <w:p w14:paraId="0812C0E4" w14:textId="77777777" w:rsidR="00E63353" w:rsidRPr="00DA6A57" w:rsidRDefault="00E63353" w:rsidP="008A6EE3">
      <w:pPr>
        <w:widowControl w:val="0"/>
        <w:autoSpaceDE w:val="0"/>
        <w:autoSpaceDN w:val="0"/>
        <w:adjustRightInd w:val="0"/>
        <w:spacing w:before="120" w:after="120" w:line="360" w:lineRule="auto"/>
        <w:ind w:left="480" w:hanging="480"/>
        <w:jc w:val="both"/>
        <w:rPr>
          <w:rFonts w:ascii="Arial" w:hAnsi="Arial" w:cs="Arial"/>
          <w:noProof/>
        </w:rPr>
      </w:pPr>
      <w:r w:rsidRPr="007B1399">
        <w:rPr>
          <w:rFonts w:ascii="Arial" w:hAnsi="Arial" w:cs="Arial"/>
          <w:noProof/>
        </w:rPr>
        <w:t>Islam, M. S., Hasan, M. K., Islam, B., Renu, N. A., Hakim, M. A., Islam, M. R.,</w:t>
      </w:r>
      <w:r>
        <w:rPr>
          <w:rFonts w:ascii="Arial" w:hAnsi="Arial" w:cs="Arial"/>
          <w:noProof/>
        </w:rPr>
        <w:t xml:space="preserve"> </w:t>
      </w:r>
      <w:r w:rsidRPr="007B1399">
        <w:rPr>
          <w:rFonts w:ascii="Arial" w:hAnsi="Arial" w:cs="Arial"/>
          <w:noProof/>
        </w:rPr>
        <w:t>&amp; &amp; El Sabagh, A. (2021). Responses of water and pigments status, dry matter partitioning, seed production, and traits of yield and quality to foliar application of GA3 in Mungbean (</w:t>
      </w:r>
      <w:r w:rsidRPr="00DB6F74">
        <w:rPr>
          <w:rFonts w:ascii="Arial" w:hAnsi="Arial" w:cs="Arial"/>
          <w:i/>
          <w:iCs/>
          <w:noProof/>
        </w:rPr>
        <w:t>Vigna radiata</w:t>
      </w:r>
      <w:r w:rsidRPr="007B1399">
        <w:rPr>
          <w:rFonts w:ascii="Arial" w:hAnsi="Arial" w:cs="Arial"/>
          <w:noProof/>
        </w:rPr>
        <w:t xml:space="preserve"> L.)</w:t>
      </w:r>
      <w:r>
        <w:t xml:space="preserve">. </w:t>
      </w:r>
      <w:r w:rsidRPr="00DA6A57">
        <w:rPr>
          <w:rFonts w:ascii="Arial" w:hAnsi="Arial" w:cs="Arial"/>
          <w:i/>
          <w:iCs/>
        </w:rPr>
        <w:t>Frontiers in Agronomy</w:t>
      </w:r>
      <w:r>
        <w:rPr>
          <w:rFonts w:ascii="Arial" w:hAnsi="Arial" w:cs="Arial"/>
          <w:i/>
          <w:iCs/>
          <w:noProof/>
        </w:rPr>
        <w:t>,5</w:t>
      </w:r>
      <w:r w:rsidRPr="00DA6A57">
        <w:rPr>
          <w:rFonts w:ascii="Arial" w:hAnsi="Arial" w:cs="Arial"/>
          <w:noProof/>
        </w:rPr>
        <w:t>(2)</w:t>
      </w:r>
      <w:r>
        <w:rPr>
          <w:rFonts w:ascii="Arial" w:hAnsi="Arial" w:cs="Arial"/>
          <w:i/>
          <w:iCs/>
          <w:noProof/>
        </w:rPr>
        <w:t xml:space="preserve"> p.596850</w:t>
      </w:r>
    </w:p>
    <w:p w14:paraId="30A29E18" w14:textId="474E9D72"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 xml:space="preserve">Jahan, T., Khan, F. I., Adam, A. G., &amp; Begum, H. H. (2018). Growth, yield and biochemical responses of BARI Chhola-9 (Cicer arietinum L.) to GA3 and Rhizobium application. </w:t>
      </w:r>
      <w:r w:rsidRPr="00E63353">
        <w:rPr>
          <w:rFonts w:ascii="Arial" w:hAnsi="Arial" w:cs="Arial"/>
          <w:i/>
          <w:iCs/>
          <w:noProof/>
          <w:szCs w:val="24"/>
        </w:rPr>
        <w:t>Bangladesh Journal of Botany</w:t>
      </w:r>
      <w:r w:rsidRPr="00E63353">
        <w:rPr>
          <w:rFonts w:ascii="Arial" w:hAnsi="Arial" w:cs="Arial"/>
          <w:noProof/>
          <w:szCs w:val="24"/>
        </w:rPr>
        <w:t xml:space="preserve">, </w:t>
      </w:r>
      <w:r w:rsidRPr="00E63353">
        <w:rPr>
          <w:rFonts w:ascii="Arial" w:hAnsi="Arial" w:cs="Arial"/>
          <w:i/>
          <w:iCs/>
          <w:noProof/>
          <w:szCs w:val="24"/>
        </w:rPr>
        <w:t>47</w:t>
      </w:r>
      <w:r w:rsidRPr="00E63353">
        <w:rPr>
          <w:rFonts w:ascii="Arial" w:hAnsi="Arial" w:cs="Arial"/>
          <w:noProof/>
          <w:szCs w:val="24"/>
        </w:rPr>
        <w:t>(4), 839–846.</w:t>
      </w:r>
    </w:p>
    <w:p w14:paraId="6997D722"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 xml:space="preserve">Karamany, M. F. E., Sadak, M. S., &amp; Bakry, B. A. (2019). Synergistic effect of indole acetic acid and gibberellic acid on mung bean grown under sandy soil conditions. </w:t>
      </w:r>
      <w:r w:rsidRPr="00E63353">
        <w:rPr>
          <w:rFonts w:ascii="Arial" w:hAnsi="Arial" w:cs="Arial"/>
          <w:i/>
          <w:iCs/>
          <w:noProof/>
          <w:szCs w:val="24"/>
        </w:rPr>
        <w:t>Journal of Applied Sciences</w:t>
      </w:r>
      <w:r w:rsidRPr="00E63353">
        <w:rPr>
          <w:rFonts w:ascii="Arial" w:hAnsi="Arial" w:cs="Arial"/>
          <w:noProof/>
          <w:szCs w:val="24"/>
        </w:rPr>
        <w:t xml:space="preserve">, </w:t>
      </w:r>
      <w:r w:rsidRPr="00E63353">
        <w:rPr>
          <w:rFonts w:ascii="Arial" w:hAnsi="Arial" w:cs="Arial"/>
          <w:i/>
          <w:iCs/>
          <w:noProof/>
          <w:szCs w:val="24"/>
        </w:rPr>
        <w:t>19</w:t>
      </w:r>
      <w:r w:rsidRPr="00E63353">
        <w:rPr>
          <w:rFonts w:ascii="Arial" w:hAnsi="Arial" w:cs="Arial"/>
          <w:noProof/>
          <w:szCs w:val="24"/>
        </w:rPr>
        <w:t>(7), 718–724.</w:t>
      </w:r>
    </w:p>
    <w:p w14:paraId="07664C3B" w14:textId="150A86DE" w:rsidR="00E63353" w:rsidRPr="003B382A" w:rsidRDefault="00E63353" w:rsidP="008A6EE3">
      <w:pPr>
        <w:widowControl w:val="0"/>
        <w:autoSpaceDE w:val="0"/>
        <w:autoSpaceDN w:val="0"/>
        <w:adjustRightInd w:val="0"/>
        <w:spacing w:before="120" w:after="120" w:line="360" w:lineRule="auto"/>
        <w:ind w:left="480" w:hanging="480"/>
        <w:jc w:val="both"/>
        <w:rPr>
          <w:rFonts w:ascii="Arial" w:hAnsi="Arial" w:cs="Arial"/>
          <w:noProof/>
          <w:color w:val="000000" w:themeColor="text1"/>
        </w:rPr>
      </w:pPr>
      <w:r w:rsidRPr="003B382A">
        <w:rPr>
          <w:rFonts w:ascii="Arial" w:hAnsi="Arial" w:cs="Arial"/>
          <w:noProof/>
          <w:szCs w:val="24"/>
        </w:rPr>
        <w:t>Kunjammal, P., &amp; Sukumar, J. (2019). Effect of foliar application of nutrients and growth regulator on growth and yield of green gram</w:t>
      </w:r>
      <w:r w:rsidRPr="003B382A">
        <w:rPr>
          <w:rFonts w:ascii="Arial" w:hAnsi="Arial" w:cs="Arial"/>
          <w:i/>
          <w:iCs/>
          <w:noProof/>
          <w:szCs w:val="24"/>
        </w:rPr>
        <w:t xml:space="preserve"> (Vigna radiate L.).</w:t>
      </w:r>
      <w:r w:rsidR="003B382A" w:rsidRPr="003B382A">
        <w:t xml:space="preserve"> </w:t>
      </w:r>
      <w:hyperlink r:id="rId26" w:history="1">
        <w:r w:rsidR="003B382A" w:rsidRPr="003B382A">
          <w:rPr>
            <w:rStyle w:val="Hyperlink"/>
            <w:rFonts w:ascii="Arial" w:hAnsi="Arial" w:cs="Arial"/>
            <w:i/>
            <w:iCs/>
            <w:color w:val="000000" w:themeColor="text1"/>
            <w:u w:val="none"/>
            <w:shd w:val="clear" w:color="auto" w:fill="FFFFFF"/>
          </w:rPr>
          <w:t>Madras Agricultural Journal</w:t>
        </w:r>
      </w:hyperlink>
      <w:r w:rsidR="003B382A" w:rsidRPr="003B382A">
        <w:rPr>
          <w:rFonts w:ascii="Arial" w:hAnsi="Arial" w:cs="Arial"/>
          <w:color w:val="000000" w:themeColor="text1"/>
          <w:shd w:val="clear" w:color="auto" w:fill="FFFFFF"/>
        </w:rPr>
        <w:t>.</w:t>
      </w:r>
      <w:r w:rsidR="003B382A" w:rsidRPr="003B382A">
        <w:rPr>
          <w:rFonts w:ascii="Arial" w:hAnsi="Arial" w:cs="Arial"/>
          <w:i/>
          <w:iCs/>
          <w:color w:val="000000" w:themeColor="text1"/>
          <w:shd w:val="clear" w:color="auto" w:fill="FFFFFF"/>
        </w:rPr>
        <w:t>106</w:t>
      </w:r>
      <w:r w:rsidR="003B382A" w:rsidRPr="003B382A">
        <w:rPr>
          <w:rFonts w:ascii="Arial" w:hAnsi="Arial" w:cs="Arial"/>
          <w:color w:val="000000" w:themeColor="text1"/>
          <w:shd w:val="clear" w:color="auto" w:fill="FFFFFF"/>
        </w:rPr>
        <w:t>(10), 600-603.</w:t>
      </w:r>
    </w:p>
    <w:p w14:paraId="7A873A8A"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Malik, A., Fayyaz-ul-Hassan, Waheed, A., Qadir, G., &amp; Asghar, R. (2006). Interactive effects of irrigation and phosphorus on green gram (</w:t>
      </w:r>
      <w:r w:rsidRPr="00B8413C">
        <w:rPr>
          <w:rFonts w:ascii="Arial" w:hAnsi="Arial" w:cs="Arial"/>
          <w:i/>
          <w:iCs/>
          <w:noProof/>
          <w:szCs w:val="24"/>
        </w:rPr>
        <w:t>Vigna radiata</w:t>
      </w:r>
      <w:r w:rsidRPr="00E63353">
        <w:rPr>
          <w:rFonts w:ascii="Arial" w:hAnsi="Arial" w:cs="Arial"/>
          <w:noProof/>
          <w:szCs w:val="24"/>
        </w:rPr>
        <w:t xml:space="preserve"> L.). </w:t>
      </w:r>
      <w:r w:rsidRPr="00E63353">
        <w:rPr>
          <w:rFonts w:ascii="Arial" w:hAnsi="Arial" w:cs="Arial"/>
          <w:i/>
          <w:iCs/>
          <w:noProof/>
          <w:szCs w:val="24"/>
        </w:rPr>
        <w:t>Pakistan Journal of Botany</w:t>
      </w:r>
      <w:r w:rsidRPr="00E63353">
        <w:rPr>
          <w:rFonts w:ascii="Arial" w:hAnsi="Arial" w:cs="Arial"/>
          <w:noProof/>
          <w:szCs w:val="24"/>
        </w:rPr>
        <w:t xml:space="preserve">, </w:t>
      </w:r>
      <w:r w:rsidRPr="00E63353">
        <w:rPr>
          <w:rFonts w:ascii="Arial" w:hAnsi="Arial" w:cs="Arial"/>
          <w:i/>
          <w:iCs/>
          <w:noProof/>
          <w:szCs w:val="24"/>
        </w:rPr>
        <w:t>38</w:t>
      </w:r>
      <w:r w:rsidRPr="00E63353">
        <w:rPr>
          <w:rFonts w:ascii="Arial" w:hAnsi="Arial" w:cs="Arial"/>
          <w:noProof/>
          <w:szCs w:val="24"/>
        </w:rPr>
        <w:t>(4), 1119–1126.</w:t>
      </w:r>
    </w:p>
    <w:p w14:paraId="1186BBF9" w14:textId="35436B05" w:rsidR="003B382A" w:rsidRPr="00350BD1" w:rsidRDefault="003B382A" w:rsidP="008A6EE3">
      <w:pPr>
        <w:widowControl w:val="0"/>
        <w:autoSpaceDE w:val="0"/>
        <w:autoSpaceDN w:val="0"/>
        <w:adjustRightInd w:val="0"/>
        <w:spacing w:before="120" w:after="120" w:line="360" w:lineRule="auto"/>
        <w:ind w:left="480" w:hanging="480"/>
        <w:jc w:val="both"/>
        <w:rPr>
          <w:rFonts w:ascii="Arial" w:hAnsi="Arial" w:cs="Arial"/>
          <w:noProof/>
        </w:rPr>
      </w:pPr>
      <w:r w:rsidRPr="00350BD1">
        <w:rPr>
          <w:rFonts w:ascii="Arial" w:hAnsi="Arial" w:cs="Arial"/>
          <w:noProof/>
        </w:rPr>
        <w:t xml:space="preserve">Naserpur, K. (2007). Investigation of the Effect of Gibberellic Acid and Micro Nutrient Elements on the Yield of Soja Varieties as the Second Crop in Khorramabad. </w:t>
      </w:r>
      <w:r w:rsidRPr="00350BD1">
        <w:rPr>
          <w:rFonts w:ascii="Arial" w:hAnsi="Arial" w:cs="Arial"/>
          <w:i/>
          <w:iCs/>
        </w:rPr>
        <w:t>Nigerian Journal of Basic and Applied Sciences</w:t>
      </w:r>
      <w:r w:rsidRPr="00350BD1">
        <w:rPr>
          <w:rFonts w:ascii="Arial" w:hAnsi="Arial" w:cs="Arial"/>
        </w:rPr>
        <w:t xml:space="preserve">, </w:t>
      </w:r>
      <w:r w:rsidRPr="00350BD1">
        <w:rPr>
          <w:rFonts w:ascii="Arial" w:hAnsi="Arial" w:cs="Arial"/>
          <w:i/>
          <w:iCs/>
        </w:rPr>
        <w:t>32</w:t>
      </w:r>
      <w:r w:rsidRPr="00350BD1">
        <w:rPr>
          <w:rFonts w:ascii="Arial" w:hAnsi="Arial" w:cs="Arial"/>
        </w:rPr>
        <w:t>(1), 85-89</w:t>
      </w:r>
      <w:r w:rsidRPr="00350BD1">
        <w:rPr>
          <w:rFonts w:ascii="Arial" w:hAnsi="Arial" w:cs="Arial"/>
          <w:noProof/>
        </w:rPr>
        <w:t xml:space="preserve">. </w:t>
      </w:r>
    </w:p>
    <w:p w14:paraId="4E96096D" w14:textId="01158012" w:rsidR="00E63353" w:rsidRPr="00E63353" w:rsidRDefault="00E63353" w:rsidP="009C198B">
      <w:pPr>
        <w:widowControl w:val="0"/>
        <w:autoSpaceDE w:val="0"/>
        <w:autoSpaceDN w:val="0"/>
        <w:adjustRightInd w:val="0"/>
        <w:spacing w:line="360" w:lineRule="auto"/>
        <w:ind w:left="475" w:hanging="475"/>
        <w:jc w:val="both"/>
        <w:rPr>
          <w:rFonts w:ascii="Arial" w:hAnsi="Arial" w:cs="Arial"/>
          <w:noProof/>
          <w:szCs w:val="24"/>
        </w:rPr>
      </w:pPr>
      <w:r w:rsidRPr="00E63353">
        <w:rPr>
          <w:rFonts w:ascii="Arial" w:hAnsi="Arial" w:cs="Arial"/>
          <w:noProof/>
          <w:szCs w:val="24"/>
        </w:rPr>
        <w:t>Navya, P., Akhila, M., and, J. D.-J. of P., &amp; 2021,  undefined. (2021). Effect of plant growth regulators on growth and yield of Zaid Mung bean (</w:t>
      </w:r>
      <w:r w:rsidRPr="009C198B">
        <w:rPr>
          <w:rFonts w:ascii="Arial" w:hAnsi="Arial" w:cs="Arial"/>
          <w:i/>
          <w:iCs/>
          <w:noProof/>
          <w:szCs w:val="24"/>
        </w:rPr>
        <w:t>Vigna radiata</w:t>
      </w:r>
      <w:r w:rsidRPr="00E63353">
        <w:rPr>
          <w:rFonts w:ascii="Arial" w:hAnsi="Arial" w:cs="Arial"/>
          <w:noProof/>
          <w:szCs w:val="24"/>
        </w:rPr>
        <w:t xml:space="preserve"> L.). </w:t>
      </w:r>
      <w:r w:rsidRPr="00E63353">
        <w:rPr>
          <w:rFonts w:ascii="Arial" w:hAnsi="Arial" w:cs="Arial"/>
          <w:i/>
          <w:iCs/>
          <w:noProof/>
          <w:szCs w:val="24"/>
        </w:rPr>
        <w:t>Phytojournal.Com</w:t>
      </w:r>
      <w:r w:rsidRPr="00E63353">
        <w:rPr>
          <w:rFonts w:ascii="Arial" w:hAnsi="Arial" w:cs="Arial"/>
          <w:noProof/>
          <w:szCs w:val="24"/>
        </w:rPr>
        <w:t>,</w:t>
      </w:r>
      <w:r w:rsidRPr="00E63353">
        <w:rPr>
          <w:rFonts w:ascii="Arial" w:hAnsi="Arial" w:cs="Arial"/>
          <w:i/>
          <w:iCs/>
          <w:noProof/>
          <w:szCs w:val="24"/>
        </w:rPr>
        <w:t>10</w:t>
      </w:r>
      <w:r w:rsidRPr="00E63353">
        <w:rPr>
          <w:rFonts w:ascii="Arial" w:hAnsi="Arial" w:cs="Arial"/>
          <w:noProof/>
          <w:szCs w:val="24"/>
        </w:rPr>
        <w:t>(2),1228–1230. https://www.phytojournal.com/archives/2021/vol10issue2/PartP/10-2-212-360.pdf</w:t>
      </w:r>
    </w:p>
    <w:p w14:paraId="6CF488AA"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 xml:space="preserve">Pazuki, A., Sedghi, M., &amp; Aflaki, F. (2013). Interaction of salinity and phytohormones on wheat photosynthetic traits and membrane stability. </w:t>
      </w:r>
      <w:r w:rsidRPr="00E63353">
        <w:rPr>
          <w:rFonts w:ascii="Arial" w:hAnsi="Arial" w:cs="Arial"/>
          <w:i/>
          <w:iCs/>
          <w:noProof/>
          <w:szCs w:val="24"/>
        </w:rPr>
        <w:t>Agriculture</w:t>
      </w:r>
      <w:r w:rsidRPr="00E63353">
        <w:rPr>
          <w:rFonts w:ascii="Arial" w:hAnsi="Arial" w:cs="Arial"/>
          <w:noProof/>
          <w:szCs w:val="24"/>
        </w:rPr>
        <w:t xml:space="preserve">, </w:t>
      </w:r>
      <w:r w:rsidRPr="00E63353">
        <w:rPr>
          <w:rFonts w:ascii="Arial" w:hAnsi="Arial" w:cs="Arial"/>
          <w:i/>
          <w:iCs/>
          <w:noProof/>
          <w:szCs w:val="24"/>
        </w:rPr>
        <w:t>59</w:t>
      </w:r>
      <w:r w:rsidRPr="00E63353">
        <w:rPr>
          <w:rFonts w:ascii="Arial" w:hAnsi="Arial" w:cs="Arial"/>
          <w:noProof/>
          <w:szCs w:val="24"/>
        </w:rPr>
        <w:t>(1), 33.</w:t>
      </w:r>
    </w:p>
    <w:p w14:paraId="5DDD97AE" w14:textId="77777777" w:rsidR="003B382A" w:rsidRPr="003445AF" w:rsidRDefault="003B382A" w:rsidP="008A6EE3">
      <w:pPr>
        <w:widowControl w:val="0"/>
        <w:autoSpaceDE w:val="0"/>
        <w:autoSpaceDN w:val="0"/>
        <w:adjustRightInd w:val="0"/>
        <w:spacing w:before="120" w:after="120" w:line="360" w:lineRule="auto"/>
        <w:ind w:left="480" w:hanging="480"/>
        <w:jc w:val="both"/>
        <w:rPr>
          <w:rFonts w:ascii="Arial" w:hAnsi="Arial" w:cs="Arial"/>
          <w:i/>
          <w:iCs/>
          <w:noProof/>
        </w:rPr>
      </w:pPr>
      <w:r w:rsidRPr="007B1399">
        <w:rPr>
          <w:rFonts w:ascii="Arial" w:hAnsi="Arial" w:cs="Arial"/>
          <w:noProof/>
        </w:rPr>
        <w:t>Rezaie, S. (2007). Investigation of the Effect of Different Concentrations of Gibberellic Acid Cropping Date on Maize in the Environmental Condition of Semiarid.</w:t>
      </w:r>
      <w:r w:rsidRPr="003445AF">
        <w:rPr>
          <w:rFonts w:ascii="Arial" w:hAnsi="Arial" w:cs="Arial"/>
          <w:i/>
          <w:iCs/>
          <w:noProof/>
        </w:rPr>
        <w:t>Journal of Agrisearch</w:t>
      </w:r>
      <w:r>
        <w:rPr>
          <w:rFonts w:ascii="Arial" w:hAnsi="Arial" w:cs="Arial"/>
          <w:i/>
          <w:iCs/>
          <w:noProof/>
        </w:rPr>
        <w:t>,5</w:t>
      </w:r>
      <w:r w:rsidRPr="003445AF">
        <w:rPr>
          <w:rFonts w:ascii="Arial" w:hAnsi="Arial" w:cs="Arial"/>
          <w:noProof/>
        </w:rPr>
        <w:t>(1)</w:t>
      </w:r>
      <w:r>
        <w:rPr>
          <w:rFonts w:ascii="Arial" w:hAnsi="Arial" w:cs="Arial"/>
          <w:noProof/>
        </w:rPr>
        <w:t>, 25-29.</w:t>
      </w:r>
    </w:p>
    <w:p w14:paraId="24B7989D"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 xml:space="preserve">Salingpa, T. W., Lal, E. P., &amp; Shukla, P. K. (2018). Effect of foliar application of salicylic acid on growth, yield, physiological and biochemical characteristics of mung bean (Vigna radiata L.) under salt stress. </w:t>
      </w:r>
      <w:r w:rsidRPr="00E63353">
        <w:rPr>
          <w:rFonts w:ascii="Arial" w:hAnsi="Arial" w:cs="Arial"/>
          <w:i/>
          <w:iCs/>
          <w:noProof/>
          <w:szCs w:val="24"/>
        </w:rPr>
        <w:t>Journal of Pharmacognosy and Phytochemistry</w:t>
      </w:r>
      <w:r w:rsidRPr="00E63353">
        <w:rPr>
          <w:rFonts w:ascii="Arial" w:hAnsi="Arial" w:cs="Arial"/>
          <w:noProof/>
          <w:szCs w:val="24"/>
        </w:rPr>
        <w:t xml:space="preserve">, </w:t>
      </w:r>
      <w:r w:rsidRPr="00E63353">
        <w:rPr>
          <w:rFonts w:ascii="Arial" w:hAnsi="Arial" w:cs="Arial"/>
          <w:i/>
          <w:iCs/>
          <w:noProof/>
          <w:szCs w:val="24"/>
        </w:rPr>
        <w:t>7</w:t>
      </w:r>
      <w:r w:rsidRPr="00E63353">
        <w:rPr>
          <w:rFonts w:ascii="Arial" w:hAnsi="Arial" w:cs="Arial"/>
          <w:noProof/>
          <w:szCs w:val="24"/>
        </w:rPr>
        <w:t>(6), 1857-1860.</w:t>
      </w:r>
    </w:p>
    <w:p w14:paraId="326673A3"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CA1E1B">
        <w:rPr>
          <w:rFonts w:ascii="Arial" w:hAnsi="Arial" w:cs="Arial"/>
          <w:noProof/>
          <w:szCs w:val="24"/>
        </w:rPr>
        <w:lastRenderedPageBreak/>
        <w:t xml:space="preserve">Salisbury, F. B., &amp; Ross. (1985). </w:t>
      </w:r>
      <w:r w:rsidRPr="00CA1E1B">
        <w:rPr>
          <w:rFonts w:ascii="Arial" w:hAnsi="Arial" w:cs="Arial"/>
          <w:i/>
          <w:iCs/>
          <w:noProof/>
          <w:szCs w:val="24"/>
        </w:rPr>
        <w:t>Plant Physiology, 3rd ed. Wadsworth, Belmont</w:t>
      </w:r>
      <w:r w:rsidRPr="00CA1E1B">
        <w:rPr>
          <w:rFonts w:ascii="Arial" w:hAnsi="Arial" w:cs="Arial"/>
          <w:noProof/>
          <w:szCs w:val="24"/>
        </w:rPr>
        <w:t>. 540.</w:t>
      </w:r>
    </w:p>
    <w:p w14:paraId="1F6EFB53" w14:textId="36BB4DE9" w:rsidR="00E63353" w:rsidRPr="004D4D2B" w:rsidRDefault="00E63353" w:rsidP="008A6EE3">
      <w:pPr>
        <w:widowControl w:val="0"/>
        <w:autoSpaceDE w:val="0"/>
        <w:autoSpaceDN w:val="0"/>
        <w:adjustRightInd w:val="0"/>
        <w:spacing w:before="120" w:after="120" w:line="360" w:lineRule="auto"/>
        <w:ind w:left="480" w:hanging="480"/>
        <w:jc w:val="both"/>
        <w:rPr>
          <w:rFonts w:ascii="Arial" w:hAnsi="Arial" w:cs="Arial"/>
          <w:i/>
          <w:iCs/>
          <w:noProof/>
        </w:rPr>
      </w:pPr>
      <w:r w:rsidRPr="004D4D2B">
        <w:rPr>
          <w:rFonts w:ascii="Arial" w:hAnsi="Arial" w:cs="Arial"/>
          <w:noProof/>
        </w:rPr>
        <w:t>Sarwar, N., Farooq, O., Mubeen, K., Wasaya, A., Nouman, W., Zafar Ali, M., &amp; Shehzad, M. (2017). Exogenous application of gibberellic acid improves the maize crop productivity under scarce and sufficient soil moisture condition.</w:t>
      </w:r>
      <w:r w:rsidR="009443B7" w:rsidRPr="004D4D2B">
        <w:rPr>
          <w:rFonts w:ascii="Arial" w:hAnsi="Arial" w:cs="Arial"/>
          <w:i/>
          <w:iCs/>
        </w:rPr>
        <w:t xml:space="preserve"> Cercetari Agronomice in Moldova,</w:t>
      </w:r>
      <w:r w:rsidR="009443B7" w:rsidRPr="004D4D2B">
        <w:rPr>
          <w:rFonts w:ascii="Arial" w:hAnsi="Arial" w:cs="Arial"/>
        </w:rPr>
        <w:t xml:space="preserve"> </w:t>
      </w:r>
      <w:r w:rsidR="009443B7" w:rsidRPr="004D4D2B">
        <w:rPr>
          <w:rFonts w:ascii="Arial" w:hAnsi="Arial" w:cs="Arial"/>
          <w:i/>
          <w:iCs/>
        </w:rPr>
        <w:t>4</w:t>
      </w:r>
      <w:r w:rsidR="009443B7" w:rsidRPr="004D4D2B">
        <w:rPr>
          <w:rFonts w:ascii="Arial" w:hAnsi="Arial" w:cs="Arial"/>
        </w:rPr>
        <w:t>(172), 65-73.</w:t>
      </w:r>
    </w:p>
    <w:p w14:paraId="13158334" w14:textId="3FF8A1C6" w:rsidR="00E63353" w:rsidRPr="009A2B9F" w:rsidRDefault="00E63353" w:rsidP="008A6EE3">
      <w:pPr>
        <w:widowControl w:val="0"/>
        <w:autoSpaceDE w:val="0"/>
        <w:autoSpaceDN w:val="0"/>
        <w:adjustRightInd w:val="0"/>
        <w:spacing w:before="120" w:after="120" w:line="360" w:lineRule="auto"/>
        <w:ind w:left="480" w:hanging="480"/>
        <w:jc w:val="both"/>
        <w:rPr>
          <w:rFonts w:ascii="Arial" w:hAnsi="Arial" w:cs="Arial"/>
          <w:noProof/>
        </w:rPr>
      </w:pPr>
      <w:r w:rsidRPr="009A2B9F">
        <w:rPr>
          <w:rFonts w:ascii="Arial" w:hAnsi="Arial" w:cs="Arial"/>
          <w:noProof/>
        </w:rPr>
        <w:t>Singh, C., &amp; Jambukiya, H. (2020). Effect of foliar application of plant growth regulators on growth and yield attributing characters of green gram</w:t>
      </w:r>
      <w:r w:rsidRPr="009A2B9F">
        <w:rPr>
          <w:rFonts w:ascii="Arial" w:hAnsi="Arial" w:cs="Arial"/>
          <w:i/>
          <w:iCs/>
          <w:noProof/>
        </w:rPr>
        <w:t xml:space="preserve"> </w:t>
      </w:r>
      <w:r w:rsidRPr="009A2B9F">
        <w:rPr>
          <w:rFonts w:ascii="Arial" w:hAnsi="Arial" w:cs="Arial"/>
          <w:noProof/>
        </w:rPr>
        <w:t>(</w:t>
      </w:r>
      <w:r w:rsidRPr="009A2B9F">
        <w:rPr>
          <w:rFonts w:ascii="Arial" w:hAnsi="Arial" w:cs="Arial"/>
          <w:i/>
          <w:iCs/>
          <w:noProof/>
        </w:rPr>
        <w:t xml:space="preserve">Vigna radiata </w:t>
      </w:r>
      <w:r w:rsidRPr="009A2B9F">
        <w:rPr>
          <w:rFonts w:ascii="Arial" w:hAnsi="Arial" w:cs="Arial"/>
          <w:noProof/>
        </w:rPr>
        <w:t>L. Wilczek)</w:t>
      </w:r>
      <w:r w:rsidRPr="009A2B9F">
        <w:rPr>
          <w:rFonts w:ascii="Arial" w:hAnsi="Arial" w:cs="Arial"/>
          <w:i/>
          <w:iCs/>
          <w:noProof/>
        </w:rPr>
        <w:t>.</w:t>
      </w:r>
      <w:r w:rsidR="000F3148" w:rsidRPr="009A2B9F">
        <w:rPr>
          <w:rFonts w:ascii="Arial" w:hAnsi="Arial" w:cs="Arial"/>
        </w:rPr>
        <w:t xml:space="preserve"> </w:t>
      </w:r>
      <w:r w:rsidR="000F3148" w:rsidRPr="009A2B9F">
        <w:rPr>
          <w:rFonts w:ascii="Arial" w:hAnsi="Arial" w:cs="Arial"/>
          <w:i/>
          <w:iCs/>
          <w:color w:val="000000" w:themeColor="text1"/>
        </w:rPr>
        <w:t>J</w:t>
      </w:r>
      <w:hyperlink r:id="rId27" w:history="1">
        <w:r w:rsidR="000F3148" w:rsidRPr="009A2B9F">
          <w:rPr>
            <w:rStyle w:val="Hyperlink"/>
            <w:rFonts w:ascii="Arial" w:hAnsi="Arial" w:cs="Arial"/>
            <w:i/>
            <w:iCs/>
            <w:color w:val="000000" w:themeColor="text1"/>
            <w:u w:val="none"/>
            <w:shd w:val="clear" w:color="auto" w:fill="FFFFFF"/>
          </w:rPr>
          <w:t>ournal of Crop and Weed</w:t>
        </w:r>
      </w:hyperlink>
      <w:r w:rsidR="000F3148" w:rsidRPr="009A2B9F">
        <w:rPr>
          <w:rFonts w:ascii="Arial" w:hAnsi="Arial" w:cs="Arial"/>
          <w:color w:val="000000" w:themeColor="text1"/>
          <w:shd w:val="clear" w:color="auto" w:fill="FFFFFF"/>
        </w:rPr>
        <w:t>,</w:t>
      </w:r>
      <w:r w:rsidR="000F3148" w:rsidRPr="009A2B9F">
        <w:rPr>
          <w:rFonts w:ascii="Arial" w:hAnsi="Arial" w:cs="Arial"/>
          <w:i/>
          <w:iCs/>
          <w:color w:val="000000" w:themeColor="text1"/>
          <w:shd w:val="clear" w:color="auto" w:fill="FFFFFF"/>
        </w:rPr>
        <w:t>16</w:t>
      </w:r>
      <w:r w:rsidR="000F3148" w:rsidRPr="009A2B9F">
        <w:rPr>
          <w:rFonts w:ascii="Arial" w:hAnsi="Arial" w:cs="Arial"/>
          <w:color w:val="000000" w:themeColor="text1"/>
          <w:shd w:val="clear" w:color="auto" w:fill="FFFFFF"/>
        </w:rPr>
        <w:t>(2), 258-264.</w:t>
      </w:r>
    </w:p>
    <w:p w14:paraId="3B571F42"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 xml:space="preserve">Small, C. C., &amp; Degenhardt, D. (2018). </w:t>
      </w:r>
      <w:r w:rsidRPr="003F44B0">
        <w:rPr>
          <w:rFonts w:ascii="Arial" w:hAnsi="Arial" w:cs="Arial"/>
          <w:noProof/>
          <w:szCs w:val="24"/>
        </w:rPr>
        <w:t>Plant growth regulators for enhancing revegetation success in reclamation: A review</w:t>
      </w:r>
      <w:r w:rsidRPr="00E63353">
        <w:rPr>
          <w:rFonts w:ascii="Arial" w:hAnsi="Arial" w:cs="Arial"/>
          <w:i/>
          <w:iCs/>
          <w:noProof/>
          <w:szCs w:val="24"/>
        </w:rPr>
        <w:t>. Ecological engineering</w:t>
      </w:r>
      <w:r w:rsidRPr="00E63353">
        <w:rPr>
          <w:rFonts w:ascii="Arial" w:hAnsi="Arial" w:cs="Arial"/>
          <w:noProof/>
          <w:szCs w:val="24"/>
        </w:rPr>
        <w:t xml:space="preserve">. </w:t>
      </w:r>
      <w:r w:rsidRPr="00E63353">
        <w:rPr>
          <w:rFonts w:ascii="Arial" w:hAnsi="Arial" w:cs="Arial"/>
          <w:i/>
          <w:iCs/>
          <w:noProof/>
          <w:szCs w:val="24"/>
        </w:rPr>
        <w:t>51</w:t>
      </w:r>
      <w:r w:rsidRPr="00E63353">
        <w:rPr>
          <w:rFonts w:ascii="Arial" w:hAnsi="Arial" w:cs="Arial"/>
          <w:noProof/>
          <w:szCs w:val="24"/>
        </w:rPr>
        <w:t>(43), 118.</w:t>
      </w:r>
    </w:p>
    <w:p w14:paraId="1856F7C1"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 xml:space="preserve">Tasnim, S., Alam, M. J., Rahman, M. M., Islam, M. S., &amp; Sikdar, M. S. I. (2019). Response of mungbean growth and yield to GA3 rate and time of application. </w:t>
      </w:r>
      <w:r w:rsidRPr="00E63353">
        <w:rPr>
          <w:rFonts w:ascii="Arial" w:hAnsi="Arial" w:cs="Arial"/>
          <w:i/>
          <w:iCs/>
          <w:noProof/>
          <w:szCs w:val="24"/>
        </w:rPr>
        <w:t>Asian Journal of Crop, Soil Science, and Plant Nutrition</w:t>
      </w:r>
      <w:r w:rsidRPr="00E63353">
        <w:rPr>
          <w:rFonts w:ascii="Arial" w:hAnsi="Arial" w:cs="Arial"/>
          <w:noProof/>
          <w:szCs w:val="24"/>
        </w:rPr>
        <w:t xml:space="preserve">, </w:t>
      </w:r>
      <w:r w:rsidRPr="00E63353">
        <w:rPr>
          <w:rFonts w:ascii="Arial" w:hAnsi="Arial" w:cs="Arial"/>
          <w:i/>
          <w:iCs/>
          <w:noProof/>
          <w:szCs w:val="24"/>
        </w:rPr>
        <w:t>1</w:t>
      </w:r>
      <w:r w:rsidRPr="00E63353">
        <w:rPr>
          <w:rFonts w:ascii="Arial" w:hAnsi="Arial" w:cs="Arial"/>
          <w:noProof/>
          <w:szCs w:val="24"/>
        </w:rPr>
        <w:t>(2), 28–36.</w:t>
      </w:r>
    </w:p>
    <w:p w14:paraId="5B6B533F"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 xml:space="preserve">Tesfaye, K., Walker, S., &amp; Tsubo, M. (2006). Radiation interception and radiation use efficiency of three grain legumes under water deficit conditions in a semi-arid environment. </w:t>
      </w:r>
      <w:r w:rsidRPr="00E63353">
        <w:rPr>
          <w:rFonts w:ascii="Arial" w:hAnsi="Arial" w:cs="Arial"/>
          <w:i/>
          <w:iCs/>
          <w:noProof/>
          <w:szCs w:val="24"/>
        </w:rPr>
        <w:t>European Journal of Agronomy</w:t>
      </w:r>
      <w:r w:rsidRPr="00E63353">
        <w:rPr>
          <w:rFonts w:ascii="Arial" w:hAnsi="Arial" w:cs="Arial"/>
          <w:noProof/>
          <w:szCs w:val="24"/>
        </w:rPr>
        <w:t xml:space="preserve">, </w:t>
      </w:r>
      <w:r w:rsidRPr="00E63353">
        <w:rPr>
          <w:rFonts w:ascii="Arial" w:hAnsi="Arial" w:cs="Arial"/>
          <w:i/>
          <w:iCs/>
          <w:noProof/>
          <w:szCs w:val="24"/>
        </w:rPr>
        <w:t>25</w:t>
      </w:r>
      <w:r w:rsidRPr="00E63353">
        <w:rPr>
          <w:rFonts w:ascii="Arial" w:hAnsi="Arial" w:cs="Arial"/>
          <w:noProof/>
          <w:szCs w:val="24"/>
        </w:rPr>
        <w:t>(1), 60–70.</w:t>
      </w:r>
    </w:p>
    <w:p w14:paraId="3F657134" w14:textId="77777777" w:rsidR="00E63353" w:rsidRPr="00E63353" w:rsidRDefault="00E63353" w:rsidP="008A6EE3">
      <w:pPr>
        <w:widowControl w:val="0"/>
        <w:autoSpaceDE w:val="0"/>
        <w:autoSpaceDN w:val="0"/>
        <w:adjustRightInd w:val="0"/>
        <w:spacing w:before="120" w:after="120" w:line="360" w:lineRule="auto"/>
        <w:ind w:left="480" w:hanging="480"/>
        <w:jc w:val="both"/>
        <w:rPr>
          <w:rFonts w:ascii="Arial" w:hAnsi="Arial" w:cs="Arial"/>
          <w:noProof/>
          <w:szCs w:val="24"/>
        </w:rPr>
      </w:pPr>
      <w:r w:rsidRPr="00E63353">
        <w:rPr>
          <w:rFonts w:ascii="Arial" w:hAnsi="Arial" w:cs="Arial"/>
          <w:noProof/>
          <w:szCs w:val="24"/>
        </w:rPr>
        <w:t>Tiwari, V., &amp; Lal, E. P. (2018). Effect of foliar application of gibberellic acid on growth, yield, physiological and biochemical characteristics of mungbean (</w:t>
      </w:r>
      <w:r w:rsidRPr="003C52D2">
        <w:rPr>
          <w:rFonts w:ascii="Arial" w:hAnsi="Arial" w:cs="Arial"/>
          <w:i/>
          <w:iCs/>
          <w:noProof/>
          <w:szCs w:val="24"/>
        </w:rPr>
        <w:t>Vigna radiata</w:t>
      </w:r>
      <w:r w:rsidRPr="00E63353">
        <w:rPr>
          <w:rFonts w:ascii="Arial" w:hAnsi="Arial" w:cs="Arial"/>
          <w:noProof/>
          <w:szCs w:val="24"/>
        </w:rPr>
        <w:t xml:space="preserve"> L.) under salt stress. </w:t>
      </w:r>
      <w:r w:rsidRPr="00E63353">
        <w:rPr>
          <w:rFonts w:ascii="Arial" w:hAnsi="Arial" w:cs="Arial"/>
          <w:i/>
          <w:iCs/>
          <w:noProof/>
          <w:szCs w:val="24"/>
        </w:rPr>
        <w:t>International Journal of Chemical Studies,</w:t>
      </w:r>
      <w:r w:rsidRPr="00E63353">
        <w:rPr>
          <w:rFonts w:ascii="Arial" w:hAnsi="Arial" w:cs="Arial"/>
          <w:noProof/>
          <w:szCs w:val="24"/>
        </w:rPr>
        <w:t xml:space="preserve"> </w:t>
      </w:r>
      <w:r w:rsidRPr="00E63353">
        <w:rPr>
          <w:rFonts w:ascii="Arial" w:hAnsi="Arial" w:cs="Arial"/>
          <w:i/>
          <w:iCs/>
          <w:noProof/>
          <w:szCs w:val="24"/>
        </w:rPr>
        <w:t>5</w:t>
      </w:r>
      <w:r w:rsidRPr="00E63353">
        <w:rPr>
          <w:rFonts w:ascii="Arial" w:hAnsi="Arial" w:cs="Arial"/>
          <w:noProof/>
          <w:szCs w:val="24"/>
        </w:rPr>
        <w:t>(6), 713–717.</w:t>
      </w:r>
    </w:p>
    <w:p w14:paraId="2454CD2E" w14:textId="07716D3E" w:rsidR="003B382A" w:rsidRDefault="003B382A" w:rsidP="008A6EE3">
      <w:pPr>
        <w:widowControl w:val="0"/>
        <w:autoSpaceDE w:val="0"/>
        <w:autoSpaceDN w:val="0"/>
        <w:adjustRightInd w:val="0"/>
        <w:spacing w:before="120" w:after="120" w:line="360" w:lineRule="auto"/>
        <w:ind w:left="480" w:hanging="480"/>
        <w:jc w:val="both"/>
        <w:rPr>
          <w:rFonts w:ascii="Arial" w:hAnsi="Arial" w:cs="Arial"/>
          <w:color w:val="000000" w:themeColor="text1"/>
          <w:shd w:val="clear" w:color="auto" w:fill="FFFFFF"/>
        </w:rPr>
      </w:pPr>
      <w:r w:rsidRPr="007B1399">
        <w:rPr>
          <w:rFonts w:ascii="Arial" w:hAnsi="Arial" w:cs="Arial"/>
          <w:noProof/>
        </w:rPr>
        <w:t>Upadhyay, R. G., Rajeev, &amp; Ranjan, R. R. (2015). Effect of growth hormones on morphological parameters, yield and quality of soybean (</w:t>
      </w:r>
      <w:r w:rsidRPr="00DB6F74">
        <w:rPr>
          <w:rFonts w:ascii="Arial" w:hAnsi="Arial" w:cs="Arial"/>
          <w:i/>
          <w:iCs/>
          <w:noProof/>
        </w:rPr>
        <w:t>Glycine max</w:t>
      </w:r>
      <w:r w:rsidRPr="007B1399">
        <w:rPr>
          <w:rFonts w:ascii="Arial" w:hAnsi="Arial" w:cs="Arial"/>
          <w:noProof/>
        </w:rPr>
        <w:t xml:space="preserve"> L.) during changing scenario of climate under mid hill conditions of Uttarakhand.</w:t>
      </w:r>
      <w:r w:rsidRPr="006F1B09">
        <w:rPr>
          <w:rFonts w:ascii="Arial" w:hAnsi="Arial" w:cs="Arial"/>
          <w:b/>
          <w:bCs/>
          <w:color w:val="737373"/>
          <w:sz w:val="18"/>
          <w:szCs w:val="18"/>
          <w:shd w:val="clear" w:color="auto" w:fill="FFFFFF"/>
        </w:rPr>
        <w:t xml:space="preserve"> </w:t>
      </w:r>
      <w:r>
        <w:rPr>
          <w:rFonts w:ascii="Arial" w:hAnsi="Arial" w:cs="Arial"/>
          <w:b/>
          <w:bCs/>
          <w:color w:val="737373"/>
          <w:sz w:val="18"/>
          <w:szCs w:val="18"/>
          <w:shd w:val="clear" w:color="auto" w:fill="FFFFFF"/>
        </w:rPr>
        <w:t> </w:t>
      </w:r>
      <w:hyperlink r:id="rId28" w:history="1">
        <w:r w:rsidRPr="006F1B09">
          <w:rPr>
            <w:rStyle w:val="Hyperlink"/>
            <w:rFonts w:ascii="Arial" w:hAnsi="Arial" w:cs="Arial"/>
            <w:i/>
            <w:iCs/>
            <w:color w:val="000000" w:themeColor="text1"/>
            <w:u w:val="none"/>
            <w:shd w:val="clear" w:color="auto" w:fill="FFFFFF"/>
          </w:rPr>
          <w:t>International Journal of Tropical Agriculture</w:t>
        </w:r>
      </w:hyperlink>
      <w:r>
        <w:rPr>
          <w:rFonts w:ascii="Arial" w:hAnsi="Arial" w:cs="Arial"/>
          <w:color w:val="000000" w:themeColor="text1"/>
          <w:shd w:val="clear" w:color="auto" w:fill="FFFFFF"/>
        </w:rPr>
        <w:t>.</w:t>
      </w:r>
      <w:r w:rsidRPr="006F1B09">
        <w:rPr>
          <w:rFonts w:ascii="Arial" w:hAnsi="Arial" w:cs="Arial"/>
          <w:i/>
          <w:iCs/>
          <w:color w:val="000000" w:themeColor="text1"/>
          <w:shd w:val="clear" w:color="auto" w:fill="FFFFFF"/>
        </w:rPr>
        <w:t xml:space="preserve"> 33</w:t>
      </w:r>
      <w:r>
        <w:rPr>
          <w:rFonts w:ascii="Arial" w:hAnsi="Arial" w:cs="Arial"/>
          <w:color w:val="000000" w:themeColor="text1"/>
          <w:shd w:val="clear" w:color="auto" w:fill="FFFFFF"/>
        </w:rPr>
        <w:t>(</w:t>
      </w:r>
      <w:r w:rsidRPr="006F1B09">
        <w:rPr>
          <w:rFonts w:ascii="Arial" w:hAnsi="Arial" w:cs="Arial"/>
          <w:color w:val="000000" w:themeColor="text1"/>
          <w:shd w:val="clear" w:color="auto" w:fill="FFFFFF"/>
        </w:rPr>
        <w:t>2</w:t>
      </w:r>
      <w:r>
        <w:rPr>
          <w:rFonts w:ascii="Arial" w:hAnsi="Arial" w:cs="Arial"/>
          <w:color w:val="000000" w:themeColor="text1"/>
          <w:shd w:val="clear" w:color="auto" w:fill="FFFFFF"/>
        </w:rPr>
        <w:t>)</w:t>
      </w:r>
      <w:r w:rsidRPr="006F1B09">
        <w:rPr>
          <w:rFonts w:ascii="Arial" w:hAnsi="Arial" w:cs="Arial"/>
          <w:color w:val="000000" w:themeColor="text1"/>
          <w:shd w:val="clear" w:color="auto" w:fill="FFFFFF"/>
        </w:rPr>
        <w:t>, 1899-1904</w:t>
      </w:r>
      <w:r>
        <w:rPr>
          <w:rFonts w:ascii="Arial" w:hAnsi="Arial" w:cs="Arial"/>
          <w:color w:val="000000" w:themeColor="text1"/>
          <w:shd w:val="clear" w:color="auto" w:fill="FFFFFF"/>
        </w:rPr>
        <w:t xml:space="preserve">. </w:t>
      </w:r>
    </w:p>
    <w:p w14:paraId="794A44AD" w14:textId="6139D498" w:rsidR="00E63353" w:rsidRPr="00F476A8" w:rsidRDefault="00F476A8" w:rsidP="00F476A8">
      <w:pPr>
        <w:widowControl w:val="0"/>
        <w:autoSpaceDE w:val="0"/>
        <w:autoSpaceDN w:val="0"/>
        <w:adjustRightInd w:val="0"/>
        <w:spacing w:before="120" w:after="120" w:line="360" w:lineRule="auto"/>
        <w:ind w:left="480" w:hanging="480"/>
        <w:jc w:val="both"/>
        <w:rPr>
          <w:rFonts w:ascii="Arial" w:hAnsi="Arial" w:cs="Arial"/>
          <w:noProof/>
          <w:color w:val="000000" w:themeColor="text1"/>
        </w:rPr>
      </w:pPr>
      <w:r>
        <w:rPr>
          <w:rFonts w:ascii="Arial" w:hAnsi="Arial" w:cs="Arial"/>
          <w:noProof/>
          <w:color w:val="000000" w:themeColor="text1"/>
        </w:rPr>
        <w:t xml:space="preserve">Watson, D.J. (1947). Comparative physiological studies on the growth of field crops: I. Variation in net assimilation rate and leaf area between species and varieties, and within and between years. </w:t>
      </w:r>
      <w:r w:rsidR="00E63353" w:rsidRPr="00E63353">
        <w:rPr>
          <w:rFonts w:ascii="Arial" w:hAnsi="Arial" w:cs="Arial"/>
          <w:i/>
          <w:iCs/>
          <w:noProof/>
          <w:szCs w:val="24"/>
        </w:rPr>
        <w:t>Annals of botany.</w:t>
      </w:r>
      <w:r w:rsidR="00E63353" w:rsidRPr="00E63353">
        <w:rPr>
          <w:rFonts w:ascii="Arial" w:hAnsi="Arial" w:cs="Arial"/>
          <w:noProof/>
          <w:szCs w:val="24"/>
        </w:rPr>
        <w:t xml:space="preserve"> </w:t>
      </w:r>
      <w:r w:rsidR="00E63353" w:rsidRPr="00E63353">
        <w:rPr>
          <w:rFonts w:ascii="Arial" w:hAnsi="Arial" w:cs="Arial"/>
          <w:i/>
          <w:iCs/>
          <w:noProof/>
          <w:szCs w:val="24"/>
        </w:rPr>
        <w:t>41</w:t>
      </w:r>
      <w:r w:rsidR="00E63353" w:rsidRPr="00E63353">
        <w:rPr>
          <w:rFonts w:ascii="Arial" w:hAnsi="Arial" w:cs="Arial"/>
          <w:noProof/>
          <w:szCs w:val="24"/>
        </w:rPr>
        <w:t>(11), 41–76.</w:t>
      </w:r>
    </w:p>
    <w:p w14:paraId="4458DDC2" w14:textId="08C21A0C" w:rsidR="007B1399" w:rsidRDefault="00E63353" w:rsidP="008A6EE3">
      <w:pPr>
        <w:spacing w:before="120" w:after="120" w:line="360" w:lineRule="auto"/>
        <w:ind w:firstLine="720"/>
        <w:jc w:val="both"/>
        <w:rPr>
          <w:rFonts w:ascii="Arial" w:hAnsi="Arial" w:cs="Arial"/>
          <w:b/>
          <w:bCs/>
        </w:rPr>
      </w:pPr>
      <w:r>
        <w:rPr>
          <w:rFonts w:ascii="Arial" w:hAnsi="Arial" w:cs="Arial"/>
          <w:b/>
          <w:bCs/>
        </w:rPr>
        <w:fldChar w:fldCharType="end"/>
      </w:r>
    </w:p>
    <w:p w14:paraId="730155E3" w14:textId="77777777" w:rsidR="00B01FCD" w:rsidRPr="00FB3A86" w:rsidRDefault="00B01FCD" w:rsidP="000631F9">
      <w:pPr>
        <w:pStyle w:val="Appendix"/>
        <w:spacing w:after="0"/>
        <w:jc w:val="both"/>
        <w:rPr>
          <w:rFonts w:ascii="Arial" w:hAnsi="Arial" w:cs="Arial"/>
          <w:b w:val="0"/>
        </w:rPr>
      </w:pPr>
    </w:p>
    <w:sectPr w:rsidR="00B01FCD" w:rsidRPr="00FB3A86" w:rsidSect="00F20E53">
      <w:headerReference w:type="even" r:id="rId29"/>
      <w:headerReference w:type="default" r:id="rId30"/>
      <w:footerReference w:type="default" r:id="rId31"/>
      <w:headerReference w:type="first" r:id="rId32"/>
      <w:type w:val="continuous"/>
      <w:pgSz w:w="11909" w:h="16834" w:code="9"/>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17EF5" w14:textId="77777777" w:rsidR="00C774FB" w:rsidRDefault="00C774FB" w:rsidP="00C37E61">
      <w:r>
        <w:separator/>
      </w:r>
    </w:p>
  </w:endnote>
  <w:endnote w:type="continuationSeparator" w:id="0">
    <w:p w14:paraId="17B41703" w14:textId="77777777" w:rsidR="00C774FB" w:rsidRDefault="00C774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3169" w14:textId="77777777" w:rsidR="00150115" w:rsidRPr="00C37E61" w:rsidRDefault="0015011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C55D" w14:textId="77777777" w:rsidR="00C774FB" w:rsidRDefault="00C774FB" w:rsidP="00C37E61">
      <w:r>
        <w:separator/>
      </w:r>
    </w:p>
  </w:footnote>
  <w:footnote w:type="continuationSeparator" w:id="0">
    <w:p w14:paraId="4F6FD091" w14:textId="77777777" w:rsidR="00C774FB" w:rsidRDefault="00C774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7BC3" w14:textId="5FCFFE0B" w:rsidR="00150115" w:rsidRDefault="00000000">
    <w:pPr>
      <w:pStyle w:val="Header"/>
    </w:pPr>
    <w:r>
      <w:rPr>
        <w:noProof/>
      </w:rPr>
      <w:pict w14:anchorId="70FE1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1" o:spid="_x0000_s1026" type="#_x0000_t136" style="position:absolute;margin-left:0;margin-top:0;width:499.75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91FA" w14:textId="225BEF27" w:rsidR="00150115" w:rsidRDefault="00000000">
    <w:pPr>
      <w:pStyle w:val="Header"/>
    </w:pPr>
    <w:r>
      <w:rPr>
        <w:noProof/>
      </w:rPr>
      <w:pict w14:anchorId="24D1D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2" o:spid="_x0000_s1027" type="#_x0000_t136" style="position:absolute;margin-left:0;margin-top:0;width:499.75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F73F" w14:textId="1DC0CDBD" w:rsidR="00150115" w:rsidRPr="00296529" w:rsidRDefault="00000000" w:rsidP="00296529">
    <w:pPr>
      <w:ind w:left="2160"/>
      <w:jc w:val="center"/>
      <w:rPr>
        <w:rFonts w:ascii="Times New Roman" w:eastAsia="Calibri" w:hAnsi="Times New Roman"/>
        <w:i/>
        <w:sz w:val="18"/>
        <w:szCs w:val="22"/>
      </w:rPr>
    </w:pPr>
    <w:r>
      <w:rPr>
        <w:noProof/>
      </w:rPr>
      <w:pict w14:anchorId="25573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0" o:spid="_x0000_s1025" type="#_x0000_t136" style="position:absolute;left:0;text-align:left;margin-left:0;margin-top:0;width:499.75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AA2A97" w14:textId="77777777" w:rsidR="00150115" w:rsidRPr="00296529" w:rsidRDefault="0015011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B30C2AF" w14:textId="77777777" w:rsidR="00150115" w:rsidRPr="00296529" w:rsidRDefault="0015011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150115" w:rsidRPr="00296529" w:rsidRDefault="0015011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150115" w:rsidRDefault="0015011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150115" w:rsidRDefault="001501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D1A1B51" w14:textId="77777777" w:rsidR="00150115" w:rsidRDefault="0015011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6202" w14:textId="42C477F0" w:rsidR="00150115" w:rsidRDefault="00000000">
    <w:pPr>
      <w:pStyle w:val="Header"/>
    </w:pPr>
    <w:r>
      <w:rPr>
        <w:noProof/>
      </w:rPr>
      <w:pict w14:anchorId="5D0C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4" o:spid="_x0000_s1029" type="#_x0000_t136" style="position:absolute;margin-left:0;margin-top:0;width:499.75pt;height:55.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95F0" w14:textId="7A25B1D6" w:rsidR="00150115" w:rsidRDefault="00000000">
    <w:pPr>
      <w:pStyle w:val="Header"/>
      <w:jc w:val="center"/>
    </w:pPr>
    <w:r>
      <w:rPr>
        <w:noProof/>
      </w:rPr>
      <w:pict w14:anchorId="02C27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5" o:spid="_x0000_s1030" type="#_x0000_t136" style="position:absolute;left:0;text-align:left;margin-left:0;margin-top:0;width:499.75pt;height:55.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sdt>
      <w:sdtPr>
        <w:id w:val="1464085797"/>
        <w:docPartObj>
          <w:docPartGallery w:val="Page Numbers (Top of Page)"/>
          <w:docPartUnique/>
        </w:docPartObj>
      </w:sdtPr>
      <w:sdtEndPr>
        <w:rPr>
          <w:noProof/>
        </w:rPr>
      </w:sdtEndPr>
      <w:sdtContent>
        <w:r w:rsidR="00150115">
          <w:fldChar w:fldCharType="begin"/>
        </w:r>
        <w:r w:rsidR="00150115">
          <w:instrText xml:space="preserve"> PAGE   \* MERGEFORMAT </w:instrText>
        </w:r>
        <w:r w:rsidR="00150115">
          <w:fldChar w:fldCharType="separate"/>
        </w:r>
        <w:r w:rsidR="00150115">
          <w:rPr>
            <w:noProof/>
          </w:rPr>
          <w:t>2</w:t>
        </w:r>
        <w:r w:rsidR="00150115">
          <w:rPr>
            <w:noProof/>
          </w:rPr>
          <w:fldChar w:fldCharType="end"/>
        </w:r>
      </w:sdtContent>
    </w:sdt>
  </w:p>
  <w:sdt>
    <w:sdtPr>
      <w:id w:val="1073853525"/>
      <w:docPartObj>
        <w:docPartGallery w:val="Page Numbers (Margins)"/>
        <w:docPartUnique/>
      </w:docPartObj>
    </w:sdtPr>
    <w:sdtContent>
      <w:p w14:paraId="6A77E2E9" w14:textId="77777777" w:rsidR="00150115" w:rsidRDefault="00150115">
        <w:pPr>
          <w:pStyle w:val="Header"/>
        </w:pPr>
      </w:p>
      <w:p w14:paraId="6B0FD613" w14:textId="0DDCCB82" w:rsidR="00150115" w:rsidRDefault="00000000">
        <w:pPr>
          <w:pStyle w:val="Head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9A48" w14:textId="2CF54E2B" w:rsidR="00150115" w:rsidRDefault="00000000">
    <w:pPr>
      <w:pStyle w:val="Header"/>
    </w:pPr>
    <w:r>
      <w:rPr>
        <w:noProof/>
      </w:rPr>
      <w:pict w14:anchorId="0660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3" o:spid="_x0000_s1028" type="#_x0000_t136" style="position:absolute;margin-left:0;margin-top:0;width:499.75pt;height:55.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F07A" w14:textId="4F3EE706" w:rsidR="00150115" w:rsidRDefault="00000000">
    <w:pPr>
      <w:pStyle w:val="Header"/>
    </w:pPr>
    <w:r>
      <w:rPr>
        <w:noProof/>
      </w:rPr>
      <w:pict w14:anchorId="101D4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7" o:spid="_x0000_s1032" type="#_x0000_t136" style="position:absolute;margin-left:0;margin-top:0;width:499.75pt;height:55.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48DB" w14:textId="2FA5143A" w:rsidR="00150115" w:rsidRDefault="00000000">
    <w:pPr>
      <w:pStyle w:val="Header"/>
    </w:pPr>
    <w:r>
      <w:rPr>
        <w:noProof/>
      </w:rPr>
      <w:pict w14:anchorId="73982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8" o:spid="_x0000_s1033" type="#_x0000_t136" style="position:absolute;margin-left:0;margin-top:0;width:499.75pt;height:55.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0909" w14:textId="09294456" w:rsidR="00150115" w:rsidRDefault="00000000">
    <w:pPr>
      <w:pStyle w:val="Header"/>
    </w:pPr>
    <w:r>
      <w:rPr>
        <w:noProof/>
      </w:rPr>
      <w:pict w14:anchorId="411CC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568006" o:spid="_x0000_s1031" type="#_x0000_t136" style="position:absolute;margin-left:0;margin-top:0;width:499.75pt;height:55.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7E305B"/>
    <w:multiLevelType w:val="multilevel"/>
    <w:tmpl w:val="8D94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347498"/>
    <w:multiLevelType w:val="hybridMultilevel"/>
    <w:tmpl w:val="01104268"/>
    <w:lvl w:ilvl="0" w:tplc="D7160E04">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32B39D0"/>
    <w:multiLevelType w:val="hybridMultilevel"/>
    <w:tmpl w:val="4792FE00"/>
    <w:lvl w:ilvl="0" w:tplc="F1281E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4560E7D"/>
    <w:multiLevelType w:val="hybridMultilevel"/>
    <w:tmpl w:val="418AB4CC"/>
    <w:lvl w:ilvl="0" w:tplc="930A84B8">
      <w:start w:val="1"/>
      <w:numFmt w:val="upp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337629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7090878">
    <w:abstractNumId w:val="18"/>
  </w:num>
  <w:num w:numId="3" w16cid:durableId="726344054">
    <w:abstractNumId w:val="27"/>
  </w:num>
  <w:num w:numId="4" w16cid:durableId="8911613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01637611">
    <w:abstractNumId w:val="7"/>
  </w:num>
  <w:num w:numId="6" w16cid:durableId="1249382605">
    <w:abstractNumId w:val="6"/>
  </w:num>
  <w:num w:numId="7" w16cid:durableId="41103670">
    <w:abstractNumId w:val="1"/>
  </w:num>
  <w:num w:numId="8" w16cid:durableId="805464147">
    <w:abstractNumId w:val="13"/>
  </w:num>
  <w:num w:numId="9" w16cid:durableId="1350598508">
    <w:abstractNumId w:val="29"/>
  </w:num>
  <w:num w:numId="10" w16cid:durableId="285934381">
    <w:abstractNumId w:val="2"/>
  </w:num>
  <w:num w:numId="11" w16cid:durableId="1893153235">
    <w:abstractNumId w:val="22"/>
  </w:num>
  <w:num w:numId="12" w16cid:durableId="1549876117">
    <w:abstractNumId w:val="3"/>
  </w:num>
  <w:num w:numId="13" w16cid:durableId="1739282548">
    <w:abstractNumId w:val="20"/>
  </w:num>
  <w:num w:numId="14" w16cid:durableId="1194928586">
    <w:abstractNumId w:val="9"/>
  </w:num>
  <w:num w:numId="15" w16cid:durableId="537157878">
    <w:abstractNumId w:val="25"/>
  </w:num>
  <w:num w:numId="16" w16cid:durableId="1844663507">
    <w:abstractNumId w:val="5"/>
  </w:num>
  <w:num w:numId="17" w16cid:durableId="1297444983">
    <w:abstractNumId w:val="26"/>
  </w:num>
  <w:num w:numId="18" w16cid:durableId="181020026">
    <w:abstractNumId w:val="16"/>
  </w:num>
  <w:num w:numId="19" w16cid:durableId="460879891">
    <w:abstractNumId w:val="32"/>
  </w:num>
  <w:num w:numId="20" w16cid:durableId="1597208747">
    <w:abstractNumId w:val="12"/>
  </w:num>
  <w:num w:numId="21" w16cid:durableId="540291674">
    <w:abstractNumId w:val="10"/>
  </w:num>
  <w:num w:numId="22" w16cid:durableId="212735710">
    <w:abstractNumId w:val="14"/>
  </w:num>
  <w:num w:numId="23" w16cid:durableId="1660187913">
    <w:abstractNumId w:val="23"/>
  </w:num>
  <w:num w:numId="24" w16cid:durableId="1491867130">
    <w:abstractNumId w:val="30"/>
  </w:num>
  <w:num w:numId="25" w16cid:durableId="1092581316">
    <w:abstractNumId w:val="4"/>
  </w:num>
  <w:num w:numId="26" w16cid:durableId="294531345">
    <w:abstractNumId w:val="19"/>
  </w:num>
  <w:num w:numId="27" w16cid:durableId="1333724774">
    <w:abstractNumId w:val="24"/>
  </w:num>
  <w:num w:numId="28" w16cid:durableId="7678258">
    <w:abstractNumId w:val="31"/>
  </w:num>
  <w:num w:numId="29" w16cid:durableId="1773012654">
    <w:abstractNumId w:val="28"/>
  </w:num>
  <w:num w:numId="30" w16cid:durableId="1990673403">
    <w:abstractNumId w:val="11"/>
  </w:num>
  <w:num w:numId="31" w16cid:durableId="597755832">
    <w:abstractNumId w:val="17"/>
  </w:num>
  <w:num w:numId="32" w16cid:durableId="1020086726">
    <w:abstractNumId w:val="8"/>
  </w:num>
  <w:num w:numId="33" w16cid:durableId="1878620611">
    <w:abstractNumId w:val="15"/>
  </w:num>
  <w:num w:numId="34" w16cid:durableId="13967336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74F7"/>
    <w:rsid w:val="00042376"/>
    <w:rsid w:val="00043B37"/>
    <w:rsid w:val="0004579C"/>
    <w:rsid w:val="0005429D"/>
    <w:rsid w:val="00054D99"/>
    <w:rsid w:val="000631F9"/>
    <w:rsid w:val="00093067"/>
    <w:rsid w:val="00097FB2"/>
    <w:rsid w:val="000A47FA"/>
    <w:rsid w:val="000A4E95"/>
    <w:rsid w:val="000A5E7F"/>
    <w:rsid w:val="000A65D3"/>
    <w:rsid w:val="000B1E33"/>
    <w:rsid w:val="000B4663"/>
    <w:rsid w:val="000D689F"/>
    <w:rsid w:val="000E7B7B"/>
    <w:rsid w:val="000E7D62"/>
    <w:rsid w:val="000F1933"/>
    <w:rsid w:val="000F3148"/>
    <w:rsid w:val="00103357"/>
    <w:rsid w:val="00123C9F"/>
    <w:rsid w:val="00126190"/>
    <w:rsid w:val="00130F17"/>
    <w:rsid w:val="001320BF"/>
    <w:rsid w:val="00150115"/>
    <w:rsid w:val="0015306C"/>
    <w:rsid w:val="00156F75"/>
    <w:rsid w:val="00163BC4"/>
    <w:rsid w:val="00166C9F"/>
    <w:rsid w:val="00191062"/>
    <w:rsid w:val="00192B72"/>
    <w:rsid w:val="001A29D8"/>
    <w:rsid w:val="001A5CAA"/>
    <w:rsid w:val="001B0427"/>
    <w:rsid w:val="001B7036"/>
    <w:rsid w:val="001C75BE"/>
    <w:rsid w:val="001D18BC"/>
    <w:rsid w:val="001D3A51"/>
    <w:rsid w:val="001E10D2"/>
    <w:rsid w:val="001E25B4"/>
    <w:rsid w:val="001E44FE"/>
    <w:rsid w:val="001E7141"/>
    <w:rsid w:val="001F636B"/>
    <w:rsid w:val="00200595"/>
    <w:rsid w:val="00204835"/>
    <w:rsid w:val="00213FEE"/>
    <w:rsid w:val="00220DA9"/>
    <w:rsid w:val="00225C02"/>
    <w:rsid w:val="002263E8"/>
    <w:rsid w:val="00231920"/>
    <w:rsid w:val="0023195C"/>
    <w:rsid w:val="0023325D"/>
    <w:rsid w:val="00240FDF"/>
    <w:rsid w:val="0024282C"/>
    <w:rsid w:val="002460DC"/>
    <w:rsid w:val="002475A7"/>
    <w:rsid w:val="00247EEC"/>
    <w:rsid w:val="00250985"/>
    <w:rsid w:val="002556F6"/>
    <w:rsid w:val="00283105"/>
    <w:rsid w:val="00284C4C"/>
    <w:rsid w:val="00287E68"/>
    <w:rsid w:val="00296529"/>
    <w:rsid w:val="00297E69"/>
    <w:rsid w:val="002A3F96"/>
    <w:rsid w:val="002B27FB"/>
    <w:rsid w:val="002B685A"/>
    <w:rsid w:val="002C3F1C"/>
    <w:rsid w:val="002C57D2"/>
    <w:rsid w:val="002D39A1"/>
    <w:rsid w:val="002E0861"/>
    <w:rsid w:val="002E0D56"/>
    <w:rsid w:val="00315186"/>
    <w:rsid w:val="0031747E"/>
    <w:rsid w:val="0033343E"/>
    <w:rsid w:val="00350BD1"/>
    <w:rsid w:val="003512C2"/>
    <w:rsid w:val="00371FB6"/>
    <w:rsid w:val="003763C1"/>
    <w:rsid w:val="00376BBE"/>
    <w:rsid w:val="003805C9"/>
    <w:rsid w:val="00391A8B"/>
    <w:rsid w:val="0039224F"/>
    <w:rsid w:val="00395BC4"/>
    <w:rsid w:val="003A43A4"/>
    <w:rsid w:val="003A7E18"/>
    <w:rsid w:val="003B382A"/>
    <w:rsid w:val="003C2679"/>
    <w:rsid w:val="003C4C86"/>
    <w:rsid w:val="003C52D2"/>
    <w:rsid w:val="003C6258"/>
    <w:rsid w:val="003D2211"/>
    <w:rsid w:val="003D72CB"/>
    <w:rsid w:val="003E06C5"/>
    <w:rsid w:val="003E2904"/>
    <w:rsid w:val="003F44B0"/>
    <w:rsid w:val="00401927"/>
    <w:rsid w:val="00405DA0"/>
    <w:rsid w:val="004076FD"/>
    <w:rsid w:val="0041027F"/>
    <w:rsid w:val="00412475"/>
    <w:rsid w:val="00423789"/>
    <w:rsid w:val="00424DFF"/>
    <w:rsid w:val="0042733B"/>
    <w:rsid w:val="00440F43"/>
    <w:rsid w:val="00441B6F"/>
    <w:rsid w:val="00446221"/>
    <w:rsid w:val="00450E62"/>
    <w:rsid w:val="004539DB"/>
    <w:rsid w:val="00460B50"/>
    <w:rsid w:val="004615E3"/>
    <w:rsid w:val="00471A80"/>
    <w:rsid w:val="00475E01"/>
    <w:rsid w:val="00496651"/>
    <w:rsid w:val="004D2BE4"/>
    <w:rsid w:val="004D305E"/>
    <w:rsid w:val="004D4277"/>
    <w:rsid w:val="004D4D2B"/>
    <w:rsid w:val="004F3001"/>
    <w:rsid w:val="00502516"/>
    <w:rsid w:val="00505F06"/>
    <w:rsid w:val="00506828"/>
    <w:rsid w:val="0053056E"/>
    <w:rsid w:val="0053542C"/>
    <w:rsid w:val="00554FDA"/>
    <w:rsid w:val="005615A2"/>
    <w:rsid w:val="005670EE"/>
    <w:rsid w:val="00586AF8"/>
    <w:rsid w:val="005A3743"/>
    <w:rsid w:val="005B74E6"/>
    <w:rsid w:val="005C2898"/>
    <w:rsid w:val="005C7107"/>
    <w:rsid w:val="005C784C"/>
    <w:rsid w:val="005D17F6"/>
    <w:rsid w:val="005D3859"/>
    <w:rsid w:val="005E5539"/>
    <w:rsid w:val="00602BF5"/>
    <w:rsid w:val="00605D82"/>
    <w:rsid w:val="0061255F"/>
    <w:rsid w:val="00616B1E"/>
    <w:rsid w:val="006176C7"/>
    <w:rsid w:val="00617FDD"/>
    <w:rsid w:val="00633614"/>
    <w:rsid w:val="00633F68"/>
    <w:rsid w:val="00636EB2"/>
    <w:rsid w:val="006375B8"/>
    <w:rsid w:val="00652056"/>
    <w:rsid w:val="00663C91"/>
    <w:rsid w:val="0066499D"/>
    <w:rsid w:val="0066510A"/>
    <w:rsid w:val="00673F9F"/>
    <w:rsid w:val="00686953"/>
    <w:rsid w:val="00687DEA"/>
    <w:rsid w:val="00687E67"/>
    <w:rsid w:val="006967F7"/>
    <w:rsid w:val="006A0024"/>
    <w:rsid w:val="006A250C"/>
    <w:rsid w:val="006B21D3"/>
    <w:rsid w:val="006B2A32"/>
    <w:rsid w:val="006B57D0"/>
    <w:rsid w:val="006D30FF"/>
    <w:rsid w:val="006D6556"/>
    <w:rsid w:val="006D6940"/>
    <w:rsid w:val="006E3B95"/>
    <w:rsid w:val="006F11EC"/>
    <w:rsid w:val="006F4424"/>
    <w:rsid w:val="0070082C"/>
    <w:rsid w:val="00705ADE"/>
    <w:rsid w:val="007147BE"/>
    <w:rsid w:val="0072152B"/>
    <w:rsid w:val="0072422A"/>
    <w:rsid w:val="007369E6"/>
    <w:rsid w:val="00742E86"/>
    <w:rsid w:val="00746E59"/>
    <w:rsid w:val="00754C9A"/>
    <w:rsid w:val="0075599A"/>
    <w:rsid w:val="00761D52"/>
    <w:rsid w:val="00770A33"/>
    <w:rsid w:val="0077749E"/>
    <w:rsid w:val="00790ADA"/>
    <w:rsid w:val="007A61F1"/>
    <w:rsid w:val="007B1399"/>
    <w:rsid w:val="007C64E8"/>
    <w:rsid w:val="007D2288"/>
    <w:rsid w:val="007D3A64"/>
    <w:rsid w:val="007E088F"/>
    <w:rsid w:val="007F46F5"/>
    <w:rsid w:val="007F7B32"/>
    <w:rsid w:val="00804BC2"/>
    <w:rsid w:val="0081431A"/>
    <w:rsid w:val="00825864"/>
    <w:rsid w:val="0083216F"/>
    <w:rsid w:val="008336FC"/>
    <w:rsid w:val="0083677B"/>
    <w:rsid w:val="0085273F"/>
    <w:rsid w:val="00855479"/>
    <w:rsid w:val="00860000"/>
    <w:rsid w:val="00863BD3"/>
    <w:rsid w:val="008641ED"/>
    <w:rsid w:val="00866D66"/>
    <w:rsid w:val="008671C6"/>
    <w:rsid w:val="0087229A"/>
    <w:rsid w:val="00875803"/>
    <w:rsid w:val="00876F64"/>
    <w:rsid w:val="008A6EE3"/>
    <w:rsid w:val="008B29CF"/>
    <w:rsid w:val="008B459E"/>
    <w:rsid w:val="008C4FA5"/>
    <w:rsid w:val="008E13AE"/>
    <w:rsid w:val="008E1506"/>
    <w:rsid w:val="008E710C"/>
    <w:rsid w:val="008F69D6"/>
    <w:rsid w:val="00901468"/>
    <w:rsid w:val="00902823"/>
    <w:rsid w:val="00907112"/>
    <w:rsid w:val="00915CA6"/>
    <w:rsid w:val="0092756C"/>
    <w:rsid w:val="00927834"/>
    <w:rsid w:val="009443B7"/>
    <w:rsid w:val="009500A6"/>
    <w:rsid w:val="0095615D"/>
    <w:rsid w:val="00957C18"/>
    <w:rsid w:val="009659BA"/>
    <w:rsid w:val="009730E9"/>
    <w:rsid w:val="00983040"/>
    <w:rsid w:val="00983E50"/>
    <w:rsid w:val="00995142"/>
    <w:rsid w:val="00995668"/>
    <w:rsid w:val="009A2B9F"/>
    <w:rsid w:val="009A5C6D"/>
    <w:rsid w:val="009A733A"/>
    <w:rsid w:val="009B3FB9"/>
    <w:rsid w:val="009B78C4"/>
    <w:rsid w:val="009C198B"/>
    <w:rsid w:val="009C2465"/>
    <w:rsid w:val="009D05BB"/>
    <w:rsid w:val="009D35A0"/>
    <w:rsid w:val="009D40E9"/>
    <w:rsid w:val="009D7EB7"/>
    <w:rsid w:val="009E048A"/>
    <w:rsid w:val="009E08E9"/>
    <w:rsid w:val="009E3DB9"/>
    <w:rsid w:val="009E6E35"/>
    <w:rsid w:val="009F0EDA"/>
    <w:rsid w:val="00A03B96"/>
    <w:rsid w:val="00A05B19"/>
    <w:rsid w:val="00A06879"/>
    <w:rsid w:val="00A1134E"/>
    <w:rsid w:val="00A12931"/>
    <w:rsid w:val="00A23442"/>
    <w:rsid w:val="00A24E7E"/>
    <w:rsid w:val="00A258C3"/>
    <w:rsid w:val="00A347C0"/>
    <w:rsid w:val="00A51431"/>
    <w:rsid w:val="00A539AD"/>
    <w:rsid w:val="00A57326"/>
    <w:rsid w:val="00A605F3"/>
    <w:rsid w:val="00A92754"/>
    <w:rsid w:val="00A94063"/>
    <w:rsid w:val="00AA6219"/>
    <w:rsid w:val="00AA74E0"/>
    <w:rsid w:val="00AB0178"/>
    <w:rsid w:val="00AB56E1"/>
    <w:rsid w:val="00AB64AA"/>
    <w:rsid w:val="00AB703F"/>
    <w:rsid w:val="00AC6BB8"/>
    <w:rsid w:val="00AE008F"/>
    <w:rsid w:val="00AE0EAA"/>
    <w:rsid w:val="00AE2E48"/>
    <w:rsid w:val="00AE4642"/>
    <w:rsid w:val="00B01FCD"/>
    <w:rsid w:val="00B1776C"/>
    <w:rsid w:val="00B17A88"/>
    <w:rsid w:val="00B52583"/>
    <w:rsid w:val="00B52896"/>
    <w:rsid w:val="00B533BC"/>
    <w:rsid w:val="00B54DA3"/>
    <w:rsid w:val="00B60609"/>
    <w:rsid w:val="00B73774"/>
    <w:rsid w:val="00B77D6C"/>
    <w:rsid w:val="00B8413C"/>
    <w:rsid w:val="00B95236"/>
    <w:rsid w:val="00B96BD9"/>
    <w:rsid w:val="00BA0E43"/>
    <w:rsid w:val="00BA1B01"/>
    <w:rsid w:val="00BA2641"/>
    <w:rsid w:val="00BB0DEC"/>
    <w:rsid w:val="00BB37AA"/>
    <w:rsid w:val="00BB67C7"/>
    <w:rsid w:val="00BC53A0"/>
    <w:rsid w:val="00BD7BD3"/>
    <w:rsid w:val="00BE5A61"/>
    <w:rsid w:val="00BE62AD"/>
    <w:rsid w:val="00BF121F"/>
    <w:rsid w:val="00BF14C8"/>
    <w:rsid w:val="00BF1F80"/>
    <w:rsid w:val="00C146A8"/>
    <w:rsid w:val="00C166EF"/>
    <w:rsid w:val="00C17EB0"/>
    <w:rsid w:val="00C27F5F"/>
    <w:rsid w:val="00C30A0F"/>
    <w:rsid w:val="00C37E61"/>
    <w:rsid w:val="00C52667"/>
    <w:rsid w:val="00C56B97"/>
    <w:rsid w:val="00C67B37"/>
    <w:rsid w:val="00C70F1B"/>
    <w:rsid w:val="00C71A47"/>
    <w:rsid w:val="00C7464C"/>
    <w:rsid w:val="00C774FB"/>
    <w:rsid w:val="00C85588"/>
    <w:rsid w:val="00CA1E1B"/>
    <w:rsid w:val="00CA5E58"/>
    <w:rsid w:val="00CC4FB8"/>
    <w:rsid w:val="00CD0181"/>
    <w:rsid w:val="00CD6755"/>
    <w:rsid w:val="00CD6856"/>
    <w:rsid w:val="00CE0089"/>
    <w:rsid w:val="00CE793C"/>
    <w:rsid w:val="00CF193C"/>
    <w:rsid w:val="00D07FC6"/>
    <w:rsid w:val="00D173F1"/>
    <w:rsid w:val="00D31961"/>
    <w:rsid w:val="00D336C1"/>
    <w:rsid w:val="00D35C4A"/>
    <w:rsid w:val="00D56C35"/>
    <w:rsid w:val="00D74CB0"/>
    <w:rsid w:val="00D80D02"/>
    <w:rsid w:val="00D8295D"/>
    <w:rsid w:val="00D90874"/>
    <w:rsid w:val="00D937EA"/>
    <w:rsid w:val="00D968FB"/>
    <w:rsid w:val="00DB6F74"/>
    <w:rsid w:val="00DC2A65"/>
    <w:rsid w:val="00DE15F0"/>
    <w:rsid w:val="00DE5663"/>
    <w:rsid w:val="00DE78AA"/>
    <w:rsid w:val="00E03DAE"/>
    <w:rsid w:val="00E053D0"/>
    <w:rsid w:val="00E14F2A"/>
    <w:rsid w:val="00E15994"/>
    <w:rsid w:val="00E3114E"/>
    <w:rsid w:val="00E31A70"/>
    <w:rsid w:val="00E33D8C"/>
    <w:rsid w:val="00E35B02"/>
    <w:rsid w:val="00E444D1"/>
    <w:rsid w:val="00E514F2"/>
    <w:rsid w:val="00E614E5"/>
    <w:rsid w:val="00E63353"/>
    <w:rsid w:val="00E66496"/>
    <w:rsid w:val="00E66B35"/>
    <w:rsid w:val="00E66E10"/>
    <w:rsid w:val="00E769F6"/>
    <w:rsid w:val="00E8407C"/>
    <w:rsid w:val="00E84F3C"/>
    <w:rsid w:val="00E92C71"/>
    <w:rsid w:val="00E963B5"/>
    <w:rsid w:val="00EA012C"/>
    <w:rsid w:val="00EA433E"/>
    <w:rsid w:val="00EC6A55"/>
    <w:rsid w:val="00ED0288"/>
    <w:rsid w:val="00EE52CB"/>
    <w:rsid w:val="00EF2CC7"/>
    <w:rsid w:val="00EF47C0"/>
    <w:rsid w:val="00EF581D"/>
    <w:rsid w:val="00EF6F86"/>
    <w:rsid w:val="00EF7FD8"/>
    <w:rsid w:val="00F06F59"/>
    <w:rsid w:val="00F10901"/>
    <w:rsid w:val="00F12151"/>
    <w:rsid w:val="00F17988"/>
    <w:rsid w:val="00F20E53"/>
    <w:rsid w:val="00F25A0B"/>
    <w:rsid w:val="00F469F0"/>
    <w:rsid w:val="00F476A8"/>
    <w:rsid w:val="00F53273"/>
    <w:rsid w:val="00F755E4"/>
    <w:rsid w:val="00F77D02"/>
    <w:rsid w:val="00F80FF5"/>
    <w:rsid w:val="00F8347B"/>
    <w:rsid w:val="00FB0EBE"/>
    <w:rsid w:val="00FB3A86"/>
    <w:rsid w:val="00FD36C8"/>
    <w:rsid w:val="00FE14F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E5A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E5A6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customStyle="1" w:styleId="Heading3Char">
    <w:name w:val="Heading 3 Char"/>
    <w:basedOn w:val="DefaultParagraphFont"/>
    <w:link w:val="Heading3"/>
    <w:uiPriority w:val="9"/>
    <w:semiHidden/>
    <w:rsid w:val="00BE5A61"/>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983E50"/>
    <w:rPr>
      <w:rFonts w:ascii="Helvetica" w:hAnsi="Helvetica"/>
    </w:rPr>
  </w:style>
  <w:style w:type="character" w:styleId="UnresolvedMention">
    <w:name w:val="Unresolved Mention"/>
    <w:basedOn w:val="DefaultParagraphFont"/>
    <w:uiPriority w:val="99"/>
    <w:semiHidden/>
    <w:unhideWhenUsed/>
    <w:rsid w:val="00CC4FB8"/>
    <w:rPr>
      <w:color w:val="605E5C"/>
      <w:shd w:val="clear" w:color="auto" w:fill="E1DFDD"/>
    </w:rPr>
  </w:style>
  <w:style w:type="paragraph" w:styleId="Revision">
    <w:name w:val="Revision"/>
    <w:hidden/>
    <w:uiPriority w:val="99"/>
    <w:semiHidden/>
    <w:rsid w:val="00054D9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027370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82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cabidigitallibrary.org/action/doSearch?do=Madras+Agricultural+Journal"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4.xml"/><Relationship Id="rId28" Type="http://schemas.openxmlformats.org/officeDocument/2006/relationships/hyperlink" Target="https://www.cabidigitallibrary.org/action/doSearch?do=International+Journal+of+Tropical+Agriculture" TargetMode="External"/><Relationship Id="rId10" Type="http://schemas.openxmlformats.org/officeDocument/2006/relationships/header" Target="header3.xml"/><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s://www.cabidigitallibrary.org/action/doSearch?do=Journal+of+Crop+and+Weed" TargetMode="External"/><Relationship Id="rId30" Type="http://schemas.openxmlformats.org/officeDocument/2006/relationships/header" Target="header8.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4532915783243"/>
          <c:y val="0.13113913023803062"/>
          <c:w val="0.63005948590393857"/>
          <c:h val="0.67163948256467942"/>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13.5</c:v>
                </c:pt>
                <c:pt idx="1">
                  <c:v>21.1</c:v>
                </c:pt>
                <c:pt idx="2">
                  <c:v>30.6</c:v>
                </c:pt>
                <c:pt idx="3">
                  <c:v>50.23</c:v>
                </c:pt>
                <c:pt idx="4">
                  <c:v>52.93</c:v>
                </c:pt>
                <c:pt idx="5">
                  <c:v>54.64</c:v>
                </c:pt>
                <c:pt idx="6">
                  <c:v>54.64</c:v>
                </c:pt>
                <c:pt idx="7">
                  <c:v>54.64</c:v>
                </c:pt>
              </c:numCache>
            </c:numRef>
          </c:val>
          <c:smooth val="0"/>
          <c:extLst>
            <c:ext xmlns:c16="http://schemas.microsoft.com/office/drawing/2014/chart" uri="{C3380CC4-5D6E-409C-BE32-E72D297353CC}">
              <c16:uniqueId val="{00000000-4E6E-4A4C-8B42-5A1E7B23F8C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13.77</c:v>
                </c:pt>
                <c:pt idx="1">
                  <c:v>21.9</c:v>
                </c:pt>
                <c:pt idx="2">
                  <c:v>43.37</c:v>
                </c:pt>
                <c:pt idx="3">
                  <c:v>52.47</c:v>
                </c:pt>
                <c:pt idx="4">
                  <c:v>55.27</c:v>
                </c:pt>
                <c:pt idx="5">
                  <c:v>56.71</c:v>
                </c:pt>
                <c:pt idx="6">
                  <c:v>56.71</c:v>
                </c:pt>
                <c:pt idx="7">
                  <c:v>56.71</c:v>
                </c:pt>
              </c:numCache>
            </c:numRef>
          </c:val>
          <c:smooth val="0"/>
          <c:extLst>
            <c:ext xmlns:c16="http://schemas.microsoft.com/office/drawing/2014/chart" uri="{C3380CC4-5D6E-409C-BE32-E72D297353CC}">
              <c16:uniqueId val="{00000001-4E6E-4A4C-8B42-5A1E7B23F8C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14.7</c:v>
                </c:pt>
                <c:pt idx="1">
                  <c:v>27.93</c:v>
                </c:pt>
                <c:pt idx="2">
                  <c:v>44.77</c:v>
                </c:pt>
                <c:pt idx="3">
                  <c:v>60.8</c:v>
                </c:pt>
                <c:pt idx="4">
                  <c:v>63.1</c:v>
                </c:pt>
                <c:pt idx="5">
                  <c:v>65.72</c:v>
                </c:pt>
                <c:pt idx="6">
                  <c:v>65.72</c:v>
                </c:pt>
                <c:pt idx="7">
                  <c:v>65.72</c:v>
                </c:pt>
              </c:numCache>
            </c:numRef>
          </c:val>
          <c:smooth val="0"/>
          <c:extLst>
            <c:ext xmlns:c16="http://schemas.microsoft.com/office/drawing/2014/chart" uri="{C3380CC4-5D6E-409C-BE32-E72D297353CC}">
              <c16:uniqueId val="{00000002-4E6E-4A4C-8B42-5A1E7B23F8C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13.6</c:v>
                </c:pt>
                <c:pt idx="1">
                  <c:v>23.43</c:v>
                </c:pt>
                <c:pt idx="2">
                  <c:v>39.47</c:v>
                </c:pt>
                <c:pt idx="3">
                  <c:v>55.03</c:v>
                </c:pt>
                <c:pt idx="4">
                  <c:v>59.37</c:v>
                </c:pt>
                <c:pt idx="5">
                  <c:v>60.55</c:v>
                </c:pt>
                <c:pt idx="6">
                  <c:v>60.55</c:v>
                </c:pt>
                <c:pt idx="7">
                  <c:v>60.55</c:v>
                </c:pt>
              </c:numCache>
            </c:numRef>
          </c:val>
          <c:smooth val="0"/>
          <c:extLst>
            <c:ext xmlns:c16="http://schemas.microsoft.com/office/drawing/2014/chart" uri="{C3380CC4-5D6E-409C-BE32-E72D297353CC}">
              <c16:uniqueId val="{00000003-4E6E-4A4C-8B42-5A1E7B23F8C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0.00</c:formatCode>
                <c:ptCount val="8"/>
                <c:pt idx="0">
                  <c:v>14.4</c:v>
                </c:pt>
                <c:pt idx="1">
                  <c:v>21.77</c:v>
                </c:pt>
                <c:pt idx="2">
                  <c:v>36.700000000000003</c:v>
                </c:pt>
                <c:pt idx="3">
                  <c:v>53.53</c:v>
                </c:pt>
                <c:pt idx="4">
                  <c:v>58.47</c:v>
                </c:pt>
                <c:pt idx="5">
                  <c:v>58.62</c:v>
                </c:pt>
                <c:pt idx="6">
                  <c:v>58.62</c:v>
                </c:pt>
                <c:pt idx="7">
                  <c:v>58.62</c:v>
                </c:pt>
              </c:numCache>
            </c:numRef>
          </c:val>
          <c:smooth val="0"/>
          <c:extLst>
            <c:ext xmlns:c16="http://schemas.microsoft.com/office/drawing/2014/chart" uri="{C3380CC4-5D6E-409C-BE32-E72D297353CC}">
              <c16:uniqueId val="{00000004-4E6E-4A4C-8B42-5A1E7B23F8C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14.4</c:v>
                </c:pt>
                <c:pt idx="1">
                  <c:v>21.43</c:v>
                </c:pt>
                <c:pt idx="2">
                  <c:v>40.97</c:v>
                </c:pt>
                <c:pt idx="3">
                  <c:v>52.2</c:v>
                </c:pt>
                <c:pt idx="4">
                  <c:v>54</c:v>
                </c:pt>
                <c:pt idx="5">
                  <c:v>56.44</c:v>
                </c:pt>
                <c:pt idx="6">
                  <c:v>56.44</c:v>
                </c:pt>
                <c:pt idx="7">
                  <c:v>56.44</c:v>
                </c:pt>
              </c:numCache>
            </c:numRef>
          </c:val>
          <c:smooth val="0"/>
          <c:extLst>
            <c:ext xmlns:c16="http://schemas.microsoft.com/office/drawing/2014/chart" uri="{C3380CC4-5D6E-409C-BE32-E72D297353CC}">
              <c16:uniqueId val="{00000005-4E6E-4A4C-8B42-5A1E7B23F8C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14.03</c:v>
                </c:pt>
                <c:pt idx="1">
                  <c:v>21.1</c:v>
                </c:pt>
                <c:pt idx="2">
                  <c:v>41.5</c:v>
                </c:pt>
                <c:pt idx="3">
                  <c:v>52.1</c:v>
                </c:pt>
                <c:pt idx="4">
                  <c:v>53.23</c:v>
                </c:pt>
                <c:pt idx="5">
                  <c:v>56.37</c:v>
                </c:pt>
                <c:pt idx="6">
                  <c:v>56.37</c:v>
                </c:pt>
                <c:pt idx="7">
                  <c:v>56.37</c:v>
                </c:pt>
              </c:numCache>
            </c:numRef>
          </c:val>
          <c:smooth val="0"/>
          <c:extLst>
            <c:ext xmlns:c16="http://schemas.microsoft.com/office/drawing/2014/chart" uri="{C3380CC4-5D6E-409C-BE32-E72D297353CC}">
              <c16:uniqueId val="{00000006-4E6E-4A4C-8B42-5A1E7B23F8C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14.27</c:v>
                </c:pt>
                <c:pt idx="1">
                  <c:v>22.63</c:v>
                </c:pt>
                <c:pt idx="2">
                  <c:v>41.7</c:v>
                </c:pt>
                <c:pt idx="3">
                  <c:v>57.87</c:v>
                </c:pt>
                <c:pt idx="4">
                  <c:v>61.13</c:v>
                </c:pt>
                <c:pt idx="5">
                  <c:v>64.05</c:v>
                </c:pt>
                <c:pt idx="6">
                  <c:v>64.05</c:v>
                </c:pt>
                <c:pt idx="7">
                  <c:v>64.05</c:v>
                </c:pt>
              </c:numCache>
            </c:numRef>
          </c:val>
          <c:smooth val="0"/>
          <c:extLst>
            <c:ext xmlns:c16="http://schemas.microsoft.com/office/drawing/2014/chart" uri="{C3380CC4-5D6E-409C-BE32-E72D297353CC}">
              <c16:uniqueId val="{00000007-4E6E-4A4C-8B42-5A1E7B23F8C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14.33</c:v>
                </c:pt>
                <c:pt idx="1">
                  <c:v>29.8</c:v>
                </c:pt>
                <c:pt idx="2">
                  <c:v>46.63</c:v>
                </c:pt>
                <c:pt idx="3">
                  <c:v>62.2</c:v>
                </c:pt>
                <c:pt idx="4">
                  <c:v>65.23</c:v>
                </c:pt>
                <c:pt idx="5">
                  <c:v>67.22</c:v>
                </c:pt>
                <c:pt idx="6">
                  <c:v>67.22</c:v>
                </c:pt>
                <c:pt idx="7">
                  <c:v>67.22</c:v>
                </c:pt>
              </c:numCache>
            </c:numRef>
          </c:val>
          <c:smooth val="0"/>
          <c:extLst>
            <c:ext xmlns:c16="http://schemas.microsoft.com/office/drawing/2014/chart" uri="{C3380CC4-5D6E-409C-BE32-E72D297353CC}">
              <c16:uniqueId val="{00000008-4E6E-4A4C-8B42-5A1E7B23F8C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13.83</c:v>
                </c:pt>
                <c:pt idx="1">
                  <c:v>22.57</c:v>
                </c:pt>
                <c:pt idx="2">
                  <c:v>41.53</c:v>
                </c:pt>
                <c:pt idx="3">
                  <c:v>53.73</c:v>
                </c:pt>
                <c:pt idx="4">
                  <c:v>55.6</c:v>
                </c:pt>
                <c:pt idx="5">
                  <c:v>58.07</c:v>
                </c:pt>
                <c:pt idx="6">
                  <c:v>58.07</c:v>
                </c:pt>
                <c:pt idx="7">
                  <c:v>58.07</c:v>
                </c:pt>
              </c:numCache>
            </c:numRef>
          </c:val>
          <c:smooth val="0"/>
          <c:extLst>
            <c:ext xmlns:c16="http://schemas.microsoft.com/office/drawing/2014/chart" uri="{C3380CC4-5D6E-409C-BE32-E72D297353CC}">
              <c16:uniqueId val="{00000009-4E6E-4A4C-8B42-5A1E7B23F8C2}"/>
            </c:ext>
          </c:extLst>
        </c:ser>
        <c:dLbls>
          <c:showLegendKey val="0"/>
          <c:showVal val="0"/>
          <c:showCatName val="0"/>
          <c:showSerName val="0"/>
          <c:showPercent val="0"/>
          <c:showBubbleSize val="0"/>
        </c:dLbls>
        <c:marker val="1"/>
        <c:smooth val="0"/>
        <c:axId val="1381150415"/>
        <c:axId val="1222511631"/>
      </c:lineChart>
      <c:catAx>
        <c:axId val="1381150415"/>
        <c:scaling>
          <c:orientation val="minMax"/>
        </c:scaling>
        <c:delete val="0"/>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a:t>
                </a:r>
                <a:r>
                  <a:rPr lang="en-US" sz="900" b="1" cap="none" baseline="0">
                    <a:latin typeface="Arial" panose="020B0604020202020204" pitchFamily="34" charset="0"/>
                    <a:cs typeface="Arial" panose="020B0604020202020204" pitchFamily="34" charset="0"/>
                  </a:rPr>
                  <a:t> after sowing</a:t>
                </a:r>
                <a:endParaRPr lang="en-US" sz="900" b="1" cap="none">
                  <a:latin typeface="Arial" panose="020B0604020202020204" pitchFamily="34" charset="0"/>
                  <a:cs typeface="Arial" panose="020B0604020202020204" pitchFamily="34" charset="0"/>
                </a:endParaRPr>
              </a:p>
            </c:rich>
          </c:tx>
          <c:layout>
            <c:manualLayout>
              <c:xMode val="edge"/>
              <c:yMode val="edge"/>
              <c:x val="0.29794833566831735"/>
              <c:y val="0.9066091954022989"/>
            </c:manualLayout>
          </c:layout>
          <c:overlay val="0"/>
          <c:spPr>
            <a:noFill/>
            <a:ln>
              <a:noFill/>
            </a:ln>
            <a:effectLst/>
          </c:spPr>
          <c:txPr>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22511631"/>
        <c:crosses val="autoZero"/>
        <c:auto val="1"/>
        <c:lblAlgn val="ctr"/>
        <c:lblOffset val="100"/>
        <c:noMultiLvlLbl val="0"/>
      </c:catAx>
      <c:valAx>
        <c:axId val="1222511631"/>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3.9860799988012917E-3"/>
              <c:y val="0.19300502307901168"/>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1150415"/>
        <c:crosses val="autoZero"/>
        <c:crossBetween val="between"/>
      </c:valAx>
      <c:spPr>
        <a:noFill/>
        <a:ln>
          <a:noFill/>
        </a:ln>
        <a:effectLst/>
      </c:spPr>
    </c:plotArea>
    <c:legend>
      <c:legendPos val="t"/>
      <c:layout>
        <c:manualLayout>
          <c:xMode val="edge"/>
          <c:yMode val="edge"/>
          <c:x val="0.76237891172261885"/>
          <c:y val="2.9880695047205193E-2"/>
          <c:w val="0.23403994695715366"/>
          <c:h val="0.72336727405755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45099170768927"/>
          <c:y val="0.20805961162957048"/>
          <c:w val="0.72019554305847866"/>
          <c:h val="0.58418513189183519"/>
        </c:manualLayout>
      </c:layout>
      <c:barChart>
        <c:barDir val="col"/>
        <c:grouping val="clustered"/>
        <c:varyColors val="0"/>
        <c:ser>
          <c:idx val="0"/>
          <c:order val="0"/>
          <c:tx>
            <c:strRef>
              <c:f>Sheet1!$B$1</c:f>
              <c:strCache>
                <c:ptCount val="1"/>
                <c:pt idx="0">
                  <c:v>T1</c:v>
                </c:pt>
              </c:strCache>
            </c:strRef>
          </c:tx>
          <c:spPr>
            <a:solidFill>
              <a:schemeClr val="accent1"/>
            </a:solidFill>
            <a:ln>
              <a:noFill/>
            </a:ln>
            <a:effectLst/>
          </c:spPr>
          <c:invertIfNegative val="0"/>
          <c:dLbls>
            <c:dLbl>
              <c:idx val="0"/>
              <c:layout>
                <c:manualLayout>
                  <c:x val="0"/>
                  <c:y val="2.8060329708874079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824.9</c:v>
                </c:pt>
              </c:numCache>
            </c:numRef>
          </c:val>
          <c:extLst>
            <c:ext xmlns:c16="http://schemas.microsoft.com/office/drawing/2014/chart" uri="{C3380CC4-5D6E-409C-BE32-E72D297353CC}">
              <c16:uniqueId val="{00000001-EC56-4C0C-875B-A47C8936754A}"/>
            </c:ext>
          </c:extLst>
        </c:ser>
        <c:ser>
          <c:idx val="1"/>
          <c:order val="1"/>
          <c:tx>
            <c:strRef>
              <c:f>Sheet1!$C$1</c:f>
              <c:strCache>
                <c:ptCount val="1"/>
                <c:pt idx="0">
                  <c:v>T2</c:v>
                </c:pt>
              </c:strCache>
            </c:strRef>
          </c:tx>
          <c:spPr>
            <a:solidFill>
              <a:schemeClr val="accent2"/>
            </a:solidFill>
            <a:ln>
              <a:noFill/>
            </a:ln>
            <a:effectLst/>
          </c:spPr>
          <c:invertIfNegative val="0"/>
          <c:dLbls>
            <c:dLbl>
              <c:idx val="0"/>
              <c:layout>
                <c:manualLayout>
                  <c:x val="0"/>
                  <c:y val="2.8060329708874079E-2"/>
                </c:manualLayout>
              </c:layout>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1202.0999999999999</c:v>
                </c:pt>
              </c:numCache>
            </c:numRef>
          </c:val>
          <c:extLst>
            <c:ext xmlns:c16="http://schemas.microsoft.com/office/drawing/2014/chart" uri="{C3380CC4-5D6E-409C-BE32-E72D297353CC}">
              <c16:uniqueId val="{00000003-EC56-4C0C-875B-A47C8936754A}"/>
            </c:ext>
          </c:extLst>
        </c:ser>
        <c:ser>
          <c:idx val="2"/>
          <c:order val="2"/>
          <c:tx>
            <c:strRef>
              <c:f>Sheet1!$D$1</c:f>
              <c:strCache>
                <c:ptCount val="1"/>
                <c:pt idx="0">
                  <c:v>T3</c:v>
                </c:pt>
              </c:strCache>
            </c:strRef>
          </c:tx>
          <c:spPr>
            <a:solidFill>
              <a:schemeClr val="accent3"/>
            </a:solidFill>
            <a:ln>
              <a:noFill/>
            </a:ln>
            <a:effectLst/>
          </c:spPr>
          <c:invertIfNegative val="0"/>
          <c:dLbls>
            <c:dLbl>
              <c:idx val="0"/>
              <c:layout>
                <c:manualLayout>
                  <c:x val="4.5970716016922743E-17"/>
                  <c:y val="2.1045247281655528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1323.2</c:v>
                </c:pt>
              </c:numCache>
            </c:numRef>
          </c:val>
          <c:extLst>
            <c:ext xmlns:c16="http://schemas.microsoft.com/office/drawing/2014/chart" uri="{C3380CC4-5D6E-409C-BE32-E72D297353CC}">
              <c16:uniqueId val="{00000005-EC56-4C0C-875B-A47C8936754A}"/>
            </c:ext>
          </c:extLst>
        </c:ser>
        <c:ser>
          <c:idx val="3"/>
          <c:order val="3"/>
          <c:tx>
            <c:strRef>
              <c:f>Sheet1!$E$1</c:f>
              <c:strCache>
                <c:ptCount val="1"/>
                <c:pt idx="0">
                  <c:v>T4</c:v>
                </c:pt>
              </c:strCache>
            </c:strRef>
          </c:tx>
          <c:spPr>
            <a:solidFill>
              <a:schemeClr val="accent4"/>
            </a:solidFill>
            <a:ln>
              <a:noFill/>
            </a:ln>
            <a:effectLst/>
          </c:spPr>
          <c:invertIfNegative val="0"/>
          <c:dLbls>
            <c:dLbl>
              <c:idx val="0"/>
              <c:layout>
                <c:manualLayout>
                  <c:x val="0"/>
                  <c:y val="2.1045247281655528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1296.4000000000001</c:v>
                </c:pt>
              </c:numCache>
            </c:numRef>
          </c:val>
          <c:extLst>
            <c:ext xmlns:c16="http://schemas.microsoft.com/office/drawing/2014/chart" uri="{C3380CC4-5D6E-409C-BE32-E72D297353CC}">
              <c16:uniqueId val="{00000007-EC56-4C0C-875B-A47C8936754A}"/>
            </c:ext>
          </c:extLst>
        </c:ser>
        <c:ser>
          <c:idx val="4"/>
          <c:order val="4"/>
          <c:tx>
            <c:strRef>
              <c:f>Sheet1!$F$1</c:f>
              <c:strCache>
                <c:ptCount val="1"/>
                <c:pt idx="0">
                  <c:v>T5</c:v>
                </c:pt>
              </c:strCache>
            </c:strRef>
          </c:tx>
          <c:spPr>
            <a:solidFill>
              <a:schemeClr val="accent5"/>
            </a:solidFill>
            <a:ln>
              <a:noFill/>
            </a:ln>
            <a:effectLst/>
          </c:spPr>
          <c:invertIfNegative val="0"/>
          <c:dLbls>
            <c:dLbl>
              <c:idx val="0"/>
              <c:layout>
                <c:manualLayout>
                  <c:x val="-9.1941432033845485E-17"/>
                  <c:y val="3.5075412136092596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1070.3</c:v>
                </c:pt>
              </c:numCache>
            </c:numRef>
          </c:val>
          <c:extLst>
            <c:ext xmlns:c16="http://schemas.microsoft.com/office/drawing/2014/chart" uri="{C3380CC4-5D6E-409C-BE32-E72D297353CC}">
              <c16:uniqueId val="{00000009-EC56-4C0C-875B-A47C8936754A}"/>
            </c:ext>
          </c:extLst>
        </c:ser>
        <c:ser>
          <c:idx val="5"/>
          <c:order val="5"/>
          <c:tx>
            <c:strRef>
              <c:f>Sheet1!$G$1</c:f>
              <c:strCache>
                <c:ptCount val="1"/>
                <c:pt idx="0">
                  <c:v>T6</c:v>
                </c:pt>
              </c:strCache>
            </c:strRef>
          </c:tx>
          <c:spPr>
            <a:solidFill>
              <a:schemeClr val="accent6"/>
            </a:solidFill>
            <a:ln>
              <a:noFill/>
            </a:ln>
            <a:effectLst/>
          </c:spPr>
          <c:invertIfNegative val="0"/>
          <c:dLbls>
            <c:dLbl>
              <c:idx val="0"/>
              <c:layout>
                <c:manualLayout>
                  <c:x val="5.0150451354061265E-3"/>
                  <c:y val="2.104524728165556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1475.4</c:v>
                </c:pt>
              </c:numCache>
            </c:numRef>
          </c:val>
          <c:extLst>
            <c:ext xmlns:c16="http://schemas.microsoft.com/office/drawing/2014/chart" uri="{C3380CC4-5D6E-409C-BE32-E72D297353CC}">
              <c16:uniqueId val="{0000000B-EC56-4C0C-875B-A47C8936754A}"/>
            </c:ext>
          </c:extLst>
        </c:ser>
        <c:ser>
          <c:idx val="6"/>
          <c:order val="6"/>
          <c:tx>
            <c:strRef>
              <c:f>Sheet1!$H$1</c:f>
              <c:strCache>
                <c:ptCount val="1"/>
                <c:pt idx="0">
                  <c:v>T7</c:v>
                </c:pt>
              </c:strCache>
            </c:strRef>
          </c:tx>
          <c:spPr>
            <a:solidFill>
              <a:schemeClr val="accent1">
                <a:lumMod val="60000"/>
              </a:schemeClr>
            </a:solidFill>
            <a:ln>
              <a:noFill/>
            </a:ln>
            <a:effectLst/>
          </c:spPr>
          <c:invertIfNegative val="0"/>
          <c:dLbls>
            <c:dLbl>
              <c:idx val="0"/>
              <c:layout>
                <c:manualLayout>
                  <c:x val="5.0150451354062184E-3"/>
                  <c:y val="2.104524728165556E-2"/>
                </c:manualLayout>
              </c:layout>
              <c:tx>
                <c:rich>
                  <a:bodyPr/>
                  <a:lstStyle/>
                  <a:p>
                    <a:r>
                      <a:rPr lang="en-US"/>
                      <a:t>abc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1367.2</c:v>
                </c:pt>
              </c:numCache>
            </c:numRef>
          </c:val>
          <c:extLst>
            <c:ext xmlns:c16="http://schemas.microsoft.com/office/drawing/2014/chart" uri="{C3380CC4-5D6E-409C-BE32-E72D297353CC}">
              <c16:uniqueId val="{0000000D-EC56-4C0C-875B-A47C8936754A}"/>
            </c:ext>
          </c:extLst>
        </c:ser>
        <c:ser>
          <c:idx val="7"/>
          <c:order val="7"/>
          <c:tx>
            <c:strRef>
              <c:f>Sheet1!$I$1</c:f>
              <c:strCache>
                <c:ptCount val="1"/>
                <c:pt idx="0">
                  <c:v>T8</c:v>
                </c:pt>
              </c:strCache>
            </c:strRef>
          </c:tx>
          <c:spPr>
            <a:solidFill>
              <a:schemeClr val="accent2">
                <a:lumMod val="60000"/>
              </a:schemeClr>
            </a:solidFill>
            <a:ln>
              <a:noFill/>
            </a:ln>
            <a:effectLst/>
          </c:spPr>
          <c:invertIfNegative val="0"/>
          <c:dLbls>
            <c:dLbl>
              <c:idx val="0"/>
              <c:layout>
                <c:manualLayout>
                  <c:x val="-9.1941432033845485E-17"/>
                  <c:y val="3.507541213609259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1011.5</c:v>
                </c:pt>
              </c:numCache>
            </c:numRef>
          </c:val>
          <c:extLst>
            <c:ext xmlns:c16="http://schemas.microsoft.com/office/drawing/2014/chart" uri="{C3380CC4-5D6E-409C-BE32-E72D297353CC}">
              <c16:uniqueId val="{0000000F-EC56-4C0C-875B-A47C8936754A}"/>
            </c:ext>
          </c:extLst>
        </c:ser>
        <c:ser>
          <c:idx val="8"/>
          <c:order val="8"/>
          <c:tx>
            <c:strRef>
              <c:f>Sheet1!$J$1</c:f>
              <c:strCache>
                <c:ptCount val="1"/>
                <c:pt idx="0">
                  <c:v>T9</c:v>
                </c:pt>
              </c:strCache>
            </c:strRef>
          </c:tx>
          <c:spPr>
            <a:solidFill>
              <a:schemeClr val="accent3">
                <a:lumMod val="60000"/>
              </a:schemeClr>
            </a:solidFill>
            <a:ln>
              <a:noFill/>
            </a:ln>
            <a:effectLst/>
          </c:spPr>
          <c:invertIfNegative val="0"/>
          <c:dLbls>
            <c:dLbl>
              <c:idx val="0"/>
              <c:layout>
                <c:manualLayout>
                  <c:x val="0"/>
                  <c:y val="3.5075412136092596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1554.7</c:v>
                </c:pt>
              </c:numCache>
            </c:numRef>
          </c:val>
          <c:extLst>
            <c:ext xmlns:c16="http://schemas.microsoft.com/office/drawing/2014/chart" uri="{C3380CC4-5D6E-409C-BE32-E72D297353CC}">
              <c16:uniqueId val="{00000011-EC56-4C0C-875B-A47C8936754A}"/>
            </c:ext>
          </c:extLst>
        </c:ser>
        <c:ser>
          <c:idx val="9"/>
          <c:order val="9"/>
          <c:tx>
            <c:strRef>
              <c:f>Sheet1!$K$1</c:f>
              <c:strCache>
                <c:ptCount val="1"/>
                <c:pt idx="0">
                  <c:v>T10</c:v>
                </c:pt>
              </c:strCache>
            </c:strRef>
          </c:tx>
          <c:spPr>
            <a:solidFill>
              <a:schemeClr val="accent4">
                <a:lumMod val="60000"/>
              </a:schemeClr>
            </a:solidFill>
            <a:ln>
              <a:noFill/>
            </a:ln>
            <a:effectLst/>
          </c:spPr>
          <c:invertIfNegative val="0"/>
          <c:dLbls>
            <c:dLbl>
              <c:idx val="0"/>
              <c:layout>
                <c:manualLayout>
                  <c:x val="0"/>
                  <c:y val="2.104524728165556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EC56-4C0C-875B-A47C893675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1427.8</c:v>
                </c:pt>
              </c:numCache>
            </c:numRef>
          </c:val>
          <c:extLst>
            <c:ext xmlns:c16="http://schemas.microsoft.com/office/drawing/2014/chart" uri="{C3380CC4-5D6E-409C-BE32-E72D297353CC}">
              <c16:uniqueId val="{00000013-EC56-4C0C-875B-A47C8936754A}"/>
            </c:ext>
          </c:extLst>
        </c:ser>
        <c:dLbls>
          <c:dLblPos val="outEnd"/>
          <c:showLegendKey val="0"/>
          <c:showVal val="1"/>
          <c:showCatName val="0"/>
          <c:showSerName val="0"/>
          <c:showPercent val="0"/>
          <c:showBubbleSize val="0"/>
        </c:dLbls>
        <c:gapWidth val="219"/>
        <c:overlap val="-27"/>
        <c:axId val="812263488"/>
        <c:axId val="821387936"/>
      </c:barChart>
      <c:catAx>
        <c:axId val="812263488"/>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21387936"/>
        <c:crosses val="autoZero"/>
        <c:auto val="1"/>
        <c:lblAlgn val="ctr"/>
        <c:lblOffset val="100"/>
        <c:noMultiLvlLbl val="0"/>
      </c:catAx>
      <c:valAx>
        <c:axId val="821387936"/>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1226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21121419591112"/>
          <c:y val="9.6845706786651692E-2"/>
          <c:w val="0.77234430086242911"/>
          <c:h val="0.72004878112320325"/>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Sheet1!$B$2:$B$9</c:f>
              <c:numCache>
                <c:formatCode>General</c:formatCode>
                <c:ptCount val="8"/>
                <c:pt idx="0">
                  <c:v>15.31</c:v>
                </c:pt>
                <c:pt idx="1">
                  <c:v>21.93</c:v>
                </c:pt>
                <c:pt idx="2">
                  <c:v>25.04</c:v>
                </c:pt>
                <c:pt idx="3">
                  <c:v>34.21</c:v>
                </c:pt>
                <c:pt idx="4">
                  <c:v>40.06</c:v>
                </c:pt>
                <c:pt idx="5">
                  <c:v>45.06</c:v>
                </c:pt>
                <c:pt idx="6">
                  <c:v>45.06</c:v>
                </c:pt>
                <c:pt idx="7">
                  <c:v>45.06</c:v>
                </c:pt>
              </c:numCache>
            </c:numRef>
          </c:val>
          <c:smooth val="0"/>
          <c:extLst>
            <c:ext xmlns:c16="http://schemas.microsoft.com/office/drawing/2014/chart" uri="{C3380CC4-5D6E-409C-BE32-E72D297353CC}">
              <c16:uniqueId val="{00000000-F35A-407B-9A56-D9A3CB90922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Sheet1!$C$2:$C$9</c:f>
              <c:numCache>
                <c:formatCode>General</c:formatCode>
                <c:ptCount val="8"/>
                <c:pt idx="0">
                  <c:v>15.87</c:v>
                </c:pt>
                <c:pt idx="1">
                  <c:v>30.16</c:v>
                </c:pt>
                <c:pt idx="2">
                  <c:v>33.31</c:v>
                </c:pt>
                <c:pt idx="3">
                  <c:v>40.229999999999997</c:v>
                </c:pt>
                <c:pt idx="4">
                  <c:v>46.96</c:v>
                </c:pt>
                <c:pt idx="5">
                  <c:v>50.96</c:v>
                </c:pt>
                <c:pt idx="6">
                  <c:v>50.96</c:v>
                </c:pt>
                <c:pt idx="7">
                  <c:v>50.96</c:v>
                </c:pt>
              </c:numCache>
            </c:numRef>
          </c:val>
          <c:smooth val="0"/>
          <c:extLst>
            <c:ext xmlns:c16="http://schemas.microsoft.com/office/drawing/2014/chart" uri="{C3380CC4-5D6E-409C-BE32-E72D297353CC}">
              <c16:uniqueId val="{00000001-F35A-407B-9A56-D9A3CB90922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Sheet1!$D$2:$D$9</c:f>
              <c:numCache>
                <c:formatCode>General</c:formatCode>
                <c:ptCount val="8"/>
                <c:pt idx="0">
                  <c:v>17.13</c:v>
                </c:pt>
                <c:pt idx="1">
                  <c:v>32.29</c:v>
                </c:pt>
                <c:pt idx="2">
                  <c:v>38.43</c:v>
                </c:pt>
                <c:pt idx="3">
                  <c:v>46.06</c:v>
                </c:pt>
                <c:pt idx="4">
                  <c:v>52.29</c:v>
                </c:pt>
                <c:pt idx="5">
                  <c:v>55.1</c:v>
                </c:pt>
                <c:pt idx="6">
                  <c:v>55.1</c:v>
                </c:pt>
                <c:pt idx="7">
                  <c:v>55.1</c:v>
                </c:pt>
              </c:numCache>
            </c:numRef>
          </c:val>
          <c:smooth val="0"/>
          <c:extLst>
            <c:ext xmlns:c16="http://schemas.microsoft.com/office/drawing/2014/chart" uri="{C3380CC4-5D6E-409C-BE32-E72D297353CC}">
              <c16:uniqueId val="{00000002-F35A-407B-9A56-D9A3CB90922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Sheet1!$E$2:$E$9</c:f>
              <c:numCache>
                <c:formatCode>General</c:formatCode>
                <c:ptCount val="8"/>
                <c:pt idx="0">
                  <c:v>16.37</c:v>
                </c:pt>
                <c:pt idx="1">
                  <c:v>31.02</c:v>
                </c:pt>
                <c:pt idx="2">
                  <c:v>35.65</c:v>
                </c:pt>
                <c:pt idx="3">
                  <c:v>42.66</c:v>
                </c:pt>
                <c:pt idx="4">
                  <c:v>48.58</c:v>
                </c:pt>
                <c:pt idx="5">
                  <c:v>50.71</c:v>
                </c:pt>
                <c:pt idx="6">
                  <c:v>50.71</c:v>
                </c:pt>
                <c:pt idx="7">
                  <c:v>50.71</c:v>
                </c:pt>
              </c:numCache>
            </c:numRef>
          </c:val>
          <c:smooth val="0"/>
          <c:extLst>
            <c:ext xmlns:c16="http://schemas.microsoft.com/office/drawing/2014/chart" uri="{C3380CC4-5D6E-409C-BE32-E72D297353CC}">
              <c16:uniqueId val="{00000003-F35A-407B-9A56-D9A3CB90922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Sheet1!$F$2:$F$9</c:f>
              <c:numCache>
                <c:formatCode>General</c:formatCode>
                <c:ptCount val="8"/>
                <c:pt idx="0">
                  <c:v>15.86</c:v>
                </c:pt>
                <c:pt idx="1">
                  <c:v>22.2</c:v>
                </c:pt>
                <c:pt idx="2">
                  <c:v>27.24</c:v>
                </c:pt>
                <c:pt idx="3">
                  <c:v>34.58</c:v>
                </c:pt>
                <c:pt idx="4">
                  <c:v>42.88</c:v>
                </c:pt>
                <c:pt idx="5">
                  <c:v>47.88</c:v>
                </c:pt>
                <c:pt idx="6">
                  <c:v>47.88</c:v>
                </c:pt>
                <c:pt idx="7">
                  <c:v>47.88</c:v>
                </c:pt>
              </c:numCache>
            </c:numRef>
          </c:val>
          <c:smooth val="0"/>
          <c:extLst>
            <c:ext xmlns:c16="http://schemas.microsoft.com/office/drawing/2014/chart" uri="{C3380CC4-5D6E-409C-BE32-E72D297353CC}">
              <c16:uniqueId val="{00000004-F35A-407B-9A56-D9A3CB90922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Sheet1!$G$2:$G$9</c:f>
              <c:numCache>
                <c:formatCode>General</c:formatCode>
                <c:ptCount val="8"/>
                <c:pt idx="0">
                  <c:v>15.51</c:v>
                </c:pt>
                <c:pt idx="1">
                  <c:v>22.27</c:v>
                </c:pt>
                <c:pt idx="2">
                  <c:v>27.06</c:v>
                </c:pt>
                <c:pt idx="3">
                  <c:v>34.700000000000003</c:v>
                </c:pt>
                <c:pt idx="4">
                  <c:v>42.88</c:v>
                </c:pt>
                <c:pt idx="5">
                  <c:v>47.88</c:v>
                </c:pt>
                <c:pt idx="6">
                  <c:v>47.88</c:v>
                </c:pt>
                <c:pt idx="7">
                  <c:v>47.88</c:v>
                </c:pt>
              </c:numCache>
            </c:numRef>
          </c:val>
          <c:smooth val="0"/>
          <c:extLst>
            <c:ext xmlns:c16="http://schemas.microsoft.com/office/drawing/2014/chart" uri="{C3380CC4-5D6E-409C-BE32-E72D297353CC}">
              <c16:uniqueId val="{00000005-F35A-407B-9A56-D9A3CB90922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Sheet1!$H$2:$H$9</c:f>
              <c:numCache>
                <c:formatCode>General</c:formatCode>
                <c:ptCount val="8"/>
                <c:pt idx="0">
                  <c:v>15.23</c:v>
                </c:pt>
                <c:pt idx="1">
                  <c:v>22.97</c:v>
                </c:pt>
                <c:pt idx="2">
                  <c:v>28.48</c:v>
                </c:pt>
                <c:pt idx="3">
                  <c:v>35.049999999999997</c:v>
                </c:pt>
                <c:pt idx="4">
                  <c:v>43.33</c:v>
                </c:pt>
                <c:pt idx="5">
                  <c:v>48.33</c:v>
                </c:pt>
                <c:pt idx="6">
                  <c:v>48.33</c:v>
                </c:pt>
                <c:pt idx="7">
                  <c:v>48.33</c:v>
                </c:pt>
              </c:numCache>
            </c:numRef>
          </c:val>
          <c:smooth val="0"/>
          <c:extLst>
            <c:ext xmlns:c16="http://schemas.microsoft.com/office/drawing/2014/chart" uri="{C3380CC4-5D6E-409C-BE32-E72D297353CC}">
              <c16:uniqueId val="{00000006-F35A-407B-9A56-D9A3CB90922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Sheet1!$I$2:$I$9</c:f>
              <c:numCache>
                <c:formatCode>General</c:formatCode>
                <c:ptCount val="8"/>
                <c:pt idx="0">
                  <c:v>16.47</c:v>
                </c:pt>
                <c:pt idx="1">
                  <c:v>30.39</c:v>
                </c:pt>
                <c:pt idx="2">
                  <c:v>34.39</c:v>
                </c:pt>
                <c:pt idx="3">
                  <c:v>40.799999999999997</c:v>
                </c:pt>
                <c:pt idx="4">
                  <c:v>46.55</c:v>
                </c:pt>
                <c:pt idx="5">
                  <c:v>51.55</c:v>
                </c:pt>
                <c:pt idx="6">
                  <c:v>51.55</c:v>
                </c:pt>
                <c:pt idx="7">
                  <c:v>51.55</c:v>
                </c:pt>
              </c:numCache>
            </c:numRef>
          </c:val>
          <c:smooth val="0"/>
          <c:extLst>
            <c:ext xmlns:c16="http://schemas.microsoft.com/office/drawing/2014/chart" uri="{C3380CC4-5D6E-409C-BE32-E72D297353CC}">
              <c16:uniqueId val="{00000007-F35A-407B-9A56-D9A3CB90922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Sheet1!$J$2:$J$9</c:f>
              <c:numCache>
                <c:formatCode>General</c:formatCode>
                <c:ptCount val="8"/>
                <c:pt idx="0">
                  <c:v>16.47</c:v>
                </c:pt>
                <c:pt idx="1">
                  <c:v>33.81</c:v>
                </c:pt>
                <c:pt idx="2">
                  <c:v>39.25</c:v>
                </c:pt>
                <c:pt idx="3">
                  <c:v>46.71</c:v>
                </c:pt>
                <c:pt idx="4">
                  <c:v>52.54</c:v>
                </c:pt>
                <c:pt idx="5">
                  <c:v>56.75</c:v>
                </c:pt>
                <c:pt idx="6">
                  <c:v>56.75</c:v>
                </c:pt>
                <c:pt idx="7">
                  <c:v>56.75</c:v>
                </c:pt>
              </c:numCache>
            </c:numRef>
          </c:val>
          <c:smooth val="0"/>
          <c:extLst>
            <c:ext xmlns:c16="http://schemas.microsoft.com/office/drawing/2014/chart" uri="{C3380CC4-5D6E-409C-BE32-E72D297353CC}">
              <c16:uniqueId val="{00000008-F35A-407B-9A56-D9A3CB90922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Sheet1!$A$2:$A$9</c:f>
              <c:numCache>
                <c:formatCode>General</c:formatCode>
                <c:ptCount val="8"/>
                <c:pt idx="0">
                  <c:v>21</c:v>
                </c:pt>
                <c:pt idx="1">
                  <c:v>28</c:v>
                </c:pt>
                <c:pt idx="2">
                  <c:v>35</c:v>
                </c:pt>
                <c:pt idx="3">
                  <c:v>42</c:v>
                </c:pt>
                <c:pt idx="4">
                  <c:v>49</c:v>
                </c:pt>
                <c:pt idx="5">
                  <c:v>56</c:v>
                </c:pt>
                <c:pt idx="6">
                  <c:v>63</c:v>
                </c:pt>
                <c:pt idx="7">
                  <c:v>70</c:v>
                </c:pt>
              </c:numCache>
            </c:numRef>
          </c:cat>
          <c:val>
            <c:numRef>
              <c:f>Sheet1!$K$2:$K$9</c:f>
              <c:numCache>
                <c:formatCode>General</c:formatCode>
                <c:ptCount val="8"/>
                <c:pt idx="0">
                  <c:v>14.86</c:v>
                </c:pt>
                <c:pt idx="1">
                  <c:v>31.35</c:v>
                </c:pt>
                <c:pt idx="2">
                  <c:v>36.58</c:v>
                </c:pt>
                <c:pt idx="3">
                  <c:v>44.31</c:v>
                </c:pt>
                <c:pt idx="4">
                  <c:v>51.1</c:v>
                </c:pt>
                <c:pt idx="5">
                  <c:v>53.58</c:v>
                </c:pt>
                <c:pt idx="6">
                  <c:v>53.58</c:v>
                </c:pt>
                <c:pt idx="7">
                  <c:v>53.58</c:v>
                </c:pt>
              </c:numCache>
            </c:numRef>
          </c:val>
          <c:smooth val="0"/>
          <c:extLst>
            <c:ext xmlns:c16="http://schemas.microsoft.com/office/drawing/2014/chart" uri="{C3380CC4-5D6E-409C-BE32-E72D297353CC}">
              <c16:uniqueId val="{00000009-F35A-407B-9A56-D9A3CB90922F}"/>
            </c:ext>
          </c:extLst>
        </c:ser>
        <c:dLbls>
          <c:showLegendKey val="0"/>
          <c:showVal val="0"/>
          <c:showCatName val="0"/>
          <c:showSerName val="0"/>
          <c:showPercent val="0"/>
          <c:showBubbleSize val="0"/>
        </c:dLbls>
        <c:marker val="1"/>
        <c:smooth val="0"/>
        <c:axId val="1937080303"/>
        <c:axId val="1729322287"/>
      </c:lineChart>
      <c:catAx>
        <c:axId val="1937080303"/>
        <c:scaling>
          <c:orientation val="minMax"/>
        </c:scaling>
        <c:delete val="0"/>
        <c:axPos val="b"/>
        <c:title>
          <c:tx>
            <c:rich>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Days after sowing</a:t>
                </a:r>
              </a:p>
            </c:rich>
          </c:tx>
          <c:layout>
            <c:manualLayout>
              <c:xMode val="edge"/>
              <c:yMode val="edge"/>
              <c:x val="0.38255924245382172"/>
              <c:y val="0.91235632183908044"/>
            </c:manualLayout>
          </c:layout>
          <c:overlay val="0"/>
          <c:spPr>
            <a:noFill/>
            <a:ln>
              <a:noFill/>
            </a:ln>
            <a:effectLst/>
          </c:spPr>
          <c:txPr>
            <a:bodyPr rot="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9322287"/>
        <c:crosses val="autoZero"/>
        <c:auto val="1"/>
        <c:lblAlgn val="ctr"/>
        <c:lblOffset val="100"/>
        <c:noMultiLvlLbl val="0"/>
      </c:catAx>
      <c:valAx>
        <c:axId val="1729322287"/>
        <c:scaling>
          <c:orientation val="minMax"/>
          <c:max val="80"/>
        </c:scaling>
        <c:delete val="0"/>
        <c:axPos val="l"/>
        <c:title>
          <c:tx>
            <c:rich>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cap="none">
                    <a:latin typeface="Arial" panose="020B0604020202020204" pitchFamily="34" charset="0"/>
                    <a:cs typeface="Arial" panose="020B0604020202020204" pitchFamily="34" charset="0"/>
                  </a:rPr>
                  <a:t>Plant height (cm)</a:t>
                </a:r>
              </a:p>
            </c:rich>
          </c:tx>
          <c:layout>
            <c:manualLayout>
              <c:xMode val="edge"/>
              <c:yMode val="edge"/>
              <c:x val="5.7297120354320831E-3"/>
              <c:y val="0.17298963707122816"/>
            </c:manualLayout>
          </c:layout>
          <c:overlay val="0"/>
          <c:spPr>
            <a:noFill/>
            <a:ln>
              <a:noFill/>
            </a:ln>
            <a:effectLst/>
          </c:spPr>
          <c:txPr>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37080303"/>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12421558237696"/>
          <c:y val="0.12698412698412698"/>
          <c:w val="0.66370031720311484"/>
          <c:h val="0.62102446268949474"/>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1.76</c:v>
                </c:pt>
                <c:pt idx="1">
                  <c:v>2.15</c:v>
                </c:pt>
                <c:pt idx="2">
                  <c:v>4.95</c:v>
                </c:pt>
                <c:pt idx="3">
                  <c:v>6.27</c:v>
                </c:pt>
                <c:pt idx="4">
                  <c:v>6.31</c:v>
                </c:pt>
              </c:numCache>
            </c:numRef>
          </c:val>
          <c:smooth val="0"/>
          <c:extLst>
            <c:ext xmlns:c16="http://schemas.microsoft.com/office/drawing/2014/chart" uri="{C3380CC4-5D6E-409C-BE32-E72D297353CC}">
              <c16:uniqueId val="{00000000-B358-44D0-A730-593FAA1A799F}"/>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1.72</c:v>
                </c:pt>
                <c:pt idx="1">
                  <c:v>2.57</c:v>
                </c:pt>
                <c:pt idx="2">
                  <c:v>8.2899999999999991</c:v>
                </c:pt>
                <c:pt idx="3">
                  <c:v>10.73</c:v>
                </c:pt>
                <c:pt idx="4">
                  <c:v>10.78</c:v>
                </c:pt>
              </c:numCache>
            </c:numRef>
          </c:val>
          <c:smooth val="0"/>
          <c:extLst>
            <c:ext xmlns:c16="http://schemas.microsoft.com/office/drawing/2014/chart" uri="{C3380CC4-5D6E-409C-BE32-E72D297353CC}">
              <c16:uniqueId val="{00000001-B358-44D0-A730-593FAA1A799F}"/>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1.75</c:v>
                </c:pt>
                <c:pt idx="1">
                  <c:v>3.07</c:v>
                </c:pt>
                <c:pt idx="2">
                  <c:v>7.63</c:v>
                </c:pt>
                <c:pt idx="3">
                  <c:v>11.87</c:v>
                </c:pt>
                <c:pt idx="4">
                  <c:v>11.93</c:v>
                </c:pt>
              </c:numCache>
            </c:numRef>
          </c:val>
          <c:smooth val="0"/>
          <c:extLst>
            <c:ext xmlns:c16="http://schemas.microsoft.com/office/drawing/2014/chart" uri="{C3380CC4-5D6E-409C-BE32-E72D297353CC}">
              <c16:uniqueId val="{00000002-B358-44D0-A730-593FAA1A799F}"/>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1.86</c:v>
                </c:pt>
                <c:pt idx="1">
                  <c:v>2.34</c:v>
                </c:pt>
                <c:pt idx="2">
                  <c:v>8.18</c:v>
                </c:pt>
                <c:pt idx="3">
                  <c:v>13.42</c:v>
                </c:pt>
                <c:pt idx="4">
                  <c:v>13.52</c:v>
                </c:pt>
              </c:numCache>
            </c:numRef>
          </c:val>
          <c:smooth val="0"/>
          <c:extLst>
            <c:ext xmlns:c16="http://schemas.microsoft.com/office/drawing/2014/chart" uri="{C3380CC4-5D6E-409C-BE32-E72D297353CC}">
              <c16:uniqueId val="{00000003-B358-44D0-A730-593FAA1A799F}"/>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1.86</c:v>
                </c:pt>
                <c:pt idx="1">
                  <c:v>2.84</c:v>
                </c:pt>
                <c:pt idx="2">
                  <c:v>8.73</c:v>
                </c:pt>
                <c:pt idx="3">
                  <c:v>10.67</c:v>
                </c:pt>
                <c:pt idx="4">
                  <c:v>10.72</c:v>
                </c:pt>
              </c:numCache>
            </c:numRef>
          </c:val>
          <c:smooth val="0"/>
          <c:extLst>
            <c:ext xmlns:c16="http://schemas.microsoft.com/office/drawing/2014/chart" uri="{C3380CC4-5D6E-409C-BE32-E72D297353CC}">
              <c16:uniqueId val="{00000004-B358-44D0-A730-593FAA1A799F}"/>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1.43</c:v>
                </c:pt>
                <c:pt idx="1">
                  <c:v>4.33</c:v>
                </c:pt>
                <c:pt idx="2">
                  <c:v>11.04</c:v>
                </c:pt>
                <c:pt idx="3">
                  <c:v>16.649999999999999</c:v>
                </c:pt>
                <c:pt idx="4">
                  <c:v>16.739999999999998</c:v>
                </c:pt>
              </c:numCache>
            </c:numRef>
          </c:val>
          <c:smooth val="0"/>
          <c:extLst>
            <c:ext xmlns:c16="http://schemas.microsoft.com/office/drawing/2014/chart" uri="{C3380CC4-5D6E-409C-BE32-E72D297353CC}">
              <c16:uniqueId val="{00000005-B358-44D0-A730-593FAA1A799F}"/>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1.76</c:v>
                </c:pt>
                <c:pt idx="1">
                  <c:v>3.14</c:v>
                </c:pt>
                <c:pt idx="2">
                  <c:v>8.5299999999999994</c:v>
                </c:pt>
                <c:pt idx="3">
                  <c:v>12.18</c:v>
                </c:pt>
                <c:pt idx="4">
                  <c:v>12.25</c:v>
                </c:pt>
              </c:numCache>
            </c:numRef>
          </c:val>
          <c:smooth val="0"/>
          <c:extLst>
            <c:ext xmlns:c16="http://schemas.microsoft.com/office/drawing/2014/chart" uri="{C3380CC4-5D6E-409C-BE32-E72D297353CC}">
              <c16:uniqueId val="{00000006-B358-44D0-A730-593FAA1A799F}"/>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1.59</c:v>
                </c:pt>
                <c:pt idx="1">
                  <c:v>2.58</c:v>
                </c:pt>
                <c:pt idx="2">
                  <c:v>8.82</c:v>
                </c:pt>
                <c:pt idx="3">
                  <c:v>14.58</c:v>
                </c:pt>
                <c:pt idx="4">
                  <c:v>14.66</c:v>
                </c:pt>
              </c:numCache>
            </c:numRef>
          </c:val>
          <c:smooth val="0"/>
          <c:extLst>
            <c:ext xmlns:c16="http://schemas.microsoft.com/office/drawing/2014/chart" uri="{C3380CC4-5D6E-409C-BE32-E72D297353CC}">
              <c16:uniqueId val="{00000007-B358-44D0-A730-593FAA1A799F}"/>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0.91</c:v>
                </c:pt>
                <c:pt idx="1">
                  <c:v>3.82</c:v>
                </c:pt>
                <c:pt idx="2">
                  <c:v>11.94</c:v>
                </c:pt>
                <c:pt idx="3">
                  <c:v>18.53</c:v>
                </c:pt>
                <c:pt idx="4">
                  <c:v>18.670000000000002</c:v>
                </c:pt>
              </c:numCache>
            </c:numRef>
          </c:val>
          <c:smooth val="0"/>
          <c:extLst>
            <c:ext xmlns:c16="http://schemas.microsoft.com/office/drawing/2014/chart" uri="{C3380CC4-5D6E-409C-BE32-E72D297353CC}">
              <c16:uniqueId val="{00000008-B358-44D0-A730-593FAA1A799F}"/>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1.58</c:v>
                </c:pt>
                <c:pt idx="1">
                  <c:v>2.41</c:v>
                </c:pt>
                <c:pt idx="2">
                  <c:v>5.84</c:v>
                </c:pt>
                <c:pt idx="3">
                  <c:v>8.59</c:v>
                </c:pt>
                <c:pt idx="4">
                  <c:v>8.67</c:v>
                </c:pt>
              </c:numCache>
            </c:numRef>
          </c:val>
          <c:smooth val="0"/>
          <c:extLst>
            <c:ext xmlns:c16="http://schemas.microsoft.com/office/drawing/2014/chart" uri="{C3380CC4-5D6E-409C-BE32-E72D297353CC}">
              <c16:uniqueId val="{00000009-B358-44D0-A730-593FAA1A799F}"/>
            </c:ext>
          </c:extLst>
        </c:ser>
        <c:dLbls>
          <c:showLegendKey val="0"/>
          <c:showVal val="0"/>
          <c:showCatName val="0"/>
          <c:showSerName val="0"/>
          <c:showPercent val="0"/>
          <c:showBubbleSize val="0"/>
        </c:dLbls>
        <c:marker val="1"/>
        <c:smooth val="0"/>
        <c:axId val="561775263"/>
        <c:axId val="562821631"/>
      </c:lineChart>
      <c:catAx>
        <c:axId val="561775263"/>
        <c:scaling>
          <c:orientation val="minMax"/>
        </c:scaling>
        <c:delete val="0"/>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562821631"/>
        <c:crosses val="autoZero"/>
        <c:auto val="1"/>
        <c:lblAlgn val="ctr"/>
        <c:lblOffset val="100"/>
        <c:noMultiLvlLbl val="0"/>
      </c:catAx>
      <c:valAx>
        <c:axId val="562821631"/>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1775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40932261027482"/>
          <c:y val="0.13657449359216087"/>
          <c:w val="0.61061975445411254"/>
          <c:h val="0.61433307255463687"/>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0.85</c:v>
                </c:pt>
                <c:pt idx="1">
                  <c:v>1.57</c:v>
                </c:pt>
                <c:pt idx="2">
                  <c:v>3.15</c:v>
                </c:pt>
                <c:pt idx="3">
                  <c:v>4.46</c:v>
                </c:pt>
                <c:pt idx="4">
                  <c:v>4.82</c:v>
                </c:pt>
              </c:numCache>
            </c:numRef>
          </c:val>
          <c:smooth val="0"/>
          <c:extLst>
            <c:ext xmlns:c16="http://schemas.microsoft.com/office/drawing/2014/chart" uri="{C3380CC4-5D6E-409C-BE32-E72D297353CC}">
              <c16:uniqueId val="{00000000-2900-44C9-A2DE-B1D7A0B3636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1.59</c:v>
                </c:pt>
                <c:pt idx="1">
                  <c:v>3.34</c:v>
                </c:pt>
                <c:pt idx="2">
                  <c:v>7.32</c:v>
                </c:pt>
                <c:pt idx="3">
                  <c:v>10.25</c:v>
                </c:pt>
                <c:pt idx="4">
                  <c:v>11.27</c:v>
                </c:pt>
              </c:numCache>
            </c:numRef>
          </c:val>
          <c:smooth val="0"/>
          <c:extLst>
            <c:ext xmlns:c16="http://schemas.microsoft.com/office/drawing/2014/chart" uri="{C3380CC4-5D6E-409C-BE32-E72D297353CC}">
              <c16:uniqueId val="{00000001-2900-44C9-A2DE-B1D7A0B3636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1.91</c:v>
                </c:pt>
                <c:pt idx="1">
                  <c:v>3.82</c:v>
                </c:pt>
                <c:pt idx="2">
                  <c:v>6.99</c:v>
                </c:pt>
                <c:pt idx="3">
                  <c:v>9.7799999999999994</c:v>
                </c:pt>
                <c:pt idx="4">
                  <c:v>10.76</c:v>
                </c:pt>
              </c:numCache>
            </c:numRef>
          </c:val>
          <c:smooth val="0"/>
          <c:extLst>
            <c:ext xmlns:c16="http://schemas.microsoft.com/office/drawing/2014/chart" uri="{C3380CC4-5D6E-409C-BE32-E72D297353CC}">
              <c16:uniqueId val="{00000002-2900-44C9-A2DE-B1D7A0B3636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1.73</c:v>
                </c:pt>
                <c:pt idx="1">
                  <c:v>3.01</c:v>
                </c:pt>
                <c:pt idx="2">
                  <c:v>7.45</c:v>
                </c:pt>
                <c:pt idx="3">
                  <c:v>10.97</c:v>
                </c:pt>
                <c:pt idx="4">
                  <c:v>11.65</c:v>
                </c:pt>
              </c:numCache>
            </c:numRef>
          </c:val>
          <c:smooth val="0"/>
          <c:extLst>
            <c:ext xmlns:c16="http://schemas.microsoft.com/office/drawing/2014/chart" uri="{C3380CC4-5D6E-409C-BE32-E72D297353CC}">
              <c16:uniqueId val="{00000003-2900-44C9-A2DE-B1D7A0B3636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1.53</c:v>
                </c:pt>
                <c:pt idx="1">
                  <c:v>3.38</c:v>
                </c:pt>
                <c:pt idx="2">
                  <c:v>6.65</c:v>
                </c:pt>
                <c:pt idx="3">
                  <c:v>9.31</c:v>
                </c:pt>
                <c:pt idx="4">
                  <c:v>10.25</c:v>
                </c:pt>
              </c:numCache>
            </c:numRef>
          </c:val>
          <c:smooth val="0"/>
          <c:extLst>
            <c:ext xmlns:c16="http://schemas.microsoft.com/office/drawing/2014/chart" uri="{C3380CC4-5D6E-409C-BE32-E72D297353CC}">
              <c16:uniqueId val="{00000004-2900-44C9-A2DE-B1D7A0B3636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1.8</c:v>
                </c:pt>
                <c:pt idx="1">
                  <c:v>3.57</c:v>
                </c:pt>
                <c:pt idx="2">
                  <c:v>7.92</c:v>
                </c:pt>
                <c:pt idx="3">
                  <c:v>11.08</c:v>
                </c:pt>
                <c:pt idx="4">
                  <c:v>12.19</c:v>
                </c:pt>
              </c:numCache>
            </c:numRef>
          </c:val>
          <c:smooth val="0"/>
          <c:extLst>
            <c:ext xmlns:c16="http://schemas.microsoft.com/office/drawing/2014/chart" uri="{C3380CC4-5D6E-409C-BE32-E72D297353CC}">
              <c16:uniqueId val="{00000005-2900-44C9-A2DE-B1D7A0B3636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1.63</c:v>
                </c:pt>
                <c:pt idx="1">
                  <c:v>3.37</c:v>
                </c:pt>
                <c:pt idx="2">
                  <c:v>7.65</c:v>
                </c:pt>
                <c:pt idx="3">
                  <c:v>10.72</c:v>
                </c:pt>
                <c:pt idx="4">
                  <c:v>11.65</c:v>
                </c:pt>
              </c:numCache>
            </c:numRef>
          </c:val>
          <c:smooth val="0"/>
          <c:extLst>
            <c:ext xmlns:c16="http://schemas.microsoft.com/office/drawing/2014/chart" uri="{C3380CC4-5D6E-409C-BE32-E72D297353CC}">
              <c16:uniqueId val="{00000006-2900-44C9-A2DE-B1D7A0B3636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1.67</c:v>
                </c:pt>
                <c:pt idx="1">
                  <c:v>2.75</c:v>
                </c:pt>
                <c:pt idx="2">
                  <c:v>6.97</c:v>
                </c:pt>
                <c:pt idx="3">
                  <c:v>9.9600000000000009</c:v>
                </c:pt>
                <c:pt idx="4">
                  <c:v>10.79</c:v>
                </c:pt>
              </c:numCache>
            </c:numRef>
          </c:val>
          <c:smooth val="0"/>
          <c:extLst>
            <c:ext xmlns:c16="http://schemas.microsoft.com/office/drawing/2014/chart" uri="{C3380CC4-5D6E-409C-BE32-E72D297353CC}">
              <c16:uniqueId val="{00000007-2900-44C9-A2DE-B1D7A0B3636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1.1000000000000001</c:v>
                </c:pt>
                <c:pt idx="1">
                  <c:v>3.37</c:v>
                </c:pt>
                <c:pt idx="2">
                  <c:v>8.6199999999999992</c:v>
                </c:pt>
                <c:pt idx="3">
                  <c:v>12.6</c:v>
                </c:pt>
                <c:pt idx="4">
                  <c:v>13.83</c:v>
                </c:pt>
              </c:numCache>
            </c:numRef>
          </c:val>
          <c:smooth val="0"/>
          <c:extLst>
            <c:ext xmlns:c16="http://schemas.microsoft.com/office/drawing/2014/chart" uri="{C3380CC4-5D6E-409C-BE32-E72D297353CC}">
              <c16:uniqueId val="{00000008-2900-44C9-A2DE-B1D7A0B3636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1.7</c:v>
                </c:pt>
                <c:pt idx="1">
                  <c:v>3.59</c:v>
                </c:pt>
                <c:pt idx="2">
                  <c:v>6.74</c:v>
                </c:pt>
                <c:pt idx="3">
                  <c:v>9.09</c:v>
                </c:pt>
                <c:pt idx="4">
                  <c:v>10.09</c:v>
                </c:pt>
              </c:numCache>
            </c:numRef>
          </c:val>
          <c:smooth val="0"/>
          <c:extLst>
            <c:ext xmlns:c16="http://schemas.microsoft.com/office/drawing/2014/chart" uri="{C3380CC4-5D6E-409C-BE32-E72D297353CC}">
              <c16:uniqueId val="{00000009-2900-44C9-A2DE-B1D7A0B36362}"/>
            </c:ext>
          </c:extLst>
        </c:ser>
        <c:dLbls>
          <c:showLegendKey val="0"/>
          <c:showVal val="0"/>
          <c:showCatName val="0"/>
          <c:showSerName val="0"/>
          <c:showPercent val="0"/>
          <c:showBubbleSize val="0"/>
        </c:dLbls>
        <c:marker val="1"/>
        <c:smooth val="0"/>
        <c:axId val="676324863"/>
        <c:axId val="671368415"/>
      </c:lineChart>
      <c:catAx>
        <c:axId val="676324863"/>
        <c:scaling>
          <c:orientation val="minMax"/>
        </c:scaling>
        <c:delete val="0"/>
        <c:axPos val="b"/>
        <c:numFmt formatCode="General" sourceLinked="1"/>
        <c:majorTickMark val="none"/>
        <c:minorTickMark val="out"/>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671368415"/>
        <c:crosses val="autoZero"/>
        <c:auto val="1"/>
        <c:lblAlgn val="ctr"/>
        <c:lblOffset val="100"/>
        <c:noMultiLvlLbl val="0"/>
      </c:catAx>
      <c:valAx>
        <c:axId val="671368415"/>
        <c:scaling>
          <c:orientation val="minMax"/>
          <c:max val="20"/>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76324863"/>
        <c:crosses val="autoZero"/>
        <c:crossBetween val="between"/>
      </c:valAx>
      <c:spPr>
        <a:noFill/>
        <a:ln>
          <a:noFill/>
        </a:ln>
        <a:effectLst/>
      </c:spPr>
    </c:plotArea>
    <c:legend>
      <c:legendPos val="r"/>
      <c:layout>
        <c:manualLayout>
          <c:xMode val="edge"/>
          <c:yMode val="edge"/>
          <c:x val="0.78849047475476963"/>
          <c:y val="2.063678780681364E-2"/>
          <c:w val="0.20705716549456252"/>
          <c:h val="0.722843650976794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2585628854894"/>
          <c:y val="0.19466532656619615"/>
          <c:w val="0.57020905235391217"/>
          <c:h val="0.51838121786257685"/>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0.44</c:v>
                </c:pt>
                <c:pt idx="1">
                  <c:v>1.1399999999999999</c:v>
                </c:pt>
                <c:pt idx="2">
                  <c:v>2.2000000000000002</c:v>
                </c:pt>
                <c:pt idx="3">
                  <c:v>0.88</c:v>
                </c:pt>
                <c:pt idx="4">
                  <c:v>0.31</c:v>
                </c:pt>
              </c:numCache>
            </c:numRef>
          </c:val>
          <c:smooth val="0"/>
          <c:extLst>
            <c:ext xmlns:c16="http://schemas.microsoft.com/office/drawing/2014/chart" uri="{C3380CC4-5D6E-409C-BE32-E72D297353CC}">
              <c16:uniqueId val="{00000000-B29D-4C2A-8642-87182C5EEC52}"/>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0.62</c:v>
                </c:pt>
                <c:pt idx="1">
                  <c:v>1.46</c:v>
                </c:pt>
                <c:pt idx="2">
                  <c:v>3.11</c:v>
                </c:pt>
                <c:pt idx="3">
                  <c:v>1.36</c:v>
                </c:pt>
                <c:pt idx="4">
                  <c:v>0.52</c:v>
                </c:pt>
              </c:numCache>
            </c:numRef>
          </c:val>
          <c:smooth val="0"/>
          <c:extLst>
            <c:ext xmlns:c16="http://schemas.microsoft.com/office/drawing/2014/chart" uri="{C3380CC4-5D6E-409C-BE32-E72D297353CC}">
              <c16:uniqueId val="{00000001-B29D-4C2A-8642-87182C5EEC52}"/>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0.68</c:v>
                </c:pt>
                <c:pt idx="1">
                  <c:v>2.23</c:v>
                </c:pt>
                <c:pt idx="2">
                  <c:v>4.2699999999999996</c:v>
                </c:pt>
                <c:pt idx="3">
                  <c:v>1.57</c:v>
                </c:pt>
                <c:pt idx="4">
                  <c:v>0.67</c:v>
                </c:pt>
              </c:numCache>
            </c:numRef>
          </c:val>
          <c:smooth val="0"/>
          <c:extLst>
            <c:ext xmlns:c16="http://schemas.microsoft.com/office/drawing/2014/chart" uri="{C3380CC4-5D6E-409C-BE32-E72D297353CC}">
              <c16:uniqueId val="{00000002-B29D-4C2A-8642-87182C5EEC52}"/>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0.62</c:v>
                </c:pt>
                <c:pt idx="1">
                  <c:v>1.78</c:v>
                </c:pt>
                <c:pt idx="2">
                  <c:v>4.08</c:v>
                </c:pt>
                <c:pt idx="3">
                  <c:v>1.56</c:v>
                </c:pt>
                <c:pt idx="4">
                  <c:v>0.66</c:v>
                </c:pt>
              </c:numCache>
            </c:numRef>
          </c:val>
          <c:smooth val="0"/>
          <c:extLst>
            <c:ext xmlns:c16="http://schemas.microsoft.com/office/drawing/2014/chart" uri="{C3380CC4-5D6E-409C-BE32-E72D297353CC}">
              <c16:uniqueId val="{00000003-B29D-4C2A-8642-87182C5EEC52}"/>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c:v>
                </c:pt>
                <c:pt idx="1">
                  <c:v>1.83</c:v>
                </c:pt>
                <c:pt idx="2">
                  <c:v>3.94</c:v>
                </c:pt>
                <c:pt idx="3">
                  <c:v>1.57</c:v>
                </c:pt>
                <c:pt idx="4">
                  <c:v>0.6</c:v>
                </c:pt>
              </c:numCache>
            </c:numRef>
          </c:val>
          <c:smooth val="0"/>
          <c:extLst>
            <c:ext xmlns:c16="http://schemas.microsoft.com/office/drawing/2014/chart" uri="{C3380CC4-5D6E-409C-BE32-E72D297353CC}">
              <c16:uniqueId val="{00000004-B29D-4C2A-8642-87182C5EEC52}"/>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0.69</c:v>
                </c:pt>
                <c:pt idx="1">
                  <c:v>2.36</c:v>
                </c:pt>
                <c:pt idx="2">
                  <c:v>4.32</c:v>
                </c:pt>
                <c:pt idx="3">
                  <c:v>1.57</c:v>
                </c:pt>
                <c:pt idx="4">
                  <c:v>0.68</c:v>
                </c:pt>
              </c:numCache>
            </c:numRef>
          </c:val>
          <c:smooth val="0"/>
          <c:extLst>
            <c:ext xmlns:c16="http://schemas.microsoft.com/office/drawing/2014/chart" uri="{C3380CC4-5D6E-409C-BE32-E72D297353CC}">
              <c16:uniqueId val="{00000005-B29D-4C2A-8642-87182C5EEC52}"/>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c:v>
                </c:pt>
                <c:pt idx="1">
                  <c:v>1.77</c:v>
                </c:pt>
                <c:pt idx="2">
                  <c:v>4</c:v>
                </c:pt>
                <c:pt idx="3">
                  <c:v>1.33</c:v>
                </c:pt>
                <c:pt idx="4">
                  <c:v>0.52</c:v>
                </c:pt>
              </c:numCache>
            </c:numRef>
          </c:val>
          <c:smooth val="0"/>
          <c:extLst>
            <c:ext xmlns:c16="http://schemas.microsoft.com/office/drawing/2014/chart" uri="{C3380CC4-5D6E-409C-BE32-E72D297353CC}">
              <c16:uniqueId val="{00000006-B29D-4C2A-8642-87182C5EEC52}"/>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General</c:formatCode>
                <c:ptCount val="5"/>
                <c:pt idx="0">
                  <c:v>0.64</c:v>
                </c:pt>
                <c:pt idx="1">
                  <c:v>1.86</c:v>
                </c:pt>
                <c:pt idx="2">
                  <c:v>3.85</c:v>
                </c:pt>
                <c:pt idx="3">
                  <c:v>1.51</c:v>
                </c:pt>
                <c:pt idx="4">
                  <c:v>0.59</c:v>
                </c:pt>
              </c:numCache>
            </c:numRef>
          </c:val>
          <c:smooth val="0"/>
          <c:extLst>
            <c:ext xmlns:c16="http://schemas.microsoft.com/office/drawing/2014/chart" uri="{C3380CC4-5D6E-409C-BE32-E72D297353CC}">
              <c16:uniqueId val="{00000007-B29D-4C2A-8642-87182C5EEC52}"/>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General</c:formatCode>
                <c:ptCount val="5"/>
                <c:pt idx="0">
                  <c:v>0.75</c:v>
                </c:pt>
                <c:pt idx="1">
                  <c:v>2.5499999999999998</c:v>
                </c:pt>
                <c:pt idx="2">
                  <c:v>4.68</c:v>
                </c:pt>
                <c:pt idx="3">
                  <c:v>2.38</c:v>
                </c:pt>
                <c:pt idx="4">
                  <c:v>1.02</c:v>
                </c:pt>
              </c:numCache>
            </c:numRef>
          </c:val>
          <c:smooth val="0"/>
          <c:extLst>
            <c:ext xmlns:c16="http://schemas.microsoft.com/office/drawing/2014/chart" uri="{C3380CC4-5D6E-409C-BE32-E72D297353CC}">
              <c16:uniqueId val="{00000008-B29D-4C2A-8642-87182C5EEC52}"/>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General</c:formatCode>
                <c:ptCount val="5"/>
                <c:pt idx="0">
                  <c:v>0.63</c:v>
                </c:pt>
                <c:pt idx="1">
                  <c:v>1.67</c:v>
                </c:pt>
                <c:pt idx="2">
                  <c:v>3.74</c:v>
                </c:pt>
                <c:pt idx="3">
                  <c:v>1.48</c:v>
                </c:pt>
                <c:pt idx="4">
                  <c:v>0.65</c:v>
                </c:pt>
              </c:numCache>
            </c:numRef>
          </c:val>
          <c:smooth val="0"/>
          <c:extLst>
            <c:ext xmlns:c16="http://schemas.microsoft.com/office/drawing/2014/chart" uri="{C3380CC4-5D6E-409C-BE32-E72D297353CC}">
              <c16:uniqueId val="{00000009-B29D-4C2A-8642-87182C5EEC52}"/>
            </c:ext>
          </c:extLst>
        </c:ser>
        <c:dLbls>
          <c:showLegendKey val="0"/>
          <c:showVal val="0"/>
          <c:showCatName val="0"/>
          <c:showSerName val="0"/>
          <c:showPercent val="0"/>
          <c:showBubbleSize val="0"/>
        </c:dLbls>
        <c:marker val="1"/>
        <c:smooth val="0"/>
        <c:axId val="521367504"/>
        <c:axId val="559451168"/>
      </c:lineChart>
      <c:catAx>
        <c:axId val="52136750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59451168"/>
        <c:crosses val="autoZero"/>
        <c:auto val="1"/>
        <c:lblAlgn val="ctr"/>
        <c:lblOffset val="100"/>
        <c:noMultiLvlLbl val="0"/>
      </c:catAx>
      <c:valAx>
        <c:axId val="559451168"/>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367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1894502404852"/>
          <c:y val="0.16786035560787624"/>
          <c:w val="0.60283567237144509"/>
          <c:h val="0.53168862483782042"/>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Sheet1!$A$2:$A$6</c:f>
              <c:numCache>
                <c:formatCode>General</c:formatCode>
                <c:ptCount val="5"/>
                <c:pt idx="0">
                  <c:v>30</c:v>
                </c:pt>
                <c:pt idx="1">
                  <c:v>40</c:v>
                </c:pt>
                <c:pt idx="2">
                  <c:v>50</c:v>
                </c:pt>
                <c:pt idx="3">
                  <c:v>60</c:v>
                </c:pt>
                <c:pt idx="4">
                  <c:v>70</c:v>
                </c:pt>
              </c:numCache>
            </c:numRef>
          </c:cat>
          <c:val>
            <c:numRef>
              <c:f>Sheet1!$B$2:$B$6</c:f>
              <c:numCache>
                <c:formatCode>General</c:formatCode>
                <c:ptCount val="5"/>
                <c:pt idx="0">
                  <c:v>0.32</c:v>
                </c:pt>
                <c:pt idx="1">
                  <c:v>0.51</c:v>
                </c:pt>
                <c:pt idx="2">
                  <c:v>1.02</c:v>
                </c:pt>
                <c:pt idx="3">
                  <c:v>0.5</c:v>
                </c:pt>
                <c:pt idx="4">
                  <c:v>0.22</c:v>
                </c:pt>
              </c:numCache>
            </c:numRef>
          </c:val>
          <c:smooth val="0"/>
          <c:extLst>
            <c:ext xmlns:c16="http://schemas.microsoft.com/office/drawing/2014/chart" uri="{C3380CC4-5D6E-409C-BE32-E72D297353CC}">
              <c16:uniqueId val="{00000000-E2FC-4D25-807C-EB2CD1BBDB4E}"/>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Sheet1!$A$2:$A$6</c:f>
              <c:numCache>
                <c:formatCode>General</c:formatCode>
                <c:ptCount val="5"/>
                <c:pt idx="0">
                  <c:v>30</c:v>
                </c:pt>
                <c:pt idx="1">
                  <c:v>40</c:v>
                </c:pt>
                <c:pt idx="2">
                  <c:v>50</c:v>
                </c:pt>
                <c:pt idx="3">
                  <c:v>60</c:v>
                </c:pt>
                <c:pt idx="4">
                  <c:v>70</c:v>
                </c:pt>
              </c:numCache>
            </c:numRef>
          </c:cat>
          <c:val>
            <c:numRef>
              <c:f>Sheet1!$C$2:$C$6</c:f>
              <c:numCache>
                <c:formatCode>General</c:formatCode>
                <c:ptCount val="5"/>
                <c:pt idx="0">
                  <c:v>0.69</c:v>
                </c:pt>
                <c:pt idx="1">
                  <c:v>1.27</c:v>
                </c:pt>
                <c:pt idx="2">
                  <c:v>1.72</c:v>
                </c:pt>
                <c:pt idx="3">
                  <c:v>1.44</c:v>
                </c:pt>
                <c:pt idx="4">
                  <c:v>0.59</c:v>
                </c:pt>
              </c:numCache>
            </c:numRef>
          </c:val>
          <c:smooth val="0"/>
          <c:extLst>
            <c:ext xmlns:c16="http://schemas.microsoft.com/office/drawing/2014/chart" uri="{C3380CC4-5D6E-409C-BE32-E72D297353CC}">
              <c16:uniqueId val="{00000001-E2FC-4D25-807C-EB2CD1BBDB4E}"/>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Sheet1!$A$2:$A$6</c:f>
              <c:numCache>
                <c:formatCode>General</c:formatCode>
                <c:ptCount val="5"/>
                <c:pt idx="0">
                  <c:v>30</c:v>
                </c:pt>
                <c:pt idx="1">
                  <c:v>40</c:v>
                </c:pt>
                <c:pt idx="2">
                  <c:v>50</c:v>
                </c:pt>
                <c:pt idx="3">
                  <c:v>60</c:v>
                </c:pt>
                <c:pt idx="4">
                  <c:v>70</c:v>
                </c:pt>
              </c:numCache>
            </c:numRef>
          </c:cat>
          <c:val>
            <c:numRef>
              <c:f>Sheet1!$D$2:$D$6</c:f>
              <c:numCache>
                <c:formatCode>General</c:formatCode>
                <c:ptCount val="5"/>
                <c:pt idx="0">
                  <c:v>0.62</c:v>
                </c:pt>
                <c:pt idx="1">
                  <c:v>1.08</c:v>
                </c:pt>
                <c:pt idx="2">
                  <c:v>1.59</c:v>
                </c:pt>
                <c:pt idx="3">
                  <c:v>1.3</c:v>
                </c:pt>
                <c:pt idx="4">
                  <c:v>0.67</c:v>
                </c:pt>
              </c:numCache>
            </c:numRef>
          </c:val>
          <c:smooth val="0"/>
          <c:extLst>
            <c:ext xmlns:c16="http://schemas.microsoft.com/office/drawing/2014/chart" uri="{C3380CC4-5D6E-409C-BE32-E72D297353CC}">
              <c16:uniqueId val="{00000002-E2FC-4D25-807C-EB2CD1BBDB4E}"/>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Sheet1!$A$2:$A$6</c:f>
              <c:numCache>
                <c:formatCode>General</c:formatCode>
                <c:ptCount val="5"/>
                <c:pt idx="0">
                  <c:v>30</c:v>
                </c:pt>
                <c:pt idx="1">
                  <c:v>40</c:v>
                </c:pt>
                <c:pt idx="2">
                  <c:v>50</c:v>
                </c:pt>
                <c:pt idx="3">
                  <c:v>60</c:v>
                </c:pt>
                <c:pt idx="4">
                  <c:v>70</c:v>
                </c:pt>
              </c:numCache>
            </c:numRef>
          </c:cat>
          <c:val>
            <c:numRef>
              <c:f>Sheet1!$E$2:$E$6</c:f>
              <c:numCache>
                <c:formatCode>General</c:formatCode>
                <c:ptCount val="5"/>
                <c:pt idx="0">
                  <c:v>0.65</c:v>
                </c:pt>
                <c:pt idx="1">
                  <c:v>1.29</c:v>
                </c:pt>
                <c:pt idx="2">
                  <c:v>1.7</c:v>
                </c:pt>
                <c:pt idx="3">
                  <c:v>1.32</c:v>
                </c:pt>
                <c:pt idx="4">
                  <c:v>0.52</c:v>
                </c:pt>
              </c:numCache>
            </c:numRef>
          </c:val>
          <c:smooth val="0"/>
          <c:extLst>
            <c:ext xmlns:c16="http://schemas.microsoft.com/office/drawing/2014/chart" uri="{C3380CC4-5D6E-409C-BE32-E72D297353CC}">
              <c16:uniqueId val="{00000003-E2FC-4D25-807C-EB2CD1BBDB4E}"/>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Sheet1!$A$2:$A$6</c:f>
              <c:numCache>
                <c:formatCode>General</c:formatCode>
                <c:ptCount val="5"/>
                <c:pt idx="0">
                  <c:v>30</c:v>
                </c:pt>
                <c:pt idx="1">
                  <c:v>40</c:v>
                </c:pt>
                <c:pt idx="2">
                  <c:v>50</c:v>
                </c:pt>
                <c:pt idx="3">
                  <c:v>60</c:v>
                </c:pt>
                <c:pt idx="4">
                  <c:v>70</c:v>
                </c:pt>
              </c:numCache>
            </c:numRef>
          </c:cat>
          <c:val>
            <c:numRef>
              <c:f>Sheet1!$F$2:$F$6</c:f>
              <c:numCache>
                <c:formatCode>General</c:formatCode>
                <c:ptCount val="5"/>
                <c:pt idx="0">
                  <c:v>0.6</c:v>
                </c:pt>
                <c:pt idx="1">
                  <c:v>1.27</c:v>
                </c:pt>
                <c:pt idx="2">
                  <c:v>1.55</c:v>
                </c:pt>
                <c:pt idx="3">
                  <c:v>1.1200000000000001</c:v>
                </c:pt>
                <c:pt idx="4">
                  <c:v>0.48</c:v>
                </c:pt>
              </c:numCache>
            </c:numRef>
          </c:val>
          <c:smooth val="0"/>
          <c:extLst>
            <c:ext xmlns:c16="http://schemas.microsoft.com/office/drawing/2014/chart" uri="{C3380CC4-5D6E-409C-BE32-E72D297353CC}">
              <c16:uniqueId val="{00000004-E2FC-4D25-807C-EB2CD1BBDB4E}"/>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Sheet1!$A$2:$A$6</c:f>
              <c:numCache>
                <c:formatCode>General</c:formatCode>
                <c:ptCount val="5"/>
                <c:pt idx="0">
                  <c:v>30</c:v>
                </c:pt>
                <c:pt idx="1">
                  <c:v>40</c:v>
                </c:pt>
                <c:pt idx="2">
                  <c:v>50</c:v>
                </c:pt>
                <c:pt idx="3">
                  <c:v>60</c:v>
                </c:pt>
                <c:pt idx="4">
                  <c:v>70</c:v>
                </c:pt>
              </c:numCache>
            </c:numRef>
          </c:cat>
          <c:val>
            <c:numRef>
              <c:f>Sheet1!$G$2:$G$6</c:f>
              <c:numCache>
                <c:formatCode>General</c:formatCode>
                <c:ptCount val="5"/>
                <c:pt idx="0">
                  <c:v>0.71</c:v>
                </c:pt>
                <c:pt idx="1">
                  <c:v>1.39</c:v>
                </c:pt>
                <c:pt idx="2">
                  <c:v>1.86</c:v>
                </c:pt>
                <c:pt idx="3">
                  <c:v>1.5</c:v>
                </c:pt>
                <c:pt idx="4">
                  <c:v>0.74</c:v>
                </c:pt>
              </c:numCache>
            </c:numRef>
          </c:val>
          <c:smooth val="0"/>
          <c:extLst>
            <c:ext xmlns:c16="http://schemas.microsoft.com/office/drawing/2014/chart" uri="{C3380CC4-5D6E-409C-BE32-E72D297353CC}">
              <c16:uniqueId val="{00000005-E2FC-4D25-807C-EB2CD1BBDB4E}"/>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Sheet1!$H$2:$H$6</c:f>
              <c:numCache>
                <c:formatCode>General</c:formatCode>
                <c:ptCount val="5"/>
                <c:pt idx="0">
                  <c:v>0.64</c:v>
                </c:pt>
                <c:pt idx="1">
                  <c:v>1.27</c:v>
                </c:pt>
                <c:pt idx="2">
                  <c:v>1.73</c:v>
                </c:pt>
                <c:pt idx="3">
                  <c:v>1.37</c:v>
                </c:pt>
                <c:pt idx="4">
                  <c:v>0.54</c:v>
                </c:pt>
              </c:numCache>
            </c:numRef>
          </c:val>
          <c:smooth val="0"/>
          <c:extLst>
            <c:ext xmlns:c16="http://schemas.microsoft.com/office/drawing/2014/chart" uri="{C3380CC4-5D6E-409C-BE32-E72D297353CC}">
              <c16:uniqueId val="{00000006-E2FC-4D25-807C-EB2CD1BBDB4E}"/>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Sheet1!$I$2:$I$6</c:f>
              <c:numCache>
                <c:formatCode>0.00</c:formatCode>
                <c:ptCount val="5"/>
                <c:pt idx="0">
                  <c:v>0.68</c:v>
                </c:pt>
                <c:pt idx="1">
                  <c:v>1.02</c:v>
                </c:pt>
                <c:pt idx="2">
                  <c:v>1.5</c:v>
                </c:pt>
                <c:pt idx="3">
                  <c:v>1.36</c:v>
                </c:pt>
                <c:pt idx="4">
                  <c:v>0.66</c:v>
                </c:pt>
              </c:numCache>
            </c:numRef>
          </c:val>
          <c:smooth val="0"/>
          <c:extLst>
            <c:ext xmlns:c16="http://schemas.microsoft.com/office/drawing/2014/chart" uri="{C3380CC4-5D6E-409C-BE32-E72D297353CC}">
              <c16:uniqueId val="{00000007-E2FC-4D25-807C-EB2CD1BBDB4E}"/>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Sheet1!$J$2:$J$6</c:f>
              <c:numCache>
                <c:formatCode>0.00</c:formatCode>
                <c:ptCount val="5"/>
                <c:pt idx="0">
                  <c:v>0.79</c:v>
                </c:pt>
                <c:pt idx="1">
                  <c:v>1.39</c:v>
                </c:pt>
                <c:pt idx="2">
                  <c:v>1.96</c:v>
                </c:pt>
                <c:pt idx="3">
                  <c:v>1.65</c:v>
                </c:pt>
                <c:pt idx="4">
                  <c:v>0.87</c:v>
                </c:pt>
              </c:numCache>
            </c:numRef>
          </c:val>
          <c:smooth val="0"/>
          <c:extLst>
            <c:ext xmlns:c16="http://schemas.microsoft.com/office/drawing/2014/chart" uri="{C3380CC4-5D6E-409C-BE32-E72D297353CC}">
              <c16:uniqueId val="{00000008-E2FC-4D25-807C-EB2CD1BBDB4E}"/>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numRef>
              <c:f>Sheet1!$A$2:$A$6</c:f>
              <c:numCache>
                <c:formatCode>General</c:formatCode>
                <c:ptCount val="5"/>
                <c:pt idx="0">
                  <c:v>30</c:v>
                </c:pt>
                <c:pt idx="1">
                  <c:v>40</c:v>
                </c:pt>
                <c:pt idx="2">
                  <c:v>50</c:v>
                </c:pt>
                <c:pt idx="3">
                  <c:v>60</c:v>
                </c:pt>
                <c:pt idx="4">
                  <c:v>70</c:v>
                </c:pt>
              </c:numCache>
            </c:numRef>
          </c:cat>
          <c:val>
            <c:numRef>
              <c:f>Sheet1!$K$2:$K$6</c:f>
              <c:numCache>
                <c:formatCode>0.00</c:formatCode>
                <c:ptCount val="5"/>
                <c:pt idx="0">
                  <c:v>0.63</c:v>
                </c:pt>
                <c:pt idx="1">
                  <c:v>1.1599999999999999</c:v>
                </c:pt>
                <c:pt idx="2">
                  <c:v>1.5</c:v>
                </c:pt>
                <c:pt idx="3">
                  <c:v>1.44</c:v>
                </c:pt>
                <c:pt idx="4">
                  <c:v>0.73</c:v>
                </c:pt>
              </c:numCache>
            </c:numRef>
          </c:val>
          <c:smooth val="0"/>
          <c:extLst>
            <c:ext xmlns:c16="http://schemas.microsoft.com/office/drawing/2014/chart" uri="{C3380CC4-5D6E-409C-BE32-E72D297353CC}">
              <c16:uniqueId val="{00000009-E2FC-4D25-807C-EB2CD1BBDB4E}"/>
            </c:ext>
          </c:extLst>
        </c:ser>
        <c:dLbls>
          <c:showLegendKey val="0"/>
          <c:showVal val="0"/>
          <c:showCatName val="0"/>
          <c:showSerName val="0"/>
          <c:showPercent val="0"/>
          <c:showBubbleSize val="0"/>
        </c:dLbls>
        <c:marker val="1"/>
        <c:smooth val="0"/>
        <c:axId val="521346704"/>
        <c:axId val="559459904"/>
      </c:lineChart>
      <c:catAx>
        <c:axId val="52134670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9459904"/>
        <c:crosses val="autoZero"/>
        <c:auto val="1"/>
        <c:lblAlgn val="ctr"/>
        <c:lblOffset val="100"/>
        <c:noMultiLvlLbl val="0"/>
      </c:catAx>
      <c:valAx>
        <c:axId val="559459904"/>
        <c:scaling>
          <c:orientation val="minMax"/>
          <c:max val="5"/>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1346704"/>
        <c:crosses val="autoZero"/>
        <c:crossBetween val="between"/>
      </c:valAx>
      <c:spPr>
        <a:noFill/>
        <a:ln>
          <a:noFill/>
        </a:ln>
        <a:effectLst/>
      </c:spPr>
    </c:plotArea>
    <c:legend>
      <c:legendPos val="r"/>
      <c:layout>
        <c:manualLayout>
          <c:xMode val="edge"/>
          <c:yMode val="edge"/>
          <c:x val="0.7703859610327044"/>
          <c:y val="3.6504781049054341E-3"/>
          <c:w val="0.22459899383188936"/>
          <c:h val="0.696507224326155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9362358372995"/>
          <c:y val="0.10818947844059346"/>
          <c:w val="0.67538341012601077"/>
          <c:h val="0.62023925841386618"/>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2.41</c:v>
                </c:pt>
                <c:pt idx="1">
                  <c:v>5.24</c:v>
                </c:pt>
                <c:pt idx="2">
                  <c:v>4.3899999999999997</c:v>
                </c:pt>
                <c:pt idx="3">
                  <c:v>1.2</c:v>
                </c:pt>
              </c:numCache>
            </c:numRef>
          </c:val>
          <c:smooth val="0"/>
          <c:extLst>
            <c:ext xmlns:c16="http://schemas.microsoft.com/office/drawing/2014/chart" uri="{C3380CC4-5D6E-409C-BE32-E72D297353CC}">
              <c16:uniqueId val="{00000000-0E1B-4EAA-94C1-BE2B36A55643}"/>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5.84</c:v>
                </c:pt>
                <c:pt idx="1">
                  <c:v>13.25</c:v>
                </c:pt>
                <c:pt idx="2">
                  <c:v>9.76</c:v>
                </c:pt>
                <c:pt idx="3">
                  <c:v>3.42</c:v>
                </c:pt>
              </c:numCache>
            </c:numRef>
          </c:val>
          <c:smooth val="0"/>
          <c:extLst>
            <c:ext xmlns:c16="http://schemas.microsoft.com/office/drawing/2014/chart" uri="{C3380CC4-5D6E-409C-BE32-E72D297353CC}">
              <c16:uniqueId val="{00000001-0E1B-4EAA-94C1-BE2B36A55643}"/>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6.37</c:v>
                </c:pt>
                <c:pt idx="1">
                  <c:v>10.54</c:v>
                </c:pt>
                <c:pt idx="2">
                  <c:v>9.31</c:v>
                </c:pt>
                <c:pt idx="3">
                  <c:v>3.26</c:v>
                </c:pt>
              </c:numCache>
            </c:numRef>
          </c:val>
          <c:smooth val="0"/>
          <c:extLst>
            <c:ext xmlns:c16="http://schemas.microsoft.com/office/drawing/2014/chart" uri="{C3380CC4-5D6E-409C-BE32-E72D297353CC}">
              <c16:uniqueId val="{00000002-0E1B-4EAA-94C1-BE2B36A55643}"/>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4.26</c:v>
                </c:pt>
                <c:pt idx="1">
                  <c:v>14.82</c:v>
                </c:pt>
                <c:pt idx="2">
                  <c:v>11.71</c:v>
                </c:pt>
                <c:pt idx="3">
                  <c:v>2.2799999999999998</c:v>
                </c:pt>
              </c:numCache>
            </c:numRef>
          </c:val>
          <c:smooth val="0"/>
          <c:extLst>
            <c:ext xmlns:c16="http://schemas.microsoft.com/office/drawing/2014/chart" uri="{C3380CC4-5D6E-409C-BE32-E72D297353CC}">
              <c16:uniqueId val="{00000003-0E1B-4EAA-94C1-BE2B36A55643}"/>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6.17</c:v>
                </c:pt>
                <c:pt idx="1">
                  <c:v>10.91</c:v>
                </c:pt>
                <c:pt idx="2">
                  <c:v>8.8699999999999992</c:v>
                </c:pt>
                <c:pt idx="3">
                  <c:v>3.1</c:v>
                </c:pt>
              </c:numCache>
            </c:numRef>
          </c:val>
          <c:smooth val="0"/>
          <c:extLst>
            <c:ext xmlns:c16="http://schemas.microsoft.com/office/drawing/2014/chart" uri="{C3380CC4-5D6E-409C-BE32-E72D297353CC}">
              <c16:uniqueId val="{00000004-0E1B-4EAA-94C1-BE2B36A55643}"/>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5.9</c:v>
                </c:pt>
                <c:pt idx="1">
                  <c:v>14.48</c:v>
                </c:pt>
                <c:pt idx="2">
                  <c:v>10.55</c:v>
                </c:pt>
                <c:pt idx="3">
                  <c:v>3.69</c:v>
                </c:pt>
              </c:numCache>
            </c:numRef>
          </c:val>
          <c:smooth val="0"/>
          <c:extLst>
            <c:ext xmlns:c16="http://schemas.microsoft.com/office/drawing/2014/chart" uri="{C3380CC4-5D6E-409C-BE32-E72D297353CC}">
              <c16:uniqueId val="{00000005-0E1B-4EAA-94C1-BE2B36A55643}"/>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5.78</c:v>
                </c:pt>
                <c:pt idx="1">
                  <c:v>14.29</c:v>
                </c:pt>
                <c:pt idx="2">
                  <c:v>10.199999999999999</c:v>
                </c:pt>
                <c:pt idx="3">
                  <c:v>3.13</c:v>
                </c:pt>
              </c:numCache>
            </c:numRef>
          </c:val>
          <c:smooth val="0"/>
          <c:extLst>
            <c:ext xmlns:c16="http://schemas.microsoft.com/office/drawing/2014/chart" uri="{C3380CC4-5D6E-409C-BE32-E72D297353CC}">
              <c16:uniqueId val="{00000006-0E1B-4EAA-94C1-BE2B36A55643}"/>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3.61</c:v>
                </c:pt>
                <c:pt idx="1">
                  <c:v>14.07</c:v>
                </c:pt>
                <c:pt idx="2">
                  <c:v>9.9600000000000009</c:v>
                </c:pt>
                <c:pt idx="3">
                  <c:v>2.76</c:v>
                </c:pt>
              </c:numCache>
            </c:numRef>
          </c:val>
          <c:smooth val="0"/>
          <c:extLst>
            <c:ext xmlns:c16="http://schemas.microsoft.com/office/drawing/2014/chart" uri="{C3380CC4-5D6E-409C-BE32-E72D297353CC}">
              <c16:uniqueId val="{00000007-0E1B-4EAA-94C1-BE2B36A55643}"/>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7.59</c:v>
                </c:pt>
                <c:pt idx="1">
                  <c:v>17.48</c:v>
                </c:pt>
                <c:pt idx="2">
                  <c:v>13.3</c:v>
                </c:pt>
                <c:pt idx="3">
                  <c:v>4.08</c:v>
                </c:pt>
              </c:numCache>
            </c:numRef>
          </c:val>
          <c:smooth val="0"/>
          <c:extLst>
            <c:ext xmlns:c16="http://schemas.microsoft.com/office/drawing/2014/chart" uri="{C3380CC4-5D6E-409C-BE32-E72D297353CC}">
              <c16:uniqueId val="{00000008-0E1B-4EAA-94C1-BE2B36A55643}"/>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6.31</c:v>
                </c:pt>
                <c:pt idx="1">
                  <c:v>10.49</c:v>
                </c:pt>
                <c:pt idx="2">
                  <c:v>7.83</c:v>
                </c:pt>
                <c:pt idx="3">
                  <c:v>3.34</c:v>
                </c:pt>
              </c:numCache>
            </c:numRef>
          </c:val>
          <c:smooth val="0"/>
          <c:extLst>
            <c:ext xmlns:c16="http://schemas.microsoft.com/office/drawing/2014/chart" uri="{C3380CC4-5D6E-409C-BE32-E72D297353CC}">
              <c16:uniqueId val="{00000009-0E1B-4EAA-94C1-BE2B36A55643}"/>
            </c:ext>
          </c:extLst>
        </c:ser>
        <c:dLbls>
          <c:showLegendKey val="0"/>
          <c:showVal val="0"/>
          <c:showCatName val="0"/>
          <c:showSerName val="0"/>
          <c:showPercent val="0"/>
          <c:showBubbleSize val="0"/>
        </c:dLbls>
        <c:marker val="1"/>
        <c:smooth val="0"/>
        <c:axId val="851363856"/>
        <c:axId val="766263920"/>
      </c:lineChart>
      <c:catAx>
        <c:axId val="851363856"/>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6263920"/>
        <c:crosses val="autoZero"/>
        <c:auto val="1"/>
        <c:lblAlgn val="ctr"/>
        <c:lblOffset val="100"/>
        <c:noMultiLvlLbl val="0"/>
      </c:catAx>
      <c:valAx>
        <c:axId val="766263920"/>
        <c:scaling>
          <c:orientation val="minMax"/>
          <c:max val="30"/>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1363856"/>
        <c:crosses val="autoZero"/>
        <c:crossBetween val="between"/>
      </c:valAx>
      <c:spPr>
        <a:noFill/>
        <a:ln>
          <a:noFill/>
        </a:ln>
        <a:effectLst/>
      </c:spPr>
    </c:plotArea>
    <c:legend>
      <c:legendPos val="t"/>
      <c:layout>
        <c:manualLayout>
          <c:xMode val="edge"/>
          <c:yMode val="edge"/>
          <c:x val="0.76844261654793145"/>
          <c:y val="9.8135101533360965E-3"/>
          <c:w val="0.22415987064116985"/>
          <c:h val="0.70627159915318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55507285727217"/>
          <c:y val="0.15284317976562997"/>
          <c:w val="0.81213342585050441"/>
          <c:h val="0.59860637378237214"/>
        </c:manualLayout>
      </c:layout>
      <c:lineChart>
        <c:grouping val="standard"/>
        <c:varyColors val="0"/>
        <c:ser>
          <c:idx val="0"/>
          <c:order val="0"/>
          <c:tx>
            <c:strRef>
              <c:f>Sheet1!$B$1</c:f>
              <c:strCache>
                <c:ptCount val="1"/>
                <c:pt idx="0">
                  <c:v>T1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Sheet1!$A$2:$A$5</c:f>
              <c:strCache>
                <c:ptCount val="4"/>
                <c:pt idx="0">
                  <c:v>30-40</c:v>
                </c:pt>
                <c:pt idx="1">
                  <c:v>40-50</c:v>
                </c:pt>
                <c:pt idx="2">
                  <c:v>50-60</c:v>
                </c:pt>
                <c:pt idx="3">
                  <c:v>60-70</c:v>
                </c:pt>
              </c:strCache>
            </c:strRef>
          </c:cat>
          <c:val>
            <c:numRef>
              <c:f>Sheet1!$B$2:$B$5</c:f>
              <c:numCache>
                <c:formatCode>General</c:formatCode>
                <c:ptCount val="4"/>
                <c:pt idx="0">
                  <c:v>1.32</c:v>
                </c:pt>
                <c:pt idx="1">
                  <c:v>9.33</c:v>
                </c:pt>
                <c:pt idx="2">
                  <c:v>4.3899999999999997</c:v>
                </c:pt>
                <c:pt idx="3">
                  <c:v>0.15</c:v>
                </c:pt>
              </c:numCache>
            </c:numRef>
          </c:val>
          <c:smooth val="0"/>
          <c:extLst>
            <c:ext xmlns:c16="http://schemas.microsoft.com/office/drawing/2014/chart" uri="{C3380CC4-5D6E-409C-BE32-E72D297353CC}">
              <c16:uniqueId val="{00000000-5568-4B3B-A927-2B760D3D5EAA}"/>
            </c:ext>
          </c:extLst>
        </c:ser>
        <c:ser>
          <c:idx val="1"/>
          <c:order val="1"/>
          <c:tx>
            <c:strRef>
              <c:f>Sheet1!$C$1</c:f>
              <c:strCache>
                <c:ptCount val="1"/>
                <c:pt idx="0">
                  <c:v>T2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Sheet1!$A$2:$A$5</c:f>
              <c:strCache>
                <c:ptCount val="4"/>
                <c:pt idx="0">
                  <c:v>30-40</c:v>
                </c:pt>
                <c:pt idx="1">
                  <c:v>40-50</c:v>
                </c:pt>
                <c:pt idx="2">
                  <c:v>50-60</c:v>
                </c:pt>
                <c:pt idx="3">
                  <c:v>60-70</c:v>
                </c:pt>
              </c:strCache>
            </c:strRef>
          </c:cat>
          <c:val>
            <c:numRef>
              <c:f>Sheet1!$C$2:$C$5</c:f>
              <c:numCache>
                <c:formatCode>General</c:formatCode>
                <c:ptCount val="4"/>
                <c:pt idx="0">
                  <c:v>2.84</c:v>
                </c:pt>
                <c:pt idx="1">
                  <c:v>19.059999999999999</c:v>
                </c:pt>
                <c:pt idx="2">
                  <c:v>8.11</c:v>
                </c:pt>
                <c:pt idx="3">
                  <c:v>0.19</c:v>
                </c:pt>
              </c:numCache>
            </c:numRef>
          </c:val>
          <c:smooth val="0"/>
          <c:extLst>
            <c:ext xmlns:c16="http://schemas.microsoft.com/office/drawing/2014/chart" uri="{C3380CC4-5D6E-409C-BE32-E72D297353CC}">
              <c16:uniqueId val="{00000001-5568-4B3B-A927-2B760D3D5EAA}"/>
            </c:ext>
          </c:extLst>
        </c:ser>
        <c:ser>
          <c:idx val="2"/>
          <c:order val="2"/>
          <c:tx>
            <c:strRef>
              <c:f>Sheet1!$D$1</c:f>
              <c:strCache>
                <c:ptCount val="1"/>
                <c:pt idx="0">
                  <c:v>T3</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Sheet1!$A$2:$A$5</c:f>
              <c:strCache>
                <c:ptCount val="4"/>
                <c:pt idx="0">
                  <c:v>30-40</c:v>
                </c:pt>
                <c:pt idx="1">
                  <c:v>40-50</c:v>
                </c:pt>
                <c:pt idx="2">
                  <c:v>50-60</c:v>
                </c:pt>
                <c:pt idx="3">
                  <c:v>60-70</c:v>
                </c:pt>
              </c:strCache>
            </c:strRef>
          </c:cat>
          <c:val>
            <c:numRef>
              <c:f>Sheet1!$D$2:$D$5</c:f>
              <c:numCache>
                <c:formatCode>General</c:formatCode>
                <c:ptCount val="4"/>
                <c:pt idx="0">
                  <c:v>4.4000000000000004</c:v>
                </c:pt>
                <c:pt idx="1">
                  <c:v>15.21</c:v>
                </c:pt>
                <c:pt idx="2">
                  <c:v>14.12</c:v>
                </c:pt>
                <c:pt idx="3">
                  <c:v>0.23</c:v>
                </c:pt>
              </c:numCache>
            </c:numRef>
          </c:val>
          <c:smooth val="0"/>
          <c:extLst>
            <c:ext xmlns:c16="http://schemas.microsoft.com/office/drawing/2014/chart" uri="{C3380CC4-5D6E-409C-BE32-E72D297353CC}">
              <c16:uniqueId val="{00000002-5568-4B3B-A927-2B760D3D5EAA}"/>
            </c:ext>
          </c:extLst>
        </c:ser>
        <c:ser>
          <c:idx val="3"/>
          <c:order val="3"/>
          <c:tx>
            <c:strRef>
              <c:f>Sheet1!$E$1</c:f>
              <c:strCache>
                <c:ptCount val="1"/>
                <c:pt idx="0">
                  <c:v>T4</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Sheet1!$A$2:$A$5</c:f>
              <c:strCache>
                <c:ptCount val="4"/>
                <c:pt idx="0">
                  <c:v>30-40</c:v>
                </c:pt>
                <c:pt idx="1">
                  <c:v>40-50</c:v>
                </c:pt>
                <c:pt idx="2">
                  <c:v>50-60</c:v>
                </c:pt>
                <c:pt idx="3">
                  <c:v>60-70</c:v>
                </c:pt>
              </c:strCache>
            </c:strRef>
          </c:cat>
          <c:val>
            <c:numRef>
              <c:f>Sheet1!$E$2:$E$5</c:f>
              <c:numCache>
                <c:formatCode>General</c:formatCode>
                <c:ptCount val="4"/>
                <c:pt idx="0">
                  <c:v>1.61</c:v>
                </c:pt>
                <c:pt idx="1">
                  <c:v>19.489999999999998</c:v>
                </c:pt>
                <c:pt idx="2">
                  <c:v>17.45</c:v>
                </c:pt>
                <c:pt idx="3">
                  <c:v>0.33</c:v>
                </c:pt>
              </c:numCache>
            </c:numRef>
          </c:val>
          <c:smooth val="0"/>
          <c:extLst>
            <c:ext xmlns:c16="http://schemas.microsoft.com/office/drawing/2014/chart" uri="{C3380CC4-5D6E-409C-BE32-E72D297353CC}">
              <c16:uniqueId val="{00000003-5568-4B3B-A927-2B760D3D5EAA}"/>
            </c:ext>
          </c:extLst>
        </c:ser>
        <c:ser>
          <c:idx val="4"/>
          <c:order val="4"/>
          <c:tx>
            <c:strRef>
              <c:f>Sheet1!$F$1</c:f>
              <c:strCache>
                <c:ptCount val="1"/>
                <c:pt idx="0">
                  <c:v>T5</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Sheet1!$A$2:$A$5</c:f>
              <c:strCache>
                <c:ptCount val="4"/>
                <c:pt idx="0">
                  <c:v>30-40</c:v>
                </c:pt>
                <c:pt idx="1">
                  <c:v>40-50</c:v>
                </c:pt>
                <c:pt idx="2">
                  <c:v>50-60</c:v>
                </c:pt>
                <c:pt idx="3">
                  <c:v>60-70</c:v>
                </c:pt>
              </c:strCache>
            </c:strRef>
          </c:cat>
          <c:val>
            <c:numRef>
              <c:f>Sheet1!$F$2:$F$5</c:f>
              <c:numCache>
                <c:formatCode>General</c:formatCode>
                <c:ptCount val="4"/>
                <c:pt idx="0">
                  <c:v>3.26</c:v>
                </c:pt>
                <c:pt idx="1">
                  <c:v>19.649999999999999</c:v>
                </c:pt>
                <c:pt idx="2">
                  <c:v>6.46</c:v>
                </c:pt>
                <c:pt idx="3">
                  <c:v>0.17</c:v>
                </c:pt>
              </c:numCache>
            </c:numRef>
          </c:val>
          <c:smooth val="0"/>
          <c:extLst>
            <c:ext xmlns:c16="http://schemas.microsoft.com/office/drawing/2014/chart" uri="{C3380CC4-5D6E-409C-BE32-E72D297353CC}">
              <c16:uniqueId val="{00000004-5568-4B3B-A927-2B760D3D5EAA}"/>
            </c:ext>
          </c:extLst>
        </c:ser>
        <c:ser>
          <c:idx val="5"/>
          <c:order val="5"/>
          <c:tx>
            <c:strRef>
              <c:f>Sheet1!$G$1</c:f>
              <c:strCache>
                <c:ptCount val="1"/>
                <c:pt idx="0">
                  <c:v>T6</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Sheet1!$A$2:$A$5</c:f>
              <c:strCache>
                <c:ptCount val="4"/>
                <c:pt idx="0">
                  <c:v>30-40</c:v>
                </c:pt>
                <c:pt idx="1">
                  <c:v>40-50</c:v>
                </c:pt>
                <c:pt idx="2">
                  <c:v>50-60</c:v>
                </c:pt>
                <c:pt idx="3">
                  <c:v>60-70</c:v>
                </c:pt>
              </c:strCache>
            </c:strRef>
          </c:cat>
          <c:val>
            <c:numRef>
              <c:f>Sheet1!$G$2:$G$5</c:f>
              <c:numCache>
                <c:formatCode>General</c:formatCode>
                <c:ptCount val="4"/>
                <c:pt idx="0">
                  <c:v>9.66</c:v>
                </c:pt>
                <c:pt idx="1">
                  <c:v>22.38</c:v>
                </c:pt>
                <c:pt idx="2">
                  <c:v>18.690000000000001</c:v>
                </c:pt>
                <c:pt idx="3">
                  <c:v>0.86</c:v>
                </c:pt>
              </c:numCache>
            </c:numRef>
          </c:val>
          <c:smooth val="0"/>
          <c:extLst>
            <c:ext xmlns:c16="http://schemas.microsoft.com/office/drawing/2014/chart" uri="{C3380CC4-5D6E-409C-BE32-E72D297353CC}">
              <c16:uniqueId val="{00000005-5568-4B3B-A927-2B760D3D5EAA}"/>
            </c:ext>
          </c:extLst>
        </c:ser>
        <c:ser>
          <c:idx val="6"/>
          <c:order val="6"/>
          <c:tx>
            <c:strRef>
              <c:f>Sheet1!$H$1</c:f>
              <c:strCache>
                <c:ptCount val="1"/>
                <c:pt idx="0">
                  <c:v>T7</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Sheet1!$A$2:$A$5</c:f>
              <c:strCache>
                <c:ptCount val="4"/>
                <c:pt idx="0">
                  <c:v>30-40</c:v>
                </c:pt>
                <c:pt idx="1">
                  <c:v>40-50</c:v>
                </c:pt>
                <c:pt idx="2">
                  <c:v>50-60</c:v>
                </c:pt>
                <c:pt idx="3">
                  <c:v>60-70</c:v>
                </c:pt>
              </c:strCache>
            </c:strRef>
          </c:cat>
          <c:val>
            <c:numRef>
              <c:f>Sheet1!$H$2:$H$5</c:f>
              <c:numCache>
                <c:formatCode>General</c:formatCode>
                <c:ptCount val="4"/>
                <c:pt idx="0">
                  <c:v>4.5999999999999996</c:v>
                </c:pt>
                <c:pt idx="1">
                  <c:v>17.98</c:v>
                </c:pt>
                <c:pt idx="2">
                  <c:v>12.18</c:v>
                </c:pt>
                <c:pt idx="3">
                  <c:v>0.22</c:v>
                </c:pt>
              </c:numCache>
            </c:numRef>
          </c:val>
          <c:smooth val="0"/>
          <c:extLst>
            <c:ext xmlns:c16="http://schemas.microsoft.com/office/drawing/2014/chart" uri="{C3380CC4-5D6E-409C-BE32-E72D297353CC}">
              <c16:uniqueId val="{00000006-5568-4B3B-A927-2B760D3D5EAA}"/>
            </c:ext>
          </c:extLst>
        </c:ser>
        <c:ser>
          <c:idx val="7"/>
          <c:order val="7"/>
          <c:tx>
            <c:strRef>
              <c:f>Sheet1!$I$1</c:f>
              <c:strCache>
                <c:ptCount val="1"/>
                <c:pt idx="0">
                  <c:v>T8</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Sheet1!$A$2:$A$5</c:f>
              <c:strCache>
                <c:ptCount val="4"/>
                <c:pt idx="0">
                  <c:v>30-40</c:v>
                </c:pt>
                <c:pt idx="1">
                  <c:v>40-50</c:v>
                </c:pt>
                <c:pt idx="2">
                  <c:v>50-60</c:v>
                </c:pt>
                <c:pt idx="3">
                  <c:v>60-70</c:v>
                </c:pt>
              </c:strCache>
            </c:strRef>
          </c:cat>
          <c:val>
            <c:numRef>
              <c:f>Sheet1!$I$2:$I$5</c:f>
              <c:numCache>
                <c:formatCode>General</c:formatCode>
                <c:ptCount val="4"/>
                <c:pt idx="0">
                  <c:v>3.3</c:v>
                </c:pt>
                <c:pt idx="1">
                  <c:v>20.8</c:v>
                </c:pt>
                <c:pt idx="2">
                  <c:v>19.2</c:v>
                </c:pt>
                <c:pt idx="3">
                  <c:v>0.24</c:v>
                </c:pt>
              </c:numCache>
            </c:numRef>
          </c:val>
          <c:smooth val="0"/>
          <c:extLst>
            <c:ext xmlns:c16="http://schemas.microsoft.com/office/drawing/2014/chart" uri="{C3380CC4-5D6E-409C-BE32-E72D297353CC}">
              <c16:uniqueId val="{00000007-5568-4B3B-A927-2B760D3D5EAA}"/>
            </c:ext>
          </c:extLst>
        </c:ser>
        <c:ser>
          <c:idx val="8"/>
          <c:order val="8"/>
          <c:tx>
            <c:strRef>
              <c:f>Sheet1!$J$1</c:f>
              <c:strCache>
                <c:ptCount val="1"/>
                <c:pt idx="0">
                  <c:v>T9</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Sheet1!$A$2:$A$5</c:f>
              <c:strCache>
                <c:ptCount val="4"/>
                <c:pt idx="0">
                  <c:v>30-40</c:v>
                </c:pt>
                <c:pt idx="1">
                  <c:v>40-50</c:v>
                </c:pt>
                <c:pt idx="2">
                  <c:v>50-60</c:v>
                </c:pt>
                <c:pt idx="3">
                  <c:v>60-70</c:v>
                </c:pt>
              </c:strCache>
            </c:strRef>
          </c:cat>
          <c:val>
            <c:numRef>
              <c:f>Sheet1!$J$2:$J$5</c:f>
              <c:numCache>
                <c:formatCode>General</c:formatCode>
                <c:ptCount val="4"/>
                <c:pt idx="0">
                  <c:v>9.69</c:v>
                </c:pt>
                <c:pt idx="1">
                  <c:v>27.09</c:v>
                </c:pt>
                <c:pt idx="2">
                  <c:v>21.95</c:v>
                </c:pt>
                <c:pt idx="3">
                  <c:v>1.01</c:v>
                </c:pt>
              </c:numCache>
            </c:numRef>
          </c:val>
          <c:smooth val="0"/>
          <c:extLst>
            <c:ext xmlns:c16="http://schemas.microsoft.com/office/drawing/2014/chart" uri="{C3380CC4-5D6E-409C-BE32-E72D297353CC}">
              <c16:uniqueId val="{00000008-5568-4B3B-A927-2B760D3D5EAA}"/>
            </c:ext>
          </c:extLst>
        </c:ser>
        <c:ser>
          <c:idx val="9"/>
          <c:order val="9"/>
          <c:tx>
            <c:strRef>
              <c:f>Sheet1!$K$1</c:f>
              <c:strCache>
                <c:ptCount val="1"/>
                <c:pt idx="0">
                  <c:v>T10</c:v>
                </c:pt>
              </c:strCache>
            </c:strRef>
          </c:tx>
          <c:spPr>
            <a:ln w="22225" cap="rnd">
              <a:solidFill>
                <a:schemeClr val="accent4">
                  <a:lumMod val="60000"/>
                </a:schemeClr>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Sheet1!$A$2:$A$5</c:f>
              <c:strCache>
                <c:ptCount val="4"/>
                <c:pt idx="0">
                  <c:v>30-40</c:v>
                </c:pt>
                <c:pt idx="1">
                  <c:v>40-50</c:v>
                </c:pt>
                <c:pt idx="2">
                  <c:v>50-60</c:v>
                </c:pt>
                <c:pt idx="3">
                  <c:v>60-70</c:v>
                </c:pt>
              </c:strCache>
            </c:strRef>
          </c:cat>
          <c:val>
            <c:numRef>
              <c:f>Sheet1!$K$2:$K$5</c:f>
              <c:numCache>
                <c:formatCode>General</c:formatCode>
                <c:ptCount val="4"/>
                <c:pt idx="0">
                  <c:v>2.77</c:v>
                </c:pt>
                <c:pt idx="1">
                  <c:v>11.42</c:v>
                </c:pt>
                <c:pt idx="2">
                  <c:v>9.19</c:v>
                </c:pt>
                <c:pt idx="3">
                  <c:v>0.27</c:v>
                </c:pt>
              </c:numCache>
            </c:numRef>
          </c:val>
          <c:smooth val="0"/>
          <c:extLst>
            <c:ext xmlns:c16="http://schemas.microsoft.com/office/drawing/2014/chart" uri="{C3380CC4-5D6E-409C-BE32-E72D297353CC}">
              <c16:uniqueId val="{00000009-5568-4B3B-A927-2B760D3D5EAA}"/>
            </c:ext>
          </c:extLst>
        </c:ser>
        <c:dLbls>
          <c:showLegendKey val="0"/>
          <c:showVal val="0"/>
          <c:showCatName val="0"/>
          <c:showSerName val="0"/>
          <c:showPercent val="0"/>
          <c:showBubbleSize val="0"/>
        </c:dLbls>
        <c:marker val="1"/>
        <c:smooth val="0"/>
        <c:axId val="797456944"/>
        <c:axId val="798635168"/>
      </c:lineChart>
      <c:catAx>
        <c:axId val="79745694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8635168"/>
        <c:crosses val="autoZero"/>
        <c:auto val="1"/>
        <c:lblAlgn val="ctr"/>
        <c:lblOffset val="100"/>
        <c:noMultiLvlLbl val="0"/>
      </c:catAx>
      <c:valAx>
        <c:axId val="798635168"/>
        <c:scaling>
          <c:orientation val="minMax"/>
        </c:scaling>
        <c:delete val="0"/>
        <c:axPos val="l"/>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745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78927537058384"/>
          <c:y val="0.13098705523963133"/>
          <c:w val="0.67437468557636326"/>
          <c:h val="0.6708595133079428"/>
        </c:manualLayout>
      </c:layout>
      <c:barChart>
        <c:barDir val="col"/>
        <c:grouping val="clustered"/>
        <c:varyColors val="0"/>
        <c:ser>
          <c:idx val="0"/>
          <c:order val="0"/>
          <c:tx>
            <c:strRef>
              <c:f>Sheet1!$B$1</c:f>
              <c:strCache>
                <c:ptCount val="1"/>
                <c:pt idx="0">
                  <c:v>T1</c:v>
                </c:pt>
              </c:strCache>
            </c:strRef>
          </c:tx>
          <c:spPr>
            <a:solidFill>
              <a:schemeClr val="accent1"/>
            </a:solidFill>
            <a:ln>
              <a:noFill/>
            </a:ln>
            <a:effectLst/>
          </c:spPr>
          <c:invertIfNegative val="0"/>
          <c:dLbls>
            <c:dLbl>
              <c:idx val="0"/>
              <c:layout>
                <c:manualLayout>
                  <c:x val="0"/>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1249.9000000000001</c:v>
                </c:pt>
              </c:numCache>
            </c:numRef>
          </c:val>
          <c:extLst>
            <c:ext xmlns:c16="http://schemas.microsoft.com/office/drawing/2014/chart" uri="{C3380CC4-5D6E-409C-BE32-E72D297353CC}">
              <c16:uniqueId val="{00000001-520C-4BE0-A0F5-D3D2ED140082}"/>
            </c:ext>
          </c:extLst>
        </c:ser>
        <c:ser>
          <c:idx val="1"/>
          <c:order val="1"/>
          <c:tx>
            <c:strRef>
              <c:f>Sheet1!$C$1</c:f>
              <c:strCache>
                <c:ptCount val="1"/>
                <c:pt idx="0">
                  <c:v>T2</c:v>
                </c:pt>
              </c:strCache>
            </c:strRef>
          </c:tx>
          <c:spPr>
            <a:solidFill>
              <a:schemeClr val="accent2"/>
            </a:solidFill>
            <a:ln>
              <a:noFill/>
            </a:ln>
            <a:effectLst/>
          </c:spPr>
          <c:invertIfNegative val="0"/>
          <c:dLbls>
            <c:dLbl>
              <c:idx val="0"/>
              <c:layout>
                <c:manualLayout>
                  <c:x val="0"/>
                  <c:y val="2.10452472816555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1358.6</c:v>
                </c:pt>
              </c:numCache>
            </c:numRef>
          </c:val>
          <c:extLst>
            <c:ext xmlns:c16="http://schemas.microsoft.com/office/drawing/2014/chart" uri="{C3380CC4-5D6E-409C-BE32-E72D297353CC}">
              <c16:uniqueId val="{00000003-520C-4BE0-A0F5-D3D2ED140082}"/>
            </c:ext>
          </c:extLst>
        </c:ser>
        <c:ser>
          <c:idx val="2"/>
          <c:order val="2"/>
          <c:tx>
            <c:strRef>
              <c:f>Sheet1!$D$1</c:f>
              <c:strCache>
                <c:ptCount val="1"/>
                <c:pt idx="0">
                  <c:v>T3</c:v>
                </c:pt>
              </c:strCache>
            </c:strRef>
          </c:tx>
          <c:spPr>
            <a:solidFill>
              <a:schemeClr val="accent3"/>
            </a:solidFill>
            <a:ln>
              <a:noFill/>
            </a:ln>
            <a:effectLst/>
          </c:spPr>
          <c:invertIfNegative val="0"/>
          <c:dLbls>
            <c:dLbl>
              <c:idx val="0"/>
              <c:layout>
                <c:manualLayout>
                  <c:x val="0"/>
                  <c:y val="2.104524728165556E-2"/>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1531.5</c:v>
                </c:pt>
              </c:numCache>
            </c:numRef>
          </c:val>
          <c:extLst>
            <c:ext xmlns:c16="http://schemas.microsoft.com/office/drawing/2014/chart" uri="{C3380CC4-5D6E-409C-BE32-E72D297353CC}">
              <c16:uniqueId val="{00000005-520C-4BE0-A0F5-D3D2ED140082}"/>
            </c:ext>
          </c:extLst>
        </c:ser>
        <c:ser>
          <c:idx val="3"/>
          <c:order val="3"/>
          <c:tx>
            <c:strRef>
              <c:f>Sheet1!$E$1</c:f>
              <c:strCache>
                <c:ptCount val="1"/>
                <c:pt idx="0">
                  <c:v>T4</c:v>
                </c:pt>
              </c:strCache>
            </c:strRef>
          </c:tx>
          <c:spPr>
            <a:solidFill>
              <a:schemeClr val="accent4"/>
            </a:solidFill>
            <a:ln>
              <a:noFill/>
            </a:ln>
            <a:effectLst/>
          </c:spPr>
          <c:invertIfNegative val="0"/>
          <c:dLbls>
            <c:dLbl>
              <c:idx val="0"/>
              <c:layout>
                <c:manualLayout>
                  <c:x val="0"/>
                  <c:y val="3.5075412136092596E-2"/>
                </c:manualLayout>
              </c:layout>
              <c:tx>
                <c:rich>
                  <a:bodyPr/>
                  <a:lstStyle/>
                  <a:p>
                    <a:r>
                      <a:rPr lang="en-US"/>
                      <a:t>bcd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1499.3</c:v>
                </c:pt>
              </c:numCache>
            </c:numRef>
          </c:val>
          <c:extLst>
            <c:ext xmlns:c16="http://schemas.microsoft.com/office/drawing/2014/chart" uri="{C3380CC4-5D6E-409C-BE32-E72D297353CC}">
              <c16:uniqueId val="{00000007-520C-4BE0-A0F5-D3D2ED140082}"/>
            </c:ext>
          </c:extLst>
        </c:ser>
        <c:ser>
          <c:idx val="4"/>
          <c:order val="4"/>
          <c:tx>
            <c:strRef>
              <c:f>Sheet1!$F$1</c:f>
              <c:strCache>
                <c:ptCount val="1"/>
                <c:pt idx="0">
                  <c:v>T5</c:v>
                </c:pt>
              </c:strCache>
            </c:strRef>
          </c:tx>
          <c:spPr>
            <a:solidFill>
              <a:schemeClr val="accent5"/>
            </a:solidFill>
            <a:ln>
              <a:noFill/>
            </a:ln>
            <a:effectLst/>
          </c:spPr>
          <c:invertIfNegative val="0"/>
          <c:dLbls>
            <c:dLbl>
              <c:idx val="0"/>
              <c:layout>
                <c:manualLayout>
                  <c:x val="0"/>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1322.7</c:v>
                </c:pt>
              </c:numCache>
            </c:numRef>
          </c:val>
          <c:extLst>
            <c:ext xmlns:c16="http://schemas.microsoft.com/office/drawing/2014/chart" uri="{C3380CC4-5D6E-409C-BE32-E72D297353CC}">
              <c16:uniqueId val="{00000009-520C-4BE0-A0F5-D3D2ED140082}"/>
            </c:ext>
          </c:extLst>
        </c:ser>
        <c:ser>
          <c:idx val="5"/>
          <c:order val="5"/>
          <c:tx>
            <c:strRef>
              <c:f>Sheet1!$G$1</c:f>
              <c:strCache>
                <c:ptCount val="1"/>
                <c:pt idx="0">
                  <c:v>T6</c:v>
                </c:pt>
              </c:strCache>
            </c:strRef>
          </c:tx>
          <c:spPr>
            <a:solidFill>
              <a:schemeClr val="accent6"/>
            </a:solidFill>
            <a:ln>
              <a:noFill/>
            </a:ln>
            <a:effectLst/>
          </c:spPr>
          <c:invertIfNegative val="0"/>
          <c:dLbls>
            <c:dLbl>
              <c:idx val="0"/>
              <c:layout>
                <c:manualLayout>
                  <c:x val="0"/>
                  <c:y val="3.507541213609256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1560.4</c:v>
                </c:pt>
              </c:numCache>
            </c:numRef>
          </c:val>
          <c:extLst>
            <c:ext xmlns:c16="http://schemas.microsoft.com/office/drawing/2014/chart" uri="{C3380CC4-5D6E-409C-BE32-E72D297353CC}">
              <c16:uniqueId val="{0000000B-520C-4BE0-A0F5-D3D2ED140082}"/>
            </c:ext>
          </c:extLst>
        </c:ser>
        <c:ser>
          <c:idx val="6"/>
          <c:order val="6"/>
          <c:tx>
            <c:strRef>
              <c:f>Sheet1!$H$1</c:f>
              <c:strCache>
                <c:ptCount val="1"/>
                <c:pt idx="0">
                  <c:v>T7</c:v>
                </c:pt>
              </c:strCache>
            </c:strRef>
          </c:tx>
          <c:spPr>
            <a:solidFill>
              <a:schemeClr val="accent1">
                <a:lumMod val="60000"/>
              </a:schemeClr>
            </a:solidFill>
            <a:ln>
              <a:noFill/>
            </a:ln>
            <a:effectLst/>
          </c:spPr>
          <c:invertIfNegative val="0"/>
          <c:dLbls>
            <c:dLbl>
              <c:idx val="0"/>
              <c:layout>
                <c:manualLayout>
                  <c:x val="0"/>
                  <c:y val="2.104524728165556E-2"/>
                </c:manualLayout>
              </c:layout>
              <c:tx>
                <c:rich>
                  <a:bodyPr/>
                  <a:lstStyle/>
                  <a:p>
                    <a:r>
                      <a:rPr lang="en-US"/>
                      <a:t>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1363.2</c:v>
                </c:pt>
              </c:numCache>
            </c:numRef>
          </c:val>
          <c:extLst>
            <c:ext xmlns:c16="http://schemas.microsoft.com/office/drawing/2014/chart" uri="{C3380CC4-5D6E-409C-BE32-E72D297353CC}">
              <c16:uniqueId val="{0000000D-520C-4BE0-A0F5-D3D2ED140082}"/>
            </c:ext>
          </c:extLst>
        </c:ser>
        <c:ser>
          <c:idx val="7"/>
          <c:order val="7"/>
          <c:tx>
            <c:strRef>
              <c:f>Sheet1!$I$1</c:f>
              <c:strCache>
                <c:ptCount val="1"/>
                <c:pt idx="0">
                  <c:v>T8</c:v>
                </c:pt>
              </c:strCache>
            </c:strRef>
          </c:tx>
          <c:spPr>
            <a:solidFill>
              <a:schemeClr val="accent2">
                <a:lumMod val="60000"/>
              </a:schemeClr>
            </a:solidFill>
            <a:ln>
              <a:noFill/>
            </a:ln>
            <a:effectLst/>
          </c:spPr>
          <c:invertIfNegative val="0"/>
          <c:dLbls>
            <c:dLbl>
              <c:idx val="0"/>
              <c:layout>
                <c:manualLayout>
                  <c:x val="-9.1941432033845485E-17"/>
                  <c:y val="1.403016485443704E-2"/>
                </c:manualLayout>
              </c:layout>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1258.2</c:v>
                </c:pt>
              </c:numCache>
            </c:numRef>
          </c:val>
          <c:extLst>
            <c:ext xmlns:c16="http://schemas.microsoft.com/office/drawing/2014/chart" uri="{C3380CC4-5D6E-409C-BE32-E72D297353CC}">
              <c16:uniqueId val="{0000000F-520C-4BE0-A0F5-D3D2ED140082}"/>
            </c:ext>
          </c:extLst>
        </c:ser>
        <c:ser>
          <c:idx val="8"/>
          <c:order val="8"/>
          <c:tx>
            <c:strRef>
              <c:f>Sheet1!$J$1</c:f>
              <c:strCache>
                <c:ptCount val="1"/>
                <c:pt idx="0">
                  <c:v>T9</c:v>
                </c:pt>
              </c:strCache>
            </c:strRef>
          </c:tx>
          <c:spPr>
            <a:solidFill>
              <a:schemeClr val="accent3">
                <a:lumMod val="60000"/>
              </a:schemeClr>
            </a:solidFill>
            <a:ln>
              <a:noFill/>
            </a:ln>
            <a:effectLst/>
          </c:spPr>
          <c:invertIfNegative val="0"/>
          <c:dLbls>
            <c:dLbl>
              <c:idx val="0"/>
              <c:layout>
                <c:manualLayout>
                  <c:x val="0"/>
                  <c:y val="2.1045247281655542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Sheet1!$J$2</c:f>
              <c:numCache>
                <c:formatCode>General</c:formatCode>
                <c:ptCount val="1"/>
                <c:pt idx="0">
                  <c:v>1927.9</c:v>
                </c:pt>
              </c:numCache>
            </c:numRef>
          </c:val>
          <c:extLst>
            <c:ext xmlns:c16="http://schemas.microsoft.com/office/drawing/2014/chart" uri="{C3380CC4-5D6E-409C-BE32-E72D297353CC}">
              <c16:uniqueId val="{00000011-520C-4BE0-A0F5-D3D2ED140082}"/>
            </c:ext>
          </c:extLst>
        </c:ser>
        <c:ser>
          <c:idx val="9"/>
          <c:order val="9"/>
          <c:tx>
            <c:strRef>
              <c:f>Sheet1!$K$1</c:f>
              <c:strCache>
                <c:ptCount val="1"/>
                <c:pt idx="0">
                  <c:v>T10</c:v>
                </c:pt>
              </c:strCache>
            </c:strRef>
          </c:tx>
          <c:spPr>
            <a:solidFill>
              <a:schemeClr val="accent4">
                <a:lumMod val="60000"/>
              </a:schemeClr>
            </a:solidFill>
            <a:ln>
              <a:noFill/>
            </a:ln>
            <a:effectLst/>
          </c:spPr>
          <c:invertIfNegative val="0"/>
          <c:dLbls>
            <c:dLbl>
              <c:idx val="0"/>
              <c:layout>
                <c:manualLayout>
                  <c:x val="-9.1941432033845485E-17"/>
                  <c:y val="1.403016485443704E-2"/>
                </c:manualLayout>
              </c:layout>
              <c:tx>
                <c:rich>
                  <a:bodyPr/>
                  <a:lstStyle/>
                  <a:p>
                    <a:r>
                      <a:rPr lang="en-US"/>
                      <a:t>cde</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20C-4BE0-A0F5-D3D2ED1400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Sheet1!$K$2</c:f>
              <c:numCache>
                <c:formatCode>General</c:formatCode>
                <c:ptCount val="1"/>
                <c:pt idx="0">
                  <c:v>1393.7</c:v>
                </c:pt>
              </c:numCache>
            </c:numRef>
          </c:val>
          <c:extLst>
            <c:ext xmlns:c16="http://schemas.microsoft.com/office/drawing/2014/chart" uri="{C3380CC4-5D6E-409C-BE32-E72D297353CC}">
              <c16:uniqueId val="{00000013-520C-4BE0-A0F5-D3D2ED140082}"/>
            </c:ext>
          </c:extLst>
        </c:ser>
        <c:dLbls>
          <c:dLblPos val="outEnd"/>
          <c:showLegendKey val="0"/>
          <c:showVal val="1"/>
          <c:showCatName val="0"/>
          <c:showSerName val="0"/>
          <c:showPercent val="0"/>
          <c:showBubbleSize val="0"/>
        </c:dLbls>
        <c:gapWidth val="219"/>
        <c:overlap val="-27"/>
        <c:axId val="793906768"/>
        <c:axId val="937921552"/>
      </c:barChart>
      <c:catAx>
        <c:axId val="793906768"/>
        <c:scaling>
          <c:orientation val="minMax"/>
        </c:scaling>
        <c:delete val="0"/>
        <c:axPos val="b"/>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37921552"/>
        <c:crosses val="autoZero"/>
        <c:auto val="1"/>
        <c:lblAlgn val="ctr"/>
        <c:lblOffset val="100"/>
        <c:noMultiLvlLbl val="0"/>
      </c:catAx>
      <c:valAx>
        <c:axId val="937921552"/>
        <c:scaling>
          <c:orientation val="minMax"/>
        </c:scaling>
        <c:delete val="0"/>
        <c:axPos val="l"/>
        <c:numFmt formatCode="General" sourceLinked="1"/>
        <c:majorTickMark val="out"/>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93906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0.03721</cdr:x>
      <cdr:y>0.3774</cdr:y>
    </cdr:from>
    <cdr:to>
      <cdr:x>0.08373</cdr:x>
      <cdr:y>0.76333</cdr:y>
    </cdr:to>
    <cdr:sp macro="" textlink="">
      <cdr:nvSpPr>
        <cdr:cNvPr id="2" name="Text Box 1"/>
        <cdr:cNvSpPr txBox="1"/>
      </cdr:nvSpPr>
      <cdr:spPr>
        <a:xfrm xmlns:a="http://schemas.openxmlformats.org/drawingml/2006/main">
          <a:off x="218364" y="1207827"/>
          <a:ext cx="272956" cy="12351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3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0.01744</cdr:x>
      <cdr:y>0.3177</cdr:y>
    </cdr:from>
    <cdr:to>
      <cdr:x>0.05814</cdr:x>
      <cdr:y>0.70789</cdr:y>
    </cdr:to>
    <cdr:sp macro="" textlink="">
      <cdr:nvSpPr>
        <cdr:cNvPr id="3" name="Text Box 2"/>
        <cdr:cNvSpPr txBox="1"/>
      </cdr:nvSpPr>
      <cdr:spPr>
        <a:xfrm xmlns:a="http://schemas.openxmlformats.org/drawingml/2006/main">
          <a:off x="102358" y="1016758"/>
          <a:ext cx="238836" cy="12487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0.29369</cdr:x>
      <cdr:y>0.85273</cdr:y>
    </cdr:from>
    <cdr:to>
      <cdr:x>0.76465</cdr:x>
      <cdr:y>1</cdr:y>
    </cdr:to>
    <cdr:sp macro="" textlink="">
      <cdr:nvSpPr>
        <cdr:cNvPr id="2" name="Text Box 1"/>
        <cdr:cNvSpPr txBox="1"/>
      </cdr:nvSpPr>
      <cdr:spPr>
        <a:xfrm xmlns:a="http://schemas.openxmlformats.org/drawingml/2006/main">
          <a:off x="811987" y="1521562"/>
          <a:ext cx="1302105" cy="2627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0.02646</cdr:x>
      <cdr:y>0</cdr:y>
    </cdr:from>
    <cdr:to>
      <cdr:x>0.12151</cdr:x>
      <cdr:y>0.72974</cdr:y>
    </cdr:to>
    <cdr:sp macro="" textlink="">
      <cdr:nvSpPr>
        <cdr:cNvPr id="3" name="Text Box 1"/>
        <cdr:cNvSpPr txBox="1"/>
      </cdr:nvSpPr>
      <cdr:spPr>
        <a:xfrm xmlns:a="http://schemas.openxmlformats.org/drawingml/2006/main" rot="16200000">
          <a:off x="-446500"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0.32299</cdr:x>
      <cdr:y>0.84386</cdr:y>
    </cdr:from>
    <cdr:to>
      <cdr:x>0.77948</cdr:x>
      <cdr:y>0.99177</cdr:y>
    </cdr:to>
    <cdr:sp macro="" textlink="">
      <cdr:nvSpPr>
        <cdr:cNvPr id="2" name="Text Box 1"/>
        <cdr:cNvSpPr txBox="1"/>
      </cdr:nvSpPr>
      <cdr:spPr>
        <a:xfrm xmlns:a="http://schemas.openxmlformats.org/drawingml/2006/main">
          <a:off x="921309" y="1499312"/>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after </a:t>
          </a:r>
          <a:r>
            <a:rPr lang="en-US" sz="900" b="1">
              <a:latin typeface="Arial" panose="020B0604020202020204" pitchFamily="34" charset="0"/>
              <a:cs typeface="Arial" panose="020B0604020202020204" pitchFamily="34" charset="0"/>
            </a:rPr>
            <a:t>sowing</a:t>
          </a:r>
        </a:p>
      </cdr:txBody>
    </cdr:sp>
  </cdr:relSizeAnchor>
  <cdr:relSizeAnchor xmlns:cdr="http://schemas.openxmlformats.org/drawingml/2006/chartDrawing">
    <cdr:from>
      <cdr:x>0.02038</cdr:x>
      <cdr:y>0</cdr:y>
    </cdr:from>
    <cdr:to>
      <cdr:x>0.1125</cdr:x>
      <cdr:y>0.73287</cdr:y>
    </cdr:to>
    <cdr:sp macro="" textlink="">
      <cdr:nvSpPr>
        <cdr:cNvPr id="3" name="Text Box 1"/>
        <cdr:cNvSpPr txBox="1"/>
      </cdr:nvSpPr>
      <cdr:spPr>
        <a:xfrm xmlns:a="http://schemas.openxmlformats.org/drawingml/2006/main" rot="16200000">
          <a:off x="-461539" y="-394741"/>
          <a:ext cx="1302105" cy="2627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TDM</a:t>
          </a:r>
          <a:r>
            <a:rPr lang="en-US" sz="800" b="1">
              <a:latin typeface="Arial" panose="020B0604020202020204" pitchFamily="34" charset="0"/>
              <a:cs typeface="Arial" panose="020B0604020202020204" pitchFamily="34" charset="0"/>
            </a:rPr>
            <a:t> ( gm</a:t>
          </a:r>
          <a:r>
            <a:rPr lang="en-US" sz="800" b="1" baseline="30000">
              <a:latin typeface="Arial" panose="020B0604020202020204" pitchFamily="34" charset="0"/>
              <a:cs typeface="Arial" panose="020B0604020202020204" pitchFamily="34" charset="0"/>
            </a:rPr>
            <a:t>-2</a:t>
          </a:r>
          <a:r>
            <a:rPr lang="en-US" sz="800" b="1">
              <a:latin typeface="Arial" panose="020B0604020202020204" pitchFamily="34" charset="0"/>
              <a:cs typeface="Arial" panose="020B0604020202020204" pitchFamily="34" charset="0"/>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0.23766</cdr:x>
      <cdr:y>0.80338</cdr:y>
    </cdr:from>
    <cdr:to>
      <cdr:x>0.74733</cdr:x>
      <cdr:y>0.92031</cdr:y>
    </cdr:to>
    <cdr:sp macro="" textlink="">
      <cdr:nvSpPr>
        <cdr:cNvPr id="2" name="Text Box 1"/>
        <cdr:cNvSpPr txBox="1"/>
      </cdr:nvSpPr>
      <cdr:spPr>
        <a:xfrm xmlns:a="http://schemas.openxmlformats.org/drawingml/2006/main">
          <a:off x="612705" y="1428417"/>
          <a:ext cx="1313980" cy="207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Days </a:t>
          </a:r>
          <a:r>
            <a:rPr lang="en-US" sz="900" b="1">
              <a:latin typeface="Arial" panose="020B0604020202020204" pitchFamily="34" charset="0"/>
              <a:cs typeface="Arial" panose="020B0604020202020204" pitchFamily="34" charset="0"/>
            </a:rPr>
            <a:t>after</a:t>
          </a:r>
          <a:r>
            <a:rPr lang="en-US" sz="800" b="1">
              <a:latin typeface="Arial" panose="020B0604020202020204" pitchFamily="34" charset="0"/>
              <a:cs typeface="Arial" panose="020B0604020202020204" pitchFamily="34" charset="0"/>
            </a:rPr>
            <a:t> sowing</a:t>
          </a:r>
        </a:p>
      </cdr:txBody>
    </cdr:sp>
  </cdr:relSizeAnchor>
  <cdr:relSizeAnchor xmlns:cdr="http://schemas.openxmlformats.org/drawingml/2006/chartDrawing">
    <cdr:from>
      <cdr:x>4.26545E-7</cdr:x>
      <cdr:y>0.04421</cdr:y>
    </cdr:from>
    <cdr:to>
      <cdr:x>0.08614</cdr:x>
      <cdr:y>0.73601</cdr:y>
    </cdr:to>
    <cdr:sp macro="" textlink="">
      <cdr:nvSpPr>
        <cdr:cNvPr id="3" name="Text Box 1"/>
        <cdr:cNvSpPr txBox="1"/>
      </cdr:nvSpPr>
      <cdr:spPr>
        <a:xfrm xmlns:a="http://schemas.openxmlformats.org/drawingml/2006/main" rot="16200000">
          <a:off x="-496468" y="572823"/>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Leaf</a:t>
          </a:r>
          <a:r>
            <a:rPr lang="en-US" sz="800" b="1" baseline="0">
              <a:latin typeface="Arial" panose="020B0604020202020204" pitchFamily="34" charset="0"/>
              <a:cs typeface="Arial" panose="020B0604020202020204" pitchFamily="34" charset="0"/>
            </a:rPr>
            <a:t> </a:t>
          </a:r>
          <a:r>
            <a:rPr lang="en-US" sz="900" b="1" baseline="0">
              <a:latin typeface="Arial" panose="020B0604020202020204" pitchFamily="34" charset="0"/>
              <a:cs typeface="Arial" panose="020B0604020202020204" pitchFamily="34" charset="0"/>
            </a:rPr>
            <a:t>area</a:t>
          </a:r>
          <a:r>
            <a:rPr lang="en-US" sz="800" b="1" baseline="0">
              <a:latin typeface="Arial" panose="020B0604020202020204" pitchFamily="34" charset="0"/>
              <a:cs typeface="Arial" panose="020B0604020202020204" pitchFamily="34" charset="0"/>
            </a:rPr>
            <a:t> index</a:t>
          </a:r>
          <a:endParaRPr lang="en-US" sz="800" b="1">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0.30463</cdr:x>
      <cdr:y>0.79071</cdr:y>
    </cdr:from>
    <cdr:to>
      <cdr:x>0.84536</cdr:x>
      <cdr:y>0.90503</cdr:y>
    </cdr:to>
    <cdr:sp macro="" textlink="">
      <cdr:nvSpPr>
        <cdr:cNvPr id="3" name="Text Box 2"/>
        <cdr:cNvSpPr txBox="1"/>
      </cdr:nvSpPr>
      <cdr:spPr>
        <a:xfrm xmlns:a="http://schemas.openxmlformats.org/drawingml/2006/main">
          <a:off x="673178" y="1396844"/>
          <a:ext cx="1194891" cy="2019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latin typeface="Arial" panose="020B0604020202020204" pitchFamily="34" charset="0"/>
              <a:cs typeface="Arial" panose="020B0604020202020204" pitchFamily="34" charset="0"/>
            </a:rPr>
            <a:t>Days after sowing</a:t>
          </a:r>
        </a:p>
      </cdr:txBody>
    </cdr:sp>
  </cdr:relSizeAnchor>
  <cdr:relSizeAnchor xmlns:cdr="http://schemas.openxmlformats.org/drawingml/2006/chartDrawing">
    <cdr:from>
      <cdr:x>0</cdr:x>
      <cdr:y>0.02082</cdr:y>
    </cdr:from>
    <cdr:to>
      <cdr:x>0.09139</cdr:x>
      <cdr:y>0.69721</cdr:y>
    </cdr:to>
    <cdr:sp macro="" textlink="">
      <cdr:nvSpPr>
        <cdr:cNvPr id="4" name="Text Box 1"/>
        <cdr:cNvSpPr txBox="1"/>
      </cdr:nvSpPr>
      <cdr:spPr>
        <a:xfrm xmlns:a="http://schemas.openxmlformats.org/drawingml/2006/main" rot="16200000">
          <a:off x="-1410868" y="533242"/>
          <a:ext cx="1194891" cy="2019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Leaf</a:t>
          </a:r>
          <a:r>
            <a:rPr lang="en-US" sz="900" b="1" baseline="0">
              <a:latin typeface="Arial" panose="020B0604020202020204" pitchFamily="34" charset="0"/>
              <a:cs typeface="Arial" panose="020B0604020202020204" pitchFamily="34" charset="0"/>
            </a:rPr>
            <a:t> area index</a:t>
          </a:r>
          <a:endParaRPr lang="en-US" sz="900" b="1">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0.19216</cdr:x>
      <cdr:y>0.83155</cdr:y>
    </cdr:from>
    <cdr:to>
      <cdr:x>0.85245</cdr:x>
      <cdr:y>0.93172</cdr:y>
    </cdr:to>
    <cdr:sp macro="" textlink="">
      <cdr:nvSpPr>
        <cdr:cNvPr id="2" name="Text Box 1"/>
        <cdr:cNvSpPr txBox="1"/>
      </cdr:nvSpPr>
      <cdr:spPr>
        <a:xfrm xmlns:a="http://schemas.openxmlformats.org/drawingml/2006/main">
          <a:off x="491993" y="1504904"/>
          <a:ext cx="1690554" cy="1812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0.06088</cdr:y>
    </cdr:from>
    <cdr:to>
      <cdr:x>0.07469</cdr:x>
      <cdr:y>0.74614</cdr:y>
    </cdr:to>
    <cdr:sp macro="" textlink="">
      <cdr:nvSpPr>
        <cdr:cNvPr id="3" name="Text Box 1"/>
        <cdr:cNvSpPr txBox="1"/>
      </cdr:nvSpPr>
      <cdr:spPr>
        <a:xfrm xmlns:a="http://schemas.openxmlformats.org/drawingml/2006/main" rot="16200000">
          <a:off x="-1947747" y="624897"/>
          <a:ext cx="1228400" cy="1968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0.22124</cdr:x>
      <cdr:y>0.84371</cdr:y>
    </cdr:from>
    <cdr:to>
      <cdr:x>0.87247</cdr:x>
      <cdr:y>0.95075</cdr:y>
    </cdr:to>
    <cdr:sp macro="" textlink="">
      <cdr:nvSpPr>
        <cdr:cNvPr id="2" name="Text Box 1"/>
        <cdr:cNvSpPr txBox="1"/>
      </cdr:nvSpPr>
      <cdr:spPr>
        <a:xfrm xmlns:a="http://schemas.openxmlformats.org/drawingml/2006/main">
          <a:off x="572486" y="1527444"/>
          <a:ext cx="1685139" cy="1937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b="1">
              <a:latin typeface="Arial" panose="020B0604020202020204" pitchFamily="34" charset="0"/>
              <a:cs typeface="Arial" panose="020B0604020202020204" pitchFamily="34" charset="0"/>
            </a:rPr>
            <a:t>Days after</a:t>
          </a:r>
          <a:r>
            <a:rPr lang="en-US" sz="900" b="1" baseline="0">
              <a:latin typeface="Arial" panose="020B0604020202020204" pitchFamily="34" charset="0"/>
              <a:cs typeface="Arial" panose="020B0604020202020204" pitchFamily="34" charset="0"/>
            </a:rPr>
            <a:t> sowing </a:t>
          </a:r>
          <a:endParaRPr lang="en-US"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0.06911</cdr:x>
      <cdr:y>0.24304</cdr:y>
    </cdr:from>
    <cdr:to>
      <cdr:x>0.11112</cdr:x>
      <cdr:y>0.70686</cdr:y>
    </cdr:to>
    <cdr:sp macro="" textlink="">
      <cdr:nvSpPr>
        <cdr:cNvPr id="3" name="Text Box 2"/>
        <cdr:cNvSpPr txBox="1"/>
      </cdr:nvSpPr>
      <cdr:spPr>
        <a:xfrm xmlns:a="http://schemas.openxmlformats.org/drawingml/2006/main" rot="10800000">
          <a:off x="302821" y="777833"/>
          <a:ext cx="184067" cy="1484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0.06842</cdr:y>
    </cdr:from>
    <cdr:to>
      <cdr:x>0.06449</cdr:x>
      <cdr:y>0.72833</cdr:y>
    </cdr:to>
    <cdr:sp macro="" textlink="">
      <cdr:nvSpPr>
        <cdr:cNvPr id="4" name="Text Box 1"/>
        <cdr:cNvSpPr txBox="1"/>
      </cdr:nvSpPr>
      <cdr:spPr>
        <a:xfrm xmlns:a="http://schemas.openxmlformats.org/drawingml/2006/main" rot="16200000">
          <a:off x="-517186" y="641053"/>
          <a:ext cx="1194691" cy="160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latin typeface="Arial" panose="020B0604020202020204" pitchFamily="34" charset="0"/>
              <a:cs typeface="Arial" panose="020B0604020202020204" pitchFamily="34" charset="0"/>
            </a:rPr>
            <a:t>CGR</a:t>
          </a:r>
          <a:r>
            <a:rPr lang="en-US" sz="900" b="1" baseline="0">
              <a:latin typeface="Arial" panose="020B0604020202020204" pitchFamily="34" charset="0"/>
              <a:cs typeface="Arial" panose="020B0604020202020204" pitchFamily="34" charset="0"/>
            </a:rPr>
            <a:t> (gm</a:t>
          </a:r>
          <a:r>
            <a:rPr lang="en-US" sz="900" b="1" baseline="30000">
              <a:latin typeface="Arial" panose="020B0604020202020204" pitchFamily="34" charset="0"/>
              <a:cs typeface="Arial" panose="020B0604020202020204" pitchFamily="34" charset="0"/>
            </a:rPr>
            <a:t>-2</a:t>
          </a:r>
          <a:r>
            <a:rPr lang="en-US" sz="900" b="1" baseline="0">
              <a:latin typeface="Arial" panose="020B0604020202020204" pitchFamily="34" charset="0"/>
              <a:cs typeface="Arial" panose="020B0604020202020204" pitchFamily="34" charset="0"/>
            </a:rPr>
            <a:t> day</a:t>
          </a:r>
          <a:r>
            <a:rPr lang="en-US" sz="900" b="1" baseline="30000">
              <a:latin typeface="Arial" panose="020B0604020202020204" pitchFamily="34" charset="0"/>
              <a:cs typeface="Arial" panose="020B0604020202020204" pitchFamily="34" charset="0"/>
            </a:rPr>
            <a:t>-1</a:t>
          </a:r>
          <a:r>
            <a:rPr lang="en-US" sz="900" b="1" baseline="0">
              <a:latin typeface="Arial" panose="020B0604020202020204" pitchFamily="34" charset="0"/>
              <a:cs typeface="Arial" panose="020B0604020202020204" pitchFamily="34" charset="0"/>
            </a:rPr>
            <a:t>)</a:t>
          </a:r>
          <a:endParaRPr lang="en-US" sz="900" b="1">
            <a:latin typeface="Arial" panose="020B0604020202020204" pitchFamily="34" charset="0"/>
            <a:cs typeface="Arial" panose="020B060402020202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0.44422</cdr:x>
      <cdr:y>0.87642</cdr:y>
    </cdr:from>
    <cdr:to>
      <cdr:x>0.82746</cdr:x>
      <cdr:y>0.99208</cdr:y>
    </cdr:to>
    <cdr:sp macro="" textlink="">
      <cdr:nvSpPr>
        <cdr:cNvPr id="2" name="Text Box 1"/>
        <cdr:cNvSpPr txBox="1"/>
      </cdr:nvSpPr>
      <cdr:spPr>
        <a:xfrm xmlns:a="http://schemas.openxmlformats.org/drawingml/2006/main">
          <a:off x="1141868" y="1529342"/>
          <a:ext cx="985111" cy="2018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0.01977</cdr:x>
      <cdr:y>0</cdr:y>
    </cdr:from>
    <cdr:to>
      <cdr:x>0.09561</cdr:x>
      <cdr:y>0.78262</cdr:y>
    </cdr:to>
    <cdr:sp macro="" textlink="">
      <cdr:nvSpPr>
        <cdr:cNvPr id="3" name="Text Box 1"/>
        <cdr:cNvSpPr txBox="1"/>
      </cdr:nvSpPr>
      <cdr:spPr>
        <a:xfrm xmlns:a="http://schemas.openxmlformats.org/drawingml/2006/main" rot="16200000">
          <a:off x="-534547" y="-6035139"/>
          <a:ext cx="1365662" cy="1949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a:t>
          </a:r>
          <a:r>
            <a:rPr lang="en-US" sz="1000">
              <a:latin typeface="Arial" panose="020B0604020202020204" pitchFamily="34" charset="0"/>
              <a:cs typeface="Arial" panose="020B0604020202020204" pitchFamily="34" charset="0"/>
            </a:rPr>
            <a:t> yield</a:t>
          </a:r>
          <a:r>
            <a:rPr lang="en-US" sz="1000" baseline="0">
              <a:latin typeface="Arial" panose="020B0604020202020204" pitchFamily="34" charset="0"/>
              <a:cs typeface="Arial" panose="020B0604020202020204" pitchFamily="34" charset="0"/>
            </a:rPr>
            <a:t> (kg ha</a:t>
          </a:r>
          <a:r>
            <a:rPr lang="en-US" sz="1000" baseline="30000">
              <a:latin typeface="Arial" panose="020B0604020202020204" pitchFamily="34" charset="0"/>
              <a:cs typeface="Arial" panose="020B0604020202020204" pitchFamily="34" charset="0"/>
            </a:rPr>
            <a:t>-1</a:t>
          </a:r>
          <a:r>
            <a:rPr lang="en-US" sz="1000" baseline="0">
              <a:latin typeface="Arial" panose="020B0604020202020204" pitchFamily="34" charset="0"/>
              <a:cs typeface="Arial" panose="020B0604020202020204" pitchFamily="34" charset="0"/>
            </a:rPr>
            <a:t> )</a:t>
          </a:r>
          <a:r>
            <a:rPr lang="en-US" sz="1000" baseline="30000">
              <a:latin typeface="Arial" panose="020B0604020202020204" pitchFamily="34" charset="0"/>
              <a:cs typeface="Arial" panose="020B0604020202020204" pitchFamily="34" charset="0"/>
            </a:rPr>
            <a:t> </a:t>
          </a:r>
        </a:p>
      </cdr:txBody>
    </cdr:sp>
  </cdr:relSizeAnchor>
  <cdr:relSizeAnchor xmlns:cdr="http://schemas.openxmlformats.org/drawingml/2006/chartDrawing">
    <cdr:from>
      <cdr:x>0.26251</cdr:x>
      <cdr:y>0.77307</cdr:y>
    </cdr:from>
    <cdr:to>
      <cdr:x>0.40662</cdr:x>
      <cdr:y>0.91041</cdr:y>
    </cdr:to>
    <cdr:sp macro="" textlink="">
      <cdr:nvSpPr>
        <cdr:cNvPr id="4" name="Text Box 1"/>
        <cdr:cNvSpPr txBox="1"/>
      </cdr:nvSpPr>
      <cdr:spPr>
        <a:xfrm xmlns:a="http://schemas.openxmlformats.org/drawingml/2006/main">
          <a:off x="674764"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0.32256</cdr:x>
      <cdr:y>0.77307</cdr:y>
    </cdr:from>
    <cdr:to>
      <cdr:x>0.46667</cdr:x>
      <cdr:y>0.91041</cdr:y>
    </cdr:to>
    <cdr:sp macro="" textlink="">
      <cdr:nvSpPr>
        <cdr:cNvPr id="5" name="Text Box 1"/>
        <cdr:cNvSpPr txBox="1"/>
      </cdr:nvSpPr>
      <cdr:spPr>
        <a:xfrm xmlns:a="http://schemas.openxmlformats.org/drawingml/2006/main">
          <a:off x="82914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0.38262</cdr:x>
      <cdr:y>0.78328</cdr:y>
    </cdr:from>
    <cdr:to>
      <cdr:x>0.52673</cdr:x>
      <cdr:y>0.92062</cdr:y>
    </cdr:to>
    <cdr:sp macro="" textlink="">
      <cdr:nvSpPr>
        <cdr:cNvPr id="6" name="Text Box 1"/>
        <cdr:cNvSpPr txBox="1"/>
      </cdr:nvSpPr>
      <cdr:spPr>
        <a:xfrm xmlns:a="http://schemas.openxmlformats.org/drawingml/2006/main">
          <a:off x="983522" y="1366803"/>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0.43806</cdr:x>
      <cdr:y>0.77307</cdr:y>
    </cdr:from>
    <cdr:to>
      <cdr:x>0.58217</cdr:x>
      <cdr:y>0.91041</cdr:y>
    </cdr:to>
    <cdr:sp macro="" textlink="">
      <cdr:nvSpPr>
        <cdr:cNvPr id="7" name="Text Box 1"/>
        <cdr:cNvSpPr txBox="1"/>
      </cdr:nvSpPr>
      <cdr:spPr>
        <a:xfrm xmlns:a="http://schemas.openxmlformats.org/drawingml/2006/main">
          <a:off x="1126026"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0.49812</cdr:x>
      <cdr:y>0.77647</cdr:y>
    </cdr:from>
    <cdr:to>
      <cdr:x>0.64223</cdr:x>
      <cdr:y>0.91382</cdr:y>
    </cdr:to>
    <cdr:sp macro="" textlink="">
      <cdr:nvSpPr>
        <cdr:cNvPr id="8" name="Text Box 1"/>
        <cdr:cNvSpPr txBox="1"/>
      </cdr:nvSpPr>
      <cdr:spPr>
        <a:xfrm xmlns:a="http://schemas.openxmlformats.org/drawingml/2006/main">
          <a:off x="1280405" y="1354928"/>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0.56049</cdr:x>
      <cdr:y>0.77647</cdr:y>
    </cdr:from>
    <cdr:to>
      <cdr:x>0.7046</cdr:x>
      <cdr:y>0.91382</cdr:y>
    </cdr:to>
    <cdr:sp macro="" textlink="">
      <cdr:nvSpPr>
        <cdr:cNvPr id="9" name="Text Box 1"/>
        <cdr:cNvSpPr txBox="1"/>
      </cdr:nvSpPr>
      <cdr:spPr>
        <a:xfrm xmlns:a="http://schemas.openxmlformats.org/drawingml/2006/main">
          <a:off x="1440722" y="1354927"/>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0.61824</cdr:x>
      <cdr:y>0.77307</cdr:y>
    </cdr:from>
    <cdr:to>
      <cdr:x>0.76235</cdr:x>
      <cdr:y>0.91041</cdr:y>
    </cdr:to>
    <cdr:sp macro="" textlink="">
      <cdr:nvSpPr>
        <cdr:cNvPr id="10" name="Text Box 1"/>
        <cdr:cNvSpPr txBox="1"/>
      </cdr:nvSpPr>
      <cdr:spPr>
        <a:xfrm xmlns:a="http://schemas.openxmlformats.org/drawingml/2006/main">
          <a:off x="1589163"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0.6806</cdr:x>
      <cdr:y>0.77307</cdr:y>
    </cdr:from>
    <cdr:to>
      <cdr:x>0.82472</cdr:x>
      <cdr:y>0.91041</cdr:y>
    </cdr:to>
    <cdr:sp macro="" textlink="">
      <cdr:nvSpPr>
        <cdr:cNvPr id="11" name="Text Box 1"/>
        <cdr:cNvSpPr txBox="1"/>
      </cdr:nvSpPr>
      <cdr:spPr>
        <a:xfrm xmlns:a="http://schemas.openxmlformats.org/drawingml/2006/main">
          <a:off x="174948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0.73604</cdr:x>
      <cdr:y>0.77307</cdr:y>
    </cdr:from>
    <cdr:to>
      <cdr:x>0.88015</cdr:x>
      <cdr:y>0.91041</cdr:y>
    </cdr:to>
    <cdr:sp macro="" textlink="">
      <cdr:nvSpPr>
        <cdr:cNvPr id="12" name="Text Box 1"/>
        <cdr:cNvSpPr txBox="1"/>
      </cdr:nvSpPr>
      <cdr:spPr>
        <a:xfrm xmlns:a="http://schemas.openxmlformats.org/drawingml/2006/main">
          <a:off x="1891985"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0.79841</cdr:x>
      <cdr:y>0.77307</cdr:y>
    </cdr:from>
    <cdr:to>
      <cdr:x>0.94252</cdr:x>
      <cdr:y>0.91041</cdr:y>
    </cdr:to>
    <cdr:sp macro="" textlink="">
      <cdr:nvSpPr>
        <cdr:cNvPr id="13" name="Text Box 1"/>
        <cdr:cNvSpPr txBox="1"/>
      </cdr:nvSpPr>
      <cdr:spPr>
        <a:xfrm xmlns:a="http://schemas.openxmlformats.org/drawingml/2006/main">
          <a:off x="2052301" y="1348990"/>
          <a:ext cx="370434" cy="2396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userShapes>
</file>

<file path=word/drawings/drawing9.xml><?xml version="1.0" encoding="utf-8"?>
<c:userShapes xmlns:c="http://schemas.openxmlformats.org/drawingml/2006/chart">
  <cdr:relSizeAnchor xmlns:cdr="http://schemas.openxmlformats.org/drawingml/2006/chartDrawing">
    <cdr:from>
      <cdr:x>0.2612</cdr:x>
      <cdr:y>0.76662</cdr:y>
    </cdr:from>
    <cdr:to>
      <cdr:x>0.40464</cdr:x>
      <cdr:y>0.90253</cdr:y>
    </cdr:to>
    <cdr:sp macro="" textlink="">
      <cdr:nvSpPr>
        <cdr:cNvPr id="2" name="Text Box 1"/>
        <cdr:cNvSpPr txBox="1"/>
      </cdr:nvSpPr>
      <cdr:spPr>
        <a:xfrm xmlns:a="http://schemas.openxmlformats.org/drawingml/2006/main">
          <a:off x="674398" y="1413188"/>
          <a:ext cx="370349" cy="2505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a:t>
          </a:r>
        </a:p>
      </cdr:txBody>
    </cdr:sp>
  </cdr:relSizeAnchor>
  <cdr:relSizeAnchor xmlns:cdr="http://schemas.openxmlformats.org/drawingml/2006/chartDrawing">
    <cdr:from>
      <cdr:x>0.44839</cdr:x>
      <cdr:y>0.77357</cdr:y>
    </cdr:from>
    <cdr:to>
      <cdr:x>0.58575</cdr:x>
      <cdr:y>0.89483</cdr:y>
    </cdr:to>
    <cdr:sp macro="" textlink="">
      <cdr:nvSpPr>
        <cdr:cNvPr id="3" name="Text Box 1"/>
        <cdr:cNvSpPr txBox="1"/>
      </cdr:nvSpPr>
      <cdr:spPr>
        <a:xfrm xmlns:a="http://schemas.openxmlformats.org/drawingml/2006/main">
          <a:off x="1157694" y="1426012"/>
          <a:ext cx="354651" cy="2235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4</a:t>
          </a:r>
        </a:p>
      </cdr:txBody>
    </cdr:sp>
  </cdr:relSizeAnchor>
  <cdr:relSizeAnchor xmlns:cdr="http://schemas.openxmlformats.org/drawingml/2006/chartDrawing">
    <cdr:from>
      <cdr:x>0.38954</cdr:x>
      <cdr:y>0.77788</cdr:y>
    </cdr:from>
    <cdr:to>
      <cdr:x>0.52598</cdr:x>
      <cdr:y>0.89879</cdr:y>
    </cdr:to>
    <cdr:sp macro="" textlink="">
      <cdr:nvSpPr>
        <cdr:cNvPr id="4" name="Text Box 1"/>
        <cdr:cNvSpPr txBox="1"/>
      </cdr:nvSpPr>
      <cdr:spPr>
        <a:xfrm xmlns:a="http://schemas.openxmlformats.org/drawingml/2006/main">
          <a:off x="1005749" y="1433954"/>
          <a:ext cx="352276" cy="2228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3</a:t>
          </a:r>
        </a:p>
      </cdr:txBody>
    </cdr:sp>
  </cdr:relSizeAnchor>
  <cdr:relSizeAnchor xmlns:cdr="http://schemas.openxmlformats.org/drawingml/2006/chartDrawing">
    <cdr:from>
      <cdr:x>0.32666</cdr:x>
      <cdr:y>0.78582</cdr:y>
    </cdr:from>
    <cdr:to>
      <cdr:x>0.47083</cdr:x>
      <cdr:y>0.90336</cdr:y>
    </cdr:to>
    <cdr:sp macro="" textlink="">
      <cdr:nvSpPr>
        <cdr:cNvPr id="5" name="Text Box 1"/>
        <cdr:cNvSpPr txBox="1"/>
      </cdr:nvSpPr>
      <cdr:spPr>
        <a:xfrm xmlns:a="http://schemas.openxmlformats.org/drawingml/2006/main">
          <a:off x="843405" y="1448584"/>
          <a:ext cx="372233" cy="2166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2</a:t>
          </a:r>
        </a:p>
      </cdr:txBody>
    </cdr:sp>
  </cdr:relSizeAnchor>
  <cdr:relSizeAnchor xmlns:cdr="http://schemas.openxmlformats.org/drawingml/2006/chartDrawing">
    <cdr:from>
      <cdr:x>0.51502</cdr:x>
      <cdr:y>0.76588</cdr:y>
    </cdr:from>
    <cdr:to>
      <cdr:x>0.6792</cdr:x>
      <cdr:y>0.88889</cdr:y>
    </cdr:to>
    <cdr:sp macro="" textlink="">
      <cdr:nvSpPr>
        <cdr:cNvPr id="6" name="Text Box 1"/>
        <cdr:cNvSpPr txBox="1"/>
      </cdr:nvSpPr>
      <cdr:spPr>
        <a:xfrm xmlns:a="http://schemas.openxmlformats.org/drawingml/2006/main">
          <a:off x="1329742" y="1411834"/>
          <a:ext cx="423883" cy="226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5</a:t>
          </a:r>
        </a:p>
      </cdr:txBody>
    </cdr:sp>
  </cdr:relSizeAnchor>
  <cdr:relSizeAnchor xmlns:cdr="http://schemas.openxmlformats.org/drawingml/2006/chartDrawing">
    <cdr:from>
      <cdr:x>0.8277</cdr:x>
      <cdr:y>0.76588</cdr:y>
    </cdr:from>
    <cdr:to>
      <cdr:x>0.99433</cdr:x>
      <cdr:y>0.86112</cdr:y>
    </cdr:to>
    <cdr:sp macro="" textlink="">
      <cdr:nvSpPr>
        <cdr:cNvPr id="7" name="Text Box 1"/>
        <cdr:cNvSpPr txBox="1"/>
      </cdr:nvSpPr>
      <cdr:spPr>
        <a:xfrm xmlns:a="http://schemas.openxmlformats.org/drawingml/2006/main">
          <a:off x="2137056" y="1411832"/>
          <a:ext cx="430223" cy="1755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10</a:t>
          </a:r>
        </a:p>
      </cdr:txBody>
    </cdr:sp>
  </cdr:relSizeAnchor>
  <cdr:relSizeAnchor xmlns:cdr="http://schemas.openxmlformats.org/drawingml/2006/chartDrawing">
    <cdr:from>
      <cdr:x>0.57573</cdr:x>
      <cdr:y>0.76999</cdr:y>
    </cdr:from>
    <cdr:to>
      <cdr:x>0.73466</cdr:x>
      <cdr:y>0.9065</cdr:y>
    </cdr:to>
    <cdr:sp macro="" textlink="">
      <cdr:nvSpPr>
        <cdr:cNvPr id="8" name="Text Box 1"/>
        <cdr:cNvSpPr txBox="1"/>
      </cdr:nvSpPr>
      <cdr:spPr>
        <a:xfrm xmlns:a="http://schemas.openxmlformats.org/drawingml/2006/main">
          <a:off x="1486493" y="1419398"/>
          <a:ext cx="410342" cy="2516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6</a:t>
          </a:r>
        </a:p>
      </cdr:txBody>
    </cdr:sp>
  </cdr:relSizeAnchor>
  <cdr:relSizeAnchor xmlns:cdr="http://schemas.openxmlformats.org/drawingml/2006/chartDrawing">
    <cdr:from>
      <cdr:x>0.70606</cdr:x>
      <cdr:y>0.76761</cdr:y>
    </cdr:from>
    <cdr:to>
      <cdr:x>0.87997</cdr:x>
      <cdr:y>0.89459</cdr:y>
    </cdr:to>
    <cdr:sp macro="" textlink="">
      <cdr:nvSpPr>
        <cdr:cNvPr id="9" name="Text Box 1"/>
        <cdr:cNvSpPr txBox="1"/>
      </cdr:nvSpPr>
      <cdr:spPr>
        <a:xfrm xmlns:a="http://schemas.openxmlformats.org/drawingml/2006/main">
          <a:off x="1822988" y="1415008"/>
          <a:ext cx="449020" cy="2340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8</a:t>
          </a:r>
        </a:p>
      </cdr:txBody>
    </cdr:sp>
  </cdr:relSizeAnchor>
  <cdr:relSizeAnchor xmlns:cdr="http://schemas.openxmlformats.org/drawingml/2006/chartDrawing">
    <cdr:from>
      <cdr:x>0.76416</cdr:x>
      <cdr:y>0.76192</cdr:y>
    </cdr:from>
    <cdr:to>
      <cdr:x>0.97714</cdr:x>
      <cdr:y>0.88096</cdr:y>
    </cdr:to>
    <cdr:sp macro="" textlink="">
      <cdr:nvSpPr>
        <cdr:cNvPr id="10" name="Text Box 1"/>
        <cdr:cNvSpPr txBox="1"/>
      </cdr:nvSpPr>
      <cdr:spPr>
        <a:xfrm xmlns:a="http://schemas.openxmlformats.org/drawingml/2006/main">
          <a:off x="1972992" y="1404518"/>
          <a:ext cx="549895" cy="2194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9</a:t>
          </a:r>
        </a:p>
      </cdr:txBody>
    </cdr:sp>
  </cdr:relSizeAnchor>
  <cdr:relSizeAnchor xmlns:cdr="http://schemas.openxmlformats.org/drawingml/2006/chartDrawing">
    <cdr:from>
      <cdr:x>0.64811</cdr:x>
      <cdr:y>0.76985</cdr:y>
    </cdr:from>
    <cdr:to>
      <cdr:x>0.84489</cdr:x>
      <cdr:y>0.88889</cdr:y>
    </cdr:to>
    <cdr:sp macro="" textlink="">
      <cdr:nvSpPr>
        <cdr:cNvPr id="11" name="Text Box 1"/>
        <cdr:cNvSpPr txBox="1"/>
      </cdr:nvSpPr>
      <cdr:spPr>
        <a:xfrm xmlns:a="http://schemas.openxmlformats.org/drawingml/2006/main">
          <a:off x="1673360" y="1419149"/>
          <a:ext cx="508067" cy="2194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latin typeface="Arial" panose="020B0604020202020204" pitchFamily="34" charset="0"/>
              <a:cs typeface="Arial" panose="020B0604020202020204" pitchFamily="34" charset="0"/>
            </a:rPr>
            <a:t>T</a:t>
          </a:r>
          <a:r>
            <a:rPr lang="en-US" sz="1000" baseline="-25000">
              <a:latin typeface="Arial" panose="020B0604020202020204" pitchFamily="34" charset="0"/>
              <a:cs typeface="Arial" panose="020B0604020202020204" pitchFamily="34" charset="0"/>
            </a:rPr>
            <a:t>7</a:t>
          </a:r>
        </a:p>
      </cdr:txBody>
    </cdr:sp>
  </cdr:relSizeAnchor>
  <cdr:relSizeAnchor xmlns:cdr="http://schemas.openxmlformats.org/drawingml/2006/chartDrawing">
    <cdr:from>
      <cdr:x>0.47122</cdr:x>
      <cdr:y>0.86968</cdr:y>
    </cdr:from>
    <cdr:to>
      <cdr:x>0.85267</cdr:x>
      <cdr:y>0.98413</cdr:y>
    </cdr:to>
    <cdr:sp macro="" textlink="">
      <cdr:nvSpPr>
        <cdr:cNvPr id="12" name="Text Box 11"/>
        <cdr:cNvSpPr txBox="1"/>
      </cdr:nvSpPr>
      <cdr:spPr>
        <a:xfrm xmlns:a="http://schemas.openxmlformats.org/drawingml/2006/main">
          <a:off x="1216650" y="1603166"/>
          <a:ext cx="984869" cy="2109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Treatments</a:t>
          </a:r>
        </a:p>
      </cdr:txBody>
    </cdr:sp>
  </cdr:relSizeAnchor>
  <cdr:relSizeAnchor xmlns:cdr="http://schemas.openxmlformats.org/drawingml/2006/chartDrawing">
    <cdr:from>
      <cdr:x>0.01136</cdr:x>
      <cdr:y>0.35158</cdr:y>
    </cdr:from>
    <cdr:to>
      <cdr:x>0.20509</cdr:x>
      <cdr:y>0.42579</cdr:y>
    </cdr:to>
    <cdr:sp macro="" textlink="">
      <cdr:nvSpPr>
        <cdr:cNvPr id="13" name="Text Box 12"/>
        <cdr:cNvSpPr txBox="1"/>
      </cdr:nvSpPr>
      <cdr:spPr>
        <a:xfrm xmlns:a="http://schemas.openxmlformats.org/drawingml/2006/main" rot="17038838">
          <a:off x="475013" y="712519"/>
          <a:ext cx="237506" cy="10628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3.94885E-7</cdr:x>
      <cdr:y>0.05787</cdr:y>
    </cdr:from>
    <cdr:to>
      <cdr:x>0.07549</cdr:x>
      <cdr:y>0.81029</cdr:y>
    </cdr:to>
    <cdr:sp macro="" textlink="">
      <cdr:nvSpPr>
        <cdr:cNvPr id="14" name="Text Box 1"/>
        <cdr:cNvSpPr txBox="1"/>
      </cdr:nvSpPr>
      <cdr:spPr>
        <a:xfrm xmlns:a="http://schemas.openxmlformats.org/drawingml/2006/main" rot="16200000">
          <a:off x="-585499" y="690275"/>
          <a:ext cx="1362170" cy="1911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Seed yield</a:t>
          </a:r>
          <a:r>
            <a:rPr lang="en-US" sz="900" baseline="0">
              <a:latin typeface="Arial" panose="020B0604020202020204" pitchFamily="34" charset="0"/>
              <a:cs typeface="Arial" panose="020B0604020202020204" pitchFamily="34" charset="0"/>
            </a:rPr>
            <a:t> (kg ha</a:t>
          </a:r>
          <a:r>
            <a:rPr lang="en-US" sz="900" baseline="30000">
              <a:latin typeface="Arial" panose="020B0604020202020204" pitchFamily="34" charset="0"/>
              <a:cs typeface="Arial" panose="020B0604020202020204" pitchFamily="34" charset="0"/>
            </a:rPr>
            <a:t>-1</a:t>
          </a:r>
          <a:r>
            <a:rPr lang="en-US" sz="900" baseline="0">
              <a:latin typeface="Arial" panose="020B0604020202020204" pitchFamily="34" charset="0"/>
              <a:cs typeface="Arial" panose="020B0604020202020204" pitchFamily="34" charset="0"/>
            </a:rPr>
            <a:t> )</a:t>
          </a:r>
          <a:r>
            <a:rPr lang="en-US" sz="900" baseline="30000">
              <a:latin typeface="Arial" panose="020B060402020202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6271-B1C7-4A2F-9F5F-7DF12239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15</Pages>
  <Words>9158</Words>
  <Characters>52204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61240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cp:revision>
  <cp:lastPrinted>1999-07-06T11:00:00Z</cp:lastPrinted>
  <dcterms:created xsi:type="dcterms:W3CDTF">2025-07-06T15:38:00Z</dcterms:created>
  <dcterms:modified xsi:type="dcterms:W3CDTF">2025-07-07T10:15:00Z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ad09bf77-4e27-3d2b-a98a-9738c34766af</vt:lpwstr>
  </property>
  <property fmtid="{D5CDD505-2E9C-101B-9397-08002B2CF9AE}" pid="24" name="Mendeley Citation Style_1">
    <vt:lpwstr>http://www.zotero.org/styles/apa</vt:lpwstr>
  </property>
</Properties>
</file>