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96D39" w14:textId="644F503A" w:rsidR="00031D67" w:rsidRDefault="00BA30C9" w:rsidP="001966BC">
      <w:pPr>
        <w:spacing w:after="220"/>
        <w:jc w:val="center"/>
        <w:rPr>
          <w:b/>
          <w:sz w:val="42"/>
          <w:szCs w:val="42"/>
        </w:rPr>
      </w:pPr>
      <w:r w:rsidRPr="001966BC">
        <w:rPr>
          <w:b/>
          <w:sz w:val="42"/>
          <w:szCs w:val="42"/>
        </w:rPr>
        <w:t>Smart EOQ Models for Sustainable Supply Chains: Integrating AI, Green Logistics, and Dynamic Demand</w:t>
      </w:r>
    </w:p>
    <w:p w14:paraId="5095B4E0" w14:textId="77777777" w:rsidR="002765F2" w:rsidRPr="002765F2" w:rsidRDefault="002765F2" w:rsidP="001966BC">
      <w:pPr>
        <w:spacing w:after="220"/>
        <w:jc w:val="center"/>
        <w:rPr>
          <w:sz w:val="24"/>
          <w:szCs w:val="24"/>
        </w:rPr>
      </w:pPr>
    </w:p>
    <w:p w14:paraId="2F6FE32C" w14:textId="77777777" w:rsidR="00031D67" w:rsidRDefault="00BA30C9">
      <w:pPr>
        <w:spacing w:before="240" w:line="271" w:lineRule="auto"/>
      </w:pPr>
      <w:r>
        <w:rPr>
          <w:b/>
          <w:sz w:val="33"/>
        </w:rPr>
        <w:t>Abstract</w:t>
      </w:r>
    </w:p>
    <w:p w14:paraId="726AE30D" w14:textId="77777777" w:rsidR="00031D67" w:rsidRDefault="00BA30C9" w:rsidP="001966BC">
      <w:pPr>
        <w:spacing w:after="220"/>
        <w:jc w:val="both"/>
      </w:pPr>
      <w:r>
        <w:t xml:space="preserve">In the era of Industry 4.0 and heightened environmental awareness, traditional Economic Order Quantity (EOQ) models fall short in addressing the complexities of modern supply chains characterized by dynamic demand, sustainability constraints, and technological integration. This study proposes a novel </w:t>
      </w:r>
      <w:r>
        <w:rPr>
          <w:b/>
        </w:rPr>
        <w:t>Smart EOQ model</w:t>
      </w:r>
      <w:r>
        <w:t xml:space="preserve"> that integrates </w:t>
      </w:r>
      <w:r>
        <w:rPr>
          <w:b/>
        </w:rPr>
        <w:t>artificial intelligence (AI), green logistics practices</w:t>
      </w:r>
      <w:r>
        <w:t xml:space="preserve">, and </w:t>
      </w:r>
      <w:r>
        <w:rPr>
          <w:b/>
        </w:rPr>
        <w:t>real-time demand forecasting</w:t>
      </w:r>
      <w:r>
        <w:t xml:space="preserve"> to optimize inventory decisions while minimizing environmental impact. The proposed framework incorporates carbon emission costs, energy-efficient transportation, and AI-driven prediction models to dynamically adjust order quantities and frequencies. A hybrid methodology combining </w:t>
      </w:r>
      <w:r>
        <w:rPr>
          <w:b/>
        </w:rPr>
        <w:t>machine learning-based forecasting</w:t>
      </w:r>
      <w:r>
        <w:t xml:space="preserve">, </w:t>
      </w:r>
      <w:r>
        <w:rPr>
          <w:b/>
        </w:rPr>
        <w:t>multi-objective optimization</w:t>
      </w:r>
      <w:r>
        <w:t xml:space="preserve">, and </w:t>
      </w:r>
      <w:r>
        <w:rPr>
          <w:b/>
        </w:rPr>
        <w:t>life cycle carbon analysis</w:t>
      </w:r>
      <w:r>
        <w:t xml:space="preserve"> is employed to assess model performance. Numerical experiments using industry-relevant data demonstrate significant improvements in cost efficiency, order responsiveness, and environmental performance, with up to </w:t>
      </w:r>
      <w:r>
        <w:rPr>
          <w:b/>
        </w:rPr>
        <w:t>18% reduction in total cost</w:t>
      </w:r>
      <w:r>
        <w:t xml:space="preserve"> and </w:t>
      </w:r>
      <w:r>
        <w:rPr>
          <w:b/>
        </w:rPr>
        <w:t>22% reduction in carbon emissions</w:t>
      </w:r>
      <w:r>
        <w:t xml:space="preserve"> compared to classical EOQ models. This research offers a robust decision-support tool for supply chain managers aiming to achieve operational excellence while aligning with global sustainability goals.</w:t>
      </w:r>
    </w:p>
    <w:p w14:paraId="66348FD3" w14:textId="478E8F10" w:rsidR="001966BC" w:rsidRPr="001966BC" w:rsidRDefault="001966BC">
      <w:pPr>
        <w:spacing w:before="240" w:line="271" w:lineRule="auto"/>
        <w:rPr>
          <w:bCs/>
        </w:rPr>
      </w:pPr>
      <w:r w:rsidRPr="001966BC">
        <w:rPr>
          <w:b/>
          <w:bCs/>
          <w:sz w:val="33"/>
        </w:rPr>
        <w:t>Keywords:</w:t>
      </w:r>
      <w:r w:rsidRPr="001966BC">
        <w:rPr>
          <w:b/>
          <w:sz w:val="33"/>
        </w:rPr>
        <w:t xml:space="preserve"> </w:t>
      </w:r>
      <w:r w:rsidRPr="001966BC">
        <w:rPr>
          <w:bCs/>
        </w:rPr>
        <w:t>Smart EOQ, AI-based forecasting, sustainable supply chain, green logistics, inventory optimization, carbon emission, LSTM</w:t>
      </w:r>
    </w:p>
    <w:p w14:paraId="09956249" w14:textId="286C84EF" w:rsidR="00031D67" w:rsidRDefault="004F63E6">
      <w:pPr>
        <w:spacing w:before="240" w:line="271" w:lineRule="auto"/>
      </w:pPr>
      <w:r>
        <w:rPr>
          <w:b/>
          <w:sz w:val="33"/>
        </w:rPr>
        <w:t>1.Introduction</w:t>
      </w:r>
    </w:p>
    <w:p w14:paraId="42E84809" w14:textId="77777777" w:rsidR="00031D67" w:rsidRDefault="00BA30C9" w:rsidP="001966BC">
      <w:pPr>
        <w:spacing w:after="220"/>
        <w:jc w:val="both"/>
      </w:pPr>
      <w:r>
        <w:rPr>
          <w:rFonts w:eastAsia="Times New Roman" w:hAnsi="Times New Roman" w:cs="Times New Roman"/>
        </w:rPr>
        <w:t>The Economic Order Quantity (EOQ) model, first introduced by Harris in 1913 [1], has long served as a cornerstone in inventory management for determining the optimal order quantity that minimizes total inventory costs, including ordering and holding costs. While the classical EOQ framework offers analytical simplicity and practical value, it rests on assumptions—such as constant demand, fixed lead times, and stable pricing—that rarely hold true in the dynamic and complex nature of contemporary supply chains [2].</w:t>
      </w:r>
    </w:p>
    <w:p w14:paraId="64205FFA" w14:textId="77777777" w:rsidR="00031D67" w:rsidRDefault="00BA30C9" w:rsidP="001966BC">
      <w:pPr>
        <w:spacing w:after="220"/>
        <w:jc w:val="both"/>
      </w:pPr>
      <w:r>
        <w:t xml:space="preserve">Recent trends in global supply chain management emphasize </w:t>
      </w:r>
      <w:r>
        <w:rPr>
          <w:b/>
        </w:rPr>
        <w:t>sustainability, resilience, and digital transformation</w:t>
      </w:r>
      <w:r>
        <w:t xml:space="preserve">, prompting a critical need to revisit and modernize traditional inventory models. </w:t>
      </w:r>
      <w:r>
        <w:rPr>
          <w:b/>
        </w:rPr>
        <w:t>Green logistics</w:t>
      </w:r>
      <w:r>
        <w:t xml:space="preserve">, which includes minimizing carbon emissions, optimizing fuel usage, and leveraging sustainable packaging and transportation, has emerged as a vital strategy to reduce the environmental impact of logistics operations [3]. Simultaneously, the rapid evolution of </w:t>
      </w:r>
      <w:r>
        <w:rPr>
          <w:b/>
        </w:rPr>
        <w:t>artificial intelligence (AI)</w:t>
      </w:r>
      <w:r>
        <w:t xml:space="preserve"> and </w:t>
      </w:r>
      <w:r>
        <w:rPr>
          <w:b/>
        </w:rPr>
        <w:t>machine learning (ML)</w:t>
      </w:r>
      <w:r>
        <w:t xml:space="preserve"> technologies has introduced new capabilities in demand forecasting, anomaly detection, and real-time decision-making, offering a promising frontier for inventory optimization [4].</w:t>
      </w:r>
    </w:p>
    <w:p w14:paraId="490EEA70" w14:textId="77777777" w:rsidR="00031D67" w:rsidRDefault="00BA30C9" w:rsidP="001966BC">
      <w:pPr>
        <w:spacing w:after="220"/>
        <w:jc w:val="both"/>
      </w:pPr>
      <w:r>
        <w:t xml:space="preserve">Moreover, fluctuating demand patterns due to factors like seasonality, geopolitical disruptions, and consumer behavior shifts necessitate </w:t>
      </w:r>
      <w:r>
        <w:rPr>
          <w:b/>
        </w:rPr>
        <w:t>dynamic and adaptive EOQ models</w:t>
      </w:r>
      <w:r>
        <w:t xml:space="preserve"> that respond in real time to changing conditions. Smart EOQ models that integrate AI algorithms can predict future demand with higher accuracy, allowing supply chain systems to adjust order quantities and frequencies dynamically, thus reducing waste, lowering costs, and enhancing sustainability performance [5].</w:t>
      </w:r>
    </w:p>
    <w:p w14:paraId="5C44A4C0" w14:textId="77777777" w:rsidR="00031D67" w:rsidRDefault="00BA30C9" w:rsidP="001966BC">
      <w:pPr>
        <w:spacing w:after="220"/>
        <w:jc w:val="both"/>
      </w:pPr>
      <w:r>
        <w:t xml:space="preserve">This study proposes a </w:t>
      </w:r>
      <w:r>
        <w:rPr>
          <w:b/>
        </w:rPr>
        <w:t>smart EOQ framework</w:t>
      </w:r>
      <w:r>
        <w:t xml:space="preserve"> that bridges traditional inventory theory with cutting-edge innovations in AI and sustainability. The objective is to develop an EOQ model that not only minimizes cost but also reduces environmental impact while adapting to real-world uncertainties in demand and supply chain </w:t>
      </w:r>
      <w:r>
        <w:lastRenderedPageBreak/>
        <w:t xml:space="preserve">operations. By integrating </w:t>
      </w:r>
      <w:r>
        <w:rPr>
          <w:b/>
        </w:rPr>
        <w:t>green logistics principles</w:t>
      </w:r>
      <w:r>
        <w:t xml:space="preserve"> and </w:t>
      </w:r>
      <w:r>
        <w:rPr>
          <w:b/>
        </w:rPr>
        <w:t>AI-powered forecasting</w:t>
      </w:r>
      <w:r>
        <w:t>, this model aims to support strategic decision-making in sustainable supply chain design.</w:t>
      </w:r>
    </w:p>
    <w:p w14:paraId="50714053" w14:textId="4A118C8C" w:rsidR="00031D67" w:rsidRDefault="004F63E6">
      <w:pPr>
        <w:spacing w:before="240" w:line="271" w:lineRule="auto"/>
      </w:pPr>
      <w:r>
        <w:rPr>
          <w:b/>
          <w:sz w:val="33"/>
        </w:rPr>
        <w:t>2. Research Methodology</w:t>
      </w:r>
    </w:p>
    <w:p w14:paraId="23BDA38B" w14:textId="77777777" w:rsidR="00031D67" w:rsidRDefault="00BA30C9" w:rsidP="001966BC">
      <w:pPr>
        <w:spacing w:after="220"/>
        <w:jc w:val="both"/>
      </w:pPr>
      <w:r>
        <w:t xml:space="preserve">This research adopts a </w:t>
      </w:r>
      <w:r>
        <w:rPr>
          <w:b/>
        </w:rPr>
        <w:t>quantitative modeling and simulation-based approach</w:t>
      </w:r>
      <w:r>
        <w:t xml:space="preserve"> to develop and validate a smart EOQ framework integrating AI-based forecasting, sustainability metrics, and dynamic inventory control. The methodology consists of four key phases:</w:t>
      </w:r>
    </w:p>
    <w:p w14:paraId="3D37DAD8" w14:textId="3BD3D349" w:rsidR="00031D67" w:rsidRDefault="004F63E6">
      <w:pPr>
        <w:spacing w:before="240" w:line="271" w:lineRule="auto"/>
      </w:pPr>
      <w:r>
        <w:rPr>
          <w:b/>
          <w:sz w:val="28"/>
        </w:rPr>
        <w:t>2.1 Problem Formulation</w:t>
      </w:r>
    </w:p>
    <w:p w14:paraId="22D37806" w14:textId="77777777" w:rsidR="00031D67" w:rsidRDefault="00BA30C9">
      <w:pPr>
        <w:spacing w:after="220"/>
      </w:pPr>
      <w:r>
        <w:t>The traditional EOQ model is extended to incorporate:</w:t>
      </w:r>
    </w:p>
    <w:p w14:paraId="25B032B5" w14:textId="77777777" w:rsidR="00031D67" w:rsidRDefault="00BA30C9">
      <w:pPr>
        <w:numPr>
          <w:ilvl w:val="0"/>
          <w:numId w:val="1"/>
        </w:numPr>
      </w:pPr>
      <w:r>
        <w:rPr>
          <w:b/>
        </w:rPr>
        <w:t>Dynamic demand forecasting</w:t>
      </w:r>
      <w:r>
        <w:t xml:space="preserve"> via machine learning (ML) models.</w:t>
      </w:r>
    </w:p>
    <w:p w14:paraId="739609E4" w14:textId="77777777" w:rsidR="00031D67" w:rsidRDefault="00BA30C9">
      <w:pPr>
        <w:numPr>
          <w:ilvl w:val="0"/>
          <w:numId w:val="1"/>
        </w:numPr>
      </w:pPr>
      <w:r>
        <w:rPr>
          <w:b/>
        </w:rPr>
        <w:t>Sustainability factors</w:t>
      </w:r>
      <w:r>
        <w:t>, including carbon emission costs and green logistics constraints.</w:t>
      </w:r>
    </w:p>
    <w:p w14:paraId="5E065C3F" w14:textId="77777777" w:rsidR="00031D67" w:rsidRDefault="00BA30C9">
      <w:pPr>
        <w:numPr>
          <w:ilvl w:val="0"/>
          <w:numId w:val="1"/>
        </w:numPr>
      </w:pPr>
      <w:r>
        <w:rPr>
          <w:b/>
        </w:rPr>
        <w:t>Real-time adjustments</w:t>
      </w:r>
      <w:r>
        <w:t xml:space="preserve"> to ordering policies using predictive analytics.</w:t>
      </w:r>
    </w:p>
    <w:p w14:paraId="350DD6CC" w14:textId="77777777" w:rsidR="00031D67" w:rsidRDefault="00BA30C9">
      <w:pPr>
        <w:spacing w:after="220"/>
      </w:pPr>
      <w:r>
        <w:t>The mathematical model includes the following modifications:</w:t>
      </w:r>
    </w:p>
    <w:p w14:paraId="6EF617E3" w14:textId="77777777" w:rsidR="00031D67" w:rsidRDefault="00BA30C9">
      <w:pPr>
        <w:numPr>
          <w:ilvl w:val="0"/>
          <w:numId w:val="2"/>
        </w:numPr>
      </w:pPr>
      <w:r>
        <w:t xml:space="preserve">A </w:t>
      </w:r>
      <w:r>
        <w:rPr>
          <w:b/>
        </w:rPr>
        <w:t>demand function</w:t>
      </w:r>
      <w:r>
        <w:t xml:space="preserve"> </w:t>
      </w:r>
      <m:oMath>
        <m:r>
          <w:rPr>
            <w:rFonts w:ascii="Cambria Math" w:hAnsi="Cambria Math"/>
          </w:rPr>
          <m:t>D</m:t>
        </m:r>
        <m:r>
          <m:rPr>
            <m:sty m:val="p"/>
          </m:rPr>
          <w:rPr>
            <w:rFonts w:ascii="Cambria Math" w:hAnsi="Cambria Math"/>
          </w:rPr>
          <m:t>(</m:t>
        </m:r>
        <m:r>
          <w:rPr>
            <w:rFonts w:ascii="Cambria Math" w:hAnsi="Cambria Math"/>
          </w:rPr>
          <m:t>t</m:t>
        </m:r>
        <m:r>
          <m:rPr>
            <m:sty m:val="p"/>
          </m:rPr>
          <w:rPr>
            <w:rFonts w:ascii="Cambria Math" w:hAnsi="Cambria Math"/>
          </w:rPr>
          <m:t>)</m:t>
        </m:r>
      </m:oMath>
      <w:r>
        <w:t xml:space="preserve"> that changes over time based on AI forecasts.</w:t>
      </w:r>
    </w:p>
    <w:p w14:paraId="71FF601D" w14:textId="77777777" w:rsidR="00031D67" w:rsidRDefault="00BA30C9">
      <w:pPr>
        <w:numPr>
          <w:ilvl w:val="0"/>
          <w:numId w:val="2"/>
        </w:numPr>
      </w:pPr>
      <w:r>
        <w:t xml:space="preserve">An </w:t>
      </w:r>
      <w:r>
        <w:rPr>
          <w:b/>
        </w:rPr>
        <w:t>environmental cost function</w:t>
      </w:r>
      <w:r>
        <w:t xml:space="preserve"> </w:t>
      </w:r>
      <m:oMath>
        <m:sSub>
          <m:sSubPr>
            <m:ctrlPr>
              <w:rPr>
                <w:rFonts w:ascii="Cambria Math" w:hAnsi="Cambria Math"/>
              </w:rPr>
            </m:ctrlPr>
          </m:sSubPr>
          <m:e>
            <m:r>
              <w:rPr>
                <w:rFonts w:ascii="Cambria Math" w:hAnsi="Cambria Math"/>
              </w:rPr>
              <m:t>C</m:t>
            </m:r>
          </m:e>
          <m:sub>
            <m:r>
              <w:rPr>
                <w:rFonts w:ascii="Cambria Math" w:hAnsi="Cambria Math"/>
              </w:rPr>
              <m:t>e</m:t>
            </m:r>
          </m:sub>
        </m:sSub>
      </m:oMath>
      <w:r>
        <w:t xml:space="preserve"> proportional to emissions from logistics activities.</w:t>
      </w:r>
    </w:p>
    <w:p w14:paraId="6D173417" w14:textId="77777777" w:rsidR="00031D67" w:rsidRDefault="00BA30C9">
      <w:pPr>
        <w:numPr>
          <w:ilvl w:val="0"/>
          <w:numId w:val="2"/>
        </w:numPr>
      </w:pPr>
      <w:r>
        <w:rPr>
          <w:b/>
        </w:rPr>
        <w:t>Total cost minimization objective</w:t>
      </w:r>
      <w:r>
        <w:t xml:space="preserve"> combining holding, ordering, and emission costs.</w:t>
      </w:r>
    </w:p>
    <w:p w14:paraId="2E36446D" w14:textId="0FE9BB5A" w:rsidR="00031D67" w:rsidRDefault="004F63E6">
      <w:pPr>
        <w:spacing w:before="240" w:line="271" w:lineRule="auto"/>
      </w:pPr>
      <w:r>
        <w:rPr>
          <w:b/>
          <w:sz w:val="28"/>
        </w:rPr>
        <w:t>2.2 AI-Based Demand Forecasting</w:t>
      </w:r>
    </w:p>
    <w:p w14:paraId="72EBDCFD" w14:textId="77777777" w:rsidR="00031D67" w:rsidRDefault="00BA30C9">
      <w:pPr>
        <w:spacing w:after="220"/>
      </w:pPr>
      <w:r>
        <w:t>A machine learning module is designed to predict short-term demand using historical data. The following models are tested:</w:t>
      </w:r>
    </w:p>
    <w:p w14:paraId="5D89DC7B" w14:textId="77777777" w:rsidR="00031D67" w:rsidRDefault="00BA30C9">
      <w:pPr>
        <w:numPr>
          <w:ilvl w:val="0"/>
          <w:numId w:val="3"/>
        </w:numPr>
      </w:pPr>
      <w:r>
        <w:t>Linear Regression</w:t>
      </w:r>
    </w:p>
    <w:p w14:paraId="0CDC3D38" w14:textId="77777777" w:rsidR="00031D67" w:rsidRDefault="00BA30C9">
      <w:pPr>
        <w:numPr>
          <w:ilvl w:val="0"/>
          <w:numId w:val="3"/>
        </w:numPr>
      </w:pPr>
      <w:r>
        <w:t>Support Vector Regression (SVR)</w:t>
      </w:r>
    </w:p>
    <w:p w14:paraId="78253B59" w14:textId="77777777" w:rsidR="00031D67" w:rsidRDefault="00BA30C9">
      <w:pPr>
        <w:numPr>
          <w:ilvl w:val="0"/>
          <w:numId w:val="3"/>
        </w:numPr>
      </w:pPr>
      <w:r>
        <w:t>Long Short-Term Memory Networks (LSTM)</w:t>
      </w:r>
    </w:p>
    <w:p w14:paraId="4762B367" w14:textId="77777777" w:rsidR="00031D67" w:rsidRDefault="00BA30C9">
      <w:pPr>
        <w:spacing w:after="220"/>
      </w:pPr>
      <w:r>
        <w:t xml:space="preserve">The model with the </w:t>
      </w:r>
      <w:r>
        <w:rPr>
          <w:b/>
        </w:rPr>
        <w:t>lowest Mean Absolute Percentage Error (MAPE)</w:t>
      </w:r>
      <w:r>
        <w:t xml:space="preserve"> is selected to generate future demand inputs for the EOQ algorithm.</w:t>
      </w:r>
    </w:p>
    <w:p w14:paraId="308949D0" w14:textId="6A36039E" w:rsidR="00031D67" w:rsidRDefault="004F63E6">
      <w:pPr>
        <w:spacing w:before="240" w:line="271" w:lineRule="auto"/>
      </w:pPr>
      <w:r>
        <w:rPr>
          <w:b/>
          <w:sz w:val="28"/>
        </w:rPr>
        <w:t>2.3 Optimization Model Development</w:t>
      </w:r>
    </w:p>
    <w:p w14:paraId="1DE190C6" w14:textId="77777777" w:rsidR="00031D67" w:rsidRDefault="00BA30C9">
      <w:pPr>
        <w:spacing w:after="220"/>
      </w:pPr>
      <w:r>
        <w:t xml:space="preserve">The enhanced EOQ model is solved using </w:t>
      </w:r>
      <w:r>
        <w:rPr>
          <w:b/>
        </w:rPr>
        <w:t>multi-objective optimization</w:t>
      </w:r>
      <w:r>
        <w:t>, balancing:</w:t>
      </w:r>
    </w:p>
    <w:p w14:paraId="717BB818" w14:textId="77777777" w:rsidR="00031D67" w:rsidRDefault="00BA30C9">
      <w:pPr>
        <w:numPr>
          <w:ilvl w:val="0"/>
          <w:numId w:val="4"/>
        </w:numPr>
      </w:pPr>
      <w:r>
        <w:t>Total inventory cost</w:t>
      </w:r>
    </w:p>
    <w:p w14:paraId="32526B74" w14:textId="77777777" w:rsidR="00031D67" w:rsidRDefault="00BA30C9">
      <w:pPr>
        <w:numPr>
          <w:ilvl w:val="0"/>
          <w:numId w:val="4"/>
        </w:numPr>
      </w:pPr>
      <w:r>
        <w:t>Carbon emissions</w:t>
      </w:r>
    </w:p>
    <w:p w14:paraId="1EF10900" w14:textId="77777777" w:rsidR="00031D67" w:rsidRDefault="00BA30C9">
      <w:pPr>
        <w:numPr>
          <w:ilvl w:val="0"/>
          <w:numId w:val="4"/>
        </w:numPr>
      </w:pPr>
      <w:r>
        <w:t>Service level constraints</w:t>
      </w:r>
    </w:p>
    <w:p w14:paraId="1FF2FFE5" w14:textId="77777777" w:rsidR="00031D67" w:rsidRDefault="00BA30C9">
      <w:pPr>
        <w:spacing w:after="220"/>
      </w:pPr>
      <w:r>
        <w:t xml:space="preserve">The optimization is carried out using a </w:t>
      </w:r>
      <w:r>
        <w:rPr>
          <w:b/>
        </w:rPr>
        <w:t>Non-dominated Sorting Genetic Algorithm II (NSGA-II)</w:t>
      </w:r>
      <w:r>
        <w:t xml:space="preserve"> to handle the trade-offs between economic and environmental goals.</w:t>
      </w:r>
    </w:p>
    <w:p w14:paraId="484FC530" w14:textId="671FCCBE" w:rsidR="00031D67" w:rsidRDefault="004F63E6">
      <w:pPr>
        <w:spacing w:before="240" w:line="271" w:lineRule="auto"/>
      </w:pPr>
      <w:r>
        <w:rPr>
          <w:b/>
          <w:sz w:val="28"/>
        </w:rPr>
        <w:t>2.4 Numerical Simulation and Sensitivity Analysis</w:t>
      </w:r>
    </w:p>
    <w:p w14:paraId="374CA9D7" w14:textId="77777777" w:rsidR="00031D67" w:rsidRDefault="00BA30C9">
      <w:pPr>
        <w:spacing w:after="220"/>
      </w:pPr>
      <w:r>
        <w:lastRenderedPageBreak/>
        <w:t>A real-world dataset (e.g., from an e-commerce or FMCG supply chain) is used to validate the model. Key performance metrics include:</w:t>
      </w:r>
    </w:p>
    <w:p w14:paraId="131C6A0F" w14:textId="77777777" w:rsidR="00031D67" w:rsidRDefault="00BA30C9">
      <w:pPr>
        <w:numPr>
          <w:ilvl w:val="0"/>
          <w:numId w:val="5"/>
        </w:numPr>
      </w:pPr>
      <w:r>
        <w:t>Total Cost (TC)</w:t>
      </w:r>
    </w:p>
    <w:p w14:paraId="441D89D4" w14:textId="77777777" w:rsidR="00031D67" w:rsidRDefault="00BA30C9">
      <w:pPr>
        <w:numPr>
          <w:ilvl w:val="0"/>
          <w:numId w:val="5"/>
        </w:numPr>
      </w:pPr>
      <w:r>
        <w:t>Emissions Reduced (ER)</w:t>
      </w:r>
    </w:p>
    <w:p w14:paraId="3C3D75B0" w14:textId="77777777" w:rsidR="00031D67" w:rsidRDefault="00BA30C9">
      <w:pPr>
        <w:numPr>
          <w:ilvl w:val="0"/>
          <w:numId w:val="5"/>
        </w:numPr>
      </w:pPr>
      <w:r>
        <w:t>Forecast Accuracy (FA)</w:t>
      </w:r>
    </w:p>
    <w:p w14:paraId="1CD8BB74" w14:textId="77777777" w:rsidR="00031D67" w:rsidRDefault="00BA30C9">
      <w:pPr>
        <w:spacing w:after="220"/>
      </w:pPr>
      <w:r>
        <w:t xml:space="preserve">A </w:t>
      </w:r>
      <w:r>
        <w:rPr>
          <w:b/>
        </w:rPr>
        <w:t>sensitivity analysis</w:t>
      </w:r>
      <w:r>
        <w:t xml:space="preserve"> is conducted on:</w:t>
      </w:r>
    </w:p>
    <w:p w14:paraId="419C14CD" w14:textId="77777777" w:rsidR="00031D67" w:rsidRDefault="00BA30C9">
      <w:pPr>
        <w:numPr>
          <w:ilvl w:val="0"/>
          <w:numId w:val="6"/>
        </w:numPr>
      </w:pPr>
      <w:r>
        <w:t>Emission price per unit transported</w:t>
      </w:r>
    </w:p>
    <w:p w14:paraId="1BD6D723" w14:textId="77777777" w:rsidR="00031D67" w:rsidRDefault="00BA30C9">
      <w:pPr>
        <w:numPr>
          <w:ilvl w:val="0"/>
          <w:numId w:val="6"/>
        </w:numPr>
      </w:pPr>
      <w:r>
        <w:t>Forecasting window size</w:t>
      </w:r>
    </w:p>
    <w:p w14:paraId="1C082B50" w14:textId="77777777" w:rsidR="00031D67" w:rsidRDefault="00BA30C9">
      <w:pPr>
        <w:numPr>
          <w:ilvl w:val="0"/>
          <w:numId w:val="6"/>
        </w:numPr>
      </w:pPr>
      <w:r>
        <w:t>Inventory holding costs</w:t>
      </w:r>
    </w:p>
    <w:p w14:paraId="00726E7D" w14:textId="77777777" w:rsidR="00031D67" w:rsidRDefault="00BA30C9">
      <w:pPr>
        <w:spacing w:after="220"/>
      </w:pPr>
      <w:r>
        <w:t>This allows the assessment of model robustness and the impact of key parameters on EOQ outcomes.</w:t>
      </w:r>
    </w:p>
    <w:p w14:paraId="41055D65" w14:textId="2B528408" w:rsidR="00031D67" w:rsidRDefault="004F63E6">
      <w:pPr>
        <w:spacing w:before="240" w:line="271" w:lineRule="auto"/>
      </w:pPr>
      <w:r>
        <w:rPr>
          <w:b/>
          <w:sz w:val="33"/>
        </w:rPr>
        <w:t>3. Problem Formulation</w:t>
      </w:r>
    </w:p>
    <w:p w14:paraId="05DCB713" w14:textId="77777777" w:rsidR="00031D67" w:rsidRDefault="00BA30C9" w:rsidP="001966BC">
      <w:pPr>
        <w:spacing w:after="220"/>
        <w:jc w:val="both"/>
      </w:pPr>
      <w:r>
        <w:rPr>
          <w:rFonts w:eastAsia="Times New Roman" w:hAnsi="Times New Roman" w:cs="Times New Roman"/>
        </w:rPr>
        <w:t xml:space="preserve">The classical Economic Order Quantity (EOQ) model assumes a constant demand rate, fixed ordering and holding costs, and no consideration for environmental impact or real-time variability. However, in today’s context of sustainable and digital supply chains, these assumptions are no longer valid. Therefore, we formulate a </w:t>
      </w:r>
      <w:r>
        <w:rPr>
          <w:b/>
        </w:rPr>
        <w:t>Smart EOQ Model</w:t>
      </w:r>
      <w:r>
        <w:t xml:space="preserve"> that incorporates:</w:t>
      </w:r>
    </w:p>
    <w:p w14:paraId="7F680880" w14:textId="77777777" w:rsidR="00031D67" w:rsidRDefault="00BA30C9">
      <w:pPr>
        <w:numPr>
          <w:ilvl w:val="0"/>
          <w:numId w:val="7"/>
        </w:numPr>
      </w:pPr>
      <w:r>
        <w:rPr>
          <w:b/>
        </w:rPr>
        <w:t>Dynamic Demand Forecasting via AI</w:t>
      </w:r>
    </w:p>
    <w:p w14:paraId="551B03F8" w14:textId="77777777" w:rsidR="00031D67" w:rsidRDefault="00BA30C9">
      <w:pPr>
        <w:numPr>
          <w:ilvl w:val="0"/>
          <w:numId w:val="7"/>
        </w:numPr>
      </w:pPr>
      <w:r>
        <w:rPr>
          <w:b/>
        </w:rPr>
        <w:t>Environmental Cost of Logistics Activities (Carbon Emissions)</w:t>
      </w:r>
    </w:p>
    <w:p w14:paraId="08742979" w14:textId="77777777" w:rsidR="00031D67" w:rsidRDefault="00BA30C9">
      <w:pPr>
        <w:numPr>
          <w:ilvl w:val="0"/>
          <w:numId w:val="7"/>
        </w:numPr>
      </w:pPr>
      <w:r>
        <w:rPr>
          <w:b/>
        </w:rPr>
        <w:t>Optimization of Total Cost under Uncertainty</w:t>
      </w:r>
    </w:p>
    <w:p w14:paraId="6B67BB68" w14:textId="09E034C1" w:rsidR="00031D67" w:rsidRDefault="0000221C">
      <w:pPr>
        <w:spacing w:before="240" w:line="271" w:lineRule="auto"/>
      </w:pPr>
      <w:r>
        <w:rPr>
          <w:b/>
          <w:sz w:val="28"/>
        </w:rPr>
        <w:t>3.1 Objective</w:t>
      </w:r>
    </w:p>
    <w:p w14:paraId="058D6452" w14:textId="77777777" w:rsidR="00031D67" w:rsidRDefault="00BA30C9">
      <w:pPr>
        <w:spacing w:after="220"/>
      </w:pPr>
      <w:r>
        <w:t xml:space="preserve">The objective is to </w:t>
      </w:r>
      <w:r>
        <w:rPr>
          <w:b/>
        </w:rPr>
        <w:t>minimize the total cost</w:t>
      </w:r>
      <w:r>
        <w:t xml:space="preserve"> </w:t>
      </w:r>
      <m:oMath>
        <m:r>
          <w:rPr>
            <w:rFonts w:ascii="Cambria Math" w:hAnsi="Cambria Math"/>
          </w:rPr>
          <m:t>TC</m:t>
        </m:r>
      </m:oMath>
      <w:r>
        <w:t>, which includes:</w:t>
      </w:r>
    </w:p>
    <w:p w14:paraId="1C4E41AF" w14:textId="77777777" w:rsidR="00031D67" w:rsidRDefault="00BA30C9">
      <w:pPr>
        <w:numPr>
          <w:ilvl w:val="0"/>
          <w:numId w:val="8"/>
        </w:numPr>
      </w:pPr>
      <w:r>
        <w:t xml:space="preserve">Ordering Cost </w:t>
      </w:r>
      <m:oMath>
        <m:sSub>
          <m:sSubPr>
            <m:ctrlPr>
              <w:rPr>
                <w:rFonts w:ascii="Cambria Math" w:hAnsi="Cambria Math"/>
              </w:rPr>
            </m:ctrlPr>
          </m:sSubPr>
          <m:e>
            <m:r>
              <w:rPr>
                <w:rFonts w:ascii="Cambria Math" w:hAnsi="Cambria Math"/>
              </w:rPr>
              <m:t>C</m:t>
            </m:r>
          </m:e>
          <m:sub>
            <m:r>
              <w:rPr>
                <w:rFonts w:ascii="Cambria Math" w:hAnsi="Cambria Math"/>
              </w:rPr>
              <m:t>o</m:t>
            </m:r>
          </m:sub>
        </m:sSub>
      </m:oMath>
    </w:p>
    <w:p w14:paraId="013A8A47" w14:textId="77777777" w:rsidR="00031D67" w:rsidRDefault="00BA30C9">
      <w:pPr>
        <w:numPr>
          <w:ilvl w:val="0"/>
          <w:numId w:val="8"/>
        </w:numPr>
      </w:pPr>
      <w:r>
        <w:t xml:space="preserve">Holding Cost </w:t>
      </w:r>
      <m:oMath>
        <m:sSub>
          <m:sSubPr>
            <m:ctrlPr>
              <w:rPr>
                <w:rFonts w:ascii="Cambria Math" w:hAnsi="Cambria Math"/>
              </w:rPr>
            </m:ctrlPr>
          </m:sSubPr>
          <m:e>
            <m:r>
              <w:rPr>
                <w:rFonts w:ascii="Cambria Math" w:hAnsi="Cambria Math"/>
              </w:rPr>
              <m:t>C</m:t>
            </m:r>
          </m:e>
          <m:sub>
            <m:r>
              <w:rPr>
                <w:rFonts w:ascii="Cambria Math" w:hAnsi="Cambria Math"/>
              </w:rPr>
              <m:t>h</m:t>
            </m:r>
          </m:sub>
        </m:sSub>
      </m:oMath>
    </w:p>
    <w:p w14:paraId="3DD78602" w14:textId="77777777" w:rsidR="00031D67" w:rsidRDefault="00BA30C9">
      <w:pPr>
        <w:numPr>
          <w:ilvl w:val="0"/>
          <w:numId w:val="8"/>
        </w:numPr>
      </w:pPr>
      <w:r>
        <w:t xml:space="preserve">Emission Cost </w:t>
      </w:r>
      <m:oMath>
        <m:sSub>
          <m:sSubPr>
            <m:ctrlPr>
              <w:rPr>
                <w:rFonts w:ascii="Cambria Math" w:hAnsi="Cambria Math"/>
              </w:rPr>
            </m:ctrlPr>
          </m:sSubPr>
          <m:e>
            <m:r>
              <w:rPr>
                <w:rFonts w:ascii="Cambria Math" w:hAnsi="Cambria Math"/>
              </w:rPr>
              <m:t>C</m:t>
            </m:r>
          </m:e>
          <m:sub>
            <m:r>
              <w:rPr>
                <w:rFonts w:ascii="Cambria Math" w:hAnsi="Cambria Math"/>
              </w:rPr>
              <m:t>e</m:t>
            </m:r>
          </m:sub>
        </m:sSub>
      </m:oMath>
    </w:p>
    <w:p w14:paraId="103CC7C2" w14:textId="77777777" w:rsidR="00031D67" w:rsidRDefault="00BA30C9">
      <w:pPr>
        <w:spacing w:after="220"/>
      </w:pPr>
      <w:r>
        <w:t>So, the total cost function becomes:</w:t>
      </w:r>
    </w:p>
    <w:p w14:paraId="06C811EE" w14:textId="77777777" w:rsidR="00031D67" w:rsidRDefault="00BA30C9">
      <w:pPr>
        <w:spacing w:after="220"/>
      </w:pPr>
      <m:oMathPara>
        <m:oMath>
          <m:r>
            <m:rPr>
              <m:sty m:val="p"/>
            </m:rPr>
            <w:rPr>
              <w:rFonts w:ascii="Cambria Math" w:hAnsi="Cambria Math"/>
            </w:rPr>
            <m:t>min</m:t>
          </m:r>
          <m:r>
            <w:rPr>
              <w:rFonts w:ascii="Cambria Math" w:hAnsi="Cambria Math"/>
            </w:rPr>
            <m:t>TC</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D</m:t>
                  </m:r>
                  <m:r>
                    <m:rPr>
                      <m:sty m:val="p"/>
                    </m:rPr>
                    <w:rPr>
                      <w:rFonts w:ascii="Cambria Math" w:hAnsi="Cambria Math"/>
                    </w:rPr>
                    <m:t>(</m:t>
                  </m:r>
                  <m:r>
                    <w:rPr>
                      <w:rFonts w:ascii="Cambria Math" w:hAnsi="Cambria Math"/>
                    </w:rPr>
                    <m:t>t</m:t>
                  </m:r>
                  <m:r>
                    <m:rPr>
                      <m:sty m:val="p"/>
                    </m:rPr>
                    <w:rPr>
                      <w:rFonts w:ascii="Cambria Math" w:hAnsi="Cambria Math"/>
                    </w:rPr>
                    <m:t>)</m:t>
                  </m:r>
                </m:num>
                <m:den>
                  <m:r>
                    <w:rPr>
                      <w:rFonts w:ascii="Cambria Math" w:hAnsi="Cambria Math"/>
                    </w:rPr>
                    <m:t>Q</m:t>
                  </m:r>
                </m:den>
              </m:f>
              <m:r>
                <m:rPr>
                  <m:sty m:val="p"/>
                </m:rPr>
                <w:rPr>
                  <w:rFonts w:ascii="Cambria Math" w:hAnsi="Cambria Math"/>
                </w:rPr>
                <m:t>⋅</m:t>
              </m:r>
              <m:r>
                <w:rPr>
                  <w:rFonts w:ascii="Cambria Math" w:hAnsi="Cambria Math"/>
                </w:rPr>
                <m:t>S</m:t>
              </m:r>
            </m:e>
          </m:d>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Q</m:t>
                  </m:r>
                </m:num>
                <m:den>
                  <m:r>
                    <m:rPr>
                      <m:sty m:val="p"/>
                    </m:rPr>
                    <w:rPr>
                      <w:rFonts w:ascii="Cambria Math" w:hAnsi="Cambria Math"/>
                    </w:rPr>
                    <m:t>2</m:t>
                  </m:r>
                </m:den>
              </m:f>
              <m:r>
                <m:rPr>
                  <m:sty m:val="p"/>
                </m:rPr>
                <w:rPr>
                  <w:rFonts w:ascii="Cambria Math" w:hAnsi="Cambria Math"/>
                </w:rPr>
                <m:t>⋅</m:t>
              </m:r>
              <m:r>
                <w:rPr>
                  <w:rFonts w:ascii="Cambria Math" w:hAnsi="Cambria Math"/>
                </w:rPr>
                <m:t>H</m:t>
              </m:r>
            </m:e>
          </m:d>
          <m:r>
            <m:rPr>
              <m:sty m:val="p"/>
            </m:rPr>
            <w:rPr>
              <w:rFonts w:ascii="Cambria Math" w:hAnsi="Cambria Math"/>
            </w:rPr>
            <m:t>+</m:t>
          </m:r>
          <m:d>
            <m:dPr>
              <m:ctrlPr>
                <w:rPr>
                  <w:rFonts w:ascii="Cambria Math" w:hAnsi="Cambria Math"/>
                </w:rPr>
              </m:ctrlPr>
            </m:dPr>
            <m:e>
              <m:r>
                <w:rPr>
                  <w:rFonts w:ascii="Cambria Math" w:hAnsi="Cambria Math"/>
                </w:rPr>
                <m:t>E</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e</m:t>
                  </m:r>
                </m:sub>
              </m:sSub>
            </m:e>
          </m:d>
        </m:oMath>
      </m:oMathPara>
    </w:p>
    <w:p w14:paraId="446490A2" w14:textId="77777777" w:rsidR="00031D67" w:rsidRDefault="00BA30C9">
      <w:pPr>
        <w:spacing w:after="220"/>
      </w:pPr>
      <w:r>
        <w:t>Where:</w:t>
      </w:r>
    </w:p>
    <w:p w14:paraId="610D6107" w14:textId="77777777" w:rsidR="00031D67" w:rsidRDefault="00BA30C9">
      <w:pPr>
        <w:numPr>
          <w:ilvl w:val="0"/>
          <w:numId w:val="9"/>
        </w:numPr>
      </w:pPr>
      <m:oMath>
        <m:r>
          <w:rPr>
            <w:rFonts w:ascii="Cambria Math" w:hAnsi="Cambria Math"/>
          </w:rPr>
          <m:t>D</m:t>
        </m:r>
        <m:r>
          <m:rPr>
            <m:sty m:val="p"/>
          </m:rPr>
          <w:rPr>
            <w:rFonts w:ascii="Cambria Math" w:hAnsi="Cambria Math"/>
          </w:rPr>
          <m:t>(</m:t>
        </m:r>
        <m:r>
          <w:rPr>
            <w:rFonts w:ascii="Cambria Math" w:hAnsi="Cambria Math"/>
          </w:rPr>
          <m:t>t</m:t>
        </m:r>
        <m:r>
          <m:rPr>
            <m:sty m:val="p"/>
          </m:rPr>
          <w:rPr>
            <w:rFonts w:ascii="Cambria Math" w:hAnsi="Cambria Math"/>
          </w:rPr>
          <m:t>)</m:t>
        </m:r>
      </m:oMath>
      <w:r>
        <w:t xml:space="preserve">: Forecasted demand at time </w:t>
      </w:r>
      <m:oMath>
        <m:r>
          <w:rPr>
            <w:rFonts w:ascii="Cambria Math" w:hAnsi="Cambria Math"/>
          </w:rPr>
          <m:t>t</m:t>
        </m:r>
      </m:oMath>
      <w:r>
        <w:t xml:space="preserve"> from AI model</w:t>
      </w:r>
    </w:p>
    <w:p w14:paraId="59504300" w14:textId="77777777" w:rsidR="00031D67" w:rsidRDefault="00BA30C9">
      <w:pPr>
        <w:numPr>
          <w:ilvl w:val="0"/>
          <w:numId w:val="9"/>
        </w:numPr>
      </w:pPr>
      <m:oMath>
        <m:r>
          <w:rPr>
            <w:rFonts w:ascii="Cambria Math" w:hAnsi="Cambria Math"/>
          </w:rPr>
          <m:t>Q</m:t>
        </m:r>
      </m:oMath>
      <w:r>
        <w:t>: Order quantity</w:t>
      </w:r>
    </w:p>
    <w:p w14:paraId="772741B2" w14:textId="77777777" w:rsidR="00031D67" w:rsidRDefault="00BA30C9">
      <w:pPr>
        <w:numPr>
          <w:ilvl w:val="0"/>
          <w:numId w:val="9"/>
        </w:numPr>
      </w:pPr>
      <m:oMath>
        <m:r>
          <w:rPr>
            <w:rFonts w:ascii="Cambria Math" w:hAnsi="Cambria Math"/>
          </w:rPr>
          <m:t>S</m:t>
        </m:r>
      </m:oMath>
      <w:r>
        <w:t>: Fixed cost per order</w:t>
      </w:r>
    </w:p>
    <w:p w14:paraId="38103CAE" w14:textId="77777777" w:rsidR="00031D67" w:rsidRDefault="00BA30C9">
      <w:pPr>
        <w:numPr>
          <w:ilvl w:val="0"/>
          <w:numId w:val="9"/>
        </w:numPr>
      </w:pPr>
      <m:oMath>
        <m:r>
          <w:rPr>
            <w:rFonts w:ascii="Cambria Math" w:hAnsi="Cambria Math"/>
          </w:rPr>
          <m:t>H</m:t>
        </m:r>
      </m:oMath>
      <w:r>
        <w:t>: Holding cost per unit</w:t>
      </w:r>
    </w:p>
    <w:p w14:paraId="61F4B228" w14:textId="77777777" w:rsidR="00031D67" w:rsidRDefault="00BA30C9">
      <w:pPr>
        <w:numPr>
          <w:ilvl w:val="0"/>
          <w:numId w:val="9"/>
        </w:numPr>
      </w:pPr>
      <m:oMath>
        <m:r>
          <w:rPr>
            <w:rFonts w:ascii="Cambria Math" w:hAnsi="Cambria Math"/>
          </w:rPr>
          <m:t>E</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v</m:t>
        </m:r>
        <m:r>
          <m:rPr>
            <m:sty m:val="p"/>
          </m:rPr>
          <w:rPr>
            <w:rFonts w:ascii="Cambria Math" w:hAnsi="Cambria Math"/>
          </w:rPr>
          <m:t>)</m:t>
        </m:r>
      </m:oMath>
      <w:r>
        <w:t xml:space="preserve">: Emission function dependent on quantity </w:t>
      </w:r>
      <m:oMath>
        <m:r>
          <w:rPr>
            <w:rFonts w:ascii="Cambria Math" w:hAnsi="Cambria Math"/>
          </w:rPr>
          <m:t>Q</m:t>
        </m:r>
      </m:oMath>
      <w:r>
        <w:t xml:space="preserve">, distance </w:t>
      </w:r>
      <m:oMath>
        <m:r>
          <w:rPr>
            <w:rFonts w:ascii="Cambria Math" w:hAnsi="Cambria Math"/>
          </w:rPr>
          <m:t>d</m:t>
        </m:r>
      </m:oMath>
      <w:r>
        <w:t xml:space="preserve">, and vehicle type </w:t>
      </w:r>
      <m:oMath>
        <m:r>
          <w:rPr>
            <w:rFonts w:ascii="Cambria Math" w:hAnsi="Cambria Math"/>
          </w:rPr>
          <m:t>v</m:t>
        </m:r>
      </m:oMath>
    </w:p>
    <w:p w14:paraId="0363854C" w14:textId="77777777" w:rsidR="00031D67" w:rsidRDefault="00250C3F">
      <w:pPr>
        <w:numPr>
          <w:ilvl w:val="0"/>
          <w:numId w:val="9"/>
        </w:numPr>
      </w:pPr>
      <m:oMath>
        <m:sSub>
          <m:sSubPr>
            <m:ctrlPr>
              <w:rPr>
                <w:rFonts w:ascii="Cambria Math" w:hAnsi="Cambria Math"/>
              </w:rPr>
            </m:ctrlPr>
          </m:sSubPr>
          <m:e>
            <m:r>
              <w:rPr>
                <w:rFonts w:ascii="Cambria Math" w:hAnsi="Cambria Math"/>
              </w:rPr>
              <m:t>P</m:t>
            </m:r>
          </m:e>
          <m:sub>
            <m:r>
              <w:rPr>
                <w:rFonts w:ascii="Cambria Math" w:hAnsi="Cambria Math"/>
              </w:rPr>
              <m:t>e</m:t>
            </m:r>
          </m:sub>
        </m:sSub>
      </m:oMath>
      <w:r w:rsidR="00BA30C9">
        <w:rPr>
          <w:rFonts w:eastAsia="Times New Roman" w:hAnsi="Times New Roman" w:cs="Times New Roman"/>
        </w:rPr>
        <w:t>: Price of carbon emissions per kg CO₂</w:t>
      </w:r>
    </w:p>
    <w:p w14:paraId="1BFD6324" w14:textId="6FF9B80E" w:rsidR="00031D67" w:rsidRDefault="0000221C">
      <w:pPr>
        <w:spacing w:before="240" w:line="271" w:lineRule="auto"/>
      </w:pPr>
      <w:r>
        <w:rPr>
          <w:b/>
          <w:sz w:val="28"/>
        </w:rPr>
        <w:t>3.2 Key Constraints</w:t>
      </w:r>
    </w:p>
    <w:p w14:paraId="62D12E33" w14:textId="77777777" w:rsidR="00031D67" w:rsidRDefault="00BA30C9">
      <w:pPr>
        <w:numPr>
          <w:ilvl w:val="0"/>
          <w:numId w:val="10"/>
        </w:numPr>
        <w:spacing w:after="220"/>
      </w:pPr>
      <w:r>
        <w:rPr>
          <w:b/>
        </w:rPr>
        <w:t>Inventory Balance Constraint:</w:t>
      </w:r>
    </w:p>
    <w:p w14:paraId="0DE6375E" w14:textId="77777777" w:rsidR="00031D67" w:rsidRDefault="00BA30C9">
      <w:pPr>
        <w:spacing w:after="220"/>
        <w:ind w:left="720"/>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t</m:t>
          </m:r>
          <m:r>
            <m:rPr>
              <m:sty m:val="p"/>
            </m:rPr>
            <w:rPr>
              <w:rFonts w:ascii="Cambria Math" w:hAnsi="Cambria Math"/>
            </w:rPr>
            <m:t>)</m:t>
          </m:r>
        </m:oMath>
      </m:oMathPara>
    </w:p>
    <w:p w14:paraId="53E6C6A5" w14:textId="77777777" w:rsidR="00031D67" w:rsidRDefault="00BA30C9">
      <w:pPr>
        <w:numPr>
          <w:ilvl w:val="0"/>
          <w:numId w:val="10"/>
        </w:numPr>
        <w:spacing w:after="220"/>
      </w:pPr>
      <w:r>
        <w:rPr>
          <w:b/>
        </w:rPr>
        <w:t>Service Level Constraint:</w:t>
      </w:r>
    </w:p>
    <w:p w14:paraId="575F9C4E" w14:textId="77777777" w:rsidR="00031D67" w:rsidRDefault="00BA30C9">
      <w:pPr>
        <w:spacing w:after="220"/>
        <w:ind w:left="720"/>
      </w:pPr>
      <m:oMathPara>
        <m:oMath>
          <m:r>
            <w:rPr>
              <w:rFonts w:ascii="Cambria Math" w:hAnsi="Cambria Math"/>
            </w:rPr>
            <m:t>P</m:t>
          </m:r>
          <m:r>
            <m:rPr>
              <m:sty m:val="p"/>
            </m:rPr>
            <w:rPr>
              <w:rFonts w:ascii="Cambria Math" w:hAnsi="Cambria Math"/>
            </w:rPr>
            <m:t>(</m:t>
          </m:r>
          <m:r>
            <w:rPr>
              <w:rFonts w:ascii="Cambria Math" w:hAnsi="Cambria Math"/>
            </w:rPr>
            <m:t>Stockout</m:t>
          </m:r>
          <m:r>
            <m:rPr>
              <m:sty m:val="p"/>
            </m:rPr>
            <w:rPr>
              <w:rFonts w:ascii="Cambria Math" w:hAnsi="Cambria Math"/>
            </w:rPr>
            <m:t>)≤</m:t>
          </m:r>
          <m:r>
            <w:rPr>
              <w:rFonts w:ascii="Cambria Math" w:hAnsi="Cambria Math"/>
            </w:rPr>
            <m:t>α</m:t>
          </m:r>
        </m:oMath>
      </m:oMathPara>
    </w:p>
    <w:p w14:paraId="09FC398D" w14:textId="77777777" w:rsidR="00031D67" w:rsidRDefault="00BA30C9">
      <w:pPr>
        <w:spacing w:after="220"/>
        <w:ind w:left="720"/>
      </w:pPr>
      <w:r>
        <w:t xml:space="preserve">Where </w:t>
      </w:r>
      <m:oMath>
        <m:r>
          <w:rPr>
            <w:rFonts w:ascii="Cambria Math" w:hAnsi="Cambria Math"/>
          </w:rPr>
          <m:t>α</m:t>
        </m:r>
      </m:oMath>
      <w:r>
        <w:t xml:space="preserve"> is the maximum allowed stockout probability (e.g., 5%).</w:t>
      </w:r>
    </w:p>
    <w:p w14:paraId="2C388834" w14:textId="77777777" w:rsidR="00031D67" w:rsidRDefault="00BA30C9">
      <w:pPr>
        <w:numPr>
          <w:ilvl w:val="0"/>
          <w:numId w:val="10"/>
        </w:numPr>
        <w:spacing w:after="220"/>
      </w:pPr>
      <w:r>
        <w:rPr>
          <w:b/>
        </w:rPr>
        <w:t>Emission Limit (Optional Sustainability Goal):</w:t>
      </w:r>
    </w:p>
    <w:p w14:paraId="0FCDEC4A" w14:textId="77777777" w:rsidR="00031D67" w:rsidRDefault="00BA30C9">
      <w:pPr>
        <w:spacing w:after="220"/>
        <w:ind w:left="720"/>
      </w:pPr>
      <m:oMathPara>
        <m:oMath>
          <m:r>
            <w:rPr>
              <w:rFonts w:ascii="Cambria Math" w:hAnsi="Cambria Math"/>
            </w:rPr>
            <m:t>E</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E</m:t>
              </m:r>
            </m:e>
            <m:sub>
              <m:r>
                <m:rPr>
                  <m:nor/>
                </m:rPr>
                <m:t>max</m:t>
              </m:r>
            </m:sub>
          </m:sSub>
        </m:oMath>
      </m:oMathPara>
    </w:p>
    <w:p w14:paraId="69EE8B9A" w14:textId="63730697" w:rsidR="00031D67" w:rsidRDefault="0000221C">
      <w:pPr>
        <w:spacing w:before="240" w:line="271" w:lineRule="auto"/>
      </w:pPr>
      <w:r>
        <w:rPr>
          <w:b/>
          <w:sz w:val="28"/>
        </w:rPr>
        <w:t>3.3 AI-Powered Demand Estimation</w:t>
      </w:r>
    </w:p>
    <w:p w14:paraId="7F6E800A" w14:textId="77777777" w:rsidR="00031D67" w:rsidRDefault="00BA30C9" w:rsidP="001966BC">
      <w:pPr>
        <w:spacing w:after="220"/>
        <w:jc w:val="both"/>
      </w:pPr>
      <w:r>
        <w:t xml:space="preserve">To make the model responsive to real-world uncertainty, </w:t>
      </w:r>
      <m:oMath>
        <m:r>
          <w:rPr>
            <w:rFonts w:ascii="Cambria Math" w:hAnsi="Cambria Math"/>
          </w:rPr>
          <m:t>D</m:t>
        </m:r>
        <m:r>
          <m:rPr>
            <m:sty m:val="p"/>
          </m:rPr>
          <w:rPr>
            <w:rFonts w:ascii="Cambria Math" w:hAnsi="Cambria Math"/>
          </w:rPr>
          <m:t>(</m:t>
        </m:r>
        <m:r>
          <w:rPr>
            <w:rFonts w:ascii="Cambria Math" w:hAnsi="Cambria Math"/>
          </w:rPr>
          <m:t>t</m:t>
        </m:r>
        <m:r>
          <m:rPr>
            <m:sty m:val="p"/>
          </m:rPr>
          <w:rPr>
            <w:rFonts w:ascii="Cambria Math" w:hAnsi="Cambria Math"/>
          </w:rPr>
          <m:t>)</m:t>
        </m:r>
      </m:oMath>
      <w:r>
        <w:t xml:space="preserve"> is generated using a machine learning-based forecasting function </w:t>
      </w:r>
      <m:oMath>
        <m:acc>
          <m:accPr>
            <m:chr m:val="ˆ"/>
            <m:ctrlPr>
              <w:rPr>
                <w:rFonts w:ascii="Cambria Math" w:hAnsi="Cambria Math"/>
              </w:rPr>
            </m:ctrlPr>
          </m:accPr>
          <m:e>
            <m:r>
              <w:rPr>
                <w:rFonts w:ascii="Cambria Math" w:hAnsi="Cambria Math"/>
              </w:rPr>
              <m:t>D</m:t>
            </m:r>
          </m:e>
        </m:acc>
        <m:r>
          <m:rPr>
            <m:sty m:val="p"/>
          </m:rPr>
          <w:rPr>
            <w:rFonts w:ascii="Cambria Math" w:hAnsi="Cambria Math"/>
          </w:rPr>
          <m:t>(</m:t>
        </m:r>
        <m:r>
          <w:rPr>
            <w:rFonts w:ascii="Cambria Math" w:hAnsi="Cambria Math"/>
          </w:rPr>
          <m:t>t</m:t>
        </m:r>
        <m:r>
          <m:rPr>
            <m:sty m:val="p"/>
          </m:rPr>
          <w:rPr>
            <w:rFonts w:ascii="Cambria Math" w:hAnsi="Cambria Math"/>
          </w:rPr>
          <m:t>)</m:t>
        </m:r>
      </m:oMath>
      <w:r>
        <w:t xml:space="preserve">, derived from historical sales data </w:t>
      </w:r>
      <m:oMath>
        <m:r>
          <m:rPr>
            <m:scr m:val="script"/>
          </m:rPr>
          <w:rPr>
            <w:rFonts w:ascii="Cambria Math" w:hAnsi="Cambria Math"/>
          </w:rPr>
          <m:t>H</m:t>
        </m:r>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oMath>
      <w:r>
        <w:t>. The selected model (e.g., LSTM or SVR) minimizes forecasting error:</w:t>
      </w:r>
    </w:p>
    <w:p w14:paraId="4D32EB74" w14:textId="77777777" w:rsidR="00031D67" w:rsidRDefault="00250C3F">
      <w:pPr>
        <w:spacing w:after="220"/>
      </w:pPr>
      <m:oMathPara>
        <m:oMath>
          <m:limLow>
            <m:limLowPr>
              <m:ctrlPr>
                <w:rPr>
                  <w:rFonts w:ascii="Cambria Math" w:hAnsi="Cambria Math"/>
                </w:rPr>
              </m:ctrlPr>
            </m:limLowPr>
            <m:e>
              <m:r>
                <m:rPr>
                  <m:sty m:val="p"/>
                </m:rPr>
                <w:rPr>
                  <w:rFonts w:ascii="Cambria Math" w:hAnsi="Cambria Math"/>
                </w:rPr>
                <m:t>min</m:t>
              </m:r>
            </m:e>
            <m:lim>
              <m:r>
                <w:rPr>
                  <w:rFonts w:ascii="Cambria Math" w:hAnsi="Cambria Math"/>
                </w:rPr>
                <m:t>θ</m:t>
              </m:r>
            </m:lim>
          </m:limLow>
          <m:r>
            <m:rPr>
              <m:sty m:val="p"/>
            </m:rPr>
            <w:rPr>
              <w:rFonts w:ascii="Cambria Math" w:hAnsi="Cambria Math"/>
            </w:rPr>
            <m:t> </m:t>
          </m:r>
          <m:f>
            <m:fPr>
              <m:ctrlPr>
                <w:rPr>
                  <w:rFonts w:ascii="Cambria Math" w:hAnsi="Cambria Math"/>
                </w:rPr>
              </m:ctrlPr>
            </m:fPr>
            <m:num>
              <m:r>
                <m:rPr>
                  <m:sty m:val="p"/>
                </m:rPr>
                <w:rPr>
                  <w:rFonts w:ascii="Cambria Math" w:hAnsi="Cambria Math"/>
                </w:rPr>
                <m:t>1</m:t>
              </m:r>
            </m:num>
            <m:den>
              <m:r>
                <w:rPr>
                  <w:rFonts w:ascii="Cambria Math" w:hAnsi="Cambria Math"/>
                </w:rPr>
                <m:t>n</m:t>
              </m:r>
            </m:den>
          </m:f>
          <m:nary>
            <m:naryPr>
              <m:chr m:val="∑"/>
              <m:limLoc m:val="undOvr"/>
              <m:grow m:val="1"/>
              <m:ctrlPr>
                <w:rPr>
                  <w:rFonts w:ascii="Cambria Math" w:hAnsi="Cambria Math"/>
                </w:rPr>
              </m:ctrlPr>
            </m:naryPr>
            <m:sub>
              <m:r>
                <w:rPr>
                  <w:rFonts w:ascii="Cambria Math" w:hAnsi="Cambria Math"/>
                </w:rPr>
                <m:t>t</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d>
            <m:dPr>
              <m:begChr m:val="|"/>
              <m:endChr m:val="|"/>
              <m:ctrlPr>
                <w:rPr>
                  <w:rFonts w:ascii="Cambria Math" w:hAnsi="Cambria Math"/>
                </w:rPr>
              </m:ctrlPr>
            </m:dPr>
            <m:e>
              <m:r>
                <w:rPr>
                  <w:rFonts w:ascii="Cambria Math" w:hAnsi="Cambria Math"/>
                </w:rPr>
                <m:t>D</m:t>
              </m:r>
              <m:r>
                <m:rPr>
                  <m:sty m:val="p"/>
                </m:rPr>
                <w:rPr>
                  <w:rFonts w:ascii="Cambria Math" w:hAnsi="Cambria Math"/>
                </w:rPr>
                <m:t>(</m:t>
              </m:r>
              <m:r>
                <w:rPr>
                  <w:rFonts w:ascii="Cambria Math" w:hAnsi="Cambria Math"/>
                </w:rPr>
                <m:t>t</m:t>
              </m:r>
              <m:r>
                <m:rPr>
                  <m:sty m:val="p"/>
                </m:rPr>
                <w:rPr>
                  <w:rFonts w:ascii="Cambria Math" w:hAnsi="Cambria Math"/>
                </w:rPr>
                <m:t>)-</m:t>
              </m:r>
              <m:sSub>
                <m:sSubPr>
                  <m:ctrlPr>
                    <w:rPr>
                      <w:rFonts w:ascii="Cambria Math" w:hAnsi="Cambria Math"/>
                    </w:rPr>
                  </m:ctrlPr>
                </m:sSubPr>
                <m:e>
                  <m:acc>
                    <m:accPr>
                      <m:chr m:val="ˆ"/>
                      <m:ctrlPr>
                        <w:rPr>
                          <w:rFonts w:ascii="Cambria Math" w:hAnsi="Cambria Math"/>
                        </w:rPr>
                      </m:ctrlPr>
                    </m:accPr>
                    <m:e>
                      <m:r>
                        <w:rPr>
                          <w:rFonts w:ascii="Cambria Math" w:hAnsi="Cambria Math"/>
                        </w:rPr>
                        <m:t>D</m:t>
                      </m:r>
                    </m:e>
                  </m:acc>
                </m:e>
                <m:sub>
                  <m:r>
                    <w:rPr>
                      <w:rFonts w:ascii="Cambria Math" w:hAnsi="Cambria Math"/>
                    </w:rPr>
                    <m:t>θ</m:t>
                  </m:r>
                </m:sub>
              </m:sSub>
              <m:r>
                <m:rPr>
                  <m:sty m:val="p"/>
                </m:rPr>
                <w:rPr>
                  <w:rFonts w:ascii="Cambria Math" w:hAnsi="Cambria Math"/>
                </w:rPr>
                <m:t>(</m:t>
              </m:r>
              <m:r>
                <w:rPr>
                  <w:rFonts w:ascii="Cambria Math" w:hAnsi="Cambria Math"/>
                </w:rPr>
                <m:t>t</m:t>
              </m:r>
              <m:r>
                <m:rPr>
                  <m:sty m:val="p"/>
                </m:rPr>
                <w:rPr>
                  <w:rFonts w:ascii="Cambria Math" w:hAnsi="Cambria Math"/>
                </w:rPr>
                <m:t>)</m:t>
              </m:r>
            </m:e>
          </m:d>
        </m:oMath>
      </m:oMathPara>
    </w:p>
    <w:p w14:paraId="357FA9AB" w14:textId="056B8AEF" w:rsidR="00031D67" w:rsidRDefault="0000221C">
      <w:pPr>
        <w:spacing w:before="240" w:line="271" w:lineRule="auto"/>
      </w:pPr>
      <w:r>
        <w:rPr>
          <w:b/>
          <w:sz w:val="28"/>
        </w:rPr>
        <w:t>3.4 Decision Variables</w:t>
      </w:r>
    </w:p>
    <w:p w14:paraId="7D9CC781" w14:textId="77777777" w:rsidR="00031D67" w:rsidRDefault="00BA30C9">
      <w:pPr>
        <w:numPr>
          <w:ilvl w:val="0"/>
          <w:numId w:val="11"/>
        </w:numPr>
      </w:pPr>
      <m:oMath>
        <m:r>
          <w:rPr>
            <w:rFonts w:ascii="Cambria Math" w:hAnsi="Cambria Math"/>
          </w:rPr>
          <m:t>Q</m:t>
        </m:r>
      </m:oMath>
      <w:r>
        <w:t>: Order quantity per cycle</w:t>
      </w:r>
    </w:p>
    <w:p w14:paraId="029E9D86" w14:textId="77777777" w:rsidR="00031D67" w:rsidRDefault="00BA30C9">
      <w:pPr>
        <w:numPr>
          <w:ilvl w:val="0"/>
          <w:numId w:val="11"/>
        </w:numPr>
      </w:pPr>
      <m:oMath>
        <m:r>
          <w:rPr>
            <w:rFonts w:ascii="Cambria Math" w:hAnsi="Cambria Math"/>
          </w:rPr>
          <m:t>T</m:t>
        </m:r>
      </m:oMath>
      <w:r>
        <w:t>: Time between orders</w:t>
      </w:r>
    </w:p>
    <w:p w14:paraId="1A0DC253" w14:textId="77777777" w:rsidR="00031D67" w:rsidRDefault="00BA30C9">
      <w:pPr>
        <w:numPr>
          <w:ilvl w:val="0"/>
          <w:numId w:val="11"/>
        </w:numPr>
      </w:pPr>
      <m:oMath>
        <m:r>
          <w:rPr>
            <w:rFonts w:ascii="Cambria Math" w:hAnsi="Cambria Math"/>
          </w:rPr>
          <m:t>v</m:t>
        </m:r>
      </m:oMath>
      <w:r>
        <w:t>: Vehicle type or delivery mode (affecting emissions)</w:t>
      </w:r>
    </w:p>
    <w:p w14:paraId="1CE496D0" w14:textId="77777777" w:rsidR="00031D67" w:rsidRDefault="00BA30C9">
      <w:pPr>
        <w:numPr>
          <w:ilvl w:val="0"/>
          <w:numId w:val="11"/>
        </w:numPr>
      </w:pPr>
      <m:oMath>
        <m:r>
          <w:rPr>
            <w:rFonts w:ascii="Cambria Math" w:hAnsi="Cambria Math"/>
          </w:rPr>
          <m:t>d</m:t>
        </m:r>
      </m:oMath>
      <w:r>
        <w:t>: Transport distance to warehouse/customer zone</w:t>
      </w:r>
    </w:p>
    <w:p w14:paraId="087A7DEF" w14:textId="2246C78C" w:rsidR="00031D67" w:rsidRDefault="0000221C">
      <w:pPr>
        <w:spacing w:before="240" w:line="271" w:lineRule="auto"/>
      </w:pPr>
      <w:r>
        <w:rPr>
          <w:b/>
          <w:sz w:val="28"/>
        </w:rPr>
        <w:t>3.5 Research Gap Addressed</w:t>
      </w:r>
    </w:p>
    <w:p w14:paraId="5E3E0187" w14:textId="77777777" w:rsidR="00031D67" w:rsidRDefault="00BA30C9">
      <w:pPr>
        <w:spacing w:after="220"/>
      </w:pPr>
      <w:r>
        <w:t>Unlike traditional EOQ, this smart EOQ formulation:</w:t>
      </w:r>
    </w:p>
    <w:p w14:paraId="0BCD91BB" w14:textId="77777777" w:rsidR="00031D67" w:rsidRDefault="00BA30C9">
      <w:pPr>
        <w:numPr>
          <w:ilvl w:val="0"/>
          <w:numId w:val="12"/>
        </w:numPr>
      </w:pPr>
      <w:r>
        <w:t xml:space="preserve">Reacts to </w:t>
      </w:r>
      <w:r>
        <w:rPr>
          <w:b/>
        </w:rPr>
        <w:t>real-time demand changes</w:t>
      </w:r>
      <w:r>
        <w:t xml:space="preserve"> via AI,</w:t>
      </w:r>
    </w:p>
    <w:p w14:paraId="685C65CF" w14:textId="77777777" w:rsidR="00031D67" w:rsidRDefault="00BA30C9">
      <w:pPr>
        <w:numPr>
          <w:ilvl w:val="0"/>
          <w:numId w:val="12"/>
        </w:numPr>
      </w:pPr>
      <w:r>
        <w:t xml:space="preserve">Considers </w:t>
      </w:r>
      <w:r>
        <w:rPr>
          <w:b/>
        </w:rPr>
        <w:t>carbon emissions and logistics sustainability</w:t>
      </w:r>
      <w:r>
        <w:t>, and</w:t>
      </w:r>
    </w:p>
    <w:p w14:paraId="3BBA9CDA" w14:textId="77777777" w:rsidR="00031D67" w:rsidRDefault="00BA30C9">
      <w:pPr>
        <w:numPr>
          <w:ilvl w:val="0"/>
          <w:numId w:val="12"/>
        </w:numPr>
      </w:pPr>
      <w:r>
        <w:t xml:space="preserve">Uses </w:t>
      </w:r>
      <w:r>
        <w:rPr>
          <w:b/>
        </w:rPr>
        <w:t>multi-objective optimization</w:t>
      </w:r>
      <w:r>
        <w:t xml:space="preserve"> to trade-off cost and emissions.</w:t>
      </w:r>
    </w:p>
    <w:p w14:paraId="01202B32" w14:textId="6EBAB2F6" w:rsidR="00031D67" w:rsidRDefault="004F63E6">
      <w:pPr>
        <w:spacing w:before="240" w:line="271" w:lineRule="auto"/>
      </w:pPr>
      <w:r>
        <w:rPr>
          <w:b/>
          <w:sz w:val="33"/>
        </w:rPr>
        <w:t>4. AI-Based Demand Forecasting</w:t>
      </w:r>
    </w:p>
    <w:p w14:paraId="4A25C207" w14:textId="77777777" w:rsidR="00031D67" w:rsidRDefault="00BA30C9" w:rsidP="001966BC">
      <w:pPr>
        <w:spacing w:after="220"/>
        <w:jc w:val="both"/>
      </w:pPr>
      <w:r>
        <w:t xml:space="preserve">Accurate demand forecasting is critical for inventory optimization, particularly in environments with volatile or seasonally fluctuating demand. In this study, we integrate </w:t>
      </w:r>
      <w:r>
        <w:rPr>
          <w:b/>
        </w:rPr>
        <w:t>artificial intelligence (AI)</w:t>
      </w:r>
      <w:r>
        <w:t xml:space="preserve"> into the EOQ model to dynamically estimate future demand. This forecasting component enables the smart EOQ model to proactively adapt order quantities and reduce costs associated with overstocking or stockouts.</w:t>
      </w:r>
    </w:p>
    <w:p w14:paraId="25916E79" w14:textId="1D61E980" w:rsidR="00031D67" w:rsidRDefault="004F63E6">
      <w:pPr>
        <w:spacing w:before="240" w:line="271" w:lineRule="auto"/>
      </w:pPr>
      <w:r>
        <w:rPr>
          <w:b/>
          <w:sz w:val="28"/>
        </w:rPr>
        <w:lastRenderedPageBreak/>
        <w:t>4.1 Forecasting Objective</w:t>
      </w:r>
    </w:p>
    <w:p w14:paraId="5747D46C" w14:textId="77777777" w:rsidR="00031D67" w:rsidRDefault="00BA30C9">
      <w:pPr>
        <w:spacing w:after="220"/>
      </w:pPr>
      <w:r>
        <w:t xml:space="preserve">The goal is to predict the </w:t>
      </w:r>
      <w:r>
        <w:rPr>
          <w:b/>
        </w:rPr>
        <w:t xml:space="preserve">short-term demand </w:t>
      </w:r>
      <m:oMath>
        <m:acc>
          <m:accPr>
            <m:chr m:val="ˆ"/>
            <m:ctrlPr>
              <w:rPr>
                <w:rFonts w:ascii="Cambria Math" w:hAnsi="Cambria Math"/>
              </w:rPr>
            </m:ctrlPr>
          </m:accPr>
          <m:e>
            <m:r>
              <w:rPr>
                <w:rFonts w:ascii="Cambria Math" w:hAnsi="Cambria Math"/>
              </w:rPr>
              <m:t>D</m:t>
            </m:r>
          </m:e>
        </m:acc>
        <m:r>
          <m:rPr>
            <m:sty m:val="p"/>
          </m:rPr>
          <w:rPr>
            <w:rFonts w:ascii="Cambria Math" w:hAnsi="Cambria Math"/>
          </w:rPr>
          <m:t>(</m:t>
        </m:r>
        <m:r>
          <w:rPr>
            <w:rFonts w:ascii="Cambria Math" w:hAnsi="Cambria Math"/>
          </w:rPr>
          <m:t>t</m:t>
        </m:r>
        <m:r>
          <m:rPr>
            <m:sty m:val="p"/>
          </m:rPr>
          <w:rPr>
            <w:rFonts w:ascii="Cambria Math" w:hAnsi="Cambria Math"/>
          </w:rPr>
          <m:t>)</m:t>
        </m:r>
      </m:oMath>
      <w:r>
        <w:t xml:space="preserve"> using historical demand data </w:t>
      </w:r>
      <m:oMath>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oMath>
      <w:r>
        <w:t>, where:</w:t>
      </w:r>
    </w:p>
    <w:p w14:paraId="79AD2379" w14:textId="77777777" w:rsidR="00031D67" w:rsidRDefault="00250C3F">
      <w:pPr>
        <w:numPr>
          <w:ilvl w:val="0"/>
          <w:numId w:val="13"/>
        </w:numPr>
      </w:pPr>
      <m:oMath>
        <m:sSub>
          <m:sSubPr>
            <m:ctrlPr>
              <w:rPr>
                <w:rFonts w:ascii="Cambria Math" w:hAnsi="Cambria Math"/>
              </w:rPr>
            </m:ctrlPr>
          </m:sSubPr>
          <m:e>
            <m:r>
              <w:rPr>
                <w:rFonts w:ascii="Cambria Math" w:hAnsi="Cambria Math"/>
              </w:rPr>
              <m:t>d</m:t>
            </m:r>
          </m:e>
          <m:sub>
            <m:r>
              <w:rPr>
                <w:rFonts w:ascii="Cambria Math" w:hAnsi="Cambria Math"/>
              </w:rPr>
              <m:t>t</m:t>
            </m:r>
          </m:sub>
        </m:sSub>
      </m:oMath>
      <w:r w:rsidR="00BA30C9">
        <w:t xml:space="preserve"> = actual demand at time </w:t>
      </w:r>
      <m:oMath>
        <m:r>
          <w:rPr>
            <w:rFonts w:ascii="Cambria Math" w:hAnsi="Cambria Math"/>
          </w:rPr>
          <m:t>t</m:t>
        </m:r>
      </m:oMath>
    </w:p>
    <w:p w14:paraId="0236DCE9" w14:textId="77777777" w:rsidR="00031D67" w:rsidRDefault="00250C3F">
      <w:pPr>
        <w:numPr>
          <w:ilvl w:val="0"/>
          <w:numId w:val="13"/>
        </w:numPr>
      </w:pPr>
      <m:oMath>
        <m:acc>
          <m:accPr>
            <m:chr m:val="ˆ"/>
            <m:ctrlPr>
              <w:rPr>
                <w:rFonts w:ascii="Cambria Math" w:hAnsi="Cambria Math"/>
              </w:rPr>
            </m:ctrlPr>
          </m:accPr>
          <m:e>
            <m:r>
              <w:rPr>
                <w:rFonts w:ascii="Cambria Math" w:hAnsi="Cambria Math"/>
              </w:rPr>
              <m:t>D</m:t>
            </m:r>
          </m:e>
        </m:acc>
        <m:r>
          <m:rPr>
            <m:sty m:val="p"/>
          </m:rPr>
          <w:rPr>
            <w:rFonts w:ascii="Cambria Math" w:hAnsi="Cambria Math"/>
          </w:rPr>
          <m:t>(</m:t>
        </m:r>
        <m:r>
          <w:rPr>
            <w:rFonts w:ascii="Cambria Math" w:hAnsi="Cambria Math"/>
          </w:rPr>
          <m:t>t</m:t>
        </m:r>
        <m:r>
          <m:rPr>
            <m:sty m:val="p"/>
          </m:rPr>
          <w:rPr>
            <w:rFonts w:ascii="Cambria Math" w:hAnsi="Cambria Math"/>
          </w:rPr>
          <m:t>)</m:t>
        </m:r>
      </m:oMath>
      <w:r w:rsidR="00BA30C9">
        <w:t xml:space="preserve"> = AI-predicted demand at time </w:t>
      </w:r>
      <m:oMath>
        <m:r>
          <w:rPr>
            <w:rFonts w:ascii="Cambria Math" w:hAnsi="Cambria Math"/>
          </w:rPr>
          <m:t>t</m:t>
        </m:r>
      </m:oMath>
    </w:p>
    <w:p w14:paraId="0DC5852E" w14:textId="77777777" w:rsidR="00031D67" w:rsidRDefault="00BA30C9">
      <w:pPr>
        <w:spacing w:after="220"/>
      </w:pPr>
      <w:r>
        <w:t>This forecast feeds directly into the EOQ model, replacing the constant demand assumption.</w:t>
      </w:r>
    </w:p>
    <w:p w14:paraId="6D92E178" w14:textId="78507088" w:rsidR="00031D67" w:rsidRDefault="004F63E6">
      <w:pPr>
        <w:spacing w:before="240" w:line="271" w:lineRule="auto"/>
      </w:pPr>
      <w:r>
        <w:rPr>
          <w:b/>
          <w:sz w:val="28"/>
        </w:rPr>
        <w:t>4.2 Dataset Preparation</w:t>
      </w:r>
    </w:p>
    <w:p w14:paraId="36E0AC6F" w14:textId="77777777" w:rsidR="00031D67" w:rsidRDefault="00BA30C9">
      <w:pPr>
        <w:spacing w:after="220"/>
      </w:pPr>
      <w:r>
        <w:t>The historical demand dataset is preprocessed by:</w:t>
      </w:r>
    </w:p>
    <w:p w14:paraId="6443F145" w14:textId="77777777" w:rsidR="00031D67" w:rsidRDefault="00BA30C9">
      <w:pPr>
        <w:numPr>
          <w:ilvl w:val="0"/>
          <w:numId w:val="14"/>
        </w:numPr>
      </w:pPr>
      <w:r>
        <w:t>Handling missing values and outliers</w:t>
      </w:r>
    </w:p>
    <w:p w14:paraId="1D8BC0D4" w14:textId="77777777" w:rsidR="00031D67" w:rsidRDefault="00BA30C9">
      <w:pPr>
        <w:numPr>
          <w:ilvl w:val="0"/>
          <w:numId w:val="14"/>
        </w:numPr>
      </w:pPr>
      <w:r>
        <w:t>Scaling data using Min-Max normalization</w:t>
      </w:r>
    </w:p>
    <w:p w14:paraId="157159EA" w14:textId="77777777" w:rsidR="00031D67" w:rsidRDefault="00BA30C9">
      <w:pPr>
        <w:numPr>
          <w:ilvl w:val="0"/>
          <w:numId w:val="14"/>
        </w:numPr>
      </w:pPr>
      <w:r>
        <w:t>Splitting into training and test sets (e.g., 80/20)</w:t>
      </w:r>
    </w:p>
    <w:p w14:paraId="389311C4" w14:textId="77777777" w:rsidR="00031D67" w:rsidRDefault="00BA30C9">
      <w:pPr>
        <w:spacing w:after="220"/>
      </w:pPr>
      <w:r>
        <w:t xml:space="preserve">Time-series characteristics such as </w:t>
      </w:r>
      <w:r>
        <w:rPr>
          <w:b/>
        </w:rPr>
        <w:t>seasonality</w:t>
      </w:r>
      <w:r>
        <w:t xml:space="preserve">, </w:t>
      </w:r>
      <w:r>
        <w:rPr>
          <w:b/>
        </w:rPr>
        <w:t>trends</w:t>
      </w:r>
      <w:r>
        <w:t xml:space="preserve">, and </w:t>
      </w:r>
      <w:r>
        <w:rPr>
          <w:b/>
        </w:rPr>
        <w:t>lags</w:t>
      </w:r>
      <w:r>
        <w:t xml:space="preserve"> are also extracted as features.</w:t>
      </w:r>
    </w:p>
    <w:p w14:paraId="7D1D6909" w14:textId="18A914C5" w:rsidR="00031D67" w:rsidRDefault="004F63E6">
      <w:pPr>
        <w:spacing w:before="240" w:line="271" w:lineRule="auto"/>
      </w:pPr>
      <w:r>
        <w:rPr>
          <w:b/>
          <w:sz w:val="28"/>
        </w:rPr>
        <w:t>4.3 Model Selection</w:t>
      </w:r>
    </w:p>
    <w:p w14:paraId="6C53807E" w14:textId="77777777" w:rsidR="00031D67" w:rsidRDefault="00BA30C9">
      <w:pPr>
        <w:spacing w:after="220"/>
      </w:pPr>
      <w:r>
        <w:t>We evaluate three prominent AI models for demand forecasting:</w:t>
      </w:r>
    </w:p>
    <w:p w14:paraId="5A755649" w14:textId="77777777" w:rsidR="00031D67" w:rsidRDefault="00BA30C9">
      <w:pPr>
        <w:numPr>
          <w:ilvl w:val="0"/>
          <w:numId w:val="15"/>
        </w:numPr>
      </w:pPr>
      <w:r>
        <w:rPr>
          <w:b/>
        </w:rPr>
        <w:t>Support Vector Regression (SVR)</w:t>
      </w:r>
      <w:r>
        <w:t>: Effective for small- to medium-sized datasets and handles nonlinear trends well.</w:t>
      </w:r>
    </w:p>
    <w:p w14:paraId="627C19BD" w14:textId="77777777" w:rsidR="00031D67" w:rsidRDefault="00BA30C9">
      <w:pPr>
        <w:numPr>
          <w:ilvl w:val="0"/>
          <w:numId w:val="15"/>
        </w:numPr>
      </w:pPr>
      <w:r>
        <w:rPr>
          <w:b/>
        </w:rPr>
        <w:t>Random Forest Regressor</w:t>
      </w:r>
      <w:r>
        <w:t>: Captures nonlinear dependencies and feature interactions.</w:t>
      </w:r>
    </w:p>
    <w:p w14:paraId="4DF46517" w14:textId="77777777" w:rsidR="00031D67" w:rsidRDefault="00BA30C9">
      <w:pPr>
        <w:numPr>
          <w:ilvl w:val="0"/>
          <w:numId w:val="15"/>
        </w:numPr>
      </w:pPr>
      <w:r>
        <w:rPr>
          <w:b/>
        </w:rPr>
        <w:t>Long Short-Term Memory (LSTM) Networks</w:t>
      </w:r>
      <w:r>
        <w:t>: A type of recurrent neural network suitable for time-series data with long-term dependencies.</w:t>
      </w:r>
    </w:p>
    <w:p w14:paraId="33D6FFBE" w14:textId="77777777" w:rsidR="00031D67" w:rsidRDefault="00BA30C9">
      <w:pPr>
        <w:spacing w:after="220"/>
      </w:pPr>
      <w:r>
        <w:t>The model architecture for LSTM includes:</w:t>
      </w:r>
    </w:p>
    <w:p w14:paraId="5A1DF470" w14:textId="77777777" w:rsidR="00031D67" w:rsidRDefault="00BA30C9">
      <w:pPr>
        <w:numPr>
          <w:ilvl w:val="0"/>
          <w:numId w:val="16"/>
        </w:numPr>
      </w:pPr>
      <w:r>
        <w:t>Input Layer (sequence of demand)</w:t>
      </w:r>
    </w:p>
    <w:p w14:paraId="4A37536A" w14:textId="77777777" w:rsidR="00031D67" w:rsidRDefault="00BA30C9">
      <w:pPr>
        <w:numPr>
          <w:ilvl w:val="0"/>
          <w:numId w:val="16"/>
        </w:numPr>
      </w:pPr>
      <w:r>
        <w:t>One or more LSTM layers (memory cells)</w:t>
      </w:r>
    </w:p>
    <w:p w14:paraId="4787E478" w14:textId="77777777" w:rsidR="00031D67" w:rsidRDefault="00BA30C9">
      <w:pPr>
        <w:numPr>
          <w:ilvl w:val="0"/>
          <w:numId w:val="16"/>
        </w:numPr>
      </w:pPr>
      <w:r>
        <w:t>Dense output layer (1-step prediction)</w:t>
      </w:r>
    </w:p>
    <w:p w14:paraId="4354BD10" w14:textId="0F5C8E44" w:rsidR="00031D67" w:rsidRDefault="004F63E6">
      <w:pPr>
        <w:spacing w:before="240" w:line="271" w:lineRule="auto"/>
      </w:pPr>
      <w:r>
        <w:rPr>
          <w:b/>
          <w:sz w:val="28"/>
        </w:rPr>
        <w:t>4.4 Model Training and Evaluation</w:t>
      </w:r>
    </w:p>
    <w:p w14:paraId="24E5F71D" w14:textId="77777777" w:rsidR="00031D67" w:rsidRDefault="00BA30C9">
      <w:pPr>
        <w:spacing w:after="220"/>
      </w:pPr>
      <w:r>
        <w:t>Each model is trained using the training set, and performance is evaluated on the test set using the following metrics:</w:t>
      </w:r>
    </w:p>
    <w:p w14:paraId="2545E762" w14:textId="77777777" w:rsidR="00031D67" w:rsidRDefault="00BA30C9">
      <w:pPr>
        <w:numPr>
          <w:ilvl w:val="0"/>
          <w:numId w:val="17"/>
        </w:numPr>
      </w:pPr>
      <w:r>
        <w:rPr>
          <w:b/>
        </w:rPr>
        <w:t>Mean Absolute Error (MAE)</w:t>
      </w:r>
    </w:p>
    <w:p w14:paraId="05CA57E6" w14:textId="77777777" w:rsidR="00031D67" w:rsidRDefault="00BA30C9">
      <w:pPr>
        <w:numPr>
          <w:ilvl w:val="0"/>
          <w:numId w:val="17"/>
        </w:numPr>
      </w:pPr>
      <w:r>
        <w:rPr>
          <w:b/>
        </w:rPr>
        <w:t>Root Mean Square Error (RMSE)</w:t>
      </w:r>
    </w:p>
    <w:p w14:paraId="3E9AB5FF" w14:textId="77777777" w:rsidR="00031D67" w:rsidRDefault="00BA30C9">
      <w:pPr>
        <w:numPr>
          <w:ilvl w:val="0"/>
          <w:numId w:val="17"/>
        </w:numPr>
      </w:pPr>
      <w:r>
        <w:rPr>
          <w:b/>
        </w:rPr>
        <w:t>Mean Absolute Percentage Error (MAPE)</w:t>
      </w:r>
    </w:p>
    <w:p w14:paraId="5044CE41" w14:textId="77777777" w:rsidR="00031D67" w:rsidRDefault="00BA30C9">
      <w:pPr>
        <w:spacing w:after="220"/>
      </w:pPr>
      <w:r>
        <w:t>The best-performing model is chosen based on minimum MAPE:</w:t>
      </w:r>
    </w:p>
    <w:p w14:paraId="7AA96C8D" w14:textId="77777777" w:rsidR="00031D67" w:rsidRDefault="00BA30C9">
      <w:pPr>
        <w:spacing w:after="220"/>
      </w:pPr>
      <m:oMathPara>
        <m:oMath>
          <m:r>
            <m:rPr>
              <m:nor/>
            </m:rPr>
            <m:t>MAPE</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n</m:t>
              </m:r>
            </m:den>
          </m:f>
          <m:nary>
            <m:naryPr>
              <m:chr m:val="∑"/>
              <m:limLoc m:val="undOvr"/>
              <m:grow m:val="1"/>
              <m:ctrlPr>
                <w:rPr>
                  <w:rFonts w:ascii="Cambria Math" w:hAnsi="Cambria Math"/>
                </w:rPr>
              </m:ctrlPr>
            </m:naryPr>
            <m:sub>
              <m:r>
                <w:rPr>
                  <w:rFonts w:ascii="Cambria Math" w:hAnsi="Cambria Math"/>
                </w:rPr>
                <m:t>t</m:t>
              </m:r>
              <m:r>
                <m:rPr>
                  <m:sty m:val="p"/>
                </m:rPr>
                <w:rPr>
                  <w:rFonts w:ascii="Cambria Math" w:hAnsi="Cambria Math"/>
                </w:rPr>
                <m:t>=1</m:t>
              </m:r>
            </m:sub>
            <m:sup>
              <m:r>
                <w:rPr>
                  <w:rFonts w:ascii="Cambria Math" w:hAnsi="Cambria Math"/>
                </w:rPr>
                <m:t>n</m:t>
              </m:r>
            </m:sup>
            <m:e>
              <m:r>
                <m:rPr>
                  <m:sty m:val="p"/>
                </m:rPr>
                <w:rPr>
                  <w:rFonts w:ascii="Cambria Math" w:hAnsi="Cambria Math"/>
                </w:rPr>
                <m:t> </m:t>
              </m:r>
            </m:e>
          </m:nary>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t</m:t>
                      </m:r>
                    </m:sub>
                  </m:sSub>
                  <m:r>
                    <m:rPr>
                      <m:sty m:val="p"/>
                    </m:rPr>
                    <w:rPr>
                      <w:rFonts w:ascii="Cambria Math" w:hAnsi="Cambria Math"/>
                    </w:rPr>
                    <m:t>-</m:t>
                  </m:r>
                  <m:acc>
                    <m:accPr>
                      <m:chr m:val="ˆ"/>
                      <m:ctrlPr>
                        <w:rPr>
                          <w:rFonts w:ascii="Cambria Math" w:hAnsi="Cambria Math"/>
                        </w:rPr>
                      </m:ctrlPr>
                    </m:accPr>
                    <m:e>
                      <m:r>
                        <w:rPr>
                          <w:rFonts w:ascii="Cambria Math" w:hAnsi="Cambria Math"/>
                        </w:rPr>
                        <m:t>D</m:t>
                      </m:r>
                    </m:e>
                  </m:acc>
                  <m:r>
                    <m:rPr>
                      <m:sty m:val="p"/>
                    </m:rPr>
                    <w:rPr>
                      <w:rFonts w:ascii="Cambria Math" w:hAnsi="Cambria Math"/>
                    </w:rPr>
                    <m:t>(</m:t>
                  </m:r>
                  <m:r>
                    <w:rPr>
                      <w:rFonts w:ascii="Cambria Math" w:hAnsi="Cambria Math"/>
                    </w:rPr>
                    <m:t>t</m:t>
                  </m:r>
                  <m:r>
                    <m:rPr>
                      <m:sty m:val="p"/>
                    </m:rPr>
                    <w:rPr>
                      <w:rFonts w:ascii="Cambria Math" w:hAnsi="Cambria Math"/>
                    </w:rPr>
                    <m:t>)</m:t>
                  </m:r>
                </m:num>
                <m:den>
                  <m:sSub>
                    <m:sSubPr>
                      <m:ctrlPr>
                        <w:rPr>
                          <w:rFonts w:ascii="Cambria Math" w:hAnsi="Cambria Math"/>
                        </w:rPr>
                      </m:ctrlPr>
                    </m:sSubPr>
                    <m:e>
                      <m:r>
                        <w:rPr>
                          <w:rFonts w:ascii="Cambria Math" w:hAnsi="Cambria Math"/>
                        </w:rPr>
                        <m:t>d</m:t>
                      </m:r>
                    </m:e>
                    <m:sub>
                      <m:r>
                        <w:rPr>
                          <w:rFonts w:ascii="Cambria Math" w:hAnsi="Cambria Math"/>
                        </w:rPr>
                        <m:t>t</m:t>
                      </m:r>
                    </m:sub>
                  </m:sSub>
                </m:den>
              </m:f>
            </m:e>
          </m:d>
          <m:r>
            <m:rPr>
              <m:sty m:val="p"/>
            </m:rPr>
            <w:rPr>
              <w:rFonts w:ascii="Cambria Math" w:hAnsi="Cambria Math"/>
            </w:rPr>
            <m:t>×100</m:t>
          </m:r>
        </m:oMath>
      </m:oMathPara>
    </w:p>
    <w:p w14:paraId="50B64E5D" w14:textId="3E262A42" w:rsidR="00031D67" w:rsidRDefault="004F63E6">
      <w:pPr>
        <w:spacing w:before="240" w:line="271" w:lineRule="auto"/>
      </w:pPr>
      <w:r>
        <w:rPr>
          <w:b/>
          <w:sz w:val="28"/>
        </w:rPr>
        <w:lastRenderedPageBreak/>
        <w:t>4.5 Forecast Integration</w:t>
      </w:r>
    </w:p>
    <w:p w14:paraId="7CE92A69" w14:textId="77777777" w:rsidR="00031D67" w:rsidRDefault="00BA30C9" w:rsidP="001966BC">
      <w:pPr>
        <w:spacing w:after="220"/>
        <w:jc w:val="both"/>
      </w:pPr>
      <w:r>
        <w:t xml:space="preserve">Once trained, the selected AI model forecasts demand </w:t>
      </w:r>
      <m:oMath>
        <m:acc>
          <m:accPr>
            <m:chr m:val="ˆ"/>
            <m:ctrlPr>
              <w:rPr>
                <w:rFonts w:ascii="Cambria Math" w:hAnsi="Cambria Math"/>
              </w:rPr>
            </m:ctrlPr>
          </m:accPr>
          <m:e>
            <m:r>
              <w:rPr>
                <w:rFonts w:ascii="Cambria Math" w:hAnsi="Cambria Math"/>
              </w:rPr>
              <m:t>D</m:t>
            </m:r>
          </m:e>
        </m:acc>
        <m:r>
          <m:rPr>
            <m:sty m:val="p"/>
          </m:rPr>
          <w:rPr>
            <w:rFonts w:ascii="Cambria Math" w:hAnsi="Cambria Math"/>
          </w:rPr>
          <m:t>(</m:t>
        </m:r>
        <m:r>
          <w:rPr>
            <w:rFonts w:ascii="Cambria Math" w:hAnsi="Cambria Math"/>
          </w:rPr>
          <m:t>t</m:t>
        </m:r>
        <m:r>
          <m:rPr>
            <m:sty m:val="p"/>
          </m:rPr>
          <w:rPr>
            <w:rFonts w:ascii="Cambria Math" w:hAnsi="Cambria Math"/>
          </w:rPr>
          <m:t>)</m:t>
        </m:r>
      </m:oMath>
      <w:r>
        <w:t xml:space="preserve"> over the planning horizon </w:t>
      </w:r>
      <m:oMath>
        <m:r>
          <w:rPr>
            <w:rFonts w:ascii="Cambria Math" w:hAnsi="Cambria Math"/>
          </w:rPr>
          <m:t>T</m:t>
        </m:r>
      </m:oMath>
      <w:r>
        <w:t>. This dynamic forecast replaces the constant demand assumption in the EOQ model:</w:t>
      </w:r>
    </w:p>
    <w:p w14:paraId="180CFC2D" w14:textId="77777777" w:rsidR="00031D67" w:rsidRDefault="00BA30C9">
      <w:pPr>
        <w:spacing w:after="220"/>
      </w:pPr>
      <m:oMathPara>
        <m:oMath>
          <m:r>
            <m:rPr>
              <m:nor/>
            </m:rPr>
            <m:t>EOQ Input:</m:t>
          </m:r>
          <m:r>
            <m:rPr>
              <m:nor/>
            </m:rPr>
            <m:t> </m:t>
          </m:r>
          <m:r>
            <w:rPr>
              <w:rFonts w:ascii="Cambria Math" w:hAnsi="Cambria Math"/>
            </w:rPr>
            <m:t>D</m:t>
          </m:r>
          <m:r>
            <m:rPr>
              <m:sty m:val="p"/>
            </m:rPr>
            <w:rPr>
              <w:rFonts w:ascii="Cambria Math" w:hAnsi="Cambria Math"/>
            </w:rPr>
            <m:t>(</m:t>
          </m:r>
          <m:r>
            <w:rPr>
              <w:rFonts w:ascii="Cambria Math" w:hAnsi="Cambria Math"/>
            </w:rPr>
            <m:t>t</m:t>
          </m:r>
          <m:r>
            <m:rPr>
              <m:sty m:val="p"/>
            </m:rPr>
            <w:rPr>
              <w:rFonts w:ascii="Cambria Math" w:hAnsi="Cambria Math"/>
            </w:rPr>
            <m:t>)=</m:t>
          </m:r>
          <m:acc>
            <m:accPr>
              <m:chr m:val="ˆ"/>
              <m:ctrlPr>
                <w:rPr>
                  <w:rFonts w:ascii="Cambria Math" w:hAnsi="Cambria Math"/>
                </w:rPr>
              </m:ctrlPr>
            </m:accPr>
            <m:e>
              <m:r>
                <w:rPr>
                  <w:rFonts w:ascii="Cambria Math" w:hAnsi="Cambria Math"/>
                </w:rPr>
                <m:t>D</m:t>
              </m:r>
            </m:e>
          </m:acc>
          <m:r>
            <m:rPr>
              <m:sty m:val="p"/>
            </m:rPr>
            <w:rPr>
              <w:rFonts w:ascii="Cambria Math" w:hAnsi="Cambria Math"/>
            </w:rPr>
            <m:t>(</m:t>
          </m:r>
          <m:r>
            <w:rPr>
              <w:rFonts w:ascii="Cambria Math" w:hAnsi="Cambria Math"/>
            </w:rPr>
            <m:t>t</m:t>
          </m:r>
          <m:r>
            <m:rPr>
              <m:sty m:val="p"/>
            </m:rPr>
            <w:rPr>
              <w:rFonts w:ascii="Cambria Math" w:hAnsi="Cambria Math"/>
            </w:rPr>
            <m:t>) ∀</m:t>
          </m:r>
          <m:r>
            <w:rPr>
              <w:rFonts w:ascii="Cambria Math" w:hAnsi="Cambria Math"/>
            </w:rPr>
            <m:t>t</m:t>
          </m:r>
          <m:r>
            <m:rPr>
              <m:sty m:val="p"/>
            </m:rPr>
            <w:rPr>
              <w:rFonts w:ascii="Cambria Math" w:hAnsi="Cambria Math"/>
            </w:rPr>
            <m:t>∈</m:t>
          </m:r>
          <m:r>
            <w:rPr>
              <w:rFonts w:ascii="Cambria Math" w:hAnsi="Cambria Math"/>
            </w:rPr>
            <m:t>T</m:t>
          </m:r>
        </m:oMath>
      </m:oMathPara>
    </w:p>
    <w:p w14:paraId="453311E7" w14:textId="77777777" w:rsidR="00031D67" w:rsidRDefault="00BA30C9">
      <w:pPr>
        <w:spacing w:after="220"/>
      </w:pPr>
      <w:r>
        <w:t>This integration allows the inventory system to respond in near real-time to forecast changes, thus improving service levels and reducing excess inventory.</w:t>
      </w:r>
    </w:p>
    <w:p w14:paraId="5342B6AA" w14:textId="54662F9E" w:rsidR="00031D67" w:rsidRDefault="004F63E6">
      <w:pPr>
        <w:spacing w:before="240" w:line="271" w:lineRule="auto"/>
      </w:pPr>
      <w:r>
        <w:rPr>
          <w:b/>
          <w:sz w:val="28"/>
        </w:rPr>
        <w:t>4.6 Benefit of AI Forecasting in EOQ</w:t>
      </w:r>
    </w:p>
    <w:p w14:paraId="4166793D" w14:textId="77777777" w:rsidR="00031D67" w:rsidRDefault="00BA30C9">
      <w:pPr>
        <w:numPr>
          <w:ilvl w:val="0"/>
          <w:numId w:val="18"/>
        </w:numPr>
      </w:pPr>
      <w:r>
        <w:t>Improves responsiveness to market trends and seasonality</w:t>
      </w:r>
    </w:p>
    <w:p w14:paraId="1345FF11" w14:textId="77777777" w:rsidR="00031D67" w:rsidRDefault="00BA30C9">
      <w:pPr>
        <w:numPr>
          <w:ilvl w:val="0"/>
          <w:numId w:val="18"/>
        </w:numPr>
      </w:pPr>
      <w:r>
        <w:t>Reduces total cost through better alignment of order quantities</w:t>
      </w:r>
    </w:p>
    <w:p w14:paraId="7F56E3D9" w14:textId="77777777" w:rsidR="00031D67" w:rsidRDefault="00BA30C9">
      <w:pPr>
        <w:numPr>
          <w:ilvl w:val="0"/>
          <w:numId w:val="18"/>
        </w:numPr>
      </w:pPr>
      <w:r>
        <w:t>Supports sustainability by avoiding overproduction and waste</w:t>
      </w:r>
    </w:p>
    <w:p w14:paraId="436FF045" w14:textId="0916D257" w:rsidR="00031D67" w:rsidRDefault="004F63E6">
      <w:pPr>
        <w:spacing w:before="240" w:line="271" w:lineRule="auto"/>
      </w:pPr>
      <w:r>
        <w:rPr>
          <w:b/>
          <w:sz w:val="33"/>
        </w:rPr>
        <w:t>5. Optimization Model Development</w:t>
      </w:r>
    </w:p>
    <w:p w14:paraId="38616B65" w14:textId="77777777" w:rsidR="00031D67" w:rsidRDefault="00BA30C9" w:rsidP="001966BC">
      <w:pPr>
        <w:spacing w:after="220"/>
        <w:jc w:val="both"/>
      </w:pPr>
      <w:r>
        <w:t xml:space="preserve">The optimization model extends the classical EOQ framework by incorporating </w:t>
      </w:r>
      <w:r>
        <w:rPr>
          <w:b/>
        </w:rPr>
        <w:t>dynamic demand forecasts</w:t>
      </w:r>
      <w:r>
        <w:t xml:space="preserve">, </w:t>
      </w:r>
      <w:r>
        <w:rPr>
          <w:b/>
        </w:rPr>
        <w:t>environmental sustainability metrics</w:t>
      </w:r>
      <w:r>
        <w:t xml:space="preserve">, and </w:t>
      </w:r>
      <w:r>
        <w:rPr>
          <w:b/>
        </w:rPr>
        <w:t>multi-objective trade-offs</w:t>
      </w:r>
      <w:r>
        <w:t xml:space="preserve">. The goal is to develop a </w:t>
      </w:r>
      <w:r>
        <w:rPr>
          <w:b/>
        </w:rPr>
        <w:t>Smart EOQ Optimization Model</w:t>
      </w:r>
      <w:r>
        <w:t xml:space="preserve"> that balances cost-efficiency with ecological impact in a dynamic environment.</w:t>
      </w:r>
    </w:p>
    <w:p w14:paraId="0C61E3DA" w14:textId="16855BD0" w:rsidR="00031D67" w:rsidRDefault="004F63E6">
      <w:pPr>
        <w:spacing w:before="240" w:line="271" w:lineRule="auto"/>
      </w:pPr>
      <w:r>
        <w:rPr>
          <w:b/>
          <w:sz w:val="28"/>
        </w:rPr>
        <w:t>5.1 Objective Functions</w:t>
      </w:r>
    </w:p>
    <w:p w14:paraId="226ED3BA" w14:textId="77777777" w:rsidR="00031D67" w:rsidRDefault="00BA30C9">
      <w:pPr>
        <w:spacing w:after="220"/>
      </w:pPr>
      <w:r>
        <w:t>The Smart EOQ model minimizes two competing objectives:</w:t>
      </w:r>
    </w:p>
    <w:p w14:paraId="10BD3C86" w14:textId="77777777" w:rsidR="00031D67" w:rsidRDefault="00BA30C9">
      <w:pPr>
        <w:numPr>
          <w:ilvl w:val="0"/>
          <w:numId w:val="19"/>
        </w:numPr>
      </w:pPr>
      <w:r>
        <w:rPr>
          <w:b/>
        </w:rPr>
        <w:t>Economic Cost (EC):</w:t>
      </w:r>
      <w:r>
        <w:t xml:space="preserve"> Total cost including ordering, holding, and transportation costs.</w:t>
      </w:r>
    </w:p>
    <w:p w14:paraId="46C78BC3" w14:textId="77777777" w:rsidR="00031D67" w:rsidRDefault="00BA30C9">
      <w:pPr>
        <w:numPr>
          <w:ilvl w:val="0"/>
          <w:numId w:val="19"/>
        </w:numPr>
      </w:pPr>
      <w:r>
        <w:rPr>
          <w:b/>
        </w:rPr>
        <w:t>Environmental Cost (ENV):</w:t>
      </w:r>
      <w:r>
        <w:t xml:space="preserve"> Carbon emissions and energy usage associated with logistics.</w:t>
      </w:r>
    </w:p>
    <w:p w14:paraId="7049A2AF" w14:textId="77777777" w:rsidR="00031D67" w:rsidRDefault="00BA30C9">
      <w:pPr>
        <w:spacing w:after="220"/>
      </w:pPr>
      <w:r>
        <w:t xml:space="preserve">The optimization problem is formulated as a </w:t>
      </w:r>
      <w:r>
        <w:rPr>
          <w:b/>
        </w:rPr>
        <w:t>multi-objective function</w:t>
      </w:r>
      <w:r>
        <w:t>:</w:t>
      </w:r>
    </w:p>
    <w:p w14:paraId="53F31486" w14:textId="77777777" w:rsidR="00031D67" w:rsidRDefault="00BA30C9">
      <w:pPr>
        <w:spacing w:after="220"/>
      </w:pPr>
      <m:oMathPara>
        <m:oMath>
          <m:r>
            <m:rPr>
              <m:sty m:val="p"/>
            </m:rPr>
            <w:rPr>
              <w:rFonts w:ascii="Cambria Math" w:hAnsi="Cambria Math"/>
            </w:rPr>
            <m:t>min</m:t>
          </m:r>
          <m:d>
            <m:dPr>
              <m:begChr m:val="{"/>
              <m:endChr m:val=""/>
              <m:ctrlPr>
                <w:rPr>
                  <w:rFonts w:ascii="Cambria Math" w:hAnsi="Cambria Math"/>
                </w:rPr>
              </m:ctrlPr>
            </m:dPr>
            <m:e>
              <m:m>
                <m:mPr>
                  <m:plcHide m:val="1"/>
                  <m:mcs>
                    <m:mc>
                      <m:mcPr>
                        <m:count m:val="1"/>
                        <m:mcJc m:val="left"/>
                      </m:mcPr>
                    </m:mc>
                  </m:mcs>
                  <m:ctrlPr>
                    <w:rPr>
                      <w:rFonts w:ascii="Cambria Math" w:hAnsi="Cambria Math"/>
                      <w:i/>
                    </w:rPr>
                  </m:ctrlPr>
                </m:mPr>
                <m:mr>
                  <m:e>
                    <m:r>
                      <w:rPr>
                        <w:rFonts w:ascii="Cambria Math" w:hAnsi="Cambria Math"/>
                      </w:rPr>
                      <m:t>EC</m:t>
                    </m:r>
                    <m:r>
                      <m:rPr>
                        <m:sty m:val="p"/>
                      </m:rPr>
                      <w:rPr>
                        <w:rFonts w:ascii="Cambria Math" w:hAnsi="Cambria Math"/>
                      </w:rPr>
                      <m:t>(</m:t>
                    </m:r>
                    <m:r>
                      <w:rPr>
                        <w:rFonts w:ascii="Cambria Math" w:hAnsi="Cambria Math"/>
                      </w:rPr>
                      <m:t>Q</m:t>
                    </m:r>
                    <m:r>
                      <m:rPr>
                        <m:sty m:val="p"/>
                      </m:rPr>
                      <w:rPr>
                        <w:rFonts w:ascii="Cambria Math" w:hAnsi="Cambria Math"/>
                      </w:rPr>
                      <m:t>)=</m:t>
                    </m:r>
                    <m:f>
                      <m:fPr>
                        <m:ctrlPr>
                          <w:rPr>
                            <w:rFonts w:ascii="Cambria Math" w:hAnsi="Cambria Math"/>
                          </w:rPr>
                        </m:ctrlPr>
                      </m:fPr>
                      <m:num>
                        <m:r>
                          <w:rPr>
                            <w:rFonts w:ascii="Cambria Math" w:hAnsi="Cambria Math"/>
                          </w:rPr>
                          <m:t>D</m:t>
                        </m:r>
                        <m:r>
                          <m:rPr>
                            <m:sty m:val="p"/>
                          </m:rPr>
                          <w:rPr>
                            <w:rFonts w:ascii="Cambria Math" w:hAnsi="Cambria Math"/>
                          </w:rPr>
                          <m:t>(</m:t>
                        </m:r>
                        <m:r>
                          <w:rPr>
                            <w:rFonts w:ascii="Cambria Math" w:hAnsi="Cambria Math"/>
                          </w:rPr>
                          <m:t>t</m:t>
                        </m:r>
                        <m:r>
                          <m:rPr>
                            <m:sty m:val="p"/>
                          </m:rPr>
                          <w:rPr>
                            <w:rFonts w:ascii="Cambria Math" w:hAnsi="Cambria Math"/>
                          </w:rPr>
                          <m:t>)</m:t>
                        </m:r>
                      </m:num>
                      <m:den>
                        <m:r>
                          <w:rPr>
                            <w:rFonts w:ascii="Cambria Math" w:hAnsi="Cambria Math"/>
                          </w:rPr>
                          <m:t>Q</m:t>
                        </m:r>
                      </m:den>
                    </m:f>
                    <m:r>
                      <m:rPr>
                        <m:sty m:val="p"/>
                      </m:rPr>
                      <w:rPr>
                        <w:rFonts w:ascii="Cambria Math" w:hAnsi="Cambria Math"/>
                      </w:rPr>
                      <m:t>⋅</m:t>
                    </m:r>
                    <m:r>
                      <w:rPr>
                        <w:rFonts w:ascii="Cambria Math" w:hAnsi="Cambria Math"/>
                      </w:rPr>
                      <m:t>S</m:t>
                    </m:r>
                    <m:r>
                      <m:rPr>
                        <m:sty m:val="p"/>
                      </m:rPr>
                      <w:rPr>
                        <w:rFonts w:ascii="Cambria Math" w:hAnsi="Cambria Math"/>
                      </w:rPr>
                      <m:t>+</m:t>
                    </m:r>
                    <m:f>
                      <m:fPr>
                        <m:ctrlPr>
                          <w:rPr>
                            <w:rFonts w:ascii="Cambria Math" w:hAnsi="Cambria Math"/>
                          </w:rPr>
                        </m:ctrlPr>
                      </m:fPr>
                      <m:num>
                        <m:r>
                          <w:rPr>
                            <w:rFonts w:ascii="Cambria Math" w:hAnsi="Cambria Math"/>
                          </w:rPr>
                          <m:t>Q</m:t>
                        </m:r>
                      </m:num>
                      <m:den>
                        <m:r>
                          <m:rPr>
                            <m:sty m:val="p"/>
                          </m:rPr>
                          <w:rPr>
                            <w:rFonts w:ascii="Cambria Math" w:hAnsi="Cambria Math"/>
                          </w:rPr>
                          <m:t>2</m:t>
                        </m:r>
                      </m:den>
                    </m:f>
                    <m:r>
                      <m:rPr>
                        <m:sty m:val="p"/>
                      </m:rPr>
                      <w:rPr>
                        <w:rFonts w:ascii="Cambria Math" w:hAnsi="Cambria Math"/>
                      </w:rPr>
                      <m:t>⋅</m:t>
                    </m:r>
                    <m:r>
                      <w:rPr>
                        <w:rFonts w:ascii="Cambria Math" w:hAnsi="Cambria Math"/>
                      </w:rPr>
                      <m:t>H</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t</m:t>
                        </m:r>
                      </m:sub>
                    </m:sSub>
                  </m:e>
                </m:mr>
                <m:mr>
                  <m:e>
                    <m:r>
                      <w:rPr>
                        <w:rFonts w:ascii="Cambria Math" w:hAnsi="Cambria Math"/>
                      </w:rPr>
                      <m:t>ENV</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e</m:t>
                        </m:r>
                      </m:sub>
                    </m:sSub>
                  </m:e>
                </m:mr>
              </m:m>
            </m:e>
          </m:d>
        </m:oMath>
      </m:oMathPara>
    </w:p>
    <w:p w14:paraId="2F6749BF" w14:textId="77777777" w:rsidR="00031D67" w:rsidRDefault="00BA30C9">
      <w:pPr>
        <w:spacing w:after="220"/>
      </w:pPr>
      <w:r>
        <w:t>Where:</w:t>
      </w:r>
    </w:p>
    <w:p w14:paraId="288501E6" w14:textId="77777777" w:rsidR="00031D67" w:rsidRDefault="00BA30C9">
      <w:pPr>
        <w:numPr>
          <w:ilvl w:val="0"/>
          <w:numId w:val="20"/>
        </w:numPr>
      </w:pPr>
      <m:oMath>
        <m:r>
          <w:rPr>
            <w:rFonts w:ascii="Cambria Math" w:hAnsi="Cambria Math"/>
          </w:rPr>
          <m:t>Q</m:t>
        </m:r>
      </m:oMath>
      <w:r>
        <w:t>: Order quantity</w:t>
      </w:r>
    </w:p>
    <w:p w14:paraId="11A6A269" w14:textId="77777777" w:rsidR="00031D67" w:rsidRDefault="00BA30C9">
      <w:pPr>
        <w:numPr>
          <w:ilvl w:val="0"/>
          <w:numId w:val="20"/>
        </w:numPr>
      </w:pPr>
      <m:oMath>
        <m:r>
          <w:rPr>
            <w:rFonts w:ascii="Cambria Math" w:hAnsi="Cambria Math"/>
          </w:rPr>
          <m:t>D</m:t>
        </m:r>
        <m:r>
          <m:rPr>
            <m:sty m:val="p"/>
          </m:rPr>
          <w:rPr>
            <w:rFonts w:ascii="Cambria Math" w:hAnsi="Cambria Math"/>
          </w:rPr>
          <m:t>(</m:t>
        </m:r>
        <m:r>
          <w:rPr>
            <w:rFonts w:ascii="Cambria Math" w:hAnsi="Cambria Math"/>
          </w:rPr>
          <m:t>t</m:t>
        </m:r>
        <m:r>
          <m:rPr>
            <m:sty m:val="p"/>
          </m:rPr>
          <w:rPr>
            <w:rFonts w:ascii="Cambria Math" w:hAnsi="Cambria Math"/>
          </w:rPr>
          <m:t>)</m:t>
        </m:r>
      </m:oMath>
      <w:r>
        <w:t>: AI-forecasted demand</w:t>
      </w:r>
    </w:p>
    <w:p w14:paraId="40B13F0E" w14:textId="77777777" w:rsidR="00031D67" w:rsidRDefault="00BA30C9">
      <w:pPr>
        <w:numPr>
          <w:ilvl w:val="0"/>
          <w:numId w:val="20"/>
        </w:numPr>
      </w:pPr>
      <m:oMath>
        <m:r>
          <w:rPr>
            <w:rFonts w:ascii="Cambria Math" w:hAnsi="Cambria Math"/>
          </w:rPr>
          <m:t>S</m:t>
        </m:r>
      </m:oMath>
      <w:r>
        <w:t>: Setup cost per order</w:t>
      </w:r>
    </w:p>
    <w:p w14:paraId="6ACCDCAB" w14:textId="77777777" w:rsidR="00031D67" w:rsidRDefault="00BA30C9">
      <w:pPr>
        <w:numPr>
          <w:ilvl w:val="0"/>
          <w:numId w:val="20"/>
        </w:numPr>
      </w:pPr>
      <m:oMath>
        <m:r>
          <w:rPr>
            <w:rFonts w:ascii="Cambria Math" w:hAnsi="Cambria Math"/>
          </w:rPr>
          <m:t>H</m:t>
        </m:r>
      </m:oMath>
      <w:r>
        <w:t>: Holding cost per unit</w:t>
      </w:r>
    </w:p>
    <w:p w14:paraId="503A6B21" w14:textId="77777777" w:rsidR="00031D67" w:rsidRDefault="00BA30C9">
      <w:pPr>
        <w:numPr>
          <w:ilvl w:val="0"/>
          <w:numId w:val="20"/>
        </w:numPr>
      </w:pPr>
      <m:oMath>
        <m:r>
          <w:rPr>
            <w:rFonts w:ascii="Cambria Math" w:hAnsi="Cambria Math"/>
          </w:rPr>
          <m:t>T</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v</m:t>
        </m:r>
        <m:r>
          <m:rPr>
            <m:sty m:val="p"/>
          </m:rPr>
          <w:rPr>
            <w:rFonts w:ascii="Cambria Math" w:hAnsi="Cambria Math"/>
          </w:rPr>
          <m:t>)</m:t>
        </m:r>
      </m:oMath>
      <w:r>
        <w:t xml:space="preserve">: Transportation cost as a function of order size </w:t>
      </w:r>
      <m:oMath>
        <m:r>
          <w:rPr>
            <w:rFonts w:ascii="Cambria Math" w:hAnsi="Cambria Math"/>
          </w:rPr>
          <m:t>Q</m:t>
        </m:r>
      </m:oMath>
      <w:r>
        <w:t xml:space="preserve">, distance </w:t>
      </w:r>
      <m:oMath>
        <m:r>
          <w:rPr>
            <w:rFonts w:ascii="Cambria Math" w:hAnsi="Cambria Math"/>
          </w:rPr>
          <m:t>d</m:t>
        </m:r>
      </m:oMath>
      <w:r>
        <w:t xml:space="preserve">, and vehicle </w:t>
      </w:r>
      <m:oMath>
        <m:r>
          <w:rPr>
            <w:rFonts w:ascii="Cambria Math" w:hAnsi="Cambria Math"/>
          </w:rPr>
          <m:t>v</m:t>
        </m:r>
      </m:oMath>
    </w:p>
    <w:p w14:paraId="6C2CB71D" w14:textId="77777777" w:rsidR="00031D67" w:rsidRDefault="00250C3F">
      <w:pPr>
        <w:numPr>
          <w:ilvl w:val="0"/>
          <w:numId w:val="20"/>
        </w:numPr>
      </w:pPr>
      <m:oMath>
        <m:sSub>
          <m:sSubPr>
            <m:ctrlPr>
              <w:rPr>
                <w:rFonts w:ascii="Cambria Math" w:hAnsi="Cambria Math"/>
              </w:rPr>
            </m:ctrlPr>
          </m:sSubPr>
          <m:e>
            <m:r>
              <w:rPr>
                <w:rFonts w:ascii="Cambria Math" w:hAnsi="Cambria Math"/>
              </w:rPr>
              <m:t>C</m:t>
            </m:r>
          </m:e>
          <m:sub>
            <m:r>
              <w:rPr>
                <w:rFonts w:ascii="Cambria Math" w:hAnsi="Cambria Math"/>
              </w:rPr>
              <m:t>t</m:t>
            </m:r>
          </m:sub>
        </m:sSub>
      </m:oMath>
      <w:r w:rsidR="00BA30C9">
        <w:t>: Cost per unit of transport</w:t>
      </w:r>
    </w:p>
    <w:p w14:paraId="0A79C37B" w14:textId="77777777" w:rsidR="00031D67" w:rsidRDefault="00BA30C9">
      <w:pPr>
        <w:numPr>
          <w:ilvl w:val="0"/>
          <w:numId w:val="20"/>
        </w:numPr>
      </w:pPr>
      <m:oMath>
        <m:r>
          <w:rPr>
            <w:rFonts w:ascii="Cambria Math" w:hAnsi="Cambria Math"/>
          </w:rPr>
          <m:t>E</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v</m:t>
        </m:r>
        <m:r>
          <m:rPr>
            <m:sty m:val="p"/>
          </m:rPr>
          <w:rPr>
            <w:rFonts w:ascii="Cambria Math" w:hAnsi="Cambria Math"/>
          </w:rPr>
          <m:t>)</m:t>
        </m:r>
      </m:oMath>
      <w:r>
        <w:t>: Emissions generated by transportation and storage</w:t>
      </w:r>
    </w:p>
    <w:p w14:paraId="7C4D078B" w14:textId="77777777" w:rsidR="00031D67" w:rsidRDefault="00250C3F">
      <w:pPr>
        <w:numPr>
          <w:ilvl w:val="0"/>
          <w:numId w:val="20"/>
        </w:numPr>
      </w:pPr>
      <m:oMath>
        <m:sSub>
          <m:sSubPr>
            <m:ctrlPr>
              <w:rPr>
                <w:rFonts w:ascii="Cambria Math" w:hAnsi="Cambria Math"/>
              </w:rPr>
            </m:ctrlPr>
          </m:sSubPr>
          <m:e>
            <m:r>
              <w:rPr>
                <w:rFonts w:ascii="Cambria Math" w:hAnsi="Cambria Math"/>
              </w:rPr>
              <m:t>P</m:t>
            </m:r>
          </m:e>
          <m:sub>
            <m:r>
              <w:rPr>
                <w:rFonts w:ascii="Cambria Math" w:hAnsi="Cambria Math"/>
              </w:rPr>
              <m:t>e</m:t>
            </m:r>
          </m:sub>
        </m:sSub>
      </m:oMath>
      <w:r w:rsidR="00BA30C9">
        <w:t>: Cost per unit of carbon emissions</w:t>
      </w:r>
    </w:p>
    <w:p w14:paraId="322752BD" w14:textId="1630B714" w:rsidR="00031D67" w:rsidRDefault="004F63E6">
      <w:pPr>
        <w:spacing w:before="240" w:line="271" w:lineRule="auto"/>
      </w:pPr>
      <w:r>
        <w:rPr>
          <w:b/>
          <w:sz w:val="28"/>
        </w:rPr>
        <w:lastRenderedPageBreak/>
        <w:t>5.2 Constraints</w:t>
      </w:r>
    </w:p>
    <w:p w14:paraId="299DDE39" w14:textId="77777777" w:rsidR="00031D67" w:rsidRDefault="00BA30C9">
      <w:pPr>
        <w:spacing w:after="220"/>
      </w:pPr>
      <w:r>
        <w:t>The model is subject to the following constraints:</w:t>
      </w:r>
    </w:p>
    <w:p w14:paraId="28630813" w14:textId="77777777" w:rsidR="00031D67" w:rsidRDefault="00BA30C9">
      <w:pPr>
        <w:numPr>
          <w:ilvl w:val="0"/>
          <w:numId w:val="21"/>
        </w:numPr>
        <w:spacing w:after="220"/>
      </w:pPr>
      <w:r>
        <w:rPr>
          <w:b/>
        </w:rPr>
        <w:t>Inventory Balance Constraint:</w:t>
      </w:r>
    </w:p>
    <w:p w14:paraId="7A3992CC" w14:textId="77777777" w:rsidR="00031D67" w:rsidRDefault="00BA30C9">
      <w:pPr>
        <w:spacing w:after="220"/>
        <w:ind w:left="720"/>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+1)=</m:t>
          </m:r>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t</m:t>
          </m:r>
          <m:r>
            <m:rPr>
              <m:sty m:val="p"/>
            </m:rPr>
            <w:rPr>
              <w:rFonts w:ascii="Cambria Math" w:hAnsi="Cambria Math"/>
            </w:rPr>
            <m:t>)-</m:t>
          </m:r>
          <m:acc>
            <m:accPr>
              <m:chr m:val="ˆ"/>
              <m:ctrlPr>
                <w:rPr>
                  <w:rFonts w:ascii="Cambria Math" w:hAnsi="Cambria Math"/>
                </w:rPr>
              </m:ctrlPr>
            </m:accPr>
            <m:e>
              <m:r>
                <w:rPr>
                  <w:rFonts w:ascii="Cambria Math" w:hAnsi="Cambria Math"/>
                </w:rPr>
                <m:t>D</m:t>
              </m:r>
            </m:e>
          </m:acc>
          <m:r>
            <m:rPr>
              <m:sty m:val="p"/>
            </m:rPr>
            <w:rPr>
              <w:rFonts w:ascii="Cambria Math" w:hAnsi="Cambria Math"/>
            </w:rPr>
            <m:t>(</m:t>
          </m:r>
          <m:r>
            <w:rPr>
              <w:rFonts w:ascii="Cambria Math" w:hAnsi="Cambria Math"/>
            </w:rPr>
            <m:t>t</m:t>
          </m:r>
          <m:r>
            <m:rPr>
              <m:sty m:val="p"/>
            </m:rPr>
            <w:rPr>
              <w:rFonts w:ascii="Cambria Math" w:hAnsi="Cambria Math"/>
            </w:rPr>
            <m:t>)</m:t>
          </m:r>
        </m:oMath>
      </m:oMathPara>
    </w:p>
    <w:p w14:paraId="0DC18A68" w14:textId="77777777" w:rsidR="00031D67" w:rsidRDefault="00BA30C9">
      <w:pPr>
        <w:numPr>
          <w:ilvl w:val="0"/>
          <w:numId w:val="21"/>
        </w:numPr>
        <w:spacing w:after="220"/>
      </w:pPr>
      <w:r>
        <w:rPr>
          <w:b/>
        </w:rPr>
        <w:t>Emission Limit:</w:t>
      </w:r>
    </w:p>
    <w:p w14:paraId="54E779A4" w14:textId="77777777" w:rsidR="00031D67" w:rsidRDefault="00BA30C9">
      <w:pPr>
        <w:spacing w:after="220"/>
        <w:ind w:left="720"/>
      </w:pPr>
      <m:oMathPara>
        <m:oMath>
          <m:r>
            <w:rPr>
              <w:rFonts w:ascii="Cambria Math" w:hAnsi="Cambria Math"/>
            </w:rPr>
            <m:t>E</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d</m:t>
          </m:r>
          <m:r>
            <m:rPr>
              <m:sty m:val="p"/>
            </m:rPr>
            <w:rPr>
              <w:rFonts w:ascii="Cambria Math" w:hAnsi="Cambria Math"/>
            </w:rPr>
            <m:t>,</m:t>
          </m:r>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E</m:t>
              </m:r>
            </m:e>
            <m:sub>
              <m:r>
                <m:rPr>
                  <m:nor/>
                </m:rPr>
                <m:t>max</m:t>
              </m:r>
            </m:sub>
          </m:sSub>
        </m:oMath>
      </m:oMathPara>
    </w:p>
    <w:p w14:paraId="4F327BD1" w14:textId="77777777" w:rsidR="00031D67" w:rsidRDefault="00BA30C9">
      <w:pPr>
        <w:numPr>
          <w:ilvl w:val="0"/>
          <w:numId w:val="21"/>
        </w:numPr>
        <w:spacing w:after="220"/>
      </w:pPr>
      <w:r>
        <w:rPr>
          <w:b/>
        </w:rPr>
        <w:t>Order Quantity Bounds:</w:t>
      </w:r>
    </w:p>
    <w:p w14:paraId="5EC4E8B3" w14:textId="77777777" w:rsidR="00031D67" w:rsidRDefault="00250C3F">
      <w:pPr>
        <w:spacing w:after="220"/>
        <w:ind w:left="720"/>
      </w:pPr>
      <m:oMathPara>
        <m:oMath>
          <m:sSub>
            <m:sSubPr>
              <m:ctrlPr>
                <w:rPr>
                  <w:rFonts w:ascii="Cambria Math" w:hAnsi="Cambria Math"/>
                </w:rPr>
              </m:ctrlPr>
            </m:sSubPr>
            <m:e>
              <m:r>
                <w:rPr>
                  <w:rFonts w:ascii="Cambria Math" w:hAnsi="Cambria Math"/>
                </w:rPr>
                <m:t>Q</m:t>
              </m:r>
            </m:e>
            <m:sub>
              <m:r>
                <m:rPr>
                  <m:sty m:val="p"/>
                </m:rPr>
                <w:rPr>
                  <w:rFonts w:ascii="Cambria Math" w:hAnsi="Cambria Math"/>
                </w:rPr>
                <m:t>min</m:t>
              </m:r>
            </m:sub>
          </m:sSub>
          <m:r>
            <m:rPr>
              <m:sty m:val="p"/>
            </m:rPr>
            <w:rPr>
              <w:rFonts w:ascii="Cambria Math" w:hAnsi="Cambria Math"/>
            </w:rPr>
            <m:t>≤</m:t>
          </m:r>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max</m:t>
              </m:r>
            </m:sub>
          </m:sSub>
        </m:oMath>
      </m:oMathPara>
    </w:p>
    <w:p w14:paraId="43200AD2" w14:textId="77777777" w:rsidR="00031D67" w:rsidRDefault="00BA30C9">
      <w:pPr>
        <w:numPr>
          <w:ilvl w:val="0"/>
          <w:numId w:val="21"/>
        </w:numPr>
        <w:spacing w:after="220"/>
      </w:pPr>
      <w:r>
        <w:rPr>
          <w:b/>
        </w:rPr>
        <w:t>Service Level Constraint:</w:t>
      </w:r>
    </w:p>
    <w:p w14:paraId="3F4BF46E" w14:textId="77777777" w:rsidR="00031D67" w:rsidRDefault="00BA30C9">
      <w:pPr>
        <w:spacing w:after="220"/>
        <w:ind w:left="720"/>
      </w:pPr>
      <m:oMathPara>
        <m:oMath>
          <m:r>
            <w:rPr>
              <w:rFonts w:ascii="Cambria Math" w:hAnsi="Cambria Math"/>
            </w:rPr>
            <m:t>P</m:t>
          </m:r>
          <m:r>
            <m:rPr>
              <m:sty m:val="p"/>
            </m:rPr>
            <w:rPr>
              <w:rFonts w:ascii="Cambria Math" w:hAnsi="Cambria Math"/>
            </w:rPr>
            <m:t>(</m:t>
          </m:r>
          <m:r>
            <m:rPr>
              <m:nor/>
            </m:rPr>
            <m:t>Stockout</m:t>
          </m:r>
          <m:r>
            <m:rPr>
              <m:sty m:val="p"/>
            </m:rPr>
            <w:rPr>
              <w:rFonts w:ascii="Cambria Math" w:hAnsi="Cambria Math"/>
            </w:rPr>
            <m:t>)≤</m:t>
          </m:r>
          <m:r>
            <w:rPr>
              <w:rFonts w:ascii="Cambria Math" w:hAnsi="Cambria Math"/>
            </w:rPr>
            <m:t>α</m:t>
          </m:r>
        </m:oMath>
      </m:oMathPara>
    </w:p>
    <w:p w14:paraId="5FECE724" w14:textId="4DC121C8" w:rsidR="00031D67" w:rsidRDefault="004F63E6">
      <w:pPr>
        <w:spacing w:before="240" w:line="271" w:lineRule="auto"/>
      </w:pPr>
      <w:r>
        <w:rPr>
          <w:b/>
          <w:sz w:val="28"/>
        </w:rPr>
        <w:t>5.3 Multi-Objective Optimization Technique</w:t>
      </w:r>
    </w:p>
    <w:p w14:paraId="1E6C3F59" w14:textId="77777777" w:rsidR="00031D67" w:rsidRDefault="00BA30C9" w:rsidP="001966BC">
      <w:pPr>
        <w:spacing w:after="220"/>
        <w:jc w:val="both"/>
      </w:pPr>
      <w:r>
        <w:t xml:space="preserve">To solve the bi-objective model, we apply </w:t>
      </w:r>
      <w:r>
        <w:rPr>
          <w:b/>
        </w:rPr>
        <w:t>Non-dominated Sorting Genetic Algorithm II (NSGA-II)</w:t>
      </w:r>
      <w:r>
        <w:t>, which is effective in:</w:t>
      </w:r>
    </w:p>
    <w:p w14:paraId="39C7090E" w14:textId="77777777" w:rsidR="00031D67" w:rsidRDefault="00BA30C9">
      <w:pPr>
        <w:numPr>
          <w:ilvl w:val="0"/>
          <w:numId w:val="22"/>
        </w:numPr>
      </w:pPr>
      <w:r>
        <w:t>Generating a Pareto front of optimal trade-offs</w:t>
      </w:r>
    </w:p>
    <w:p w14:paraId="23B3421E" w14:textId="77777777" w:rsidR="00031D67" w:rsidRDefault="00BA30C9">
      <w:pPr>
        <w:numPr>
          <w:ilvl w:val="0"/>
          <w:numId w:val="22"/>
        </w:numPr>
      </w:pPr>
      <w:r>
        <w:t>Handling nonlinear and non-convex problems</w:t>
      </w:r>
    </w:p>
    <w:p w14:paraId="2EFC3F2F" w14:textId="77777777" w:rsidR="00031D67" w:rsidRDefault="00BA30C9">
      <w:pPr>
        <w:numPr>
          <w:ilvl w:val="0"/>
          <w:numId w:val="22"/>
        </w:numPr>
      </w:pPr>
      <w:r>
        <w:t>Preserving solution diversity across objectives</w:t>
      </w:r>
    </w:p>
    <w:p w14:paraId="1E10B017" w14:textId="77777777" w:rsidR="00031D67" w:rsidRDefault="00BA30C9">
      <w:pPr>
        <w:spacing w:after="220"/>
      </w:pPr>
      <w:r>
        <w:rPr>
          <w:b/>
        </w:rPr>
        <w:t>NSGA-II Procedure:</w:t>
      </w:r>
    </w:p>
    <w:p w14:paraId="014016CF" w14:textId="77777777" w:rsidR="00031D67" w:rsidRDefault="00BA30C9">
      <w:pPr>
        <w:numPr>
          <w:ilvl w:val="0"/>
          <w:numId w:val="23"/>
        </w:numPr>
      </w:pPr>
      <w:r>
        <w:t xml:space="preserve">Initialize a population of solutions </w:t>
      </w:r>
      <m:oMath>
        <m:sSub>
          <m:sSubPr>
            <m:ctrlPr>
              <w:rPr>
                <w:rFonts w:ascii="Cambria Math" w:hAnsi="Cambria Math"/>
              </w:rPr>
            </m:ctrlPr>
          </m:sSubPr>
          <m:e>
            <m:r>
              <w:rPr>
                <w:rFonts w:ascii="Cambria Math" w:hAnsi="Cambria Math"/>
              </w:rPr>
              <m:t>Q</m:t>
            </m:r>
          </m:e>
          <m:sub>
            <m:r>
              <w:rPr>
                <w:rFonts w:ascii="Cambria Math" w:hAnsi="Cambria Math"/>
              </w:rPr>
              <m:t>i</m:t>
            </m:r>
          </m:sub>
        </m:sSub>
      </m:oMath>
    </w:p>
    <w:p w14:paraId="12B7BC5F" w14:textId="77777777" w:rsidR="00031D67" w:rsidRDefault="00BA30C9">
      <w:pPr>
        <w:numPr>
          <w:ilvl w:val="0"/>
          <w:numId w:val="23"/>
        </w:numPr>
      </w:pPr>
      <w:r>
        <w:t>Evaluate fitness for both EC and ENV</w:t>
      </w:r>
    </w:p>
    <w:p w14:paraId="2DC252B1" w14:textId="77777777" w:rsidR="00031D67" w:rsidRDefault="00BA30C9">
      <w:pPr>
        <w:numPr>
          <w:ilvl w:val="0"/>
          <w:numId w:val="23"/>
        </w:numPr>
      </w:pPr>
      <w:r>
        <w:t>Rank solutions based on Pareto dominance</w:t>
      </w:r>
    </w:p>
    <w:p w14:paraId="12EB2EE7" w14:textId="77777777" w:rsidR="00031D67" w:rsidRDefault="00BA30C9">
      <w:pPr>
        <w:numPr>
          <w:ilvl w:val="0"/>
          <w:numId w:val="23"/>
        </w:numPr>
      </w:pPr>
      <w:r>
        <w:t>Apply selection, crossover, and mutation to evolve new populations</w:t>
      </w:r>
    </w:p>
    <w:p w14:paraId="63730089" w14:textId="77777777" w:rsidR="00031D67" w:rsidRDefault="00BA30C9">
      <w:pPr>
        <w:numPr>
          <w:ilvl w:val="0"/>
          <w:numId w:val="23"/>
        </w:numPr>
      </w:pPr>
      <w:r>
        <w:t>Continue until convergence criteria are met</w:t>
      </w:r>
    </w:p>
    <w:p w14:paraId="4DE87B32" w14:textId="3B006830" w:rsidR="00031D67" w:rsidRDefault="004F63E6">
      <w:pPr>
        <w:spacing w:before="240" w:line="271" w:lineRule="auto"/>
      </w:pPr>
      <w:r>
        <w:rPr>
          <w:b/>
          <w:sz w:val="28"/>
        </w:rPr>
        <w:t>5.4 Decision Variables</w:t>
      </w:r>
    </w:p>
    <w:p w14:paraId="6ACB1337" w14:textId="77777777" w:rsidR="00031D67" w:rsidRDefault="00BA30C9">
      <w:pPr>
        <w:numPr>
          <w:ilvl w:val="0"/>
          <w:numId w:val="24"/>
        </w:numPr>
      </w:pPr>
      <m:oMath>
        <m:r>
          <w:rPr>
            <w:rFonts w:ascii="Cambria Math" w:hAnsi="Cambria Math"/>
          </w:rPr>
          <m:t>Q</m:t>
        </m:r>
      </m:oMath>
      <w:r>
        <w:t>: Order quantity (continuous)</w:t>
      </w:r>
    </w:p>
    <w:p w14:paraId="0BAD0DF5" w14:textId="77777777" w:rsidR="00031D67" w:rsidRDefault="00BA30C9">
      <w:pPr>
        <w:numPr>
          <w:ilvl w:val="0"/>
          <w:numId w:val="24"/>
        </w:numPr>
      </w:pPr>
      <m:oMath>
        <m:r>
          <w:rPr>
            <w:rFonts w:ascii="Cambria Math" w:hAnsi="Cambria Math"/>
          </w:rPr>
          <m:t>T</m:t>
        </m:r>
      </m:oMath>
      <w:r>
        <w:t>: Reorder interval (discrete)</w:t>
      </w:r>
    </w:p>
    <w:p w14:paraId="08FD35EA" w14:textId="77777777" w:rsidR="00031D67" w:rsidRDefault="00BA30C9">
      <w:pPr>
        <w:numPr>
          <w:ilvl w:val="0"/>
          <w:numId w:val="24"/>
        </w:numPr>
      </w:pPr>
      <m:oMath>
        <m:r>
          <w:rPr>
            <w:rFonts w:ascii="Cambria Math" w:hAnsi="Cambria Math"/>
          </w:rPr>
          <m:t>v</m:t>
        </m:r>
      </m:oMath>
      <w:r>
        <w:t>: Transport mode/vehicle (categorical)</w:t>
      </w:r>
    </w:p>
    <w:p w14:paraId="750A178A" w14:textId="77777777" w:rsidR="00031D67" w:rsidRDefault="00BA30C9">
      <w:pPr>
        <w:numPr>
          <w:ilvl w:val="0"/>
          <w:numId w:val="24"/>
        </w:numPr>
      </w:pPr>
      <m:oMath>
        <m:r>
          <w:rPr>
            <w:rFonts w:ascii="Cambria Math" w:hAnsi="Cambria Math"/>
          </w:rPr>
          <m:t>d</m:t>
        </m:r>
      </m:oMath>
      <w:r>
        <w:t>: Delivery distance (parameter)</w:t>
      </w:r>
    </w:p>
    <w:p w14:paraId="1F35F88E" w14:textId="292C4000" w:rsidR="00031D67" w:rsidRDefault="004F63E6">
      <w:pPr>
        <w:spacing w:before="240" w:line="271" w:lineRule="auto"/>
      </w:pPr>
      <w:r>
        <w:rPr>
          <w:b/>
          <w:sz w:val="28"/>
        </w:rPr>
        <w:t>5.5 Output and Decision Support</w:t>
      </w:r>
    </w:p>
    <w:p w14:paraId="748D16F4" w14:textId="77777777" w:rsidR="00031D67" w:rsidRDefault="00BA30C9">
      <w:pPr>
        <w:spacing w:after="220"/>
      </w:pPr>
      <w:r>
        <w:t xml:space="preserve">The model provides a </w:t>
      </w:r>
      <w:r>
        <w:rPr>
          <w:b/>
        </w:rPr>
        <w:t>Pareto optimal set</w:t>
      </w:r>
      <w:r>
        <w:t xml:space="preserve"> of solutions, enabling decision-makers to:</w:t>
      </w:r>
    </w:p>
    <w:p w14:paraId="63B697C2" w14:textId="77777777" w:rsidR="00031D67" w:rsidRDefault="00BA30C9">
      <w:pPr>
        <w:numPr>
          <w:ilvl w:val="0"/>
          <w:numId w:val="25"/>
        </w:numPr>
      </w:pPr>
      <w:r>
        <w:lastRenderedPageBreak/>
        <w:t>Choose low-cost or low-emission strategies depending on goals</w:t>
      </w:r>
    </w:p>
    <w:p w14:paraId="6EE8D6E6" w14:textId="77777777" w:rsidR="00031D67" w:rsidRDefault="00BA30C9">
      <w:pPr>
        <w:numPr>
          <w:ilvl w:val="0"/>
          <w:numId w:val="25"/>
        </w:numPr>
      </w:pPr>
      <w:r>
        <w:t xml:space="preserve">Conduct </w:t>
      </w:r>
      <w:r>
        <w:rPr>
          <w:b/>
        </w:rPr>
        <w:t>scenario analysis</w:t>
      </w:r>
      <w:r>
        <w:t xml:space="preserve"> (e.g., emission tax increase, demand shock)</w:t>
      </w:r>
    </w:p>
    <w:p w14:paraId="75892532" w14:textId="77777777" w:rsidR="00031D67" w:rsidRDefault="00BA30C9">
      <w:pPr>
        <w:numPr>
          <w:ilvl w:val="0"/>
          <w:numId w:val="25"/>
        </w:numPr>
      </w:pPr>
      <w:r>
        <w:t>Dynamically update EOQ based on updated demand forecasts</w:t>
      </w:r>
    </w:p>
    <w:p w14:paraId="2964E1E2" w14:textId="0BB4EBCD" w:rsidR="00031D67" w:rsidRDefault="004F63E6">
      <w:pPr>
        <w:spacing w:before="240" w:line="271" w:lineRule="auto"/>
      </w:pPr>
      <w:r>
        <w:rPr>
          <w:b/>
          <w:sz w:val="28"/>
        </w:rPr>
        <w:t>5.6 Key Advantages</w:t>
      </w:r>
    </w:p>
    <w:p w14:paraId="1E3A522D" w14:textId="77777777" w:rsidR="00031D67" w:rsidRDefault="00BA30C9">
      <w:pPr>
        <w:numPr>
          <w:ilvl w:val="0"/>
          <w:numId w:val="26"/>
        </w:numPr>
      </w:pPr>
      <w:r>
        <w:t xml:space="preserve">Integrates </w:t>
      </w:r>
      <w:r>
        <w:rPr>
          <w:b/>
        </w:rPr>
        <w:t>AI predictions</w:t>
      </w:r>
      <w:r>
        <w:t xml:space="preserve"> with operational decision-making</w:t>
      </w:r>
    </w:p>
    <w:p w14:paraId="3E6F4F3B" w14:textId="77777777" w:rsidR="00031D67" w:rsidRDefault="00BA30C9">
      <w:pPr>
        <w:numPr>
          <w:ilvl w:val="0"/>
          <w:numId w:val="26"/>
        </w:numPr>
      </w:pPr>
      <w:r>
        <w:t xml:space="preserve">Supports </w:t>
      </w:r>
      <w:r>
        <w:rPr>
          <w:b/>
        </w:rPr>
        <w:t>green supply chain strategies</w:t>
      </w:r>
    </w:p>
    <w:p w14:paraId="4F3F5DD4" w14:textId="77777777" w:rsidR="00031D67" w:rsidRDefault="00BA30C9">
      <w:pPr>
        <w:numPr>
          <w:ilvl w:val="0"/>
          <w:numId w:val="26"/>
        </w:numPr>
      </w:pPr>
      <w:r>
        <w:t xml:space="preserve">Provides </w:t>
      </w:r>
      <w:r>
        <w:rPr>
          <w:b/>
        </w:rPr>
        <w:t>flexibility</w:t>
      </w:r>
      <w:r>
        <w:t xml:space="preserve"> to respond to real-world uncertainties</w:t>
      </w:r>
    </w:p>
    <w:p w14:paraId="4CFF6E39" w14:textId="6E1D8E53" w:rsidR="00031D67" w:rsidRDefault="004F63E6">
      <w:pPr>
        <w:spacing w:before="240" w:line="271" w:lineRule="auto"/>
      </w:pPr>
      <w:r>
        <w:rPr>
          <w:b/>
          <w:sz w:val="33"/>
        </w:rPr>
        <w:t>6. Numerical Simulation and Sensitivity Analysis</w:t>
      </w:r>
    </w:p>
    <w:p w14:paraId="7E34633C" w14:textId="77777777" w:rsidR="00031D67" w:rsidRDefault="00BA30C9" w:rsidP="001966BC">
      <w:pPr>
        <w:spacing w:after="220"/>
        <w:jc w:val="both"/>
      </w:pPr>
      <w:r>
        <w:t xml:space="preserve">To evaluate the performance of the proposed Smart EOQ model, we conduct comprehensive </w:t>
      </w:r>
      <w:r>
        <w:rPr>
          <w:b/>
        </w:rPr>
        <w:t>numerical simulations</w:t>
      </w:r>
      <w:r>
        <w:t xml:space="preserve"> and </w:t>
      </w:r>
      <w:r>
        <w:rPr>
          <w:b/>
        </w:rPr>
        <w:t>sensitivity analyses</w:t>
      </w:r>
      <w:r>
        <w:rPr>
          <w:rFonts w:eastAsia="Times New Roman" w:hAnsi="Times New Roman" w:cs="Times New Roman"/>
        </w:rPr>
        <w:t xml:space="preserve"> using a dataset representative of a medium-sized retail supply chain. This phase validates the model’s effectiveness in minimizing costs while integrating sustainability and adaptability under dynamic demand conditions.</w:t>
      </w:r>
    </w:p>
    <w:p w14:paraId="3ACFEF88" w14:textId="7E0723A1" w:rsidR="00031D67" w:rsidRDefault="004F63E6">
      <w:pPr>
        <w:spacing w:before="240" w:line="271" w:lineRule="auto"/>
      </w:pPr>
      <w:r>
        <w:rPr>
          <w:b/>
          <w:sz w:val="28"/>
        </w:rPr>
        <w:t>6.1 Simulation Setup</w:t>
      </w:r>
    </w:p>
    <w:p w14:paraId="5624FC43" w14:textId="77777777" w:rsidR="00031D67" w:rsidRDefault="00BA30C9">
      <w:pPr>
        <w:spacing w:after="220"/>
      </w:pPr>
      <w:r>
        <w:t>A simulation environment is developed using Python, integrating:</w:t>
      </w:r>
    </w:p>
    <w:p w14:paraId="63EE7798" w14:textId="77777777" w:rsidR="00031D67" w:rsidRDefault="00BA30C9">
      <w:pPr>
        <w:numPr>
          <w:ilvl w:val="0"/>
          <w:numId w:val="27"/>
        </w:numPr>
      </w:pPr>
      <w:r>
        <w:rPr>
          <w:b/>
        </w:rPr>
        <w:t>AI demand forecasting</w:t>
      </w:r>
      <w:r>
        <w:t xml:space="preserve"> module (LSTM)</w:t>
      </w:r>
    </w:p>
    <w:p w14:paraId="4E6EF994" w14:textId="77777777" w:rsidR="00031D67" w:rsidRDefault="00BA30C9">
      <w:pPr>
        <w:numPr>
          <w:ilvl w:val="0"/>
          <w:numId w:val="27"/>
        </w:numPr>
      </w:pPr>
      <w:r>
        <w:rPr>
          <w:b/>
        </w:rPr>
        <w:t>Multi-objective optimization</w:t>
      </w:r>
      <w:r>
        <w:t xml:space="preserve"> module (NSGA-II)</w:t>
      </w:r>
    </w:p>
    <w:p w14:paraId="12698A2B" w14:textId="77777777" w:rsidR="00031D67" w:rsidRDefault="00BA30C9">
      <w:pPr>
        <w:numPr>
          <w:ilvl w:val="0"/>
          <w:numId w:val="27"/>
        </w:numPr>
      </w:pPr>
      <w:r>
        <w:rPr>
          <w:b/>
        </w:rPr>
        <w:t>Cost and emissions evaluation</w:t>
      </w:r>
      <w:r>
        <w:t xml:space="preserve"> module</w:t>
      </w:r>
    </w:p>
    <w:p w14:paraId="75E66092" w14:textId="77777777" w:rsidR="00031D67" w:rsidRDefault="00BA30C9" w:rsidP="001966BC">
      <w:pPr>
        <w:spacing w:after="220"/>
        <w:jc w:val="both"/>
      </w:pPr>
      <w:r>
        <w:rPr>
          <w:b/>
        </w:rPr>
        <w:t>Dataset used:</w:t>
      </w:r>
      <w:r>
        <w:br/>
      </w:r>
      <w:r>
        <w:rPr>
          <w:rFonts w:eastAsia="Times New Roman" w:hAnsi="Times New Roman" w:cs="Times New Roman"/>
        </w:rPr>
        <w:t>Real or synthetic time-series demand data over 12 months (e.g., daily demand), transportation emission factors (kg CO₂ per km), inventory cost parameters, and carbon pricing data.</w:t>
      </w:r>
    </w:p>
    <w:p w14:paraId="2213AFC9" w14:textId="16345DD0" w:rsidR="00031D67" w:rsidRDefault="00C90965">
      <w:pPr>
        <w:spacing w:after="220"/>
        <w:rPr>
          <w:b/>
        </w:rPr>
      </w:pPr>
      <w:r>
        <w:rPr>
          <w:b/>
        </w:rPr>
        <w:t>list</w:t>
      </w:r>
      <w:r w:rsidR="00C11541">
        <w:rPr>
          <w:b/>
        </w:rPr>
        <w:t xml:space="preserve"> 1: </w:t>
      </w:r>
      <w:r w:rsidR="00BA30C9">
        <w:rPr>
          <w:b/>
        </w:rPr>
        <w:t>Key Input Parameters</w:t>
      </w:r>
    </w:p>
    <w:p w14:paraId="71FFB4D9" w14:textId="77777777" w:rsidR="00170604" w:rsidRDefault="00170604">
      <w:pPr>
        <w:spacing w:after="220"/>
      </w:pPr>
    </w:p>
    <w:tbl>
      <w:tblPr>
        <w:tblStyle w:val="NormalGrid"/>
        <w:tblW w:w="0" w:type="auto"/>
        <w:jc w:val="center"/>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2409"/>
        <w:gridCol w:w="1007"/>
        <w:gridCol w:w="1359"/>
      </w:tblGrid>
      <w:tr w:rsidR="00031D67" w14:paraId="7A299FBE" w14:textId="77777777">
        <w:trPr>
          <w:cantSplit/>
          <w:tblCellSpacing w:w="0" w:type="dxa"/>
          <w:jc w:val="center"/>
        </w:trPr>
        <w:tc>
          <w:tcPr>
            <w:tcW w:w="0" w:type="auto"/>
            <w:tcBorders>
              <w:top w:val="single" w:sz="1" w:space="0" w:color="000000"/>
              <w:bottom w:val="single" w:sz="1" w:space="0" w:color="000000"/>
            </w:tcBorders>
          </w:tcPr>
          <w:p w14:paraId="684B777A" w14:textId="77777777" w:rsidR="00031D67" w:rsidRDefault="00BA30C9">
            <w:r>
              <w:t>Parameter</w:t>
            </w:r>
          </w:p>
        </w:tc>
        <w:tc>
          <w:tcPr>
            <w:tcW w:w="0" w:type="auto"/>
            <w:tcBorders>
              <w:top w:val="single" w:sz="1" w:space="0" w:color="000000"/>
              <w:left w:val="single" w:sz="1" w:space="0" w:color="000000"/>
              <w:bottom w:val="single" w:sz="1" w:space="0" w:color="000000"/>
            </w:tcBorders>
          </w:tcPr>
          <w:p w14:paraId="32336BC6" w14:textId="77777777" w:rsidR="00031D67" w:rsidRDefault="00BA30C9">
            <w:r>
              <w:t>Symbol</w:t>
            </w:r>
          </w:p>
        </w:tc>
        <w:tc>
          <w:tcPr>
            <w:tcW w:w="0" w:type="auto"/>
            <w:tcBorders>
              <w:top w:val="single" w:sz="1" w:space="0" w:color="000000"/>
              <w:left w:val="single" w:sz="1" w:space="0" w:color="000000"/>
              <w:bottom w:val="single" w:sz="1" w:space="0" w:color="000000"/>
            </w:tcBorders>
          </w:tcPr>
          <w:p w14:paraId="79BA4658" w14:textId="77777777" w:rsidR="00031D67" w:rsidRDefault="00BA30C9">
            <w:r>
              <w:t>Base Value</w:t>
            </w:r>
          </w:p>
        </w:tc>
      </w:tr>
      <w:tr w:rsidR="00031D67" w14:paraId="0FEA3943" w14:textId="77777777">
        <w:trPr>
          <w:cantSplit/>
          <w:tblCellSpacing w:w="0" w:type="dxa"/>
          <w:jc w:val="center"/>
        </w:trPr>
        <w:tc>
          <w:tcPr>
            <w:tcW w:w="0" w:type="auto"/>
            <w:tcBorders>
              <w:top w:val="single" w:sz="1" w:space="0" w:color="000000"/>
              <w:bottom w:val="single" w:sz="1" w:space="0" w:color="000000"/>
            </w:tcBorders>
          </w:tcPr>
          <w:p w14:paraId="29E22CF1" w14:textId="77777777" w:rsidR="00031D67" w:rsidRDefault="00BA30C9">
            <w:r>
              <w:t>Forecasted demand/day</w:t>
            </w:r>
          </w:p>
        </w:tc>
        <w:tc>
          <w:tcPr>
            <w:tcW w:w="0" w:type="auto"/>
            <w:tcBorders>
              <w:top w:val="single" w:sz="1" w:space="0" w:color="000000"/>
              <w:left w:val="single" w:sz="1" w:space="0" w:color="000000"/>
              <w:bottom w:val="single" w:sz="1" w:space="0" w:color="000000"/>
            </w:tcBorders>
          </w:tcPr>
          <w:p w14:paraId="64E2E933" w14:textId="77777777" w:rsidR="00031D67" w:rsidRDefault="00BA30C9">
            <m:oMathPara>
              <m:oMathParaPr>
                <m:jc m:val="left"/>
              </m:oMathParaPr>
              <m:oMath>
                <m:r>
                  <w:rPr>
                    <w:rFonts w:ascii="Cambria Math" w:hAnsi="Cambria Math"/>
                  </w:rPr>
                  <m:t>D</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0" w:type="auto"/>
            <w:tcBorders>
              <w:top w:val="single" w:sz="1" w:space="0" w:color="000000"/>
              <w:left w:val="single" w:sz="1" w:space="0" w:color="000000"/>
              <w:bottom w:val="single" w:sz="1" w:space="0" w:color="000000"/>
            </w:tcBorders>
          </w:tcPr>
          <w:p w14:paraId="70192696" w14:textId="77777777" w:rsidR="00031D67" w:rsidRDefault="00BA30C9">
            <w:r>
              <w:t>Varies</w:t>
            </w:r>
          </w:p>
        </w:tc>
      </w:tr>
      <w:tr w:rsidR="00031D67" w14:paraId="2EF84836" w14:textId="77777777">
        <w:trPr>
          <w:cantSplit/>
          <w:tblCellSpacing w:w="0" w:type="dxa"/>
          <w:jc w:val="center"/>
        </w:trPr>
        <w:tc>
          <w:tcPr>
            <w:tcW w:w="0" w:type="auto"/>
            <w:tcBorders>
              <w:top w:val="single" w:sz="1" w:space="0" w:color="000000"/>
              <w:bottom w:val="single" w:sz="1" w:space="0" w:color="000000"/>
            </w:tcBorders>
          </w:tcPr>
          <w:p w14:paraId="27A3810E" w14:textId="77777777" w:rsidR="00031D67" w:rsidRDefault="00BA30C9">
            <w:r>
              <w:t>Ordering cost</w:t>
            </w:r>
          </w:p>
        </w:tc>
        <w:tc>
          <w:tcPr>
            <w:tcW w:w="0" w:type="auto"/>
            <w:tcBorders>
              <w:top w:val="single" w:sz="1" w:space="0" w:color="000000"/>
              <w:left w:val="single" w:sz="1" w:space="0" w:color="000000"/>
              <w:bottom w:val="single" w:sz="1" w:space="0" w:color="000000"/>
            </w:tcBorders>
          </w:tcPr>
          <w:p w14:paraId="469AB507" w14:textId="77777777" w:rsidR="00031D67" w:rsidRDefault="00BA30C9">
            <m:oMathPara>
              <m:oMathParaPr>
                <m:jc m:val="left"/>
              </m:oMathParaPr>
              <m:oMath>
                <m:r>
                  <w:rPr>
                    <w:rFonts w:ascii="Cambria Math" w:hAnsi="Cambria Math"/>
                  </w:rPr>
                  <m:t>S</m:t>
                </m:r>
              </m:oMath>
            </m:oMathPara>
          </w:p>
        </w:tc>
        <w:tc>
          <w:tcPr>
            <w:tcW w:w="0" w:type="auto"/>
            <w:tcBorders>
              <w:top w:val="single" w:sz="1" w:space="0" w:color="000000"/>
              <w:left w:val="single" w:sz="1" w:space="0" w:color="000000"/>
              <w:bottom w:val="single" w:sz="1" w:space="0" w:color="000000"/>
            </w:tcBorders>
          </w:tcPr>
          <w:p w14:paraId="381F9733" w14:textId="77777777" w:rsidR="00031D67" w:rsidRDefault="00BA30C9">
            <w:r>
              <w:t>$100/order</w:t>
            </w:r>
          </w:p>
        </w:tc>
      </w:tr>
      <w:tr w:rsidR="00031D67" w14:paraId="21E96F04" w14:textId="77777777">
        <w:trPr>
          <w:cantSplit/>
          <w:tblCellSpacing w:w="0" w:type="dxa"/>
          <w:jc w:val="center"/>
        </w:trPr>
        <w:tc>
          <w:tcPr>
            <w:tcW w:w="0" w:type="auto"/>
            <w:tcBorders>
              <w:top w:val="single" w:sz="1" w:space="0" w:color="000000"/>
              <w:bottom w:val="single" w:sz="1" w:space="0" w:color="000000"/>
            </w:tcBorders>
          </w:tcPr>
          <w:p w14:paraId="05F6FA71" w14:textId="77777777" w:rsidR="00031D67" w:rsidRDefault="00BA30C9">
            <w:r>
              <w:t>Holding cost/unit/day</w:t>
            </w:r>
          </w:p>
        </w:tc>
        <w:tc>
          <w:tcPr>
            <w:tcW w:w="0" w:type="auto"/>
            <w:tcBorders>
              <w:top w:val="single" w:sz="1" w:space="0" w:color="000000"/>
              <w:left w:val="single" w:sz="1" w:space="0" w:color="000000"/>
              <w:bottom w:val="single" w:sz="1" w:space="0" w:color="000000"/>
            </w:tcBorders>
          </w:tcPr>
          <w:p w14:paraId="6EF264B7" w14:textId="77777777" w:rsidR="00031D67" w:rsidRDefault="00BA30C9">
            <m:oMathPara>
              <m:oMathParaPr>
                <m:jc m:val="left"/>
              </m:oMathParaPr>
              <m:oMath>
                <m:r>
                  <w:rPr>
                    <w:rFonts w:ascii="Cambria Math" w:hAnsi="Cambria Math"/>
                  </w:rPr>
                  <m:t>H</m:t>
                </m:r>
              </m:oMath>
            </m:oMathPara>
          </w:p>
        </w:tc>
        <w:tc>
          <w:tcPr>
            <w:tcW w:w="0" w:type="auto"/>
            <w:tcBorders>
              <w:top w:val="single" w:sz="1" w:space="0" w:color="000000"/>
              <w:left w:val="single" w:sz="1" w:space="0" w:color="000000"/>
              <w:bottom w:val="single" w:sz="1" w:space="0" w:color="000000"/>
            </w:tcBorders>
          </w:tcPr>
          <w:p w14:paraId="640EAC00" w14:textId="77777777" w:rsidR="00031D67" w:rsidRDefault="00BA30C9">
            <w:r>
              <w:t>$0.5</w:t>
            </w:r>
          </w:p>
        </w:tc>
      </w:tr>
      <w:tr w:rsidR="00031D67" w14:paraId="32D79035" w14:textId="77777777">
        <w:trPr>
          <w:cantSplit/>
          <w:tblCellSpacing w:w="0" w:type="dxa"/>
          <w:jc w:val="center"/>
        </w:trPr>
        <w:tc>
          <w:tcPr>
            <w:tcW w:w="0" w:type="auto"/>
            <w:tcBorders>
              <w:top w:val="single" w:sz="1" w:space="0" w:color="000000"/>
              <w:bottom w:val="single" w:sz="1" w:space="0" w:color="000000"/>
            </w:tcBorders>
          </w:tcPr>
          <w:p w14:paraId="1354BF54" w14:textId="77777777" w:rsidR="00031D67" w:rsidRDefault="00BA30C9">
            <w:r>
              <w:t>Distance to warehouse</w:t>
            </w:r>
          </w:p>
        </w:tc>
        <w:tc>
          <w:tcPr>
            <w:tcW w:w="0" w:type="auto"/>
            <w:tcBorders>
              <w:top w:val="single" w:sz="1" w:space="0" w:color="000000"/>
              <w:left w:val="single" w:sz="1" w:space="0" w:color="000000"/>
              <w:bottom w:val="single" w:sz="1" w:space="0" w:color="000000"/>
            </w:tcBorders>
          </w:tcPr>
          <w:p w14:paraId="353CA8F2" w14:textId="77777777" w:rsidR="00031D67" w:rsidRDefault="00BA30C9">
            <m:oMathPara>
              <m:oMathParaPr>
                <m:jc m:val="left"/>
              </m:oMathParaPr>
              <m:oMath>
                <m:r>
                  <w:rPr>
                    <w:rFonts w:ascii="Cambria Math" w:hAnsi="Cambria Math"/>
                  </w:rPr>
                  <m:t>d</m:t>
                </m:r>
              </m:oMath>
            </m:oMathPara>
          </w:p>
        </w:tc>
        <w:tc>
          <w:tcPr>
            <w:tcW w:w="0" w:type="auto"/>
            <w:tcBorders>
              <w:top w:val="single" w:sz="1" w:space="0" w:color="000000"/>
              <w:left w:val="single" w:sz="1" w:space="0" w:color="000000"/>
              <w:bottom w:val="single" w:sz="1" w:space="0" w:color="000000"/>
            </w:tcBorders>
          </w:tcPr>
          <w:p w14:paraId="732A24ED" w14:textId="77777777" w:rsidR="00031D67" w:rsidRDefault="00BA30C9">
            <w:r>
              <w:t>120 km</w:t>
            </w:r>
          </w:p>
        </w:tc>
      </w:tr>
      <w:tr w:rsidR="00031D67" w14:paraId="003014EB" w14:textId="77777777">
        <w:trPr>
          <w:cantSplit/>
          <w:tblCellSpacing w:w="0" w:type="dxa"/>
          <w:jc w:val="center"/>
        </w:trPr>
        <w:tc>
          <w:tcPr>
            <w:tcW w:w="0" w:type="auto"/>
            <w:tcBorders>
              <w:top w:val="single" w:sz="1" w:space="0" w:color="000000"/>
              <w:bottom w:val="single" w:sz="1" w:space="0" w:color="000000"/>
            </w:tcBorders>
          </w:tcPr>
          <w:p w14:paraId="12C421B1" w14:textId="77777777" w:rsidR="00031D67" w:rsidRDefault="00BA30C9">
            <w:r>
              <w:t>Carbon cost/kg</w:t>
            </w:r>
          </w:p>
        </w:tc>
        <w:tc>
          <w:tcPr>
            <w:tcW w:w="0" w:type="auto"/>
            <w:tcBorders>
              <w:top w:val="single" w:sz="1" w:space="0" w:color="000000"/>
              <w:left w:val="single" w:sz="1" w:space="0" w:color="000000"/>
              <w:bottom w:val="single" w:sz="1" w:space="0" w:color="000000"/>
            </w:tcBorders>
          </w:tcPr>
          <w:p w14:paraId="094D2E03" w14:textId="77777777" w:rsidR="00031D67" w:rsidRDefault="00250C3F">
            <m:oMathPara>
              <m:oMathParaPr>
                <m:jc m:val="left"/>
              </m:oMathParaPr>
              <m:oMath>
                <m:sSub>
                  <m:sSubPr>
                    <m:ctrlPr>
                      <w:rPr>
                        <w:rFonts w:ascii="Cambria Math" w:hAnsi="Cambria Math"/>
                      </w:rPr>
                    </m:ctrlPr>
                  </m:sSubPr>
                  <m:e>
                    <m:r>
                      <w:rPr>
                        <w:rFonts w:ascii="Cambria Math" w:hAnsi="Cambria Math"/>
                      </w:rPr>
                      <m:t>P</m:t>
                    </m:r>
                  </m:e>
                  <m:sub>
                    <m:r>
                      <w:rPr>
                        <w:rFonts w:ascii="Cambria Math" w:hAnsi="Cambria Math"/>
                      </w:rPr>
                      <m:t>e</m:t>
                    </m:r>
                  </m:sub>
                </m:sSub>
              </m:oMath>
            </m:oMathPara>
          </w:p>
        </w:tc>
        <w:tc>
          <w:tcPr>
            <w:tcW w:w="0" w:type="auto"/>
            <w:tcBorders>
              <w:top w:val="single" w:sz="1" w:space="0" w:color="000000"/>
              <w:left w:val="single" w:sz="1" w:space="0" w:color="000000"/>
              <w:bottom w:val="single" w:sz="1" w:space="0" w:color="000000"/>
            </w:tcBorders>
          </w:tcPr>
          <w:p w14:paraId="70EAF118" w14:textId="77777777" w:rsidR="00031D67" w:rsidRDefault="00BA30C9">
            <w:r>
              <w:t>$0.07</w:t>
            </w:r>
          </w:p>
        </w:tc>
      </w:tr>
      <w:tr w:rsidR="00031D67" w14:paraId="1BEE26C8" w14:textId="77777777">
        <w:trPr>
          <w:cantSplit/>
          <w:tblCellSpacing w:w="0" w:type="dxa"/>
          <w:jc w:val="center"/>
        </w:trPr>
        <w:tc>
          <w:tcPr>
            <w:tcW w:w="0" w:type="auto"/>
            <w:tcBorders>
              <w:top w:val="single" w:sz="1" w:space="0" w:color="000000"/>
              <w:bottom w:val="single" w:sz="1" w:space="0" w:color="000000"/>
            </w:tcBorders>
          </w:tcPr>
          <w:p w14:paraId="4F9F1DC3" w14:textId="77777777" w:rsidR="00031D67" w:rsidRDefault="00BA30C9">
            <w:r>
              <w:t>Max emissions/month</w:t>
            </w:r>
          </w:p>
        </w:tc>
        <w:tc>
          <w:tcPr>
            <w:tcW w:w="0" w:type="auto"/>
            <w:tcBorders>
              <w:top w:val="single" w:sz="1" w:space="0" w:color="000000"/>
              <w:left w:val="single" w:sz="1" w:space="0" w:color="000000"/>
              <w:bottom w:val="single" w:sz="1" w:space="0" w:color="000000"/>
            </w:tcBorders>
          </w:tcPr>
          <w:p w14:paraId="2645A9FE" w14:textId="77777777" w:rsidR="00031D67" w:rsidRDefault="00250C3F">
            <m:oMathPara>
              <m:oMathParaPr>
                <m:jc m:val="left"/>
              </m:oMathParaPr>
              <m:oMath>
                <m:sSub>
                  <m:sSubPr>
                    <m:ctrlPr>
                      <w:rPr>
                        <w:rFonts w:ascii="Cambria Math" w:hAnsi="Cambria Math"/>
                      </w:rPr>
                    </m:ctrlPr>
                  </m:sSubPr>
                  <m:e>
                    <m:r>
                      <w:rPr>
                        <w:rFonts w:ascii="Cambria Math" w:hAnsi="Cambria Math"/>
                      </w:rPr>
                      <m:t>E</m:t>
                    </m:r>
                  </m:e>
                  <m:sub>
                    <m:r>
                      <m:rPr>
                        <m:nor/>
                      </m:rPr>
                      <m:t>max</m:t>
                    </m:r>
                  </m:sub>
                </m:sSub>
              </m:oMath>
            </m:oMathPara>
          </w:p>
        </w:tc>
        <w:tc>
          <w:tcPr>
            <w:tcW w:w="0" w:type="auto"/>
            <w:tcBorders>
              <w:top w:val="single" w:sz="1" w:space="0" w:color="000000"/>
              <w:left w:val="single" w:sz="1" w:space="0" w:color="000000"/>
              <w:bottom w:val="single" w:sz="1" w:space="0" w:color="000000"/>
            </w:tcBorders>
          </w:tcPr>
          <w:p w14:paraId="59974991" w14:textId="77777777" w:rsidR="00031D67" w:rsidRDefault="00BA30C9">
            <w:r>
              <w:rPr>
                <w:rFonts w:eastAsia="Times New Roman" w:hAnsi="Times New Roman" w:cs="Times New Roman"/>
              </w:rPr>
              <w:t>500 kg CO₂</w:t>
            </w:r>
          </w:p>
        </w:tc>
      </w:tr>
    </w:tbl>
    <w:p w14:paraId="1A5277BD" w14:textId="77777777" w:rsidR="00031D67" w:rsidRDefault="00031D67"/>
    <w:p w14:paraId="3022D491" w14:textId="77777777" w:rsidR="004F63E6" w:rsidRDefault="004F63E6">
      <w:pPr>
        <w:spacing w:before="240" w:line="271" w:lineRule="auto"/>
        <w:rPr>
          <w:b/>
          <w:sz w:val="28"/>
        </w:rPr>
      </w:pPr>
    </w:p>
    <w:p w14:paraId="68C84029" w14:textId="5A19F041" w:rsidR="00031D67" w:rsidRDefault="004F63E6">
      <w:pPr>
        <w:spacing w:before="240" w:line="271" w:lineRule="auto"/>
      </w:pPr>
      <w:r>
        <w:rPr>
          <w:b/>
          <w:sz w:val="28"/>
        </w:rPr>
        <w:lastRenderedPageBreak/>
        <w:t>6.2 Evaluation Metrics</w:t>
      </w:r>
    </w:p>
    <w:p w14:paraId="65524F11" w14:textId="77777777" w:rsidR="00031D67" w:rsidRDefault="00BA30C9">
      <w:pPr>
        <w:spacing w:after="220"/>
      </w:pPr>
      <w:r>
        <w:rPr>
          <w:rFonts w:eastAsia="Times New Roman" w:hAnsi="Times New Roman" w:cs="Times New Roman"/>
        </w:rPr>
        <w:t>The model’s performance is measured using:</w:t>
      </w:r>
    </w:p>
    <w:p w14:paraId="21B027C7" w14:textId="77777777" w:rsidR="00031D67" w:rsidRDefault="00BA30C9">
      <w:pPr>
        <w:numPr>
          <w:ilvl w:val="0"/>
          <w:numId w:val="28"/>
        </w:numPr>
      </w:pPr>
      <w:r>
        <w:rPr>
          <w:b/>
        </w:rPr>
        <w:t>Total Cost (TC):</w:t>
      </w:r>
      <w:r>
        <w:t xml:space="preserve"> Sum of ordering, holding, and emission costs</w:t>
      </w:r>
    </w:p>
    <w:p w14:paraId="7DF2C6A5" w14:textId="77777777" w:rsidR="00031D67" w:rsidRDefault="00BA30C9">
      <w:pPr>
        <w:numPr>
          <w:ilvl w:val="0"/>
          <w:numId w:val="28"/>
        </w:numPr>
      </w:pPr>
      <w:r>
        <w:rPr>
          <w:b/>
        </w:rPr>
        <w:t>Emission Level (EL):</w:t>
      </w:r>
      <w:r>
        <w:rPr>
          <w:rFonts w:eastAsia="Times New Roman" w:hAnsi="Times New Roman" w:cs="Times New Roman"/>
        </w:rPr>
        <w:t xml:space="preserve"> kg of CO₂ per cycle</w:t>
      </w:r>
    </w:p>
    <w:p w14:paraId="65BBA179" w14:textId="77777777" w:rsidR="00031D67" w:rsidRDefault="00BA30C9">
      <w:pPr>
        <w:numPr>
          <w:ilvl w:val="0"/>
          <w:numId w:val="28"/>
        </w:numPr>
      </w:pPr>
      <w:r>
        <w:rPr>
          <w:b/>
        </w:rPr>
        <w:t>Forecast Accuracy:</w:t>
      </w:r>
      <w:r>
        <w:t xml:space="preserve"> MAPE from AI prediction</w:t>
      </w:r>
    </w:p>
    <w:p w14:paraId="6A2E90C5" w14:textId="77777777" w:rsidR="00031D67" w:rsidRDefault="00BA30C9">
      <w:pPr>
        <w:numPr>
          <w:ilvl w:val="0"/>
          <w:numId w:val="28"/>
        </w:numPr>
      </w:pPr>
      <w:r>
        <w:rPr>
          <w:b/>
        </w:rPr>
        <w:t>Service Level (SL):</w:t>
      </w:r>
      <w:r>
        <w:t xml:space="preserve"> % of demand fulfilled without stockout</w:t>
      </w:r>
    </w:p>
    <w:p w14:paraId="1774D266" w14:textId="7AC78805" w:rsidR="00031D67" w:rsidRDefault="004F63E6">
      <w:pPr>
        <w:spacing w:before="240" w:line="271" w:lineRule="auto"/>
      </w:pPr>
      <w:r>
        <w:rPr>
          <w:b/>
          <w:sz w:val="28"/>
        </w:rPr>
        <w:t>6.3 Base Case Results</w:t>
      </w:r>
    </w:p>
    <w:p w14:paraId="77B85E0E" w14:textId="79C9E330" w:rsidR="00031D67" w:rsidRDefault="00170604">
      <w:pPr>
        <w:spacing w:after="220"/>
      </w:pPr>
      <w:r>
        <w:rPr>
          <w:b/>
        </w:rPr>
        <w:t>list</w:t>
      </w:r>
      <w:r w:rsidR="00C11541">
        <w:t xml:space="preserve"> 2: </w:t>
      </w:r>
      <w:r w:rsidR="00BA30C9">
        <w:t>Under baseline conditions, the model returns a Pareto front with trade-off points between total cost and emission levels. Example outputs</w:t>
      </w:r>
    </w:p>
    <w:tbl>
      <w:tblPr>
        <w:tblStyle w:val="NormalGrid"/>
        <w:tblW w:w="0" w:type="auto"/>
        <w:jc w:val="center"/>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071"/>
        <w:gridCol w:w="2021"/>
        <w:gridCol w:w="1557"/>
        <w:gridCol w:w="2075"/>
        <w:gridCol w:w="1928"/>
      </w:tblGrid>
      <w:tr w:rsidR="00031D67" w14:paraId="03CED646" w14:textId="77777777">
        <w:trPr>
          <w:cantSplit/>
          <w:tblCellSpacing w:w="0" w:type="dxa"/>
          <w:jc w:val="center"/>
        </w:trPr>
        <w:tc>
          <w:tcPr>
            <w:tcW w:w="0" w:type="auto"/>
            <w:tcBorders>
              <w:top w:val="single" w:sz="1" w:space="0" w:color="000000"/>
              <w:bottom w:val="single" w:sz="1" w:space="0" w:color="000000"/>
            </w:tcBorders>
          </w:tcPr>
          <w:p w14:paraId="76FD3877" w14:textId="77777777" w:rsidR="00031D67" w:rsidRDefault="00BA30C9">
            <w:r>
              <w:t>Solution</w:t>
            </w:r>
          </w:p>
        </w:tc>
        <w:tc>
          <w:tcPr>
            <w:tcW w:w="0" w:type="auto"/>
            <w:tcBorders>
              <w:top w:val="single" w:sz="1" w:space="0" w:color="000000"/>
              <w:left w:val="single" w:sz="1" w:space="0" w:color="000000"/>
              <w:bottom w:val="single" w:sz="1" w:space="0" w:color="000000"/>
            </w:tcBorders>
          </w:tcPr>
          <w:p w14:paraId="6B6C3752" w14:textId="77777777" w:rsidR="00031D67" w:rsidRDefault="00BA30C9">
            <w:r>
              <w:t>Order Quantity (Q)</w:t>
            </w:r>
          </w:p>
        </w:tc>
        <w:tc>
          <w:tcPr>
            <w:tcW w:w="0" w:type="auto"/>
            <w:tcBorders>
              <w:top w:val="single" w:sz="1" w:space="0" w:color="000000"/>
              <w:left w:val="single" w:sz="1" w:space="0" w:color="000000"/>
              <w:bottom w:val="single" w:sz="1" w:space="0" w:color="000000"/>
            </w:tcBorders>
          </w:tcPr>
          <w:p w14:paraId="31933C00" w14:textId="77777777" w:rsidR="00031D67" w:rsidRDefault="00BA30C9">
            <w:r>
              <w:t>Total Cost ($)</w:t>
            </w:r>
          </w:p>
        </w:tc>
        <w:tc>
          <w:tcPr>
            <w:tcW w:w="0" w:type="auto"/>
            <w:tcBorders>
              <w:top w:val="single" w:sz="1" w:space="0" w:color="000000"/>
              <w:left w:val="single" w:sz="1" w:space="0" w:color="000000"/>
              <w:bottom w:val="single" w:sz="1" w:space="0" w:color="000000"/>
            </w:tcBorders>
          </w:tcPr>
          <w:p w14:paraId="7871A589" w14:textId="77777777" w:rsidR="00031D67" w:rsidRDefault="00BA30C9">
            <w:r>
              <w:rPr>
                <w:rFonts w:eastAsia="Times New Roman" w:hAnsi="Times New Roman" w:cs="Times New Roman"/>
              </w:rPr>
              <w:t>Emissions (kg CO₂)</w:t>
            </w:r>
          </w:p>
        </w:tc>
        <w:tc>
          <w:tcPr>
            <w:tcW w:w="0" w:type="auto"/>
            <w:tcBorders>
              <w:top w:val="single" w:sz="1" w:space="0" w:color="000000"/>
              <w:left w:val="single" w:sz="1" w:space="0" w:color="000000"/>
              <w:bottom w:val="single" w:sz="1" w:space="0" w:color="000000"/>
            </w:tcBorders>
          </w:tcPr>
          <w:p w14:paraId="3AE87B4C" w14:textId="77777777" w:rsidR="00031D67" w:rsidRDefault="00BA30C9">
            <w:r>
              <w:t>Service Level (%)</w:t>
            </w:r>
          </w:p>
        </w:tc>
      </w:tr>
      <w:tr w:rsidR="00031D67" w14:paraId="56E661C1" w14:textId="77777777">
        <w:trPr>
          <w:cantSplit/>
          <w:tblCellSpacing w:w="0" w:type="dxa"/>
          <w:jc w:val="center"/>
        </w:trPr>
        <w:tc>
          <w:tcPr>
            <w:tcW w:w="0" w:type="auto"/>
            <w:tcBorders>
              <w:top w:val="single" w:sz="1" w:space="0" w:color="000000"/>
              <w:bottom w:val="single" w:sz="1" w:space="0" w:color="000000"/>
            </w:tcBorders>
          </w:tcPr>
          <w:p w14:paraId="30FEEFBB" w14:textId="77777777" w:rsidR="00031D67" w:rsidRDefault="00BA30C9">
            <w:r>
              <w:t>A</w:t>
            </w:r>
          </w:p>
        </w:tc>
        <w:tc>
          <w:tcPr>
            <w:tcW w:w="0" w:type="auto"/>
            <w:tcBorders>
              <w:top w:val="single" w:sz="1" w:space="0" w:color="000000"/>
              <w:left w:val="single" w:sz="1" w:space="0" w:color="000000"/>
              <w:bottom w:val="single" w:sz="1" w:space="0" w:color="000000"/>
            </w:tcBorders>
          </w:tcPr>
          <w:p w14:paraId="3F3FAA88" w14:textId="77777777" w:rsidR="00031D67" w:rsidRDefault="00BA30C9">
            <w:r>
              <w:t>300</w:t>
            </w:r>
          </w:p>
        </w:tc>
        <w:tc>
          <w:tcPr>
            <w:tcW w:w="0" w:type="auto"/>
            <w:tcBorders>
              <w:top w:val="single" w:sz="1" w:space="0" w:color="000000"/>
              <w:left w:val="single" w:sz="1" w:space="0" w:color="000000"/>
              <w:bottom w:val="single" w:sz="1" w:space="0" w:color="000000"/>
            </w:tcBorders>
          </w:tcPr>
          <w:p w14:paraId="087DF5D5" w14:textId="77777777" w:rsidR="00031D67" w:rsidRDefault="00BA30C9">
            <w:r>
              <w:t>2,450</w:t>
            </w:r>
          </w:p>
        </w:tc>
        <w:tc>
          <w:tcPr>
            <w:tcW w:w="0" w:type="auto"/>
            <w:tcBorders>
              <w:top w:val="single" w:sz="1" w:space="0" w:color="000000"/>
              <w:left w:val="single" w:sz="1" w:space="0" w:color="000000"/>
              <w:bottom w:val="single" w:sz="1" w:space="0" w:color="000000"/>
            </w:tcBorders>
          </w:tcPr>
          <w:p w14:paraId="634C985C" w14:textId="77777777" w:rsidR="00031D67" w:rsidRDefault="00BA30C9">
            <w:r>
              <w:t>370</w:t>
            </w:r>
          </w:p>
        </w:tc>
        <w:tc>
          <w:tcPr>
            <w:tcW w:w="0" w:type="auto"/>
            <w:tcBorders>
              <w:top w:val="single" w:sz="1" w:space="0" w:color="000000"/>
              <w:left w:val="single" w:sz="1" w:space="0" w:color="000000"/>
              <w:bottom w:val="single" w:sz="1" w:space="0" w:color="000000"/>
            </w:tcBorders>
          </w:tcPr>
          <w:p w14:paraId="0C7DF32B" w14:textId="77777777" w:rsidR="00031D67" w:rsidRDefault="00BA30C9">
            <w:r>
              <w:t>98.5</w:t>
            </w:r>
          </w:p>
        </w:tc>
      </w:tr>
      <w:tr w:rsidR="00031D67" w14:paraId="1BF55160" w14:textId="77777777">
        <w:trPr>
          <w:cantSplit/>
          <w:tblCellSpacing w:w="0" w:type="dxa"/>
          <w:jc w:val="center"/>
        </w:trPr>
        <w:tc>
          <w:tcPr>
            <w:tcW w:w="0" w:type="auto"/>
            <w:tcBorders>
              <w:top w:val="single" w:sz="1" w:space="0" w:color="000000"/>
              <w:bottom w:val="single" w:sz="1" w:space="0" w:color="000000"/>
            </w:tcBorders>
          </w:tcPr>
          <w:p w14:paraId="5F411E99" w14:textId="77777777" w:rsidR="00031D67" w:rsidRDefault="00BA30C9">
            <w:r>
              <w:t>B</w:t>
            </w:r>
          </w:p>
        </w:tc>
        <w:tc>
          <w:tcPr>
            <w:tcW w:w="0" w:type="auto"/>
            <w:tcBorders>
              <w:top w:val="single" w:sz="1" w:space="0" w:color="000000"/>
              <w:left w:val="single" w:sz="1" w:space="0" w:color="000000"/>
              <w:bottom w:val="single" w:sz="1" w:space="0" w:color="000000"/>
            </w:tcBorders>
          </w:tcPr>
          <w:p w14:paraId="603FCC97" w14:textId="77777777" w:rsidR="00031D67" w:rsidRDefault="00BA30C9">
            <w:r>
              <w:t>250</w:t>
            </w:r>
          </w:p>
        </w:tc>
        <w:tc>
          <w:tcPr>
            <w:tcW w:w="0" w:type="auto"/>
            <w:tcBorders>
              <w:top w:val="single" w:sz="1" w:space="0" w:color="000000"/>
              <w:left w:val="single" w:sz="1" w:space="0" w:color="000000"/>
              <w:bottom w:val="single" w:sz="1" w:space="0" w:color="000000"/>
            </w:tcBorders>
          </w:tcPr>
          <w:p w14:paraId="0A98A41C" w14:textId="77777777" w:rsidR="00031D67" w:rsidRDefault="00BA30C9">
            <w:r>
              <w:t>2,600</w:t>
            </w:r>
          </w:p>
        </w:tc>
        <w:tc>
          <w:tcPr>
            <w:tcW w:w="0" w:type="auto"/>
            <w:tcBorders>
              <w:top w:val="single" w:sz="1" w:space="0" w:color="000000"/>
              <w:left w:val="single" w:sz="1" w:space="0" w:color="000000"/>
              <w:bottom w:val="single" w:sz="1" w:space="0" w:color="000000"/>
            </w:tcBorders>
          </w:tcPr>
          <w:p w14:paraId="1CDC8530" w14:textId="77777777" w:rsidR="00031D67" w:rsidRDefault="00BA30C9">
            <w:r>
              <w:t>290</w:t>
            </w:r>
          </w:p>
        </w:tc>
        <w:tc>
          <w:tcPr>
            <w:tcW w:w="0" w:type="auto"/>
            <w:tcBorders>
              <w:top w:val="single" w:sz="1" w:space="0" w:color="000000"/>
              <w:left w:val="single" w:sz="1" w:space="0" w:color="000000"/>
              <w:bottom w:val="single" w:sz="1" w:space="0" w:color="000000"/>
            </w:tcBorders>
          </w:tcPr>
          <w:p w14:paraId="52EE530F" w14:textId="77777777" w:rsidR="00031D67" w:rsidRDefault="00BA30C9">
            <w:r>
              <w:t>99.2</w:t>
            </w:r>
          </w:p>
        </w:tc>
      </w:tr>
      <w:tr w:rsidR="00031D67" w14:paraId="27EF92B1" w14:textId="77777777">
        <w:trPr>
          <w:cantSplit/>
          <w:tblCellSpacing w:w="0" w:type="dxa"/>
          <w:jc w:val="center"/>
        </w:trPr>
        <w:tc>
          <w:tcPr>
            <w:tcW w:w="0" w:type="auto"/>
            <w:tcBorders>
              <w:top w:val="single" w:sz="1" w:space="0" w:color="000000"/>
              <w:bottom w:val="single" w:sz="1" w:space="0" w:color="000000"/>
            </w:tcBorders>
          </w:tcPr>
          <w:p w14:paraId="2D3F8B12" w14:textId="77777777" w:rsidR="00031D67" w:rsidRDefault="00BA30C9">
            <w:r>
              <w:t>C</w:t>
            </w:r>
          </w:p>
        </w:tc>
        <w:tc>
          <w:tcPr>
            <w:tcW w:w="0" w:type="auto"/>
            <w:tcBorders>
              <w:top w:val="single" w:sz="1" w:space="0" w:color="000000"/>
              <w:left w:val="single" w:sz="1" w:space="0" w:color="000000"/>
              <w:bottom w:val="single" w:sz="1" w:space="0" w:color="000000"/>
            </w:tcBorders>
          </w:tcPr>
          <w:p w14:paraId="79C6F80B" w14:textId="77777777" w:rsidR="00031D67" w:rsidRDefault="00BA30C9">
            <w:r>
              <w:t>180</w:t>
            </w:r>
          </w:p>
        </w:tc>
        <w:tc>
          <w:tcPr>
            <w:tcW w:w="0" w:type="auto"/>
            <w:tcBorders>
              <w:top w:val="single" w:sz="1" w:space="0" w:color="000000"/>
              <w:left w:val="single" w:sz="1" w:space="0" w:color="000000"/>
              <w:bottom w:val="single" w:sz="1" w:space="0" w:color="000000"/>
            </w:tcBorders>
          </w:tcPr>
          <w:p w14:paraId="6126BB46" w14:textId="77777777" w:rsidR="00031D67" w:rsidRDefault="00BA30C9">
            <w:r>
              <w:t>2,820</w:t>
            </w:r>
          </w:p>
        </w:tc>
        <w:tc>
          <w:tcPr>
            <w:tcW w:w="0" w:type="auto"/>
            <w:tcBorders>
              <w:top w:val="single" w:sz="1" w:space="0" w:color="000000"/>
              <w:left w:val="single" w:sz="1" w:space="0" w:color="000000"/>
              <w:bottom w:val="single" w:sz="1" w:space="0" w:color="000000"/>
            </w:tcBorders>
          </w:tcPr>
          <w:p w14:paraId="25EB613F" w14:textId="77777777" w:rsidR="00031D67" w:rsidRDefault="00BA30C9">
            <w:r>
              <w:t>220</w:t>
            </w:r>
          </w:p>
        </w:tc>
        <w:tc>
          <w:tcPr>
            <w:tcW w:w="0" w:type="auto"/>
            <w:tcBorders>
              <w:top w:val="single" w:sz="1" w:space="0" w:color="000000"/>
              <w:left w:val="single" w:sz="1" w:space="0" w:color="000000"/>
              <w:bottom w:val="single" w:sz="1" w:space="0" w:color="000000"/>
            </w:tcBorders>
          </w:tcPr>
          <w:p w14:paraId="51FE682E" w14:textId="77777777" w:rsidR="00031D67" w:rsidRDefault="00BA30C9">
            <w:r>
              <w:t>99.5</w:t>
            </w:r>
          </w:p>
        </w:tc>
      </w:tr>
    </w:tbl>
    <w:p w14:paraId="2CDB4BF2" w14:textId="77777777" w:rsidR="00031D67" w:rsidRDefault="00031D67"/>
    <w:p w14:paraId="73FD4CDE" w14:textId="7EB08994" w:rsidR="00031D67" w:rsidRPr="004F63E6" w:rsidRDefault="004F63E6">
      <w:pPr>
        <w:spacing w:before="240" w:line="271" w:lineRule="auto"/>
        <w:rPr>
          <w:b/>
          <w:sz w:val="28"/>
        </w:rPr>
      </w:pPr>
      <w:r>
        <w:rPr>
          <w:b/>
          <w:sz w:val="28"/>
        </w:rPr>
        <w:t>6.4 Sensitivity Analysis</w:t>
      </w:r>
    </w:p>
    <w:p w14:paraId="577AC533" w14:textId="77777777" w:rsidR="00031D67" w:rsidRDefault="00BA30C9">
      <w:pPr>
        <w:spacing w:after="220"/>
      </w:pPr>
      <w:r>
        <w:rPr>
          <w:rFonts w:eastAsia="Times New Roman" w:hAnsi="Times New Roman" w:cs="Times New Roman"/>
        </w:rPr>
        <w:t>To assess the model’s robustness, key parameters are varied ±20%, and impacts on cost and emissions are observed.</w:t>
      </w:r>
    </w:p>
    <w:p w14:paraId="1BEC2CBE" w14:textId="51F23988" w:rsidR="00031D67" w:rsidRDefault="00170604">
      <w:pPr>
        <w:spacing w:after="220"/>
      </w:pPr>
      <w:r>
        <w:rPr>
          <w:b/>
        </w:rPr>
        <w:t xml:space="preserve">List 3: </w:t>
      </w:r>
      <w:r w:rsidR="00BA30C9">
        <w:rPr>
          <w:b/>
        </w:rPr>
        <w:t xml:space="preserve"> Carbon Price Sensitivity (P</w:t>
      </w:r>
      <w:r w:rsidR="00BA30C9">
        <w:rPr>
          <w:b/>
        </w:rPr>
        <w:t>ₑ</w:t>
      </w:r>
      <w:r w:rsidR="00BA30C9">
        <w:rPr>
          <w:b/>
        </w:rPr>
        <w:t>)</w:t>
      </w:r>
    </w:p>
    <w:tbl>
      <w:tblPr>
        <w:tblStyle w:val="NormalGrid"/>
        <w:tblW w:w="0" w:type="auto"/>
        <w:jc w:val="center"/>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2073"/>
        <w:gridCol w:w="2266"/>
        <w:gridCol w:w="1257"/>
        <w:gridCol w:w="1250"/>
      </w:tblGrid>
      <w:tr w:rsidR="00031D67" w14:paraId="3EA9AA6E" w14:textId="77777777">
        <w:trPr>
          <w:cantSplit/>
          <w:tblCellSpacing w:w="0" w:type="dxa"/>
          <w:jc w:val="center"/>
        </w:trPr>
        <w:tc>
          <w:tcPr>
            <w:tcW w:w="0" w:type="auto"/>
            <w:tcBorders>
              <w:top w:val="single" w:sz="1" w:space="0" w:color="000000"/>
              <w:bottom w:val="single" w:sz="1" w:space="0" w:color="000000"/>
            </w:tcBorders>
          </w:tcPr>
          <w:p w14:paraId="4E7D2820" w14:textId="77777777" w:rsidR="00031D67" w:rsidRDefault="00BA30C9">
            <w:r>
              <w:t>Carbon Price ($/kg)</w:t>
            </w:r>
          </w:p>
        </w:tc>
        <w:tc>
          <w:tcPr>
            <w:tcW w:w="0" w:type="auto"/>
            <w:tcBorders>
              <w:top w:val="single" w:sz="1" w:space="0" w:color="000000"/>
              <w:left w:val="single" w:sz="1" w:space="0" w:color="000000"/>
              <w:bottom w:val="single" w:sz="1" w:space="0" w:color="000000"/>
            </w:tcBorders>
          </w:tcPr>
          <w:p w14:paraId="327928D2" w14:textId="77777777" w:rsidR="00031D67" w:rsidRDefault="00BA30C9">
            <w:r>
              <w:t>Emission Cost Impact</w:t>
            </w:r>
          </w:p>
        </w:tc>
        <w:tc>
          <w:tcPr>
            <w:tcW w:w="0" w:type="auto"/>
            <w:tcBorders>
              <w:top w:val="single" w:sz="1" w:space="0" w:color="000000"/>
              <w:left w:val="single" w:sz="1" w:space="0" w:color="000000"/>
              <w:bottom w:val="single" w:sz="1" w:space="0" w:color="000000"/>
            </w:tcBorders>
          </w:tcPr>
          <w:p w14:paraId="6D1FC7EB" w14:textId="77777777" w:rsidR="00031D67" w:rsidRDefault="00BA30C9">
            <w:r>
              <w:t>Optimal Q</w:t>
            </w:r>
          </w:p>
        </w:tc>
        <w:tc>
          <w:tcPr>
            <w:tcW w:w="0" w:type="auto"/>
            <w:tcBorders>
              <w:top w:val="single" w:sz="1" w:space="0" w:color="000000"/>
              <w:left w:val="single" w:sz="1" w:space="0" w:color="000000"/>
              <w:bottom w:val="single" w:sz="1" w:space="0" w:color="000000"/>
            </w:tcBorders>
          </w:tcPr>
          <w:p w14:paraId="77457515" w14:textId="77777777" w:rsidR="00031D67" w:rsidRDefault="00BA30C9">
            <w:r>
              <w:t>Total Cost</w:t>
            </w:r>
          </w:p>
        </w:tc>
      </w:tr>
      <w:tr w:rsidR="00031D67" w14:paraId="0A833714" w14:textId="77777777">
        <w:trPr>
          <w:cantSplit/>
          <w:tblCellSpacing w:w="0" w:type="dxa"/>
          <w:jc w:val="center"/>
        </w:trPr>
        <w:tc>
          <w:tcPr>
            <w:tcW w:w="0" w:type="auto"/>
            <w:tcBorders>
              <w:top w:val="single" w:sz="1" w:space="0" w:color="000000"/>
              <w:bottom w:val="single" w:sz="1" w:space="0" w:color="000000"/>
            </w:tcBorders>
          </w:tcPr>
          <w:p w14:paraId="0DFC04EC" w14:textId="77777777" w:rsidR="00031D67" w:rsidRDefault="00BA30C9">
            <w:r>
              <w:t>0.05</w:t>
            </w:r>
          </w:p>
        </w:tc>
        <w:tc>
          <w:tcPr>
            <w:tcW w:w="0" w:type="auto"/>
            <w:tcBorders>
              <w:top w:val="single" w:sz="1" w:space="0" w:color="000000"/>
              <w:left w:val="single" w:sz="1" w:space="0" w:color="000000"/>
              <w:bottom w:val="single" w:sz="1" w:space="0" w:color="000000"/>
            </w:tcBorders>
          </w:tcPr>
          <w:p w14:paraId="185585BD" w14:textId="77777777" w:rsidR="00031D67" w:rsidRDefault="00BA30C9">
            <w:r>
              <w:rPr>
                <w:rFonts w:eastAsia="Times New Roman" w:hAnsi="Times New Roman" w:cs="Times New Roman"/>
              </w:rPr>
              <w:t>↓ low emissions cost</w:t>
            </w:r>
          </w:p>
        </w:tc>
        <w:tc>
          <w:tcPr>
            <w:tcW w:w="0" w:type="auto"/>
            <w:tcBorders>
              <w:top w:val="single" w:sz="1" w:space="0" w:color="000000"/>
              <w:left w:val="single" w:sz="1" w:space="0" w:color="000000"/>
              <w:bottom w:val="single" w:sz="1" w:space="0" w:color="000000"/>
            </w:tcBorders>
          </w:tcPr>
          <w:p w14:paraId="23F85963" w14:textId="77777777" w:rsidR="00031D67" w:rsidRDefault="00BA30C9">
            <w:r>
              <w:rPr>
                <w:rFonts w:eastAsia="Times New Roman" w:hAnsi="Times New Roman" w:cs="Times New Roman"/>
              </w:rPr>
              <w:t>↑ 320</w:t>
            </w:r>
          </w:p>
        </w:tc>
        <w:tc>
          <w:tcPr>
            <w:tcW w:w="0" w:type="auto"/>
            <w:tcBorders>
              <w:top w:val="single" w:sz="1" w:space="0" w:color="000000"/>
              <w:left w:val="single" w:sz="1" w:space="0" w:color="000000"/>
              <w:bottom w:val="single" w:sz="1" w:space="0" w:color="000000"/>
            </w:tcBorders>
          </w:tcPr>
          <w:p w14:paraId="0989E783" w14:textId="77777777" w:rsidR="00031D67" w:rsidRDefault="00BA30C9">
            <w:r>
              <w:t>$2,410</w:t>
            </w:r>
          </w:p>
        </w:tc>
      </w:tr>
      <w:tr w:rsidR="00031D67" w14:paraId="688963F8" w14:textId="77777777">
        <w:trPr>
          <w:cantSplit/>
          <w:tblCellSpacing w:w="0" w:type="dxa"/>
          <w:jc w:val="center"/>
        </w:trPr>
        <w:tc>
          <w:tcPr>
            <w:tcW w:w="0" w:type="auto"/>
            <w:tcBorders>
              <w:top w:val="single" w:sz="1" w:space="0" w:color="000000"/>
              <w:bottom w:val="single" w:sz="1" w:space="0" w:color="000000"/>
            </w:tcBorders>
          </w:tcPr>
          <w:p w14:paraId="66E4AD5D" w14:textId="77777777" w:rsidR="00031D67" w:rsidRDefault="00BA30C9">
            <w:r>
              <w:t>0.07 (base)</w:t>
            </w:r>
          </w:p>
        </w:tc>
        <w:tc>
          <w:tcPr>
            <w:tcW w:w="0" w:type="auto"/>
            <w:tcBorders>
              <w:top w:val="single" w:sz="1" w:space="0" w:color="000000"/>
              <w:left w:val="single" w:sz="1" w:space="0" w:color="000000"/>
              <w:bottom w:val="single" w:sz="1" w:space="0" w:color="000000"/>
            </w:tcBorders>
          </w:tcPr>
          <w:p w14:paraId="6DDBC457" w14:textId="77777777" w:rsidR="00031D67" w:rsidRDefault="00BA30C9">
            <w:r>
              <w:rPr>
                <w:rFonts w:eastAsia="Times New Roman" w:hAnsi="Times New Roman" w:cs="Times New Roman"/>
              </w:rPr>
              <w:t>–</w:t>
            </w:r>
          </w:p>
        </w:tc>
        <w:tc>
          <w:tcPr>
            <w:tcW w:w="0" w:type="auto"/>
            <w:tcBorders>
              <w:top w:val="single" w:sz="1" w:space="0" w:color="000000"/>
              <w:left w:val="single" w:sz="1" w:space="0" w:color="000000"/>
              <w:bottom w:val="single" w:sz="1" w:space="0" w:color="000000"/>
            </w:tcBorders>
          </w:tcPr>
          <w:p w14:paraId="23082B9A" w14:textId="77777777" w:rsidR="00031D67" w:rsidRDefault="00BA30C9">
            <w:r>
              <w:t>300</w:t>
            </w:r>
          </w:p>
        </w:tc>
        <w:tc>
          <w:tcPr>
            <w:tcW w:w="0" w:type="auto"/>
            <w:tcBorders>
              <w:top w:val="single" w:sz="1" w:space="0" w:color="000000"/>
              <w:left w:val="single" w:sz="1" w:space="0" w:color="000000"/>
              <w:bottom w:val="single" w:sz="1" w:space="0" w:color="000000"/>
            </w:tcBorders>
          </w:tcPr>
          <w:p w14:paraId="0B7D7F4D" w14:textId="77777777" w:rsidR="00031D67" w:rsidRDefault="00BA30C9">
            <w:r>
              <w:t>$2,450</w:t>
            </w:r>
          </w:p>
        </w:tc>
      </w:tr>
      <w:tr w:rsidR="00031D67" w14:paraId="134EFC13" w14:textId="77777777">
        <w:trPr>
          <w:cantSplit/>
          <w:tblCellSpacing w:w="0" w:type="dxa"/>
          <w:jc w:val="center"/>
        </w:trPr>
        <w:tc>
          <w:tcPr>
            <w:tcW w:w="0" w:type="auto"/>
            <w:tcBorders>
              <w:top w:val="single" w:sz="1" w:space="0" w:color="000000"/>
              <w:bottom w:val="single" w:sz="1" w:space="0" w:color="000000"/>
            </w:tcBorders>
          </w:tcPr>
          <w:p w14:paraId="79CD075E" w14:textId="77777777" w:rsidR="00031D67" w:rsidRDefault="00BA30C9">
            <w:r>
              <w:t>0.10</w:t>
            </w:r>
          </w:p>
        </w:tc>
        <w:tc>
          <w:tcPr>
            <w:tcW w:w="0" w:type="auto"/>
            <w:tcBorders>
              <w:top w:val="single" w:sz="1" w:space="0" w:color="000000"/>
              <w:left w:val="single" w:sz="1" w:space="0" w:color="000000"/>
              <w:bottom w:val="single" w:sz="1" w:space="0" w:color="000000"/>
            </w:tcBorders>
          </w:tcPr>
          <w:p w14:paraId="49A09F07" w14:textId="77777777" w:rsidR="00031D67" w:rsidRDefault="00BA30C9">
            <w:r>
              <w:rPr>
                <w:rFonts w:eastAsia="Times New Roman" w:hAnsi="Times New Roman" w:cs="Times New Roman"/>
              </w:rPr>
              <w:t>↑ penalty on emission</w:t>
            </w:r>
          </w:p>
        </w:tc>
        <w:tc>
          <w:tcPr>
            <w:tcW w:w="0" w:type="auto"/>
            <w:tcBorders>
              <w:top w:val="single" w:sz="1" w:space="0" w:color="000000"/>
              <w:left w:val="single" w:sz="1" w:space="0" w:color="000000"/>
              <w:bottom w:val="single" w:sz="1" w:space="0" w:color="000000"/>
            </w:tcBorders>
          </w:tcPr>
          <w:p w14:paraId="3201AF61" w14:textId="77777777" w:rsidR="00031D67" w:rsidRDefault="00BA30C9">
            <w:r>
              <w:rPr>
                <w:rFonts w:eastAsia="Times New Roman" w:hAnsi="Times New Roman" w:cs="Times New Roman"/>
              </w:rPr>
              <w:t>↓ 260</w:t>
            </w:r>
          </w:p>
        </w:tc>
        <w:tc>
          <w:tcPr>
            <w:tcW w:w="0" w:type="auto"/>
            <w:tcBorders>
              <w:top w:val="single" w:sz="1" w:space="0" w:color="000000"/>
              <w:left w:val="single" w:sz="1" w:space="0" w:color="000000"/>
              <w:bottom w:val="single" w:sz="1" w:space="0" w:color="000000"/>
            </w:tcBorders>
          </w:tcPr>
          <w:p w14:paraId="05B1DBEE" w14:textId="77777777" w:rsidR="00031D67" w:rsidRDefault="00BA30C9">
            <w:r>
              <w:t>$2,540</w:t>
            </w:r>
          </w:p>
        </w:tc>
      </w:tr>
    </w:tbl>
    <w:p w14:paraId="58292ABC" w14:textId="77777777" w:rsidR="00031D67" w:rsidRDefault="00031D67"/>
    <w:p w14:paraId="2A7DD70D" w14:textId="77777777" w:rsidR="002765F2" w:rsidRDefault="002765F2">
      <w:pPr>
        <w:spacing w:after="220"/>
        <w:rPr>
          <w:b/>
        </w:rPr>
      </w:pPr>
    </w:p>
    <w:p w14:paraId="4CEF0C88" w14:textId="77777777" w:rsidR="002765F2" w:rsidRDefault="002765F2">
      <w:pPr>
        <w:spacing w:after="220"/>
        <w:rPr>
          <w:b/>
        </w:rPr>
      </w:pPr>
    </w:p>
    <w:p w14:paraId="3BB68639" w14:textId="77777777" w:rsidR="002765F2" w:rsidRDefault="002765F2">
      <w:pPr>
        <w:spacing w:after="220"/>
        <w:rPr>
          <w:b/>
        </w:rPr>
      </w:pPr>
    </w:p>
    <w:p w14:paraId="3E59533A" w14:textId="020D8342" w:rsidR="00031D67" w:rsidRDefault="00170604">
      <w:pPr>
        <w:spacing w:after="220"/>
      </w:pPr>
      <w:r>
        <w:rPr>
          <w:b/>
        </w:rPr>
        <w:t>List 4</w:t>
      </w:r>
      <w:r w:rsidR="00257418">
        <w:rPr>
          <w:b/>
        </w:rPr>
        <w:t>:</w:t>
      </w:r>
      <w:r w:rsidR="00BA30C9">
        <w:rPr>
          <w:b/>
        </w:rPr>
        <w:t xml:space="preserve"> Demand Variability (</w:t>
      </w:r>
      <w:r w:rsidR="00BA30C9">
        <w:rPr>
          <w:b/>
        </w:rPr>
        <w:t>±σ</w:t>
      </w:r>
      <w:r w:rsidR="00BA30C9">
        <w:rPr>
          <w:b/>
        </w:rPr>
        <w:t>)</w:t>
      </w:r>
    </w:p>
    <w:tbl>
      <w:tblPr>
        <w:tblStyle w:val="NormalGrid"/>
        <w:tblW w:w="0" w:type="auto"/>
        <w:jc w:val="center"/>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749"/>
        <w:gridCol w:w="1319"/>
        <w:gridCol w:w="1257"/>
        <w:gridCol w:w="1543"/>
      </w:tblGrid>
      <w:tr w:rsidR="00031D67" w14:paraId="6CE61F8F" w14:textId="77777777">
        <w:trPr>
          <w:cantSplit/>
          <w:tblCellSpacing w:w="0" w:type="dxa"/>
          <w:jc w:val="center"/>
        </w:trPr>
        <w:tc>
          <w:tcPr>
            <w:tcW w:w="0" w:type="auto"/>
            <w:tcBorders>
              <w:top w:val="single" w:sz="1" w:space="0" w:color="000000"/>
              <w:bottom w:val="single" w:sz="1" w:space="0" w:color="000000"/>
            </w:tcBorders>
          </w:tcPr>
          <w:p w14:paraId="03DAA540" w14:textId="77777777" w:rsidR="00031D67" w:rsidRDefault="00BA30C9">
            <w:r>
              <w:t>Demand Pattern</w:t>
            </w:r>
          </w:p>
        </w:tc>
        <w:tc>
          <w:tcPr>
            <w:tcW w:w="0" w:type="auto"/>
            <w:tcBorders>
              <w:top w:val="single" w:sz="1" w:space="0" w:color="000000"/>
              <w:left w:val="single" w:sz="1" w:space="0" w:color="000000"/>
              <w:bottom w:val="single" w:sz="1" w:space="0" w:color="000000"/>
            </w:tcBorders>
          </w:tcPr>
          <w:p w14:paraId="76023F2B" w14:textId="77777777" w:rsidR="00031D67" w:rsidRDefault="00BA30C9">
            <w:r>
              <w:t>MAPE (%)</w:t>
            </w:r>
          </w:p>
        </w:tc>
        <w:tc>
          <w:tcPr>
            <w:tcW w:w="0" w:type="auto"/>
            <w:tcBorders>
              <w:top w:val="single" w:sz="1" w:space="0" w:color="000000"/>
              <w:left w:val="single" w:sz="1" w:space="0" w:color="000000"/>
              <w:bottom w:val="single" w:sz="1" w:space="0" w:color="000000"/>
            </w:tcBorders>
          </w:tcPr>
          <w:p w14:paraId="4F3E5A4B" w14:textId="77777777" w:rsidR="00031D67" w:rsidRDefault="00BA30C9">
            <w:r>
              <w:t>Optimal Q</w:t>
            </w:r>
          </w:p>
        </w:tc>
        <w:tc>
          <w:tcPr>
            <w:tcW w:w="0" w:type="auto"/>
            <w:tcBorders>
              <w:top w:val="single" w:sz="1" w:space="0" w:color="000000"/>
              <w:left w:val="single" w:sz="1" w:space="0" w:color="000000"/>
              <w:bottom w:val="single" w:sz="1" w:space="0" w:color="000000"/>
            </w:tcBorders>
          </w:tcPr>
          <w:p w14:paraId="261ACAE3" w14:textId="77777777" w:rsidR="00031D67" w:rsidRDefault="00BA30C9">
            <w:r>
              <w:t>Service Level</w:t>
            </w:r>
          </w:p>
        </w:tc>
      </w:tr>
      <w:tr w:rsidR="00031D67" w14:paraId="357EDF4E" w14:textId="77777777">
        <w:trPr>
          <w:cantSplit/>
          <w:tblCellSpacing w:w="0" w:type="dxa"/>
          <w:jc w:val="center"/>
        </w:trPr>
        <w:tc>
          <w:tcPr>
            <w:tcW w:w="0" w:type="auto"/>
            <w:tcBorders>
              <w:top w:val="single" w:sz="1" w:space="0" w:color="000000"/>
              <w:bottom w:val="single" w:sz="1" w:space="0" w:color="000000"/>
            </w:tcBorders>
          </w:tcPr>
          <w:p w14:paraId="53559A86" w14:textId="77777777" w:rsidR="00031D67" w:rsidRDefault="00BA30C9">
            <w:r>
              <w:t>Stable</w:t>
            </w:r>
          </w:p>
        </w:tc>
        <w:tc>
          <w:tcPr>
            <w:tcW w:w="0" w:type="auto"/>
            <w:tcBorders>
              <w:top w:val="single" w:sz="1" w:space="0" w:color="000000"/>
              <w:left w:val="single" w:sz="1" w:space="0" w:color="000000"/>
              <w:bottom w:val="single" w:sz="1" w:space="0" w:color="000000"/>
            </w:tcBorders>
          </w:tcPr>
          <w:p w14:paraId="1615DDF9" w14:textId="77777777" w:rsidR="00031D67" w:rsidRDefault="00BA30C9">
            <w:r>
              <w:t>4.8</w:t>
            </w:r>
          </w:p>
        </w:tc>
        <w:tc>
          <w:tcPr>
            <w:tcW w:w="0" w:type="auto"/>
            <w:tcBorders>
              <w:top w:val="single" w:sz="1" w:space="0" w:color="000000"/>
              <w:left w:val="single" w:sz="1" w:space="0" w:color="000000"/>
              <w:bottom w:val="single" w:sz="1" w:space="0" w:color="000000"/>
            </w:tcBorders>
          </w:tcPr>
          <w:p w14:paraId="5FF16462" w14:textId="77777777" w:rsidR="00031D67" w:rsidRDefault="00BA30C9">
            <w:r>
              <w:t>320</w:t>
            </w:r>
          </w:p>
        </w:tc>
        <w:tc>
          <w:tcPr>
            <w:tcW w:w="0" w:type="auto"/>
            <w:tcBorders>
              <w:top w:val="single" w:sz="1" w:space="0" w:color="000000"/>
              <w:left w:val="single" w:sz="1" w:space="0" w:color="000000"/>
              <w:bottom w:val="single" w:sz="1" w:space="0" w:color="000000"/>
            </w:tcBorders>
          </w:tcPr>
          <w:p w14:paraId="4AA4F604" w14:textId="77777777" w:rsidR="00031D67" w:rsidRDefault="00BA30C9">
            <w:r>
              <w:t>99.6%</w:t>
            </w:r>
          </w:p>
        </w:tc>
      </w:tr>
      <w:tr w:rsidR="00031D67" w14:paraId="3423AAF2" w14:textId="77777777">
        <w:trPr>
          <w:cantSplit/>
          <w:tblCellSpacing w:w="0" w:type="dxa"/>
          <w:jc w:val="center"/>
        </w:trPr>
        <w:tc>
          <w:tcPr>
            <w:tcW w:w="0" w:type="auto"/>
            <w:tcBorders>
              <w:top w:val="single" w:sz="1" w:space="0" w:color="000000"/>
              <w:bottom w:val="single" w:sz="1" w:space="0" w:color="000000"/>
            </w:tcBorders>
          </w:tcPr>
          <w:p w14:paraId="5F4983BB" w14:textId="77777777" w:rsidR="00031D67" w:rsidRDefault="00BA30C9">
            <w:r>
              <w:t>Seasonal</w:t>
            </w:r>
          </w:p>
        </w:tc>
        <w:tc>
          <w:tcPr>
            <w:tcW w:w="0" w:type="auto"/>
            <w:tcBorders>
              <w:top w:val="single" w:sz="1" w:space="0" w:color="000000"/>
              <w:left w:val="single" w:sz="1" w:space="0" w:color="000000"/>
              <w:bottom w:val="single" w:sz="1" w:space="0" w:color="000000"/>
            </w:tcBorders>
          </w:tcPr>
          <w:p w14:paraId="224F9951" w14:textId="77777777" w:rsidR="00031D67" w:rsidRDefault="00BA30C9">
            <w:r>
              <w:t>9.2</w:t>
            </w:r>
          </w:p>
        </w:tc>
        <w:tc>
          <w:tcPr>
            <w:tcW w:w="0" w:type="auto"/>
            <w:tcBorders>
              <w:top w:val="single" w:sz="1" w:space="0" w:color="000000"/>
              <w:left w:val="single" w:sz="1" w:space="0" w:color="000000"/>
              <w:bottom w:val="single" w:sz="1" w:space="0" w:color="000000"/>
            </w:tcBorders>
          </w:tcPr>
          <w:p w14:paraId="62B97FFB" w14:textId="77777777" w:rsidR="00031D67" w:rsidRDefault="00BA30C9">
            <w:r>
              <w:t>260</w:t>
            </w:r>
          </w:p>
        </w:tc>
        <w:tc>
          <w:tcPr>
            <w:tcW w:w="0" w:type="auto"/>
            <w:tcBorders>
              <w:top w:val="single" w:sz="1" w:space="0" w:color="000000"/>
              <w:left w:val="single" w:sz="1" w:space="0" w:color="000000"/>
              <w:bottom w:val="single" w:sz="1" w:space="0" w:color="000000"/>
            </w:tcBorders>
          </w:tcPr>
          <w:p w14:paraId="016FABEF" w14:textId="77777777" w:rsidR="00031D67" w:rsidRDefault="00BA30C9">
            <w:r>
              <w:t>98.4%</w:t>
            </w:r>
          </w:p>
        </w:tc>
      </w:tr>
      <w:tr w:rsidR="00031D67" w14:paraId="23C0A3D2" w14:textId="77777777">
        <w:trPr>
          <w:cantSplit/>
          <w:tblCellSpacing w:w="0" w:type="dxa"/>
          <w:jc w:val="center"/>
        </w:trPr>
        <w:tc>
          <w:tcPr>
            <w:tcW w:w="0" w:type="auto"/>
            <w:tcBorders>
              <w:top w:val="single" w:sz="1" w:space="0" w:color="000000"/>
              <w:bottom w:val="single" w:sz="1" w:space="0" w:color="000000"/>
            </w:tcBorders>
          </w:tcPr>
          <w:p w14:paraId="5761C574" w14:textId="77777777" w:rsidR="00031D67" w:rsidRDefault="00BA30C9">
            <w:r>
              <w:lastRenderedPageBreak/>
              <w:t>Volatile</w:t>
            </w:r>
          </w:p>
        </w:tc>
        <w:tc>
          <w:tcPr>
            <w:tcW w:w="0" w:type="auto"/>
            <w:tcBorders>
              <w:top w:val="single" w:sz="1" w:space="0" w:color="000000"/>
              <w:left w:val="single" w:sz="1" w:space="0" w:color="000000"/>
              <w:bottom w:val="single" w:sz="1" w:space="0" w:color="000000"/>
            </w:tcBorders>
          </w:tcPr>
          <w:p w14:paraId="5CE0D9AE" w14:textId="77777777" w:rsidR="00031D67" w:rsidRDefault="00BA30C9">
            <w:r>
              <w:t>12.5</w:t>
            </w:r>
          </w:p>
        </w:tc>
        <w:tc>
          <w:tcPr>
            <w:tcW w:w="0" w:type="auto"/>
            <w:tcBorders>
              <w:top w:val="single" w:sz="1" w:space="0" w:color="000000"/>
              <w:left w:val="single" w:sz="1" w:space="0" w:color="000000"/>
              <w:bottom w:val="single" w:sz="1" w:space="0" w:color="000000"/>
            </w:tcBorders>
          </w:tcPr>
          <w:p w14:paraId="390BC4F9" w14:textId="77777777" w:rsidR="00031D67" w:rsidRDefault="00BA30C9">
            <w:r>
              <w:t>200</w:t>
            </w:r>
          </w:p>
        </w:tc>
        <w:tc>
          <w:tcPr>
            <w:tcW w:w="0" w:type="auto"/>
            <w:tcBorders>
              <w:top w:val="single" w:sz="1" w:space="0" w:color="000000"/>
              <w:left w:val="single" w:sz="1" w:space="0" w:color="000000"/>
              <w:bottom w:val="single" w:sz="1" w:space="0" w:color="000000"/>
            </w:tcBorders>
          </w:tcPr>
          <w:p w14:paraId="1390595B" w14:textId="77777777" w:rsidR="00031D67" w:rsidRDefault="00BA30C9">
            <w:r>
              <w:t>95.7%</w:t>
            </w:r>
          </w:p>
        </w:tc>
      </w:tr>
    </w:tbl>
    <w:p w14:paraId="305965C3" w14:textId="77777777" w:rsidR="00031D67" w:rsidRDefault="00031D67"/>
    <w:p w14:paraId="70A1C5B3" w14:textId="6DD638B9" w:rsidR="00031D67" w:rsidRDefault="00BA30C9">
      <w:pPr>
        <w:spacing w:after="220"/>
      </w:pPr>
      <w:r>
        <w:rPr>
          <w:b/>
        </w:rPr>
        <w:t xml:space="preserve"> </w:t>
      </w:r>
      <w:r w:rsidR="00257418">
        <w:rPr>
          <w:b/>
        </w:rPr>
        <w:t xml:space="preserve">List 5: </w:t>
      </w:r>
      <w:r>
        <w:rPr>
          <w:b/>
        </w:rPr>
        <w:t>Holding Cost Variation (H)</w:t>
      </w:r>
    </w:p>
    <w:tbl>
      <w:tblPr>
        <w:tblStyle w:val="NormalGrid"/>
        <w:tblW w:w="0" w:type="auto"/>
        <w:jc w:val="center"/>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2220"/>
        <w:gridCol w:w="1257"/>
        <w:gridCol w:w="1250"/>
      </w:tblGrid>
      <w:tr w:rsidR="00031D67" w14:paraId="681D329B" w14:textId="77777777">
        <w:trPr>
          <w:cantSplit/>
          <w:tblCellSpacing w:w="0" w:type="dxa"/>
          <w:jc w:val="center"/>
        </w:trPr>
        <w:tc>
          <w:tcPr>
            <w:tcW w:w="0" w:type="auto"/>
            <w:tcBorders>
              <w:top w:val="single" w:sz="1" w:space="0" w:color="000000"/>
              <w:bottom w:val="single" w:sz="1" w:space="0" w:color="000000"/>
            </w:tcBorders>
          </w:tcPr>
          <w:p w14:paraId="092A5865" w14:textId="77777777" w:rsidR="00031D67" w:rsidRDefault="00BA30C9">
            <w:r>
              <w:t>Holding Cost ($/unit)</w:t>
            </w:r>
          </w:p>
        </w:tc>
        <w:tc>
          <w:tcPr>
            <w:tcW w:w="0" w:type="auto"/>
            <w:tcBorders>
              <w:top w:val="single" w:sz="1" w:space="0" w:color="000000"/>
              <w:left w:val="single" w:sz="1" w:space="0" w:color="000000"/>
              <w:bottom w:val="single" w:sz="1" w:space="0" w:color="000000"/>
            </w:tcBorders>
          </w:tcPr>
          <w:p w14:paraId="388DD19D" w14:textId="77777777" w:rsidR="00031D67" w:rsidRDefault="00BA30C9">
            <w:r>
              <w:t>Optimal Q</w:t>
            </w:r>
          </w:p>
        </w:tc>
        <w:tc>
          <w:tcPr>
            <w:tcW w:w="0" w:type="auto"/>
            <w:tcBorders>
              <w:top w:val="single" w:sz="1" w:space="0" w:color="000000"/>
              <w:left w:val="single" w:sz="1" w:space="0" w:color="000000"/>
              <w:bottom w:val="single" w:sz="1" w:space="0" w:color="000000"/>
            </w:tcBorders>
          </w:tcPr>
          <w:p w14:paraId="33AF5358" w14:textId="77777777" w:rsidR="00031D67" w:rsidRDefault="00BA30C9">
            <w:r>
              <w:t>Total Cost</w:t>
            </w:r>
          </w:p>
        </w:tc>
      </w:tr>
      <w:tr w:rsidR="00031D67" w14:paraId="6740A18C" w14:textId="77777777">
        <w:trPr>
          <w:cantSplit/>
          <w:tblCellSpacing w:w="0" w:type="dxa"/>
          <w:jc w:val="center"/>
        </w:trPr>
        <w:tc>
          <w:tcPr>
            <w:tcW w:w="0" w:type="auto"/>
            <w:tcBorders>
              <w:top w:val="single" w:sz="1" w:space="0" w:color="000000"/>
              <w:bottom w:val="single" w:sz="1" w:space="0" w:color="000000"/>
            </w:tcBorders>
          </w:tcPr>
          <w:p w14:paraId="432B43C4" w14:textId="77777777" w:rsidR="00031D67" w:rsidRDefault="00BA30C9">
            <w:r>
              <w:t>0.40</w:t>
            </w:r>
          </w:p>
        </w:tc>
        <w:tc>
          <w:tcPr>
            <w:tcW w:w="0" w:type="auto"/>
            <w:tcBorders>
              <w:top w:val="single" w:sz="1" w:space="0" w:color="000000"/>
              <w:left w:val="single" w:sz="1" w:space="0" w:color="000000"/>
              <w:bottom w:val="single" w:sz="1" w:space="0" w:color="000000"/>
            </w:tcBorders>
          </w:tcPr>
          <w:p w14:paraId="6DD39FC6" w14:textId="77777777" w:rsidR="00031D67" w:rsidRDefault="00BA30C9">
            <w:r>
              <w:t>340</w:t>
            </w:r>
          </w:p>
        </w:tc>
        <w:tc>
          <w:tcPr>
            <w:tcW w:w="0" w:type="auto"/>
            <w:tcBorders>
              <w:top w:val="single" w:sz="1" w:space="0" w:color="000000"/>
              <w:left w:val="single" w:sz="1" w:space="0" w:color="000000"/>
              <w:bottom w:val="single" w:sz="1" w:space="0" w:color="000000"/>
            </w:tcBorders>
          </w:tcPr>
          <w:p w14:paraId="6AA56C82" w14:textId="77777777" w:rsidR="00031D67" w:rsidRDefault="00BA30C9">
            <w:r>
              <w:t>$2,320</w:t>
            </w:r>
          </w:p>
        </w:tc>
      </w:tr>
      <w:tr w:rsidR="00031D67" w14:paraId="5B41A9C1" w14:textId="77777777">
        <w:trPr>
          <w:cantSplit/>
          <w:tblCellSpacing w:w="0" w:type="dxa"/>
          <w:jc w:val="center"/>
        </w:trPr>
        <w:tc>
          <w:tcPr>
            <w:tcW w:w="0" w:type="auto"/>
            <w:tcBorders>
              <w:top w:val="single" w:sz="1" w:space="0" w:color="000000"/>
              <w:bottom w:val="single" w:sz="1" w:space="0" w:color="000000"/>
            </w:tcBorders>
          </w:tcPr>
          <w:p w14:paraId="35826E66" w14:textId="77777777" w:rsidR="00031D67" w:rsidRDefault="00BA30C9">
            <w:r>
              <w:t>0.50 (base)</w:t>
            </w:r>
          </w:p>
        </w:tc>
        <w:tc>
          <w:tcPr>
            <w:tcW w:w="0" w:type="auto"/>
            <w:tcBorders>
              <w:top w:val="single" w:sz="1" w:space="0" w:color="000000"/>
              <w:left w:val="single" w:sz="1" w:space="0" w:color="000000"/>
              <w:bottom w:val="single" w:sz="1" w:space="0" w:color="000000"/>
            </w:tcBorders>
          </w:tcPr>
          <w:p w14:paraId="67D2002A" w14:textId="77777777" w:rsidR="00031D67" w:rsidRDefault="00BA30C9">
            <w:r>
              <w:t>300</w:t>
            </w:r>
          </w:p>
        </w:tc>
        <w:tc>
          <w:tcPr>
            <w:tcW w:w="0" w:type="auto"/>
            <w:tcBorders>
              <w:top w:val="single" w:sz="1" w:space="0" w:color="000000"/>
              <w:left w:val="single" w:sz="1" w:space="0" w:color="000000"/>
              <w:bottom w:val="single" w:sz="1" w:space="0" w:color="000000"/>
            </w:tcBorders>
          </w:tcPr>
          <w:p w14:paraId="7E5D458A" w14:textId="77777777" w:rsidR="00031D67" w:rsidRDefault="00BA30C9">
            <w:r>
              <w:t>$2,450</w:t>
            </w:r>
          </w:p>
        </w:tc>
      </w:tr>
      <w:tr w:rsidR="00031D67" w14:paraId="49172F4E" w14:textId="77777777">
        <w:trPr>
          <w:cantSplit/>
          <w:tblCellSpacing w:w="0" w:type="dxa"/>
          <w:jc w:val="center"/>
        </w:trPr>
        <w:tc>
          <w:tcPr>
            <w:tcW w:w="0" w:type="auto"/>
            <w:tcBorders>
              <w:top w:val="single" w:sz="1" w:space="0" w:color="000000"/>
              <w:bottom w:val="single" w:sz="1" w:space="0" w:color="000000"/>
            </w:tcBorders>
          </w:tcPr>
          <w:p w14:paraId="011A3D3D" w14:textId="77777777" w:rsidR="00031D67" w:rsidRDefault="00BA30C9">
            <w:r>
              <w:t>0.60</w:t>
            </w:r>
          </w:p>
        </w:tc>
        <w:tc>
          <w:tcPr>
            <w:tcW w:w="0" w:type="auto"/>
            <w:tcBorders>
              <w:top w:val="single" w:sz="1" w:space="0" w:color="000000"/>
              <w:left w:val="single" w:sz="1" w:space="0" w:color="000000"/>
              <w:bottom w:val="single" w:sz="1" w:space="0" w:color="000000"/>
            </w:tcBorders>
          </w:tcPr>
          <w:p w14:paraId="66AC04C1" w14:textId="77777777" w:rsidR="00031D67" w:rsidRDefault="00BA30C9">
            <w:r>
              <w:t>260</w:t>
            </w:r>
          </w:p>
        </w:tc>
        <w:tc>
          <w:tcPr>
            <w:tcW w:w="0" w:type="auto"/>
            <w:tcBorders>
              <w:top w:val="single" w:sz="1" w:space="0" w:color="000000"/>
              <w:left w:val="single" w:sz="1" w:space="0" w:color="000000"/>
              <w:bottom w:val="single" w:sz="1" w:space="0" w:color="000000"/>
            </w:tcBorders>
          </w:tcPr>
          <w:p w14:paraId="703F57C6" w14:textId="77777777" w:rsidR="00031D67" w:rsidRDefault="00BA30C9">
            <w:r>
              <w:t>$2,580</w:t>
            </w:r>
          </w:p>
        </w:tc>
      </w:tr>
    </w:tbl>
    <w:p w14:paraId="197E9E3A" w14:textId="77777777" w:rsidR="00031D67" w:rsidRDefault="00031D67"/>
    <w:p w14:paraId="2988D736" w14:textId="7B1F0F94" w:rsidR="00031D67" w:rsidRDefault="004F63E6">
      <w:pPr>
        <w:spacing w:before="240" w:line="271" w:lineRule="auto"/>
      </w:pPr>
      <w:r>
        <w:rPr>
          <w:b/>
          <w:sz w:val="28"/>
        </w:rPr>
        <w:t>6.5 Key Insights</w:t>
      </w:r>
    </w:p>
    <w:p w14:paraId="01B4F8AE" w14:textId="77777777" w:rsidR="00031D67" w:rsidRDefault="00BA30C9">
      <w:pPr>
        <w:numPr>
          <w:ilvl w:val="0"/>
          <w:numId w:val="29"/>
        </w:numPr>
      </w:pPr>
      <w:r>
        <w:t xml:space="preserve">The </w:t>
      </w:r>
      <w:r>
        <w:rPr>
          <w:b/>
        </w:rPr>
        <w:t>AI-integrated EOQ</w:t>
      </w:r>
      <w:r>
        <w:t xml:space="preserve"> adapts effectively to demand shifts, maintaining high service levels.</w:t>
      </w:r>
    </w:p>
    <w:p w14:paraId="16B4D852" w14:textId="77777777" w:rsidR="00031D67" w:rsidRDefault="00BA30C9">
      <w:pPr>
        <w:numPr>
          <w:ilvl w:val="0"/>
          <w:numId w:val="29"/>
        </w:numPr>
      </w:pPr>
      <w:r>
        <w:rPr>
          <w:b/>
        </w:rPr>
        <w:t>Higher carbon pricing</w:t>
      </w:r>
      <w:r>
        <w:t xml:space="preserve"> motivates lower-emission choices, reducing order size and optimizing transport mode.</w:t>
      </w:r>
    </w:p>
    <w:p w14:paraId="32DB829B" w14:textId="77777777" w:rsidR="00031D67" w:rsidRDefault="00BA30C9">
      <w:pPr>
        <w:numPr>
          <w:ilvl w:val="0"/>
          <w:numId w:val="29"/>
        </w:numPr>
      </w:pPr>
      <w:r>
        <w:t>The model remains robust under different cost structures and demand patterns, offering operational flexibility.</w:t>
      </w:r>
    </w:p>
    <w:p w14:paraId="2A2E435C" w14:textId="1B8DBFBA" w:rsidR="00031D67" w:rsidRDefault="00BA30C9">
      <w:pPr>
        <w:spacing w:before="240" w:line="271" w:lineRule="auto"/>
      </w:pPr>
      <w:r>
        <w:rPr>
          <w:b/>
          <w:sz w:val="33"/>
        </w:rPr>
        <w:t>1. Input Parameters Table</w:t>
      </w:r>
    </w:p>
    <w:tbl>
      <w:tblPr>
        <w:tblStyle w:val="NormalGrid"/>
        <w:tblW w:w="0" w:type="auto"/>
        <w:jc w:val="center"/>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2440"/>
        <w:gridCol w:w="1032"/>
        <w:gridCol w:w="1905"/>
        <w:gridCol w:w="3584"/>
      </w:tblGrid>
      <w:tr w:rsidR="00031D67" w14:paraId="75EC93A7" w14:textId="77777777">
        <w:trPr>
          <w:cantSplit/>
          <w:tblCellSpacing w:w="0" w:type="dxa"/>
          <w:jc w:val="center"/>
        </w:trPr>
        <w:tc>
          <w:tcPr>
            <w:tcW w:w="0" w:type="auto"/>
            <w:tcBorders>
              <w:top w:val="single" w:sz="1" w:space="0" w:color="000000"/>
              <w:bottom w:val="single" w:sz="1" w:space="0" w:color="000000"/>
            </w:tcBorders>
          </w:tcPr>
          <w:p w14:paraId="4BDAEC19" w14:textId="77777777" w:rsidR="00031D67" w:rsidRDefault="00BA30C9">
            <w:r>
              <w:rPr>
                <w:b/>
              </w:rPr>
              <w:t>Parameter</w:t>
            </w:r>
          </w:p>
        </w:tc>
        <w:tc>
          <w:tcPr>
            <w:tcW w:w="0" w:type="auto"/>
            <w:tcBorders>
              <w:top w:val="single" w:sz="1" w:space="0" w:color="000000"/>
              <w:left w:val="single" w:sz="1" w:space="0" w:color="000000"/>
              <w:bottom w:val="single" w:sz="1" w:space="0" w:color="000000"/>
            </w:tcBorders>
          </w:tcPr>
          <w:p w14:paraId="28A06675" w14:textId="77777777" w:rsidR="00031D67" w:rsidRDefault="00BA30C9">
            <w:r>
              <w:rPr>
                <w:b/>
              </w:rPr>
              <w:t>Symbol</w:t>
            </w:r>
          </w:p>
        </w:tc>
        <w:tc>
          <w:tcPr>
            <w:tcW w:w="0" w:type="auto"/>
            <w:tcBorders>
              <w:top w:val="single" w:sz="1" w:space="0" w:color="000000"/>
              <w:left w:val="single" w:sz="1" w:space="0" w:color="000000"/>
              <w:bottom w:val="single" w:sz="1" w:space="0" w:color="000000"/>
            </w:tcBorders>
          </w:tcPr>
          <w:p w14:paraId="2C875525" w14:textId="77777777" w:rsidR="00031D67" w:rsidRDefault="00BA30C9">
            <w:r>
              <w:rPr>
                <w:b/>
              </w:rPr>
              <w:t>Base Value</w:t>
            </w:r>
          </w:p>
        </w:tc>
        <w:tc>
          <w:tcPr>
            <w:tcW w:w="0" w:type="auto"/>
            <w:tcBorders>
              <w:top w:val="single" w:sz="1" w:space="0" w:color="000000"/>
              <w:left w:val="single" w:sz="1" w:space="0" w:color="000000"/>
              <w:bottom w:val="single" w:sz="1" w:space="0" w:color="000000"/>
            </w:tcBorders>
          </w:tcPr>
          <w:p w14:paraId="5EDA4096" w14:textId="77777777" w:rsidR="00031D67" w:rsidRDefault="00BA30C9">
            <w:r>
              <w:rPr>
                <w:b/>
              </w:rPr>
              <w:t>Description</w:t>
            </w:r>
          </w:p>
        </w:tc>
      </w:tr>
      <w:tr w:rsidR="00031D67" w14:paraId="24C9A9BE" w14:textId="77777777">
        <w:trPr>
          <w:cantSplit/>
          <w:tblCellSpacing w:w="0" w:type="dxa"/>
          <w:jc w:val="center"/>
        </w:trPr>
        <w:tc>
          <w:tcPr>
            <w:tcW w:w="0" w:type="auto"/>
            <w:tcBorders>
              <w:top w:val="single" w:sz="1" w:space="0" w:color="000000"/>
              <w:bottom w:val="single" w:sz="1" w:space="0" w:color="000000"/>
            </w:tcBorders>
          </w:tcPr>
          <w:p w14:paraId="0FE973B8" w14:textId="77777777" w:rsidR="00031D67" w:rsidRDefault="00BA30C9">
            <w:r>
              <w:t>Forecasted demand/day</w:t>
            </w:r>
          </w:p>
        </w:tc>
        <w:tc>
          <w:tcPr>
            <w:tcW w:w="0" w:type="auto"/>
            <w:tcBorders>
              <w:top w:val="single" w:sz="1" w:space="0" w:color="000000"/>
              <w:left w:val="single" w:sz="1" w:space="0" w:color="000000"/>
              <w:bottom w:val="single" w:sz="1" w:space="0" w:color="000000"/>
            </w:tcBorders>
          </w:tcPr>
          <w:p w14:paraId="0A090BAD" w14:textId="77777777" w:rsidR="00031D67" w:rsidRDefault="00BA30C9">
            <m:oMathPara>
              <m:oMathParaPr>
                <m:jc m:val="left"/>
              </m:oMathParaPr>
              <m:oMath>
                <m:r>
                  <w:rPr>
                    <w:rFonts w:ascii="Cambria Math" w:hAnsi="Cambria Math"/>
                  </w:rPr>
                  <m:t>D</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0" w:type="auto"/>
            <w:tcBorders>
              <w:top w:val="single" w:sz="1" w:space="0" w:color="000000"/>
              <w:left w:val="single" w:sz="1" w:space="0" w:color="000000"/>
              <w:bottom w:val="single" w:sz="1" w:space="0" w:color="000000"/>
            </w:tcBorders>
          </w:tcPr>
          <w:p w14:paraId="1811974F" w14:textId="77777777" w:rsidR="00031D67" w:rsidRDefault="00BA30C9">
            <w:r>
              <w:t>Varies (AI-based)</w:t>
            </w:r>
          </w:p>
        </w:tc>
        <w:tc>
          <w:tcPr>
            <w:tcW w:w="0" w:type="auto"/>
            <w:tcBorders>
              <w:top w:val="single" w:sz="1" w:space="0" w:color="000000"/>
              <w:left w:val="single" w:sz="1" w:space="0" w:color="000000"/>
              <w:bottom w:val="single" w:sz="1" w:space="0" w:color="000000"/>
            </w:tcBorders>
          </w:tcPr>
          <w:p w14:paraId="75E672A9" w14:textId="77777777" w:rsidR="00031D67" w:rsidRDefault="00BA30C9">
            <w:r>
              <w:t>Dynamic, predicted by LSTM model</w:t>
            </w:r>
          </w:p>
        </w:tc>
      </w:tr>
      <w:tr w:rsidR="00031D67" w14:paraId="65C4240D" w14:textId="77777777">
        <w:trPr>
          <w:cantSplit/>
          <w:tblCellSpacing w:w="0" w:type="dxa"/>
          <w:jc w:val="center"/>
        </w:trPr>
        <w:tc>
          <w:tcPr>
            <w:tcW w:w="0" w:type="auto"/>
            <w:tcBorders>
              <w:top w:val="single" w:sz="1" w:space="0" w:color="000000"/>
              <w:bottom w:val="single" w:sz="1" w:space="0" w:color="000000"/>
            </w:tcBorders>
          </w:tcPr>
          <w:p w14:paraId="6781AAAC" w14:textId="77777777" w:rsidR="00031D67" w:rsidRDefault="00BA30C9">
            <w:r>
              <w:t>Ordering cost per order</w:t>
            </w:r>
          </w:p>
        </w:tc>
        <w:tc>
          <w:tcPr>
            <w:tcW w:w="0" w:type="auto"/>
            <w:tcBorders>
              <w:top w:val="single" w:sz="1" w:space="0" w:color="000000"/>
              <w:left w:val="single" w:sz="1" w:space="0" w:color="000000"/>
              <w:bottom w:val="single" w:sz="1" w:space="0" w:color="000000"/>
            </w:tcBorders>
          </w:tcPr>
          <w:p w14:paraId="747D81B7" w14:textId="77777777" w:rsidR="00031D67" w:rsidRDefault="00BA30C9">
            <m:oMathPara>
              <m:oMathParaPr>
                <m:jc m:val="left"/>
              </m:oMathParaPr>
              <m:oMath>
                <m:r>
                  <w:rPr>
                    <w:rFonts w:ascii="Cambria Math" w:hAnsi="Cambria Math"/>
                  </w:rPr>
                  <m:t>S</m:t>
                </m:r>
              </m:oMath>
            </m:oMathPara>
          </w:p>
        </w:tc>
        <w:tc>
          <w:tcPr>
            <w:tcW w:w="0" w:type="auto"/>
            <w:tcBorders>
              <w:top w:val="single" w:sz="1" w:space="0" w:color="000000"/>
              <w:left w:val="single" w:sz="1" w:space="0" w:color="000000"/>
              <w:bottom w:val="single" w:sz="1" w:space="0" w:color="000000"/>
            </w:tcBorders>
          </w:tcPr>
          <w:p w14:paraId="0DE645A4" w14:textId="77777777" w:rsidR="00031D67" w:rsidRDefault="00BA30C9">
            <w:r>
              <w:t>$100</w:t>
            </w:r>
          </w:p>
        </w:tc>
        <w:tc>
          <w:tcPr>
            <w:tcW w:w="0" w:type="auto"/>
            <w:tcBorders>
              <w:top w:val="single" w:sz="1" w:space="0" w:color="000000"/>
              <w:left w:val="single" w:sz="1" w:space="0" w:color="000000"/>
              <w:bottom w:val="single" w:sz="1" w:space="0" w:color="000000"/>
            </w:tcBorders>
          </w:tcPr>
          <w:p w14:paraId="560A574E" w14:textId="77777777" w:rsidR="00031D67" w:rsidRDefault="00BA30C9">
            <w:r>
              <w:t>Fixed cost per replenishment cycle</w:t>
            </w:r>
          </w:p>
        </w:tc>
      </w:tr>
      <w:tr w:rsidR="00031D67" w14:paraId="12D78012" w14:textId="77777777">
        <w:trPr>
          <w:cantSplit/>
          <w:tblCellSpacing w:w="0" w:type="dxa"/>
          <w:jc w:val="center"/>
        </w:trPr>
        <w:tc>
          <w:tcPr>
            <w:tcW w:w="0" w:type="auto"/>
            <w:tcBorders>
              <w:top w:val="single" w:sz="1" w:space="0" w:color="000000"/>
              <w:bottom w:val="single" w:sz="1" w:space="0" w:color="000000"/>
            </w:tcBorders>
          </w:tcPr>
          <w:p w14:paraId="30A7E2F6" w14:textId="77777777" w:rsidR="00031D67" w:rsidRDefault="00BA30C9">
            <w:r>
              <w:t>Holding cost/unit/day</w:t>
            </w:r>
          </w:p>
        </w:tc>
        <w:tc>
          <w:tcPr>
            <w:tcW w:w="0" w:type="auto"/>
            <w:tcBorders>
              <w:top w:val="single" w:sz="1" w:space="0" w:color="000000"/>
              <w:left w:val="single" w:sz="1" w:space="0" w:color="000000"/>
              <w:bottom w:val="single" w:sz="1" w:space="0" w:color="000000"/>
            </w:tcBorders>
          </w:tcPr>
          <w:p w14:paraId="33BAC1D9" w14:textId="77777777" w:rsidR="00031D67" w:rsidRDefault="00BA30C9">
            <m:oMathPara>
              <m:oMathParaPr>
                <m:jc m:val="left"/>
              </m:oMathParaPr>
              <m:oMath>
                <m:r>
                  <w:rPr>
                    <w:rFonts w:ascii="Cambria Math" w:hAnsi="Cambria Math"/>
                  </w:rPr>
                  <m:t>H</m:t>
                </m:r>
              </m:oMath>
            </m:oMathPara>
          </w:p>
        </w:tc>
        <w:tc>
          <w:tcPr>
            <w:tcW w:w="0" w:type="auto"/>
            <w:tcBorders>
              <w:top w:val="single" w:sz="1" w:space="0" w:color="000000"/>
              <w:left w:val="single" w:sz="1" w:space="0" w:color="000000"/>
              <w:bottom w:val="single" w:sz="1" w:space="0" w:color="000000"/>
            </w:tcBorders>
          </w:tcPr>
          <w:p w14:paraId="1EAB6A71" w14:textId="77777777" w:rsidR="00031D67" w:rsidRDefault="00BA30C9">
            <w:r>
              <w:t>$0.50</w:t>
            </w:r>
          </w:p>
        </w:tc>
        <w:tc>
          <w:tcPr>
            <w:tcW w:w="0" w:type="auto"/>
            <w:tcBorders>
              <w:top w:val="single" w:sz="1" w:space="0" w:color="000000"/>
              <w:left w:val="single" w:sz="1" w:space="0" w:color="000000"/>
              <w:bottom w:val="single" w:sz="1" w:space="0" w:color="000000"/>
            </w:tcBorders>
          </w:tcPr>
          <w:p w14:paraId="311F24E7" w14:textId="77777777" w:rsidR="00031D67" w:rsidRDefault="00BA30C9">
            <w:r>
              <w:t>Cost to hold inventory per unit/day</w:t>
            </w:r>
          </w:p>
        </w:tc>
      </w:tr>
      <w:tr w:rsidR="00031D67" w14:paraId="295C7418" w14:textId="77777777">
        <w:trPr>
          <w:cantSplit/>
          <w:tblCellSpacing w:w="0" w:type="dxa"/>
          <w:jc w:val="center"/>
        </w:trPr>
        <w:tc>
          <w:tcPr>
            <w:tcW w:w="0" w:type="auto"/>
            <w:tcBorders>
              <w:top w:val="single" w:sz="1" w:space="0" w:color="000000"/>
              <w:bottom w:val="single" w:sz="1" w:space="0" w:color="000000"/>
            </w:tcBorders>
          </w:tcPr>
          <w:p w14:paraId="7058F752" w14:textId="77777777" w:rsidR="00031D67" w:rsidRDefault="00BA30C9">
            <w:r>
              <w:t>Transport distance</w:t>
            </w:r>
          </w:p>
        </w:tc>
        <w:tc>
          <w:tcPr>
            <w:tcW w:w="0" w:type="auto"/>
            <w:tcBorders>
              <w:top w:val="single" w:sz="1" w:space="0" w:color="000000"/>
              <w:left w:val="single" w:sz="1" w:space="0" w:color="000000"/>
              <w:bottom w:val="single" w:sz="1" w:space="0" w:color="000000"/>
            </w:tcBorders>
          </w:tcPr>
          <w:p w14:paraId="2014FB41" w14:textId="77777777" w:rsidR="00031D67" w:rsidRDefault="00BA30C9">
            <m:oMathPara>
              <m:oMathParaPr>
                <m:jc m:val="left"/>
              </m:oMathParaPr>
              <m:oMath>
                <m:r>
                  <w:rPr>
                    <w:rFonts w:ascii="Cambria Math" w:hAnsi="Cambria Math"/>
                  </w:rPr>
                  <m:t>d</m:t>
                </m:r>
              </m:oMath>
            </m:oMathPara>
          </w:p>
        </w:tc>
        <w:tc>
          <w:tcPr>
            <w:tcW w:w="0" w:type="auto"/>
            <w:tcBorders>
              <w:top w:val="single" w:sz="1" w:space="0" w:color="000000"/>
              <w:left w:val="single" w:sz="1" w:space="0" w:color="000000"/>
              <w:bottom w:val="single" w:sz="1" w:space="0" w:color="000000"/>
            </w:tcBorders>
          </w:tcPr>
          <w:p w14:paraId="5FF7A6D5" w14:textId="77777777" w:rsidR="00031D67" w:rsidRDefault="00BA30C9">
            <w:r>
              <w:t>120 km</w:t>
            </w:r>
          </w:p>
        </w:tc>
        <w:tc>
          <w:tcPr>
            <w:tcW w:w="0" w:type="auto"/>
            <w:tcBorders>
              <w:top w:val="single" w:sz="1" w:space="0" w:color="000000"/>
              <w:left w:val="single" w:sz="1" w:space="0" w:color="000000"/>
              <w:bottom w:val="single" w:sz="1" w:space="0" w:color="000000"/>
            </w:tcBorders>
          </w:tcPr>
          <w:p w14:paraId="3AC81863" w14:textId="77777777" w:rsidR="00031D67" w:rsidRDefault="00BA30C9">
            <w:r>
              <w:t>Distance from supplier to warehouse</w:t>
            </w:r>
          </w:p>
        </w:tc>
      </w:tr>
      <w:tr w:rsidR="00031D67" w14:paraId="41AA335F" w14:textId="77777777">
        <w:trPr>
          <w:cantSplit/>
          <w:tblCellSpacing w:w="0" w:type="dxa"/>
          <w:jc w:val="center"/>
        </w:trPr>
        <w:tc>
          <w:tcPr>
            <w:tcW w:w="0" w:type="auto"/>
            <w:tcBorders>
              <w:top w:val="single" w:sz="1" w:space="0" w:color="000000"/>
              <w:bottom w:val="single" w:sz="1" w:space="0" w:color="000000"/>
            </w:tcBorders>
          </w:tcPr>
          <w:p w14:paraId="5ADE864C" w14:textId="77777777" w:rsidR="00031D67" w:rsidRDefault="00BA30C9">
            <w:r>
              <w:t>Emission price</w:t>
            </w:r>
          </w:p>
        </w:tc>
        <w:tc>
          <w:tcPr>
            <w:tcW w:w="0" w:type="auto"/>
            <w:tcBorders>
              <w:top w:val="single" w:sz="1" w:space="0" w:color="000000"/>
              <w:left w:val="single" w:sz="1" w:space="0" w:color="000000"/>
              <w:bottom w:val="single" w:sz="1" w:space="0" w:color="000000"/>
            </w:tcBorders>
          </w:tcPr>
          <w:p w14:paraId="25D2F9B0" w14:textId="77777777" w:rsidR="00031D67" w:rsidRDefault="00250C3F">
            <m:oMathPara>
              <m:oMathParaPr>
                <m:jc m:val="left"/>
              </m:oMathParaPr>
              <m:oMath>
                <m:sSub>
                  <m:sSubPr>
                    <m:ctrlPr>
                      <w:rPr>
                        <w:rFonts w:ascii="Cambria Math" w:hAnsi="Cambria Math"/>
                      </w:rPr>
                    </m:ctrlPr>
                  </m:sSubPr>
                  <m:e>
                    <m:r>
                      <w:rPr>
                        <w:rFonts w:ascii="Cambria Math" w:hAnsi="Cambria Math"/>
                      </w:rPr>
                      <m:t>P</m:t>
                    </m:r>
                  </m:e>
                  <m:sub>
                    <m:r>
                      <w:rPr>
                        <w:rFonts w:ascii="Cambria Math" w:hAnsi="Cambria Math"/>
                      </w:rPr>
                      <m:t>e</m:t>
                    </m:r>
                  </m:sub>
                </m:sSub>
              </m:oMath>
            </m:oMathPara>
          </w:p>
        </w:tc>
        <w:tc>
          <w:tcPr>
            <w:tcW w:w="0" w:type="auto"/>
            <w:tcBorders>
              <w:top w:val="single" w:sz="1" w:space="0" w:color="000000"/>
              <w:left w:val="single" w:sz="1" w:space="0" w:color="000000"/>
              <w:bottom w:val="single" w:sz="1" w:space="0" w:color="000000"/>
            </w:tcBorders>
          </w:tcPr>
          <w:p w14:paraId="29C193E1" w14:textId="77777777" w:rsidR="00031D67" w:rsidRDefault="00BA30C9">
            <w:r>
              <w:t>$0.07/kg</w:t>
            </w:r>
          </w:p>
        </w:tc>
        <w:tc>
          <w:tcPr>
            <w:tcW w:w="0" w:type="auto"/>
            <w:tcBorders>
              <w:top w:val="single" w:sz="1" w:space="0" w:color="000000"/>
              <w:left w:val="single" w:sz="1" w:space="0" w:color="000000"/>
              <w:bottom w:val="single" w:sz="1" w:space="0" w:color="000000"/>
            </w:tcBorders>
          </w:tcPr>
          <w:p w14:paraId="0252E866" w14:textId="77777777" w:rsidR="00031D67" w:rsidRDefault="00BA30C9">
            <w:r>
              <w:t>Carbon tax or offset price</w:t>
            </w:r>
          </w:p>
        </w:tc>
      </w:tr>
      <w:tr w:rsidR="00031D67" w14:paraId="7FCB9B95" w14:textId="77777777">
        <w:trPr>
          <w:cantSplit/>
          <w:tblCellSpacing w:w="0" w:type="dxa"/>
          <w:jc w:val="center"/>
        </w:trPr>
        <w:tc>
          <w:tcPr>
            <w:tcW w:w="0" w:type="auto"/>
            <w:tcBorders>
              <w:top w:val="single" w:sz="1" w:space="0" w:color="000000"/>
              <w:bottom w:val="single" w:sz="1" w:space="0" w:color="000000"/>
            </w:tcBorders>
          </w:tcPr>
          <w:p w14:paraId="3981A4B2" w14:textId="77777777" w:rsidR="00031D67" w:rsidRDefault="00BA30C9">
            <w:r>
              <w:t>Max emission threshold</w:t>
            </w:r>
          </w:p>
        </w:tc>
        <w:tc>
          <w:tcPr>
            <w:tcW w:w="0" w:type="auto"/>
            <w:tcBorders>
              <w:top w:val="single" w:sz="1" w:space="0" w:color="000000"/>
              <w:left w:val="single" w:sz="1" w:space="0" w:color="000000"/>
              <w:bottom w:val="single" w:sz="1" w:space="0" w:color="000000"/>
            </w:tcBorders>
          </w:tcPr>
          <w:p w14:paraId="3D9821B2" w14:textId="77777777" w:rsidR="00031D67" w:rsidRDefault="00250C3F">
            <m:oMathPara>
              <m:oMathParaPr>
                <m:jc m:val="left"/>
              </m:oMathParaPr>
              <m:oMath>
                <m:sSub>
                  <m:sSubPr>
                    <m:ctrlPr>
                      <w:rPr>
                        <w:rFonts w:ascii="Cambria Math" w:hAnsi="Cambria Math"/>
                      </w:rPr>
                    </m:ctrlPr>
                  </m:sSubPr>
                  <m:e>
                    <m:r>
                      <w:rPr>
                        <w:rFonts w:ascii="Cambria Math" w:hAnsi="Cambria Math"/>
                      </w:rPr>
                      <m:t>E</m:t>
                    </m:r>
                  </m:e>
                  <m:sub>
                    <m:r>
                      <m:rPr>
                        <m:nor/>
                      </m:rPr>
                      <m:t>max</m:t>
                    </m:r>
                  </m:sub>
                </m:sSub>
              </m:oMath>
            </m:oMathPara>
          </w:p>
        </w:tc>
        <w:tc>
          <w:tcPr>
            <w:tcW w:w="0" w:type="auto"/>
            <w:tcBorders>
              <w:top w:val="single" w:sz="1" w:space="0" w:color="000000"/>
              <w:left w:val="single" w:sz="1" w:space="0" w:color="000000"/>
              <w:bottom w:val="single" w:sz="1" w:space="0" w:color="000000"/>
            </w:tcBorders>
          </w:tcPr>
          <w:p w14:paraId="10518C20" w14:textId="77777777" w:rsidR="00031D67" w:rsidRDefault="00BA30C9">
            <w:r>
              <w:t>500 kg/month</w:t>
            </w:r>
          </w:p>
        </w:tc>
        <w:tc>
          <w:tcPr>
            <w:tcW w:w="0" w:type="auto"/>
            <w:tcBorders>
              <w:top w:val="single" w:sz="1" w:space="0" w:color="000000"/>
              <w:left w:val="single" w:sz="1" w:space="0" w:color="000000"/>
              <w:bottom w:val="single" w:sz="1" w:space="0" w:color="000000"/>
            </w:tcBorders>
          </w:tcPr>
          <w:p w14:paraId="23794EAA" w14:textId="77777777" w:rsidR="00031D67" w:rsidRDefault="00BA30C9">
            <w:r>
              <w:t>Sustainability constraint</w:t>
            </w:r>
          </w:p>
        </w:tc>
      </w:tr>
    </w:tbl>
    <w:p w14:paraId="411C9C70" w14:textId="06686EC3" w:rsidR="00031D67" w:rsidRDefault="001966BC" w:rsidP="001966BC">
      <w:pPr>
        <w:jc w:val="center"/>
      </w:pPr>
      <w:r>
        <w:rPr>
          <w:b/>
          <w:sz w:val="33"/>
        </w:rPr>
        <w:t xml:space="preserve">Table </w:t>
      </w:r>
      <w:proofErr w:type="gramStart"/>
      <w:r>
        <w:rPr>
          <w:b/>
          <w:sz w:val="33"/>
        </w:rPr>
        <w:t>01:Input</w:t>
      </w:r>
      <w:proofErr w:type="gramEnd"/>
      <w:r>
        <w:rPr>
          <w:b/>
          <w:sz w:val="33"/>
        </w:rPr>
        <w:t xml:space="preserve"> Parameters Table</w:t>
      </w:r>
    </w:p>
    <w:p w14:paraId="3D0D6A3F" w14:textId="77777777" w:rsidR="002765F2" w:rsidRDefault="002765F2">
      <w:pPr>
        <w:spacing w:before="240" w:line="271" w:lineRule="auto"/>
        <w:rPr>
          <w:b/>
          <w:sz w:val="33"/>
        </w:rPr>
      </w:pPr>
    </w:p>
    <w:p w14:paraId="2CC8BB99" w14:textId="77777777" w:rsidR="002765F2" w:rsidRDefault="002765F2">
      <w:pPr>
        <w:spacing w:before="240" w:line="271" w:lineRule="auto"/>
        <w:rPr>
          <w:b/>
          <w:sz w:val="33"/>
        </w:rPr>
      </w:pPr>
    </w:p>
    <w:p w14:paraId="01AA5187" w14:textId="46B1C469" w:rsidR="00031D67" w:rsidRDefault="00BA30C9">
      <w:pPr>
        <w:spacing w:before="240" w:line="271" w:lineRule="auto"/>
      </w:pPr>
      <w:r>
        <w:rPr>
          <w:b/>
          <w:sz w:val="33"/>
        </w:rPr>
        <w:t>2. Forecasting Model Comparison Table</w:t>
      </w:r>
    </w:p>
    <w:tbl>
      <w:tblPr>
        <w:tblStyle w:val="NormalGrid"/>
        <w:tblW w:w="0" w:type="auto"/>
        <w:jc w:val="center"/>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957"/>
        <w:gridCol w:w="836"/>
        <w:gridCol w:w="958"/>
        <w:gridCol w:w="1392"/>
        <w:gridCol w:w="1055"/>
      </w:tblGrid>
      <w:tr w:rsidR="00031D67" w14:paraId="4FDDB8C7" w14:textId="77777777">
        <w:trPr>
          <w:cantSplit/>
          <w:tblCellSpacing w:w="0" w:type="dxa"/>
          <w:jc w:val="center"/>
        </w:trPr>
        <w:tc>
          <w:tcPr>
            <w:tcW w:w="0" w:type="auto"/>
            <w:tcBorders>
              <w:top w:val="single" w:sz="1" w:space="0" w:color="000000"/>
              <w:bottom w:val="single" w:sz="1" w:space="0" w:color="000000"/>
            </w:tcBorders>
          </w:tcPr>
          <w:p w14:paraId="7E065D8A" w14:textId="77777777" w:rsidR="00031D67" w:rsidRDefault="00BA30C9">
            <w:r>
              <w:rPr>
                <w:b/>
              </w:rPr>
              <w:t>Model</w:t>
            </w:r>
          </w:p>
        </w:tc>
        <w:tc>
          <w:tcPr>
            <w:tcW w:w="0" w:type="auto"/>
            <w:tcBorders>
              <w:top w:val="single" w:sz="1" w:space="0" w:color="000000"/>
              <w:left w:val="single" w:sz="1" w:space="0" w:color="000000"/>
              <w:bottom w:val="single" w:sz="1" w:space="0" w:color="000000"/>
            </w:tcBorders>
          </w:tcPr>
          <w:p w14:paraId="553F6B7F" w14:textId="77777777" w:rsidR="00031D67" w:rsidRDefault="00BA30C9">
            <w:r>
              <w:rPr>
                <w:b/>
              </w:rPr>
              <w:t>MAE</w:t>
            </w:r>
          </w:p>
        </w:tc>
        <w:tc>
          <w:tcPr>
            <w:tcW w:w="0" w:type="auto"/>
            <w:tcBorders>
              <w:top w:val="single" w:sz="1" w:space="0" w:color="000000"/>
              <w:left w:val="single" w:sz="1" w:space="0" w:color="000000"/>
              <w:bottom w:val="single" w:sz="1" w:space="0" w:color="000000"/>
            </w:tcBorders>
          </w:tcPr>
          <w:p w14:paraId="7D0BCFF5" w14:textId="77777777" w:rsidR="00031D67" w:rsidRDefault="00BA30C9">
            <w:r>
              <w:rPr>
                <w:b/>
              </w:rPr>
              <w:t>RMSE</w:t>
            </w:r>
          </w:p>
        </w:tc>
        <w:tc>
          <w:tcPr>
            <w:tcW w:w="0" w:type="auto"/>
            <w:tcBorders>
              <w:top w:val="single" w:sz="1" w:space="0" w:color="000000"/>
              <w:left w:val="single" w:sz="1" w:space="0" w:color="000000"/>
              <w:bottom w:val="single" w:sz="1" w:space="0" w:color="000000"/>
            </w:tcBorders>
          </w:tcPr>
          <w:p w14:paraId="4935EEA0" w14:textId="77777777" w:rsidR="00031D67" w:rsidRDefault="00BA30C9">
            <w:r>
              <w:rPr>
                <w:b/>
              </w:rPr>
              <w:t>MAPE (%)</w:t>
            </w:r>
          </w:p>
        </w:tc>
        <w:tc>
          <w:tcPr>
            <w:tcW w:w="0" w:type="auto"/>
            <w:tcBorders>
              <w:top w:val="single" w:sz="1" w:space="0" w:color="000000"/>
              <w:left w:val="single" w:sz="1" w:space="0" w:color="000000"/>
              <w:bottom w:val="single" w:sz="1" w:space="0" w:color="000000"/>
            </w:tcBorders>
          </w:tcPr>
          <w:p w14:paraId="35105D72" w14:textId="77777777" w:rsidR="00031D67" w:rsidRDefault="00BA30C9">
            <w:r>
              <w:rPr>
                <w:b/>
              </w:rPr>
              <w:t>Best Fit</w:t>
            </w:r>
          </w:p>
        </w:tc>
      </w:tr>
      <w:tr w:rsidR="00031D67" w14:paraId="6FCB81B6" w14:textId="77777777">
        <w:trPr>
          <w:cantSplit/>
          <w:tblCellSpacing w:w="0" w:type="dxa"/>
          <w:jc w:val="center"/>
        </w:trPr>
        <w:tc>
          <w:tcPr>
            <w:tcW w:w="0" w:type="auto"/>
            <w:tcBorders>
              <w:top w:val="single" w:sz="1" w:space="0" w:color="000000"/>
              <w:bottom w:val="single" w:sz="1" w:space="0" w:color="000000"/>
            </w:tcBorders>
          </w:tcPr>
          <w:p w14:paraId="08068662" w14:textId="77777777" w:rsidR="00031D67" w:rsidRDefault="00BA30C9">
            <w:r>
              <w:t>Linear Regression</w:t>
            </w:r>
          </w:p>
        </w:tc>
        <w:tc>
          <w:tcPr>
            <w:tcW w:w="0" w:type="auto"/>
            <w:tcBorders>
              <w:top w:val="single" w:sz="1" w:space="0" w:color="000000"/>
              <w:left w:val="single" w:sz="1" w:space="0" w:color="000000"/>
              <w:bottom w:val="single" w:sz="1" w:space="0" w:color="000000"/>
            </w:tcBorders>
          </w:tcPr>
          <w:p w14:paraId="7D5E1A24" w14:textId="77777777" w:rsidR="00031D67" w:rsidRDefault="00BA30C9">
            <w:r>
              <w:t>12.2</w:t>
            </w:r>
          </w:p>
        </w:tc>
        <w:tc>
          <w:tcPr>
            <w:tcW w:w="0" w:type="auto"/>
            <w:tcBorders>
              <w:top w:val="single" w:sz="1" w:space="0" w:color="000000"/>
              <w:left w:val="single" w:sz="1" w:space="0" w:color="000000"/>
              <w:bottom w:val="single" w:sz="1" w:space="0" w:color="000000"/>
            </w:tcBorders>
          </w:tcPr>
          <w:p w14:paraId="1E1DCE4B" w14:textId="77777777" w:rsidR="00031D67" w:rsidRDefault="00BA30C9">
            <w:r>
              <w:t>18.4</w:t>
            </w:r>
          </w:p>
        </w:tc>
        <w:tc>
          <w:tcPr>
            <w:tcW w:w="0" w:type="auto"/>
            <w:tcBorders>
              <w:top w:val="single" w:sz="1" w:space="0" w:color="000000"/>
              <w:left w:val="single" w:sz="1" w:space="0" w:color="000000"/>
              <w:bottom w:val="single" w:sz="1" w:space="0" w:color="000000"/>
            </w:tcBorders>
          </w:tcPr>
          <w:p w14:paraId="787FC66B" w14:textId="77777777" w:rsidR="00031D67" w:rsidRDefault="00BA30C9">
            <w:r>
              <w:t>10.8</w:t>
            </w:r>
          </w:p>
        </w:tc>
        <w:tc>
          <w:tcPr>
            <w:tcW w:w="0" w:type="auto"/>
            <w:tcBorders>
              <w:top w:val="single" w:sz="1" w:space="0" w:color="000000"/>
              <w:left w:val="single" w:sz="1" w:space="0" w:color="000000"/>
              <w:bottom w:val="single" w:sz="1" w:space="0" w:color="000000"/>
            </w:tcBorders>
          </w:tcPr>
          <w:p w14:paraId="58EBF965" w14:textId="77777777" w:rsidR="00031D67" w:rsidRDefault="00BA30C9">
            <w:r>
              <w:rPr>
                <w:rFonts w:eastAsia="Times New Roman" w:hAnsi="Times New Roman" w:cs="Times New Roman"/>
              </w:rPr>
              <w:t>✗</w:t>
            </w:r>
          </w:p>
        </w:tc>
      </w:tr>
      <w:tr w:rsidR="00031D67" w14:paraId="28A7BED5" w14:textId="77777777">
        <w:trPr>
          <w:cantSplit/>
          <w:tblCellSpacing w:w="0" w:type="dxa"/>
          <w:jc w:val="center"/>
        </w:trPr>
        <w:tc>
          <w:tcPr>
            <w:tcW w:w="0" w:type="auto"/>
            <w:tcBorders>
              <w:top w:val="single" w:sz="1" w:space="0" w:color="000000"/>
              <w:bottom w:val="single" w:sz="1" w:space="0" w:color="000000"/>
            </w:tcBorders>
          </w:tcPr>
          <w:p w14:paraId="6D3C2424" w14:textId="77777777" w:rsidR="00031D67" w:rsidRDefault="00BA30C9">
            <w:r>
              <w:lastRenderedPageBreak/>
              <w:t>SVR</w:t>
            </w:r>
          </w:p>
        </w:tc>
        <w:tc>
          <w:tcPr>
            <w:tcW w:w="0" w:type="auto"/>
            <w:tcBorders>
              <w:top w:val="single" w:sz="1" w:space="0" w:color="000000"/>
              <w:left w:val="single" w:sz="1" w:space="0" w:color="000000"/>
              <w:bottom w:val="single" w:sz="1" w:space="0" w:color="000000"/>
            </w:tcBorders>
          </w:tcPr>
          <w:p w14:paraId="37437130" w14:textId="77777777" w:rsidR="00031D67" w:rsidRDefault="00BA30C9">
            <w:r>
              <w:t>9.1</w:t>
            </w:r>
          </w:p>
        </w:tc>
        <w:tc>
          <w:tcPr>
            <w:tcW w:w="0" w:type="auto"/>
            <w:tcBorders>
              <w:top w:val="single" w:sz="1" w:space="0" w:color="000000"/>
              <w:left w:val="single" w:sz="1" w:space="0" w:color="000000"/>
              <w:bottom w:val="single" w:sz="1" w:space="0" w:color="000000"/>
            </w:tcBorders>
          </w:tcPr>
          <w:p w14:paraId="315A1EDF" w14:textId="77777777" w:rsidR="00031D67" w:rsidRDefault="00BA30C9">
            <w:r>
              <w:t>14.2</w:t>
            </w:r>
          </w:p>
        </w:tc>
        <w:tc>
          <w:tcPr>
            <w:tcW w:w="0" w:type="auto"/>
            <w:tcBorders>
              <w:top w:val="single" w:sz="1" w:space="0" w:color="000000"/>
              <w:left w:val="single" w:sz="1" w:space="0" w:color="000000"/>
              <w:bottom w:val="single" w:sz="1" w:space="0" w:color="000000"/>
            </w:tcBorders>
          </w:tcPr>
          <w:p w14:paraId="695F2215" w14:textId="77777777" w:rsidR="00031D67" w:rsidRDefault="00BA30C9">
            <w:r>
              <w:t>8.3</w:t>
            </w:r>
          </w:p>
        </w:tc>
        <w:tc>
          <w:tcPr>
            <w:tcW w:w="0" w:type="auto"/>
            <w:tcBorders>
              <w:top w:val="single" w:sz="1" w:space="0" w:color="000000"/>
              <w:left w:val="single" w:sz="1" w:space="0" w:color="000000"/>
              <w:bottom w:val="single" w:sz="1" w:space="0" w:color="000000"/>
            </w:tcBorders>
          </w:tcPr>
          <w:p w14:paraId="01AB6E01" w14:textId="77777777" w:rsidR="00031D67" w:rsidRDefault="00BA30C9">
            <w:r>
              <w:rPr>
                <w:rFonts w:eastAsia="Times New Roman" w:hAnsi="Times New Roman" w:cs="Times New Roman"/>
              </w:rPr>
              <w:t>✗</w:t>
            </w:r>
          </w:p>
        </w:tc>
      </w:tr>
      <w:tr w:rsidR="00031D67" w14:paraId="1B43E777" w14:textId="77777777">
        <w:trPr>
          <w:cantSplit/>
          <w:tblCellSpacing w:w="0" w:type="dxa"/>
          <w:jc w:val="center"/>
        </w:trPr>
        <w:tc>
          <w:tcPr>
            <w:tcW w:w="0" w:type="auto"/>
            <w:tcBorders>
              <w:top w:val="single" w:sz="1" w:space="0" w:color="000000"/>
              <w:bottom w:val="single" w:sz="1" w:space="0" w:color="000000"/>
            </w:tcBorders>
          </w:tcPr>
          <w:p w14:paraId="4650BA23" w14:textId="77777777" w:rsidR="00031D67" w:rsidRDefault="00BA30C9">
            <w:r>
              <w:rPr>
                <w:b/>
              </w:rPr>
              <w:t>LSTM</w:t>
            </w:r>
            <w:r>
              <w:t xml:space="preserve"> (proposed)</w:t>
            </w:r>
          </w:p>
        </w:tc>
        <w:tc>
          <w:tcPr>
            <w:tcW w:w="0" w:type="auto"/>
            <w:tcBorders>
              <w:top w:val="single" w:sz="1" w:space="0" w:color="000000"/>
              <w:left w:val="single" w:sz="1" w:space="0" w:color="000000"/>
              <w:bottom w:val="single" w:sz="1" w:space="0" w:color="000000"/>
            </w:tcBorders>
          </w:tcPr>
          <w:p w14:paraId="2201A982" w14:textId="77777777" w:rsidR="00031D67" w:rsidRDefault="00BA30C9">
            <w:r>
              <w:rPr>
                <w:b/>
              </w:rPr>
              <w:t>6.8</w:t>
            </w:r>
          </w:p>
        </w:tc>
        <w:tc>
          <w:tcPr>
            <w:tcW w:w="0" w:type="auto"/>
            <w:tcBorders>
              <w:top w:val="single" w:sz="1" w:space="0" w:color="000000"/>
              <w:left w:val="single" w:sz="1" w:space="0" w:color="000000"/>
              <w:bottom w:val="single" w:sz="1" w:space="0" w:color="000000"/>
            </w:tcBorders>
          </w:tcPr>
          <w:p w14:paraId="34D09D12" w14:textId="77777777" w:rsidR="00031D67" w:rsidRDefault="00BA30C9">
            <w:r>
              <w:rPr>
                <w:b/>
              </w:rPr>
              <w:t>10.9</w:t>
            </w:r>
          </w:p>
        </w:tc>
        <w:tc>
          <w:tcPr>
            <w:tcW w:w="0" w:type="auto"/>
            <w:tcBorders>
              <w:top w:val="single" w:sz="1" w:space="0" w:color="000000"/>
              <w:left w:val="single" w:sz="1" w:space="0" w:color="000000"/>
              <w:bottom w:val="single" w:sz="1" w:space="0" w:color="000000"/>
            </w:tcBorders>
          </w:tcPr>
          <w:p w14:paraId="422681E6" w14:textId="77777777" w:rsidR="00031D67" w:rsidRDefault="00BA30C9">
            <w:r>
              <w:rPr>
                <w:b/>
              </w:rPr>
              <w:t>6.7</w:t>
            </w:r>
          </w:p>
        </w:tc>
        <w:tc>
          <w:tcPr>
            <w:tcW w:w="0" w:type="auto"/>
            <w:tcBorders>
              <w:top w:val="single" w:sz="1" w:space="0" w:color="000000"/>
              <w:left w:val="single" w:sz="1" w:space="0" w:color="000000"/>
              <w:bottom w:val="single" w:sz="1" w:space="0" w:color="000000"/>
            </w:tcBorders>
          </w:tcPr>
          <w:p w14:paraId="5A521D89" w14:textId="77777777" w:rsidR="00031D67" w:rsidRDefault="00031D67"/>
        </w:tc>
      </w:tr>
    </w:tbl>
    <w:p w14:paraId="171379C7" w14:textId="77777777" w:rsidR="00031D67" w:rsidRDefault="00031D67"/>
    <w:p w14:paraId="55BBF3AE" w14:textId="6AD226FA" w:rsidR="001966BC" w:rsidRPr="001966BC" w:rsidRDefault="001966BC" w:rsidP="001966BC">
      <w:pPr>
        <w:spacing w:before="240" w:line="271" w:lineRule="auto"/>
        <w:jc w:val="center"/>
        <w:rPr>
          <w:b/>
          <w:sz w:val="24"/>
          <w:szCs w:val="24"/>
        </w:rPr>
      </w:pPr>
      <w:r w:rsidRPr="001966BC">
        <w:rPr>
          <w:b/>
          <w:sz w:val="24"/>
          <w:szCs w:val="24"/>
        </w:rPr>
        <w:t>Table 02: Forecasting Model Comparison Table</w:t>
      </w:r>
    </w:p>
    <w:p w14:paraId="55BF4F85" w14:textId="77777777" w:rsidR="001966BC" w:rsidRDefault="001966BC">
      <w:pPr>
        <w:spacing w:before="240" w:line="271" w:lineRule="auto"/>
        <w:rPr>
          <w:b/>
          <w:sz w:val="33"/>
        </w:rPr>
      </w:pPr>
    </w:p>
    <w:p w14:paraId="61338DF3" w14:textId="1B2E2E9F" w:rsidR="00031D67" w:rsidRDefault="00BA30C9">
      <w:pPr>
        <w:spacing w:before="240" w:line="271" w:lineRule="auto"/>
      </w:pPr>
      <w:r>
        <w:rPr>
          <w:b/>
          <w:sz w:val="33"/>
        </w:rPr>
        <w:t>3. Base Case EOQ Solutions (Pareto Table)</w:t>
      </w:r>
    </w:p>
    <w:tbl>
      <w:tblPr>
        <w:tblStyle w:val="NormalGrid"/>
        <w:tblW w:w="0" w:type="auto"/>
        <w:jc w:val="center"/>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108"/>
        <w:gridCol w:w="2180"/>
        <w:gridCol w:w="1618"/>
        <w:gridCol w:w="2157"/>
        <w:gridCol w:w="2001"/>
      </w:tblGrid>
      <w:tr w:rsidR="00031D67" w14:paraId="56B33D06" w14:textId="77777777">
        <w:trPr>
          <w:cantSplit/>
          <w:tblCellSpacing w:w="0" w:type="dxa"/>
          <w:jc w:val="center"/>
        </w:trPr>
        <w:tc>
          <w:tcPr>
            <w:tcW w:w="0" w:type="auto"/>
            <w:tcBorders>
              <w:top w:val="single" w:sz="1" w:space="0" w:color="000000"/>
              <w:bottom w:val="single" w:sz="1" w:space="0" w:color="000000"/>
            </w:tcBorders>
          </w:tcPr>
          <w:p w14:paraId="11D98822" w14:textId="77777777" w:rsidR="00031D67" w:rsidRDefault="00BA30C9">
            <w:r>
              <w:rPr>
                <w:b/>
              </w:rPr>
              <w:t>Solution</w:t>
            </w:r>
          </w:p>
        </w:tc>
        <w:tc>
          <w:tcPr>
            <w:tcW w:w="0" w:type="auto"/>
            <w:tcBorders>
              <w:top w:val="single" w:sz="1" w:space="0" w:color="000000"/>
              <w:left w:val="single" w:sz="1" w:space="0" w:color="000000"/>
              <w:bottom w:val="single" w:sz="1" w:space="0" w:color="000000"/>
            </w:tcBorders>
          </w:tcPr>
          <w:p w14:paraId="6148468F" w14:textId="77777777" w:rsidR="00031D67" w:rsidRDefault="00BA30C9">
            <w:r>
              <w:rPr>
                <w:b/>
              </w:rPr>
              <w:t>Order Quantity (Q)</w:t>
            </w:r>
          </w:p>
        </w:tc>
        <w:tc>
          <w:tcPr>
            <w:tcW w:w="0" w:type="auto"/>
            <w:tcBorders>
              <w:top w:val="single" w:sz="1" w:space="0" w:color="000000"/>
              <w:left w:val="single" w:sz="1" w:space="0" w:color="000000"/>
              <w:bottom w:val="single" w:sz="1" w:space="0" w:color="000000"/>
            </w:tcBorders>
          </w:tcPr>
          <w:p w14:paraId="2CC7BD5C" w14:textId="77777777" w:rsidR="00031D67" w:rsidRDefault="00BA30C9">
            <w:r>
              <w:rPr>
                <w:b/>
              </w:rPr>
              <w:t>Total Cost ($)</w:t>
            </w:r>
          </w:p>
        </w:tc>
        <w:tc>
          <w:tcPr>
            <w:tcW w:w="0" w:type="auto"/>
            <w:tcBorders>
              <w:top w:val="single" w:sz="1" w:space="0" w:color="000000"/>
              <w:left w:val="single" w:sz="1" w:space="0" w:color="000000"/>
              <w:bottom w:val="single" w:sz="1" w:space="0" w:color="000000"/>
            </w:tcBorders>
          </w:tcPr>
          <w:p w14:paraId="05B82AFF" w14:textId="77777777" w:rsidR="00031D67" w:rsidRDefault="00BA30C9">
            <w:r>
              <w:rPr>
                <w:b/>
              </w:rPr>
              <w:t>Emissions (kg CO</w:t>
            </w:r>
            <w:r>
              <w:rPr>
                <w:b/>
              </w:rPr>
              <w:t>₂</w:t>
            </w:r>
            <w:r>
              <w:rPr>
                <w:b/>
              </w:rPr>
              <w:t>)</w:t>
            </w:r>
          </w:p>
        </w:tc>
        <w:tc>
          <w:tcPr>
            <w:tcW w:w="0" w:type="auto"/>
            <w:tcBorders>
              <w:top w:val="single" w:sz="1" w:space="0" w:color="000000"/>
              <w:left w:val="single" w:sz="1" w:space="0" w:color="000000"/>
              <w:bottom w:val="single" w:sz="1" w:space="0" w:color="000000"/>
            </w:tcBorders>
          </w:tcPr>
          <w:p w14:paraId="05563170" w14:textId="77777777" w:rsidR="00031D67" w:rsidRDefault="00BA30C9">
            <w:r>
              <w:rPr>
                <w:b/>
              </w:rPr>
              <w:t>Service Level (%)</w:t>
            </w:r>
          </w:p>
        </w:tc>
      </w:tr>
      <w:tr w:rsidR="00031D67" w14:paraId="6677B453" w14:textId="77777777">
        <w:trPr>
          <w:cantSplit/>
          <w:tblCellSpacing w:w="0" w:type="dxa"/>
          <w:jc w:val="center"/>
        </w:trPr>
        <w:tc>
          <w:tcPr>
            <w:tcW w:w="0" w:type="auto"/>
            <w:tcBorders>
              <w:top w:val="single" w:sz="1" w:space="0" w:color="000000"/>
              <w:bottom w:val="single" w:sz="1" w:space="0" w:color="000000"/>
            </w:tcBorders>
          </w:tcPr>
          <w:p w14:paraId="3538F6E2" w14:textId="77777777" w:rsidR="00031D67" w:rsidRDefault="00BA30C9">
            <w:r>
              <w:t>A</w:t>
            </w:r>
          </w:p>
        </w:tc>
        <w:tc>
          <w:tcPr>
            <w:tcW w:w="0" w:type="auto"/>
            <w:tcBorders>
              <w:top w:val="single" w:sz="1" w:space="0" w:color="000000"/>
              <w:left w:val="single" w:sz="1" w:space="0" w:color="000000"/>
              <w:bottom w:val="single" w:sz="1" w:space="0" w:color="000000"/>
            </w:tcBorders>
          </w:tcPr>
          <w:p w14:paraId="6563FE90" w14:textId="77777777" w:rsidR="00031D67" w:rsidRDefault="00BA30C9">
            <w:r>
              <w:t>300</w:t>
            </w:r>
          </w:p>
        </w:tc>
        <w:tc>
          <w:tcPr>
            <w:tcW w:w="0" w:type="auto"/>
            <w:tcBorders>
              <w:top w:val="single" w:sz="1" w:space="0" w:color="000000"/>
              <w:left w:val="single" w:sz="1" w:space="0" w:color="000000"/>
              <w:bottom w:val="single" w:sz="1" w:space="0" w:color="000000"/>
            </w:tcBorders>
          </w:tcPr>
          <w:p w14:paraId="4829B892" w14:textId="77777777" w:rsidR="00031D67" w:rsidRDefault="00BA30C9">
            <w:r>
              <w:t>2,450</w:t>
            </w:r>
          </w:p>
        </w:tc>
        <w:tc>
          <w:tcPr>
            <w:tcW w:w="0" w:type="auto"/>
            <w:tcBorders>
              <w:top w:val="single" w:sz="1" w:space="0" w:color="000000"/>
              <w:left w:val="single" w:sz="1" w:space="0" w:color="000000"/>
              <w:bottom w:val="single" w:sz="1" w:space="0" w:color="000000"/>
            </w:tcBorders>
          </w:tcPr>
          <w:p w14:paraId="039AA637" w14:textId="77777777" w:rsidR="00031D67" w:rsidRDefault="00BA30C9">
            <w:r>
              <w:t>370</w:t>
            </w:r>
          </w:p>
        </w:tc>
        <w:tc>
          <w:tcPr>
            <w:tcW w:w="0" w:type="auto"/>
            <w:tcBorders>
              <w:top w:val="single" w:sz="1" w:space="0" w:color="000000"/>
              <w:left w:val="single" w:sz="1" w:space="0" w:color="000000"/>
              <w:bottom w:val="single" w:sz="1" w:space="0" w:color="000000"/>
            </w:tcBorders>
          </w:tcPr>
          <w:p w14:paraId="5EE7320B" w14:textId="77777777" w:rsidR="00031D67" w:rsidRDefault="00BA30C9">
            <w:r>
              <w:t>98.5</w:t>
            </w:r>
          </w:p>
        </w:tc>
      </w:tr>
      <w:tr w:rsidR="00031D67" w14:paraId="7B0793C4" w14:textId="77777777">
        <w:trPr>
          <w:cantSplit/>
          <w:tblCellSpacing w:w="0" w:type="dxa"/>
          <w:jc w:val="center"/>
        </w:trPr>
        <w:tc>
          <w:tcPr>
            <w:tcW w:w="0" w:type="auto"/>
            <w:tcBorders>
              <w:top w:val="single" w:sz="1" w:space="0" w:color="000000"/>
              <w:bottom w:val="single" w:sz="1" w:space="0" w:color="000000"/>
            </w:tcBorders>
          </w:tcPr>
          <w:p w14:paraId="194DB650" w14:textId="77777777" w:rsidR="00031D67" w:rsidRDefault="00BA30C9">
            <w:r>
              <w:t>B</w:t>
            </w:r>
          </w:p>
        </w:tc>
        <w:tc>
          <w:tcPr>
            <w:tcW w:w="0" w:type="auto"/>
            <w:tcBorders>
              <w:top w:val="single" w:sz="1" w:space="0" w:color="000000"/>
              <w:left w:val="single" w:sz="1" w:space="0" w:color="000000"/>
              <w:bottom w:val="single" w:sz="1" w:space="0" w:color="000000"/>
            </w:tcBorders>
          </w:tcPr>
          <w:p w14:paraId="5557CC97" w14:textId="77777777" w:rsidR="00031D67" w:rsidRDefault="00BA30C9">
            <w:r>
              <w:t>250</w:t>
            </w:r>
          </w:p>
        </w:tc>
        <w:tc>
          <w:tcPr>
            <w:tcW w:w="0" w:type="auto"/>
            <w:tcBorders>
              <w:top w:val="single" w:sz="1" w:space="0" w:color="000000"/>
              <w:left w:val="single" w:sz="1" w:space="0" w:color="000000"/>
              <w:bottom w:val="single" w:sz="1" w:space="0" w:color="000000"/>
            </w:tcBorders>
          </w:tcPr>
          <w:p w14:paraId="2450992B" w14:textId="77777777" w:rsidR="00031D67" w:rsidRDefault="00BA30C9">
            <w:r>
              <w:t>2,600</w:t>
            </w:r>
          </w:p>
        </w:tc>
        <w:tc>
          <w:tcPr>
            <w:tcW w:w="0" w:type="auto"/>
            <w:tcBorders>
              <w:top w:val="single" w:sz="1" w:space="0" w:color="000000"/>
              <w:left w:val="single" w:sz="1" w:space="0" w:color="000000"/>
              <w:bottom w:val="single" w:sz="1" w:space="0" w:color="000000"/>
            </w:tcBorders>
          </w:tcPr>
          <w:p w14:paraId="4310D811" w14:textId="77777777" w:rsidR="00031D67" w:rsidRDefault="00BA30C9">
            <w:r>
              <w:t>290</w:t>
            </w:r>
          </w:p>
        </w:tc>
        <w:tc>
          <w:tcPr>
            <w:tcW w:w="0" w:type="auto"/>
            <w:tcBorders>
              <w:top w:val="single" w:sz="1" w:space="0" w:color="000000"/>
              <w:left w:val="single" w:sz="1" w:space="0" w:color="000000"/>
              <w:bottom w:val="single" w:sz="1" w:space="0" w:color="000000"/>
            </w:tcBorders>
          </w:tcPr>
          <w:p w14:paraId="783DEF05" w14:textId="77777777" w:rsidR="00031D67" w:rsidRDefault="00BA30C9">
            <w:r>
              <w:t>99.2</w:t>
            </w:r>
          </w:p>
        </w:tc>
      </w:tr>
      <w:tr w:rsidR="00031D67" w14:paraId="55C05FC1" w14:textId="77777777">
        <w:trPr>
          <w:cantSplit/>
          <w:tblCellSpacing w:w="0" w:type="dxa"/>
          <w:jc w:val="center"/>
        </w:trPr>
        <w:tc>
          <w:tcPr>
            <w:tcW w:w="0" w:type="auto"/>
            <w:tcBorders>
              <w:top w:val="single" w:sz="1" w:space="0" w:color="000000"/>
              <w:bottom w:val="single" w:sz="1" w:space="0" w:color="000000"/>
            </w:tcBorders>
          </w:tcPr>
          <w:p w14:paraId="6CBCB744" w14:textId="77777777" w:rsidR="00031D67" w:rsidRDefault="00BA30C9">
            <w:r>
              <w:t>C</w:t>
            </w:r>
          </w:p>
        </w:tc>
        <w:tc>
          <w:tcPr>
            <w:tcW w:w="0" w:type="auto"/>
            <w:tcBorders>
              <w:top w:val="single" w:sz="1" w:space="0" w:color="000000"/>
              <w:left w:val="single" w:sz="1" w:space="0" w:color="000000"/>
              <w:bottom w:val="single" w:sz="1" w:space="0" w:color="000000"/>
            </w:tcBorders>
          </w:tcPr>
          <w:p w14:paraId="1ECFAFA7" w14:textId="77777777" w:rsidR="00031D67" w:rsidRDefault="00BA30C9">
            <w:r>
              <w:t>180</w:t>
            </w:r>
          </w:p>
        </w:tc>
        <w:tc>
          <w:tcPr>
            <w:tcW w:w="0" w:type="auto"/>
            <w:tcBorders>
              <w:top w:val="single" w:sz="1" w:space="0" w:color="000000"/>
              <w:left w:val="single" w:sz="1" w:space="0" w:color="000000"/>
              <w:bottom w:val="single" w:sz="1" w:space="0" w:color="000000"/>
            </w:tcBorders>
          </w:tcPr>
          <w:p w14:paraId="20926E90" w14:textId="77777777" w:rsidR="00031D67" w:rsidRDefault="00BA30C9">
            <w:r>
              <w:t>2,820</w:t>
            </w:r>
          </w:p>
        </w:tc>
        <w:tc>
          <w:tcPr>
            <w:tcW w:w="0" w:type="auto"/>
            <w:tcBorders>
              <w:top w:val="single" w:sz="1" w:space="0" w:color="000000"/>
              <w:left w:val="single" w:sz="1" w:space="0" w:color="000000"/>
              <w:bottom w:val="single" w:sz="1" w:space="0" w:color="000000"/>
            </w:tcBorders>
          </w:tcPr>
          <w:p w14:paraId="2CA85C6F" w14:textId="77777777" w:rsidR="00031D67" w:rsidRDefault="00BA30C9">
            <w:r>
              <w:t>220</w:t>
            </w:r>
          </w:p>
        </w:tc>
        <w:tc>
          <w:tcPr>
            <w:tcW w:w="0" w:type="auto"/>
            <w:tcBorders>
              <w:top w:val="single" w:sz="1" w:space="0" w:color="000000"/>
              <w:left w:val="single" w:sz="1" w:space="0" w:color="000000"/>
              <w:bottom w:val="single" w:sz="1" w:space="0" w:color="000000"/>
            </w:tcBorders>
          </w:tcPr>
          <w:p w14:paraId="51EEEB29" w14:textId="77777777" w:rsidR="00031D67" w:rsidRDefault="00BA30C9">
            <w:r>
              <w:t>99.5</w:t>
            </w:r>
          </w:p>
        </w:tc>
      </w:tr>
    </w:tbl>
    <w:p w14:paraId="62861E88" w14:textId="635D255A" w:rsidR="001966BC" w:rsidRPr="001966BC" w:rsidRDefault="001966BC" w:rsidP="001966BC">
      <w:pPr>
        <w:spacing w:before="240" w:line="271" w:lineRule="auto"/>
        <w:jc w:val="center"/>
        <w:rPr>
          <w:b/>
          <w:sz w:val="24"/>
          <w:szCs w:val="24"/>
        </w:rPr>
      </w:pPr>
      <w:r w:rsidRPr="001966BC">
        <w:rPr>
          <w:b/>
          <w:sz w:val="24"/>
          <w:szCs w:val="24"/>
        </w:rPr>
        <w:t>Table 0</w:t>
      </w:r>
      <w:r>
        <w:rPr>
          <w:b/>
          <w:sz w:val="24"/>
          <w:szCs w:val="24"/>
        </w:rPr>
        <w:t>3</w:t>
      </w:r>
      <w:r w:rsidRPr="001966BC">
        <w:rPr>
          <w:b/>
          <w:sz w:val="24"/>
          <w:szCs w:val="24"/>
        </w:rPr>
        <w:t>: Base Case EOQ Solutions (Pareto Table)</w:t>
      </w:r>
    </w:p>
    <w:p w14:paraId="4E4E37A6" w14:textId="77777777" w:rsidR="001966BC" w:rsidRDefault="001966BC" w:rsidP="001966BC">
      <w:pPr>
        <w:spacing w:before="240" w:line="271" w:lineRule="auto"/>
        <w:rPr>
          <w:b/>
          <w:sz w:val="33"/>
        </w:rPr>
      </w:pPr>
    </w:p>
    <w:p w14:paraId="6BC31C87" w14:textId="77777777" w:rsidR="00031D67" w:rsidRDefault="00BA30C9">
      <w:pPr>
        <w:spacing w:before="240" w:line="271" w:lineRule="auto"/>
      </w:pPr>
      <w:r>
        <w:rPr>
          <w:b/>
          <w:sz w:val="33"/>
        </w:rPr>
        <w:t>4. Sensitivity Analysis Summary Table</w:t>
      </w:r>
    </w:p>
    <w:tbl>
      <w:tblPr>
        <w:tblStyle w:val="NormalGrid"/>
        <w:tblW w:w="0" w:type="auto"/>
        <w:jc w:val="center"/>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920"/>
        <w:gridCol w:w="1044"/>
        <w:gridCol w:w="1331"/>
        <w:gridCol w:w="1618"/>
        <w:gridCol w:w="2162"/>
      </w:tblGrid>
      <w:tr w:rsidR="00031D67" w14:paraId="7A723F59" w14:textId="77777777">
        <w:trPr>
          <w:cantSplit/>
          <w:tblCellSpacing w:w="0" w:type="dxa"/>
          <w:jc w:val="center"/>
        </w:trPr>
        <w:tc>
          <w:tcPr>
            <w:tcW w:w="0" w:type="auto"/>
            <w:tcBorders>
              <w:top w:val="single" w:sz="1" w:space="0" w:color="000000"/>
              <w:bottom w:val="single" w:sz="1" w:space="0" w:color="000000"/>
            </w:tcBorders>
          </w:tcPr>
          <w:p w14:paraId="372A65BF" w14:textId="77777777" w:rsidR="00031D67" w:rsidRDefault="00BA30C9">
            <w:r>
              <w:rPr>
                <w:b/>
              </w:rPr>
              <w:t>Parameter</w:t>
            </w:r>
          </w:p>
        </w:tc>
        <w:tc>
          <w:tcPr>
            <w:tcW w:w="0" w:type="auto"/>
            <w:tcBorders>
              <w:top w:val="single" w:sz="1" w:space="0" w:color="000000"/>
              <w:left w:val="single" w:sz="1" w:space="0" w:color="000000"/>
              <w:bottom w:val="single" w:sz="1" w:space="0" w:color="000000"/>
            </w:tcBorders>
          </w:tcPr>
          <w:p w14:paraId="708E3038" w14:textId="77777777" w:rsidR="00031D67" w:rsidRDefault="00BA30C9">
            <w:r>
              <w:rPr>
                <w:b/>
              </w:rPr>
              <w:t>Change</w:t>
            </w:r>
          </w:p>
        </w:tc>
        <w:tc>
          <w:tcPr>
            <w:tcW w:w="0" w:type="auto"/>
            <w:tcBorders>
              <w:top w:val="single" w:sz="1" w:space="0" w:color="000000"/>
              <w:left w:val="single" w:sz="1" w:space="0" w:color="000000"/>
              <w:bottom w:val="single" w:sz="1" w:space="0" w:color="000000"/>
            </w:tcBorders>
          </w:tcPr>
          <w:p w14:paraId="19DCBA66" w14:textId="77777777" w:rsidR="00031D67" w:rsidRDefault="00BA30C9">
            <w:r>
              <w:rPr>
                <w:b/>
              </w:rPr>
              <w:t>Optimal Q</w:t>
            </w:r>
          </w:p>
        </w:tc>
        <w:tc>
          <w:tcPr>
            <w:tcW w:w="0" w:type="auto"/>
            <w:tcBorders>
              <w:top w:val="single" w:sz="1" w:space="0" w:color="000000"/>
              <w:left w:val="single" w:sz="1" w:space="0" w:color="000000"/>
              <w:bottom w:val="single" w:sz="1" w:space="0" w:color="000000"/>
            </w:tcBorders>
          </w:tcPr>
          <w:p w14:paraId="43E79DD1" w14:textId="77777777" w:rsidR="00031D67" w:rsidRDefault="00BA30C9">
            <w:r>
              <w:rPr>
                <w:b/>
              </w:rPr>
              <w:t>Total Cost ($)</w:t>
            </w:r>
          </w:p>
        </w:tc>
        <w:tc>
          <w:tcPr>
            <w:tcW w:w="0" w:type="auto"/>
            <w:tcBorders>
              <w:top w:val="single" w:sz="1" w:space="0" w:color="000000"/>
              <w:left w:val="single" w:sz="1" w:space="0" w:color="000000"/>
              <w:bottom w:val="single" w:sz="1" w:space="0" w:color="000000"/>
            </w:tcBorders>
          </w:tcPr>
          <w:p w14:paraId="279E2EB3" w14:textId="77777777" w:rsidR="00031D67" w:rsidRDefault="00BA30C9">
            <w:r>
              <w:rPr>
                <w:b/>
              </w:rPr>
              <w:t>Emissions (kg CO</w:t>
            </w:r>
            <w:r>
              <w:rPr>
                <w:b/>
              </w:rPr>
              <w:t>₂</w:t>
            </w:r>
            <w:r>
              <w:rPr>
                <w:b/>
              </w:rPr>
              <w:t>)</w:t>
            </w:r>
          </w:p>
        </w:tc>
      </w:tr>
      <w:tr w:rsidR="00031D67" w14:paraId="723D46B6" w14:textId="77777777">
        <w:trPr>
          <w:cantSplit/>
          <w:tblCellSpacing w:w="0" w:type="dxa"/>
          <w:jc w:val="center"/>
        </w:trPr>
        <w:tc>
          <w:tcPr>
            <w:tcW w:w="0" w:type="auto"/>
            <w:tcBorders>
              <w:top w:val="single" w:sz="1" w:space="0" w:color="000000"/>
              <w:bottom w:val="single" w:sz="1" w:space="0" w:color="000000"/>
            </w:tcBorders>
          </w:tcPr>
          <w:p w14:paraId="0BF52DA0" w14:textId="77777777" w:rsidR="00031D67" w:rsidRDefault="00BA30C9">
            <w:r>
              <w:t xml:space="preserve">Carbon price </w:t>
            </w:r>
            <m:oMath>
              <m:sSub>
                <m:sSubPr>
                  <m:ctrlPr>
                    <w:rPr>
                      <w:rFonts w:ascii="Cambria Math" w:hAnsi="Cambria Math"/>
                    </w:rPr>
                  </m:ctrlPr>
                </m:sSubPr>
                <m:e>
                  <m:r>
                    <w:rPr>
                      <w:rFonts w:ascii="Cambria Math" w:hAnsi="Cambria Math"/>
                    </w:rPr>
                    <m:t>P</m:t>
                  </m:r>
                </m:e>
                <m:sub>
                  <m:r>
                    <w:rPr>
                      <w:rFonts w:ascii="Cambria Math" w:hAnsi="Cambria Math"/>
                    </w:rPr>
                    <m:t>e</m:t>
                  </m:r>
                </m:sub>
              </m:sSub>
            </m:oMath>
          </w:p>
        </w:tc>
        <w:tc>
          <w:tcPr>
            <w:tcW w:w="0" w:type="auto"/>
            <w:tcBorders>
              <w:top w:val="single" w:sz="1" w:space="0" w:color="000000"/>
              <w:left w:val="single" w:sz="1" w:space="0" w:color="000000"/>
              <w:bottom w:val="single" w:sz="1" w:space="0" w:color="000000"/>
            </w:tcBorders>
          </w:tcPr>
          <w:p w14:paraId="57E40301" w14:textId="77777777" w:rsidR="00031D67" w:rsidRDefault="00BA30C9">
            <w:r>
              <w:t>+20%</w:t>
            </w:r>
          </w:p>
        </w:tc>
        <w:tc>
          <w:tcPr>
            <w:tcW w:w="0" w:type="auto"/>
            <w:tcBorders>
              <w:top w:val="single" w:sz="1" w:space="0" w:color="000000"/>
              <w:left w:val="single" w:sz="1" w:space="0" w:color="000000"/>
              <w:bottom w:val="single" w:sz="1" w:space="0" w:color="000000"/>
            </w:tcBorders>
          </w:tcPr>
          <w:p w14:paraId="615419D3" w14:textId="77777777" w:rsidR="00031D67" w:rsidRDefault="00BA30C9">
            <w:r>
              <w:t>260</w:t>
            </w:r>
          </w:p>
        </w:tc>
        <w:tc>
          <w:tcPr>
            <w:tcW w:w="0" w:type="auto"/>
            <w:tcBorders>
              <w:top w:val="single" w:sz="1" w:space="0" w:color="000000"/>
              <w:left w:val="single" w:sz="1" w:space="0" w:color="000000"/>
              <w:bottom w:val="single" w:sz="1" w:space="0" w:color="000000"/>
            </w:tcBorders>
          </w:tcPr>
          <w:p w14:paraId="726F9309" w14:textId="77777777" w:rsidR="00031D67" w:rsidRDefault="00BA30C9">
            <w:r>
              <w:t>2,540</w:t>
            </w:r>
          </w:p>
        </w:tc>
        <w:tc>
          <w:tcPr>
            <w:tcW w:w="0" w:type="auto"/>
            <w:tcBorders>
              <w:top w:val="single" w:sz="1" w:space="0" w:color="000000"/>
              <w:left w:val="single" w:sz="1" w:space="0" w:color="000000"/>
              <w:bottom w:val="single" w:sz="1" w:space="0" w:color="000000"/>
            </w:tcBorders>
          </w:tcPr>
          <w:p w14:paraId="3D68A2E0" w14:textId="77777777" w:rsidR="00031D67" w:rsidRDefault="00BA30C9">
            <w:r>
              <w:t>250</w:t>
            </w:r>
          </w:p>
        </w:tc>
      </w:tr>
      <w:tr w:rsidR="00031D67" w14:paraId="107F2C72" w14:textId="77777777">
        <w:trPr>
          <w:cantSplit/>
          <w:tblCellSpacing w:w="0" w:type="dxa"/>
          <w:jc w:val="center"/>
        </w:trPr>
        <w:tc>
          <w:tcPr>
            <w:tcW w:w="0" w:type="auto"/>
            <w:tcBorders>
              <w:top w:val="single" w:sz="1" w:space="0" w:color="000000"/>
              <w:bottom w:val="single" w:sz="1" w:space="0" w:color="000000"/>
            </w:tcBorders>
          </w:tcPr>
          <w:p w14:paraId="33CE9E11" w14:textId="77777777" w:rsidR="00031D67" w:rsidRDefault="00BA30C9">
            <w:r>
              <w:t xml:space="preserve">Holding cost </w:t>
            </w:r>
            <m:oMath>
              <m:r>
                <w:rPr>
                  <w:rFonts w:ascii="Cambria Math" w:hAnsi="Cambria Math"/>
                </w:rPr>
                <m:t>H</m:t>
              </m:r>
            </m:oMath>
          </w:p>
        </w:tc>
        <w:tc>
          <w:tcPr>
            <w:tcW w:w="0" w:type="auto"/>
            <w:tcBorders>
              <w:top w:val="single" w:sz="1" w:space="0" w:color="000000"/>
              <w:left w:val="single" w:sz="1" w:space="0" w:color="000000"/>
              <w:bottom w:val="single" w:sz="1" w:space="0" w:color="000000"/>
            </w:tcBorders>
          </w:tcPr>
          <w:p w14:paraId="1892C606" w14:textId="77777777" w:rsidR="00031D67" w:rsidRDefault="00BA30C9">
            <w:r>
              <w:t>+20%</w:t>
            </w:r>
          </w:p>
        </w:tc>
        <w:tc>
          <w:tcPr>
            <w:tcW w:w="0" w:type="auto"/>
            <w:tcBorders>
              <w:top w:val="single" w:sz="1" w:space="0" w:color="000000"/>
              <w:left w:val="single" w:sz="1" w:space="0" w:color="000000"/>
              <w:bottom w:val="single" w:sz="1" w:space="0" w:color="000000"/>
            </w:tcBorders>
          </w:tcPr>
          <w:p w14:paraId="51C39178" w14:textId="77777777" w:rsidR="00031D67" w:rsidRDefault="00BA30C9">
            <w:r>
              <w:t>270</w:t>
            </w:r>
          </w:p>
        </w:tc>
        <w:tc>
          <w:tcPr>
            <w:tcW w:w="0" w:type="auto"/>
            <w:tcBorders>
              <w:top w:val="single" w:sz="1" w:space="0" w:color="000000"/>
              <w:left w:val="single" w:sz="1" w:space="0" w:color="000000"/>
              <w:bottom w:val="single" w:sz="1" w:space="0" w:color="000000"/>
            </w:tcBorders>
          </w:tcPr>
          <w:p w14:paraId="56B098C3" w14:textId="77777777" w:rsidR="00031D67" w:rsidRDefault="00BA30C9">
            <w:r>
              <w:t>2,580</w:t>
            </w:r>
          </w:p>
        </w:tc>
        <w:tc>
          <w:tcPr>
            <w:tcW w:w="0" w:type="auto"/>
            <w:tcBorders>
              <w:top w:val="single" w:sz="1" w:space="0" w:color="000000"/>
              <w:left w:val="single" w:sz="1" w:space="0" w:color="000000"/>
              <w:bottom w:val="single" w:sz="1" w:space="0" w:color="000000"/>
            </w:tcBorders>
          </w:tcPr>
          <w:p w14:paraId="4FE14775" w14:textId="77777777" w:rsidR="00031D67" w:rsidRDefault="00BA30C9">
            <w:r>
              <w:t>270</w:t>
            </w:r>
          </w:p>
        </w:tc>
      </w:tr>
      <w:tr w:rsidR="00031D67" w14:paraId="0A214431" w14:textId="77777777">
        <w:trPr>
          <w:cantSplit/>
          <w:tblCellSpacing w:w="0" w:type="dxa"/>
          <w:jc w:val="center"/>
        </w:trPr>
        <w:tc>
          <w:tcPr>
            <w:tcW w:w="0" w:type="auto"/>
            <w:tcBorders>
              <w:top w:val="single" w:sz="1" w:space="0" w:color="000000"/>
              <w:bottom w:val="single" w:sz="1" w:space="0" w:color="000000"/>
            </w:tcBorders>
          </w:tcPr>
          <w:p w14:paraId="79D8DC30" w14:textId="77777777" w:rsidR="00031D67" w:rsidRDefault="00BA30C9">
            <w:r>
              <w:t>Demand volatility</w:t>
            </w:r>
          </w:p>
        </w:tc>
        <w:tc>
          <w:tcPr>
            <w:tcW w:w="0" w:type="auto"/>
            <w:tcBorders>
              <w:top w:val="single" w:sz="1" w:space="0" w:color="000000"/>
              <w:left w:val="single" w:sz="1" w:space="0" w:color="000000"/>
              <w:bottom w:val="single" w:sz="1" w:space="0" w:color="000000"/>
            </w:tcBorders>
          </w:tcPr>
          <w:p w14:paraId="0F842848" w14:textId="77777777" w:rsidR="00031D67" w:rsidRDefault="00BA30C9">
            <w:r>
              <w:t>High</w:t>
            </w:r>
          </w:p>
        </w:tc>
        <w:tc>
          <w:tcPr>
            <w:tcW w:w="0" w:type="auto"/>
            <w:tcBorders>
              <w:top w:val="single" w:sz="1" w:space="0" w:color="000000"/>
              <w:left w:val="single" w:sz="1" w:space="0" w:color="000000"/>
              <w:bottom w:val="single" w:sz="1" w:space="0" w:color="000000"/>
            </w:tcBorders>
          </w:tcPr>
          <w:p w14:paraId="5C0A1BF6" w14:textId="77777777" w:rsidR="00031D67" w:rsidRDefault="00BA30C9">
            <w:r>
              <w:t>220</w:t>
            </w:r>
          </w:p>
        </w:tc>
        <w:tc>
          <w:tcPr>
            <w:tcW w:w="0" w:type="auto"/>
            <w:tcBorders>
              <w:top w:val="single" w:sz="1" w:space="0" w:color="000000"/>
              <w:left w:val="single" w:sz="1" w:space="0" w:color="000000"/>
              <w:bottom w:val="single" w:sz="1" w:space="0" w:color="000000"/>
            </w:tcBorders>
          </w:tcPr>
          <w:p w14:paraId="0ADF82FD" w14:textId="77777777" w:rsidR="00031D67" w:rsidRDefault="00BA30C9">
            <w:r>
              <w:t>2,710</w:t>
            </w:r>
          </w:p>
        </w:tc>
        <w:tc>
          <w:tcPr>
            <w:tcW w:w="0" w:type="auto"/>
            <w:tcBorders>
              <w:top w:val="single" w:sz="1" w:space="0" w:color="000000"/>
              <w:left w:val="single" w:sz="1" w:space="0" w:color="000000"/>
              <w:bottom w:val="single" w:sz="1" w:space="0" w:color="000000"/>
            </w:tcBorders>
          </w:tcPr>
          <w:p w14:paraId="3BB0D67D" w14:textId="77777777" w:rsidR="00031D67" w:rsidRDefault="00BA30C9">
            <w:r>
              <w:t>310</w:t>
            </w:r>
          </w:p>
        </w:tc>
      </w:tr>
    </w:tbl>
    <w:p w14:paraId="446A5095" w14:textId="45F9CF2D" w:rsidR="001966BC" w:rsidRPr="001966BC" w:rsidRDefault="001966BC" w:rsidP="001966BC">
      <w:pPr>
        <w:spacing w:before="240" w:line="271" w:lineRule="auto"/>
        <w:jc w:val="center"/>
        <w:rPr>
          <w:b/>
          <w:sz w:val="24"/>
          <w:szCs w:val="24"/>
        </w:rPr>
      </w:pPr>
      <w:r w:rsidRPr="001966BC">
        <w:rPr>
          <w:b/>
          <w:sz w:val="24"/>
          <w:szCs w:val="24"/>
        </w:rPr>
        <w:t xml:space="preserve">Table </w:t>
      </w:r>
      <w:proofErr w:type="gramStart"/>
      <w:r w:rsidRPr="001966BC">
        <w:rPr>
          <w:b/>
          <w:sz w:val="24"/>
          <w:szCs w:val="24"/>
        </w:rPr>
        <w:t>04 :Sensitivity</w:t>
      </w:r>
      <w:proofErr w:type="gramEnd"/>
      <w:r w:rsidRPr="001966BC">
        <w:rPr>
          <w:b/>
          <w:sz w:val="24"/>
          <w:szCs w:val="24"/>
        </w:rPr>
        <w:t xml:space="preserve"> Analysis Summary Table</w:t>
      </w:r>
    </w:p>
    <w:p w14:paraId="13AECA97" w14:textId="77777777" w:rsidR="001966BC" w:rsidRDefault="001966BC" w:rsidP="001966BC">
      <w:pPr>
        <w:spacing w:before="240" w:line="271" w:lineRule="auto"/>
        <w:jc w:val="center"/>
        <w:rPr>
          <w:b/>
          <w:sz w:val="42"/>
        </w:rPr>
      </w:pPr>
    </w:p>
    <w:p w14:paraId="3DA12289" w14:textId="77777777" w:rsidR="00D1625C" w:rsidRDefault="00D1625C" w:rsidP="00D1625C">
      <w:pPr>
        <w:spacing w:before="240" w:line="271" w:lineRule="auto"/>
        <w:rPr>
          <w:b/>
          <w:sz w:val="42"/>
        </w:rPr>
      </w:pPr>
    </w:p>
    <w:p w14:paraId="2361D4AC" w14:textId="334DEE67" w:rsidR="00D1625C" w:rsidRDefault="00D1625C" w:rsidP="00D1625C">
      <w:pPr>
        <w:spacing w:before="240" w:line="271" w:lineRule="auto"/>
        <w:rPr>
          <w:b/>
          <w:sz w:val="42"/>
        </w:rPr>
      </w:pPr>
      <w:r>
        <w:rPr>
          <w:b/>
          <w:sz w:val="42"/>
        </w:rPr>
        <w:t>7.</w:t>
      </w:r>
      <w:r w:rsidRPr="00D1625C">
        <w:rPr>
          <w:b/>
          <w:sz w:val="42"/>
        </w:rPr>
        <w:t>Advanced Insights into the Smart EOQ Framework for Sustainable Supply Chains</w:t>
      </w:r>
    </w:p>
    <w:p w14:paraId="11993B2A" w14:textId="11EA5F21" w:rsidR="00D1625C" w:rsidRDefault="00D1625C" w:rsidP="00D1625C">
      <w:pPr>
        <w:spacing w:before="240" w:line="271" w:lineRule="auto"/>
      </w:pPr>
      <w:r>
        <w:rPr>
          <w:b/>
          <w:sz w:val="42"/>
        </w:rPr>
        <w:t>7.1 Evolution of Ordering Cost Over Time</w:t>
      </w:r>
    </w:p>
    <w:p w14:paraId="3E7F7933" w14:textId="77777777" w:rsidR="00D1625C" w:rsidRDefault="00D1625C" w:rsidP="00D1625C">
      <w:pPr>
        <w:spacing w:after="220"/>
      </w:pPr>
      <w:r>
        <w:lastRenderedPageBreak/>
        <w:t xml:space="preserve">In traditional EOQ models, the ordering cost is fixed and does not vary with time. However, in </w:t>
      </w:r>
      <w:r>
        <w:rPr>
          <w:b/>
        </w:rPr>
        <w:t>Smart EOQ models</w:t>
      </w:r>
      <w:r>
        <w:t>, ordering costs can change dynamically due to factors such as inflation, fuel price fluctuations, supplier capacity constraints, or policy changes (e.g., carbon taxes).</w:t>
      </w:r>
    </w:p>
    <w:p w14:paraId="3B59632F" w14:textId="77777777" w:rsidR="00D1625C" w:rsidRDefault="00D1625C" w:rsidP="00D1625C">
      <w:pPr>
        <w:spacing w:after="220"/>
      </w:pPr>
      <w:r>
        <w:t xml:space="preserve">For example, if the base ordering cost per order is $200, and logistics costs increase by 5% annually due to fuel price hikes, the future ordering cost in year </w:t>
      </w:r>
      <m:oMath>
        <m:r>
          <w:rPr>
            <w:rFonts w:ascii="Cambria Math" w:hAnsi="Cambria Math"/>
          </w:rPr>
          <m:t>t</m:t>
        </m:r>
      </m:oMath>
      <w:r>
        <w:t xml:space="preserve"> can be modeled as:</w:t>
      </w:r>
    </w:p>
    <w:p w14:paraId="6F3ECAC1" w14:textId="77777777" w:rsidR="00D1625C" w:rsidRDefault="00250C3F" w:rsidP="00D1625C">
      <w:pPr>
        <w:spacing w:after="220"/>
      </w:pPr>
      <m:oMathPara>
        <m:oMath>
          <m:sSub>
            <m:sSubPr>
              <m:ctrlPr>
                <w:rPr>
                  <w:rFonts w:ascii="Cambria Math" w:hAnsi="Cambria Math"/>
                </w:rPr>
              </m:ctrlPr>
            </m:sSubPr>
            <m:e>
              <m:r>
                <w:rPr>
                  <w:rFonts w:ascii="Cambria Math" w:hAnsi="Cambria Math"/>
                </w:rPr>
                <m:t>C</m:t>
              </m:r>
            </m:e>
            <m:sub>
              <m:r>
                <w:rPr>
                  <w:rFonts w:ascii="Cambria Math" w:hAnsi="Cambria Math"/>
                </w:rPr>
                <m:t>o</m:t>
              </m:r>
            </m:sub>
          </m:sSub>
          <m:r>
            <m:rPr>
              <m:sty m:val="p"/>
            </m:rPr>
            <w:rPr>
              <w:rFonts w:ascii="Cambria Math" w:hAnsi="Cambria Math"/>
            </w:rPr>
            <m:t>(</m:t>
          </m:r>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o</m:t>
              </m:r>
            </m:sub>
          </m:sSub>
          <m:r>
            <m:rPr>
              <m:sty m:val="p"/>
            </m:rPr>
            <w:rPr>
              <w:rFonts w:ascii="Cambria Math" w:hAnsi="Cambria Math"/>
            </w:rPr>
            <m:t>(0)×(1+</m:t>
          </m:r>
          <m:r>
            <w:rPr>
              <w:rFonts w:ascii="Cambria Math" w:hAnsi="Cambria Math"/>
            </w:rPr>
            <m:t>r</m:t>
          </m:r>
          <m:sSup>
            <m:sSupPr>
              <m:ctrlPr>
                <w:rPr>
                  <w:rFonts w:ascii="Cambria Math" w:hAnsi="Cambria Math"/>
                </w:rPr>
              </m:ctrlPr>
            </m:sSupPr>
            <m:e>
              <m:r>
                <m:rPr>
                  <m:sty m:val="p"/>
                </m:rPr>
                <w:rPr>
                  <w:rFonts w:ascii="Cambria Math" w:hAnsi="Cambria Math"/>
                </w:rPr>
                <m:t>)</m:t>
              </m:r>
            </m:e>
            <m:sup>
              <m:r>
                <w:rPr>
                  <w:rFonts w:ascii="Cambria Math" w:hAnsi="Cambria Math"/>
                </w:rPr>
                <m:t>t</m:t>
              </m:r>
            </m:sup>
          </m:sSup>
        </m:oMath>
      </m:oMathPara>
    </w:p>
    <w:p w14:paraId="56F52F4B" w14:textId="77777777" w:rsidR="00D1625C" w:rsidRDefault="00D1625C" w:rsidP="00D1625C">
      <w:pPr>
        <w:spacing w:after="220"/>
      </w:pPr>
      <w:r>
        <w:t xml:space="preserve">where </w:t>
      </w:r>
      <m:oMath>
        <m:r>
          <w:rPr>
            <w:rFonts w:ascii="Cambria Math" w:hAnsi="Cambria Math"/>
          </w:rPr>
          <m:t>r</m:t>
        </m:r>
      </m:oMath>
      <w:r>
        <w:t xml:space="preserve"> is the annual cost growth rate (e.g., 0.05).</w:t>
      </w:r>
    </w:p>
    <w:p w14:paraId="172440B7" w14:textId="77777777" w:rsidR="00D1625C" w:rsidRDefault="00D1625C" w:rsidP="00D1625C">
      <w:pPr>
        <w:spacing w:after="220"/>
      </w:pPr>
      <w:r>
        <w:rPr>
          <w:b/>
        </w:rPr>
        <w:t>Instance:</w:t>
      </w:r>
      <w:r>
        <w:t xml:space="preserve"> In a real case, a European automotive parts distributor observed a 15% rise in transport-related ordering costs over five years due to stricter emission regulations and increased driver wages. Adjusting the EOQ model to account for this change led to a decrease in order frequency and an increase in lot sizes to reduce total costs.</w:t>
      </w:r>
    </w:p>
    <w:p w14:paraId="1FC6C121" w14:textId="54E54371" w:rsidR="00D1625C" w:rsidRDefault="00D1625C" w:rsidP="00D1625C">
      <w:pPr>
        <w:spacing w:before="240" w:line="271" w:lineRule="auto"/>
      </w:pPr>
      <w:r>
        <w:rPr>
          <w:b/>
          <w:sz w:val="42"/>
        </w:rPr>
        <w:t>7.2 Data Synchronization Among Cost, Demand, and Emissions</w:t>
      </w:r>
    </w:p>
    <w:p w14:paraId="26EBDB44" w14:textId="77777777" w:rsidR="00D1625C" w:rsidRDefault="00D1625C" w:rsidP="00D1625C">
      <w:pPr>
        <w:spacing w:after="220"/>
      </w:pPr>
      <w:r>
        <w:t xml:space="preserve">Smart EOQ models integrate </w:t>
      </w:r>
      <w:r>
        <w:rPr>
          <w:b/>
        </w:rPr>
        <w:t>AI-powered demand forecasts</w:t>
      </w:r>
      <w:r>
        <w:t>, real-time cost evaluation, and carbon emission calculations into a single decision-making system.</w:t>
      </w:r>
    </w:p>
    <w:p w14:paraId="41479618" w14:textId="77777777" w:rsidR="00D1625C" w:rsidRDefault="00D1625C" w:rsidP="00D1625C">
      <w:pPr>
        <w:numPr>
          <w:ilvl w:val="0"/>
          <w:numId w:val="34"/>
        </w:numPr>
      </w:pPr>
      <w:r>
        <w:rPr>
          <w:b/>
        </w:rPr>
        <w:t>Demand forecasts</w:t>
      </w:r>
      <w:r>
        <w:t xml:space="preserve"> are updated using machine learning (e.g., LSTM or </w:t>
      </w:r>
      <w:proofErr w:type="spellStart"/>
      <w:r>
        <w:t>XGBoost</w:t>
      </w:r>
      <w:proofErr w:type="spellEnd"/>
      <w:r>
        <w:t>) trained on historical sales, seasonality, and external signals (e.g., weather, promotions).</w:t>
      </w:r>
    </w:p>
    <w:p w14:paraId="7256011D" w14:textId="77777777" w:rsidR="00D1625C" w:rsidRDefault="00D1625C" w:rsidP="00D1625C">
      <w:pPr>
        <w:numPr>
          <w:ilvl w:val="0"/>
          <w:numId w:val="34"/>
        </w:numPr>
      </w:pPr>
      <w:r>
        <w:rPr>
          <w:b/>
        </w:rPr>
        <w:t>Cost evaluation</w:t>
      </w:r>
      <w:r>
        <w:t xml:space="preserve"> considers dynamic ordering, holding, and shortage costs, which can change based on supplier negotiations, market conditions, or transportation fuel costs.</w:t>
      </w:r>
    </w:p>
    <w:p w14:paraId="6875B30A" w14:textId="77777777" w:rsidR="00D1625C" w:rsidRDefault="00D1625C" w:rsidP="00D1625C">
      <w:pPr>
        <w:numPr>
          <w:ilvl w:val="0"/>
          <w:numId w:val="34"/>
        </w:numPr>
      </w:pPr>
      <w:r>
        <w:rPr>
          <w:b/>
        </w:rPr>
        <w:t>Emission calculations</w:t>
      </w:r>
      <w:r>
        <w:rPr>
          <w:rFonts w:eastAsia="Times New Roman" w:hAnsi="Times New Roman" w:cs="Times New Roman"/>
        </w:rPr>
        <w:t xml:space="preserve"> track CO₂ equivalent emissions per shipment, warehouse storage emissions, and even supplier emissions, to quantify environmental impact.</w:t>
      </w:r>
    </w:p>
    <w:p w14:paraId="06626A11" w14:textId="77777777" w:rsidR="00D1625C" w:rsidRDefault="00D1625C" w:rsidP="00D1625C">
      <w:pPr>
        <w:spacing w:after="220"/>
      </w:pPr>
      <w:r>
        <w:t xml:space="preserve">These elements are synchronized via </w:t>
      </w:r>
      <w:r>
        <w:rPr>
          <w:b/>
        </w:rPr>
        <w:t>cloud-based supply chain control towers</w:t>
      </w:r>
      <w:r>
        <w:t xml:space="preserve">, where data is continuously updated from ERP systems, IoT devices, and supplier networks. As a result, decision makers receive a real-time recommendation of order quantities minimizing total costs </w:t>
      </w:r>
      <w:r>
        <w:rPr>
          <w:b/>
        </w:rPr>
        <w:t>and</w:t>
      </w:r>
      <w:r>
        <w:t xml:space="preserve"> emissions.</w:t>
      </w:r>
    </w:p>
    <w:p w14:paraId="74C792E1" w14:textId="33D3CC8F" w:rsidR="00D1625C" w:rsidRDefault="00D1625C" w:rsidP="00D1625C">
      <w:pPr>
        <w:spacing w:before="240" w:line="271" w:lineRule="auto"/>
      </w:pPr>
      <w:r>
        <w:rPr>
          <w:b/>
          <w:sz w:val="42"/>
        </w:rPr>
        <w:t>7.3 Real-World Examples of Smart EOQ Applications</w:t>
      </w:r>
    </w:p>
    <w:p w14:paraId="275ABFEB" w14:textId="77777777" w:rsidR="00D1625C" w:rsidRDefault="00D1625C" w:rsidP="00D1625C">
      <w:pPr>
        <w:spacing w:after="220"/>
      </w:pPr>
      <w:r>
        <w:rPr>
          <w:b/>
        </w:rPr>
        <w:t>Example 1: Unilever</w:t>
      </w:r>
      <w:r>
        <w:br/>
      </w:r>
      <w:proofErr w:type="spellStart"/>
      <w:r>
        <w:t>Unilever</w:t>
      </w:r>
      <w:proofErr w:type="spellEnd"/>
      <w:r>
        <w:t xml:space="preserve"> uses AI-augmented EOQ models to optimize raw material orders. Their system adjusts quantities dynamically, taking into account local emission regulations and sustainability goals. This helped reduce both costs and greenhouse gas emissions in their European factories.</w:t>
      </w:r>
    </w:p>
    <w:p w14:paraId="5F816FB6" w14:textId="77777777" w:rsidR="00D1625C" w:rsidRDefault="00D1625C" w:rsidP="00D1625C">
      <w:pPr>
        <w:spacing w:after="220"/>
      </w:pPr>
      <w:r>
        <w:rPr>
          <w:b/>
        </w:rPr>
        <w:t>Example 2: Amazon Fresh</w:t>
      </w:r>
      <w:r>
        <w:br/>
      </w:r>
      <w:r>
        <w:rPr>
          <w:rFonts w:eastAsia="Times New Roman" w:hAnsi="Times New Roman" w:cs="Times New Roman"/>
        </w:rPr>
        <w:t>Amazon’s grocery segment uses demand-sensitive ordering models, which integrate AI predictions with carbon footprint data of different transportation modes. This leads to smarter replenishment and less spoilage.</w:t>
      </w:r>
    </w:p>
    <w:p w14:paraId="03A7950D" w14:textId="77777777" w:rsidR="00D1625C" w:rsidRDefault="00D1625C" w:rsidP="00D1625C">
      <w:pPr>
        <w:spacing w:after="220"/>
      </w:pPr>
      <w:r>
        <w:rPr>
          <w:b/>
        </w:rPr>
        <w:t>Example 3: Zara (Inditex)</w:t>
      </w:r>
      <w:r>
        <w:br/>
        <w:t>Zara adapts order cycles based on real-time store data and transportation emissions, allowing frequent small-batch deliveries that still minimize overall environmental impact.</w:t>
      </w:r>
    </w:p>
    <w:p w14:paraId="611DE47D" w14:textId="73AFFBB4" w:rsidR="00D1625C" w:rsidRDefault="00D1625C" w:rsidP="00D1625C">
      <w:pPr>
        <w:spacing w:before="240" w:line="271" w:lineRule="auto"/>
      </w:pPr>
      <w:r>
        <w:rPr>
          <w:b/>
          <w:sz w:val="42"/>
        </w:rPr>
        <w:lastRenderedPageBreak/>
        <w:t>7.4 Challenges in Scaling to Multi-Echelon or Complex Supply Chains</w:t>
      </w:r>
    </w:p>
    <w:p w14:paraId="52D36EA5" w14:textId="77777777" w:rsidR="00D1625C" w:rsidRDefault="00D1625C" w:rsidP="00D1625C">
      <w:pPr>
        <w:spacing w:after="220"/>
      </w:pPr>
      <w:r>
        <w:t xml:space="preserve">When expanding Smart EOQ models to </w:t>
      </w:r>
      <w:r>
        <w:rPr>
          <w:b/>
        </w:rPr>
        <w:t>multi-echelon systems</w:t>
      </w:r>
      <w:r>
        <w:t xml:space="preserve"> (e.g., central warehouse, regional DCs, and retail stores), several issues arise:</w:t>
      </w:r>
    </w:p>
    <w:p w14:paraId="1448849D" w14:textId="77777777" w:rsidR="00D1625C" w:rsidRDefault="00D1625C" w:rsidP="00D1625C">
      <w:pPr>
        <w:numPr>
          <w:ilvl w:val="0"/>
          <w:numId w:val="35"/>
        </w:numPr>
      </w:pPr>
      <w:r>
        <w:rPr>
          <w:b/>
        </w:rPr>
        <w:t>Increased data complexity:</w:t>
      </w:r>
      <w:r>
        <w:t xml:space="preserve"> Synchronizing real-time demand and cost data across multiple tiers is technologically and organizationally challenging.</w:t>
      </w:r>
    </w:p>
    <w:p w14:paraId="3D143841" w14:textId="77777777" w:rsidR="00D1625C" w:rsidRDefault="00D1625C" w:rsidP="00D1625C">
      <w:pPr>
        <w:numPr>
          <w:ilvl w:val="0"/>
          <w:numId w:val="35"/>
        </w:numPr>
      </w:pPr>
      <w:r>
        <w:rPr>
          <w:b/>
        </w:rPr>
        <w:t>Bullwhip effect amplification:</w:t>
      </w:r>
      <w:r>
        <w:t xml:space="preserve"> Demand variability can propagate more strongly, requiring robust forecasting and safety stock strategies.</w:t>
      </w:r>
    </w:p>
    <w:p w14:paraId="4BBED873" w14:textId="77777777" w:rsidR="00D1625C" w:rsidRDefault="00D1625C" w:rsidP="00D1625C">
      <w:pPr>
        <w:numPr>
          <w:ilvl w:val="0"/>
          <w:numId w:val="35"/>
        </w:numPr>
      </w:pPr>
      <w:r>
        <w:rPr>
          <w:b/>
        </w:rPr>
        <w:t>Emission tracking difficulties:</w:t>
      </w:r>
      <w:r>
        <w:t xml:space="preserve"> Allocating emissions fairly across echelons and linking them to individual orders is non-trivial.</w:t>
      </w:r>
    </w:p>
    <w:p w14:paraId="73828E83" w14:textId="77777777" w:rsidR="00D1625C" w:rsidRDefault="00D1625C" w:rsidP="00D1625C">
      <w:pPr>
        <w:numPr>
          <w:ilvl w:val="0"/>
          <w:numId w:val="35"/>
        </w:numPr>
      </w:pPr>
      <w:r>
        <w:rPr>
          <w:b/>
        </w:rPr>
        <w:t>Coordination costs:</w:t>
      </w:r>
      <w:r>
        <w:t xml:space="preserve"> Aligning multiple stakeholders (e.g., third-party logistics, cross-border suppliers) can increase transactional costs and operational delays.</w:t>
      </w:r>
    </w:p>
    <w:p w14:paraId="72A23684" w14:textId="77777777" w:rsidR="00D1625C" w:rsidRDefault="00D1625C" w:rsidP="00D1625C">
      <w:pPr>
        <w:spacing w:after="220"/>
      </w:pPr>
      <w:r>
        <w:t>Addressing these issues often involves hierarchical models with separate EOQ optimizations at each echelon, plus integrated coordination algorithms.</w:t>
      </w:r>
    </w:p>
    <w:p w14:paraId="5F30F1EF" w14:textId="2738EF35" w:rsidR="00D1625C" w:rsidRDefault="00D1625C" w:rsidP="00D1625C">
      <w:pPr>
        <w:spacing w:before="240" w:line="271" w:lineRule="auto"/>
      </w:pPr>
      <w:r>
        <w:rPr>
          <w:b/>
          <w:sz w:val="42"/>
        </w:rPr>
        <w:t>7.5 Role of Sensitivity Analysis in Managerial Decision-Making</w:t>
      </w:r>
    </w:p>
    <w:p w14:paraId="73BE4AC4" w14:textId="77777777" w:rsidR="00D1625C" w:rsidRDefault="00D1625C" w:rsidP="00D1625C">
      <w:pPr>
        <w:spacing w:after="220"/>
      </w:pPr>
      <w:r>
        <w:rPr>
          <w:b/>
        </w:rPr>
        <w:t>Sensitivity analysis</w:t>
      </w:r>
      <w:r>
        <w:t xml:space="preserve"> quantifies how key parameters (demand, costs, emission factors) impact the optimal EOQ and total system cost.</w:t>
      </w:r>
    </w:p>
    <w:p w14:paraId="66474573" w14:textId="77777777" w:rsidR="00D1625C" w:rsidRDefault="00D1625C" w:rsidP="00D1625C">
      <w:pPr>
        <w:numPr>
          <w:ilvl w:val="0"/>
          <w:numId w:val="36"/>
        </w:numPr>
      </w:pPr>
      <w:r>
        <w:t>Managers can evaluate how much the total cost would increase if fuel prices rise by 10%, or how much safety stock should be adjusted if demand variability doubles.</w:t>
      </w:r>
    </w:p>
    <w:p w14:paraId="57403D8B" w14:textId="77777777" w:rsidR="00D1625C" w:rsidRDefault="00D1625C" w:rsidP="00D1625C">
      <w:pPr>
        <w:numPr>
          <w:ilvl w:val="0"/>
          <w:numId w:val="36"/>
        </w:numPr>
      </w:pPr>
      <w:r>
        <w:t xml:space="preserve">This empowers strategic decisions on </w:t>
      </w:r>
      <w:r>
        <w:rPr>
          <w:b/>
        </w:rPr>
        <w:t>contract negotiations</w:t>
      </w:r>
      <w:r>
        <w:t xml:space="preserve">, </w:t>
      </w:r>
      <w:r>
        <w:rPr>
          <w:b/>
        </w:rPr>
        <w:t>investment in green technologies</w:t>
      </w:r>
      <w:r>
        <w:t xml:space="preserve">, or </w:t>
      </w:r>
      <w:r>
        <w:rPr>
          <w:b/>
        </w:rPr>
        <w:t>choosing alternative suppliers</w:t>
      </w:r>
      <w:r>
        <w:t>.</w:t>
      </w:r>
    </w:p>
    <w:p w14:paraId="5685E57F" w14:textId="77777777" w:rsidR="00D1625C" w:rsidRDefault="00D1625C" w:rsidP="00D1625C">
      <w:pPr>
        <w:spacing w:after="220"/>
      </w:pPr>
      <w:r>
        <w:t>For instance, a manager may find that even with a 20% rise in ordering cost, shifting to fewer but larger shipments increases emissions disproportionately. The sensitivity results would guide them to maintain more frequent but smaller orders while investing in low-emission transport.</w:t>
      </w:r>
    </w:p>
    <w:p w14:paraId="69C01851" w14:textId="77777777" w:rsidR="001966BC" w:rsidRDefault="001966BC">
      <w:pPr>
        <w:spacing w:before="240" w:line="271" w:lineRule="auto"/>
        <w:rPr>
          <w:b/>
          <w:sz w:val="42"/>
        </w:rPr>
      </w:pPr>
    </w:p>
    <w:p w14:paraId="26CEC4BA" w14:textId="77777777" w:rsidR="002765F2" w:rsidRDefault="002765F2">
      <w:pPr>
        <w:spacing w:before="240" w:line="271" w:lineRule="auto"/>
        <w:rPr>
          <w:b/>
          <w:sz w:val="42"/>
        </w:rPr>
      </w:pPr>
    </w:p>
    <w:p w14:paraId="248966B8" w14:textId="77777777" w:rsidR="00D1625C" w:rsidRDefault="00D1625C">
      <w:pPr>
        <w:spacing w:before="240" w:line="271" w:lineRule="auto"/>
        <w:rPr>
          <w:b/>
          <w:sz w:val="42"/>
        </w:rPr>
      </w:pPr>
    </w:p>
    <w:p w14:paraId="7B8D0B49" w14:textId="2824073A" w:rsidR="004F63E6" w:rsidRDefault="00D1625C">
      <w:pPr>
        <w:spacing w:before="240" w:line="271" w:lineRule="auto"/>
        <w:rPr>
          <w:b/>
          <w:sz w:val="42"/>
        </w:rPr>
      </w:pPr>
      <w:r>
        <w:rPr>
          <w:b/>
          <w:sz w:val="42"/>
        </w:rPr>
        <w:t>8</w:t>
      </w:r>
      <w:r w:rsidR="001966BC">
        <w:rPr>
          <w:b/>
          <w:sz w:val="42"/>
        </w:rPr>
        <w:t>.</w:t>
      </w:r>
      <w:r w:rsidR="004F63E6">
        <w:rPr>
          <w:b/>
          <w:sz w:val="42"/>
        </w:rPr>
        <w:t xml:space="preserve">Graphical </w:t>
      </w:r>
      <w:proofErr w:type="spellStart"/>
      <w:proofErr w:type="gramStart"/>
      <w:r w:rsidR="004F63E6">
        <w:rPr>
          <w:b/>
          <w:sz w:val="42"/>
        </w:rPr>
        <w:t>Visulization</w:t>
      </w:r>
      <w:proofErr w:type="spellEnd"/>
      <w:r w:rsidR="004F63E6">
        <w:rPr>
          <w:b/>
          <w:sz w:val="42"/>
        </w:rPr>
        <w:t xml:space="preserve"> :</w:t>
      </w:r>
      <w:proofErr w:type="gramEnd"/>
    </w:p>
    <w:p w14:paraId="21B55E4F" w14:textId="1BA4ADB7" w:rsidR="004F63E6" w:rsidRDefault="004F63E6" w:rsidP="004F63E6">
      <w:pPr>
        <w:spacing w:before="240" w:line="271" w:lineRule="auto"/>
        <w:jc w:val="center"/>
        <w:rPr>
          <w:b/>
          <w:sz w:val="42"/>
        </w:rPr>
      </w:pPr>
      <w:r>
        <w:rPr>
          <w:b/>
          <w:noProof/>
          <w:sz w:val="42"/>
        </w:rPr>
        <w:lastRenderedPageBreak/>
        <w:drawing>
          <wp:inline distT="0" distB="0" distL="0" distR="0" wp14:anchorId="17A900AD" wp14:editId="214B7997">
            <wp:extent cx="4655820" cy="2910840"/>
            <wp:effectExtent l="0" t="0" r="0" b="3810"/>
            <wp:docPr id="2128469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469078" name="Picture 2128469078"/>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55820" cy="2910840"/>
                    </a:xfrm>
                    <a:prstGeom prst="rect">
                      <a:avLst/>
                    </a:prstGeom>
                  </pic:spPr>
                </pic:pic>
              </a:graphicData>
            </a:graphic>
          </wp:inline>
        </w:drawing>
      </w:r>
    </w:p>
    <w:p w14:paraId="5504843C" w14:textId="7E1A5B61" w:rsidR="004F63E6" w:rsidRDefault="004F63E6" w:rsidP="004F63E6">
      <w:pPr>
        <w:spacing w:before="240" w:line="271" w:lineRule="auto"/>
        <w:jc w:val="center"/>
        <w:rPr>
          <w:b/>
          <w:sz w:val="24"/>
          <w:szCs w:val="24"/>
        </w:rPr>
      </w:pPr>
      <w:r>
        <w:rPr>
          <w:b/>
          <w:sz w:val="24"/>
          <w:szCs w:val="24"/>
        </w:rPr>
        <w:t xml:space="preserve">Graph 01: </w:t>
      </w:r>
      <w:r w:rsidRPr="004F63E6">
        <w:rPr>
          <w:b/>
          <w:sz w:val="24"/>
          <w:szCs w:val="24"/>
        </w:rPr>
        <w:t>Pareto Front</w:t>
      </w:r>
    </w:p>
    <w:p w14:paraId="376DCA79" w14:textId="763C52C7" w:rsidR="004F63E6" w:rsidRPr="004F63E6" w:rsidRDefault="004F63E6" w:rsidP="004F63E6">
      <w:pPr>
        <w:spacing w:before="240" w:line="271" w:lineRule="auto"/>
        <w:jc w:val="center"/>
        <w:rPr>
          <w:b/>
          <w:sz w:val="24"/>
          <w:szCs w:val="24"/>
        </w:rPr>
      </w:pPr>
      <w:r w:rsidRPr="004F63E6">
        <w:rPr>
          <w:b/>
          <w:sz w:val="24"/>
          <w:szCs w:val="24"/>
        </w:rPr>
        <w:t>Shows the cost-emission trade-offs of different EOQ solutions</w:t>
      </w:r>
    </w:p>
    <w:p w14:paraId="41CFFFF5" w14:textId="64F67402" w:rsidR="004F63E6" w:rsidRDefault="004F63E6" w:rsidP="004F63E6">
      <w:pPr>
        <w:spacing w:before="240" w:line="271" w:lineRule="auto"/>
        <w:jc w:val="center"/>
        <w:rPr>
          <w:b/>
          <w:sz w:val="42"/>
        </w:rPr>
      </w:pPr>
      <w:r>
        <w:rPr>
          <w:b/>
          <w:noProof/>
          <w:sz w:val="42"/>
        </w:rPr>
        <w:drawing>
          <wp:inline distT="0" distB="0" distL="0" distR="0" wp14:anchorId="5DCD63AA" wp14:editId="14371C75">
            <wp:extent cx="4145280" cy="3070860"/>
            <wp:effectExtent l="0" t="0" r="7620" b="0"/>
            <wp:docPr id="3909661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966149" name="Picture 390966149"/>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45280" cy="3070860"/>
                    </a:xfrm>
                    <a:prstGeom prst="rect">
                      <a:avLst/>
                    </a:prstGeom>
                  </pic:spPr>
                </pic:pic>
              </a:graphicData>
            </a:graphic>
          </wp:inline>
        </w:drawing>
      </w:r>
    </w:p>
    <w:p w14:paraId="52718A8A" w14:textId="185D04C0" w:rsidR="004F63E6" w:rsidRDefault="004F63E6" w:rsidP="004F63E6">
      <w:pPr>
        <w:spacing w:before="240" w:line="271" w:lineRule="auto"/>
        <w:jc w:val="center"/>
        <w:rPr>
          <w:b/>
          <w:sz w:val="24"/>
          <w:szCs w:val="24"/>
        </w:rPr>
      </w:pPr>
      <w:r w:rsidRPr="004F63E6">
        <w:rPr>
          <w:b/>
          <w:sz w:val="24"/>
          <w:szCs w:val="24"/>
        </w:rPr>
        <w:t>Graph 02:</w:t>
      </w:r>
      <w:r w:rsidRPr="004F63E6">
        <w:rPr>
          <w:sz w:val="24"/>
          <w:szCs w:val="24"/>
        </w:rPr>
        <w:t xml:space="preserve"> </w:t>
      </w:r>
      <w:r w:rsidRPr="004F63E6">
        <w:rPr>
          <w:b/>
          <w:sz w:val="24"/>
          <w:szCs w:val="24"/>
        </w:rPr>
        <w:t>AI Forecast Accuracy</w:t>
      </w:r>
    </w:p>
    <w:p w14:paraId="11B5A873" w14:textId="096B2A49" w:rsidR="004F63E6" w:rsidRDefault="004F63E6" w:rsidP="004F63E6">
      <w:pPr>
        <w:spacing w:before="240" w:line="271" w:lineRule="auto"/>
        <w:jc w:val="center"/>
        <w:rPr>
          <w:b/>
          <w:sz w:val="24"/>
          <w:szCs w:val="24"/>
        </w:rPr>
      </w:pPr>
      <w:r w:rsidRPr="004F63E6">
        <w:rPr>
          <w:b/>
          <w:sz w:val="24"/>
          <w:szCs w:val="24"/>
        </w:rPr>
        <w:t>Visual comparison of actual vs LSTM-predicted demand</w:t>
      </w:r>
    </w:p>
    <w:p w14:paraId="168D67C7" w14:textId="77777777" w:rsidR="004F63E6" w:rsidRDefault="004F63E6" w:rsidP="004F63E6">
      <w:pPr>
        <w:spacing w:before="240" w:line="271" w:lineRule="auto"/>
        <w:rPr>
          <w:b/>
          <w:sz w:val="24"/>
          <w:szCs w:val="24"/>
        </w:rPr>
      </w:pPr>
    </w:p>
    <w:p w14:paraId="3E7F4F50" w14:textId="23EACCF6" w:rsidR="004F63E6" w:rsidRPr="004F63E6" w:rsidRDefault="004F63E6" w:rsidP="004F63E6">
      <w:pPr>
        <w:spacing w:before="240" w:line="271" w:lineRule="auto"/>
        <w:jc w:val="center"/>
        <w:rPr>
          <w:b/>
          <w:sz w:val="24"/>
          <w:szCs w:val="24"/>
        </w:rPr>
      </w:pPr>
      <w:r>
        <w:rPr>
          <w:b/>
          <w:noProof/>
          <w:sz w:val="24"/>
          <w:szCs w:val="24"/>
        </w:rPr>
        <w:lastRenderedPageBreak/>
        <w:drawing>
          <wp:inline distT="0" distB="0" distL="0" distR="0" wp14:anchorId="01C5C5CC" wp14:editId="244C0A62">
            <wp:extent cx="3863340" cy="2575560"/>
            <wp:effectExtent l="0" t="0" r="3810" b="0"/>
            <wp:docPr id="21280756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75649" name="Picture 212807564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63340" cy="2575560"/>
                    </a:xfrm>
                    <a:prstGeom prst="rect">
                      <a:avLst/>
                    </a:prstGeom>
                  </pic:spPr>
                </pic:pic>
              </a:graphicData>
            </a:graphic>
          </wp:inline>
        </w:drawing>
      </w:r>
    </w:p>
    <w:p w14:paraId="6F4A8B05" w14:textId="7B23E737" w:rsidR="004F63E6" w:rsidRDefault="004F63E6" w:rsidP="004F63E6">
      <w:pPr>
        <w:spacing w:before="240" w:line="271" w:lineRule="auto"/>
        <w:jc w:val="center"/>
        <w:rPr>
          <w:b/>
          <w:sz w:val="24"/>
          <w:szCs w:val="24"/>
        </w:rPr>
      </w:pPr>
      <w:r w:rsidRPr="004F63E6">
        <w:rPr>
          <w:b/>
          <w:sz w:val="24"/>
          <w:szCs w:val="24"/>
        </w:rPr>
        <w:t>Graph 03:</w:t>
      </w:r>
      <w:r w:rsidRPr="004F63E6">
        <w:rPr>
          <w:sz w:val="24"/>
          <w:szCs w:val="24"/>
        </w:rPr>
        <w:t xml:space="preserve"> </w:t>
      </w:r>
      <w:r w:rsidRPr="004F63E6">
        <w:rPr>
          <w:b/>
          <w:sz w:val="24"/>
          <w:szCs w:val="24"/>
        </w:rPr>
        <w:t>Sensitivity Analysis</w:t>
      </w:r>
    </w:p>
    <w:p w14:paraId="1072F1E0" w14:textId="1775A7C4" w:rsidR="004F63E6" w:rsidRPr="004F63E6" w:rsidRDefault="004F63E6" w:rsidP="004F63E6">
      <w:pPr>
        <w:spacing w:before="240" w:line="271" w:lineRule="auto"/>
        <w:jc w:val="center"/>
        <w:rPr>
          <w:b/>
          <w:sz w:val="24"/>
          <w:szCs w:val="24"/>
        </w:rPr>
      </w:pPr>
      <w:r w:rsidRPr="004F63E6">
        <w:rPr>
          <w:b/>
          <w:sz w:val="24"/>
          <w:szCs w:val="24"/>
        </w:rPr>
        <w:t>Impact of key parameter changes on cost and emissions</w:t>
      </w:r>
    </w:p>
    <w:p w14:paraId="5FF7914A" w14:textId="50CE5E06" w:rsidR="004F63E6" w:rsidRDefault="004F63E6" w:rsidP="004F63E6">
      <w:pPr>
        <w:spacing w:before="240" w:line="271" w:lineRule="auto"/>
        <w:jc w:val="center"/>
        <w:rPr>
          <w:b/>
          <w:sz w:val="42"/>
        </w:rPr>
      </w:pPr>
      <w:r>
        <w:rPr>
          <w:b/>
          <w:noProof/>
          <w:sz w:val="42"/>
        </w:rPr>
        <w:drawing>
          <wp:inline distT="0" distB="0" distL="0" distR="0" wp14:anchorId="17F9DFA7" wp14:editId="21A3CF15">
            <wp:extent cx="4686300" cy="2766060"/>
            <wp:effectExtent l="0" t="0" r="0" b="0"/>
            <wp:docPr id="2312532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253248" name="Picture 23125324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6300" cy="2766060"/>
                    </a:xfrm>
                    <a:prstGeom prst="rect">
                      <a:avLst/>
                    </a:prstGeom>
                  </pic:spPr>
                </pic:pic>
              </a:graphicData>
            </a:graphic>
          </wp:inline>
        </w:drawing>
      </w:r>
    </w:p>
    <w:p w14:paraId="431CD19C" w14:textId="3A8DC694" w:rsidR="004F63E6" w:rsidRDefault="004F63E6" w:rsidP="004F63E6">
      <w:pPr>
        <w:spacing w:before="240" w:line="271" w:lineRule="auto"/>
        <w:jc w:val="center"/>
        <w:rPr>
          <w:b/>
          <w:sz w:val="24"/>
          <w:szCs w:val="24"/>
        </w:rPr>
      </w:pPr>
      <w:r w:rsidRPr="004F63E6">
        <w:rPr>
          <w:b/>
          <w:sz w:val="24"/>
          <w:szCs w:val="24"/>
        </w:rPr>
        <w:t>Graph 04:</w:t>
      </w:r>
      <w:r w:rsidRPr="004F63E6">
        <w:rPr>
          <w:sz w:val="24"/>
          <w:szCs w:val="24"/>
        </w:rPr>
        <w:t xml:space="preserve"> </w:t>
      </w:r>
      <w:r w:rsidRPr="004F63E6">
        <w:rPr>
          <w:b/>
          <w:sz w:val="24"/>
          <w:szCs w:val="24"/>
        </w:rPr>
        <w:t>Demand Heatmap</w:t>
      </w:r>
    </w:p>
    <w:p w14:paraId="123CA6D3" w14:textId="01C33FD2" w:rsidR="004F63E6" w:rsidRPr="004F63E6" w:rsidRDefault="004F63E6" w:rsidP="004F63E6">
      <w:pPr>
        <w:spacing w:before="240" w:line="271" w:lineRule="auto"/>
        <w:jc w:val="center"/>
        <w:rPr>
          <w:b/>
          <w:sz w:val="24"/>
          <w:szCs w:val="24"/>
        </w:rPr>
      </w:pPr>
      <w:r w:rsidRPr="004F63E6">
        <w:rPr>
          <w:b/>
          <w:sz w:val="24"/>
          <w:szCs w:val="24"/>
        </w:rPr>
        <w:t>Seasonal/region-based demand variation for AI forecasting justification</w:t>
      </w:r>
    </w:p>
    <w:p w14:paraId="7D5750B6" w14:textId="77777777" w:rsidR="004F63E6" w:rsidRDefault="004F63E6">
      <w:pPr>
        <w:spacing w:before="240" w:line="271" w:lineRule="auto"/>
        <w:rPr>
          <w:b/>
          <w:sz w:val="42"/>
        </w:rPr>
      </w:pPr>
    </w:p>
    <w:p w14:paraId="2BEC061A" w14:textId="78473C18" w:rsidR="00031D67" w:rsidRDefault="00D1625C">
      <w:pPr>
        <w:spacing w:before="240" w:line="271" w:lineRule="auto"/>
      </w:pPr>
      <w:r>
        <w:rPr>
          <w:b/>
          <w:sz w:val="42"/>
        </w:rPr>
        <w:t>9</w:t>
      </w:r>
      <w:r w:rsidR="001966BC">
        <w:rPr>
          <w:b/>
          <w:sz w:val="42"/>
        </w:rPr>
        <w:t>. Results and Discussion</w:t>
      </w:r>
    </w:p>
    <w:p w14:paraId="18B2E319" w14:textId="77777777" w:rsidR="00031D67" w:rsidRDefault="00BA30C9" w:rsidP="001966BC">
      <w:pPr>
        <w:spacing w:after="220"/>
        <w:jc w:val="both"/>
      </w:pPr>
      <w:r>
        <w:lastRenderedPageBreak/>
        <w:t>This section presents the key outcomes of the Smart EOQ model under dynamic, sustainability-aware supply chain conditions. The results are analyzed with respect to demand forecasting accuracy, cost-emission trade-offs, sensitivity to external factors, and operational robustness.</w:t>
      </w:r>
    </w:p>
    <w:p w14:paraId="21BEECC8" w14:textId="2F7220F8" w:rsidR="00031D67" w:rsidRDefault="00D1625C">
      <w:pPr>
        <w:spacing w:before="240" w:line="271" w:lineRule="auto"/>
      </w:pPr>
      <w:r>
        <w:rPr>
          <w:b/>
          <w:sz w:val="33"/>
        </w:rPr>
        <w:t>9</w:t>
      </w:r>
      <w:r w:rsidR="001966BC">
        <w:rPr>
          <w:b/>
          <w:sz w:val="33"/>
        </w:rPr>
        <w:t>.</w:t>
      </w:r>
      <w:r w:rsidR="004F63E6">
        <w:rPr>
          <w:b/>
          <w:sz w:val="33"/>
        </w:rPr>
        <w:t>1</w:t>
      </w:r>
      <w:r w:rsidR="001966BC">
        <w:rPr>
          <w:b/>
          <w:sz w:val="33"/>
        </w:rPr>
        <w:t xml:space="preserve"> Forecasting Performance</w:t>
      </w:r>
    </w:p>
    <w:p w14:paraId="348E7F10" w14:textId="77777777" w:rsidR="00031D67" w:rsidRDefault="00BA30C9" w:rsidP="001966BC">
      <w:pPr>
        <w:spacing w:after="220"/>
        <w:jc w:val="both"/>
      </w:pPr>
      <w:r>
        <w:t xml:space="preserve">The integration of an LSTM-based AI module for demand prediction significantly improved forecasting accuracy. Compared to traditional models such as linear regression and support vector regression (SVR), the LSTM network achieved the lowest Mean Absolute Percentage Error (MAPE) of </w:t>
      </w:r>
      <w:r>
        <w:rPr>
          <w:b/>
        </w:rPr>
        <w:t>6.7%</w:t>
      </w:r>
      <w:r>
        <w:t>, indicating a strong fit for non-linear, time-dependent demand patterns.</w:t>
      </w:r>
    </w:p>
    <w:p w14:paraId="59AD4A73" w14:textId="77777777" w:rsidR="00031D67" w:rsidRDefault="00BA30C9" w:rsidP="001966BC">
      <w:pPr>
        <w:spacing w:after="220"/>
        <w:jc w:val="both"/>
      </w:pPr>
      <w:r>
        <w:rPr>
          <w:b/>
          <w:color w:val="666666"/>
        </w:rPr>
        <w:t>Key Insight:</w:t>
      </w:r>
      <w:r>
        <w:rPr>
          <w:color w:val="666666"/>
        </w:rPr>
        <w:br/>
        <w:t>High-accuracy demand forecasts reduce the buffer stock needed, which directly decreases holding costs and emissions associated with overstocking.</w:t>
      </w:r>
    </w:p>
    <w:p w14:paraId="680DFC1C" w14:textId="49178FDF" w:rsidR="00031D67" w:rsidRDefault="00D1625C">
      <w:pPr>
        <w:spacing w:before="240" w:line="271" w:lineRule="auto"/>
      </w:pPr>
      <w:r>
        <w:rPr>
          <w:b/>
          <w:sz w:val="33"/>
        </w:rPr>
        <w:t>9</w:t>
      </w:r>
      <w:r w:rsidR="001966BC">
        <w:rPr>
          <w:b/>
          <w:sz w:val="33"/>
        </w:rPr>
        <w:t>.</w:t>
      </w:r>
      <w:r w:rsidR="004F63E6">
        <w:rPr>
          <w:b/>
          <w:sz w:val="33"/>
        </w:rPr>
        <w:t>2</w:t>
      </w:r>
      <w:r w:rsidR="001966BC">
        <w:rPr>
          <w:b/>
          <w:sz w:val="33"/>
        </w:rPr>
        <w:t xml:space="preserve"> EOQ Optimization Outcomes</w:t>
      </w:r>
    </w:p>
    <w:p w14:paraId="7B8DB24F" w14:textId="77777777" w:rsidR="00031D67" w:rsidRDefault="00BA30C9">
      <w:pPr>
        <w:spacing w:after="220"/>
      </w:pPr>
      <w:r>
        <w:t>The optimization module returned a Pareto front of solutions that balance cost and emissions. For instance:</w:t>
      </w:r>
    </w:p>
    <w:p w14:paraId="05FE6F5F" w14:textId="77777777" w:rsidR="00031D67" w:rsidRDefault="00BA30C9">
      <w:pPr>
        <w:numPr>
          <w:ilvl w:val="0"/>
          <w:numId w:val="30"/>
        </w:numPr>
      </w:pPr>
      <w:r>
        <w:rPr>
          <w:b/>
        </w:rPr>
        <w:t>Solution A</w:t>
      </w:r>
      <w:r>
        <w:rPr>
          <w:rFonts w:eastAsia="Times New Roman" w:hAnsi="Times New Roman" w:cs="Times New Roman"/>
        </w:rPr>
        <w:t xml:space="preserve"> minimized total cost ($2,450) at an emission level of 370 kg CO₂.</w:t>
      </w:r>
    </w:p>
    <w:p w14:paraId="0D034DEE" w14:textId="77777777" w:rsidR="00031D67" w:rsidRDefault="00BA30C9">
      <w:pPr>
        <w:numPr>
          <w:ilvl w:val="0"/>
          <w:numId w:val="30"/>
        </w:numPr>
      </w:pPr>
      <w:r>
        <w:rPr>
          <w:b/>
        </w:rPr>
        <w:t>Solution C</w:t>
      </w:r>
      <w:r>
        <w:rPr>
          <w:rFonts w:eastAsia="Times New Roman" w:hAnsi="Times New Roman" w:cs="Times New Roman"/>
        </w:rPr>
        <w:t xml:space="preserve"> achieved the lowest emissions (220 kg CO₂) with a marginal increase in cost ($2,820).</w:t>
      </w:r>
    </w:p>
    <w:p w14:paraId="52D162B3" w14:textId="77777777" w:rsidR="00031D67" w:rsidRDefault="00BA30C9">
      <w:pPr>
        <w:numPr>
          <w:ilvl w:val="0"/>
          <w:numId w:val="30"/>
        </w:numPr>
      </w:pPr>
      <w:r>
        <w:t xml:space="preserve">Service levels remained consistently above </w:t>
      </w:r>
      <w:r>
        <w:rPr>
          <w:b/>
        </w:rPr>
        <w:t>98.5%</w:t>
      </w:r>
      <w:r>
        <w:t>, confirming high reliability.</w:t>
      </w:r>
    </w:p>
    <w:p w14:paraId="45C4528E" w14:textId="77777777" w:rsidR="00031D67" w:rsidRDefault="00BA30C9" w:rsidP="004F63E6">
      <w:pPr>
        <w:spacing w:after="220"/>
      </w:pPr>
      <w:r>
        <w:rPr>
          <w:b/>
          <w:color w:val="666666"/>
        </w:rPr>
        <w:t>Discussion:</w:t>
      </w:r>
      <w:r>
        <w:rPr>
          <w:color w:val="666666"/>
        </w:rPr>
        <w:br/>
        <w:t xml:space="preserve">These results demonstrate that </w:t>
      </w:r>
      <w:r>
        <w:rPr>
          <w:b/>
          <w:color w:val="666666"/>
        </w:rPr>
        <w:t>sustainability objectives can be met with only moderate cost trade-offs</w:t>
      </w:r>
      <w:r>
        <w:rPr>
          <w:color w:val="666666"/>
        </w:rPr>
        <w:t xml:space="preserve"> when the EOQ model is enhanced with real-time data and AI-driven decision support.</w:t>
      </w:r>
    </w:p>
    <w:p w14:paraId="179FF026" w14:textId="4FB0F430" w:rsidR="00031D67" w:rsidRDefault="00D1625C">
      <w:pPr>
        <w:spacing w:before="240" w:line="271" w:lineRule="auto"/>
      </w:pPr>
      <w:r>
        <w:rPr>
          <w:b/>
          <w:sz w:val="33"/>
        </w:rPr>
        <w:t>9</w:t>
      </w:r>
      <w:r w:rsidR="001966BC">
        <w:rPr>
          <w:b/>
          <w:sz w:val="33"/>
        </w:rPr>
        <w:t>.3 Sensitivity Analysis</w:t>
      </w:r>
    </w:p>
    <w:p w14:paraId="6DCC9E1F" w14:textId="1ED250F7" w:rsidR="00031D67" w:rsidRDefault="00BA30C9">
      <w:pPr>
        <w:spacing w:after="220"/>
      </w:pPr>
      <w:r>
        <w:t>Table</w:t>
      </w:r>
      <w:r w:rsidR="00515717">
        <w:t xml:space="preserve"> </w:t>
      </w:r>
      <w:proofErr w:type="gramStart"/>
      <w:r w:rsidR="00F1769B">
        <w:t>5</w:t>
      </w:r>
      <w:r w:rsidR="00515717">
        <w:t>:</w:t>
      </w:r>
      <w:r>
        <w:t>Sensitivity</w:t>
      </w:r>
      <w:proofErr w:type="gramEnd"/>
      <w:r>
        <w:t xml:space="preserve"> testing revealed the adaptability of the Smart EOQ framewor</w:t>
      </w:r>
      <w:r w:rsidR="00D85455">
        <w:t>k</w:t>
      </w:r>
    </w:p>
    <w:tbl>
      <w:tblPr>
        <w:tblStyle w:val="NormalGrid"/>
        <w:tblW w:w="0" w:type="auto"/>
        <w:jc w:val="center"/>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969"/>
        <w:gridCol w:w="1611"/>
        <w:gridCol w:w="1453"/>
        <w:gridCol w:w="1874"/>
      </w:tblGrid>
      <w:tr w:rsidR="00031D67" w14:paraId="5F75DF9F" w14:textId="77777777">
        <w:trPr>
          <w:cantSplit/>
          <w:tblCellSpacing w:w="0" w:type="dxa"/>
          <w:jc w:val="center"/>
        </w:trPr>
        <w:tc>
          <w:tcPr>
            <w:tcW w:w="0" w:type="auto"/>
            <w:tcBorders>
              <w:top w:val="single" w:sz="1" w:space="0" w:color="000000"/>
              <w:bottom w:val="single" w:sz="1" w:space="0" w:color="000000"/>
            </w:tcBorders>
          </w:tcPr>
          <w:p w14:paraId="5DDAED91" w14:textId="77777777" w:rsidR="00031D67" w:rsidRDefault="00BA30C9">
            <w:r>
              <w:t>Parameter</w:t>
            </w:r>
          </w:p>
        </w:tc>
        <w:tc>
          <w:tcPr>
            <w:tcW w:w="0" w:type="auto"/>
            <w:tcBorders>
              <w:top w:val="single" w:sz="1" w:space="0" w:color="000000"/>
              <w:left w:val="single" w:sz="1" w:space="0" w:color="000000"/>
              <w:bottom w:val="single" w:sz="1" w:space="0" w:color="000000"/>
            </w:tcBorders>
          </w:tcPr>
          <w:p w14:paraId="32D8B981" w14:textId="77777777" w:rsidR="00031D67" w:rsidRDefault="00BA30C9">
            <w:r>
              <w:t>Variation</w:t>
            </w:r>
          </w:p>
        </w:tc>
        <w:tc>
          <w:tcPr>
            <w:tcW w:w="0" w:type="auto"/>
            <w:tcBorders>
              <w:top w:val="single" w:sz="1" w:space="0" w:color="000000"/>
              <w:left w:val="single" w:sz="1" w:space="0" w:color="000000"/>
              <w:bottom w:val="single" w:sz="1" w:space="0" w:color="000000"/>
            </w:tcBorders>
          </w:tcPr>
          <w:p w14:paraId="3F515DEF" w14:textId="77777777" w:rsidR="00031D67" w:rsidRDefault="00BA30C9">
            <w:r>
              <w:t>Cost Change</w:t>
            </w:r>
          </w:p>
        </w:tc>
        <w:tc>
          <w:tcPr>
            <w:tcW w:w="0" w:type="auto"/>
            <w:tcBorders>
              <w:top w:val="single" w:sz="1" w:space="0" w:color="000000"/>
              <w:left w:val="single" w:sz="1" w:space="0" w:color="000000"/>
              <w:bottom w:val="single" w:sz="1" w:space="0" w:color="000000"/>
            </w:tcBorders>
          </w:tcPr>
          <w:p w14:paraId="2F8D6C06" w14:textId="77777777" w:rsidR="00031D67" w:rsidRDefault="00BA30C9">
            <w:r>
              <w:t>Emission Change</w:t>
            </w:r>
          </w:p>
        </w:tc>
      </w:tr>
      <w:tr w:rsidR="00031D67" w14:paraId="43AAE418" w14:textId="77777777">
        <w:trPr>
          <w:cantSplit/>
          <w:tblCellSpacing w:w="0" w:type="dxa"/>
          <w:jc w:val="center"/>
        </w:trPr>
        <w:tc>
          <w:tcPr>
            <w:tcW w:w="0" w:type="auto"/>
            <w:tcBorders>
              <w:top w:val="single" w:sz="1" w:space="0" w:color="000000"/>
              <w:bottom w:val="single" w:sz="1" w:space="0" w:color="000000"/>
            </w:tcBorders>
          </w:tcPr>
          <w:p w14:paraId="4810AE81" w14:textId="77777777" w:rsidR="00031D67" w:rsidRDefault="00BA30C9">
            <w:r>
              <w:t>Carbon Price</w:t>
            </w:r>
          </w:p>
        </w:tc>
        <w:tc>
          <w:tcPr>
            <w:tcW w:w="0" w:type="auto"/>
            <w:tcBorders>
              <w:top w:val="single" w:sz="1" w:space="0" w:color="000000"/>
              <w:left w:val="single" w:sz="1" w:space="0" w:color="000000"/>
              <w:bottom w:val="single" w:sz="1" w:space="0" w:color="000000"/>
            </w:tcBorders>
          </w:tcPr>
          <w:p w14:paraId="4303593D" w14:textId="77777777" w:rsidR="00031D67" w:rsidRDefault="00BA30C9">
            <w:r>
              <w:t>+20%</w:t>
            </w:r>
          </w:p>
        </w:tc>
        <w:tc>
          <w:tcPr>
            <w:tcW w:w="0" w:type="auto"/>
            <w:tcBorders>
              <w:top w:val="single" w:sz="1" w:space="0" w:color="000000"/>
              <w:left w:val="single" w:sz="1" w:space="0" w:color="000000"/>
              <w:bottom w:val="single" w:sz="1" w:space="0" w:color="000000"/>
            </w:tcBorders>
          </w:tcPr>
          <w:p w14:paraId="728352D9" w14:textId="77777777" w:rsidR="00031D67" w:rsidRDefault="00BA30C9">
            <w:r>
              <w:rPr>
                <w:rFonts w:eastAsia="Times New Roman" w:hAnsi="Times New Roman" w:cs="Times New Roman"/>
              </w:rPr>
              <w:t>↑ $90</w:t>
            </w:r>
          </w:p>
        </w:tc>
        <w:tc>
          <w:tcPr>
            <w:tcW w:w="0" w:type="auto"/>
            <w:tcBorders>
              <w:top w:val="single" w:sz="1" w:space="0" w:color="000000"/>
              <w:left w:val="single" w:sz="1" w:space="0" w:color="000000"/>
              <w:bottom w:val="single" w:sz="1" w:space="0" w:color="000000"/>
            </w:tcBorders>
          </w:tcPr>
          <w:p w14:paraId="330E38EE" w14:textId="77777777" w:rsidR="00031D67" w:rsidRDefault="00BA30C9">
            <w:r>
              <w:rPr>
                <w:rFonts w:eastAsia="Times New Roman" w:hAnsi="Times New Roman" w:cs="Times New Roman"/>
              </w:rPr>
              <w:t>↓ 120 kg</w:t>
            </w:r>
          </w:p>
        </w:tc>
      </w:tr>
      <w:tr w:rsidR="00031D67" w14:paraId="2F33A290" w14:textId="77777777">
        <w:trPr>
          <w:cantSplit/>
          <w:tblCellSpacing w:w="0" w:type="dxa"/>
          <w:jc w:val="center"/>
        </w:trPr>
        <w:tc>
          <w:tcPr>
            <w:tcW w:w="0" w:type="auto"/>
            <w:tcBorders>
              <w:top w:val="single" w:sz="1" w:space="0" w:color="000000"/>
              <w:bottom w:val="single" w:sz="1" w:space="0" w:color="000000"/>
            </w:tcBorders>
          </w:tcPr>
          <w:p w14:paraId="0DFD3A33" w14:textId="77777777" w:rsidR="00031D67" w:rsidRDefault="00BA30C9">
            <w:r>
              <w:t>Holding Cost</w:t>
            </w:r>
          </w:p>
        </w:tc>
        <w:tc>
          <w:tcPr>
            <w:tcW w:w="0" w:type="auto"/>
            <w:tcBorders>
              <w:top w:val="single" w:sz="1" w:space="0" w:color="000000"/>
              <w:left w:val="single" w:sz="1" w:space="0" w:color="000000"/>
              <w:bottom w:val="single" w:sz="1" w:space="0" w:color="000000"/>
            </w:tcBorders>
          </w:tcPr>
          <w:p w14:paraId="46AE62F6" w14:textId="77777777" w:rsidR="00031D67" w:rsidRDefault="00BA30C9">
            <w:r>
              <w:t>+20%</w:t>
            </w:r>
          </w:p>
        </w:tc>
        <w:tc>
          <w:tcPr>
            <w:tcW w:w="0" w:type="auto"/>
            <w:tcBorders>
              <w:top w:val="single" w:sz="1" w:space="0" w:color="000000"/>
              <w:left w:val="single" w:sz="1" w:space="0" w:color="000000"/>
              <w:bottom w:val="single" w:sz="1" w:space="0" w:color="000000"/>
            </w:tcBorders>
          </w:tcPr>
          <w:p w14:paraId="2B174631" w14:textId="77777777" w:rsidR="00031D67" w:rsidRDefault="00BA30C9">
            <w:r>
              <w:rPr>
                <w:rFonts w:eastAsia="Times New Roman" w:hAnsi="Times New Roman" w:cs="Times New Roman"/>
              </w:rPr>
              <w:t>↑ $130</w:t>
            </w:r>
          </w:p>
        </w:tc>
        <w:tc>
          <w:tcPr>
            <w:tcW w:w="0" w:type="auto"/>
            <w:tcBorders>
              <w:top w:val="single" w:sz="1" w:space="0" w:color="000000"/>
              <w:left w:val="single" w:sz="1" w:space="0" w:color="000000"/>
              <w:bottom w:val="single" w:sz="1" w:space="0" w:color="000000"/>
            </w:tcBorders>
          </w:tcPr>
          <w:p w14:paraId="36ECA2F0" w14:textId="77777777" w:rsidR="00031D67" w:rsidRDefault="00BA30C9">
            <w:r>
              <w:rPr>
                <w:rFonts w:eastAsia="Times New Roman" w:hAnsi="Times New Roman" w:cs="Times New Roman"/>
              </w:rPr>
              <w:t>↓ 100 kg</w:t>
            </w:r>
          </w:p>
        </w:tc>
      </w:tr>
      <w:tr w:rsidR="00031D67" w14:paraId="1268E636" w14:textId="77777777">
        <w:trPr>
          <w:cantSplit/>
          <w:tblCellSpacing w:w="0" w:type="dxa"/>
          <w:jc w:val="center"/>
        </w:trPr>
        <w:tc>
          <w:tcPr>
            <w:tcW w:w="0" w:type="auto"/>
            <w:tcBorders>
              <w:top w:val="single" w:sz="1" w:space="0" w:color="000000"/>
              <w:bottom w:val="single" w:sz="1" w:space="0" w:color="000000"/>
            </w:tcBorders>
          </w:tcPr>
          <w:p w14:paraId="6AF02BD4" w14:textId="77777777" w:rsidR="00031D67" w:rsidRDefault="00BA30C9">
            <w:r>
              <w:t>Demand Volatility</w:t>
            </w:r>
          </w:p>
        </w:tc>
        <w:tc>
          <w:tcPr>
            <w:tcW w:w="0" w:type="auto"/>
            <w:tcBorders>
              <w:top w:val="single" w:sz="1" w:space="0" w:color="000000"/>
              <w:left w:val="single" w:sz="1" w:space="0" w:color="000000"/>
              <w:bottom w:val="single" w:sz="1" w:space="0" w:color="000000"/>
            </w:tcBorders>
          </w:tcPr>
          <w:p w14:paraId="1ACE42BA" w14:textId="77777777" w:rsidR="00031D67" w:rsidRDefault="00BA30C9">
            <w:r>
              <w:t>High Variance</w:t>
            </w:r>
          </w:p>
        </w:tc>
        <w:tc>
          <w:tcPr>
            <w:tcW w:w="0" w:type="auto"/>
            <w:tcBorders>
              <w:top w:val="single" w:sz="1" w:space="0" w:color="000000"/>
              <w:left w:val="single" w:sz="1" w:space="0" w:color="000000"/>
              <w:bottom w:val="single" w:sz="1" w:space="0" w:color="000000"/>
            </w:tcBorders>
          </w:tcPr>
          <w:p w14:paraId="75E2A3D2" w14:textId="77777777" w:rsidR="00031D67" w:rsidRDefault="00BA30C9">
            <w:r>
              <w:rPr>
                <w:rFonts w:eastAsia="Times New Roman" w:hAnsi="Times New Roman" w:cs="Times New Roman"/>
              </w:rPr>
              <w:t>↑ $260</w:t>
            </w:r>
          </w:p>
        </w:tc>
        <w:tc>
          <w:tcPr>
            <w:tcW w:w="0" w:type="auto"/>
            <w:tcBorders>
              <w:top w:val="single" w:sz="1" w:space="0" w:color="000000"/>
              <w:left w:val="single" w:sz="1" w:space="0" w:color="000000"/>
              <w:bottom w:val="single" w:sz="1" w:space="0" w:color="000000"/>
            </w:tcBorders>
          </w:tcPr>
          <w:p w14:paraId="12B3AFB8" w14:textId="77777777" w:rsidR="00031D67" w:rsidRDefault="00BA30C9">
            <w:r>
              <w:rPr>
                <w:rFonts w:eastAsia="Times New Roman" w:hAnsi="Times New Roman" w:cs="Times New Roman"/>
              </w:rPr>
              <w:t>↑ 40 kg</w:t>
            </w:r>
          </w:p>
        </w:tc>
      </w:tr>
    </w:tbl>
    <w:p w14:paraId="5D545A37" w14:textId="77777777" w:rsidR="00031D67" w:rsidRDefault="00031D67"/>
    <w:p w14:paraId="49DD6D14" w14:textId="30090674" w:rsidR="00031D67" w:rsidRDefault="00D1625C">
      <w:pPr>
        <w:spacing w:before="240" w:line="271" w:lineRule="auto"/>
      </w:pPr>
      <w:r>
        <w:rPr>
          <w:b/>
          <w:sz w:val="33"/>
        </w:rPr>
        <w:t>9</w:t>
      </w:r>
      <w:r w:rsidR="001966BC">
        <w:rPr>
          <w:b/>
          <w:sz w:val="33"/>
        </w:rPr>
        <w:t>.4 Operational and Strategic Implications</w:t>
      </w:r>
    </w:p>
    <w:p w14:paraId="4EAE6C1C" w14:textId="77777777" w:rsidR="00031D67" w:rsidRDefault="00BA30C9">
      <w:pPr>
        <w:numPr>
          <w:ilvl w:val="0"/>
          <w:numId w:val="31"/>
        </w:numPr>
        <w:spacing w:after="220"/>
      </w:pPr>
      <w:r>
        <w:rPr>
          <w:b/>
        </w:rPr>
        <w:t>Sustainability Integration:</w:t>
      </w:r>
      <w:r>
        <w:br/>
        <w:t>Smart EOQ modeling proves effective in aligning operational goals with corporate sustainability targets, such as emission caps and carbon pricing mechanisms.</w:t>
      </w:r>
    </w:p>
    <w:p w14:paraId="147651D4" w14:textId="77777777" w:rsidR="00031D67" w:rsidRDefault="00BA30C9">
      <w:pPr>
        <w:numPr>
          <w:ilvl w:val="0"/>
          <w:numId w:val="31"/>
        </w:numPr>
        <w:spacing w:after="220"/>
      </w:pPr>
      <w:r>
        <w:rPr>
          <w:b/>
        </w:rPr>
        <w:t>AI Synergy with Logistics:</w:t>
      </w:r>
      <w:r>
        <w:br/>
        <w:t>Real-time forecasts facilitate leaner inventory, reducing waste, improving responsiveness, and lowering logistics-related emissions.</w:t>
      </w:r>
    </w:p>
    <w:p w14:paraId="1A2DFBD3" w14:textId="77777777" w:rsidR="00031D67" w:rsidRDefault="00BA30C9">
      <w:pPr>
        <w:numPr>
          <w:ilvl w:val="0"/>
          <w:numId w:val="31"/>
        </w:numPr>
        <w:spacing w:after="220"/>
      </w:pPr>
      <w:r>
        <w:rPr>
          <w:b/>
        </w:rPr>
        <w:lastRenderedPageBreak/>
        <w:t>Policy Alignment:</w:t>
      </w:r>
      <w:r>
        <w:br/>
      </w:r>
      <w:r>
        <w:rPr>
          <w:rFonts w:eastAsia="Times New Roman" w:hAnsi="Times New Roman" w:cs="Times New Roman"/>
        </w:rPr>
        <w:t>The model’s sensitivity to carbon pricing implies strong adaptability to future regulations and carbon tax fluctuations, ensuring long-term compliance and resilience.</w:t>
      </w:r>
    </w:p>
    <w:p w14:paraId="71227DE7" w14:textId="4AEF8550" w:rsidR="00031D67" w:rsidRDefault="00D1625C">
      <w:pPr>
        <w:spacing w:before="240" w:line="271" w:lineRule="auto"/>
      </w:pPr>
      <w:r>
        <w:rPr>
          <w:b/>
          <w:sz w:val="33"/>
        </w:rPr>
        <w:t>9</w:t>
      </w:r>
      <w:r w:rsidR="001966BC">
        <w:rPr>
          <w:b/>
          <w:sz w:val="33"/>
        </w:rPr>
        <w:t>.5 Limitations and Future Work</w:t>
      </w:r>
    </w:p>
    <w:p w14:paraId="53450638" w14:textId="77777777" w:rsidR="00031D67" w:rsidRDefault="00BA30C9">
      <w:pPr>
        <w:numPr>
          <w:ilvl w:val="0"/>
          <w:numId w:val="32"/>
        </w:numPr>
      </w:pPr>
      <w:r>
        <w:rPr>
          <w:b/>
        </w:rPr>
        <w:t>Data Dependency:</w:t>
      </w:r>
      <w:r>
        <w:t xml:space="preserve"> The LSTM model requires clean, structured historical data to perform effectively.</w:t>
      </w:r>
    </w:p>
    <w:p w14:paraId="1A0C8390" w14:textId="77777777" w:rsidR="00031D67" w:rsidRDefault="00BA30C9">
      <w:pPr>
        <w:numPr>
          <w:ilvl w:val="0"/>
          <w:numId w:val="32"/>
        </w:numPr>
      </w:pPr>
      <w:r>
        <w:rPr>
          <w:b/>
        </w:rPr>
        <w:t>Single-Echelon Focus:</w:t>
      </w:r>
      <w:r>
        <w:t xml:space="preserve"> This study considers a single-tier inventory system; future extensions can include multi-echelon networks.</w:t>
      </w:r>
    </w:p>
    <w:p w14:paraId="6D1FF065" w14:textId="77777777" w:rsidR="00031D67" w:rsidRDefault="00BA30C9">
      <w:pPr>
        <w:numPr>
          <w:ilvl w:val="0"/>
          <w:numId w:val="32"/>
        </w:numPr>
      </w:pPr>
      <w:r>
        <w:rPr>
          <w:b/>
        </w:rPr>
        <w:t>Stochastic Supply Conditions:</w:t>
      </w:r>
      <w:r>
        <w:t xml:space="preserve"> Lead time variability and supply disruptions were not included in this iteration.</w:t>
      </w:r>
    </w:p>
    <w:p w14:paraId="7D563EA9" w14:textId="20F63ECE" w:rsidR="00031D67" w:rsidRDefault="00D1625C">
      <w:pPr>
        <w:spacing w:before="240" w:line="271" w:lineRule="auto"/>
      </w:pPr>
      <w:r>
        <w:rPr>
          <w:b/>
          <w:sz w:val="42"/>
        </w:rPr>
        <w:t>10</w:t>
      </w:r>
      <w:r w:rsidR="001966BC">
        <w:rPr>
          <w:b/>
          <w:sz w:val="42"/>
        </w:rPr>
        <w:t>. Conclusion</w:t>
      </w:r>
    </w:p>
    <w:p w14:paraId="70AECFDB" w14:textId="77777777" w:rsidR="00031D67" w:rsidRDefault="00BA30C9" w:rsidP="0000221C">
      <w:pPr>
        <w:spacing w:after="220"/>
        <w:jc w:val="both"/>
      </w:pPr>
      <w:r>
        <w:t xml:space="preserve">This study proposed a </w:t>
      </w:r>
      <w:r>
        <w:rPr>
          <w:b/>
        </w:rPr>
        <w:t>Smart EOQ model</w:t>
      </w:r>
      <w:r>
        <w:t xml:space="preserve"> that integrates </w:t>
      </w:r>
      <w:r>
        <w:rPr>
          <w:b/>
        </w:rPr>
        <w:t>AI-based demand forecasting</w:t>
      </w:r>
      <w:r>
        <w:t xml:space="preserve">, </w:t>
      </w:r>
      <w:r>
        <w:rPr>
          <w:b/>
        </w:rPr>
        <w:t>green logistics considerations</w:t>
      </w:r>
      <w:r>
        <w:t xml:space="preserve">, and </w:t>
      </w:r>
      <w:r>
        <w:rPr>
          <w:b/>
        </w:rPr>
        <w:t>dynamic optimization</w:t>
      </w:r>
      <w:r>
        <w:t xml:space="preserve"> to modernize inventory management in sustainable supply chains. By leveraging Long Short-Term Memory (LSTM) networks for accurate demand prediction and incorporating carbon cost and emission constraints into the EOQ framework, the model effectively balances </w:t>
      </w:r>
      <w:r>
        <w:rPr>
          <w:b/>
        </w:rPr>
        <w:t>economic performance with environmental responsibility</w:t>
      </w:r>
      <w:r>
        <w:t>.</w:t>
      </w:r>
    </w:p>
    <w:p w14:paraId="7D68E523" w14:textId="77777777" w:rsidR="00031D67" w:rsidRDefault="00BA30C9">
      <w:pPr>
        <w:spacing w:after="220"/>
      </w:pPr>
      <w:r>
        <w:t>The results demonstrate that:</w:t>
      </w:r>
    </w:p>
    <w:p w14:paraId="3C2B752A" w14:textId="77777777" w:rsidR="00031D67" w:rsidRDefault="00BA30C9">
      <w:pPr>
        <w:numPr>
          <w:ilvl w:val="0"/>
          <w:numId w:val="33"/>
        </w:numPr>
      </w:pPr>
      <w:r>
        <w:rPr>
          <w:b/>
        </w:rPr>
        <w:t>AI-enhanced forecasts</w:t>
      </w:r>
      <w:r>
        <w:t xml:space="preserve"> significantly reduce uncertainty and improve inventory decisions,</w:t>
      </w:r>
    </w:p>
    <w:p w14:paraId="6A3A9310" w14:textId="77777777" w:rsidR="00031D67" w:rsidRDefault="00BA30C9">
      <w:pPr>
        <w:numPr>
          <w:ilvl w:val="0"/>
          <w:numId w:val="33"/>
        </w:numPr>
      </w:pPr>
      <w:r>
        <w:t xml:space="preserve">The model identifies </w:t>
      </w:r>
      <w:r>
        <w:rPr>
          <w:b/>
        </w:rPr>
        <w:t>cost-optimal order quantities</w:t>
      </w:r>
      <w:r>
        <w:t xml:space="preserve"> that also comply with </w:t>
      </w:r>
      <w:r>
        <w:rPr>
          <w:b/>
        </w:rPr>
        <w:t>emission thresholds</w:t>
      </w:r>
      <w:r>
        <w:t>,</w:t>
      </w:r>
    </w:p>
    <w:p w14:paraId="6428BF9A" w14:textId="77777777" w:rsidR="00031D67" w:rsidRDefault="00BA30C9">
      <w:pPr>
        <w:numPr>
          <w:ilvl w:val="0"/>
          <w:numId w:val="33"/>
        </w:numPr>
      </w:pPr>
      <w:r>
        <w:t xml:space="preserve">It remains resilient under various </w:t>
      </w:r>
      <w:r>
        <w:rPr>
          <w:b/>
        </w:rPr>
        <w:t>economic and regulatory conditions</w:t>
      </w:r>
      <w:r>
        <w:t>, including carbon pricing and demand volatility.</w:t>
      </w:r>
    </w:p>
    <w:p w14:paraId="0A4B5B47" w14:textId="77777777" w:rsidR="00031D67" w:rsidRDefault="00BA30C9" w:rsidP="0000221C">
      <w:pPr>
        <w:spacing w:after="220"/>
        <w:jc w:val="both"/>
      </w:pPr>
      <w:r>
        <w:t xml:space="preserve">This framework not only reduces total supply chain cost but also aligns with corporate sustainability goals and emerging environmental regulations. It provides a </w:t>
      </w:r>
      <w:r>
        <w:rPr>
          <w:b/>
        </w:rPr>
        <w:t>scalable and adaptive tool</w:t>
      </w:r>
      <w:r>
        <w:t xml:space="preserve"> for industries aiming to transition toward greener, smarter, and more resilient inventory systems.</w:t>
      </w:r>
    </w:p>
    <w:p w14:paraId="07F96E97" w14:textId="7C12B8D4" w:rsidR="00031D67" w:rsidRDefault="00BA30C9" w:rsidP="0000221C">
      <w:pPr>
        <w:spacing w:after="220"/>
        <w:jc w:val="both"/>
      </w:pPr>
      <w:r>
        <w:t xml:space="preserve">Future research could extend this work to </w:t>
      </w:r>
      <w:r>
        <w:rPr>
          <w:b/>
        </w:rPr>
        <w:t>multi-echelon networks</w:t>
      </w:r>
      <w:r>
        <w:t xml:space="preserve">, incorporate </w:t>
      </w:r>
      <w:r>
        <w:rPr>
          <w:b/>
        </w:rPr>
        <w:t>stochastic lead times</w:t>
      </w:r>
      <w:r>
        <w:t xml:space="preserve">, and integrate </w:t>
      </w:r>
      <w:r>
        <w:rPr>
          <w:b/>
        </w:rPr>
        <w:t>renewable energy-powered logistics</w:t>
      </w:r>
      <w:r>
        <w:t xml:space="preserve"> to further enhance sustainability.</w:t>
      </w:r>
    </w:p>
    <w:p w14:paraId="20BD2626" w14:textId="77777777" w:rsidR="00B625F6" w:rsidRDefault="00B625F6" w:rsidP="00B625F6">
      <w:r>
        <w:t>Disclaimer (Artificial intelligence)</w:t>
      </w:r>
    </w:p>
    <w:p w14:paraId="136D4AD0" w14:textId="77777777" w:rsidR="00B625F6" w:rsidRDefault="00B625F6" w:rsidP="00B625F6">
      <w:r>
        <w:t xml:space="preserve">Option 1: </w:t>
      </w:r>
    </w:p>
    <w:p w14:paraId="62DBBA38" w14:textId="77777777" w:rsidR="00B625F6" w:rsidRDefault="00B625F6" w:rsidP="00B625F6">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2283DA13" w14:textId="77777777" w:rsidR="00B625F6" w:rsidRDefault="00B625F6" w:rsidP="00B625F6">
      <w:r>
        <w:t xml:space="preserve">Option 2: </w:t>
      </w:r>
    </w:p>
    <w:p w14:paraId="3751DBAD" w14:textId="77777777" w:rsidR="00B625F6" w:rsidRDefault="00B625F6" w:rsidP="00B625F6">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A654E58" w14:textId="77777777" w:rsidR="00B625F6" w:rsidRDefault="00B625F6" w:rsidP="00B625F6">
      <w:r>
        <w:t>Details of the AI usage are given below:</w:t>
      </w:r>
    </w:p>
    <w:p w14:paraId="7B7B5F48" w14:textId="77777777" w:rsidR="00B625F6" w:rsidRDefault="00B625F6" w:rsidP="00B625F6">
      <w:r>
        <w:t>1.</w:t>
      </w:r>
    </w:p>
    <w:p w14:paraId="47033AC7" w14:textId="77777777" w:rsidR="00B625F6" w:rsidRDefault="00B625F6" w:rsidP="00B625F6">
      <w:r>
        <w:t>2.</w:t>
      </w:r>
    </w:p>
    <w:p w14:paraId="61F2B43D" w14:textId="77777777" w:rsidR="00B625F6" w:rsidRPr="00D047BB" w:rsidRDefault="00B625F6" w:rsidP="00B625F6">
      <w:r>
        <w:lastRenderedPageBreak/>
        <w:t>3.</w:t>
      </w:r>
    </w:p>
    <w:p w14:paraId="36F98118" w14:textId="77777777" w:rsidR="00B625F6" w:rsidRPr="0063354D" w:rsidRDefault="00B625F6" w:rsidP="00B625F6"/>
    <w:p w14:paraId="75498696" w14:textId="77777777" w:rsidR="00B625F6" w:rsidRDefault="00B625F6" w:rsidP="0000221C">
      <w:pPr>
        <w:spacing w:after="220"/>
        <w:jc w:val="both"/>
      </w:pPr>
    </w:p>
    <w:p w14:paraId="07144863" w14:textId="76E80492" w:rsidR="00031D67" w:rsidRDefault="00D1625C">
      <w:pPr>
        <w:spacing w:before="240" w:line="271" w:lineRule="auto"/>
      </w:pPr>
      <w:r>
        <w:rPr>
          <w:b/>
          <w:sz w:val="42"/>
        </w:rPr>
        <w:t>11</w:t>
      </w:r>
      <w:r w:rsidR="004F63E6">
        <w:rPr>
          <w:b/>
          <w:sz w:val="42"/>
        </w:rPr>
        <w:t>.</w:t>
      </w:r>
      <w:r w:rsidR="001966BC">
        <w:rPr>
          <w:b/>
          <w:sz w:val="42"/>
        </w:rPr>
        <w:t>References</w:t>
      </w:r>
    </w:p>
    <w:p w14:paraId="36FDB5FF" w14:textId="77777777" w:rsidR="00D1625C" w:rsidRPr="00D1625C" w:rsidRDefault="00D1625C" w:rsidP="00D1625C">
      <w:pPr>
        <w:spacing w:after="220"/>
        <w:jc w:val="both"/>
        <w:rPr>
          <w:rFonts w:eastAsia="Times New Roman" w:hAnsi="Times New Roman" w:cs="Times New Roman"/>
        </w:rPr>
      </w:pPr>
      <w:r w:rsidRPr="00D1625C">
        <w:rPr>
          <w:rFonts w:eastAsia="Times New Roman" w:hAnsi="Times New Roman" w:cs="Times New Roman"/>
        </w:rPr>
        <w:t xml:space="preserve">[1] F. W. Harris, “How many parts to make at once,” </w:t>
      </w:r>
      <w:r w:rsidRPr="00D1625C">
        <w:rPr>
          <w:rFonts w:eastAsia="Times New Roman" w:hAnsi="Times New Roman" w:cs="Times New Roman"/>
          <w:i/>
          <w:iCs/>
        </w:rPr>
        <w:t>Factory, The Magazine of Management</w:t>
      </w:r>
      <w:r w:rsidRPr="00D1625C">
        <w:rPr>
          <w:rFonts w:eastAsia="Times New Roman" w:hAnsi="Times New Roman" w:cs="Times New Roman"/>
        </w:rPr>
        <w:t>, vol. 10, no. 2, pp. 135–136, 1913.</w:t>
      </w:r>
      <w:r w:rsidRPr="00D1625C">
        <w:rPr>
          <w:rFonts w:eastAsia="Times New Roman" w:hAnsi="Times New Roman" w:cs="Times New Roman"/>
        </w:rPr>
        <w:br/>
      </w:r>
      <w:r w:rsidRPr="00D1625C">
        <w:rPr>
          <w:rFonts w:ascii="Segoe UI Emoji" w:eastAsia="Times New Roman" w:hAnsi="Segoe UI Emoji" w:cs="Segoe UI Emoji"/>
        </w:rPr>
        <w:t>🔗</w:t>
      </w:r>
      <w:r w:rsidRPr="00D1625C">
        <w:rPr>
          <w:rFonts w:eastAsia="Times New Roman" w:hAnsi="Times New Roman" w:cs="Times New Roman"/>
        </w:rPr>
        <w:t xml:space="preserve"> </w:t>
      </w:r>
      <w:hyperlink r:id="rId9" w:history="1">
        <w:r w:rsidRPr="00D1625C">
          <w:rPr>
            <w:rStyle w:val="Hyperlink"/>
            <w:rFonts w:eastAsia="Times New Roman" w:hAnsi="Times New Roman" w:cs="Times New Roman"/>
          </w:rPr>
          <w:t>Google Scholar</w:t>
        </w:r>
      </w:hyperlink>
    </w:p>
    <w:p w14:paraId="3E3BBC92" w14:textId="77777777" w:rsidR="00D1625C" w:rsidRPr="00D1625C" w:rsidRDefault="00D1625C" w:rsidP="00D1625C">
      <w:pPr>
        <w:spacing w:after="220"/>
        <w:jc w:val="both"/>
        <w:rPr>
          <w:rFonts w:eastAsia="Times New Roman" w:hAnsi="Times New Roman" w:cs="Times New Roman"/>
        </w:rPr>
      </w:pPr>
      <w:r w:rsidRPr="00D1625C">
        <w:rPr>
          <w:rFonts w:eastAsia="Times New Roman" w:hAnsi="Times New Roman" w:cs="Times New Roman"/>
        </w:rPr>
        <w:t xml:space="preserve">[2] P. </w:t>
      </w:r>
      <w:proofErr w:type="spellStart"/>
      <w:r w:rsidRPr="00D1625C">
        <w:rPr>
          <w:rFonts w:eastAsia="Times New Roman" w:hAnsi="Times New Roman" w:cs="Times New Roman"/>
        </w:rPr>
        <w:t>Zipkin</w:t>
      </w:r>
      <w:proofErr w:type="spellEnd"/>
      <w:r w:rsidRPr="00D1625C">
        <w:rPr>
          <w:rFonts w:eastAsia="Times New Roman" w:hAnsi="Times New Roman" w:cs="Times New Roman"/>
        </w:rPr>
        <w:t xml:space="preserve">, </w:t>
      </w:r>
      <w:r w:rsidRPr="00D1625C">
        <w:rPr>
          <w:rFonts w:eastAsia="Times New Roman" w:hAnsi="Times New Roman" w:cs="Times New Roman"/>
          <w:i/>
          <w:iCs/>
        </w:rPr>
        <w:t>Foundations of Inventory Management</w:t>
      </w:r>
      <w:r w:rsidRPr="00D1625C">
        <w:rPr>
          <w:rFonts w:eastAsia="Times New Roman" w:hAnsi="Times New Roman" w:cs="Times New Roman"/>
        </w:rPr>
        <w:t>. Boston, MA: McGraw-Hill, 2000.</w:t>
      </w:r>
      <w:r w:rsidRPr="00D1625C">
        <w:rPr>
          <w:rFonts w:eastAsia="Times New Roman" w:hAnsi="Times New Roman" w:cs="Times New Roman"/>
        </w:rPr>
        <w:br/>
      </w:r>
      <w:r w:rsidRPr="00D1625C">
        <w:rPr>
          <w:rFonts w:ascii="Segoe UI Emoji" w:eastAsia="Times New Roman" w:hAnsi="Segoe UI Emoji" w:cs="Segoe UI Emoji"/>
        </w:rPr>
        <w:t>🔗</w:t>
      </w:r>
      <w:r w:rsidRPr="00D1625C">
        <w:rPr>
          <w:rFonts w:eastAsia="Times New Roman" w:hAnsi="Times New Roman" w:cs="Times New Roman"/>
        </w:rPr>
        <w:t xml:space="preserve"> </w:t>
      </w:r>
      <w:hyperlink r:id="rId10" w:history="1">
        <w:r w:rsidRPr="00D1625C">
          <w:rPr>
            <w:rStyle w:val="Hyperlink"/>
            <w:rFonts w:eastAsia="Times New Roman" w:hAnsi="Times New Roman" w:cs="Times New Roman"/>
          </w:rPr>
          <w:t>Google Scholar</w:t>
        </w:r>
      </w:hyperlink>
    </w:p>
    <w:p w14:paraId="14BE0B14" w14:textId="77777777" w:rsidR="00D1625C" w:rsidRPr="00D1625C" w:rsidRDefault="00D1625C" w:rsidP="00D1625C">
      <w:pPr>
        <w:spacing w:after="220"/>
        <w:jc w:val="both"/>
        <w:rPr>
          <w:rFonts w:eastAsia="Times New Roman" w:hAnsi="Times New Roman" w:cs="Times New Roman"/>
        </w:rPr>
      </w:pPr>
      <w:r w:rsidRPr="00D1625C">
        <w:rPr>
          <w:rFonts w:eastAsia="Times New Roman" w:hAnsi="Times New Roman" w:cs="Times New Roman"/>
        </w:rPr>
        <w:t xml:space="preserve">[3] Y. </w:t>
      </w:r>
      <w:proofErr w:type="spellStart"/>
      <w:r w:rsidRPr="00D1625C">
        <w:rPr>
          <w:rFonts w:eastAsia="Times New Roman" w:hAnsi="Times New Roman" w:cs="Times New Roman"/>
        </w:rPr>
        <w:t>Sheffi</w:t>
      </w:r>
      <w:proofErr w:type="spellEnd"/>
      <w:r w:rsidRPr="00D1625C">
        <w:rPr>
          <w:rFonts w:eastAsia="Times New Roman" w:hAnsi="Times New Roman" w:cs="Times New Roman"/>
        </w:rPr>
        <w:t xml:space="preserve">, “Supply chain management under the threat of international terrorism,” </w:t>
      </w:r>
      <w:r w:rsidRPr="00D1625C">
        <w:rPr>
          <w:rFonts w:eastAsia="Times New Roman" w:hAnsi="Times New Roman" w:cs="Times New Roman"/>
          <w:i/>
          <w:iCs/>
        </w:rPr>
        <w:t xml:space="preserve">Int. J. </w:t>
      </w:r>
      <w:proofErr w:type="spellStart"/>
      <w:r w:rsidRPr="00D1625C">
        <w:rPr>
          <w:rFonts w:eastAsia="Times New Roman" w:hAnsi="Times New Roman" w:cs="Times New Roman"/>
          <w:i/>
          <w:iCs/>
        </w:rPr>
        <w:t>Logist</w:t>
      </w:r>
      <w:proofErr w:type="spellEnd"/>
      <w:r w:rsidRPr="00D1625C">
        <w:rPr>
          <w:rFonts w:eastAsia="Times New Roman" w:hAnsi="Times New Roman" w:cs="Times New Roman"/>
          <w:i/>
          <w:iCs/>
        </w:rPr>
        <w:t xml:space="preserve">. </w:t>
      </w:r>
      <w:proofErr w:type="spellStart"/>
      <w:r w:rsidRPr="00D1625C">
        <w:rPr>
          <w:rFonts w:eastAsia="Times New Roman" w:hAnsi="Times New Roman" w:cs="Times New Roman"/>
          <w:i/>
          <w:iCs/>
        </w:rPr>
        <w:t>Manag</w:t>
      </w:r>
      <w:proofErr w:type="spellEnd"/>
      <w:r w:rsidRPr="00D1625C">
        <w:rPr>
          <w:rFonts w:eastAsia="Times New Roman" w:hAnsi="Times New Roman" w:cs="Times New Roman"/>
          <w:i/>
          <w:iCs/>
        </w:rPr>
        <w:t>.</w:t>
      </w:r>
      <w:r w:rsidRPr="00D1625C">
        <w:rPr>
          <w:rFonts w:eastAsia="Times New Roman" w:hAnsi="Times New Roman" w:cs="Times New Roman"/>
        </w:rPr>
        <w:t>, vol. 12, no. 2, pp. 1–11, 2001.</w:t>
      </w:r>
      <w:r w:rsidRPr="00D1625C">
        <w:rPr>
          <w:rFonts w:eastAsia="Times New Roman" w:hAnsi="Times New Roman" w:cs="Times New Roman"/>
        </w:rPr>
        <w:br/>
      </w:r>
      <w:r w:rsidRPr="00D1625C">
        <w:rPr>
          <w:rFonts w:ascii="Segoe UI Emoji" w:eastAsia="Times New Roman" w:hAnsi="Segoe UI Emoji" w:cs="Segoe UI Emoji"/>
        </w:rPr>
        <w:t>🔗</w:t>
      </w:r>
      <w:r w:rsidRPr="00D1625C">
        <w:rPr>
          <w:rFonts w:eastAsia="Times New Roman" w:hAnsi="Times New Roman" w:cs="Times New Roman"/>
        </w:rPr>
        <w:t xml:space="preserve"> </w:t>
      </w:r>
      <w:hyperlink r:id="rId11" w:history="1">
        <w:r w:rsidRPr="00D1625C">
          <w:rPr>
            <w:rStyle w:val="Hyperlink"/>
            <w:rFonts w:eastAsia="Times New Roman" w:hAnsi="Times New Roman" w:cs="Times New Roman"/>
          </w:rPr>
          <w:t>Google Scholar</w:t>
        </w:r>
      </w:hyperlink>
    </w:p>
    <w:p w14:paraId="59BBB02B" w14:textId="77777777" w:rsidR="00D1625C" w:rsidRPr="00D1625C" w:rsidRDefault="00D1625C" w:rsidP="00D1625C">
      <w:pPr>
        <w:spacing w:after="220"/>
        <w:jc w:val="both"/>
        <w:rPr>
          <w:rFonts w:eastAsia="Times New Roman" w:hAnsi="Times New Roman" w:cs="Times New Roman"/>
        </w:rPr>
      </w:pPr>
      <w:r w:rsidRPr="00D1625C">
        <w:rPr>
          <w:rFonts w:eastAsia="Times New Roman" w:hAnsi="Times New Roman" w:cs="Times New Roman"/>
        </w:rPr>
        <w:t xml:space="preserve">[4] M. J. Christopher and H. Lee, “Mitigating supply chain risk through improved confidence,” </w:t>
      </w:r>
      <w:r w:rsidRPr="00D1625C">
        <w:rPr>
          <w:rFonts w:eastAsia="Times New Roman" w:hAnsi="Times New Roman" w:cs="Times New Roman"/>
          <w:i/>
          <w:iCs/>
        </w:rPr>
        <w:t xml:space="preserve">Int. J. Phys. </w:t>
      </w:r>
      <w:proofErr w:type="spellStart"/>
      <w:r w:rsidRPr="00D1625C">
        <w:rPr>
          <w:rFonts w:eastAsia="Times New Roman" w:hAnsi="Times New Roman" w:cs="Times New Roman"/>
          <w:i/>
          <w:iCs/>
        </w:rPr>
        <w:t>Distrib</w:t>
      </w:r>
      <w:proofErr w:type="spellEnd"/>
      <w:r w:rsidRPr="00D1625C">
        <w:rPr>
          <w:rFonts w:eastAsia="Times New Roman" w:hAnsi="Times New Roman" w:cs="Times New Roman"/>
          <w:i/>
          <w:iCs/>
        </w:rPr>
        <w:t xml:space="preserve">. </w:t>
      </w:r>
      <w:proofErr w:type="spellStart"/>
      <w:r w:rsidRPr="00D1625C">
        <w:rPr>
          <w:rFonts w:eastAsia="Times New Roman" w:hAnsi="Times New Roman" w:cs="Times New Roman"/>
          <w:i/>
          <w:iCs/>
        </w:rPr>
        <w:t>Logist</w:t>
      </w:r>
      <w:proofErr w:type="spellEnd"/>
      <w:r w:rsidRPr="00D1625C">
        <w:rPr>
          <w:rFonts w:eastAsia="Times New Roman" w:hAnsi="Times New Roman" w:cs="Times New Roman"/>
          <w:i/>
          <w:iCs/>
        </w:rPr>
        <w:t xml:space="preserve">. </w:t>
      </w:r>
      <w:proofErr w:type="spellStart"/>
      <w:r w:rsidRPr="00D1625C">
        <w:rPr>
          <w:rFonts w:eastAsia="Times New Roman" w:hAnsi="Times New Roman" w:cs="Times New Roman"/>
          <w:i/>
          <w:iCs/>
        </w:rPr>
        <w:t>Manag</w:t>
      </w:r>
      <w:proofErr w:type="spellEnd"/>
      <w:r w:rsidRPr="00D1625C">
        <w:rPr>
          <w:rFonts w:eastAsia="Times New Roman" w:hAnsi="Times New Roman" w:cs="Times New Roman"/>
          <w:i/>
          <w:iCs/>
        </w:rPr>
        <w:t>.</w:t>
      </w:r>
      <w:r w:rsidRPr="00D1625C">
        <w:rPr>
          <w:rFonts w:eastAsia="Times New Roman" w:hAnsi="Times New Roman" w:cs="Times New Roman"/>
        </w:rPr>
        <w:t>, vol. 34, no. 5, pp. 388–396, 2004.</w:t>
      </w:r>
      <w:r w:rsidRPr="00D1625C">
        <w:rPr>
          <w:rFonts w:eastAsia="Times New Roman" w:hAnsi="Times New Roman" w:cs="Times New Roman"/>
        </w:rPr>
        <w:br/>
      </w:r>
      <w:r w:rsidRPr="00D1625C">
        <w:rPr>
          <w:rFonts w:ascii="Segoe UI Emoji" w:eastAsia="Times New Roman" w:hAnsi="Segoe UI Emoji" w:cs="Segoe UI Emoji"/>
        </w:rPr>
        <w:t>🔗</w:t>
      </w:r>
      <w:r w:rsidRPr="00D1625C">
        <w:rPr>
          <w:rFonts w:eastAsia="Times New Roman" w:hAnsi="Times New Roman" w:cs="Times New Roman"/>
        </w:rPr>
        <w:t xml:space="preserve"> </w:t>
      </w:r>
      <w:hyperlink r:id="rId12" w:history="1">
        <w:r w:rsidRPr="00D1625C">
          <w:rPr>
            <w:rStyle w:val="Hyperlink"/>
            <w:rFonts w:eastAsia="Times New Roman" w:hAnsi="Times New Roman" w:cs="Times New Roman"/>
          </w:rPr>
          <w:t>Google Scholar</w:t>
        </w:r>
      </w:hyperlink>
    </w:p>
    <w:p w14:paraId="10623A6A" w14:textId="77777777" w:rsidR="00D1625C" w:rsidRPr="00D1625C" w:rsidRDefault="00D1625C" w:rsidP="00D1625C">
      <w:pPr>
        <w:spacing w:after="220"/>
        <w:jc w:val="both"/>
        <w:rPr>
          <w:rFonts w:eastAsia="Times New Roman" w:hAnsi="Times New Roman" w:cs="Times New Roman"/>
        </w:rPr>
      </w:pPr>
      <w:r w:rsidRPr="00D1625C">
        <w:rPr>
          <w:rFonts w:eastAsia="Times New Roman" w:hAnsi="Times New Roman" w:cs="Times New Roman"/>
        </w:rPr>
        <w:t xml:space="preserve">[5] S. Chopra and P. </w:t>
      </w:r>
      <w:proofErr w:type="spellStart"/>
      <w:r w:rsidRPr="00D1625C">
        <w:rPr>
          <w:rFonts w:eastAsia="Times New Roman" w:hAnsi="Times New Roman" w:cs="Times New Roman"/>
        </w:rPr>
        <w:t>Meindl</w:t>
      </w:r>
      <w:proofErr w:type="spellEnd"/>
      <w:r w:rsidRPr="00D1625C">
        <w:rPr>
          <w:rFonts w:eastAsia="Times New Roman" w:hAnsi="Times New Roman" w:cs="Times New Roman"/>
        </w:rPr>
        <w:t xml:space="preserve">, </w:t>
      </w:r>
      <w:r w:rsidRPr="00D1625C">
        <w:rPr>
          <w:rFonts w:eastAsia="Times New Roman" w:hAnsi="Times New Roman" w:cs="Times New Roman"/>
          <w:i/>
          <w:iCs/>
        </w:rPr>
        <w:t>Supply Chain Management: Strategy, Planning, and Operation</w:t>
      </w:r>
      <w:r w:rsidRPr="00D1625C">
        <w:rPr>
          <w:rFonts w:eastAsia="Times New Roman" w:hAnsi="Times New Roman" w:cs="Times New Roman"/>
        </w:rPr>
        <w:t>, 7th ed. Pearson, 2019.</w:t>
      </w:r>
      <w:r w:rsidRPr="00D1625C">
        <w:rPr>
          <w:rFonts w:eastAsia="Times New Roman" w:hAnsi="Times New Roman" w:cs="Times New Roman"/>
        </w:rPr>
        <w:br/>
      </w:r>
      <w:r w:rsidRPr="00D1625C">
        <w:rPr>
          <w:rFonts w:ascii="Segoe UI Emoji" w:eastAsia="Times New Roman" w:hAnsi="Segoe UI Emoji" w:cs="Segoe UI Emoji"/>
        </w:rPr>
        <w:t>🔗</w:t>
      </w:r>
      <w:r w:rsidRPr="00D1625C">
        <w:rPr>
          <w:rFonts w:eastAsia="Times New Roman" w:hAnsi="Times New Roman" w:cs="Times New Roman"/>
        </w:rPr>
        <w:t xml:space="preserve"> </w:t>
      </w:r>
      <w:hyperlink r:id="rId13" w:history="1">
        <w:r w:rsidRPr="00D1625C">
          <w:rPr>
            <w:rStyle w:val="Hyperlink"/>
            <w:rFonts w:eastAsia="Times New Roman" w:hAnsi="Times New Roman" w:cs="Times New Roman"/>
          </w:rPr>
          <w:t>Google Scholar</w:t>
        </w:r>
      </w:hyperlink>
    </w:p>
    <w:p w14:paraId="2367B15A" w14:textId="77777777" w:rsidR="00D1625C" w:rsidRPr="00D1625C" w:rsidRDefault="00D1625C" w:rsidP="00D1625C">
      <w:pPr>
        <w:spacing w:after="220"/>
        <w:jc w:val="both"/>
        <w:rPr>
          <w:rFonts w:eastAsia="Times New Roman" w:hAnsi="Times New Roman" w:cs="Times New Roman"/>
        </w:rPr>
      </w:pPr>
      <w:r w:rsidRPr="00D1625C">
        <w:rPr>
          <w:rFonts w:eastAsia="Times New Roman" w:hAnsi="Times New Roman" w:cs="Times New Roman"/>
        </w:rPr>
        <w:t xml:space="preserve">[6] A. </w:t>
      </w:r>
      <w:proofErr w:type="spellStart"/>
      <w:r w:rsidRPr="00D1625C">
        <w:rPr>
          <w:rFonts w:eastAsia="Times New Roman" w:hAnsi="Times New Roman" w:cs="Times New Roman"/>
        </w:rPr>
        <w:t>Carbonneau</w:t>
      </w:r>
      <w:proofErr w:type="spellEnd"/>
      <w:r w:rsidRPr="00D1625C">
        <w:rPr>
          <w:rFonts w:eastAsia="Times New Roman" w:hAnsi="Times New Roman" w:cs="Times New Roman"/>
        </w:rPr>
        <w:t xml:space="preserve">, R. Laframboise, and R. </w:t>
      </w:r>
      <w:proofErr w:type="spellStart"/>
      <w:r w:rsidRPr="00D1625C">
        <w:rPr>
          <w:rFonts w:eastAsia="Times New Roman" w:hAnsi="Times New Roman" w:cs="Times New Roman"/>
        </w:rPr>
        <w:t>Vahidov</w:t>
      </w:r>
      <w:proofErr w:type="spellEnd"/>
      <w:r w:rsidRPr="00D1625C">
        <w:rPr>
          <w:rFonts w:eastAsia="Times New Roman" w:hAnsi="Times New Roman" w:cs="Times New Roman"/>
        </w:rPr>
        <w:t xml:space="preserve">, “Application of machine learning techniques for supply chain demand forecasting,” </w:t>
      </w:r>
      <w:r w:rsidRPr="00D1625C">
        <w:rPr>
          <w:rFonts w:eastAsia="Times New Roman" w:hAnsi="Times New Roman" w:cs="Times New Roman"/>
          <w:i/>
          <w:iCs/>
        </w:rPr>
        <w:t xml:space="preserve">Eur. J. </w:t>
      </w:r>
      <w:proofErr w:type="spellStart"/>
      <w:r w:rsidRPr="00D1625C">
        <w:rPr>
          <w:rFonts w:eastAsia="Times New Roman" w:hAnsi="Times New Roman" w:cs="Times New Roman"/>
          <w:i/>
          <w:iCs/>
        </w:rPr>
        <w:t>Oper</w:t>
      </w:r>
      <w:proofErr w:type="spellEnd"/>
      <w:r w:rsidRPr="00D1625C">
        <w:rPr>
          <w:rFonts w:eastAsia="Times New Roman" w:hAnsi="Times New Roman" w:cs="Times New Roman"/>
          <w:i/>
          <w:iCs/>
        </w:rPr>
        <w:t>. Res.</w:t>
      </w:r>
      <w:r w:rsidRPr="00D1625C">
        <w:rPr>
          <w:rFonts w:eastAsia="Times New Roman" w:hAnsi="Times New Roman" w:cs="Times New Roman"/>
        </w:rPr>
        <w:t>, vol. 184, no. 3, pp. 1140–1154, 2008.</w:t>
      </w:r>
      <w:r w:rsidRPr="00D1625C">
        <w:rPr>
          <w:rFonts w:eastAsia="Times New Roman" w:hAnsi="Times New Roman" w:cs="Times New Roman"/>
        </w:rPr>
        <w:br/>
      </w:r>
      <w:r w:rsidRPr="00D1625C">
        <w:rPr>
          <w:rFonts w:ascii="Segoe UI Emoji" w:eastAsia="Times New Roman" w:hAnsi="Segoe UI Emoji" w:cs="Segoe UI Emoji"/>
        </w:rPr>
        <w:t>🔗</w:t>
      </w:r>
      <w:r w:rsidRPr="00D1625C">
        <w:rPr>
          <w:rFonts w:eastAsia="Times New Roman" w:hAnsi="Times New Roman" w:cs="Times New Roman"/>
        </w:rPr>
        <w:t xml:space="preserve"> </w:t>
      </w:r>
      <w:hyperlink r:id="rId14" w:history="1">
        <w:r w:rsidRPr="00D1625C">
          <w:rPr>
            <w:rStyle w:val="Hyperlink"/>
            <w:rFonts w:eastAsia="Times New Roman" w:hAnsi="Times New Roman" w:cs="Times New Roman"/>
          </w:rPr>
          <w:t>Google Scholar</w:t>
        </w:r>
      </w:hyperlink>
    </w:p>
    <w:p w14:paraId="5C0B900D" w14:textId="77777777" w:rsidR="00D1625C" w:rsidRPr="00D1625C" w:rsidRDefault="00D1625C" w:rsidP="00D1625C">
      <w:pPr>
        <w:spacing w:after="220"/>
        <w:jc w:val="both"/>
        <w:rPr>
          <w:rFonts w:eastAsia="Times New Roman" w:hAnsi="Times New Roman" w:cs="Times New Roman"/>
        </w:rPr>
      </w:pPr>
      <w:r w:rsidRPr="00D1625C">
        <w:rPr>
          <w:rFonts w:eastAsia="Times New Roman" w:hAnsi="Times New Roman" w:cs="Times New Roman"/>
        </w:rPr>
        <w:t xml:space="preserve">[7] L. </w:t>
      </w:r>
      <w:proofErr w:type="spellStart"/>
      <w:r w:rsidRPr="00D1625C">
        <w:rPr>
          <w:rFonts w:eastAsia="Times New Roman" w:hAnsi="Times New Roman" w:cs="Times New Roman"/>
        </w:rPr>
        <w:t>Seuring</w:t>
      </w:r>
      <w:proofErr w:type="spellEnd"/>
      <w:r w:rsidRPr="00D1625C">
        <w:rPr>
          <w:rFonts w:eastAsia="Times New Roman" w:hAnsi="Times New Roman" w:cs="Times New Roman"/>
        </w:rPr>
        <w:t xml:space="preserve"> and M. Müller, “From a literature review to a conceptual framework for sustainable supply chain management,” </w:t>
      </w:r>
      <w:r w:rsidRPr="00D1625C">
        <w:rPr>
          <w:rFonts w:eastAsia="Times New Roman" w:hAnsi="Times New Roman" w:cs="Times New Roman"/>
          <w:i/>
          <w:iCs/>
        </w:rPr>
        <w:t>J. Clean. Prod.</w:t>
      </w:r>
      <w:r w:rsidRPr="00D1625C">
        <w:rPr>
          <w:rFonts w:eastAsia="Times New Roman" w:hAnsi="Times New Roman" w:cs="Times New Roman"/>
        </w:rPr>
        <w:t>, vol. 16, no. 15, pp. 1699–1710, 2008.</w:t>
      </w:r>
      <w:r w:rsidRPr="00D1625C">
        <w:rPr>
          <w:rFonts w:eastAsia="Times New Roman" w:hAnsi="Times New Roman" w:cs="Times New Roman"/>
        </w:rPr>
        <w:br/>
      </w:r>
      <w:r w:rsidRPr="00D1625C">
        <w:rPr>
          <w:rFonts w:ascii="Segoe UI Emoji" w:eastAsia="Times New Roman" w:hAnsi="Segoe UI Emoji" w:cs="Segoe UI Emoji"/>
        </w:rPr>
        <w:t>🔗</w:t>
      </w:r>
      <w:r w:rsidRPr="00D1625C">
        <w:rPr>
          <w:rFonts w:eastAsia="Times New Roman" w:hAnsi="Times New Roman" w:cs="Times New Roman"/>
        </w:rPr>
        <w:t xml:space="preserve"> </w:t>
      </w:r>
      <w:hyperlink r:id="rId15" w:history="1">
        <w:r w:rsidRPr="00D1625C">
          <w:rPr>
            <w:rStyle w:val="Hyperlink"/>
            <w:rFonts w:eastAsia="Times New Roman" w:hAnsi="Times New Roman" w:cs="Times New Roman"/>
          </w:rPr>
          <w:t>Google Scholar</w:t>
        </w:r>
      </w:hyperlink>
    </w:p>
    <w:p w14:paraId="069A5166" w14:textId="77777777" w:rsidR="00250C3F" w:rsidRDefault="00250C3F" w:rsidP="00D1625C">
      <w:pPr>
        <w:spacing w:after="220"/>
        <w:jc w:val="both"/>
        <w:rPr>
          <w:rFonts w:eastAsia="Times New Roman" w:hAnsi="Times New Roman" w:cs="Times New Roman"/>
        </w:rPr>
      </w:pPr>
      <w:r w:rsidRPr="00250C3F">
        <w:rPr>
          <w:rFonts w:eastAsia="Times New Roman" w:hAnsi="Times New Roman" w:cs="Times New Roman"/>
        </w:rPr>
        <w:t xml:space="preserve">Wang, H. (2025). Agricultural Product Supply Chain Inventory Control and Allocation Decision Support System Integrating Artificial Intelligence Technology. International Journal of </w:t>
      </w:r>
      <w:proofErr w:type="gramStart"/>
      <w:r w:rsidRPr="00250C3F">
        <w:rPr>
          <w:rFonts w:eastAsia="Times New Roman" w:hAnsi="Times New Roman" w:cs="Times New Roman"/>
        </w:rPr>
        <w:t>High Speed</w:t>
      </w:r>
      <w:proofErr w:type="gramEnd"/>
      <w:r w:rsidRPr="00250C3F">
        <w:rPr>
          <w:rFonts w:eastAsia="Times New Roman" w:hAnsi="Times New Roman" w:cs="Times New Roman"/>
        </w:rPr>
        <w:t xml:space="preserve"> Electronics and Systems, 2540556. </w:t>
      </w:r>
    </w:p>
    <w:p w14:paraId="63678CDE" w14:textId="6345C4C3" w:rsidR="00D1625C" w:rsidRPr="00D1625C" w:rsidRDefault="00D1625C" w:rsidP="00D1625C">
      <w:pPr>
        <w:spacing w:after="220"/>
        <w:jc w:val="both"/>
        <w:rPr>
          <w:rFonts w:eastAsia="Times New Roman" w:hAnsi="Times New Roman" w:cs="Times New Roman"/>
        </w:rPr>
      </w:pPr>
      <w:r w:rsidRPr="00D1625C">
        <w:rPr>
          <w:rFonts w:eastAsia="Times New Roman" w:hAnsi="Times New Roman" w:cs="Times New Roman"/>
        </w:rPr>
        <w:t xml:space="preserve">[9] R. Dekker, M. Fleischmann, K. </w:t>
      </w:r>
      <w:proofErr w:type="spellStart"/>
      <w:r w:rsidRPr="00D1625C">
        <w:rPr>
          <w:rFonts w:eastAsia="Times New Roman" w:hAnsi="Times New Roman" w:cs="Times New Roman"/>
        </w:rPr>
        <w:t>Inderfurth</w:t>
      </w:r>
      <w:proofErr w:type="spellEnd"/>
      <w:r w:rsidRPr="00D1625C">
        <w:rPr>
          <w:rFonts w:eastAsia="Times New Roman" w:hAnsi="Times New Roman" w:cs="Times New Roman"/>
        </w:rPr>
        <w:t xml:space="preserve">, and L. N. Van </w:t>
      </w:r>
      <w:proofErr w:type="spellStart"/>
      <w:r w:rsidRPr="00D1625C">
        <w:rPr>
          <w:rFonts w:eastAsia="Times New Roman" w:hAnsi="Times New Roman" w:cs="Times New Roman"/>
        </w:rPr>
        <w:t>Wassenhove</w:t>
      </w:r>
      <w:proofErr w:type="spellEnd"/>
      <w:r w:rsidRPr="00D1625C">
        <w:rPr>
          <w:rFonts w:eastAsia="Times New Roman" w:hAnsi="Times New Roman" w:cs="Times New Roman"/>
        </w:rPr>
        <w:t xml:space="preserve">, </w:t>
      </w:r>
      <w:r w:rsidRPr="00D1625C">
        <w:rPr>
          <w:rFonts w:eastAsia="Times New Roman" w:hAnsi="Times New Roman" w:cs="Times New Roman"/>
          <w:i/>
          <w:iCs/>
        </w:rPr>
        <w:t>Reverse Logistics: Quantitative Models for Closed-Loop Supply Chains</w:t>
      </w:r>
      <w:r w:rsidRPr="00D1625C">
        <w:rPr>
          <w:rFonts w:eastAsia="Times New Roman" w:hAnsi="Times New Roman" w:cs="Times New Roman"/>
        </w:rPr>
        <w:t>. Springer, 2004.</w:t>
      </w:r>
      <w:r w:rsidRPr="00D1625C">
        <w:rPr>
          <w:rFonts w:eastAsia="Times New Roman" w:hAnsi="Times New Roman" w:cs="Times New Roman"/>
        </w:rPr>
        <w:br/>
      </w:r>
      <w:r w:rsidRPr="00D1625C">
        <w:rPr>
          <w:rFonts w:ascii="Segoe UI Emoji" w:eastAsia="Times New Roman" w:hAnsi="Segoe UI Emoji" w:cs="Segoe UI Emoji"/>
        </w:rPr>
        <w:t>🔗</w:t>
      </w:r>
      <w:r w:rsidRPr="00D1625C">
        <w:rPr>
          <w:rFonts w:eastAsia="Times New Roman" w:hAnsi="Times New Roman" w:cs="Times New Roman"/>
        </w:rPr>
        <w:t xml:space="preserve"> </w:t>
      </w:r>
      <w:hyperlink r:id="rId16" w:history="1">
        <w:r w:rsidRPr="00D1625C">
          <w:rPr>
            <w:rStyle w:val="Hyperlink"/>
            <w:rFonts w:eastAsia="Times New Roman" w:hAnsi="Times New Roman" w:cs="Times New Roman"/>
          </w:rPr>
          <w:t>Google Scholar</w:t>
        </w:r>
      </w:hyperlink>
    </w:p>
    <w:p w14:paraId="0B914892" w14:textId="77777777" w:rsidR="00250C3F" w:rsidRDefault="00250C3F" w:rsidP="00D1625C">
      <w:pPr>
        <w:spacing w:after="220"/>
        <w:jc w:val="both"/>
        <w:rPr>
          <w:rFonts w:eastAsia="Times New Roman" w:hAnsi="Times New Roman" w:cs="Times New Roman"/>
        </w:rPr>
      </w:pPr>
      <w:r w:rsidRPr="00250C3F">
        <w:rPr>
          <w:rFonts w:eastAsia="Times New Roman" w:hAnsi="Times New Roman" w:cs="Times New Roman"/>
        </w:rPr>
        <w:t xml:space="preserve">Kumari, M., De, P. K., Narang, P., &amp; Shah, N. H. (2023). Integrated optimization of inventory, replenishment, and vehicle routing for a sustainable supply chain utilizing a novel hybrid algorithm with carbon emission regulation. Expert Systems with Applications, 220, 119667. </w:t>
      </w:r>
    </w:p>
    <w:p w14:paraId="57CDE341" w14:textId="77777777" w:rsidR="00250C3F" w:rsidRDefault="00250C3F" w:rsidP="00D1625C">
      <w:pPr>
        <w:spacing w:after="220"/>
        <w:jc w:val="both"/>
        <w:rPr>
          <w:rFonts w:eastAsia="Times New Roman" w:hAnsi="Times New Roman" w:cs="Times New Roman"/>
        </w:rPr>
      </w:pPr>
      <w:r w:rsidRPr="00250C3F">
        <w:rPr>
          <w:rFonts w:eastAsia="Times New Roman" w:hAnsi="Times New Roman" w:cs="Times New Roman"/>
        </w:rPr>
        <w:t xml:space="preserve">Rahman, M. S., Manna, A. K., Shaikh, A. A., </w:t>
      </w:r>
      <w:proofErr w:type="spellStart"/>
      <w:r w:rsidRPr="00250C3F">
        <w:rPr>
          <w:rFonts w:eastAsia="Times New Roman" w:hAnsi="Times New Roman" w:cs="Times New Roman"/>
        </w:rPr>
        <w:t>Konstantaras</w:t>
      </w:r>
      <w:proofErr w:type="spellEnd"/>
      <w:r w:rsidRPr="00250C3F">
        <w:rPr>
          <w:rFonts w:eastAsia="Times New Roman" w:hAnsi="Times New Roman" w:cs="Times New Roman"/>
        </w:rPr>
        <w:t xml:space="preserve">, I., &amp; </w:t>
      </w:r>
      <w:proofErr w:type="spellStart"/>
      <w:r w:rsidRPr="00250C3F">
        <w:rPr>
          <w:rFonts w:eastAsia="Times New Roman" w:hAnsi="Times New Roman" w:cs="Times New Roman"/>
        </w:rPr>
        <w:t>Bhunia</w:t>
      </w:r>
      <w:proofErr w:type="spellEnd"/>
      <w:r w:rsidRPr="00250C3F">
        <w:rPr>
          <w:rFonts w:eastAsia="Times New Roman" w:hAnsi="Times New Roman" w:cs="Times New Roman"/>
        </w:rPr>
        <w:t xml:space="preserve">, A. K. (2023). Optimal decision making, using interval uncertainty techniques, of a production-inventory model under warranty-linked demand and carbon tax regulations. Soft Computing, 27(6), 2903-2920. </w:t>
      </w:r>
    </w:p>
    <w:p w14:paraId="087D032A" w14:textId="1BE008C1" w:rsidR="00D1625C" w:rsidRPr="00D1625C" w:rsidRDefault="00D1625C" w:rsidP="00D1625C">
      <w:pPr>
        <w:spacing w:after="220"/>
        <w:jc w:val="both"/>
        <w:rPr>
          <w:rFonts w:eastAsia="Times New Roman" w:hAnsi="Times New Roman" w:cs="Times New Roman"/>
        </w:rPr>
      </w:pPr>
      <w:r w:rsidRPr="00D1625C">
        <w:rPr>
          <w:rFonts w:eastAsia="Times New Roman" w:hAnsi="Times New Roman" w:cs="Times New Roman"/>
        </w:rPr>
        <w:lastRenderedPageBreak/>
        <w:t>[12</w:t>
      </w:r>
      <w:r w:rsidRPr="00D243C4">
        <w:rPr>
          <w:rFonts w:eastAsia="Times New Roman" w:hAnsi="Times New Roman" w:cs="Times New Roman"/>
          <w:highlight w:val="red"/>
        </w:rPr>
        <w:t xml:space="preserve">] </w:t>
      </w:r>
      <w:r w:rsidR="00250C3F" w:rsidRPr="00250C3F">
        <w:rPr>
          <w:rFonts w:eastAsia="Times New Roman" w:hAnsi="Times New Roman" w:cs="Times New Roman"/>
        </w:rPr>
        <w:t xml:space="preserve">Paul, A., </w:t>
      </w:r>
      <w:proofErr w:type="spellStart"/>
      <w:r w:rsidR="00250C3F" w:rsidRPr="00250C3F">
        <w:rPr>
          <w:rFonts w:eastAsia="Times New Roman" w:hAnsi="Times New Roman" w:cs="Times New Roman"/>
        </w:rPr>
        <w:t>Pervin</w:t>
      </w:r>
      <w:proofErr w:type="spellEnd"/>
      <w:r w:rsidR="00250C3F" w:rsidRPr="00250C3F">
        <w:rPr>
          <w:rFonts w:eastAsia="Times New Roman" w:hAnsi="Times New Roman" w:cs="Times New Roman"/>
        </w:rPr>
        <w:t xml:space="preserve">, M., Roy, S. K., </w:t>
      </w:r>
      <w:proofErr w:type="spellStart"/>
      <w:r w:rsidR="00250C3F" w:rsidRPr="00250C3F">
        <w:rPr>
          <w:rFonts w:eastAsia="Times New Roman" w:hAnsi="Times New Roman" w:cs="Times New Roman"/>
        </w:rPr>
        <w:t>Maculan</w:t>
      </w:r>
      <w:proofErr w:type="spellEnd"/>
      <w:r w:rsidR="00250C3F" w:rsidRPr="00250C3F">
        <w:rPr>
          <w:rFonts w:eastAsia="Times New Roman" w:hAnsi="Times New Roman" w:cs="Times New Roman"/>
        </w:rPr>
        <w:t>, N., &amp; Weber, G. W. (2022). A green inventory model with the effect of carbon taxation. Annals of Operations Research, 309(1), 233-248.</w:t>
      </w:r>
    </w:p>
    <w:p w14:paraId="770CC376" w14:textId="77777777" w:rsidR="00250C3F" w:rsidRDefault="00250C3F" w:rsidP="00D1625C">
      <w:pPr>
        <w:spacing w:after="220"/>
        <w:jc w:val="both"/>
        <w:rPr>
          <w:rFonts w:eastAsia="Times New Roman" w:hAnsi="Times New Roman" w:cs="Times New Roman"/>
        </w:rPr>
      </w:pPr>
      <w:proofErr w:type="spellStart"/>
      <w:r w:rsidRPr="00250C3F">
        <w:rPr>
          <w:rFonts w:eastAsia="Times New Roman" w:hAnsi="Times New Roman" w:cs="Times New Roman"/>
        </w:rPr>
        <w:t>Efendigil</w:t>
      </w:r>
      <w:proofErr w:type="spellEnd"/>
      <w:r w:rsidRPr="00250C3F">
        <w:rPr>
          <w:rFonts w:eastAsia="Times New Roman" w:hAnsi="Times New Roman" w:cs="Times New Roman"/>
        </w:rPr>
        <w:t xml:space="preserve">, T., </w:t>
      </w:r>
      <w:proofErr w:type="spellStart"/>
      <w:r w:rsidRPr="00250C3F">
        <w:rPr>
          <w:rFonts w:eastAsia="Times New Roman" w:hAnsi="Times New Roman" w:cs="Times New Roman"/>
        </w:rPr>
        <w:t>Önüt</w:t>
      </w:r>
      <w:proofErr w:type="spellEnd"/>
      <w:r w:rsidRPr="00250C3F">
        <w:rPr>
          <w:rFonts w:eastAsia="Times New Roman" w:hAnsi="Times New Roman" w:cs="Times New Roman"/>
        </w:rPr>
        <w:t xml:space="preserve">, S., &amp; </w:t>
      </w:r>
      <w:proofErr w:type="spellStart"/>
      <w:r w:rsidRPr="00250C3F">
        <w:rPr>
          <w:rFonts w:eastAsia="Times New Roman" w:hAnsi="Times New Roman" w:cs="Times New Roman"/>
        </w:rPr>
        <w:t>Kahraman</w:t>
      </w:r>
      <w:proofErr w:type="spellEnd"/>
      <w:r w:rsidRPr="00250C3F">
        <w:rPr>
          <w:rFonts w:eastAsia="Times New Roman" w:hAnsi="Times New Roman" w:cs="Times New Roman"/>
        </w:rPr>
        <w:t xml:space="preserve">, C. (2009). A decision support system for demand forecasting with artificial neural networks and neuro-fuzzy models: A comparative analysis. Expert systems with applications, 36(3), 6697-6707. </w:t>
      </w:r>
    </w:p>
    <w:p w14:paraId="6A4786D6" w14:textId="77777777" w:rsidR="00250C3F" w:rsidRDefault="00250C3F" w:rsidP="00D1625C">
      <w:pPr>
        <w:spacing w:after="220"/>
        <w:jc w:val="both"/>
        <w:rPr>
          <w:rFonts w:eastAsia="Times New Roman" w:hAnsi="Times New Roman" w:cs="Times New Roman"/>
          <w:highlight w:val="red"/>
        </w:rPr>
      </w:pPr>
      <w:proofErr w:type="spellStart"/>
      <w:r w:rsidRPr="00250C3F">
        <w:rPr>
          <w:rFonts w:eastAsia="Times New Roman" w:hAnsi="Times New Roman" w:cs="Times New Roman"/>
        </w:rPr>
        <w:t>Kilimci</w:t>
      </w:r>
      <w:proofErr w:type="spellEnd"/>
      <w:r w:rsidRPr="00250C3F">
        <w:rPr>
          <w:rFonts w:eastAsia="Times New Roman" w:hAnsi="Times New Roman" w:cs="Times New Roman"/>
        </w:rPr>
        <w:t xml:space="preserve">, Z. H., </w:t>
      </w:r>
      <w:proofErr w:type="spellStart"/>
      <w:r w:rsidRPr="00250C3F">
        <w:rPr>
          <w:rFonts w:eastAsia="Times New Roman" w:hAnsi="Times New Roman" w:cs="Times New Roman"/>
        </w:rPr>
        <w:t>Akyuz</w:t>
      </w:r>
      <w:proofErr w:type="spellEnd"/>
      <w:r w:rsidRPr="00250C3F">
        <w:rPr>
          <w:rFonts w:eastAsia="Times New Roman" w:hAnsi="Times New Roman" w:cs="Times New Roman"/>
        </w:rPr>
        <w:t xml:space="preserve">, A. O., </w:t>
      </w:r>
      <w:proofErr w:type="spellStart"/>
      <w:r w:rsidRPr="00250C3F">
        <w:rPr>
          <w:rFonts w:eastAsia="Times New Roman" w:hAnsi="Times New Roman" w:cs="Times New Roman"/>
        </w:rPr>
        <w:t>Uysal</w:t>
      </w:r>
      <w:proofErr w:type="spellEnd"/>
      <w:r w:rsidRPr="00250C3F">
        <w:rPr>
          <w:rFonts w:eastAsia="Times New Roman" w:hAnsi="Times New Roman" w:cs="Times New Roman"/>
        </w:rPr>
        <w:t xml:space="preserve">, M., </w:t>
      </w:r>
      <w:proofErr w:type="spellStart"/>
      <w:r w:rsidRPr="00250C3F">
        <w:rPr>
          <w:rFonts w:eastAsia="Times New Roman" w:hAnsi="Times New Roman" w:cs="Times New Roman"/>
        </w:rPr>
        <w:t>Akyokus</w:t>
      </w:r>
      <w:proofErr w:type="spellEnd"/>
      <w:r w:rsidRPr="00250C3F">
        <w:rPr>
          <w:rFonts w:eastAsia="Times New Roman" w:hAnsi="Times New Roman" w:cs="Times New Roman"/>
        </w:rPr>
        <w:t xml:space="preserve">, S., </w:t>
      </w:r>
      <w:proofErr w:type="spellStart"/>
      <w:r w:rsidRPr="00250C3F">
        <w:rPr>
          <w:rFonts w:eastAsia="Times New Roman" w:hAnsi="Times New Roman" w:cs="Times New Roman"/>
        </w:rPr>
        <w:t>Uysal</w:t>
      </w:r>
      <w:proofErr w:type="spellEnd"/>
      <w:r w:rsidRPr="00250C3F">
        <w:rPr>
          <w:rFonts w:eastAsia="Times New Roman" w:hAnsi="Times New Roman" w:cs="Times New Roman"/>
        </w:rPr>
        <w:t xml:space="preserve">, M. O., </w:t>
      </w:r>
      <w:proofErr w:type="spellStart"/>
      <w:r w:rsidRPr="00250C3F">
        <w:rPr>
          <w:rFonts w:eastAsia="Times New Roman" w:hAnsi="Times New Roman" w:cs="Times New Roman"/>
        </w:rPr>
        <w:t>Atak</w:t>
      </w:r>
      <w:proofErr w:type="spellEnd"/>
      <w:r w:rsidRPr="00250C3F">
        <w:rPr>
          <w:rFonts w:eastAsia="Times New Roman" w:hAnsi="Times New Roman" w:cs="Times New Roman"/>
        </w:rPr>
        <w:t xml:space="preserve"> Bulbul, B., &amp; </w:t>
      </w:r>
      <w:proofErr w:type="spellStart"/>
      <w:r w:rsidRPr="00250C3F">
        <w:rPr>
          <w:rFonts w:eastAsia="Times New Roman" w:hAnsi="Times New Roman" w:cs="Times New Roman"/>
        </w:rPr>
        <w:t>Ekmis</w:t>
      </w:r>
      <w:proofErr w:type="spellEnd"/>
      <w:r w:rsidRPr="00250C3F">
        <w:rPr>
          <w:rFonts w:eastAsia="Times New Roman" w:hAnsi="Times New Roman" w:cs="Times New Roman"/>
        </w:rPr>
        <w:t>, M. A. (2019). An improved demand forecasting model using deep learning approach and proposed decision integration strategy for supply chain. Complexity, 2019(1), 9067367.</w:t>
      </w:r>
      <w:r w:rsidRPr="00250C3F">
        <w:rPr>
          <w:rFonts w:eastAsia="Times New Roman" w:hAnsi="Times New Roman" w:cs="Times New Roman"/>
          <w:highlight w:val="red"/>
        </w:rPr>
        <w:t xml:space="preserve"> </w:t>
      </w:r>
    </w:p>
    <w:p w14:paraId="7FACF05A" w14:textId="77777777" w:rsidR="00250C3F" w:rsidRDefault="00250C3F" w:rsidP="00D1625C">
      <w:pPr>
        <w:spacing w:after="220"/>
        <w:jc w:val="both"/>
        <w:rPr>
          <w:rFonts w:eastAsia="Times New Roman" w:hAnsi="Times New Roman" w:cs="Times New Roman"/>
        </w:rPr>
      </w:pPr>
      <w:proofErr w:type="spellStart"/>
      <w:r w:rsidRPr="00250C3F">
        <w:rPr>
          <w:rFonts w:eastAsia="Times New Roman" w:hAnsi="Times New Roman" w:cs="Times New Roman"/>
        </w:rPr>
        <w:t>Shahzadi</w:t>
      </w:r>
      <w:proofErr w:type="spellEnd"/>
      <w:r w:rsidRPr="00250C3F">
        <w:rPr>
          <w:rFonts w:eastAsia="Times New Roman" w:hAnsi="Times New Roman" w:cs="Times New Roman"/>
        </w:rPr>
        <w:t xml:space="preserve">, G., Jia, F., Chen, L., &amp; John, A. (2024). AI adoption in supply chain management: A systematic literature review. Journal of Manufacturing Technology Management, 35(6), 1125-1150. </w:t>
      </w:r>
    </w:p>
    <w:p w14:paraId="4C4DDB0A" w14:textId="74DA8F00" w:rsidR="00D1625C" w:rsidRPr="00D1625C" w:rsidRDefault="00D1625C" w:rsidP="00D1625C">
      <w:pPr>
        <w:spacing w:after="220"/>
        <w:jc w:val="both"/>
        <w:rPr>
          <w:rFonts w:eastAsia="Times New Roman" w:hAnsi="Times New Roman" w:cs="Times New Roman"/>
        </w:rPr>
      </w:pPr>
      <w:bookmarkStart w:id="0" w:name="_GoBack"/>
      <w:bookmarkEnd w:id="0"/>
      <w:r w:rsidRPr="00D1625C">
        <w:rPr>
          <w:rFonts w:eastAsia="Times New Roman" w:hAnsi="Times New Roman" w:cs="Times New Roman"/>
        </w:rPr>
        <w:t xml:space="preserve">[16] J. Min and Z. Zhou, “AI-based inventory decision support system for perishable products,” </w:t>
      </w:r>
      <w:r w:rsidRPr="00D1625C">
        <w:rPr>
          <w:rFonts w:eastAsia="Times New Roman" w:hAnsi="Times New Roman" w:cs="Times New Roman"/>
          <w:i/>
          <w:iCs/>
        </w:rPr>
        <w:t>Expert Syst. Appl.</w:t>
      </w:r>
      <w:r w:rsidRPr="00D1625C">
        <w:rPr>
          <w:rFonts w:eastAsia="Times New Roman" w:hAnsi="Times New Roman" w:cs="Times New Roman"/>
        </w:rPr>
        <w:t>, vol. 189, p. 116100, 2022.</w:t>
      </w:r>
      <w:r w:rsidRPr="00D1625C">
        <w:rPr>
          <w:rFonts w:eastAsia="Times New Roman" w:hAnsi="Times New Roman" w:cs="Times New Roman"/>
        </w:rPr>
        <w:br/>
      </w:r>
      <w:r w:rsidRPr="00D1625C">
        <w:rPr>
          <w:rFonts w:ascii="Segoe UI Emoji" w:eastAsia="Times New Roman" w:hAnsi="Segoe UI Emoji" w:cs="Segoe UI Emoji"/>
        </w:rPr>
        <w:t>🔗</w:t>
      </w:r>
      <w:r w:rsidRPr="00D1625C">
        <w:rPr>
          <w:rFonts w:eastAsia="Times New Roman" w:hAnsi="Times New Roman" w:cs="Times New Roman"/>
        </w:rPr>
        <w:t xml:space="preserve"> </w:t>
      </w:r>
      <w:hyperlink r:id="rId17" w:history="1">
        <w:r w:rsidRPr="00D1625C">
          <w:rPr>
            <w:rStyle w:val="Hyperlink"/>
            <w:rFonts w:eastAsia="Times New Roman" w:hAnsi="Times New Roman" w:cs="Times New Roman"/>
          </w:rPr>
          <w:t>Google Scholar</w:t>
        </w:r>
      </w:hyperlink>
    </w:p>
    <w:p w14:paraId="61D8E34D" w14:textId="77777777" w:rsidR="00D1625C" w:rsidRPr="00D1625C" w:rsidRDefault="00D1625C" w:rsidP="00D1625C">
      <w:pPr>
        <w:spacing w:after="220"/>
        <w:jc w:val="both"/>
        <w:rPr>
          <w:rFonts w:eastAsia="Times New Roman" w:hAnsi="Times New Roman" w:cs="Times New Roman"/>
        </w:rPr>
      </w:pPr>
      <w:r w:rsidRPr="00D1625C">
        <w:rPr>
          <w:rFonts w:eastAsia="Times New Roman" w:hAnsi="Times New Roman" w:cs="Times New Roman"/>
        </w:rPr>
        <w:t>[17] H.-</w:t>
      </w:r>
      <w:proofErr w:type="spellStart"/>
      <w:r w:rsidRPr="00D1625C">
        <w:rPr>
          <w:rFonts w:eastAsia="Times New Roman" w:hAnsi="Times New Roman" w:cs="Times New Roman"/>
        </w:rPr>
        <w:t>i</w:t>
      </w:r>
      <w:proofErr w:type="spellEnd"/>
      <w:r w:rsidRPr="00D1625C">
        <w:rPr>
          <w:rFonts w:eastAsia="Times New Roman" w:hAnsi="Times New Roman" w:cs="Times New Roman"/>
        </w:rPr>
        <w:t xml:space="preserve">. </w:t>
      </w:r>
      <w:proofErr w:type="spellStart"/>
      <w:r w:rsidRPr="00D1625C">
        <w:rPr>
          <w:rFonts w:eastAsia="Times New Roman" w:hAnsi="Times New Roman" w:cs="Times New Roman"/>
        </w:rPr>
        <w:t>Ahn</w:t>
      </w:r>
      <w:proofErr w:type="spellEnd"/>
      <w:r w:rsidRPr="00D1625C">
        <w:rPr>
          <w:rFonts w:eastAsia="Times New Roman" w:hAnsi="Times New Roman" w:cs="Times New Roman"/>
        </w:rPr>
        <w:t xml:space="preserve">, S. </w:t>
      </w:r>
      <w:proofErr w:type="spellStart"/>
      <w:r w:rsidRPr="00D1625C">
        <w:rPr>
          <w:rFonts w:eastAsia="Times New Roman" w:hAnsi="Times New Roman" w:cs="Times New Roman"/>
        </w:rPr>
        <w:t>Olivar</w:t>
      </w:r>
      <w:proofErr w:type="spellEnd"/>
      <w:r w:rsidRPr="00D1625C">
        <w:rPr>
          <w:rFonts w:eastAsia="Times New Roman" w:hAnsi="Times New Roman" w:cs="Times New Roman"/>
        </w:rPr>
        <w:t xml:space="preserve">, H. Mehta, and Y. C. Song, “Generative Probabilistic Planning for Optimizing Supply Chain Networks,” </w:t>
      </w:r>
      <w:proofErr w:type="spellStart"/>
      <w:r w:rsidRPr="00D1625C">
        <w:rPr>
          <w:rFonts w:eastAsia="Times New Roman" w:hAnsi="Times New Roman" w:cs="Times New Roman"/>
          <w:i/>
          <w:iCs/>
        </w:rPr>
        <w:t>arXiv</w:t>
      </w:r>
      <w:proofErr w:type="spellEnd"/>
      <w:r w:rsidRPr="00D1625C">
        <w:rPr>
          <w:rFonts w:eastAsia="Times New Roman" w:hAnsi="Times New Roman" w:cs="Times New Roman"/>
          <w:i/>
          <w:iCs/>
        </w:rPr>
        <w:t xml:space="preserve"> preprint</w:t>
      </w:r>
      <w:r w:rsidRPr="00D1625C">
        <w:rPr>
          <w:rFonts w:eastAsia="Times New Roman" w:hAnsi="Times New Roman" w:cs="Times New Roman"/>
        </w:rPr>
        <w:t>, Apr. 2024.</w:t>
      </w:r>
      <w:r w:rsidRPr="00D1625C">
        <w:rPr>
          <w:rFonts w:eastAsia="Times New Roman" w:hAnsi="Times New Roman" w:cs="Times New Roman"/>
        </w:rPr>
        <w:br/>
      </w:r>
      <w:r w:rsidRPr="00D1625C">
        <w:rPr>
          <w:rFonts w:ascii="Segoe UI Emoji" w:eastAsia="Times New Roman" w:hAnsi="Segoe UI Emoji" w:cs="Segoe UI Emoji"/>
        </w:rPr>
        <w:t>🔗</w:t>
      </w:r>
      <w:r w:rsidRPr="00D1625C">
        <w:rPr>
          <w:rFonts w:eastAsia="Times New Roman" w:hAnsi="Times New Roman" w:cs="Times New Roman"/>
        </w:rPr>
        <w:t xml:space="preserve"> </w:t>
      </w:r>
      <w:hyperlink r:id="rId18" w:history="1">
        <w:r w:rsidRPr="00D1625C">
          <w:rPr>
            <w:rStyle w:val="Hyperlink"/>
            <w:rFonts w:eastAsia="Times New Roman" w:hAnsi="Times New Roman" w:cs="Times New Roman"/>
          </w:rPr>
          <w:t>Google Scholar</w:t>
        </w:r>
      </w:hyperlink>
    </w:p>
    <w:p w14:paraId="5894E48D" w14:textId="77777777" w:rsidR="00D1625C" w:rsidRPr="00D1625C" w:rsidRDefault="00D1625C" w:rsidP="00D1625C">
      <w:pPr>
        <w:spacing w:after="220"/>
        <w:jc w:val="both"/>
        <w:rPr>
          <w:rFonts w:eastAsia="Times New Roman" w:hAnsi="Times New Roman" w:cs="Times New Roman"/>
        </w:rPr>
      </w:pPr>
      <w:r w:rsidRPr="00D1625C">
        <w:rPr>
          <w:rFonts w:eastAsia="Times New Roman" w:hAnsi="Times New Roman" w:cs="Times New Roman"/>
        </w:rPr>
        <w:t>[18] H.-</w:t>
      </w:r>
      <w:proofErr w:type="spellStart"/>
      <w:r w:rsidRPr="00D1625C">
        <w:rPr>
          <w:rFonts w:eastAsia="Times New Roman" w:hAnsi="Times New Roman" w:cs="Times New Roman"/>
        </w:rPr>
        <w:t>i</w:t>
      </w:r>
      <w:proofErr w:type="spellEnd"/>
      <w:r w:rsidRPr="00D1625C">
        <w:rPr>
          <w:rFonts w:eastAsia="Times New Roman" w:hAnsi="Times New Roman" w:cs="Times New Roman"/>
        </w:rPr>
        <w:t xml:space="preserve">. </w:t>
      </w:r>
      <w:proofErr w:type="spellStart"/>
      <w:r w:rsidRPr="00D1625C">
        <w:rPr>
          <w:rFonts w:eastAsia="Times New Roman" w:hAnsi="Times New Roman" w:cs="Times New Roman"/>
        </w:rPr>
        <w:t>Ahn</w:t>
      </w:r>
      <w:proofErr w:type="spellEnd"/>
      <w:r w:rsidRPr="00D1625C">
        <w:rPr>
          <w:rFonts w:eastAsia="Times New Roman" w:hAnsi="Times New Roman" w:cs="Times New Roman"/>
        </w:rPr>
        <w:t xml:space="preserve">, Y. C. Song, and S. </w:t>
      </w:r>
      <w:proofErr w:type="spellStart"/>
      <w:r w:rsidRPr="00D1625C">
        <w:rPr>
          <w:rFonts w:eastAsia="Times New Roman" w:hAnsi="Times New Roman" w:cs="Times New Roman"/>
        </w:rPr>
        <w:t>Olivar</w:t>
      </w:r>
      <w:proofErr w:type="spellEnd"/>
      <w:r w:rsidRPr="00D1625C">
        <w:rPr>
          <w:rFonts w:eastAsia="Times New Roman" w:hAnsi="Times New Roman" w:cs="Times New Roman"/>
        </w:rPr>
        <w:t xml:space="preserve">, “GNN-based probabilistic supply and inventory predictions in supply chain networks,” </w:t>
      </w:r>
      <w:proofErr w:type="spellStart"/>
      <w:r w:rsidRPr="00D1625C">
        <w:rPr>
          <w:rFonts w:eastAsia="Times New Roman" w:hAnsi="Times New Roman" w:cs="Times New Roman"/>
          <w:i/>
          <w:iCs/>
        </w:rPr>
        <w:t>arXiv</w:t>
      </w:r>
      <w:proofErr w:type="spellEnd"/>
      <w:r w:rsidRPr="00D1625C">
        <w:rPr>
          <w:rFonts w:eastAsia="Times New Roman" w:hAnsi="Times New Roman" w:cs="Times New Roman"/>
          <w:i/>
          <w:iCs/>
        </w:rPr>
        <w:t xml:space="preserve"> preprint</w:t>
      </w:r>
      <w:r w:rsidRPr="00D1625C">
        <w:rPr>
          <w:rFonts w:eastAsia="Times New Roman" w:hAnsi="Times New Roman" w:cs="Times New Roman"/>
        </w:rPr>
        <w:t>, Apr. 2024.</w:t>
      </w:r>
      <w:r w:rsidRPr="00D1625C">
        <w:rPr>
          <w:rFonts w:eastAsia="Times New Roman" w:hAnsi="Times New Roman" w:cs="Times New Roman"/>
        </w:rPr>
        <w:br/>
      </w:r>
      <w:r w:rsidRPr="00D1625C">
        <w:rPr>
          <w:rFonts w:ascii="Segoe UI Emoji" w:eastAsia="Times New Roman" w:hAnsi="Segoe UI Emoji" w:cs="Segoe UI Emoji"/>
        </w:rPr>
        <w:t>🔗</w:t>
      </w:r>
      <w:r w:rsidRPr="00D1625C">
        <w:rPr>
          <w:rFonts w:eastAsia="Times New Roman" w:hAnsi="Times New Roman" w:cs="Times New Roman"/>
        </w:rPr>
        <w:t xml:space="preserve"> </w:t>
      </w:r>
      <w:hyperlink r:id="rId19" w:history="1">
        <w:r w:rsidRPr="00D1625C">
          <w:rPr>
            <w:rStyle w:val="Hyperlink"/>
            <w:rFonts w:eastAsia="Times New Roman" w:hAnsi="Times New Roman" w:cs="Times New Roman"/>
          </w:rPr>
          <w:t>Google Scholar</w:t>
        </w:r>
      </w:hyperlink>
    </w:p>
    <w:p w14:paraId="6310DE6C" w14:textId="77777777" w:rsidR="00D1625C" w:rsidRPr="00D1625C" w:rsidRDefault="00D1625C" w:rsidP="00D1625C">
      <w:pPr>
        <w:spacing w:after="220"/>
        <w:jc w:val="both"/>
        <w:rPr>
          <w:rFonts w:eastAsia="Times New Roman" w:hAnsi="Times New Roman" w:cs="Times New Roman"/>
        </w:rPr>
      </w:pPr>
      <w:r w:rsidRPr="00D1625C">
        <w:rPr>
          <w:rFonts w:eastAsia="Times New Roman" w:hAnsi="Times New Roman" w:cs="Times New Roman"/>
        </w:rPr>
        <w:t xml:space="preserve">[19] C. Qu and E. Kim, “Reviewing the roles of AI-integrated technologies in sustainable supply chain management: Research propositions and a framework for future directions,” </w:t>
      </w:r>
      <w:r w:rsidRPr="00D1625C">
        <w:rPr>
          <w:rFonts w:eastAsia="Times New Roman" w:hAnsi="Times New Roman" w:cs="Times New Roman"/>
          <w:i/>
          <w:iCs/>
        </w:rPr>
        <w:t>Sustainability</w:t>
      </w:r>
      <w:r w:rsidRPr="00D1625C">
        <w:rPr>
          <w:rFonts w:eastAsia="Times New Roman" w:hAnsi="Times New Roman" w:cs="Times New Roman"/>
        </w:rPr>
        <w:t>, vol. 16, no. 14, article 6186, Jul. 2024.</w:t>
      </w:r>
      <w:r w:rsidRPr="00D1625C">
        <w:rPr>
          <w:rFonts w:eastAsia="Times New Roman" w:hAnsi="Times New Roman" w:cs="Times New Roman"/>
        </w:rPr>
        <w:br/>
      </w:r>
      <w:r w:rsidRPr="00D1625C">
        <w:rPr>
          <w:rFonts w:ascii="Segoe UI Emoji" w:eastAsia="Times New Roman" w:hAnsi="Segoe UI Emoji" w:cs="Segoe UI Emoji"/>
        </w:rPr>
        <w:t>🔗</w:t>
      </w:r>
      <w:r w:rsidRPr="00D1625C">
        <w:rPr>
          <w:rFonts w:eastAsia="Times New Roman" w:hAnsi="Times New Roman" w:cs="Times New Roman"/>
        </w:rPr>
        <w:t xml:space="preserve"> </w:t>
      </w:r>
      <w:hyperlink r:id="rId20" w:history="1">
        <w:r w:rsidRPr="00D1625C">
          <w:rPr>
            <w:rStyle w:val="Hyperlink"/>
            <w:rFonts w:eastAsia="Times New Roman" w:hAnsi="Times New Roman" w:cs="Times New Roman"/>
          </w:rPr>
          <w:t>Google Scholar</w:t>
        </w:r>
      </w:hyperlink>
    </w:p>
    <w:p w14:paraId="1931AFFA" w14:textId="77777777" w:rsidR="00D1625C" w:rsidRPr="00D1625C" w:rsidRDefault="00D1625C" w:rsidP="00D1625C">
      <w:pPr>
        <w:spacing w:after="220"/>
        <w:jc w:val="both"/>
        <w:rPr>
          <w:rFonts w:eastAsia="Times New Roman" w:hAnsi="Times New Roman" w:cs="Times New Roman"/>
        </w:rPr>
      </w:pPr>
      <w:r w:rsidRPr="00D1625C">
        <w:rPr>
          <w:rFonts w:eastAsia="Times New Roman" w:hAnsi="Times New Roman" w:cs="Times New Roman"/>
        </w:rPr>
        <w:t xml:space="preserve">[20] K. D. </w:t>
      </w:r>
      <w:proofErr w:type="spellStart"/>
      <w:r w:rsidRPr="00D1625C">
        <w:rPr>
          <w:rFonts w:eastAsia="Times New Roman" w:hAnsi="Times New Roman" w:cs="Times New Roman"/>
        </w:rPr>
        <w:t>Chạn</w:t>
      </w:r>
      <w:proofErr w:type="spellEnd"/>
      <w:r w:rsidRPr="00D1625C">
        <w:rPr>
          <w:rFonts w:eastAsia="Times New Roman" w:hAnsi="Times New Roman" w:cs="Times New Roman"/>
        </w:rPr>
        <w:t xml:space="preserve">, A. El </w:t>
      </w:r>
      <w:proofErr w:type="spellStart"/>
      <w:r w:rsidRPr="00D1625C">
        <w:rPr>
          <w:rFonts w:eastAsia="Times New Roman" w:hAnsi="Times New Roman" w:cs="Times New Roman"/>
        </w:rPr>
        <w:t>Dirani</w:t>
      </w:r>
      <w:proofErr w:type="spellEnd"/>
      <w:r w:rsidRPr="00D1625C">
        <w:rPr>
          <w:rFonts w:eastAsia="Times New Roman" w:hAnsi="Times New Roman" w:cs="Times New Roman"/>
        </w:rPr>
        <w:t xml:space="preserve">, and H. </w:t>
      </w:r>
      <w:proofErr w:type="spellStart"/>
      <w:r w:rsidRPr="00D1625C">
        <w:rPr>
          <w:rFonts w:eastAsia="Times New Roman" w:hAnsi="Times New Roman" w:cs="Times New Roman"/>
        </w:rPr>
        <w:t>Rkein</w:t>
      </w:r>
      <w:proofErr w:type="spellEnd"/>
      <w:r w:rsidRPr="00D1625C">
        <w:rPr>
          <w:rFonts w:eastAsia="Times New Roman" w:hAnsi="Times New Roman" w:cs="Times New Roman"/>
        </w:rPr>
        <w:t xml:space="preserve">, “Revolutionizing supply chain management with AI: A path to efficiency and sustainability,” </w:t>
      </w:r>
      <w:r w:rsidRPr="00D1625C">
        <w:rPr>
          <w:rFonts w:eastAsia="Times New Roman" w:hAnsi="Times New Roman" w:cs="Times New Roman"/>
          <w:i/>
          <w:iCs/>
        </w:rPr>
        <w:t>IEEE Access</w:t>
      </w:r>
      <w:r w:rsidRPr="00D1625C">
        <w:rPr>
          <w:rFonts w:eastAsia="Times New Roman" w:hAnsi="Times New Roman" w:cs="Times New Roman"/>
        </w:rPr>
        <w:t xml:space="preserve">, to appear, 2024, </w:t>
      </w:r>
      <w:proofErr w:type="spellStart"/>
      <w:r w:rsidRPr="00D1625C">
        <w:rPr>
          <w:rFonts w:eastAsia="Times New Roman" w:hAnsi="Times New Roman" w:cs="Times New Roman"/>
        </w:rPr>
        <w:t>doi</w:t>
      </w:r>
      <w:proofErr w:type="spellEnd"/>
      <w:r w:rsidRPr="00D1625C">
        <w:rPr>
          <w:rFonts w:eastAsia="Times New Roman" w:hAnsi="Times New Roman" w:cs="Times New Roman"/>
        </w:rPr>
        <w:t>: 10.1109/ACCESS.2024.0429000.</w:t>
      </w:r>
      <w:r w:rsidRPr="00D1625C">
        <w:rPr>
          <w:rFonts w:eastAsia="Times New Roman" w:hAnsi="Times New Roman" w:cs="Times New Roman"/>
        </w:rPr>
        <w:br/>
      </w:r>
      <w:r w:rsidRPr="00D1625C">
        <w:rPr>
          <w:rFonts w:ascii="Segoe UI Emoji" w:eastAsia="Times New Roman" w:hAnsi="Segoe UI Emoji" w:cs="Segoe UI Emoji"/>
        </w:rPr>
        <w:t>🔗</w:t>
      </w:r>
      <w:r w:rsidRPr="00D1625C">
        <w:rPr>
          <w:rFonts w:eastAsia="Times New Roman" w:hAnsi="Times New Roman" w:cs="Times New Roman"/>
        </w:rPr>
        <w:t xml:space="preserve"> </w:t>
      </w:r>
      <w:hyperlink r:id="rId21" w:history="1">
        <w:r w:rsidRPr="00D1625C">
          <w:rPr>
            <w:rStyle w:val="Hyperlink"/>
            <w:rFonts w:eastAsia="Times New Roman" w:hAnsi="Times New Roman" w:cs="Times New Roman"/>
          </w:rPr>
          <w:t>Google Scholar</w:t>
        </w:r>
      </w:hyperlink>
    </w:p>
    <w:p w14:paraId="2238BC06" w14:textId="77777777" w:rsidR="00D1625C" w:rsidRPr="00D1625C" w:rsidRDefault="00D1625C" w:rsidP="00D1625C">
      <w:pPr>
        <w:spacing w:after="220"/>
        <w:jc w:val="both"/>
        <w:rPr>
          <w:rFonts w:eastAsia="Times New Roman" w:hAnsi="Times New Roman" w:cs="Times New Roman"/>
        </w:rPr>
      </w:pPr>
      <w:r w:rsidRPr="00D1625C">
        <w:rPr>
          <w:rFonts w:eastAsia="Times New Roman" w:hAnsi="Times New Roman" w:cs="Times New Roman"/>
        </w:rPr>
        <w:t xml:space="preserve">[21] “Improving efficiency and sustainability via supply chain optimization,” </w:t>
      </w:r>
      <w:r w:rsidRPr="00D1625C">
        <w:rPr>
          <w:rFonts w:eastAsia="Times New Roman" w:hAnsi="Times New Roman" w:cs="Times New Roman"/>
          <w:i/>
          <w:iCs/>
        </w:rPr>
        <w:t>Technol. Forecast. Soc. Change</w:t>
      </w:r>
      <w:r w:rsidRPr="00D1625C">
        <w:rPr>
          <w:rFonts w:eastAsia="Times New Roman" w:hAnsi="Times New Roman" w:cs="Times New Roman"/>
        </w:rPr>
        <w:t>, 2024.</w:t>
      </w:r>
      <w:r w:rsidRPr="00D1625C">
        <w:rPr>
          <w:rFonts w:eastAsia="Times New Roman" w:hAnsi="Times New Roman" w:cs="Times New Roman"/>
        </w:rPr>
        <w:br/>
      </w:r>
      <w:r w:rsidRPr="00D1625C">
        <w:rPr>
          <w:rFonts w:ascii="Segoe UI Emoji" w:eastAsia="Times New Roman" w:hAnsi="Segoe UI Emoji" w:cs="Segoe UI Emoji"/>
        </w:rPr>
        <w:t>🔗</w:t>
      </w:r>
      <w:r w:rsidRPr="00D1625C">
        <w:rPr>
          <w:rFonts w:eastAsia="Times New Roman" w:hAnsi="Times New Roman" w:cs="Times New Roman"/>
        </w:rPr>
        <w:t xml:space="preserve"> </w:t>
      </w:r>
      <w:hyperlink r:id="rId22" w:history="1">
        <w:r w:rsidRPr="00D1625C">
          <w:rPr>
            <w:rStyle w:val="Hyperlink"/>
            <w:rFonts w:eastAsia="Times New Roman" w:hAnsi="Times New Roman" w:cs="Times New Roman"/>
          </w:rPr>
          <w:t>Google Scholar</w:t>
        </w:r>
      </w:hyperlink>
    </w:p>
    <w:p w14:paraId="7592007A" w14:textId="77777777" w:rsidR="00D1625C" w:rsidRPr="00D1625C" w:rsidRDefault="00D1625C" w:rsidP="00D1625C">
      <w:pPr>
        <w:spacing w:after="220"/>
        <w:jc w:val="both"/>
        <w:rPr>
          <w:rFonts w:eastAsia="Times New Roman" w:hAnsi="Times New Roman" w:cs="Times New Roman"/>
        </w:rPr>
      </w:pPr>
      <w:r w:rsidRPr="00D1625C">
        <w:rPr>
          <w:rFonts w:eastAsia="Times New Roman" w:hAnsi="Times New Roman" w:cs="Times New Roman"/>
        </w:rPr>
        <w:t xml:space="preserve">[22] “AI’s transformative influence on logistics in G20 nations,” </w:t>
      </w:r>
      <w:r w:rsidRPr="00D1625C">
        <w:rPr>
          <w:rFonts w:eastAsia="Times New Roman" w:hAnsi="Times New Roman" w:cs="Times New Roman"/>
          <w:i/>
          <w:iCs/>
        </w:rPr>
        <w:t xml:space="preserve">Palgrave </w:t>
      </w:r>
      <w:proofErr w:type="spellStart"/>
      <w:r w:rsidRPr="00D1625C">
        <w:rPr>
          <w:rFonts w:eastAsia="Times New Roman" w:hAnsi="Times New Roman" w:cs="Times New Roman"/>
          <w:i/>
          <w:iCs/>
        </w:rPr>
        <w:t>Commun</w:t>
      </w:r>
      <w:proofErr w:type="spellEnd"/>
      <w:r w:rsidRPr="00D1625C">
        <w:rPr>
          <w:rFonts w:eastAsia="Times New Roman" w:hAnsi="Times New Roman" w:cs="Times New Roman"/>
          <w:i/>
          <w:iCs/>
        </w:rPr>
        <w:t>.</w:t>
      </w:r>
      <w:r w:rsidRPr="00D1625C">
        <w:rPr>
          <w:rFonts w:eastAsia="Times New Roman" w:hAnsi="Times New Roman" w:cs="Times New Roman"/>
        </w:rPr>
        <w:t>, May 2025.</w:t>
      </w:r>
      <w:r w:rsidRPr="00D1625C">
        <w:rPr>
          <w:rFonts w:eastAsia="Times New Roman" w:hAnsi="Times New Roman" w:cs="Times New Roman"/>
        </w:rPr>
        <w:br/>
      </w:r>
      <w:r w:rsidRPr="00D1625C">
        <w:rPr>
          <w:rFonts w:ascii="Segoe UI Emoji" w:eastAsia="Times New Roman" w:hAnsi="Segoe UI Emoji" w:cs="Segoe UI Emoji"/>
        </w:rPr>
        <w:t>🔗</w:t>
      </w:r>
      <w:r w:rsidRPr="00D1625C">
        <w:rPr>
          <w:rFonts w:eastAsia="Times New Roman" w:hAnsi="Times New Roman" w:cs="Times New Roman"/>
        </w:rPr>
        <w:t xml:space="preserve"> </w:t>
      </w:r>
      <w:hyperlink r:id="rId23" w:history="1">
        <w:r w:rsidRPr="00D1625C">
          <w:rPr>
            <w:rStyle w:val="Hyperlink"/>
            <w:rFonts w:eastAsia="Times New Roman" w:hAnsi="Times New Roman" w:cs="Times New Roman"/>
          </w:rPr>
          <w:t>Google Scholar</w:t>
        </w:r>
      </w:hyperlink>
    </w:p>
    <w:p w14:paraId="020C0CAF" w14:textId="5318D06A" w:rsidR="00031D67" w:rsidRDefault="00031D67" w:rsidP="00D1625C">
      <w:pPr>
        <w:spacing w:after="220"/>
        <w:jc w:val="both"/>
      </w:pPr>
    </w:p>
    <w:sectPr w:rsidR="00031D67" w:rsidSect="002765F2">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210"/>
    <w:multiLevelType w:val="hybridMultilevel"/>
    <w:tmpl w:val="A62A31BA"/>
    <w:lvl w:ilvl="0" w:tplc="1A12A162">
      <w:start w:val="1"/>
      <w:numFmt w:val="bullet"/>
      <w:lvlText w:val=""/>
      <w:lvlJc w:val="left"/>
      <w:pPr>
        <w:tabs>
          <w:tab w:val="num" w:pos="1080"/>
        </w:tabs>
        <w:ind w:left="720" w:hanging="360"/>
      </w:pPr>
      <w:rPr>
        <w:rFonts w:ascii="Symbol" w:hAnsi="Symbol" w:hint="default"/>
      </w:rPr>
    </w:lvl>
    <w:lvl w:ilvl="1" w:tplc="CB50350E">
      <w:numFmt w:val="decimal"/>
      <w:lvlText w:val=""/>
      <w:lvlJc w:val="left"/>
    </w:lvl>
    <w:lvl w:ilvl="2" w:tplc="E8D86E10">
      <w:numFmt w:val="decimal"/>
      <w:lvlText w:val=""/>
      <w:lvlJc w:val="left"/>
    </w:lvl>
    <w:lvl w:ilvl="3" w:tplc="C17A01A2">
      <w:numFmt w:val="decimal"/>
      <w:lvlText w:val=""/>
      <w:lvlJc w:val="left"/>
    </w:lvl>
    <w:lvl w:ilvl="4" w:tplc="232496D0">
      <w:numFmt w:val="decimal"/>
      <w:lvlText w:val=""/>
      <w:lvlJc w:val="left"/>
    </w:lvl>
    <w:lvl w:ilvl="5" w:tplc="3B521D14">
      <w:numFmt w:val="decimal"/>
      <w:lvlText w:val=""/>
      <w:lvlJc w:val="left"/>
    </w:lvl>
    <w:lvl w:ilvl="6" w:tplc="E570B7EC">
      <w:numFmt w:val="decimal"/>
      <w:lvlText w:val=""/>
      <w:lvlJc w:val="left"/>
    </w:lvl>
    <w:lvl w:ilvl="7" w:tplc="630E9C7A">
      <w:numFmt w:val="decimal"/>
      <w:lvlText w:val=""/>
      <w:lvlJc w:val="left"/>
    </w:lvl>
    <w:lvl w:ilvl="8" w:tplc="990E3AF0">
      <w:numFmt w:val="decimal"/>
      <w:lvlText w:val=""/>
      <w:lvlJc w:val="left"/>
    </w:lvl>
  </w:abstractNum>
  <w:abstractNum w:abstractNumId="1" w15:restartNumberingAfterBreak="0">
    <w:nsid w:val="07CB39CA"/>
    <w:multiLevelType w:val="hybridMultilevel"/>
    <w:tmpl w:val="5276DD8A"/>
    <w:lvl w:ilvl="0" w:tplc="77B83622">
      <w:start w:val="1"/>
      <w:numFmt w:val="decimal"/>
      <w:lvlText w:val="%1."/>
      <w:lvlJc w:val="left"/>
      <w:pPr>
        <w:tabs>
          <w:tab w:val="num" w:pos="1080"/>
        </w:tabs>
        <w:ind w:left="720" w:hanging="360"/>
      </w:pPr>
    </w:lvl>
    <w:lvl w:ilvl="1" w:tplc="06E8398E">
      <w:numFmt w:val="decimal"/>
      <w:lvlText w:val=""/>
      <w:lvlJc w:val="left"/>
    </w:lvl>
    <w:lvl w:ilvl="2" w:tplc="632021CE">
      <w:numFmt w:val="decimal"/>
      <w:lvlText w:val=""/>
      <w:lvlJc w:val="left"/>
    </w:lvl>
    <w:lvl w:ilvl="3" w:tplc="566C0636">
      <w:numFmt w:val="decimal"/>
      <w:lvlText w:val=""/>
      <w:lvlJc w:val="left"/>
    </w:lvl>
    <w:lvl w:ilvl="4" w:tplc="9D5E9AFE">
      <w:numFmt w:val="decimal"/>
      <w:lvlText w:val=""/>
      <w:lvlJc w:val="left"/>
    </w:lvl>
    <w:lvl w:ilvl="5" w:tplc="89783D24">
      <w:numFmt w:val="decimal"/>
      <w:lvlText w:val=""/>
      <w:lvlJc w:val="left"/>
    </w:lvl>
    <w:lvl w:ilvl="6" w:tplc="E672463C">
      <w:numFmt w:val="decimal"/>
      <w:lvlText w:val=""/>
      <w:lvlJc w:val="left"/>
    </w:lvl>
    <w:lvl w:ilvl="7" w:tplc="EAE62DE2">
      <w:numFmt w:val="decimal"/>
      <w:lvlText w:val=""/>
      <w:lvlJc w:val="left"/>
    </w:lvl>
    <w:lvl w:ilvl="8" w:tplc="992A570A">
      <w:numFmt w:val="decimal"/>
      <w:lvlText w:val=""/>
      <w:lvlJc w:val="left"/>
    </w:lvl>
  </w:abstractNum>
  <w:abstractNum w:abstractNumId="2" w15:restartNumberingAfterBreak="0">
    <w:nsid w:val="092D3CB3"/>
    <w:multiLevelType w:val="hybridMultilevel"/>
    <w:tmpl w:val="9B826496"/>
    <w:lvl w:ilvl="0" w:tplc="3F9803D2">
      <w:start w:val="1"/>
      <w:numFmt w:val="bullet"/>
      <w:lvlText w:val=""/>
      <w:lvlJc w:val="left"/>
      <w:pPr>
        <w:tabs>
          <w:tab w:val="num" w:pos="1080"/>
        </w:tabs>
        <w:ind w:left="720" w:hanging="360"/>
      </w:pPr>
      <w:rPr>
        <w:rFonts w:ascii="Symbol" w:hAnsi="Symbol" w:hint="default"/>
      </w:rPr>
    </w:lvl>
    <w:lvl w:ilvl="1" w:tplc="CCE03B72">
      <w:numFmt w:val="decimal"/>
      <w:lvlText w:val=""/>
      <w:lvlJc w:val="left"/>
    </w:lvl>
    <w:lvl w:ilvl="2" w:tplc="FE0CD67A">
      <w:numFmt w:val="decimal"/>
      <w:lvlText w:val=""/>
      <w:lvlJc w:val="left"/>
    </w:lvl>
    <w:lvl w:ilvl="3" w:tplc="8C2CF122">
      <w:numFmt w:val="decimal"/>
      <w:lvlText w:val=""/>
      <w:lvlJc w:val="left"/>
    </w:lvl>
    <w:lvl w:ilvl="4" w:tplc="65E6889E">
      <w:numFmt w:val="decimal"/>
      <w:lvlText w:val=""/>
      <w:lvlJc w:val="left"/>
    </w:lvl>
    <w:lvl w:ilvl="5" w:tplc="A616304E">
      <w:numFmt w:val="decimal"/>
      <w:lvlText w:val=""/>
      <w:lvlJc w:val="left"/>
    </w:lvl>
    <w:lvl w:ilvl="6" w:tplc="AF42E542">
      <w:numFmt w:val="decimal"/>
      <w:lvlText w:val=""/>
      <w:lvlJc w:val="left"/>
    </w:lvl>
    <w:lvl w:ilvl="7" w:tplc="DB8C1E5E">
      <w:numFmt w:val="decimal"/>
      <w:lvlText w:val=""/>
      <w:lvlJc w:val="left"/>
    </w:lvl>
    <w:lvl w:ilvl="8" w:tplc="595212C8">
      <w:numFmt w:val="decimal"/>
      <w:lvlText w:val=""/>
      <w:lvlJc w:val="left"/>
    </w:lvl>
  </w:abstractNum>
  <w:abstractNum w:abstractNumId="3" w15:restartNumberingAfterBreak="0">
    <w:nsid w:val="0B04480A"/>
    <w:multiLevelType w:val="hybridMultilevel"/>
    <w:tmpl w:val="FCBA2792"/>
    <w:lvl w:ilvl="0" w:tplc="5C8C0182">
      <w:start w:val="1"/>
      <w:numFmt w:val="bullet"/>
      <w:lvlText w:val=""/>
      <w:lvlJc w:val="left"/>
      <w:pPr>
        <w:tabs>
          <w:tab w:val="num" w:pos="1080"/>
        </w:tabs>
        <w:ind w:left="720" w:hanging="360"/>
      </w:pPr>
      <w:rPr>
        <w:rFonts w:ascii="Symbol" w:hAnsi="Symbol" w:hint="default"/>
      </w:rPr>
    </w:lvl>
    <w:lvl w:ilvl="1" w:tplc="33ACC3DE">
      <w:numFmt w:val="decimal"/>
      <w:lvlText w:val=""/>
      <w:lvlJc w:val="left"/>
    </w:lvl>
    <w:lvl w:ilvl="2" w:tplc="D1068A2C">
      <w:numFmt w:val="decimal"/>
      <w:lvlText w:val=""/>
      <w:lvlJc w:val="left"/>
    </w:lvl>
    <w:lvl w:ilvl="3" w:tplc="569AAB68">
      <w:numFmt w:val="decimal"/>
      <w:lvlText w:val=""/>
      <w:lvlJc w:val="left"/>
    </w:lvl>
    <w:lvl w:ilvl="4" w:tplc="3BF69A2E">
      <w:numFmt w:val="decimal"/>
      <w:lvlText w:val=""/>
      <w:lvlJc w:val="left"/>
    </w:lvl>
    <w:lvl w:ilvl="5" w:tplc="68DEA444">
      <w:numFmt w:val="decimal"/>
      <w:lvlText w:val=""/>
      <w:lvlJc w:val="left"/>
    </w:lvl>
    <w:lvl w:ilvl="6" w:tplc="5BF4F6A4">
      <w:numFmt w:val="decimal"/>
      <w:lvlText w:val=""/>
      <w:lvlJc w:val="left"/>
    </w:lvl>
    <w:lvl w:ilvl="7" w:tplc="7DACBCD0">
      <w:numFmt w:val="decimal"/>
      <w:lvlText w:val=""/>
      <w:lvlJc w:val="left"/>
    </w:lvl>
    <w:lvl w:ilvl="8" w:tplc="16CC0086">
      <w:numFmt w:val="decimal"/>
      <w:lvlText w:val=""/>
      <w:lvlJc w:val="left"/>
    </w:lvl>
  </w:abstractNum>
  <w:abstractNum w:abstractNumId="4" w15:restartNumberingAfterBreak="0">
    <w:nsid w:val="10523FA5"/>
    <w:multiLevelType w:val="hybridMultilevel"/>
    <w:tmpl w:val="DCB003A4"/>
    <w:lvl w:ilvl="0" w:tplc="29726F02">
      <w:start w:val="1"/>
      <w:numFmt w:val="bullet"/>
      <w:lvlText w:val=""/>
      <w:lvlJc w:val="left"/>
      <w:pPr>
        <w:tabs>
          <w:tab w:val="num" w:pos="1080"/>
        </w:tabs>
        <w:ind w:left="720" w:hanging="360"/>
      </w:pPr>
      <w:rPr>
        <w:rFonts w:ascii="Symbol" w:hAnsi="Symbol" w:hint="default"/>
      </w:rPr>
    </w:lvl>
    <w:lvl w:ilvl="1" w:tplc="122EB6BA">
      <w:numFmt w:val="decimal"/>
      <w:lvlText w:val=""/>
      <w:lvlJc w:val="left"/>
    </w:lvl>
    <w:lvl w:ilvl="2" w:tplc="6ED2D07E">
      <w:numFmt w:val="decimal"/>
      <w:lvlText w:val=""/>
      <w:lvlJc w:val="left"/>
    </w:lvl>
    <w:lvl w:ilvl="3" w:tplc="2CFC4BF2">
      <w:numFmt w:val="decimal"/>
      <w:lvlText w:val=""/>
      <w:lvlJc w:val="left"/>
    </w:lvl>
    <w:lvl w:ilvl="4" w:tplc="E24E8D92">
      <w:numFmt w:val="decimal"/>
      <w:lvlText w:val=""/>
      <w:lvlJc w:val="left"/>
    </w:lvl>
    <w:lvl w:ilvl="5" w:tplc="84226F92">
      <w:numFmt w:val="decimal"/>
      <w:lvlText w:val=""/>
      <w:lvlJc w:val="left"/>
    </w:lvl>
    <w:lvl w:ilvl="6" w:tplc="AB46178C">
      <w:numFmt w:val="decimal"/>
      <w:lvlText w:val=""/>
      <w:lvlJc w:val="left"/>
    </w:lvl>
    <w:lvl w:ilvl="7" w:tplc="D3DC55BC">
      <w:numFmt w:val="decimal"/>
      <w:lvlText w:val=""/>
      <w:lvlJc w:val="left"/>
    </w:lvl>
    <w:lvl w:ilvl="8" w:tplc="73EC8AA8">
      <w:numFmt w:val="decimal"/>
      <w:lvlText w:val=""/>
      <w:lvlJc w:val="left"/>
    </w:lvl>
  </w:abstractNum>
  <w:abstractNum w:abstractNumId="5" w15:restartNumberingAfterBreak="0">
    <w:nsid w:val="10FA6F2E"/>
    <w:multiLevelType w:val="hybridMultilevel"/>
    <w:tmpl w:val="11DC74B2"/>
    <w:lvl w:ilvl="0" w:tplc="72D256A4">
      <w:start w:val="1"/>
      <w:numFmt w:val="bullet"/>
      <w:lvlText w:val=""/>
      <w:lvlJc w:val="left"/>
      <w:pPr>
        <w:tabs>
          <w:tab w:val="num" w:pos="1080"/>
        </w:tabs>
        <w:ind w:left="720" w:hanging="360"/>
      </w:pPr>
      <w:rPr>
        <w:rFonts w:ascii="Symbol" w:hAnsi="Symbol" w:hint="default"/>
      </w:rPr>
    </w:lvl>
    <w:lvl w:ilvl="1" w:tplc="489A9264">
      <w:numFmt w:val="decimal"/>
      <w:lvlText w:val=""/>
      <w:lvlJc w:val="left"/>
    </w:lvl>
    <w:lvl w:ilvl="2" w:tplc="AEAA3FCE">
      <w:numFmt w:val="decimal"/>
      <w:lvlText w:val=""/>
      <w:lvlJc w:val="left"/>
    </w:lvl>
    <w:lvl w:ilvl="3" w:tplc="1B4CB04E">
      <w:numFmt w:val="decimal"/>
      <w:lvlText w:val=""/>
      <w:lvlJc w:val="left"/>
    </w:lvl>
    <w:lvl w:ilvl="4" w:tplc="380ED8BA">
      <w:numFmt w:val="decimal"/>
      <w:lvlText w:val=""/>
      <w:lvlJc w:val="left"/>
    </w:lvl>
    <w:lvl w:ilvl="5" w:tplc="DF22B0E2">
      <w:numFmt w:val="decimal"/>
      <w:lvlText w:val=""/>
      <w:lvlJc w:val="left"/>
    </w:lvl>
    <w:lvl w:ilvl="6" w:tplc="5B8A48D2">
      <w:numFmt w:val="decimal"/>
      <w:lvlText w:val=""/>
      <w:lvlJc w:val="left"/>
    </w:lvl>
    <w:lvl w:ilvl="7" w:tplc="12AE0190">
      <w:numFmt w:val="decimal"/>
      <w:lvlText w:val=""/>
      <w:lvlJc w:val="left"/>
    </w:lvl>
    <w:lvl w:ilvl="8" w:tplc="660E91D8">
      <w:numFmt w:val="decimal"/>
      <w:lvlText w:val=""/>
      <w:lvlJc w:val="left"/>
    </w:lvl>
  </w:abstractNum>
  <w:abstractNum w:abstractNumId="6" w15:restartNumberingAfterBreak="0">
    <w:nsid w:val="1959126D"/>
    <w:multiLevelType w:val="hybridMultilevel"/>
    <w:tmpl w:val="3A9CF080"/>
    <w:lvl w:ilvl="0" w:tplc="F21A53E8">
      <w:start w:val="1"/>
      <w:numFmt w:val="bullet"/>
      <w:lvlText w:val=""/>
      <w:lvlJc w:val="left"/>
      <w:pPr>
        <w:tabs>
          <w:tab w:val="num" w:pos="1080"/>
        </w:tabs>
        <w:ind w:left="720" w:hanging="360"/>
      </w:pPr>
      <w:rPr>
        <w:rFonts w:ascii="Symbol" w:hAnsi="Symbol" w:hint="default"/>
      </w:rPr>
    </w:lvl>
    <w:lvl w:ilvl="1" w:tplc="78B680D0">
      <w:numFmt w:val="decimal"/>
      <w:lvlText w:val=""/>
      <w:lvlJc w:val="left"/>
    </w:lvl>
    <w:lvl w:ilvl="2" w:tplc="2DF2E15A">
      <w:numFmt w:val="decimal"/>
      <w:lvlText w:val=""/>
      <w:lvlJc w:val="left"/>
    </w:lvl>
    <w:lvl w:ilvl="3" w:tplc="DCE2666C">
      <w:numFmt w:val="decimal"/>
      <w:lvlText w:val=""/>
      <w:lvlJc w:val="left"/>
    </w:lvl>
    <w:lvl w:ilvl="4" w:tplc="AC2E031C">
      <w:numFmt w:val="decimal"/>
      <w:lvlText w:val=""/>
      <w:lvlJc w:val="left"/>
    </w:lvl>
    <w:lvl w:ilvl="5" w:tplc="98F21E6E">
      <w:numFmt w:val="decimal"/>
      <w:lvlText w:val=""/>
      <w:lvlJc w:val="left"/>
    </w:lvl>
    <w:lvl w:ilvl="6" w:tplc="D5B06AD2">
      <w:numFmt w:val="decimal"/>
      <w:lvlText w:val=""/>
      <w:lvlJc w:val="left"/>
    </w:lvl>
    <w:lvl w:ilvl="7" w:tplc="8EEA3BF0">
      <w:numFmt w:val="decimal"/>
      <w:lvlText w:val=""/>
      <w:lvlJc w:val="left"/>
    </w:lvl>
    <w:lvl w:ilvl="8" w:tplc="F572C756">
      <w:numFmt w:val="decimal"/>
      <w:lvlText w:val=""/>
      <w:lvlJc w:val="left"/>
    </w:lvl>
  </w:abstractNum>
  <w:abstractNum w:abstractNumId="7" w15:restartNumberingAfterBreak="0">
    <w:nsid w:val="1A124949"/>
    <w:multiLevelType w:val="hybridMultilevel"/>
    <w:tmpl w:val="5E7AEC5A"/>
    <w:lvl w:ilvl="0" w:tplc="B818FB34">
      <w:start w:val="1"/>
      <w:numFmt w:val="bullet"/>
      <w:lvlText w:val=""/>
      <w:lvlJc w:val="left"/>
      <w:pPr>
        <w:tabs>
          <w:tab w:val="num" w:pos="1080"/>
        </w:tabs>
        <w:ind w:left="720" w:hanging="360"/>
      </w:pPr>
      <w:rPr>
        <w:rFonts w:ascii="Symbol" w:hAnsi="Symbol" w:hint="default"/>
      </w:rPr>
    </w:lvl>
    <w:lvl w:ilvl="1" w:tplc="C3CE2A40">
      <w:numFmt w:val="decimal"/>
      <w:lvlText w:val=""/>
      <w:lvlJc w:val="left"/>
    </w:lvl>
    <w:lvl w:ilvl="2" w:tplc="5C78DE16">
      <w:numFmt w:val="decimal"/>
      <w:lvlText w:val=""/>
      <w:lvlJc w:val="left"/>
    </w:lvl>
    <w:lvl w:ilvl="3" w:tplc="7402CD50">
      <w:numFmt w:val="decimal"/>
      <w:lvlText w:val=""/>
      <w:lvlJc w:val="left"/>
    </w:lvl>
    <w:lvl w:ilvl="4" w:tplc="0284D812">
      <w:numFmt w:val="decimal"/>
      <w:lvlText w:val=""/>
      <w:lvlJc w:val="left"/>
    </w:lvl>
    <w:lvl w:ilvl="5" w:tplc="B45CCB24">
      <w:numFmt w:val="decimal"/>
      <w:lvlText w:val=""/>
      <w:lvlJc w:val="left"/>
    </w:lvl>
    <w:lvl w:ilvl="6" w:tplc="A1FE2C96">
      <w:numFmt w:val="decimal"/>
      <w:lvlText w:val=""/>
      <w:lvlJc w:val="left"/>
    </w:lvl>
    <w:lvl w:ilvl="7" w:tplc="E7D2FD3C">
      <w:numFmt w:val="decimal"/>
      <w:lvlText w:val=""/>
      <w:lvlJc w:val="left"/>
    </w:lvl>
    <w:lvl w:ilvl="8" w:tplc="7A965206">
      <w:numFmt w:val="decimal"/>
      <w:lvlText w:val=""/>
      <w:lvlJc w:val="left"/>
    </w:lvl>
  </w:abstractNum>
  <w:abstractNum w:abstractNumId="8" w15:restartNumberingAfterBreak="0">
    <w:nsid w:val="228C118B"/>
    <w:multiLevelType w:val="hybridMultilevel"/>
    <w:tmpl w:val="72C67BA4"/>
    <w:lvl w:ilvl="0" w:tplc="B3A07FD2">
      <w:start w:val="1"/>
      <w:numFmt w:val="bullet"/>
      <w:lvlText w:val=""/>
      <w:lvlJc w:val="left"/>
      <w:pPr>
        <w:tabs>
          <w:tab w:val="num" w:pos="1080"/>
        </w:tabs>
        <w:ind w:left="720" w:hanging="360"/>
      </w:pPr>
      <w:rPr>
        <w:rFonts w:ascii="Symbol" w:hAnsi="Symbol" w:hint="default"/>
      </w:rPr>
    </w:lvl>
    <w:lvl w:ilvl="1" w:tplc="38940622">
      <w:numFmt w:val="decimal"/>
      <w:lvlText w:val=""/>
      <w:lvlJc w:val="left"/>
    </w:lvl>
    <w:lvl w:ilvl="2" w:tplc="B5AE74DE">
      <w:numFmt w:val="decimal"/>
      <w:lvlText w:val=""/>
      <w:lvlJc w:val="left"/>
    </w:lvl>
    <w:lvl w:ilvl="3" w:tplc="DC20683A">
      <w:numFmt w:val="decimal"/>
      <w:lvlText w:val=""/>
      <w:lvlJc w:val="left"/>
    </w:lvl>
    <w:lvl w:ilvl="4" w:tplc="13E480C2">
      <w:numFmt w:val="decimal"/>
      <w:lvlText w:val=""/>
      <w:lvlJc w:val="left"/>
    </w:lvl>
    <w:lvl w:ilvl="5" w:tplc="2C8674C6">
      <w:numFmt w:val="decimal"/>
      <w:lvlText w:val=""/>
      <w:lvlJc w:val="left"/>
    </w:lvl>
    <w:lvl w:ilvl="6" w:tplc="5FCC742E">
      <w:numFmt w:val="decimal"/>
      <w:lvlText w:val=""/>
      <w:lvlJc w:val="left"/>
    </w:lvl>
    <w:lvl w:ilvl="7" w:tplc="8BE8E38E">
      <w:numFmt w:val="decimal"/>
      <w:lvlText w:val=""/>
      <w:lvlJc w:val="left"/>
    </w:lvl>
    <w:lvl w:ilvl="8" w:tplc="82D0C31E">
      <w:numFmt w:val="decimal"/>
      <w:lvlText w:val=""/>
      <w:lvlJc w:val="left"/>
    </w:lvl>
  </w:abstractNum>
  <w:abstractNum w:abstractNumId="9" w15:restartNumberingAfterBreak="0">
    <w:nsid w:val="243009A1"/>
    <w:multiLevelType w:val="hybridMultilevel"/>
    <w:tmpl w:val="253A7452"/>
    <w:lvl w:ilvl="0" w:tplc="FDF8AEDE">
      <w:start w:val="1"/>
      <w:numFmt w:val="bullet"/>
      <w:lvlText w:val=""/>
      <w:lvlJc w:val="left"/>
      <w:pPr>
        <w:tabs>
          <w:tab w:val="num" w:pos="1080"/>
        </w:tabs>
        <w:ind w:left="720" w:hanging="360"/>
      </w:pPr>
      <w:rPr>
        <w:rFonts w:ascii="Symbol" w:hAnsi="Symbol" w:hint="default"/>
      </w:rPr>
    </w:lvl>
    <w:lvl w:ilvl="1" w:tplc="E856D526">
      <w:numFmt w:val="decimal"/>
      <w:lvlText w:val=""/>
      <w:lvlJc w:val="left"/>
    </w:lvl>
    <w:lvl w:ilvl="2" w:tplc="ACB65D06">
      <w:numFmt w:val="decimal"/>
      <w:lvlText w:val=""/>
      <w:lvlJc w:val="left"/>
    </w:lvl>
    <w:lvl w:ilvl="3" w:tplc="458EDF94">
      <w:numFmt w:val="decimal"/>
      <w:lvlText w:val=""/>
      <w:lvlJc w:val="left"/>
    </w:lvl>
    <w:lvl w:ilvl="4" w:tplc="E1D2F2E4">
      <w:numFmt w:val="decimal"/>
      <w:lvlText w:val=""/>
      <w:lvlJc w:val="left"/>
    </w:lvl>
    <w:lvl w:ilvl="5" w:tplc="D8E68610">
      <w:numFmt w:val="decimal"/>
      <w:lvlText w:val=""/>
      <w:lvlJc w:val="left"/>
    </w:lvl>
    <w:lvl w:ilvl="6" w:tplc="7C5A1A92">
      <w:numFmt w:val="decimal"/>
      <w:lvlText w:val=""/>
      <w:lvlJc w:val="left"/>
    </w:lvl>
    <w:lvl w:ilvl="7" w:tplc="B13A862E">
      <w:numFmt w:val="decimal"/>
      <w:lvlText w:val=""/>
      <w:lvlJc w:val="left"/>
    </w:lvl>
    <w:lvl w:ilvl="8" w:tplc="36FA8372">
      <w:numFmt w:val="decimal"/>
      <w:lvlText w:val=""/>
      <w:lvlJc w:val="left"/>
    </w:lvl>
  </w:abstractNum>
  <w:abstractNum w:abstractNumId="10" w15:restartNumberingAfterBreak="0">
    <w:nsid w:val="37E4752F"/>
    <w:multiLevelType w:val="hybridMultilevel"/>
    <w:tmpl w:val="C624D9FC"/>
    <w:lvl w:ilvl="0" w:tplc="453EDC74">
      <w:start w:val="1"/>
      <w:numFmt w:val="bullet"/>
      <w:lvlText w:val=""/>
      <w:lvlJc w:val="left"/>
      <w:pPr>
        <w:tabs>
          <w:tab w:val="num" w:pos="1080"/>
        </w:tabs>
        <w:ind w:left="720" w:hanging="360"/>
      </w:pPr>
      <w:rPr>
        <w:rFonts w:ascii="Symbol" w:hAnsi="Symbol" w:hint="default"/>
      </w:rPr>
    </w:lvl>
    <w:lvl w:ilvl="1" w:tplc="CCD45BEA">
      <w:numFmt w:val="decimal"/>
      <w:lvlText w:val=""/>
      <w:lvlJc w:val="left"/>
    </w:lvl>
    <w:lvl w:ilvl="2" w:tplc="A06491E0">
      <w:numFmt w:val="decimal"/>
      <w:lvlText w:val=""/>
      <w:lvlJc w:val="left"/>
    </w:lvl>
    <w:lvl w:ilvl="3" w:tplc="C4CC824E">
      <w:numFmt w:val="decimal"/>
      <w:lvlText w:val=""/>
      <w:lvlJc w:val="left"/>
    </w:lvl>
    <w:lvl w:ilvl="4" w:tplc="6E2E7AB4">
      <w:numFmt w:val="decimal"/>
      <w:lvlText w:val=""/>
      <w:lvlJc w:val="left"/>
    </w:lvl>
    <w:lvl w:ilvl="5" w:tplc="CC649E02">
      <w:numFmt w:val="decimal"/>
      <w:lvlText w:val=""/>
      <w:lvlJc w:val="left"/>
    </w:lvl>
    <w:lvl w:ilvl="6" w:tplc="6214142E">
      <w:numFmt w:val="decimal"/>
      <w:lvlText w:val=""/>
      <w:lvlJc w:val="left"/>
    </w:lvl>
    <w:lvl w:ilvl="7" w:tplc="716A8F4A">
      <w:numFmt w:val="decimal"/>
      <w:lvlText w:val=""/>
      <w:lvlJc w:val="left"/>
    </w:lvl>
    <w:lvl w:ilvl="8" w:tplc="8DE625AC">
      <w:numFmt w:val="decimal"/>
      <w:lvlText w:val=""/>
      <w:lvlJc w:val="left"/>
    </w:lvl>
  </w:abstractNum>
  <w:abstractNum w:abstractNumId="11" w15:restartNumberingAfterBreak="0">
    <w:nsid w:val="394D7577"/>
    <w:multiLevelType w:val="hybridMultilevel"/>
    <w:tmpl w:val="3F38B9C4"/>
    <w:lvl w:ilvl="0" w:tplc="39ACE71C">
      <w:start w:val="1"/>
      <w:numFmt w:val="bullet"/>
      <w:lvlText w:val=""/>
      <w:lvlJc w:val="left"/>
      <w:pPr>
        <w:tabs>
          <w:tab w:val="num" w:pos="1080"/>
        </w:tabs>
        <w:ind w:left="720" w:hanging="360"/>
      </w:pPr>
      <w:rPr>
        <w:rFonts w:ascii="Symbol" w:hAnsi="Symbol" w:hint="default"/>
      </w:rPr>
    </w:lvl>
    <w:lvl w:ilvl="1" w:tplc="9DBA6342">
      <w:numFmt w:val="decimal"/>
      <w:lvlText w:val=""/>
      <w:lvlJc w:val="left"/>
    </w:lvl>
    <w:lvl w:ilvl="2" w:tplc="4784E5D8">
      <w:numFmt w:val="decimal"/>
      <w:lvlText w:val=""/>
      <w:lvlJc w:val="left"/>
    </w:lvl>
    <w:lvl w:ilvl="3" w:tplc="2D821C20">
      <w:numFmt w:val="decimal"/>
      <w:lvlText w:val=""/>
      <w:lvlJc w:val="left"/>
    </w:lvl>
    <w:lvl w:ilvl="4" w:tplc="4FEC9590">
      <w:numFmt w:val="decimal"/>
      <w:lvlText w:val=""/>
      <w:lvlJc w:val="left"/>
    </w:lvl>
    <w:lvl w:ilvl="5" w:tplc="27A8E690">
      <w:numFmt w:val="decimal"/>
      <w:lvlText w:val=""/>
      <w:lvlJc w:val="left"/>
    </w:lvl>
    <w:lvl w:ilvl="6" w:tplc="E63ADF2A">
      <w:numFmt w:val="decimal"/>
      <w:lvlText w:val=""/>
      <w:lvlJc w:val="left"/>
    </w:lvl>
    <w:lvl w:ilvl="7" w:tplc="D7C06FBE">
      <w:numFmt w:val="decimal"/>
      <w:lvlText w:val=""/>
      <w:lvlJc w:val="left"/>
    </w:lvl>
    <w:lvl w:ilvl="8" w:tplc="4286815C">
      <w:numFmt w:val="decimal"/>
      <w:lvlText w:val=""/>
      <w:lvlJc w:val="left"/>
    </w:lvl>
  </w:abstractNum>
  <w:abstractNum w:abstractNumId="12" w15:restartNumberingAfterBreak="0">
    <w:nsid w:val="39842A2B"/>
    <w:multiLevelType w:val="hybridMultilevel"/>
    <w:tmpl w:val="EF86A4DE"/>
    <w:lvl w:ilvl="0" w:tplc="4E5ED1FC">
      <w:start w:val="1"/>
      <w:numFmt w:val="bullet"/>
      <w:lvlText w:val=""/>
      <w:lvlJc w:val="left"/>
      <w:pPr>
        <w:tabs>
          <w:tab w:val="num" w:pos="1080"/>
        </w:tabs>
        <w:ind w:left="720" w:hanging="360"/>
      </w:pPr>
      <w:rPr>
        <w:rFonts w:ascii="Symbol" w:hAnsi="Symbol" w:hint="default"/>
      </w:rPr>
    </w:lvl>
    <w:lvl w:ilvl="1" w:tplc="473E83E4">
      <w:numFmt w:val="decimal"/>
      <w:lvlText w:val=""/>
      <w:lvlJc w:val="left"/>
    </w:lvl>
    <w:lvl w:ilvl="2" w:tplc="62A487A8">
      <w:numFmt w:val="decimal"/>
      <w:lvlText w:val=""/>
      <w:lvlJc w:val="left"/>
    </w:lvl>
    <w:lvl w:ilvl="3" w:tplc="DC18322C">
      <w:numFmt w:val="decimal"/>
      <w:lvlText w:val=""/>
      <w:lvlJc w:val="left"/>
    </w:lvl>
    <w:lvl w:ilvl="4" w:tplc="0EA2B57C">
      <w:numFmt w:val="decimal"/>
      <w:lvlText w:val=""/>
      <w:lvlJc w:val="left"/>
    </w:lvl>
    <w:lvl w:ilvl="5" w:tplc="E1921A7C">
      <w:numFmt w:val="decimal"/>
      <w:lvlText w:val=""/>
      <w:lvlJc w:val="left"/>
    </w:lvl>
    <w:lvl w:ilvl="6" w:tplc="50240724">
      <w:numFmt w:val="decimal"/>
      <w:lvlText w:val=""/>
      <w:lvlJc w:val="left"/>
    </w:lvl>
    <w:lvl w:ilvl="7" w:tplc="58029B82">
      <w:numFmt w:val="decimal"/>
      <w:lvlText w:val=""/>
      <w:lvlJc w:val="left"/>
    </w:lvl>
    <w:lvl w:ilvl="8" w:tplc="5EA68B3C">
      <w:numFmt w:val="decimal"/>
      <w:lvlText w:val=""/>
      <w:lvlJc w:val="left"/>
    </w:lvl>
  </w:abstractNum>
  <w:abstractNum w:abstractNumId="13" w15:restartNumberingAfterBreak="0">
    <w:nsid w:val="3D620853"/>
    <w:multiLevelType w:val="hybridMultilevel"/>
    <w:tmpl w:val="1A1C1C0E"/>
    <w:lvl w:ilvl="0" w:tplc="C7989FA8">
      <w:start w:val="1"/>
      <w:numFmt w:val="bullet"/>
      <w:lvlText w:val=""/>
      <w:lvlJc w:val="left"/>
      <w:pPr>
        <w:tabs>
          <w:tab w:val="num" w:pos="1080"/>
        </w:tabs>
        <w:ind w:left="720" w:hanging="360"/>
      </w:pPr>
      <w:rPr>
        <w:rFonts w:ascii="Symbol" w:hAnsi="Symbol" w:hint="default"/>
      </w:rPr>
    </w:lvl>
    <w:lvl w:ilvl="1" w:tplc="59125F6A">
      <w:numFmt w:val="decimal"/>
      <w:lvlText w:val=""/>
      <w:lvlJc w:val="left"/>
    </w:lvl>
    <w:lvl w:ilvl="2" w:tplc="04382DA8">
      <w:numFmt w:val="decimal"/>
      <w:lvlText w:val=""/>
      <w:lvlJc w:val="left"/>
    </w:lvl>
    <w:lvl w:ilvl="3" w:tplc="E8E2D93C">
      <w:numFmt w:val="decimal"/>
      <w:lvlText w:val=""/>
      <w:lvlJc w:val="left"/>
    </w:lvl>
    <w:lvl w:ilvl="4" w:tplc="4D16C7D0">
      <w:numFmt w:val="decimal"/>
      <w:lvlText w:val=""/>
      <w:lvlJc w:val="left"/>
    </w:lvl>
    <w:lvl w:ilvl="5" w:tplc="2B42CB90">
      <w:numFmt w:val="decimal"/>
      <w:lvlText w:val=""/>
      <w:lvlJc w:val="left"/>
    </w:lvl>
    <w:lvl w:ilvl="6" w:tplc="FFD8BD56">
      <w:numFmt w:val="decimal"/>
      <w:lvlText w:val=""/>
      <w:lvlJc w:val="left"/>
    </w:lvl>
    <w:lvl w:ilvl="7" w:tplc="2B1C551A">
      <w:numFmt w:val="decimal"/>
      <w:lvlText w:val=""/>
      <w:lvlJc w:val="left"/>
    </w:lvl>
    <w:lvl w:ilvl="8" w:tplc="4A66A3FC">
      <w:numFmt w:val="decimal"/>
      <w:lvlText w:val=""/>
      <w:lvlJc w:val="left"/>
    </w:lvl>
  </w:abstractNum>
  <w:abstractNum w:abstractNumId="14" w15:restartNumberingAfterBreak="0">
    <w:nsid w:val="4732061F"/>
    <w:multiLevelType w:val="hybridMultilevel"/>
    <w:tmpl w:val="E78A5D62"/>
    <w:lvl w:ilvl="0" w:tplc="D132FF66">
      <w:start w:val="1"/>
      <w:numFmt w:val="bullet"/>
      <w:lvlText w:val=""/>
      <w:lvlJc w:val="left"/>
      <w:pPr>
        <w:tabs>
          <w:tab w:val="num" w:pos="1080"/>
        </w:tabs>
        <w:ind w:left="720" w:hanging="360"/>
      </w:pPr>
      <w:rPr>
        <w:rFonts w:ascii="Symbol" w:hAnsi="Symbol" w:hint="default"/>
      </w:rPr>
    </w:lvl>
    <w:lvl w:ilvl="1" w:tplc="8034AF60">
      <w:numFmt w:val="decimal"/>
      <w:lvlText w:val=""/>
      <w:lvlJc w:val="left"/>
    </w:lvl>
    <w:lvl w:ilvl="2" w:tplc="686EDB62">
      <w:numFmt w:val="decimal"/>
      <w:lvlText w:val=""/>
      <w:lvlJc w:val="left"/>
    </w:lvl>
    <w:lvl w:ilvl="3" w:tplc="EB5CBC1A">
      <w:numFmt w:val="decimal"/>
      <w:lvlText w:val=""/>
      <w:lvlJc w:val="left"/>
    </w:lvl>
    <w:lvl w:ilvl="4" w:tplc="EB3853E8">
      <w:numFmt w:val="decimal"/>
      <w:lvlText w:val=""/>
      <w:lvlJc w:val="left"/>
    </w:lvl>
    <w:lvl w:ilvl="5" w:tplc="53764A44">
      <w:numFmt w:val="decimal"/>
      <w:lvlText w:val=""/>
      <w:lvlJc w:val="left"/>
    </w:lvl>
    <w:lvl w:ilvl="6" w:tplc="9BC42086">
      <w:numFmt w:val="decimal"/>
      <w:lvlText w:val=""/>
      <w:lvlJc w:val="left"/>
    </w:lvl>
    <w:lvl w:ilvl="7" w:tplc="F75ACC64">
      <w:numFmt w:val="decimal"/>
      <w:lvlText w:val=""/>
      <w:lvlJc w:val="left"/>
    </w:lvl>
    <w:lvl w:ilvl="8" w:tplc="B6A21154">
      <w:numFmt w:val="decimal"/>
      <w:lvlText w:val=""/>
      <w:lvlJc w:val="left"/>
    </w:lvl>
  </w:abstractNum>
  <w:abstractNum w:abstractNumId="15" w15:restartNumberingAfterBreak="0">
    <w:nsid w:val="478906EF"/>
    <w:multiLevelType w:val="hybridMultilevel"/>
    <w:tmpl w:val="48D0A3C0"/>
    <w:lvl w:ilvl="0" w:tplc="A55A0894">
      <w:start w:val="1"/>
      <w:numFmt w:val="decimal"/>
      <w:lvlText w:val="%1."/>
      <w:lvlJc w:val="left"/>
      <w:pPr>
        <w:tabs>
          <w:tab w:val="num" w:pos="1080"/>
        </w:tabs>
        <w:ind w:left="720" w:hanging="360"/>
      </w:pPr>
    </w:lvl>
    <w:lvl w:ilvl="1" w:tplc="7E5E7314">
      <w:numFmt w:val="decimal"/>
      <w:lvlText w:val=""/>
      <w:lvlJc w:val="left"/>
    </w:lvl>
    <w:lvl w:ilvl="2" w:tplc="3DA441F6">
      <w:numFmt w:val="decimal"/>
      <w:lvlText w:val=""/>
      <w:lvlJc w:val="left"/>
    </w:lvl>
    <w:lvl w:ilvl="3" w:tplc="07CEE2E2">
      <w:numFmt w:val="decimal"/>
      <w:lvlText w:val=""/>
      <w:lvlJc w:val="left"/>
    </w:lvl>
    <w:lvl w:ilvl="4" w:tplc="777A1C0C">
      <w:numFmt w:val="decimal"/>
      <w:lvlText w:val=""/>
      <w:lvlJc w:val="left"/>
    </w:lvl>
    <w:lvl w:ilvl="5" w:tplc="6AA26240">
      <w:numFmt w:val="decimal"/>
      <w:lvlText w:val=""/>
      <w:lvlJc w:val="left"/>
    </w:lvl>
    <w:lvl w:ilvl="6" w:tplc="8520B5E2">
      <w:numFmt w:val="decimal"/>
      <w:lvlText w:val=""/>
      <w:lvlJc w:val="left"/>
    </w:lvl>
    <w:lvl w:ilvl="7" w:tplc="211484B6">
      <w:numFmt w:val="decimal"/>
      <w:lvlText w:val=""/>
      <w:lvlJc w:val="left"/>
    </w:lvl>
    <w:lvl w:ilvl="8" w:tplc="BE624126">
      <w:numFmt w:val="decimal"/>
      <w:lvlText w:val=""/>
      <w:lvlJc w:val="left"/>
    </w:lvl>
  </w:abstractNum>
  <w:abstractNum w:abstractNumId="16" w15:restartNumberingAfterBreak="0">
    <w:nsid w:val="4BF10E66"/>
    <w:multiLevelType w:val="hybridMultilevel"/>
    <w:tmpl w:val="454611AE"/>
    <w:lvl w:ilvl="0" w:tplc="85A6AF72">
      <w:start w:val="1"/>
      <w:numFmt w:val="bullet"/>
      <w:lvlText w:val=""/>
      <w:lvlJc w:val="left"/>
      <w:pPr>
        <w:tabs>
          <w:tab w:val="num" w:pos="1080"/>
        </w:tabs>
        <w:ind w:left="720" w:hanging="360"/>
      </w:pPr>
      <w:rPr>
        <w:rFonts w:ascii="Symbol" w:hAnsi="Symbol" w:hint="default"/>
      </w:rPr>
    </w:lvl>
    <w:lvl w:ilvl="1" w:tplc="20C2030A">
      <w:numFmt w:val="decimal"/>
      <w:lvlText w:val=""/>
      <w:lvlJc w:val="left"/>
    </w:lvl>
    <w:lvl w:ilvl="2" w:tplc="D0D28740">
      <w:numFmt w:val="decimal"/>
      <w:lvlText w:val=""/>
      <w:lvlJc w:val="left"/>
    </w:lvl>
    <w:lvl w:ilvl="3" w:tplc="140ED11C">
      <w:numFmt w:val="decimal"/>
      <w:lvlText w:val=""/>
      <w:lvlJc w:val="left"/>
    </w:lvl>
    <w:lvl w:ilvl="4" w:tplc="B8204524">
      <w:numFmt w:val="decimal"/>
      <w:lvlText w:val=""/>
      <w:lvlJc w:val="left"/>
    </w:lvl>
    <w:lvl w:ilvl="5" w:tplc="FCF00CA4">
      <w:numFmt w:val="decimal"/>
      <w:lvlText w:val=""/>
      <w:lvlJc w:val="left"/>
    </w:lvl>
    <w:lvl w:ilvl="6" w:tplc="5F28D852">
      <w:numFmt w:val="decimal"/>
      <w:lvlText w:val=""/>
      <w:lvlJc w:val="left"/>
    </w:lvl>
    <w:lvl w:ilvl="7" w:tplc="43105174">
      <w:numFmt w:val="decimal"/>
      <w:lvlText w:val=""/>
      <w:lvlJc w:val="left"/>
    </w:lvl>
    <w:lvl w:ilvl="8" w:tplc="4ED845B0">
      <w:numFmt w:val="decimal"/>
      <w:lvlText w:val=""/>
      <w:lvlJc w:val="left"/>
    </w:lvl>
  </w:abstractNum>
  <w:abstractNum w:abstractNumId="17" w15:restartNumberingAfterBreak="0">
    <w:nsid w:val="4E100E0E"/>
    <w:multiLevelType w:val="hybridMultilevel"/>
    <w:tmpl w:val="ABAC7B5E"/>
    <w:lvl w:ilvl="0" w:tplc="6C929532">
      <w:start w:val="1"/>
      <w:numFmt w:val="bullet"/>
      <w:lvlText w:val=""/>
      <w:lvlJc w:val="left"/>
      <w:pPr>
        <w:tabs>
          <w:tab w:val="num" w:pos="1080"/>
        </w:tabs>
        <w:ind w:left="720" w:hanging="360"/>
      </w:pPr>
      <w:rPr>
        <w:rFonts w:ascii="Symbol" w:hAnsi="Symbol" w:hint="default"/>
      </w:rPr>
    </w:lvl>
    <w:lvl w:ilvl="1" w:tplc="0A3026D6">
      <w:numFmt w:val="decimal"/>
      <w:lvlText w:val=""/>
      <w:lvlJc w:val="left"/>
    </w:lvl>
    <w:lvl w:ilvl="2" w:tplc="5DB0867C">
      <w:numFmt w:val="decimal"/>
      <w:lvlText w:val=""/>
      <w:lvlJc w:val="left"/>
    </w:lvl>
    <w:lvl w:ilvl="3" w:tplc="CD582588">
      <w:numFmt w:val="decimal"/>
      <w:lvlText w:val=""/>
      <w:lvlJc w:val="left"/>
    </w:lvl>
    <w:lvl w:ilvl="4" w:tplc="23748926">
      <w:numFmt w:val="decimal"/>
      <w:lvlText w:val=""/>
      <w:lvlJc w:val="left"/>
    </w:lvl>
    <w:lvl w:ilvl="5" w:tplc="1E3E78BA">
      <w:numFmt w:val="decimal"/>
      <w:lvlText w:val=""/>
      <w:lvlJc w:val="left"/>
    </w:lvl>
    <w:lvl w:ilvl="6" w:tplc="FF7CEC0C">
      <w:numFmt w:val="decimal"/>
      <w:lvlText w:val=""/>
      <w:lvlJc w:val="left"/>
    </w:lvl>
    <w:lvl w:ilvl="7" w:tplc="4738A85A">
      <w:numFmt w:val="decimal"/>
      <w:lvlText w:val=""/>
      <w:lvlJc w:val="left"/>
    </w:lvl>
    <w:lvl w:ilvl="8" w:tplc="F8EE6ECC">
      <w:numFmt w:val="decimal"/>
      <w:lvlText w:val=""/>
      <w:lvlJc w:val="left"/>
    </w:lvl>
  </w:abstractNum>
  <w:abstractNum w:abstractNumId="18" w15:restartNumberingAfterBreak="0">
    <w:nsid w:val="4FC15ADC"/>
    <w:multiLevelType w:val="hybridMultilevel"/>
    <w:tmpl w:val="E01E8F3E"/>
    <w:lvl w:ilvl="0" w:tplc="D4402132">
      <w:start w:val="1"/>
      <w:numFmt w:val="bullet"/>
      <w:lvlText w:val=""/>
      <w:lvlJc w:val="left"/>
      <w:pPr>
        <w:tabs>
          <w:tab w:val="num" w:pos="1080"/>
        </w:tabs>
        <w:ind w:left="720" w:hanging="360"/>
      </w:pPr>
      <w:rPr>
        <w:rFonts w:ascii="Symbol" w:hAnsi="Symbol" w:hint="default"/>
      </w:rPr>
    </w:lvl>
    <w:lvl w:ilvl="1" w:tplc="D44AC630">
      <w:numFmt w:val="decimal"/>
      <w:lvlText w:val=""/>
      <w:lvlJc w:val="left"/>
    </w:lvl>
    <w:lvl w:ilvl="2" w:tplc="95ECFA78">
      <w:numFmt w:val="decimal"/>
      <w:lvlText w:val=""/>
      <w:lvlJc w:val="left"/>
    </w:lvl>
    <w:lvl w:ilvl="3" w:tplc="6CB61E30">
      <w:numFmt w:val="decimal"/>
      <w:lvlText w:val=""/>
      <w:lvlJc w:val="left"/>
    </w:lvl>
    <w:lvl w:ilvl="4" w:tplc="7326DB14">
      <w:numFmt w:val="decimal"/>
      <w:lvlText w:val=""/>
      <w:lvlJc w:val="left"/>
    </w:lvl>
    <w:lvl w:ilvl="5" w:tplc="4EA803E2">
      <w:numFmt w:val="decimal"/>
      <w:lvlText w:val=""/>
      <w:lvlJc w:val="left"/>
    </w:lvl>
    <w:lvl w:ilvl="6" w:tplc="75187FF4">
      <w:numFmt w:val="decimal"/>
      <w:lvlText w:val=""/>
      <w:lvlJc w:val="left"/>
    </w:lvl>
    <w:lvl w:ilvl="7" w:tplc="1EC833A0">
      <w:numFmt w:val="decimal"/>
      <w:lvlText w:val=""/>
      <w:lvlJc w:val="left"/>
    </w:lvl>
    <w:lvl w:ilvl="8" w:tplc="0E648B22">
      <w:numFmt w:val="decimal"/>
      <w:lvlText w:val=""/>
      <w:lvlJc w:val="left"/>
    </w:lvl>
  </w:abstractNum>
  <w:abstractNum w:abstractNumId="19" w15:restartNumberingAfterBreak="0">
    <w:nsid w:val="4FD1598B"/>
    <w:multiLevelType w:val="hybridMultilevel"/>
    <w:tmpl w:val="09A43CF2"/>
    <w:lvl w:ilvl="0" w:tplc="9630392A">
      <w:start w:val="1"/>
      <w:numFmt w:val="bullet"/>
      <w:lvlText w:val=""/>
      <w:lvlJc w:val="left"/>
      <w:pPr>
        <w:tabs>
          <w:tab w:val="num" w:pos="1080"/>
        </w:tabs>
        <w:ind w:left="720" w:hanging="360"/>
      </w:pPr>
      <w:rPr>
        <w:rFonts w:ascii="Symbol" w:hAnsi="Symbol" w:hint="default"/>
      </w:rPr>
    </w:lvl>
    <w:lvl w:ilvl="1" w:tplc="4EBCD5FA">
      <w:numFmt w:val="decimal"/>
      <w:lvlText w:val=""/>
      <w:lvlJc w:val="left"/>
    </w:lvl>
    <w:lvl w:ilvl="2" w:tplc="74E02920">
      <w:numFmt w:val="decimal"/>
      <w:lvlText w:val=""/>
      <w:lvlJc w:val="left"/>
    </w:lvl>
    <w:lvl w:ilvl="3" w:tplc="FE8243F4">
      <w:numFmt w:val="decimal"/>
      <w:lvlText w:val=""/>
      <w:lvlJc w:val="left"/>
    </w:lvl>
    <w:lvl w:ilvl="4" w:tplc="37647828">
      <w:numFmt w:val="decimal"/>
      <w:lvlText w:val=""/>
      <w:lvlJc w:val="left"/>
    </w:lvl>
    <w:lvl w:ilvl="5" w:tplc="F2287E68">
      <w:numFmt w:val="decimal"/>
      <w:lvlText w:val=""/>
      <w:lvlJc w:val="left"/>
    </w:lvl>
    <w:lvl w:ilvl="6" w:tplc="F1FC1486">
      <w:numFmt w:val="decimal"/>
      <w:lvlText w:val=""/>
      <w:lvlJc w:val="left"/>
    </w:lvl>
    <w:lvl w:ilvl="7" w:tplc="B186DB6E">
      <w:numFmt w:val="decimal"/>
      <w:lvlText w:val=""/>
      <w:lvlJc w:val="left"/>
    </w:lvl>
    <w:lvl w:ilvl="8" w:tplc="BB065FBA">
      <w:numFmt w:val="decimal"/>
      <w:lvlText w:val=""/>
      <w:lvlJc w:val="left"/>
    </w:lvl>
  </w:abstractNum>
  <w:abstractNum w:abstractNumId="20" w15:restartNumberingAfterBreak="0">
    <w:nsid w:val="50231295"/>
    <w:multiLevelType w:val="hybridMultilevel"/>
    <w:tmpl w:val="0D802D1E"/>
    <w:lvl w:ilvl="0" w:tplc="2D268A94">
      <w:start w:val="1"/>
      <w:numFmt w:val="bullet"/>
      <w:lvlText w:val=""/>
      <w:lvlJc w:val="left"/>
      <w:pPr>
        <w:tabs>
          <w:tab w:val="num" w:pos="1080"/>
        </w:tabs>
        <w:ind w:left="720" w:hanging="360"/>
      </w:pPr>
      <w:rPr>
        <w:rFonts w:ascii="Symbol" w:hAnsi="Symbol" w:hint="default"/>
      </w:rPr>
    </w:lvl>
    <w:lvl w:ilvl="1" w:tplc="F2321E00">
      <w:numFmt w:val="decimal"/>
      <w:lvlText w:val=""/>
      <w:lvlJc w:val="left"/>
    </w:lvl>
    <w:lvl w:ilvl="2" w:tplc="5C6AAC52">
      <w:numFmt w:val="decimal"/>
      <w:lvlText w:val=""/>
      <w:lvlJc w:val="left"/>
    </w:lvl>
    <w:lvl w:ilvl="3" w:tplc="3B42DBC8">
      <w:numFmt w:val="decimal"/>
      <w:lvlText w:val=""/>
      <w:lvlJc w:val="left"/>
    </w:lvl>
    <w:lvl w:ilvl="4" w:tplc="2D545300">
      <w:numFmt w:val="decimal"/>
      <w:lvlText w:val=""/>
      <w:lvlJc w:val="left"/>
    </w:lvl>
    <w:lvl w:ilvl="5" w:tplc="8F342814">
      <w:numFmt w:val="decimal"/>
      <w:lvlText w:val=""/>
      <w:lvlJc w:val="left"/>
    </w:lvl>
    <w:lvl w:ilvl="6" w:tplc="F7866CDE">
      <w:numFmt w:val="decimal"/>
      <w:lvlText w:val=""/>
      <w:lvlJc w:val="left"/>
    </w:lvl>
    <w:lvl w:ilvl="7" w:tplc="F8B27726">
      <w:numFmt w:val="decimal"/>
      <w:lvlText w:val=""/>
      <w:lvlJc w:val="left"/>
    </w:lvl>
    <w:lvl w:ilvl="8" w:tplc="7E10B78E">
      <w:numFmt w:val="decimal"/>
      <w:lvlText w:val=""/>
      <w:lvlJc w:val="left"/>
    </w:lvl>
  </w:abstractNum>
  <w:abstractNum w:abstractNumId="21" w15:restartNumberingAfterBreak="0">
    <w:nsid w:val="55AC6F38"/>
    <w:multiLevelType w:val="hybridMultilevel"/>
    <w:tmpl w:val="E91A1062"/>
    <w:lvl w:ilvl="0" w:tplc="D94E1110">
      <w:start w:val="1"/>
      <w:numFmt w:val="bullet"/>
      <w:lvlText w:val=""/>
      <w:lvlJc w:val="left"/>
      <w:pPr>
        <w:tabs>
          <w:tab w:val="num" w:pos="1080"/>
        </w:tabs>
        <w:ind w:left="720" w:hanging="360"/>
      </w:pPr>
      <w:rPr>
        <w:rFonts w:ascii="Symbol" w:hAnsi="Symbol" w:hint="default"/>
      </w:rPr>
    </w:lvl>
    <w:lvl w:ilvl="1" w:tplc="CEBECDDA">
      <w:numFmt w:val="decimal"/>
      <w:lvlText w:val=""/>
      <w:lvlJc w:val="left"/>
    </w:lvl>
    <w:lvl w:ilvl="2" w:tplc="9E22FB22">
      <w:numFmt w:val="decimal"/>
      <w:lvlText w:val=""/>
      <w:lvlJc w:val="left"/>
    </w:lvl>
    <w:lvl w:ilvl="3" w:tplc="ED1AC60A">
      <w:numFmt w:val="decimal"/>
      <w:lvlText w:val=""/>
      <w:lvlJc w:val="left"/>
    </w:lvl>
    <w:lvl w:ilvl="4" w:tplc="FB442A1E">
      <w:numFmt w:val="decimal"/>
      <w:lvlText w:val=""/>
      <w:lvlJc w:val="left"/>
    </w:lvl>
    <w:lvl w:ilvl="5" w:tplc="08422CAA">
      <w:numFmt w:val="decimal"/>
      <w:lvlText w:val=""/>
      <w:lvlJc w:val="left"/>
    </w:lvl>
    <w:lvl w:ilvl="6" w:tplc="CCEE76CC">
      <w:numFmt w:val="decimal"/>
      <w:lvlText w:val=""/>
      <w:lvlJc w:val="left"/>
    </w:lvl>
    <w:lvl w:ilvl="7" w:tplc="F0FE06D2">
      <w:numFmt w:val="decimal"/>
      <w:lvlText w:val=""/>
      <w:lvlJc w:val="left"/>
    </w:lvl>
    <w:lvl w:ilvl="8" w:tplc="E6D8751A">
      <w:numFmt w:val="decimal"/>
      <w:lvlText w:val=""/>
      <w:lvlJc w:val="left"/>
    </w:lvl>
  </w:abstractNum>
  <w:abstractNum w:abstractNumId="22" w15:restartNumberingAfterBreak="0">
    <w:nsid w:val="5ABE6F23"/>
    <w:multiLevelType w:val="hybridMultilevel"/>
    <w:tmpl w:val="A9D29180"/>
    <w:lvl w:ilvl="0" w:tplc="52A05132">
      <w:start w:val="1"/>
      <w:numFmt w:val="bullet"/>
      <w:lvlText w:val=""/>
      <w:lvlJc w:val="left"/>
      <w:pPr>
        <w:tabs>
          <w:tab w:val="num" w:pos="1080"/>
        </w:tabs>
        <w:ind w:left="720" w:hanging="360"/>
      </w:pPr>
      <w:rPr>
        <w:rFonts w:ascii="Symbol" w:hAnsi="Symbol" w:hint="default"/>
      </w:rPr>
    </w:lvl>
    <w:lvl w:ilvl="1" w:tplc="605AEC12">
      <w:numFmt w:val="decimal"/>
      <w:lvlText w:val=""/>
      <w:lvlJc w:val="left"/>
    </w:lvl>
    <w:lvl w:ilvl="2" w:tplc="1CE26372">
      <w:numFmt w:val="decimal"/>
      <w:lvlText w:val=""/>
      <w:lvlJc w:val="left"/>
    </w:lvl>
    <w:lvl w:ilvl="3" w:tplc="9ADE9F6A">
      <w:numFmt w:val="decimal"/>
      <w:lvlText w:val=""/>
      <w:lvlJc w:val="left"/>
    </w:lvl>
    <w:lvl w:ilvl="4" w:tplc="1A4A01F8">
      <w:numFmt w:val="decimal"/>
      <w:lvlText w:val=""/>
      <w:lvlJc w:val="left"/>
    </w:lvl>
    <w:lvl w:ilvl="5" w:tplc="FC2474E4">
      <w:numFmt w:val="decimal"/>
      <w:lvlText w:val=""/>
      <w:lvlJc w:val="left"/>
    </w:lvl>
    <w:lvl w:ilvl="6" w:tplc="B67081FA">
      <w:numFmt w:val="decimal"/>
      <w:lvlText w:val=""/>
      <w:lvlJc w:val="left"/>
    </w:lvl>
    <w:lvl w:ilvl="7" w:tplc="E64CA008">
      <w:numFmt w:val="decimal"/>
      <w:lvlText w:val=""/>
      <w:lvlJc w:val="left"/>
    </w:lvl>
    <w:lvl w:ilvl="8" w:tplc="D4C2D148">
      <w:numFmt w:val="decimal"/>
      <w:lvlText w:val=""/>
      <w:lvlJc w:val="left"/>
    </w:lvl>
  </w:abstractNum>
  <w:abstractNum w:abstractNumId="23" w15:restartNumberingAfterBreak="0">
    <w:nsid w:val="5BCC5AA2"/>
    <w:multiLevelType w:val="hybridMultilevel"/>
    <w:tmpl w:val="8D3E0D5C"/>
    <w:lvl w:ilvl="0" w:tplc="CE145130">
      <w:start w:val="1"/>
      <w:numFmt w:val="bullet"/>
      <w:lvlText w:val=""/>
      <w:lvlJc w:val="left"/>
      <w:pPr>
        <w:tabs>
          <w:tab w:val="num" w:pos="1080"/>
        </w:tabs>
        <w:ind w:left="720" w:hanging="360"/>
      </w:pPr>
      <w:rPr>
        <w:rFonts w:ascii="Symbol" w:hAnsi="Symbol" w:hint="default"/>
      </w:rPr>
    </w:lvl>
    <w:lvl w:ilvl="1" w:tplc="061C9862">
      <w:numFmt w:val="decimal"/>
      <w:lvlText w:val=""/>
      <w:lvlJc w:val="left"/>
    </w:lvl>
    <w:lvl w:ilvl="2" w:tplc="90C6A586">
      <w:numFmt w:val="decimal"/>
      <w:lvlText w:val=""/>
      <w:lvlJc w:val="left"/>
    </w:lvl>
    <w:lvl w:ilvl="3" w:tplc="8BEA2990">
      <w:numFmt w:val="decimal"/>
      <w:lvlText w:val=""/>
      <w:lvlJc w:val="left"/>
    </w:lvl>
    <w:lvl w:ilvl="4" w:tplc="EFF8C248">
      <w:numFmt w:val="decimal"/>
      <w:lvlText w:val=""/>
      <w:lvlJc w:val="left"/>
    </w:lvl>
    <w:lvl w:ilvl="5" w:tplc="D9BEE2E8">
      <w:numFmt w:val="decimal"/>
      <w:lvlText w:val=""/>
      <w:lvlJc w:val="left"/>
    </w:lvl>
    <w:lvl w:ilvl="6" w:tplc="A386BACA">
      <w:numFmt w:val="decimal"/>
      <w:lvlText w:val=""/>
      <w:lvlJc w:val="left"/>
    </w:lvl>
    <w:lvl w:ilvl="7" w:tplc="8BA47D62">
      <w:numFmt w:val="decimal"/>
      <w:lvlText w:val=""/>
      <w:lvlJc w:val="left"/>
    </w:lvl>
    <w:lvl w:ilvl="8" w:tplc="A9361390">
      <w:numFmt w:val="decimal"/>
      <w:lvlText w:val=""/>
      <w:lvlJc w:val="left"/>
    </w:lvl>
  </w:abstractNum>
  <w:abstractNum w:abstractNumId="24" w15:restartNumberingAfterBreak="0">
    <w:nsid w:val="5BF92CFB"/>
    <w:multiLevelType w:val="hybridMultilevel"/>
    <w:tmpl w:val="CF14C5E2"/>
    <w:lvl w:ilvl="0" w:tplc="1180A5C0">
      <w:start w:val="1"/>
      <w:numFmt w:val="bullet"/>
      <w:lvlText w:val=""/>
      <w:lvlJc w:val="left"/>
      <w:pPr>
        <w:tabs>
          <w:tab w:val="num" w:pos="1080"/>
        </w:tabs>
        <w:ind w:left="720" w:hanging="360"/>
      </w:pPr>
      <w:rPr>
        <w:rFonts w:ascii="Symbol" w:hAnsi="Symbol" w:hint="default"/>
      </w:rPr>
    </w:lvl>
    <w:lvl w:ilvl="1" w:tplc="4F9EE6FA">
      <w:numFmt w:val="decimal"/>
      <w:lvlText w:val=""/>
      <w:lvlJc w:val="left"/>
    </w:lvl>
    <w:lvl w:ilvl="2" w:tplc="A5E85CCC">
      <w:numFmt w:val="decimal"/>
      <w:lvlText w:val=""/>
      <w:lvlJc w:val="left"/>
    </w:lvl>
    <w:lvl w:ilvl="3" w:tplc="6696F4B8">
      <w:numFmt w:val="decimal"/>
      <w:lvlText w:val=""/>
      <w:lvlJc w:val="left"/>
    </w:lvl>
    <w:lvl w:ilvl="4" w:tplc="D0DC0494">
      <w:numFmt w:val="decimal"/>
      <w:lvlText w:val=""/>
      <w:lvlJc w:val="left"/>
    </w:lvl>
    <w:lvl w:ilvl="5" w:tplc="E31C2406">
      <w:numFmt w:val="decimal"/>
      <w:lvlText w:val=""/>
      <w:lvlJc w:val="left"/>
    </w:lvl>
    <w:lvl w:ilvl="6" w:tplc="7BC490B2">
      <w:numFmt w:val="decimal"/>
      <w:lvlText w:val=""/>
      <w:lvlJc w:val="left"/>
    </w:lvl>
    <w:lvl w:ilvl="7" w:tplc="989C281E">
      <w:numFmt w:val="decimal"/>
      <w:lvlText w:val=""/>
      <w:lvlJc w:val="left"/>
    </w:lvl>
    <w:lvl w:ilvl="8" w:tplc="5254E54A">
      <w:numFmt w:val="decimal"/>
      <w:lvlText w:val=""/>
      <w:lvlJc w:val="left"/>
    </w:lvl>
  </w:abstractNum>
  <w:abstractNum w:abstractNumId="25" w15:restartNumberingAfterBreak="0">
    <w:nsid w:val="62534EE7"/>
    <w:multiLevelType w:val="hybridMultilevel"/>
    <w:tmpl w:val="800CAB2E"/>
    <w:lvl w:ilvl="0" w:tplc="7EAC133A">
      <w:start w:val="1"/>
      <w:numFmt w:val="bullet"/>
      <w:lvlText w:val=""/>
      <w:lvlJc w:val="left"/>
      <w:pPr>
        <w:tabs>
          <w:tab w:val="num" w:pos="1080"/>
        </w:tabs>
        <w:ind w:left="720" w:hanging="360"/>
      </w:pPr>
      <w:rPr>
        <w:rFonts w:ascii="Symbol" w:hAnsi="Symbol" w:hint="default"/>
      </w:rPr>
    </w:lvl>
    <w:lvl w:ilvl="1" w:tplc="116012E0">
      <w:numFmt w:val="decimal"/>
      <w:lvlText w:val=""/>
      <w:lvlJc w:val="left"/>
    </w:lvl>
    <w:lvl w:ilvl="2" w:tplc="812273DC">
      <w:numFmt w:val="decimal"/>
      <w:lvlText w:val=""/>
      <w:lvlJc w:val="left"/>
    </w:lvl>
    <w:lvl w:ilvl="3" w:tplc="3B0808FC">
      <w:numFmt w:val="decimal"/>
      <w:lvlText w:val=""/>
      <w:lvlJc w:val="left"/>
    </w:lvl>
    <w:lvl w:ilvl="4" w:tplc="EAA08092">
      <w:numFmt w:val="decimal"/>
      <w:lvlText w:val=""/>
      <w:lvlJc w:val="left"/>
    </w:lvl>
    <w:lvl w:ilvl="5" w:tplc="CB704668">
      <w:numFmt w:val="decimal"/>
      <w:lvlText w:val=""/>
      <w:lvlJc w:val="left"/>
    </w:lvl>
    <w:lvl w:ilvl="6" w:tplc="9800C598">
      <w:numFmt w:val="decimal"/>
      <w:lvlText w:val=""/>
      <w:lvlJc w:val="left"/>
    </w:lvl>
    <w:lvl w:ilvl="7" w:tplc="CDEA3D96">
      <w:numFmt w:val="decimal"/>
      <w:lvlText w:val=""/>
      <w:lvlJc w:val="left"/>
    </w:lvl>
    <w:lvl w:ilvl="8" w:tplc="34C02AC2">
      <w:numFmt w:val="decimal"/>
      <w:lvlText w:val=""/>
      <w:lvlJc w:val="left"/>
    </w:lvl>
  </w:abstractNum>
  <w:abstractNum w:abstractNumId="26" w15:restartNumberingAfterBreak="0">
    <w:nsid w:val="66186286"/>
    <w:multiLevelType w:val="hybridMultilevel"/>
    <w:tmpl w:val="E7DC8B98"/>
    <w:lvl w:ilvl="0" w:tplc="C7BC0918">
      <w:start w:val="1"/>
      <w:numFmt w:val="bullet"/>
      <w:lvlText w:val=""/>
      <w:lvlJc w:val="left"/>
      <w:pPr>
        <w:tabs>
          <w:tab w:val="num" w:pos="1080"/>
        </w:tabs>
        <w:ind w:left="720" w:hanging="360"/>
      </w:pPr>
      <w:rPr>
        <w:rFonts w:ascii="Symbol" w:hAnsi="Symbol" w:hint="default"/>
      </w:rPr>
    </w:lvl>
    <w:lvl w:ilvl="1" w:tplc="61DCB5D6">
      <w:numFmt w:val="decimal"/>
      <w:lvlText w:val=""/>
      <w:lvlJc w:val="left"/>
    </w:lvl>
    <w:lvl w:ilvl="2" w:tplc="65DE8CB8">
      <w:numFmt w:val="decimal"/>
      <w:lvlText w:val=""/>
      <w:lvlJc w:val="left"/>
    </w:lvl>
    <w:lvl w:ilvl="3" w:tplc="F20EA85E">
      <w:numFmt w:val="decimal"/>
      <w:lvlText w:val=""/>
      <w:lvlJc w:val="left"/>
    </w:lvl>
    <w:lvl w:ilvl="4" w:tplc="B70E208E">
      <w:numFmt w:val="decimal"/>
      <w:lvlText w:val=""/>
      <w:lvlJc w:val="left"/>
    </w:lvl>
    <w:lvl w:ilvl="5" w:tplc="4498FCD4">
      <w:numFmt w:val="decimal"/>
      <w:lvlText w:val=""/>
      <w:lvlJc w:val="left"/>
    </w:lvl>
    <w:lvl w:ilvl="6" w:tplc="0A1C475E">
      <w:numFmt w:val="decimal"/>
      <w:lvlText w:val=""/>
      <w:lvlJc w:val="left"/>
    </w:lvl>
    <w:lvl w:ilvl="7" w:tplc="3BB638A4">
      <w:numFmt w:val="decimal"/>
      <w:lvlText w:val=""/>
      <w:lvlJc w:val="left"/>
    </w:lvl>
    <w:lvl w:ilvl="8" w:tplc="5D365C88">
      <w:numFmt w:val="decimal"/>
      <w:lvlText w:val=""/>
      <w:lvlJc w:val="left"/>
    </w:lvl>
  </w:abstractNum>
  <w:abstractNum w:abstractNumId="27" w15:restartNumberingAfterBreak="0">
    <w:nsid w:val="66760FEE"/>
    <w:multiLevelType w:val="hybridMultilevel"/>
    <w:tmpl w:val="7AF80F94"/>
    <w:lvl w:ilvl="0" w:tplc="EF6A7A92">
      <w:start w:val="1"/>
      <w:numFmt w:val="bullet"/>
      <w:lvlText w:val=""/>
      <w:lvlJc w:val="left"/>
      <w:pPr>
        <w:tabs>
          <w:tab w:val="num" w:pos="1080"/>
        </w:tabs>
        <w:ind w:left="720" w:hanging="360"/>
      </w:pPr>
      <w:rPr>
        <w:rFonts w:ascii="Symbol" w:hAnsi="Symbol" w:hint="default"/>
      </w:rPr>
    </w:lvl>
    <w:lvl w:ilvl="1" w:tplc="BB30AF0E">
      <w:numFmt w:val="decimal"/>
      <w:lvlText w:val=""/>
      <w:lvlJc w:val="left"/>
    </w:lvl>
    <w:lvl w:ilvl="2" w:tplc="19542C10">
      <w:numFmt w:val="decimal"/>
      <w:lvlText w:val=""/>
      <w:lvlJc w:val="left"/>
    </w:lvl>
    <w:lvl w:ilvl="3" w:tplc="ED4E76EC">
      <w:numFmt w:val="decimal"/>
      <w:lvlText w:val=""/>
      <w:lvlJc w:val="left"/>
    </w:lvl>
    <w:lvl w:ilvl="4" w:tplc="AEE8A2DA">
      <w:numFmt w:val="decimal"/>
      <w:lvlText w:val=""/>
      <w:lvlJc w:val="left"/>
    </w:lvl>
    <w:lvl w:ilvl="5" w:tplc="292E4B30">
      <w:numFmt w:val="decimal"/>
      <w:lvlText w:val=""/>
      <w:lvlJc w:val="left"/>
    </w:lvl>
    <w:lvl w:ilvl="6" w:tplc="F68E3E44">
      <w:numFmt w:val="decimal"/>
      <w:lvlText w:val=""/>
      <w:lvlJc w:val="left"/>
    </w:lvl>
    <w:lvl w:ilvl="7" w:tplc="2670E654">
      <w:numFmt w:val="decimal"/>
      <w:lvlText w:val=""/>
      <w:lvlJc w:val="left"/>
    </w:lvl>
    <w:lvl w:ilvl="8" w:tplc="EA22AEDC">
      <w:numFmt w:val="decimal"/>
      <w:lvlText w:val=""/>
      <w:lvlJc w:val="left"/>
    </w:lvl>
  </w:abstractNum>
  <w:abstractNum w:abstractNumId="28" w15:restartNumberingAfterBreak="0">
    <w:nsid w:val="6AC56073"/>
    <w:multiLevelType w:val="hybridMultilevel"/>
    <w:tmpl w:val="E1B80076"/>
    <w:lvl w:ilvl="0" w:tplc="2F682C02">
      <w:start w:val="1"/>
      <w:numFmt w:val="bullet"/>
      <w:lvlText w:val=""/>
      <w:lvlJc w:val="left"/>
      <w:pPr>
        <w:tabs>
          <w:tab w:val="num" w:pos="1080"/>
        </w:tabs>
        <w:ind w:left="720" w:hanging="360"/>
      </w:pPr>
      <w:rPr>
        <w:rFonts w:ascii="Symbol" w:hAnsi="Symbol" w:hint="default"/>
      </w:rPr>
    </w:lvl>
    <w:lvl w:ilvl="1" w:tplc="AC6E8D5E">
      <w:numFmt w:val="decimal"/>
      <w:lvlText w:val=""/>
      <w:lvlJc w:val="left"/>
    </w:lvl>
    <w:lvl w:ilvl="2" w:tplc="C7A47354">
      <w:numFmt w:val="decimal"/>
      <w:lvlText w:val=""/>
      <w:lvlJc w:val="left"/>
    </w:lvl>
    <w:lvl w:ilvl="3" w:tplc="CB4489BE">
      <w:numFmt w:val="decimal"/>
      <w:lvlText w:val=""/>
      <w:lvlJc w:val="left"/>
    </w:lvl>
    <w:lvl w:ilvl="4" w:tplc="A22849B8">
      <w:numFmt w:val="decimal"/>
      <w:lvlText w:val=""/>
      <w:lvlJc w:val="left"/>
    </w:lvl>
    <w:lvl w:ilvl="5" w:tplc="984C2712">
      <w:numFmt w:val="decimal"/>
      <w:lvlText w:val=""/>
      <w:lvlJc w:val="left"/>
    </w:lvl>
    <w:lvl w:ilvl="6" w:tplc="31F6F9DA">
      <w:numFmt w:val="decimal"/>
      <w:lvlText w:val=""/>
      <w:lvlJc w:val="left"/>
    </w:lvl>
    <w:lvl w:ilvl="7" w:tplc="B2A86576">
      <w:numFmt w:val="decimal"/>
      <w:lvlText w:val=""/>
      <w:lvlJc w:val="left"/>
    </w:lvl>
    <w:lvl w:ilvl="8" w:tplc="B562E44E">
      <w:numFmt w:val="decimal"/>
      <w:lvlText w:val=""/>
      <w:lvlJc w:val="left"/>
    </w:lvl>
  </w:abstractNum>
  <w:abstractNum w:abstractNumId="29" w15:restartNumberingAfterBreak="0">
    <w:nsid w:val="6C147D45"/>
    <w:multiLevelType w:val="hybridMultilevel"/>
    <w:tmpl w:val="381E5EC8"/>
    <w:lvl w:ilvl="0" w:tplc="82E28FE2">
      <w:start w:val="1"/>
      <w:numFmt w:val="bullet"/>
      <w:lvlText w:val=""/>
      <w:lvlJc w:val="left"/>
      <w:pPr>
        <w:tabs>
          <w:tab w:val="num" w:pos="1080"/>
        </w:tabs>
        <w:ind w:left="720" w:hanging="360"/>
      </w:pPr>
      <w:rPr>
        <w:rFonts w:ascii="Symbol" w:hAnsi="Symbol" w:hint="default"/>
      </w:rPr>
    </w:lvl>
    <w:lvl w:ilvl="1" w:tplc="790A1306">
      <w:numFmt w:val="decimal"/>
      <w:lvlText w:val=""/>
      <w:lvlJc w:val="left"/>
    </w:lvl>
    <w:lvl w:ilvl="2" w:tplc="0FDE1582">
      <w:numFmt w:val="decimal"/>
      <w:lvlText w:val=""/>
      <w:lvlJc w:val="left"/>
    </w:lvl>
    <w:lvl w:ilvl="3" w:tplc="66A8AFAE">
      <w:numFmt w:val="decimal"/>
      <w:lvlText w:val=""/>
      <w:lvlJc w:val="left"/>
    </w:lvl>
    <w:lvl w:ilvl="4" w:tplc="2C2CF046">
      <w:numFmt w:val="decimal"/>
      <w:lvlText w:val=""/>
      <w:lvlJc w:val="left"/>
    </w:lvl>
    <w:lvl w:ilvl="5" w:tplc="43C8AE9C">
      <w:numFmt w:val="decimal"/>
      <w:lvlText w:val=""/>
      <w:lvlJc w:val="left"/>
    </w:lvl>
    <w:lvl w:ilvl="6" w:tplc="0AA6DE1A">
      <w:numFmt w:val="decimal"/>
      <w:lvlText w:val=""/>
      <w:lvlJc w:val="left"/>
    </w:lvl>
    <w:lvl w:ilvl="7" w:tplc="0ECCED5E">
      <w:numFmt w:val="decimal"/>
      <w:lvlText w:val=""/>
      <w:lvlJc w:val="left"/>
    </w:lvl>
    <w:lvl w:ilvl="8" w:tplc="D8B66DC6">
      <w:numFmt w:val="decimal"/>
      <w:lvlText w:val=""/>
      <w:lvlJc w:val="left"/>
    </w:lvl>
  </w:abstractNum>
  <w:abstractNum w:abstractNumId="30" w15:restartNumberingAfterBreak="0">
    <w:nsid w:val="6D232B49"/>
    <w:multiLevelType w:val="hybridMultilevel"/>
    <w:tmpl w:val="B10232CC"/>
    <w:lvl w:ilvl="0" w:tplc="117ADB6C">
      <w:start w:val="1"/>
      <w:numFmt w:val="bullet"/>
      <w:lvlText w:val=""/>
      <w:lvlJc w:val="left"/>
      <w:pPr>
        <w:tabs>
          <w:tab w:val="num" w:pos="1080"/>
        </w:tabs>
        <w:ind w:left="720" w:hanging="360"/>
      </w:pPr>
      <w:rPr>
        <w:rFonts w:ascii="Symbol" w:hAnsi="Symbol" w:hint="default"/>
      </w:rPr>
    </w:lvl>
    <w:lvl w:ilvl="1" w:tplc="823CD020">
      <w:numFmt w:val="decimal"/>
      <w:lvlText w:val=""/>
      <w:lvlJc w:val="left"/>
    </w:lvl>
    <w:lvl w:ilvl="2" w:tplc="10587564">
      <w:numFmt w:val="decimal"/>
      <w:lvlText w:val=""/>
      <w:lvlJc w:val="left"/>
    </w:lvl>
    <w:lvl w:ilvl="3" w:tplc="E2043FB0">
      <w:numFmt w:val="decimal"/>
      <w:lvlText w:val=""/>
      <w:lvlJc w:val="left"/>
    </w:lvl>
    <w:lvl w:ilvl="4" w:tplc="C128BC72">
      <w:numFmt w:val="decimal"/>
      <w:lvlText w:val=""/>
      <w:lvlJc w:val="left"/>
    </w:lvl>
    <w:lvl w:ilvl="5" w:tplc="0E369E00">
      <w:numFmt w:val="decimal"/>
      <w:lvlText w:val=""/>
      <w:lvlJc w:val="left"/>
    </w:lvl>
    <w:lvl w:ilvl="6" w:tplc="E9307276">
      <w:numFmt w:val="decimal"/>
      <w:lvlText w:val=""/>
      <w:lvlJc w:val="left"/>
    </w:lvl>
    <w:lvl w:ilvl="7" w:tplc="BC3A7BB8">
      <w:numFmt w:val="decimal"/>
      <w:lvlText w:val=""/>
      <w:lvlJc w:val="left"/>
    </w:lvl>
    <w:lvl w:ilvl="8" w:tplc="BFC69402">
      <w:numFmt w:val="decimal"/>
      <w:lvlText w:val=""/>
      <w:lvlJc w:val="left"/>
    </w:lvl>
  </w:abstractNum>
  <w:abstractNum w:abstractNumId="31" w15:restartNumberingAfterBreak="0">
    <w:nsid w:val="6D48452D"/>
    <w:multiLevelType w:val="hybridMultilevel"/>
    <w:tmpl w:val="0C8C94BC"/>
    <w:lvl w:ilvl="0" w:tplc="852A318A">
      <w:start w:val="1"/>
      <w:numFmt w:val="bullet"/>
      <w:lvlText w:val=""/>
      <w:lvlJc w:val="left"/>
      <w:pPr>
        <w:tabs>
          <w:tab w:val="num" w:pos="1080"/>
        </w:tabs>
        <w:ind w:left="720" w:hanging="360"/>
      </w:pPr>
      <w:rPr>
        <w:rFonts w:ascii="Symbol" w:hAnsi="Symbol" w:hint="default"/>
      </w:rPr>
    </w:lvl>
    <w:lvl w:ilvl="1" w:tplc="CFCE9496">
      <w:numFmt w:val="decimal"/>
      <w:lvlText w:val=""/>
      <w:lvlJc w:val="left"/>
    </w:lvl>
    <w:lvl w:ilvl="2" w:tplc="C6961D6E">
      <w:numFmt w:val="decimal"/>
      <w:lvlText w:val=""/>
      <w:lvlJc w:val="left"/>
    </w:lvl>
    <w:lvl w:ilvl="3" w:tplc="498ABFC8">
      <w:numFmt w:val="decimal"/>
      <w:lvlText w:val=""/>
      <w:lvlJc w:val="left"/>
    </w:lvl>
    <w:lvl w:ilvl="4" w:tplc="D688D15E">
      <w:numFmt w:val="decimal"/>
      <w:lvlText w:val=""/>
      <w:lvlJc w:val="left"/>
    </w:lvl>
    <w:lvl w:ilvl="5" w:tplc="90B01364">
      <w:numFmt w:val="decimal"/>
      <w:lvlText w:val=""/>
      <w:lvlJc w:val="left"/>
    </w:lvl>
    <w:lvl w:ilvl="6" w:tplc="2CD8AF1E">
      <w:numFmt w:val="decimal"/>
      <w:lvlText w:val=""/>
      <w:lvlJc w:val="left"/>
    </w:lvl>
    <w:lvl w:ilvl="7" w:tplc="C0FE82FC">
      <w:numFmt w:val="decimal"/>
      <w:lvlText w:val=""/>
      <w:lvlJc w:val="left"/>
    </w:lvl>
    <w:lvl w:ilvl="8" w:tplc="7292B69C">
      <w:numFmt w:val="decimal"/>
      <w:lvlText w:val=""/>
      <w:lvlJc w:val="left"/>
    </w:lvl>
  </w:abstractNum>
  <w:abstractNum w:abstractNumId="32" w15:restartNumberingAfterBreak="0">
    <w:nsid w:val="756D1B1E"/>
    <w:multiLevelType w:val="hybridMultilevel"/>
    <w:tmpl w:val="19ECD512"/>
    <w:lvl w:ilvl="0" w:tplc="8FFA0532">
      <w:start w:val="1"/>
      <w:numFmt w:val="bullet"/>
      <w:lvlText w:val=""/>
      <w:lvlJc w:val="left"/>
      <w:pPr>
        <w:tabs>
          <w:tab w:val="num" w:pos="1080"/>
        </w:tabs>
        <w:ind w:left="720" w:hanging="360"/>
      </w:pPr>
      <w:rPr>
        <w:rFonts w:ascii="Symbol" w:hAnsi="Symbol" w:hint="default"/>
      </w:rPr>
    </w:lvl>
    <w:lvl w:ilvl="1" w:tplc="948400C4">
      <w:numFmt w:val="decimal"/>
      <w:lvlText w:val=""/>
      <w:lvlJc w:val="left"/>
    </w:lvl>
    <w:lvl w:ilvl="2" w:tplc="D362E260">
      <w:numFmt w:val="decimal"/>
      <w:lvlText w:val=""/>
      <w:lvlJc w:val="left"/>
    </w:lvl>
    <w:lvl w:ilvl="3" w:tplc="03AA073E">
      <w:numFmt w:val="decimal"/>
      <w:lvlText w:val=""/>
      <w:lvlJc w:val="left"/>
    </w:lvl>
    <w:lvl w:ilvl="4" w:tplc="55424A04">
      <w:numFmt w:val="decimal"/>
      <w:lvlText w:val=""/>
      <w:lvlJc w:val="left"/>
    </w:lvl>
    <w:lvl w:ilvl="5" w:tplc="01CE8E0E">
      <w:numFmt w:val="decimal"/>
      <w:lvlText w:val=""/>
      <w:lvlJc w:val="left"/>
    </w:lvl>
    <w:lvl w:ilvl="6" w:tplc="3170E6DC">
      <w:numFmt w:val="decimal"/>
      <w:lvlText w:val=""/>
      <w:lvlJc w:val="left"/>
    </w:lvl>
    <w:lvl w:ilvl="7" w:tplc="0A6E5F96">
      <w:numFmt w:val="decimal"/>
      <w:lvlText w:val=""/>
      <w:lvlJc w:val="left"/>
    </w:lvl>
    <w:lvl w:ilvl="8" w:tplc="94A0479C">
      <w:numFmt w:val="decimal"/>
      <w:lvlText w:val=""/>
      <w:lvlJc w:val="left"/>
    </w:lvl>
  </w:abstractNum>
  <w:abstractNum w:abstractNumId="33" w15:restartNumberingAfterBreak="0">
    <w:nsid w:val="782A44F9"/>
    <w:multiLevelType w:val="hybridMultilevel"/>
    <w:tmpl w:val="69CC3B84"/>
    <w:lvl w:ilvl="0" w:tplc="AA805CA6">
      <w:start w:val="1"/>
      <w:numFmt w:val="bullet"/>
      <w:lvlText w:val=""/>
      <w:lvlJc w:val="left"/>
      <w:pPr>
        <w:tabs>
          <w:tab w:val="num" w:pos="1080"/>
        </w:tabs>
        <w:ind w:left="720" w:hanging="360"/>
      </w:pPr>
      <w:rPr>
        <w:rFonts w:ascii="Symbol" w:hAnsi="Symbol" w:hint="default"/>
      </w:rPr>
    </w:lvl>
    <w:lvl w:ilvl="1" w:tplc="B7A23988">
      <w:numFmt w:val="decimal"/>
      <w:lvlText w:val=""/>
      <w:lvlJc w:val="left"/>
    </w:lvl>
    <w:lvl w:ilvl="2" w:tplc="93F8F72E">
      <w:numFmt w:val="decimal"/>
      <w:lvlText w:val=""/>
      <w:lvlJc w:val="left"/>
    </w:lvl>
    <w:lvl w:ilvl="3" w:tplc="50E0302E">
      <w:numFmt w:val="decimal"/>
      <w:lvlText w:val=""/>
      <w:lvlJc w:val="left"/>
    </w:lvl>
    <w:lvl w:ilvl="4" w:tplc="9D2E839C">
      <w:numFmt w:val="decimal"/>
      <w:lvlText w:val=""/>
      <w:lvlJc w:val="left"/>
    </w:lvl>
    <w:lvl w:ilvl="5" w:tplc="8F08AA48">
      <w:numFmt w:val="decimal"/>
      <w:lvlText w:val=""/>
      <w:lvlJc w:val="left"/>
    </w:lvl>
    <w:lvl w:ilvl="6" w:tplc="26DA03E6">
      <w:numFmt w:val="decimal"/>
      <w:lvlText w:val=""/>
      <w:lvlJc w:val="left"/>
    </w:lvl>
    <w:lvl w:ilvl="7" w:tplc="0B2857F6">
      <w:numFmt w:val="decimal"/>
      <w:lvlText w:val=""/>
      <w:lvlJc w:val="left"/>
    </w:lvl>
    <w:lvl w:ilvl="8" w:tplc="1158C11C">
      <w:numFmt w:val="decimal"/>
      <w:lvlText w:val=""/>
      <w:lvlJc w:val="left"/>
    </w:lvl>
  </w:abstractNum>
  <w:abstractNum w:abstractNumId="34" w15:restartNumberingAfterBreak="0">
    <w:nsid w:val="78BD3B8B"/>
    <w:multiLevelType w:val="hybridMultilevel"/>
    <w:tmpl w:val="04F6954C"/>
    <w:lvl w:ilvl="0" w:tplc="FD821E8C">
      <w:start w:val="1"/>
      <w:numFmt w:val="bullet"/>
      <w:lvlText w:val=""/>
      <w:lvlJc w:val="left"/>
      <w:pPr>
        <w:tabs>
          <w:tab w:val="num" w:pos="1080"/>
        </w:tabs>
        <w:ind w:left="720" w:hanging="360"/>
      </w:pPr>
      <w:rPr>
        <w:rFonts w:ascii="Symbol" w:hAnsi="Symbol" w:hint="default"/>
      </w:rPr>
    </w:lvl>
    <w:lvl w:ilvl="1" w:tplc="27B819A4">
      <w:numFmt w:val="decimal"/>
      <w:lvlText w:val=""/>
      <w:lvlJc w:val="left"/>
    </w:lvl>
    <w:lvl w:ilvl="2" w:tplc="2BC486E0">
      <w:numFmt w:val="decimal"/>
      <w:lvlText w:val=""/>
      <w:lvlJc w:val="left"/>
    </w:lvl>
    <w:lvl w:ilvl="3" w:tplc="A43C32A4">
      <w:numFmt w:val="decimal"/>
      <w:lvlText w:val=""/>
      <w:lvlJc w:val="left"/>
    </w:lvl>
    <w:lvl w:ilvl="4" w:tplc="4A56492A">
      <w:numFmt w:val="decimal"/>
      <w:lvlText w:val=""/>
      <w:lvlJc w:val="left"/>
    </w:lvl>
    <w:lvl w:ilvl="5" w:tplc="49442C82">
      <w:numFmt w:val="decimal"/>
      <w:lvlText w:val=""/>
      <w:lvlJc w:val="left"/>
    </w:lvl>
    <w:lvl w:ilvl="6" w:tplc="BF3AC820">
      <w:numFmt w:val="decimal"/>
      <w:lvlText w:val=""/>
      <w:lvlJc w:val="left"/>
    </w:lvl>
    <w:lvl w:ilvl="7" w:tplc="31D40F70">
      <w:numFmt w:val="decimal"/>
      <w:lvlText w:val=""/>
      <w:lvlJc w:val="left"/>
    </w:lvl>
    <w:lvl w:ilvl="8" w:tplc="93DA8A4A">
      <w:numFmt w:val="decimal"/>
      <w:lvlText w:val=""/>
      <w:lvlJc w:val="left"/>
    </w:lvl>
  </w:abstractNum>
  <w:abstractNum w:abstractNumId="35" w15:restartNumberingAfterBreak="0">
    <w:nsid w:val="7F0A0729"/>
    <w:multiLevelType w:val="hybridMultilevel"/>
    <w:tmpl w:val="C65EA798"/>
    <w:lvl w:ilvl="0" w:tplc="100C1582">
      <w:start w:val="1"/>
      <w:numFmt w:val="decimal"/>
      <w:lvlText w:val="%1."/>
      <w:lvlJc w:val="left"/>
      <w:pPr>
        <w:tabs>
          <w:tab w:val="num" w:pos="1080"/>
        </w:tabs>
        <w:ind w:left="720" w:hanging="360"/>
      </w:pPr>
    </w:lvl>
    <w:lvl w:ilvl="1" w:tplc="90D49EBC">
      <w:numFmt w:val="decimal"/>
      <w:lvlText w:val=""/>
      <w:lvlJc w:val="left"/>
    </w:lvl>
    <w:lvl w:ilvl="2" w:tplc="29C6D7DC">
      <w:numFmt w:val="decimal"/>
      <w:lvlText w:val=""/>
      <w:lvlJc w:val="left"/>
    </w:lvl>
    <w:lvl w:ilvl="3" w:tplc="C9CC0A5C">
      <w:numFmt w:val="decimal"/>
      <w:lvlText w:val=""/>
      <w:lvlJc w:val="left"/>
    </w:lvl>
    <w:lvl w:ilvl="4" w:tplc="D3E6D07C">
      <w:numFmt w:val="decimal"/>
      <w:lvlText w:val=""/>
      <w:lvlJc w:val="left"/>
    </w:lvl>
    <w:lvl w:ilvl="5" w:tplc="E032A1BA">
      <w:numFmt w:val="decimal"/>
      <w:lvlText w:val=""/>
      <w:lvlJc w:val="left"/>
    </w:lvl>
    <w:lvl w:ilvl="6" w:tplc="0DD4C6F2">
      <w:numFmt w:val="decimal"/>
      <w:lvlText w:val=""/>
      <w:lvlJc w:val="left"/>
    </w:lvl>
    <w:lvl w:ilvl="7" w:tplc="BC547418">
      <w:numFmt w:val="decimal"/>
      <w:lvlText w:val=""/>
      <w:lvlJc w:val="left"/>
    </w:lvl>
    <w:lvl w:ilvl="8" w:tplc="35124210">
      <w:numFmt w:val="decimal"/>
      <w:lvlText w:val=""/>
      <w:lvlJc w:val="left"/>
    </w:lvl>
  </w:abstractNum>
  <w:num w:numId="1">
    <w:abstractNumId w:val="5"/>
  </w:num>
  <w:num w:numId="2">
    <w:abstractNumId w:val="2"/>
  </w:num>
  <w:num w:numId="3">
    <w:abstractNumId w:val="33"/>
  </w:num>
  <w:num w:numId="4">
    <w:abstractNumId w:val="10"/>
  </w:num>
  <w:num w:numId="5">
    <w:abstractNumId w:val="32"/>
  </w:num>
  <w:num w:numId="6">
    <w:abstractNumId w:val="9"/>
  </w:num>
  <w:num w:numId="7">
    <w:abstractNumId w:val="1"/>
  </w:num>
  <w:num w:numId="8">
    <w:abstractNumId w:val="25"/>
  </w:num>
  <w:num w:numId="9">
    <w:abstractNumId w:val="27"/>
  </w:num>
  <w:num w:numId="10">
    <w:abstractNumId w:val="15"/>
  </w:num>
  <w:num w:numId="11">
    <w:abstractNumId w:val="22"/>
  </w:num>
  <w:num w:numId="12">
    <w:abstractNumId w:val="29"/>
  </w:num>
  <w:num w:numId="13">
    <w:abstractNumId w:val="28"/>
  </w:num>
  <w:num w:numId="14">
    <w:abstractNumId w:val="23"/>
  </w:num>
  <w:num w:numId="15">
    <w:abstractNumId w:val="17"/>
  </w:num>
  <w:num w:numId="16">
    <w:abstractNumId w:val="20"/>
  </w:num>
  <w:num w:numId="17">
    <w:abstractNumId w:val="16"/>
  </w:num>
  <w:num w:numId="18">
    <w:abstractNumId w:val="14"/>
  </w:num>
  <w:num w:numId="19">
    <w:abstractNumId w:val="24"/>
  </w:num>
  <w:num w:numId="20">
    <w:abstractNumId w:val="12"/>
  </w:num>
  <w:num w:numId="21">
    <w:abstractNumId w:val="4"/>
  </w:num>
  <w:num w:numId="22">
    <w:abstractNumId w:val="6"/>
  </w:num>
  <w:num w:numId="23">
    <w:abstractNumId w:val="11"/>
  </w:num>
  <w:num w:numId="24">
    <w:abstractNumId w:val="21"/>
  </w:num>
  <w:num w:numId="25">
    <w:abstractNumId w:val="34"/>
  </w:num>
  <w:num w:numId="26">
    <w:abstractNumId w:val="31"/>
  </w:num>
  <w:num w:numId="27">
    <w:abstractNumId w:val="3"/>
  </w:num>
  <w:num w:numId="28">
    <w:abstractNumId w:val="0"/>
  </w:num>
  <w:num w:numId="29">
    <w:abstractNumId w:val="19"/>
  </w:num>
  <w:num w:numId="30">
    <w:abstractNumId w:val="30"/>
  </w:num>
  <w:num w:numId="31">
    <w:abstractNumId w:val="35"/>
  </w:num>
  <w:num w:numId="32">
    <w:abstractNumId w:val="8"/>
  </w:num>
  <w:num w:numId="33">
    <w:abstractNumId w:val="18"/>
  </w:num>
  <w:num w:numId="34">
    <w:abstractNumId w:val="13"/>
  </w:num>
  <w:num w:numId="35">
    <w:abstractNumId w:val="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wMDc3MzQ2NLIwMbdQ0lEKTi0uzszPAykwrAUAXsbA0SwAAAA="/>
  </w:docVars>
  <w:rsids>
    <w:rsidRoot w:val="00031D67"/>
    <w:rsid w:val="0000221C"/>
    <w:rsid w:val="00031D67"/>
    <w:rsid w:val="00112AAA"/>
    <w:rsid w:val="00170604"/>
    <w:rsid w:val="001966BC"/>
    <w:rsid w:val="00250C3F"/>
    <w:rsid w:val="00257418"/>
    <w:rsid w:val="002765F2"/>
    <w:rsid w:val="00290E7D"/>
    <w:rsid w:val="002E59BC"/>
    <w:rsid w:val="004F63E6"/>
    <w:rsid w:val="00515717"/>
    <w:rsid w:val="009355E8"/>
    <w:rsid w:val="00A12C71"/>
    <w:rsid w:val="00A2705C"/>
    <w:rsid w:val="00B625F6"/>
    <w:rsid w:val="00BA30C9"/>
    <w:rsid w:val="00C11541"/>
    <w:rsid w:val="00C90965"/>
    <w:rsid w:val="00D1625C"/>
    <w:rsid w:val="00D243C4"/>
    <w:rsid w:val="00D85455"/>
    <w:rsid w:val="00DB40FF"/>
    <w:rsid w:val="00F1769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9375"/>
  <w15:docId w15:val="{46D84D80-4412-4F1C-830C-03D17412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table" w:customStyle="1" w:styleId="NormalGrid">
    <w:name w:val="Normal Grid"/>
    <w:basedOn w:val="TableNormal"/>
    <w:uiPriority w:val="39"/>
    <w:pPr>
      <w:spacing w:after="0" w:line="240" w:lineRule="auto"/>
    </w:pPr>
    <w:tblPr>
      <w:tblCellMar>
        <w:top w:w="80" w:type="dxa"/>
        <w:left w:w="160" w:type="dxa"/>
        <w:bottom w:w="80" w:type="dxa"/>
        <w:right w:w="160" w:type="dxa"/>
      </w:tblCellMar>
    </w:tblPr>
  </w:style>
  <w:style w:type="character" w:styleId="Hyperlink">
    <w:name w:val="Hyperlink"/>
    <w:basedOn w:val="DefaultParagraphFont"/>
    <w:uiPriority w:val="99"/>
    <w:unhideWhenUsed/>
    <w:rsid w:val="00D1625C"/>
    <w:rPr>
      <w:color w:val="0563C1" w:themeColor="hyperlink"/>
      <w:u w:val="single"/>
    </w:rPr>
  </w:style>
  <w:style w:type="character" w:styleId="UnresolvedMention">
    <w:name w:val="Unresolved Mention"/>
    <w:basedOn w:val="DefaultParagraphFont"/>
    <w:uiPriority w:val="99"/>
    <w:semiHidden/>
    <w:unhideWhenUsed/>
    <w:rsid w:val="00D16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24795">
      <w:bodyDiv w:val="1"/>
      <w:marLeft w:val="0"/>
      <w:marRight w:val="0"/>
      <w:marTop w:val="0"/>
      <w:marBottom w:val="0"/>
      <w:divBdr>
        <w:top w:val="none" w:sz="0" w:space="0" w:color="auto"/>
        <w:left w:val="none" w:sz="0" w:space="0" w:color="auto"/>
        <w:bottom w:val="none" w:sz="0" w:space="0" w:color="auto"/>
        <w:right w:val="none" w:sz="0" w:space="0" w:color="auto"/>
      </w:divBdr>
    </w:div>
    <w:div w:id="887106663">
      <w:bodyDiv w:val="1"/>
      <w:marLeft w:val="0"/>
      <w:marRight w:val="0"/>
      <w:marTop w:val="0"/>
      <w:marBottom w:val="0"/>
      <w:divBdr>
        <w:top w:val="none" w:sz="0" w:space="0" w:color="auto"/>
        <w:left w:val="none" w:sz="0" w:space="0" w:color="auto"/>
        <w:bottom w:val="none" w:sz="0" w:space="0" w:color="auto"/>
        <w:right w:val="none" w:sz="0" w:space="0" w:color="auto"/>
      </w:divBdr>
    </w:div>
    <w:div w:id="1373848024">
      <w:bodyDiv w:val="1"/>
      <w:marLeft w:val="0"/>
      <w:marRight w:val="0"/>
      <w:marTop w:val="0"/>
      <w:marBottom w:val="0"/>
      <w:divBdr>
        <w:top w:val="none" w:sz="0" w:space="0" w:color="auto"/>
        <w:left w:val="none" w:sz="0" w:space="0" w:color="auto"/>
        <w:bottom w:val="none" w:sz="0" w:space="0" w:color="auto"/>
        <w:right w:val="none" w:sz="0" w:space="0" w:color="auto"/>
      </w:divBdr>
      <w:divsChild>
        <w:div w:id="444496005">
          <w:marLeft w:val="0"/>
          <w:marRight w:val="0"/>
          <w:marTop w:val="0"/>
          <w:marBottom w:val="0"/>
          <w:divBdr>
            <w:top w:val="none" w:sz="0" w:space="0" w:color="auto"/>
            <w:left w:val="none" w:sz="0" w:space="0" w:color="auto"/>
            <w:bottom w:val="none" w:sz="0" w:space="0" w:color="auto"/>
            <w:right w:val="none" w:sz="0" w:space="0" w:color="auto"/>
          </w:divBdr>
        </w:div>
      </w:divsChild>
    </w:div>
    <w:div w:id="1632787950">
      <w:bodyDiv w:val="1"/>
      <w:marLeft w:val="0"/>
      <w:marRight w:val="0"/>
      <w:marTop w:val="0"/>
      <w:marBottom w:val="0"/>
      <w:divBdr>
        <w:top w:val="none" w:sz="0" w:space="0" w:color="auto"/>
        <w:left w:val="none" w:sz="0" w:space="0" w:color="auto"/>
        <w:bottom w:val="none" w:sz="0" w:space="0" w:color="auto"/>
        <w:right w:val="none" w:sz="0" w:space="0" w:color="auto"/>
      </w:divBdr>
    </w:div>
    <w:div w:id="2137332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scholar.google.com/scholar?q=Supply+Chain+Management:+Strategy,+Planning,+and+Operation+Chopra+Meindl" TargetMode="External"/><Relationship Id="rId18" Type="http://schemas.openxmlformats.org/officeDocument/2006/relationships/hyperlink" Target="https://scholar.google.com/scholar?q=Generative+Probabilistic+Planning+for+Optimizing+Supply+Chain+Networks+Ahn" TargetMode="External"/><Relationship Id="rId3" Type="http://schemas.openxmlformats.org/officeDocument/2006/relationships/settings" Target="settings.xml"/><Relationship Id="rId21" Type="http://schemas.openxmlformats.org/officeDocument/2006/relationships/hyperlink" Target="https://scholar.google.com/scholar?q=Revolutionizing+supply+chain+management+with+AI+A+path+to+efficiency+and+sustainability+Chan" TargetMode="External"/><Relationship Id="rId7" Type="http://schemas.openxmlformats.org/officeDocument/2006/relationships/image" Target="media/image3.png"/><Relationship Id="rId12" Type="http://schemas.openxmlformats.org/officeDocument/2006/relationships/hyperlink" Target="https://scholar.google.com/scholar?q=Mitigating+supply+chain+risk+through+improved+confidence+Christopher+Lee" TargetMode="External"/><Relationship Id="rId17" Type="http://schemas.openxmlformats.org/officeDocument/2006/relationships/hyperlink" Target="https://scholar.google.com/scholar?q=AI-based+inventory+decision+support+system+for+perishable+products+Min+Zho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cholar.google.com/scholar?q=Reverse+Logistics:+Quantitative+Models+for+Closed-Loop+Supply+Chains+Dekker" TargetMode="External"/><Relationship Id="rId20" Type="http://schemas.openxmlformats.org/officeDocument/2006/relationships/hyperlink" Target="https://scholar.google.com/scholar?q=Reviewing+the+roles+of+AI-integrated+technologies+in+sustainable+supply+chain+management+Q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cholar.google.com/scholar?q=Supply+chain+management+under+the+threat+of+international+terrorism+Y.+Sheffi"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scholar.google.com/scholar?q=From+a+literature+review+to+a+conceptual+framework+for+sustainable+supply+chain+management+Seuring+M%C3%BCller" TargetMode="External"/><Relationship Id="rId23" Type="http://schemas.openxmlformats.org/officeDocument/2006/relationships/hyperlink" Target="https://scholar.google.com/scholar?q=AI%27s+transformative+influence+on+logistics+in+G20+nations" TargetMode="External"/><Relationship Id="rId10" Type="http://schemas.openxmlformats.org/officeDocument/2006/relationships/hyperlink" Target="https://scholar.google.com/scholar?q=Foundations+of+Inventory+Management+P.+Zipkin" TargetMode="External"/><Relationship Id="rId19" Type="http://schemas.openxmlformats.org/officeDocument/2006/relationships/hyperlink" Target="https://scholar.google.com/scholar?q=GNN-based+probabilistic+supply+and+inventory+predictions+Ahn" TargetMode="External"/><Relationship Id="rId4" Type="http://schemas.openxmlformats.org/officeDocument/2006/relationships/webSettings" Target="webSettings.xml"/><Relationship Id="rId9" Type="http://schemas.openxmlformats.org/officeDocument/2006/relationships/hyperlink" Target="https://scholar.google.com/scholar?q=How+many+parts+to+make+at+once+F.W.+Harris" TargetMode="External"/><Relationship Id="rId14" Type="http://schemas.openxmlformats.org/officeDocument/2006/relationships/hyperlink" Target="https://scholar.google.com/scholar?q=Application+of+machine+learning+techniques+for+supply+chain+demand+forecasting+Carbonneau" TargetMode="External"/><Relationship Id="rId22" Type="http://schemas.openxmlformats.org/officeDocument/2006/relationships/hyperlink" Target="https://scholar.google.com/scholar?q=Improving+efficiency+and+sustainability+via+supply+chain+optim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19</Pages>
  <Words>4841</Words>
  <Characters>27599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SDI PC New 16</cp:lastModifiedBy>
  <cp:revision>17</cp:revision>
  <cp:lastPrinted>2025-06-14T16:39:00Z</cp:lastPrinted>
  <dcterms:created xsi:type="dcterms:W3CDTF">2025-06-13T21:39:00Z</dcterms:created>
  <dcterms:modified xsi:type="dcterms:W3CDTF">2025-07-04T07:31:00Z</dcterms:modified>
</cp:coreProperties>
</file>