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D7C" w:rsidRDefault="00BC1D7C">
      <w:pPr>
        <w:pStyle w:val="Author"/>
        <w:spacing w:line="240" w:lineRule="auto"/>
        <w:jc w:val="left"/>
        <w:rPr>
          <w:rFonts w:ascii="Arial" w:hAnsi="Arial"/>
          <w:bCs/>
          <w:iCs/>
          <w:kern w:val="28"/>
          <w:sz w:val="28"/>
          <w:szCs w:val="16"/>
          <w:u w:val="single"/>
        </w:rPr>
      </w:pPr>
    </w:p>
    <w:p w:rsidR="00BC1D7C" w:rsidRDefault="00232D84" w:rsidP="00EC158C">
      <w:pPr>
        <w:pStyle w:val="Author"/>
        <w:spacing w:line="240" w:lineRule="auto"/>
        <w:jc w:val="left"/>
        <w:rPr>
          <w:rFonts w:ascii="Arial" w:hAnsi="Arial" w:cs="Arial"/>
          <w:bCs/>
          <w:iCs/>
          <w:kern w:val="28"/>
          <w:sz w:val="36"/>
        </w:rPr>
      </w:pPr>
      <w:r>
        <w:rPr>
          <w:rFonts w:ascii="Arial" w:hAnsi="Arial"/>
          <w:bCs/>
          <w:iCs/>
          <w:kern w:val="28"/>
          <w:sz w:val="36"/>
        </w:rPr>
        <w:t>Leptin-Mediated Inflammation and Antioxidant Response in Hyperemesis Gravidarum: Evidence of a Protective Shift in Early Pregnancy</w:t>
      </w:r>
      <w:r>
        <w:rPr>
          <w:rFonts w:ascii="Arial" w:hAnsi="Arial" w:cs="Arial"/>
          <w:bCs/>
          <w:iCs/>
          <w:kern w:val="28"/>
          <w:sz w:val="36"/>
        </w:rPr>
        <w:t xml:space="preserve"> </w:t>
      </w:r>
    </w:p>
    <w:p w:rsidR="00BC1D7C" w:rsidRDefault="00BC1D7C">
      <w:pPr>
        <w:pStyle w:val="Author"/>
        <w:spacing w:line="240" w:lineRule="auto"/>
        <w:jc w:val="both"/>
        <w:rPr>
          <w:rFonts w:ascii="Arial" w:hAnsi="Arial" w:cs="Arial"/>
          <w:sz w:val="36"/>
        </w:rPr>
      </w:pPr>
    </w:p>
    <w:p w:rsidR="00BC1D7C" w:rsidRDefault="00BC1D7C">
      <w:pPr>
        <w:pStyle w:val="Affiliation"/>
        <w:spacing w:after="0" w:line="240" w:lineRule="auto"/>
        <w:rPr>
          <w:rFonts w:ascii="Arial" w:hAnsi="Arial" w:cs="Arial"/>
          <w:i/>
          <w:lang w:val="en-GB"/>
        </w:rPr>
      </w:pPr>
    </w:p>
    <w:p w:rsidR="00BC1D7C" w:rsidRDefault="00BC1D7C">
      <w:pPr>
        <w:pStyle w:val="Affiliation"/>
        <w:spacing w:after="0" w:line="240" w:lineRule="auto"/>
        <w:rPr>
          <w:rFonts w:ascii="Arial" w:hAnsi="Arial" w:cs="Arial"/>
          <w:i/>
          <w:lang w:val="en-GB"/>
        </w:rPr>
      </w:pPr>
    </w:p>
    <w:p w:rsidR="00BC1D7C" w:rsidRDefault="00BC1D7C">
      <w:pPr>
        <w:pStyle w:val="Affiliation"/>
        <w:spacing w:after="0" w:line="240" w:lineRule="auto"/>
        <w:rPr>
          <w:rFonts w:ascii="Arial" w:hAnsi="Arial" w:cs="Arial"/>
          <w:i/>
          <w:lang w:val="en-GB"/>
        </w:rPr>
      </w:pPr>
    </w:p>
    <w:p w:rsidR="00BC1D7C" w:rsidRDefault="00BC1D7C">
      <w:pPr>
        <w:pStyle w:val="Affiliation"/>
        <w:spacing w:after="0" w:line="240" w:lineRule="auto"/>
        <w:rPr>
          <w:rFonts w:ascii="Arial" w:hAnsi="Arial" w:cs="Arial"/>
          <w:i/>
          <w:lang w:val="en-GB"/>
        </w:rPr>
      </w:pPr>
    </w:p>
    <w:p w:rsidR="00BC1D7C" w:rsidRDefault="00232D84">
      <w:pPr>
        <w:pStyle w:val="Affiliation"/>
        <w:spacing w:after="0" w:line="240" w:lineRule="auto"/>
        <w:rPr>
          <w:rFonts w:ascii="Arial" w:hAnsi="Arial" w:cs="Arial"/>
          <w:i/>
          <w:lang w:val="en-GB"/>
        </w:rPr>
      </w:pPr>
      <w:r>
        <w:rPr>
          <w:rFonts w:ascii="Arial" w:hAnsi="Arial" w:cs="Arial"/>
          <w:i/>
          <w:lang w:val="en-GB"/>
        </w:rPr>
        <w:t xml:space="preserve"> </w:t>
      </w:r>
    </w:p>
    <w:p w:rsidR="00BC1D7C" w:rsidRDefault="00BC1D7C">
      <w:pPr>
        <w:pStyle w:val="Affiliation"/>
        <w:spacing w:after="0" w:line="240" w:lineRule="auto"/>
        <w:rPr>
          <w:rFonts w:ascii="Arial" w:hAnsi="Arial" w:cs="Arial"/>
          <w:i/>
          <w:lang w:val="en-GB"/>
        </w:rPr>
      </w:pPr>
    </w:p>
    <w:p w:rsidR="00BC1D7C" w:rsidRDefault="00BC1D7C">
      <w:pPr>
        <w:pStyle w:val="Affiliation"/>
        <w:spacing w:after="0" w:line="240" w:lineRule="auto"/>
        <w:rPr>
          <w:rFonts w:ascii="Arial" w:hAnsi="Arial" w:cs="Arial"/>
          <w:i/>
          <w:lang w:val="en-GB"/>
        </w:rPr>
      </w:pPr>
    </w:p>
    <w:p w:rsidR="00BC1D7C" w:rsidRDefault="00BC1D7C">
      <w:pPr>
        <w:pStyle w:val="Affiliation"/>
        <w:spacing w:after="0" w:line="240" w:lineRule="auto"/>
        <w:jc w:val="both"/>
        <w:rPr>
          <w:rFonts w:ascii="Arial" w:hAnsi="Arial" w:cs="Arial"/>
        </w:rPr>
      </w:pPr>
    </w:p>
    <w:p w:rsidR="00BC1D7C" w:rsidRDefault="00BC1D7C">
      <w:pPr>
        <w:pStyle w:val="Affiliation"/>
        <w:spacing w:after="0" w:line="240" w:lineRule="auto"/>
        <w:jc w:val="both"/>
        <w:rPr>
          <w:rFonts w:ascii="Arial" w:hAnsi="Arial" w:cs="Arial"/>
        </w:rPr>
      </w:pPr>
    </w:p>
    <w:p w:rsidR="00BC1D7C" w:rsidRDefault="00232D84">
      <w:pPr>
        <w:pStyle w:val="Copyright"/>
        <w:spacing w:after="0" w:line="240" w:lineRule="auto"/>
        <w:jc w:val="both"/>
        <w:rPr>
          <w:rFonts w:ascii="Arial" w:hAnsi="Arial" w:cs="Arial"/>
        </w:rPr>
        <w:sectPr w:rsidR="00BC1D7C">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noProof/>
        </w:rPr>
        <mc:AlternateContent>
          <mc:Choice Requires="wps">
            <w:drawing>
              <wp:inline distT="0" distB="0" distL="114300" distR="114300">
                <wp:extent cx="5303520" cy="0"/>
                <wp:effectExtent l="0" t="9525" r="5080" b="15875"/>
                <wp:docPr id="1" name="AutoShape 2"/>
                <wp:cNvGraphicFramePr/>
                <a:graphic xmlns:a="http://schemas.openxmlformats.org/drawingml/2006/main">
                  <a:graphicData uri="http://schemas.microsoft.com/office/word/2010/wordprocessingShape">
                    <wps:wsp>
                      <wps:cNvCnPr/>
                      <wps:spPr>
                        <a:xfrm>
                          <a:off x="0" y="0"/>
                          <a:ext cx="5303520" cy="0"/>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w:pict>
              <v:shapetype w14:anchorId="2F82E852"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7kygEAAJMDAAAOAAAAZHJzL2Uyb0RvYy54bWysU8tuGzEMvBfIPwi617t24KJdeB0UdtNL&#10;0Rpo8gG0HrsC9IKoeO2/LyU7TppeiqI+yJRIDjlD7uru6Cw7qIQm+J7PZy1nyosgjR96/vhw//4j&#10;Z5jBS7DBq56fFPK79c271RQ7tQhjsFIlRiAeuyn2fMw5dk2DYlQOcBai8uTUITnIdE1DIxNMhO5s&#10;s2jbD80UkowpCIVIr9uzk68rvtZK5B9ao8rM9px6y/VM9dyXs1mvoBsSxNGISxvwD104MJ6KXqG2&#10;kIE9JfMHlDMiBQw6z0RwTdDaCFU5EJt5+4bNzxGiqlxIHIxXmfD/wYrvh11iRtLsOPPgaESfn3Ko&#10;ldmiyDNF7Chq43fpcsO4S4XrUSdX/okFO1ZJT1dJ1TEzQY/L2/Z2uSDlxbOveUmMCfNXFRwrRs8x&#10;JzDDmDfBexpcSPMqKRy+YabSlPicUKpazybq+lO7LOhAu6MtZDJdJDboh5qMwRp5b6wtKZiG/cYm&#10;doCyDfVXGBLwb2GlyhZwPMdV13lPRgXyi5csnyLp5GmheenBKcmZVbT/xSJA6DIY+zeRVNp66qCI&#10;fJa1WPsgT1Xt+k6Trz1etrSs1ut7zX75lta/AAAA//8DAFBLAwQUAAYACAAAACEAEUgwYNYAAAAC&#10;AQAADwAAAGRycy9kb3ducmV2LnhtbEyPwUrEQBBE74L/MLTgRdyJKy4hZrKI4MmDcdcP6GTaJJjp&#10;CZnJZvx7e73opaCopup1uU9uVCeaw+DZwN0mA0XcejtwZ+Dj+HKbgwoR2eLomQx8U4B9dXlRYmH9&#10;yu90OsROSQmHAg30MU6F1qHtyWHY+IlYsk8/O4xi507bGVcpd6PeZtlOOxxYFnqc6Lmn9uuwOAPp&#10;bccx1XlqVl5eQ35TJ3S1MddX6ekRVKQU/47hjC/oUAlT4xe2QY0G5JH4q5Ll9w9bUM3Z6qrU/9Gr&#10;HwAAAP//AwBQSwECLQAUAAYACAAAACEAtoM4kv4AAADhAQAAEwAAAAAAAAAAAAAAAAAAAAAAW0Nv&#10;bnRlbnRfVHlwZXNdLnhtbFBLAQItABQABgAIAAAAIQA4/SH/1gAAAJQBAAALAAAAAAAAAAAAAAAA&#10;AC8BAABfcmVscy8ucmVsc1BLAQItABQABgAIAAAAIQBZvq7kygEAAJMDAAAOAAAAAAAAAAAAAAAA&#10;AC4CAABkcnMvZTJvRG9jLnhtbFBLAQItABQABgAIAAAAIQARSDBg1gAAAAIBAAAPAAAAAAAAAAAA&#10;AAAAACQEAABkcnMvZG93bnJldi54bWxQSwUGAAAAAAQABADzAAAAJwUAAAAA&#10;" strokeweight="1.5pt">
                <w10:anchorlock/>
              </v:shape>
            </w:pict>
          </mc:Fallback>
        </mc:AlternateContent>
      </w:r>
      <w:r>
        <w:rPr>
          <w:rFonts w:ascii="Arial" w:hAnsi="Arial" w:cs="Arial"/>
        </w:rPr>
        <w:t>.</w:t>
      </w:r>
    </w:p>
    <w:p w:rsidR="00BC1D7C" w:rsidRDefault="00232D84">
      <w:pPr>
        <w:pStyle w:val="AbstHead"/>
        <w:spacing w:after="0"/>
        <w:jc w:val="both"/>
        <w:rPr>
          <w:rFonts w:ascii="Arial" w:hAnsi="Arial" w:cs="Arial"/>
        </w:rPr>
      </w:pPr>
      <w:r>
        <w:rPr>
          <w:rFonts w:ascii="Arial" w:hAnsi="Arial" w:cs="Arial"/>
        </w:rPr>
        <w:t>ABSTRACT</w:t>
      </w:r>
    </w:p>
    <w:p w:rsidR="00BC1D7C" w:rsidRDefault="00BC1D7C">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BC1D7C">
        <w:tc>
          <w:tcPr>
            <w:tcW w:w="9576" w:type="dxa"/>
            <w:shd w:val="clear" w:color="auto" w:fill="F2F2F2"/>
          </w:tcPr>
          <w:p w:rsidR="00BC1D7C" w:rsidRDefault="00232D84">
            <w:pPr>
              <w:pStyle w:val="Body"/>
              <w:spacing w:after="0"/>
              <w:rPr>
                <w:rFonts w:ascii="Arial" w:eastAsia="Calibri" w:hAnsi="Arial" w:cs="Arial"/>
                <w:b/>
                <w:szCs w:val="22"/>
                <w:lang w:val="en-GB"/>
              </w:rPr>
            </w:pPr>
            <w:r>
              <w:rPr>
                <w:rFonts w:ascii="Arial" w:eastAsia="Calibri" w:hAnsi="Arial" w:cs="Arial"/>
                <w:b/>
                <w:szCs w:val="22"/>
                <w:lang w:val="en-GB"/>
              </w:rPr>
              <w:t xml:space="preserve">Introduction: </w:t>
            </w:r>
            <w:r>
              <w:rPr>
                <w:rFonts w:ascii="Arial" w:hAnsi="Arial" w:cs="Arial"/>
              </w:rPr>
              <w:t>Hyperemesis gravidarum</w:t>
            </w:r>
            <w:r>
              <w:rPr>
                <w:rFonts w:ascii="Arial" w:hAnsi="Arial" w:cs="Arial"/>
                <w:lang w:val="en-GB"/>
              </w:rPr>
              <w:t xml:space="preserve"> (HG)</w:t>
            </w:r>
            <w:r>
              <w:rPr>
                <w:rFonts w:ascii="Arial" w:hAnsi="Arial" w:cs="Arial"/>
              </w:rPr>
              <w:t xml:space="preserve"> is a condition of intractable vomiting during pregnancy, leading to fluid, electrolyte and acid–base imbalance, nutritional deficiency and weight loss. Leptin is known to regulate appetite, but its association with</w:t>
            </w:r>
            <w:r>
              <w:rPr>
                <w:rFonts w:ascii="Arial" w:hAnsi="Arial" w:cs="Arial"/>
                <w:lang w:val="en-GB"/>
              </w:rPr>
              <w:t xml:space="preserve"> oxidative stress a</w:t>
            </w:r>
            <w:proofErr w:type="spellStart"/>
            <w:r>
              <w:rPr>
                <w:rFonts w:ascii="Arial" w:hAnsi="Arial" w:cs="Arial"/>
              </w:rPr>
              <w:t>nd</w:t>
            </w:r>
            <w:proofErr w:type="spellEnd"/>
            <w:r>
              <w:rPr>
                <w:rFonts w:ascii="Arial" w:hAnsi="Arial" w:cs="Arial"/>
              </w:rPr>
              <w:t xml:space="preserve"> inflammation</w:t>
            </w:r>
            <w:r>
              <w:rPr>
                <w:rFonts w:ascii="Arial" w:hAnsi="Arial" w:cs="Arial"/>
                <w:lang w:val="en-GB"/>
              </w:rPr>
              <w:t xml:space="preserve"> in HG</w:t>
            </w:r>
            <w:r>
              <w:rPr>
                <w:rFonts w:ascii="Arial" w:hAnsi="Arial" w:cs="Arial"/>
              </w:rPr>
              <w:t xml:space="preserve"> has not been fully elucidated</w:t>
            </w:r>
          </w:p>
          <w:p w:rsidR="00BC1D7C" w:rsidRDefault="00232D84">
            <w:pPr>
              <w:pStyle w:val="Body"/>
              <w:spacing w:after="0"/>
              <w:rPr>
                <w:rFonts w:ascii="Arial" w:eastAsia="Calibri" w:hAnsi="Arial" w:cs="Arial"/>
                <w:szCs w:val="22"/>
              </w:rPr>
            </w:pPr>
            <w:r>
              <w:rPr>
                <w:rFonts w:ascii="Arial" w:eastAsia="Calibri" w:hAnsi="Arial" w:cs="Arial"/>
                <w:b/>
                <w:szCs w:val="22"/>
              </w:rPr>
              <w:t>Aim:</w:t>
            </w:r>
            <w:r>
              <w:rPr>
                <w:rFonts w:ascii="Arial" w:eastAsia="Calibri" w:hAnsi="Arial" w:cs="Arial"/>
                <w:b/>
                <w:szCs w:val="22"/>
                <w:lang w:val="en-GB"/>
              </w:rPr>
              <w:t xml:space="preserve"> </w:t>
            </w:r>
            <w:r>
              <w:rPr>
                <w:rFonts w:ascii="Arial" w:eastAsia="Calibri" w:hAnsi="Arial"/>
                <w:bCs/>
                <w:szCs w:val="22"/>
                <w:lang w:val="en-GB"/>
              </w:rPr>
              <w:t>To assess serum leptin, oxidative stress and inflammatory markers and their correlation in pregnant women with hyperemesis gravidarum</w:t>
            </w:r>
            <w:r>
              <w:rPr>
                <w:rFonts w:ascii="Arial" w:eastAsia="Calibri" w:hAnsi="Arial" w:cs="Arial"/>
                <w:b/>
                <w:szCs w:val="22"/>
              </w:rPr>
              <w:t xml:space="preserve"> </w:t>
            </w:r>
          </w:p>
          <w:p w:rsidR="00BC1D7C" w:rsidRDefault="00232D84">
            <w:pPr>
              <w:pStyle w:val="Body"/>
              <w:spacing w:after="0"/>
              <w:rPr>
                <w:rFonts w:ascii="Arial" w:eastAsia="Calibri" w:hAnsi="Arial" w:cs="Arial"/>
                <w:szCs w:val="22"/>
                <w:lang w:val="en-GB"/>
              </w:rPr>
            </w:pPr>
            <w:r>
              <w:rPr>
                <w:rFonts w:ascii="Arial" w:eastAsia="Calibri" w:hAnsi="Arial" w:cs="Arial"/>
                <w:b/>
                <w:szCs w:val="22"/>
              </w:rPr>
              <w:t>Study design:</w:t>
            </w:r>
            <w:r>
              <w:rPr>
                <w:rFonts w:ascii="Arial" w:eastAsia="Calibri" w:hAnsi="Arial" w:cs="Arial"/>
                <w:szCs w:val="22"/>
              </w:rPr>
              <w:t xml:space="preserve">  </w:t>
            </w:r>
            <w:r>
              <w:rPr>
                <w:rFonts w:ascii="Arial" w:eastAsia="Calibri" w:hAnsi="Arial" w:cs="Arial"/>
                <w:szCs w:val="22"/>
                <w:lang w:val="en-GB"/>
              </w:rPr>
              <w:t>This is a cross-sectional case-control study.</w:t>
            </w:r>
          </w:p>
          <w:p w:rsidR="00BC1D7C" w:rsidRDefault="00232D84">
            <w:pPr>
              <w:pStyle w:val="Body"/>
              <w:spacing w:after="0"/>
              <w:rPr>
                <w:rFonts w:ascii="Arial" w:eastAsia="Calibri" w:hAnsi="Arial" w:cs="Arial"/>
                <w:szCs w:val="22"/>
              </w:rPr>
            </w:pPr>
            <w:r>
              <w:rPr>
                <w:rFonts w:ascii="Arial" w:eastAsia="Calibri" w:hAnsi="Arial" w:cs="Arial"/>
                <w:b/>
                <w:szCs w:val="22"/>
              </w:rPr>
              <w:t>Place and Duration of Study:</w:t>
            </w:r>
            <w:r>
              <w:rPr>
                <w:rFonts w:ascii="Arial" w:eastAsia="Calibri" w:hAnsi="Arial" w:cs="Arial"/>
                <w:szCs w:val="22"/>
              </w:rPr>
              <w:t xml:space="preserve"> </w:t>
            </w:r>
            <w:r>
              <w:rPr>
                <w:rFonts w:ascii="Arial" w:eastAsia="Calibri" w:hAnsi="Arial" w:cs="Arial"/>
                <w:szCs w:val="22"/>
                <w:lang w:val="en-GB"/>
              </w:rPr>
              <w:t xml:space="preserve">Ante-Natal Clinic, General Hospital, </w:t>
            </w:r>
            <w:proofErr w:type="spellStart"/>
            <w:r>
              <w:rPr>
                <w:rFonts w:ascii="Arial" w:eastAsia="Calibri" w:hAnsi="Arial" w:cs="Arial"/>
                <w:szCs w:val="22"/>
                <w:lang w:val="en-GB"/>
              </w:rPr>
              <w:t>Ifo</w:t>
            </w:r>
            <w:proofErr w:type="spellEnd"/>
            <w:r>
              <w:rPr>
                <w:rFonts w:ascii="Arial" w:eastAsia="Calibri" w:hAnsi="Arial" w:cs="Arial"/>
                <w:szCs w:val="22"/>
                <w:lang w:val="en-GB"/>
              </w:rPr>
              <w:t>, Ogun State, between April and June, 2022</w:t>
            </w:r>
            <w:r>
              <w:rPr>
                <w:rFonts w:ascii="Arial" w:eastAsia="Calibri" w:hAnsi="Arial" w:cs="Arial"/>
                <w:szCs w:val="22"/>
              </w:rPr>
              <w:t>.</w:t>
            </w:r>
          </w:p>
          <w:p w:rsidR="00BC1D7C" w:rsidRDefault="00232D84">
            <w:pPr>
              <w:pStyle w:val="Body"/>
              <w:spacing w:after="0"/>
              <w:rPr>
                <w:rFonts w:ascii="Arial" w:eastAsia="Calibri" w:hAnsi="Arial" w:cs="Arial"/>
                <w:szCs w:val="22"/>
              </w:rPr>
            </w:pPr>
            <w:r>
              <w:rPr>
                <w:rFonts w:ascii="Arial" w:eastAsia="Calibri" w:hAnsi="Arial" w:cs="Arial"/>
                <w:b/>
                <w:bCs/>
                <w:szCs w:val="22"/>
              </w:rPr>
              <w:t>Methodology:</w:t>
            </w:r>
            <w:r>
              <w:rPr>
                <w:rFonts w:ascii="Arial" w:eastAsia="Calibri" w:hAnsi="Arial" w:cs="Arial"/>
                <w:szCs w:val="22"/>
              </w:rPr>
              <w:t xml:space="preserve"> </w:t>
            </w:r>
            <w:r>
              <w:rPr>
                <w:rFonts w:ascii="Arial" w:eastAsia="Calibri" w:hAnsi="Arial"/>
                <w:szCs w:val="22"/>
              </w:rPr>
              <w:t>A total of ninety participants were recruited for the study. This consists of 45 pregnant women with hyperemesis gravidarum and 45 apparently healthy pregnant women (without hyperemesis gravidarum) who served as controls. The serum samples obtained from study participants were assayed for serum leptin, high sensitivity C reactive-protein (</w:t>
            </w:r>
            <w:proofErr w:type="spellStart"/>
            <w:r>
              <w:rPr>
                <w:rFonts w:ascii="Arial" w:eastAsia="Calibri" w:hAnsi="Arial"/>
                <w:szCs w:val="22"/>
              </w:rPr>
              <w:t>hsCRP</w:t>
            </w:r>
            <w:proofErr w:type="spellEnd"/>
            <w:r>
              <w:rPr>
                <w:rFonts w:ascii="Arial" w:eastAsia="Calibri" w:hAnsi="Arial"/>
                <w:szCs w:val="22"/>
              </w:rPr>
              <w:t>), Malondialdehyde, Total antioxidant status and Glutathione peroxidase using Enzyme Linked Immunosorbent Assay and Colorimetric methods</w:t>
            </w:r>
            <w:r>
              <w:rPr>
                <w:rFonts w:ascii="Arial" w:eastAsia="Calibri" w:hAnsi="Arial" w:cs="Arial"/>
                <w:szCs w:val="22"/>
              </w:rPr>
              <w:t>.</w:t>
            </w:r>
          </w:p>
          <w:p w:rsidR="00BC1D7C" w:rsidRDefault="00232D84">
            <w:pPr>
              <w:pStyle w:val="Body"/>
              <w:spacing w:after="0"/>
              <w:rPr>
                <w:rFonts w:ascii="Arial" w:eastAsia="Calibri" w:hAnsi="Arial"/>
                <w:szCs w:val="22"/>
              </w:rPr>
            </w:pPr>
            <w:r>
              <w:rPr>
                <w:rFonts w:ascii="Arial" w:eastAsia="Calibri" w:hAnsi="Arial" w:cs="Arial"/>
                <w:b/>
                <w:bCs/>
                <w:szCs w:val="22"/>
              </w:rPr>
              <w:t>Results:</w:t>
            </w:r>
            <w:r>
              <w:rPr>
                <w:rFonts w:ascii="Arial" w:eastAsia="Calibri" w:hAnsi="Arial" w:cs="Arial"/>
                <w:szCs w:val="22"/>
              </w:rPr>
              <w:t xml:space="preserve"> </w:t>
            </w:r>
            <w:r>
              <w:rPr>
                <w:rFonts w:ascii="Arial" w:eastAsia="Calibri" w:hAnsi="Arial"/>
                <w:szCs w:val="22"/>
              </w:rPr>
              <w:t xml:space="preserve">Mean serum leptin levels were significantly higher in the </w:t>
            </w:r>
            <w:r>
              <w:rPr>
                <w:rFonts w:ascii="Arial" w:eastAsia="Calibri" w:hAnsi="Arial"/>
                <w:szCs w:val="22"/>
                <w:lang w:val="en-GB"/>
              </w:rPr>
              <w:t>hyperemesis gravidarum</w:t>
            </w:r>
            <w:r>
              <w:rPr>
                <w:rFonts w:ascii="Arial" w:eastAsia="Calibri" w:hAnsi="Arial"/>
                <w:szCs w:val="22"/>
              </w:rPr>
              <w:t xml:space="preserve"> group compared to controls (</w:t>
            </w:r>
            <w:r>
              <w:rPr>
                <w:rFonts w:ascii="Arial" w:eastAsia="Calibri" w:hAnsi="Arial"/>
                <w:szCs w:val="22"/>
                <w:lang w:val="en-GB"/>
              </w:rPr>
              <w:t>6.</w:t>
            </w:r>
            <w:r>
              <w:rPr>
                <w:rFonts w:ascii="Arial" w:eastAsia="Calibri" w:hAnsi="Arial"/>
                <w:szCs w:val="22"/>
              </w:rPr>
              <w:t>1 ± </w:t>
            </w:r>
            <w:r>
              <w:rPr>
                <w:rFonts w:ascii="Arial" w:eastAsia="Calibri" w:hAnsi="Arial"/>
                <w:szCs w:val="22"/>
                <w:lang w:val="en-GB"/>
              </w:rPr>
              <w:t>1.</w:t>
            </w:r>
            <w:r>
              <w:rPr>
                <w:rFonts w:ascii="Arial" w:eastAsia="Calibri" w:hAnsi="Arial"/>
                <w:szCs w:val="22"/>
              </w:rPr>
              <w:t>2</w:t>
            </w:r>
            <w:r>
              <w:rPr>
                <w:rFonts w:ascii="Arial" w:eastAsia="Calibri" w:hAnsi="Arial"/>
                <w:szCs w:val="22"/>
                <w:lang w:val="en-GB"/>
              </w:rPr>
              <w:t>6</w:t>
            </w:r>
            <w:r>
              <w:rPr>
                <w:rFonts w:ascii="Arial" w:eastAsia="Calibri" w:hAnsi="Arial"/>
                <w:szCs w:val="22"/>
              </w:rPr>
              <w:t xml:space="preserve"> vs. </w:t>
            </w:r>
            <w:proofErr w:type="gramStart"/>
            <w:r>
              <w:rPr>
                <w:rFonts w:ascii="Arial" w:eastAsia="Calibri" w:hAnsi="Arial"/>
                <w:szCs w:val="22"/>
              </w:rPr>
              <w:t>5</w:t>
            </w:r>
            <w:r>
              <w:rPr>
                <w:rFonts w:ascii="Arial" w:eastAsia="Calibri" w:hAnsi="Arial"/>
                <w:szCs w:val="22"/>
                <w:lang w:val="en-GB"/>
              </w:rPr>
              <w:t>.</w:t>
            </w:r>
            <w:r>
              <w:rPr>
                <w:rFonts w:ascii="Arial" w:eastAsia="Calibri" w:hAnsi="Arial"/>
                <w:szCs w:val="22"/>
              </w:rPr>
              <w:t>0</w:t>
            </w:r>
            <w:r>
              <w:rPr>
                <w:rFonts w:ascii="Arial" w:eastAsia="Calibri" w:hAnsi="Arial"/>
                <w:szCs w:val="22"/>
                <w:lang w:val="en-GB"/>
              </w:rPr>
              <w:t xml:space="preserve"> </w:t>
            </w:r>
            <w:r>
              <w:rPr>
                <w:rFonts w:ascii="Arial" w:eastAsia="Calibri" w:hAnsi="Arial"/>
                <w:szCs w:val="22"/>
              </w:rPr>
              <w:t> ±</w:t>
            </w:r>
            <w:proofErr w:type="gramEnd"/>
            <w:r>
              <w:rPr>
                <w:rFonts w:ascii="Arial" w:eastAsia="Calibri" w:hAnsi="Arial"/>
                <w:szCs w:val="22"/>
              </w:rPr>
              <w:t> </w:t>
            </w:r>
            <w:r>
              <w:rPr>
                <w:rFonts w:ascii="Arial" w:eastAsia="Calibri" w:hAnsi="Arial"/>
                <w:szCs w:val="22"/>
                <w:lang w:val="en-GB"/>
              </w:rPr>
              <w:t>1.</w:t>
            </w:r>
            <w:r>
              <w:rPr>
                <w:rFonts w:ascii="Arial" w:eastAsia="Calibri" w:hAnsi="Arial"/>
                <w:szCs w:val="22"/>
              </w:rPr>
              <w:t>14 ng/mL; p &lt; 0.01). h</w:t>
            </w:r>
            <w:proofErr w:type="spellStart"/>
            <w:r>
              <w:rPr>
                <w:rFonts w:ascii="Arial" w:eastAsia="Calibri" w:hAnsi="Arial"/>
                <w:szCs w:val="22"/>
                <w:lang w:val="en-GB"/>
              </w:rPr>
              <w:t>igh</w:t>
            </w:r>
            <w:proofErr w:type="spellEnd"/>
            <w:r>
              <w:rPr>
                <w:rFonts w:ascii="Arial" w:eastAsia="Calibri" w:hAnsi="Arial"/>
                <w:szCs w:val="22"/>
                <w:lang w:val="en-GB"/>
              </w:rPr>
              <w:t xml:space="preserve"> sensitivity </w:t>
            </w:r>
            <w:r>
              <w:rPr>
                <w:rFonts w:ascii="Arial" w:eastAsia="Calibri" w:hAnsi="Arial"/>
                <w:szCs w:val="22"/>
              </w:rPr>
              <w:t>C</w:t>
            </w:r>
            <w:r>
              <w:rPr>
                <w:rFonts w:ascii="Arial" w:eastAsia="Calibri" w:hAnsi="Arial"/>
                <w:szCs w:val="22"/>
                <w:lang w:val="en-GB"/>
              </w:rPr>
              <w:t>-</w:t>
            </w:r>
            <w:r>
              <w:rPr>
                <w:rFonts w:ascii="Arial" w:eastAsia="Calibri" w:hAnsi="Arial"/>
                <w:szCs w:val="22"/>
              </w:rPr>
              <w:t>R</w:t>
            </w:r>
            <w:proofErr w:type="spellStart"/>
            <w:r>
              <w:rPr>
                <w:rFonts w:ascii="Arial" w:eastAsia="Calibri" w:hAnsi="Arial"/>
                <w:szCs w:val="22"/>
                <w:lang w:val="en-GB"/>
              </w:rPr>
              <w:t>eactive</w:t>
            </w:r>
            <w:proofErr w:type="spellEnd"/>
            <w:r>
              <w:rPr>
                <w:rFonts w:ascii="Arial" w:eastAsia="Calibri" w:hAnsi="Arial"/>
                <w:szCs w:val="22"/>
                <w:lang w:val="en-GB"/>
              </w:rPr>
              <w:t xml:space="preserve"> </w:t>
            </w:r>
            <w:r>
              <w:rPr>
                <w:rFonts w:ascii="Arial" w:eastAsia="Calibri" w:hAnsi="Arial"/>
                <w:szCs w:val="22"/>
              </w:rPr>
              <w:t>P</w:t>
            </w:r>
            <w:proofErr w:type="spellStart"/>
            <w:r>
              <w:rPr>
                <w:rFonts w:ascii="Arial" w:eastAsia="Calibri" w:hAnsi="Arial"/>
                <w:szCs w:val="22"/>
                <w:lang w:val="en-GB"/>
              </w:rPr>
              <w:t>rotein</w:t>
            </w:r>
            <w:proofErr w:type="spellEnd"/>
            <w:r>
              <w:rPr>
                <w:rFonts w:ascii="Arial" w:eastAsia="Calibri" w:hAnsi="Arial"/>
                <w:szCs w:val="22"/>
              </w:rPr>
              <w:t xml:space="preserve"> was also significantly elevated in </w:t>
            </w:r>
            <w:r>
              <w:rPr>
                <w:rFonts w:ascii="Arial" w:eastAsia="Calibri" w:hAnsi="Arial"/>
                <w:szCs w:val="22"/>
                <w:lang w:val="en-GB"/>
              </w:rPr>
              <w:t>hyperemesis gravidarum</w:t>
            </w:r>
            <w:r>
              <w:rPr>
                <w:rFonts w:ascii="Arial" w:eastAsia="Calibri" w:hAnsi="Arial"/>
                <w:szCs w:val="22"/>
              </w:rPr>
              <w:t xml:space="preserve"> (9.48 ± 2.12 vs. 6.12 ± 1.24 mg/L; p &lt; 0.005), indicating a pro-inflammatory state. T</w:t>
            </w:r>
            <w:proofErr w:type="spellStart"/>
            <w:r>
              <w:rPr>
                <w:rFonts w:ascii="Arial" w:eastAsia="Calibri" w:hAnsi="Arial"/>
                <w:szCs w:val="22"/>
                <w:lang w:val="en-GB"/>
              </w:rPr>
              <w:t>otal</w:t>
            </w:r>
            <w:proofErr w:type="spellEnd"/>
            <w:r>
              <w:rPr>
                <w:rFonts w:ascii="Arial" w:eastAsia="Calibri" w:hAnsi="Arial"/>
                <w:szCs w:val="22"/>
                <w:lang w:val="en-GB"/>
              </w:rPr>
              <w:t xml:space="preserve"> antioxidant status</w:t>
            </w:r>
            <w:r>
              <w:rPr>
                <w:rFonts w:ascii="Arial" w:eastAsia="Calibri" w:hAnsi="Arial"/>
                <w:szCs w:val="22"/>
              </w:rPr>
              <w:t xml:space="preserve"> was higher in the </w:t>
            </w:r>
            <w:r>
              <w:rPr>
                <w:rFonts w:ascii="Arial" w:eastAsia="Calibri" w:hAnsi="Arial"/>
                <w:szCs w:val="22"/>
                <w:lang w:val="en-GB"/>
              </w:rPr>
              <w:t>hyperemesis gravidarum</w:t>
            </w:r>
            <w:r>
              <w:rPr>
                <w:rFonts w:ascii="Arial" w:eastAsia="Calibri" w:hAnsi="Arial"/>
                <w:szCs w:val="22"/>
              </w:rPr>
              <w:t xml:space="preserve"> group (3.12 ± 0.74 vs. 2.45 ± 0.65; p &lt; 0.05), alongside elevated </w:t>
            </w:r>
            <w:r>
              <w:rPr>
                <w:rFonts w:ascii="Arial" w:eastAsia="Calibri" w:hAnsi="Arial"/>
                <w:szCs w:val="22"/>
                <w:lang w:val="en-GB"/>
              </w:rPr>
              <w:t>glutathione peroxidase</w:t>
            </w:r>
            <w:r>
              <w:rPr>
                <w:rFonts w:ascii="Arial" w:eastAsia="Calibri" w:hAnsi="Arial"/>
                <w:szCs w:val="22"/>
              </w:rPr>
              <w:t xml:space="preserve"> (110.74 ± 27.1 vs. 93.17 ± 18.9 μ/mL; p &lt; 0.005). No significant difference was observed in </w:t>
            </w:r>
            <w:r>
              <w:rPr>
                <w:rFonts w:ascii="Arial" w:eastAsia="Calibri" w:hAnsi="Arial"/>
                <w:szCs w:val="22"/>
                <w:lang w:val="en-GB"/>
              </w:rPr>
              <w:t>Malondialdehyde</w:t>
            </w:r>
            <w:r>
              <w:rPr>
                <w:rFonts w:ascii="Arial" w:eastAsia="Calibri" w:hAnsi="Arial"/>
                <w:szCs w:val="22"/>
              </w:rPr>
              <w:t xml:space="preserve"> levels between the groups (7.59 ± 2.8 vs. 8.03 ± 3.05 nmol/mL; p &gt; 0.05).</w:t>
            </w:r>
          </w:p>
          <w:p w:rsidR="00BC1D7C" w:rsidRDefault="00232D84">
            <w:pPr>
              <w:pStyle w:val="Body"/>
              <w:spacing w:after="0"/>
              <w:rPr>
                <w:rFonts w:ascii="Arial" w:eastAsia="Calibri" w:hAnsi="Arial" w:cs="Arial"/>
                <w:szCs w:val="22"/>
              </w:rPr>
            </w:pPr>
            <w:r>
              <w:rPr>
                <w:rFonts w:ascii="Arial" w:eastAsia="Calibri" w:hAnsi="Arial" w:cs="Arial"/>
                <w:b/>
                <w:bCs/>
                <w:szCs w:val="22"/>
              </w:rPr>
              <w:t>Conclusion:</w:t>
            </w:r>
            <w:r>
              <w:rPr>
                <w:rFonts w:ascii="Arial" w:eastAsia="Calibri" w:hAnsi="Arial" w:cs="Arial"/>
                <w:szCs w:val="22"/>
              </w:rPr>
              <w:t xml:space="preserve"> </w:t>
            </w:r>
            <w:r>
              <w:rPr>
                <w:rFonts w:ascii="Arial" w:eastAsia="Calibri" w:hAnsi="Arial"/>
                <w:szCs w:val="22"/>
              </w:rPr>
              <w:t xml:space="preserve">Hyperemesis gravidarum is associated with elevated leptin and </w:t>
            </w:r>
            <w:proofErr w:type="spellStart"/>
            <w:r>
              <w:rPr>
                <w:rFonts w:ascii="Arial" w:eastAsia="Calibri" w:hAnsi="Arial"/>
                <w:szCs w:val="22"/>
              </w:rPr>
              <w:t>hsCRP</w:t>
            </w:r>
            <w:proofErr w:type="spellEnd"/>
            <w:r>
              <w:rPr>
                <w:rFonts w:ascii="Arial" w:eastAsia="Calibri" w:hAnsi="Arial"/>
                <w:szCs w:val="22"/>
              </w:rPr>
              <w:t xml:space="preserve"> levels, suggesting an inflammatory component. The concurrent rise in TAS and </w:t>
            </w:r>
            <w:proofErr w:type="spellStart"/>
            <w:r>
              <w:rPr>
                <w:rFonts w:ascii="Arial" w:eastAsia="Calibri" w:hAnsi="Arial"/>
                <w:szCs w:val="22"/>
              </w:rPr>
              <w:t>GPx</w:t>
            </w:r>
            <w:proofErr w:type="spellEnd"/>
            <w:r>
              <w:rPr>
                <w:rFonts w:ascii="Arial" w:eastAsia="Calibri" w:hAnsi="Arial"/>
                <w:szCs w:val="22"/>
              </w:rPr>
              <w:t>, despite stable MDA levels, indicates a compensatory antioxidant response rather than overt oxidative damage. These findings highlight leptin's possible role in modulating inflammation and redox balance during early pregnancy.</w:t>
            </w:r>
          </w:p>
        </w:tc>
      </w:tr>
    </w:tbl>
    <w:p w:rsidR="00BC1D7C" w:rsidRDefault="00BC1D7C">
      <w:pPr>
        <w:pStyle w:val="Body"/>
        <w:spacing w:after="0"/>
        <w:rPr>
          <w:rFonts w:ascii="Arial" w:hAnsi="Arial" w:cs="Arial"/>
          <w:i/>
        </w:rPr>
      </w:pPr>
    </w:p>
    <w:p w:rsidR="00BC1D7C" w:rsidRDefault="00232D84">
      <w:pPr>
        <w:pStyle w:val="Body"/>
        <w:spacing w:after="0"/>
        <w:rPr>
          <w:rFonts w:ascii="Arial" w:hAnsi="Arial"/>
          <w:i/>
        </w:rPr>
      </w:pPr>
      <w:r>
        <w:rPr>
          <w:rFonts w:ascii="Arial" w:hAnsi="Arial" w:cs="Arial"/>
          <w:i/>
        </w:rPr>
        <w:t xml:space="preserve">Keywords: </w:t>
      </w:r>
      <w:r>
        <w:rPr>
          <w:rFonts w:ascii="Arial" w:hAnsi="Arial"/>
          <w:i/>
        </w:rPr>
        <w:t>Leptin</w:t>
      </w:r>
      <w:r>
        <w:rPr>
          <w:rFonts w:ascii="Arial" w:hAnsi="Arial"/>
          <w:i/>
          <w:lang w:val="en-GB"/>
        </w:rPr>
        <w:t xml:space="preserve">, </w:t>
      </w:r>
      <w:r>
        <w:rPr>
          <w:rFonts w:ascii="Arial" w:hAnsi="Arial"/>
          <w:i/>
        </w:rPr>
        <w:t>Hyperemesis Gravidarum</w:t>
      </w:r>
      <w:r>
        <w:rPr>
          <w:rFonts w:ascii="Arial" w:hAnsi="Arial"/>
          <w:i/>
          <w:lang w:val="en-GB"/>
        </w:rPr>
        <w:t xml:space="preserve">, </w:t>
      </w:r>
      <w:r>
        <w:rPr>
          <w:rFonts w:ascii="Arial" w:hAnsi="Arial"/>
          <w:i/>
        </w:rPr>
        <w:t>Oxidative Stress</w:t>
      </w:r>
      <w:r>
        <w:rPr>
          <w:rFonts w:ascii="Arial" w:hAnsi="Arial"/>
          <w:i/>
          <w:lang w:val="en-GB"/>
        </w:rPr>
        <w:t xml:space="preserve">, </w:t>
      </w:r>
      <w:r>
        <w:rPr>
          <w:rFonts w:ascii="Arial" w:hAnsi="Arial"/>
          <w:i/>
        </w:rPr>
        <w:t>Antioxidants</w:t>
      </w:r>
      <w:r>
        <w:rPr>
          <w:rFonts w:ascii="Arial" w:hAnsi="Arial"/>
          <w:i/>
          <w:lang w:val="en-GB"/>
        </w:rPr>
        <w:t xml:space="preserve">, </w:t>
      </w:r>
      <w:r>
        <w:rPr>
          <w:rFonts w:ascii="Arial" w:hAnsi="Arial"/>
          <w:i/>
        </w:rPr>
        <w:t>C-Reactive Protein</w:t>
      </w:r>
      <w:r>
        <w:rPr>
          <w:rFonts w:ascii="Arial" w:hAnsi="Arial"/>
          <w:i/>
          <w:lang w:val="en-GB"/>
        </w:rPr>
        <w:t xml:space="preserve">, Early </w:t>
      </w:r>
      <w:r>
        <w:rPr>
          <w:rFonts w:ascii="Arial" w:hAnsi="Arial"/>
          <w:i/>
        </w:rPr>
        <w:t>Pregnancy</w:t>
      </w:r>
      <w:r>
        <w:rPr>
          <w:rFonts w:ascii="Arial" w:hAnsi="Arial"/>
          <w:i/>
          <w:lang w:val="en-GB"/>
        </w:rPr>
        <w:t xml:space="preserve">, </w:t>
      </w:r>
      <w:r>
        <w:rPr>
          <w:rFonts w:ascii="Arial" w:hAnsi="Arial"/>
          <w:i/>
        </w:rPr>
        <w:t>Inflammation</w:t>
      </w:r>
    </w:p>
    <w:p w:rsidR="00BC1D7C" w:rsidRDefault="00BC1D7C">
      <w:pPr>
        <w:pStyle w:val="Body"/>
        <w:spacing w:after="0"/>
        <w:rPr>
          <w:rFonts w:ascii="Arial" w:hAnsi="Arial"/>
          <w:i/>
        </w:rPr>
      </w:pPr>
    </w:p>
    <w:p w:rsidR="00BC1D7C" w:rsidRDefault="00BC1D7C">
      <w:pPr>
        <w:pStyle w:val="Body"/>
        <w:spacing w:after="0"/>
        <w:rPr>
          <w:rFonts w:ascii="Arial" w:hAnsi="Arial" w:cs="Arial"/>
          <w:i/>
        </w:rPr>
      </w:pPr>
    </w:p>
    <w:p w:rsidR="00BC1D7C" w:rsidRDefault="00232D84">
      <w:pPr>
        <w:pStyle w:val="AbstHead"/>
        <w:spacing w:after="0"/>
        <w:jc w:val="both"/>
        <w:rPr>
          <w:rFonts w:ascii="Arial" w:hAnsi="Arial" w:cs="Arial"/>
        </w:rPr>
      </w:pPr>
      <w:r>
        <w:rPr>
          <w:rFonts w:ascii="Arial" w:hAnsi="Arial" w:cs="Arial"/>
        </w:rPr>
        <w:lastRenderedPageBreak/>
        <w:t>1. INTRODUCTION</w:t>
      </w:r>
    </w:p>
    <w:p w:rsidR="00BC1D7C" w:rsidRDefault="00BC1D7C">
      <w:pPr>
        <w:pStyle w:val="AbstHead"/>
        <w:spacing w:after="0"/>
        <w:jc w:val="both"/>
        <w:rPr>
          <w:rFonts w:ascii="Arial" w:hAnsi="Arial" w:cs="Arial"/>
        </w:rPr>
      </w:pPr>
    </w:p>
    <w:p w:rsidR="00BC1D7C" w:rsidRDefault="00232D84">
      <w:pPr>
        <w:pStyle w:val="Body"/>
        <w:spacing w:after="0"/>
        <w:rPr>
          <w:rFonts w:ascii="Arial" w:hAnsi="Arial"/>
        </w:rPr>
      </w:pPr>
      <w:r>
        <w:rPr>
          <w:rFonts w:ascii="Arial" w:hAnsi="Arial"/>
        </w:rPr>
        <w:t>The first trimester of pregnancy is commonly associated with nausea and vomiting. This has been reported in up to 70% of pregnant women (</w:t>
      </w:r>
      <w:proofErr w:type="spellStart"/>
      <w:r>
        <w:rPr>
          <w:rFonts w:ascii="Arial" w:hAnsi="Arial"/>
        </w:rPr>
        <w:t>Fejzo</w:t>
      </w:r>
      <w:proofErr w:type="spellEnd"/>
      <w:r>
        <w:rPr>
          <w:rFonts w:ascii="Arial" w:hAnsi="Arial"/>
        </w:rPr>
        <w:t xml:space="preserve"> </w:t>
      </w:r>
      <w:r>
        <w:rPr>
          <w:rFonts w:ascii="Arial" w:hAnsi="Arial"/>
          <w:i/>
          <w:iCs/>
        </w:rPr>
        <w:t>et al</w:t>
      </w:r>
      <w:r>
        <w:rPr>
          <w:rFonts w:ascii="Arial" w:hAnsi="Arial"/>
        </w:rPr>
        <w:t>., 2019). Its onset is usually around the fifth week of pregnancy, reaching a peak by the tenth week with a spontaneous resolution and disappearance between the 16th and 20th week (</w:t>
      </w:r>
      <w:r>
        <w:rPr>
          <w:rFonts w:ascii="Arial" w:hAnsi="Arial"/>
          <w:lang w:val="en-GB"/>
        </w:rPr>
        <w:t xml:space="preserve">Austin </w:t>
      </w:r>
      <w:r>
        <w:rPr>
          <w:rFonts w:ascii="Arial" w:hAnsi="Arial"/>
          <w:i/>
          <w:iCs/>
          <w:lang w:val="en-GB"/>
        </w:rPr>
        <w:t>et al</w:t>
      </w:r>
      <w:r>
        <w:rPr>
          <w:rFonts w:ascii="Arial" w:hAnsi="Arial"/>
          <w:lang w:val="en-GB"/>
        </w:rPr>
        <w:t>., 2019</w:t>
      </w:r>
      <w:r>
        <w:rPr>
          <w:rFonts w:ascii="Arial" w:hAnsi="Arial"/>
        </w:rPr>
        <w:t xml:space="preserve">). Hyperemesis gravidarum (HG) in its severe form, is accompanied by weight loss, nutritional deficiency, dehydration, electrolyte and acid-base imbalance with ketonuria and reported in 0.3 – 10.8% of pregnancies (Jennings and </w:t>
      </w:r>
      <w:proofErr w:type="spellStart"/>
      <w:r>
        <w:rPr>
          <w:rFonts w:ascii="Arial" w:hAnsi="Arial"/>
        </w:rPr>
        <w:t>Mahdy</w:t>
      </w:r>
      <w:proofErr w:type="spellEnd"/>
      <w:r>
        <w:rPr>
          <w:rFonts w:ascii="Arial" w:hAnsi="Arial"/>
        </w:rPr>
        <w:t>, 202</w:t>
      </w:r>
      <w:r>
        <w:rPr>
          <w:rFonts w:ascii="Arial" w:hAnsi="Arial"/>
          <w:lang w:val="en-GB"/>
        </w:rPr>
        <w:t>3</w:t>
      </w:r>
      <w:r>
        <w:rPr>
          <w:rFonts w:ascii="Arial" w:hAnsi="Arial"/>
        </w:rPr>
        <w:t xml:space="preserve">). </w:t>
      </w:r>
    </w:p>
    <w:p w:rsidR="00BC1D7C" w:rsidRDefault="00232D84">
      <w:pPr>
        <w:pStyle w:val="Body"/>
        <w:spacing w:after="0"/>
        <w:rPr>
          <w:rFonts w:ascii="Arial" w:hAnsi="Arial"/>
        </w:rPr>
      </w:pPr>
      <w:r>
        <w:rPr>
          <w:rFonts w:ascii="Arial" w:hAnsi="Arial"/>
        </w:rPr>
        <w:t xml:space="preserve">The </w:t>
      </w:r>
      <w:proofErr w:type="spellStart"/>
      <w:r>
        <w:rPr>
          <w:rFonts w:ascii="Arial" w:hAnsi="Arial"/>
        </w:rPr>
        <w:t>aetiology</w:t>
      </w:r>
      <w:proofErr w:type="spellEnd"/>
      <w:r>
        <w:rPr>
          <w:rFonts w:ascii="Arial" w:hAnsi="Arial"/>
        </w:rPr>
        <w:t xml:space="preserve"> of HG is not entirely clear, however, the roles of endocrine, gastrointestinal and genetic factors in its pathophysiology have been documented (</w:t>
      </w:r>
      <w:r>
        <w:rPr>
          <w:rFonts w:ascii="Arial" w:hAnsi="Arial"/>
          <w:lang w:val="en-GB"/>
        </w:rPr>
        <w:t xml:space="preserve">ACOG, 2018; </w:t>
      </w:r>
      <w:r>
        <w:rPr>
          <w:rFonts w:ascii="Arial" w:hAnsi="Arial"/>
        </w:rPr>
        <w:t xml:space="preserve">Jennings and </w:t>
      </w:r>
      <w:proofErr w:type="spellStart"/>
      <w:r>
        <w:rPr>
          <w:rFonts w:ascii="Arial" w:hAnsi="Arial"/>
        </w:rPr>
        <w:t>Mahdy</w:t>
      </w:r>
      <w:proofErr w:type="spellEnd"/>
      <w:r>
        <w:rPr>
          <w:rFonts w:ascii="Arial" w:hAnsi="Arial"/>
        </w:rPr>
        <w:t>, 202</w:t>
      </w:r>
      <w:r>
        <w:rPr>
          <w:rFonts w:ascii="Arial" w:hAnsi="Arial"/>
          <w:lang w:val="en-GB"/>
        </w:rPr>
        <w:t>3</w:t>
      </w:r>
      <w:r>
        <w:rPr>
          <w:rFonts w:ascii="Arial" w:hAnsi="Arial"/>
        </w:rPr>
        <w:t xml:space="preserve">). </w:t>
      </w:r>
      <w:proofErr w:type="spellStart"/>
      <w:r>
        <w:rPr>
          <w:rFonts w:ascii="Arial" w:hAnsi="Arial"/>
        </w:rPr>
        <w:t>Moreso</w:t>
      </w:r>
      <w:proofErr w:type="spellEnd"/>
      <w:r>
        <w:rPr>
          <w:rFonts w:ascii="Arial" w:hAnsi="Arial"/>
        </w:rPr>
        <w:t xml:space="preserve">, the involvement of chorionic gonadotropin, </w:t>
      </w:r>
      <w:proofErr w:type="spellStart"/>
      <w:r>
        <w:rPr>
          <w:rFonts w:ascii="Arial" w:hAnsi="Arial"/>
        </w:rPr>
        <w:t>oestrogens</w:t>
      </w:r>
      <w:proofErr w:type="spellEnd"/>
      <w:r>
        <w:rPr>
          <w:rFonts w:ascii="Arial" w:hAnsi="Arial"/>
        </w:rPr>
        <w:t xml:space="preserve">, pituitary adrenal axis, thyroxine, prostaglandin E2, prolactin, leptin, adrenocorticotropin, testosterone, serotonin, </w:t>
      </w:r>
      <w:r>
        <w:rPr>
          <w:rFonts w:ascii="Arial" w:hAnsi="Arial"/>
          <w:i/>
          <w:iCs/>
        </w:rPr>
        <w:t>Helicobacter pylori</w:t>
      </w:r>
      <w:r>
        <w:rPr>
          <w:rFonts w:ascii="Arial" w:hAnsi="Arial"/>
        </w:rPr>
        <w:t>, immune system, neuromuscular, anatomic, and psychological phenomena have been elucidated (Hussein</w:t>
      </w:r>
      <w:r>
        <w:rPr>
          <w:rFonts w:ascii="Arial" w:hAnsi="Arial"/>
          <w:lang w:val="en-GB"/>
        </w:rPr>
        <w:t>,</w:t>
      </w:r>
      <w:r>
        <w:rPr>
          <w:rFonts w:ascii="Arial" w:hAnsi="Arial"/>
        </w:rPr>
        <w:t xml:space="preserve"> 2017; </w:t>
      </w:r>
      <w:proofErr w:type="spellStart"/>
      <w:r>
        <w:rPr>
          <w:rFonts w:ascii="Arial" w:hAnsi="Arial"/>
        </w:rPr>
        <w:t>Pakniat</w:t>
      </w:r>
      <w:proofErr w:type="spellEnd"/>
      <w:r>
        <w:rPr>
          <w:rFonts w:ascii="Arial" w:hAnsi="Arial"/>
        </w:rPr>
        <w:t xml:space="preserve"> </w:t>
      </w:r>
      <w:r>
        <w:rPr>
          <w:rFonts w:ascii="Arial" w:hAnsi="Arial"/>
          <w:i/>
          <w:iCs/>
        </w:rPr>
        <w:t>et al</w:t>
      </w:r>
      <w:r>
        <w:rPr>
          <w:rFonts w:ascii="Arial" w:hAnsi="Arial"/>
        </w:rPr>
        <w:t>., 2018</w:t>
      </w:r>
      <w:r>
        <w:rPr>
          <w:rFonts w:ascii="Arial" w:hAnsi="Arial"/>
          <w:lang w:val="en-GB"/>
        </w:rPr>
        <w:t xml:space="preserve">; Aleem </w:t>
      </w:r>
      <w:r>
        <w:rPr>
          <w:rFonts w:ascii="Arial" w:hAnsi="Arial"/>
          <w:i/>
          <w:iCs/>
          <w:lang w:val="en-GB"/>
        </w:rPr>
        <w:t xml:space="preserve">et al., </w:t>
      </w:r>
      <w:r>
        <w:rPr>
          <w:rFonts w:ascii="Arial" w:hAnsi="Arial"/>
          <w:lang w:val="en-GB"/>
        </w:rPr>
        <w:t>2021</w:t>
      </w:r>
      <w:r>
        <w:rPr>
          <w:rFonts w:ascii="Arial" w:hAnsi="Arial"/>
        </w:rPr>
        <w:t xml:space="preserve">). Additionally, accumulating research evidence suggests that the development of HG involves growth/differentiation factor 15 (GDF15) and its receptor </w:t>
      </w:r>
      <w:r>
        <w:rPr>
          <w:rFonts w:ascii="Arial" w:hAnsi="Arial"/>
          <w:lang w:val="en-GB"/>
        </w:rPr>
        <w:t>- GDNF receptor alpha like (</w:t>
      </w:r>
      <w:r>
        <w:rPr>
          <w:rFonts w:ascii="Arial" w:hAnsi="Arial"/>
        </w:rPr>
        <w:t>GFRAL</w:t>
      </w:r>
      <w:r>
        <w:rPr>
          <w:rFonts w:ascii="Arial" w:hAnsi="Arial"/>
          <w:lang w:val="en-GB"/>
        </w:rPr>
        <w:t>)</w:t>
      </w:r>
      <w:r>
        <w:rPr>
          <w:rFonts w:ascii="Arial" w:hAnsi="Arial"/>
        </w:rPr>
        <w:t xml:space="preserve"> (</w:t>
      </w:r>
      <w:proofErr w:type="spellStart"/>
      <w:r>
        <w:rPr>
          <w:rFonts w:ascii="Arial" w:hAnsi="Arial"/>
        </w:rPr>
        <w:t>Zdravkovic</w:t>
      </w:r>
      <w:proofErr w:type="spellEnd"/>
      <w:r>
        <w:rPr>
          <w:rFonts w:ascii="Arial" w:hAnsi="Arial"/>
        </w:rPr>
        <w:t xml:space="preserve"> </w:t>
      </w:r>
      <w:r>
        <w:rPr>
          <w:rFonts w:ascii="Arial" w:hAnsi="Arial"/>
          <w:i/>
          <w:iCs/>
        </w:rPr>
        <w:t>et al</w:t>
      </w:r>
      <w:r>
        <w:rPr>
          <w:rFonts w:ascii="Arial" w:hAnsi="Arial"/>
        </w:rPr>
        <w:t xml:space="preserve">., 2015; Turco </w:t>
      </w:r>
      <w:r>
        <w:rPr>
          <w:rFonts w:ascii="Arial" w:hAnsi="Arial"/>
          <w:i/>
          <w:iCs/>
        </w:rPr>
        <w:t>et al</w:t>
      </w:r>
      <w:r>
        <w:rPr>
          <w:rFonts w:ascii="Arial" w:hAnsi="Arial"/>
        </w:rPr>
        <w:t xml:space="preserve">., 2018; </w:t>
      </w:r>
      <w:proofErr w:type="spellStart"/>
      <w:r>
        <w:rPr>
          <w:rFonts w:ascii="Arial" w:hAnsi="Arial"/>
        </w:rPr>
        <w:t>Fejzo</w:t>
      </w:r>
      <w:proofErr w:type="spellEnd"/>
      <w:r>
        <w:rPr>
          <w:rFonts w:ascii="Arial" w:hAnsi="Arial"/>
          <w:i/>
          <w:iCs/>
        </w:rPr>
        <w:t xml:space="preserve"> et al</w:t>
      </w:r>
      <w:r>
        <w:rPr>
          <w:rFonts w:ascii="Arial" w:hAnsi="Arial"/>
        </w:rPr>
        <w:t>., 2019</w:t>
      </w:r>
      <w:r>
        <w:rPr>
          <w:rFonts w:ascii="Arial" w:hAnsi="Arial"/>
          <w:lang w:val="en-GB"/>
        </w:rPr>
        <w:t xml:space="preserve">; </w:t>
      </w:r>
      <w:proofErr w:type="spellStart"/>
      <w:r>
        <w:rPr>
          <w:rFonts w:ascii="Arial" w:hAnsi="Arial"/>
          <w:lang w:val="en-GB"/>
        </w:rPr>
        <w:t>Fejzo</w:t>
      </w:r>
      <w:proofErr w:type="spellEnd"/>
      <w:r>
        <w:rPr>
          <w:rFonts w:ascii="Arial" w:hAnsi="Arial"/>
          <w:lang w:val="en-GB"/>
        </w:rPr>
        <w:t xml:space="preserve"> </w:t>
      </w:r>
      <w:r>
        <w:rPr>
          <w:rFonts w:ascii="Arial" w:hAnsi="Arial"/>
          <w:i/>
          <w:iCs/>
          <w:lang w:val="en-GB"/>
        </w:rPr>
        <w:t>et al</w:t>
      </w:r>
      <w:r>
        <w:rPr>
          <w:rFonts w:ascii="Arial" w:hAnsi="Arial"/>
          <w:lang w:val="en-GB"/>
        </w:rPr>
        <w:t>., 2024</w:t>
      </w:r>
      <w:r>
        <w:rPr>
          <w:rFonts w:ascii="Arial" w:hAnsi="Arial"/>
        </w:rPr>
        <w:t>). This has been attributed to the impact of GDF15 on maternal appetite regulation. GDF15, a hormone produced by the placenta, becomes expressed as early as the 8-10 cell blastocyst stage and moves from the placenta into the maternal circulation (</w:t>
      </w:r>
      <w:proofErr w:type="spellStart"/>
      <w:r>
        <w:rPr>
          <w:rFonts w:ascii="Arial" w:hAnsi="Arial"/>
        </w:rPr>
        <w:t>Fejzo</w:t>
      </w:r>
      <w:proofErr w:type="spellEnd"/>
      <w:r>
        <w:rPr>
          <w:rFonts w:ascii="Arial" w:hAnsi="Arial"/>
        </w:rPr>
        <w:t xml:space="preserve"> </w:t>
      </w:r>
      <w:r>
        <w:rPr>
          <w:rFonts w:ascii="Arial" w:hAnsi="Arial"/>
          <w:i/>
          <w:iCs/>
        </w:rPr>
        <w:t>et al</w:t>
      </w:r>
      <w:r>
        <w:rPr>
          <w:rFonts w:ascii="Arial" w:hAnsi="Arial"/>
        </w:rPr>
        <w:t>., 20</w:t>
      </w:r>
      <w:r>
        <w:rPr>
          <w:rFonts w:ascii="Arial" w:hAnsi="Arial"/>
          <w:lang w:val="en-GB"/>
        </w:rPr>
        <w:t>24</w:t>
      </w:r>
      <w:r>
        <w:rPr>
          <w:rFonts w:ascii="Arial" w:hAnsi="Arial"/>
        </w:rPr>
        <w:t>). Mechanistically, GDF15 regulates appetite by binding to its receptor (GFRAL), found in the area postrema and nucleus of the solitary tract in the medulla oblongata. This interaction sets off a cascade of events leading to reduced appetite, taste aversion, and ultimately weight loss (</w:t>
      </w:r>
      <w:proofErr w:type="spellStart"/>
      <w:r>
        <w:rPr>
          <w:rFonts w:ascii="Arial" w:hAnsi="Arial"/>
          <w:color w:val="222222"/>
          <w:shd w:val="clear" w:color="auto" w:fill="FFFFFF"/>
        </w:rPr>
        <w:t>Frikke</w:t>
      </w:r>
      <w:proofErr w:type="spellEnd"/>
      <w:r>
        <w:rPr>
          <w:rFonts w:ascii="Arial" w:hAnsi="Arial"/>
          <w:color w:val="222222"/>
          <w:shd w:val="clear" w:color="auto" w:fill="FFFFFF"/>
        </w:rPr>
        <w:t>-Schmidt</w:t>
      </w:r>
      <w:r>
        <w:rPr>
          <w:rFonts w:ascii="Arial" w:hAnsi="Arial"/>
        </w:rPr>
        <w:t xml:space="preserve"> </w:t>
      </w:r>
      <w:r>
        <w:rPr>
          <w:rFonts w:ascii="Arial" w:hAnsi="Arial"/>
          <w:i/>
          <w:iCs/>
        </w:rPr>
        <w:t>et al</w:t>
      </w:r>
      <w:r>
        <w:rPr>
          <w:rFonts w:ascii="Arial" w:hAnsi="Arial"/>
        </w:rPr>
        <w:t>., 201</w:t>
      </w:r>
      <w:r>
        <w:rPr>
          <w:rFonts w:ascii="Arial" w:hAnsi="Arial"/>
          <w:lang w:val="en-GB"/>
        </w:rPr>
        <w:t>9</w:t>
      </w:r>
      <w:r>
        <w:rPr>
          <w:rFonts w:ascii="Arial" w:hAnsi="Arial"/>
        </w:rPr>
        <w:t>). Consequently, HG is deemed to be associated with the hyperactivation of the GDF15-GFRAL pathway.</w:t>
      </w:r>
    </w:p>
    <w:p w:rsidR="00BC1D7C" w:rsidRDefault="00232D84">
      <w:pPr>
        <w:pStyle w:val="Body"/>
        <w:spacing w:after="0"/>
        <w:rPr>
          <w:rFonts w:ascii="Arial" w:hAnsi="Arial"/>
        </w:rPr>
      </w:pPr>
      <w:r>
        <w:rPr>
          <w:rFonts w:ascii="Arial" w:hAnsi="Arial"/>
        </w:rPr>
        <w:t xml:space="preserve">Leptin, a prototype adipocytokine plays significant roles in energy metabolism, reproduction, immunity and inflammation (Perez-Perez </w:t>
      </w:r>
      <w:r>
        <w:rPr>
          <w:rFonts w:ascii="Arial" w:hAnsi="Arial"/>
          <w:i/>
          <w:iCs/>
        </w:rPr>
        <w:t>et al</w:t>
      </w:r>
      <w:r>
        <w:rPr>
          <w:rFonts w:ascii="Arial" w:hAnsi="Arial"/>
        </w:rPr>
        <w:t xml:space="preserve">., 2020). It basically acts as an afferent satiety signal through its crucial role in reducing appetite and raising the consumption of energy by interacting with other factors such as cortisol, thyroid hormones and insulin; thus, regulating body weight (Park and </w:t>
      </w:r>
      <w:proofErr w:type="spellStart"/>
      <w:r>
        <w:rPr>
          <w:rFonts w:ascii="Arial" w:hAnsi="Arial"/>
        </w:rPr>
        <w:t>Ahima</w:t>
      </w:r>
      <w:proofErr w:type="spellEnd"/>
      <w:r>
        <w:rPr>
          <w:rFonts w:ascii="Arial" w:hAnsi="Arial"/>
        </w:rPr>
        <w:t xml:space="preserve">, 2015; Shih </w:t>
      </w:r>
      <w:r>
        <w:rPr>
          <w:rFonts w:ascii="Arial" w:hAnsi="Arial"/>
          <w:i/>
          <w:iCs/>
        </w:rPr>
        <w:t>et al</w:t>
      </w:r>
      <w:r>
        <w:rPr>
          <w:rFonts w:ascii="Arial" w:hAnsi="Arial"/>
        </w:rPr>
        <w:t>., 2022). When fat cells release leptin into the bloodstream, it travels to the hypothalamus, and acts on specific receptors to suppress appetite and increase energy expenditure (</w:t>
      </w:r>
      <w:proofErr w:type="spellStart"/>
      <w:r>
        <w:rPr>
          <w:rFonts w:ascii="Arial" w:hAnsi="Arial"/>
        </w:rPr>
        <w:t>Obradovic</w:t>
      </w:r>
      <w:proofErr w:type="spellEnd"/>
      <w:r>
        <w:rPr>
          <w:rFonts w:ascii="Arial" w:hAnsi="Arial"/>
        </w:rPr>
        <w:t xml:space="preserve"> </w:t>
      </w:r>
      <w:r>
        <w:rPr>
          <w:rFonts w:ascii="Arial" w:hAnsi="Arial"/>
          <w:i/>
          <w:iCs/>
        </w:rPr>
        <w:t>et al</w:t>
      </w:r>
      <w:r>
        <w:rPr>
          <w:rFonts w:ascii="Arial" w:hAnsi="Arial"/>
        </w:rPr>
        <w:t>., 2021). As a pro-inflammatory mediator, leptin promotes the secretion of pro-inflammatory cytokines such as tumor necrosis factor-alpha (TNF-α), interleukin-6 (IL-6), and interleukin-1 beta (IL-1β)</w:t>
      </w:r>
      <w:r>
        <w:rPr>
          <w:rFonts w:ascii="Arial" w:hAnsi="Arial"/>
          <w:lang w:val="en-GB"/>
        </w:rPr>
        <w:t xml:space="preserve"> (Rehman and Akash, 2016).</w:t>
      </w:r>
      <w:r>
        <w:rPr>
          <w:rFonts w:ascii="Arial" w:hAnsi="Arial"/>
        </w:rPr>
        <w:t xml:space="preserve"> These cytokines create a chronic low-grade inflammatory state, which has been implicated in the pathophysiology of HG. In addition to this, leptin modulates the balance between Th1 and Th2 immune responses, favoring a pro-inflammatory Th1 response</w:t>
      </w:r>
      <w:r>
        <w:rPr>
          <w:rFonts w:ascii="Arial" w:hAnsi="Arial"/>
          <w:lang w:val="en-GB"/>
        </w:rPr>
        <w:t xml:space="preserve"> (Perez-Perez </w:t>
      </w:r>
      <w:r>
        <w:rPr>
          <w:rFonts w:ascii="Arial" w:hAnsi="Arial"/>
          <w:i/>
          <w:iCs/>
          <w:lang w:val="en-GB"/>
        </w:rPr>
        <w:t>et al</w:t>
      </w:r>
      <w:r>
        <w:rPr>
          <w:rFonts w:ascii="Arial" w:hAnsi="Arial"/>
          <w:lang w:val="en-GB"/>
        </w:rPr>
        <w:t>., 2020)</w:t>
      </w:r>
      <w:r>
        <w:rPr>
          <w:rFonts w:ascii="Arial" w:hAnsi="Arial"/>
        </w:rPr>
        <w:t>. This shift exacerbates inflammation in HG, contributing to systemic effects such as nausea and vomiting through interactions with the hypothalamic centers regulating appetite and emesis. Elevated leptin levels correlate with increased high-sensitivity C-reactive protein (</w:t>
      </w:r>
      <w:proofErr w:type="spellStart"/>
      <w:r>
        <w:rPr>
          <w:rFonts w:ascii="Arial" w:hAnsi="Arial"/>
        </w:rPr>
        <w:t>hsCRP</w:t>
      </w:r>
      <w:proofErr w:type="spellEnd"/>
      <w:r>
        <w:rPr>
          <w:rFonts w:ascii="Arial" w:hAnsi="Arial"/>
        </w:rPr>
        <w:t xml:space="preserve">), a biomarker of inflammation. In HG, higher </w:t>
      </w:r>
      <w:proofErr w:type="spellStart"/>
      <w:r>
        <w:rPr>
          <w:rFonts w:ascii="Arial" w:hAnsi="Arial"/>
        </w:rPr>
        <w:t>hsCRP</w:t>
      </w:r>
      <w:proofErr w:type="spellEnd"/>
      <w:r>
        <w:rPr>
          <w:rFonts w:ascii="Arial" w:hAnsi="Arial"/>
        </w:rPr>
        <w:t xml:space="preserve"> levels observed in affected women further highlight leptin’s contribution to the inflammatory cascade.</w:t>
      </w:r>
    </w:p>
    <w:p w:rsidR="00BC1D7C" w:rsidRDefault="00232D84">
      <w:pPr>
        <w:pStyle w:val="Body"/>
        <w:spacing w:after="0"/>
        <w:rPr>
          <w:rFonts w:ascii="Arial" w:hAnsi="Arial"/>
        </w:rPr>
      </w:pPr>
      <w:r>
        <w:rPr>
          <w:rFonts w:ascii="Arial" w:hAnsi="Arial"/>
        </w:rPr>
        <w:t>Studies show mixed results regarding malondialdehyde (MDA) levels, a marker of lipid peroxidation, in HG. However, elevated leptin levels are known to influence antioxidant defenses by regulating enzymes like glutathione peroxidase (</w:t>
      </w:r>
      <w:proofErr w:type="spellStart"/>
      <w:r>
        <w:rPr>
          <w:rFonts w:ascii="Arial" w:hAnsi="Arial"/>
        </w:rPr>
        <w:t>GPx</w:t>
      </w:r>
      <w:proofErr w:type="spellEnd"/>
      <w:r>
        <w:rPr>
          <w:rFonts w:ascii="Arial" w:hAnsi="Arial"/>
        </w:rPr>
        <w:t xml:space="preserve">) and catalase. It is however unclear if this elevation is a cause or consequence.  Previous studies have reported that increased leptin levels </w:t>
      </w:r>
      <w:proofErr w:type="gramStart"/>
      <w:r>
        <w:rPr>
          <w:rFonts w:ascii="Arial" w:hAnsi="Arial"/>
        </w:rPr>
        <w:t>is</w:t>
      </w:r>
      <w:proofErr w:type="gramEnd"/>
      <w:r>
        <w:rPr>
          <w:rFonts w:ascii="Arial" w:hAnsi="Arial"/>
        </w:rPr>
        <w:t xml:space="preserve"> associated with oxidative stress and inflammation via the activation of NADPH oxidase leading to ROS generation (</w:t>
      </w:r>
      <w:proofErr w:type="spellStart"/>
      <w:r>
        <w:rPr>
          <w:rFonts w:ascii="Arial" w:hAnsi="Arial"/>
        </w:rPr>
        <w:t>Kleinridders</w:t>
      </w:r>
      <w:proofErr w:type="spellEnd"/>
      <w:r>
        <w:rPr>
          <w:rFonts w:ascii="Arial" w:hAnsi="Arial"/>
        </w:rPr>
        <w:t xml:space="preserve"> </w:t>
      </w:r>
      <w:r>
        <w:rPr>
          <w:rFonts w:ascii="Arial" w:hAnsi="Arial"/>
          <w:i/>
          <w:iCs/>
        </w:rPr>
        <w:t>et al</w:t>
      </w:r>
      <w:r>
        <w:rPr>
          <w:rFonts w:ascii="Arial" w:hAnsi="Arial"/>
        </w:rPr>
        <w:t xml:space="preserve">., 2018) and activation of NF-KB and JAK-STAT signaling pathways which can further contribute to ROS generation (Pérez-Pérez </w:t>
      </w:r>
      <w:r>
        <w:rPr>
          <w:rFonts w:ascii="Arial" w:hAnsi="Arial"/>
          <w:i/>
          <w:iCs/>
        </w:rPr>
        <w:t>et al</w:t>
      </w:r>
      <w:r>
        <w:rPr>
          <w:rFonts w:ascii="Arial" w:hAnsi="Arial"/>
        </w:rPr>
        <w:t>., 2020). Thus, the role of leptin in appetite regulation, its involvement in oxidative stress and inflammation, makes it a suitable candidate for the present study.</w:t>
      </w:r>
    </w:p>
    <w:p w:rsidR="00BC1D7C" w:rsidRDefault="00232D84">
      <w:pPr>
        <w:pStyle w:val="Body"/>
        <w:spacing w:after="0"/>
        <w:rPr>
          <w:rFonts w:ascii="Arial" w:hAnsi="Arial" w:cs="Arial"/>
        </w:rPr>
      </w:pPr>
      <w:r>
        <w:rPr>
          <w:rFonts w:ascii="Arial" w:hAnsi="Arial"/>
        </w:rPr>
        <w:t xml:space="preserve"> We have previously described the relationship between oxidative stress and inflammatory responses in preeclampsia (</w:t>
      </w:r>
      <w:proofErr w:type="spellStart"/>
      <w:r>
        <w:rPr>
          <w:rFonts w:ascii="Arial" w:hAnsi="Arial"/>
        </w:rPr>
        <w:t>Adediji</w:t>
      </w:r>
      <w:proofErr w:type="spellEnd"/>
      <w:r>
        <w:rPr>
          <w:rFonts w:ascii="Arial" w:hAnsi="Arial"/>
        </w:rPr>
        <w:t xml:space="preserve"> </w:t>
      </w:r>
      <w:r>
        <w:rPr>
          <w:rFonts w:ascii="Arial" w:hAnsi="Arial"/>
          <w:i/>
          <w:iCs/>
        </w:rPr>
        <w:t>et al</w:t>
      </w:r>
      <w:r>
        <w:rPr>
          <w:rFonts w:ascii="Arial" w:hAnsi="Arial"/>
        </w:rPr>
        <w:t>., 2017). Oxidative stress and inflammation seem to go ‘hand in hand’ in many conditions. HG could therefore be expected to have some association with inflammation. Furthermore, a number of studies have demonstrated the association of leptin with HG (</w:t>
      </w:r>
      <w:proofErr w:type="spellStart"/>
      <w:r>
        <w:rPr>
          <w:rFonts w:ascii="Arial" w:hAnsi="Arial"/>
        </w:rPr>
        <w:t>Kuo</w:t>
      </w:r>
      <w:proofErr w:type="spellEnd"/>
      <w:r>
        <w:rPr>
          <w:rFonts w:ascii="Arial" w:hAnsi="Arial"/>
        </w:rPr>
        <w:t xml:space="preserve"> </w:t>
      </w:r>
      <w:r>
        <w:rPr>
          <w:rFonts w:ascii="Arial" w:hAnsi="Arial"/>
          <w:i/>
          <w:iCs/>
        </w:rPr>
        <w:t>et al</w:t>
      </w:r>
      <w:r>
        <w:rPr>
          <w:rFonts w:ascii="Arial" w:hAnsi="Arial"/>
        </w:rPr>
        <w:t xml:space="preserve">., 2010; </w:t>
      </w:r>
      <w:proofErr w:type="spellStart"/>
      <w:r>
        <w:rPr>
          <w:rFonts w:ascii="Arial" w:hAnsi="Arial"/>
        </w:rPr>
        <w:t>Kaygusuz</w:t>
      </w:r>
      <w:proofErr w:type="spellEnd"/>
      <w:r>
        <w:rPr>
          <w:rFonts w:ascii="Arial" w:hAnsi="Arial"/>
        </w:rPr>
        <w:t xml:space="preserve"> </w:t>
      </w:r>
      <w:r>
        <w:rPr>
          <w:rFonts w:ascii="Arial" w:hAnsi="Arial"/>
          <w:i/>
          <w:iCs/>
        </w:rPr>
        <w:t>et al</w:t>
      </w:r>
      <w:r>
        <w:rPr>
          <w:rFonts w:ascii="Arial" w:hAnsi="Arial"/>
        </w:rPr>
        <w:t>., 2013; London, 2017), no report was however found on its relationship with oxidative stress or inflammatory markers in pregnant women with HG. Therefore, our hypothesis revolves around the potential correlation between serum leptin levels in women experiencing Hyperemesis gravidarum (HG) and the presence of inflammation and oxidative stress. To this end we assessed serum levels of leptin, high sensitivity C reactive-protein (</w:t>
      </w:r>
      <w:proofErr w:type="spellStart"/>
      <w:r>
        <w:rPr>
          <w:rFonts w:ascii="Arial" w:hAnsi="Arial"/>
        </w:rPr>
        <w:t>hsCRP</w:t>
      </w:r>
      <w:proofErr w:type="spellEnd"/>
      <w:r>
        <w:rPr>
          <w:rFonts w:ascii="Arial" w:hAnsi="Arial"/>
        </w:rPr>
        <w:t>)- a selected inflammatory marker, and oxidative stress markers including total antioxidant status (TAS), Glutathione peroxidase (</w:t>
      </w:r>
      <w:proofErr w:type="spellStart"/>
      <w:r>
        <w:rPr>
          <w:rFonts w:ascii="Arial" w:hAnsi="Arial"/>
        </w:rPr>
        <w:t>GPx</w:t>
      </w:r>
      <w:proofErr w:type="spellEnd"/>
      <w:r>
        <w:rPr>
          <w:rFonts w:ascii="Arial" w:hAnsi="Arial"/>
        </w:rPr>
        <w:t xml:space="preserve">) and malondialdehyde (MDA) – </w:t>
      </w:r>
      <w:proofErr w:type="gramStart"/>
      <w:r>
        <w:rPr>
          <w:rFonts w:ascii="Arial" w:hAnsi="Arial"/>
        </w:rPr>
        <w:t>in  pregnant</w:t>
      </w:r>
      <w:proofErr w:type="gramEnd"/>
      <w:r>
        <w:rPr>
          <w:rFonts w:ascii="Arial" w:hAnsi="Arial"/>
        </w:rPr>
        <w:t xml:space="preserve"> women with HG  and control subjects</w:t>
      </w:r>
    </w:p>
    <w:p w:rsidR="00BC1D7C" w:rsidRDefault="00BC1D7C">
      <w:pPr>
        <w:pStyle w:val="Body"/>
        <w:spacing w:after="0"/>
        <w:rPr>
          <w:rFonts w:ascii="Arial" w:hAnsi="Arial" w:cs="Arial"/>
        </w:rPr>
      </w:pPr>
    </w:p>
    <w:p w:rsidR="00BC1D7C" w:rsidRDefault="00232D84">
      <w:pPr>
        <w:pStyle w:val="AbstHead"/>
        <w:spacing w:after="0"/>
        <w:jc w:val="both"/>
        <w:rPr>
          <w:rFonts w:ascii="Arial" w:hAnsi="Arial" w:cs="Arial"/>
          <w:lang w:val="en-GB"/>
        </w:rPr>
      </w:pPr>
      <w:r>
        <w:rPr>
          <w:rFonts w:ascii="Arial" w:hAnsi="Arial" w:cs="Arial"/>
        </w:rPr>
        <w:t>2. material and method</w:t>
      </w:r>
      <w:r>
        <w:rPr>
          <w:rFonts w:ascii="Arial" w:hAnsi="Arial" w:cs="Arial"/>
          <w:lang w:val="en-GB"/>
        </w:rPr>
        <w:t>S</w:t>
      </w:r>
    </w:p>
    <w:p w:rsidR="00BC1D7C" w:rsidRDefault="00BC1D7C">
      <w:pPr>
        <w:pStyle w:val="AbstHead"/>
        <w:spacing w:after="0"/>
        <w:jc w:val="both"/>
        <w:rPr>
          <w:rFonts w:ascii="Arial" w:hAnsi="Arial" w:cs="Arial"/>
        </w:rPr>
      </w:pPr>
    </w:p>
    <w:p w:rsidR="00BC1D7C" w:rsidRDefault="00232D84">
      <w:pPr>
        <w:pStyle w:val="Body"/>
        <w:spacing w:after="0"/>
        <w:rPr>
          <w:rFonts w:ascii="Arial" w:hAnsi="Arial"/>
          <w:b/>
          <w:bCs/>
          <w:sz w:val="22"/>
          <w:szCs w:val="22"/>
        </w:rPr>
      </w:pPr>
      <w:r>
        <w:rPr>
          <w:rFonts w:ascii="Arial" w:hAnsi="Arial"/>
          <w:b/>
          <w:bCs/>
          <w:sz w:val="22"/>
          <w:szCs w:val="22"/>
          <w:lang w:val="en-GB"/>
        </w:rPr>
        <w:t xml:space="preserve">2.1 </w:t>
      </w:r>
      <w:r>
        <w:rPr>
          <w:rFonts w:ascii="Arial" w:hAnsi="Arial"/>
          <w:b/>
          <w:bCs/>
          <w:sz w:val="22"/>
          <w:szCs w:val="22"/>
        </w:rPr>
        <w:t>Study design</w:t>
      </w:r>
    </w:p>
    <w:p w:rsidR="00BC1D7C" w:rsidRDefault="00232D84">
      <w:pPr>
        <w:pStyle w:val="Body"/>
        <w:spacing w:after="0"/>
        <w:rPr>
          <w:rFonts w:ascii="Arial" w:hAnsi="Arial"/>
        </w:rPr>
      </w:pPr>
      <w:r>
        <w:rPr>
          <w:rFonts w:ascii="Arial" w:hAnsi="Arial"/>
        </w:rPr>
        <w:t>This study was carried out as a hospital based, cross-sectional and case-control study, carried out between April and June, 2022.</w:t>
      </w:r>
    </w:p>
    <w:p w:rsidR="00BC1D7C" w:rsidRDefault="00232D84">
      <w:pPr>
        <w:pStyle w:val="Body"/>
        <w:spacing w:after="0"/>
        <w:rPr>
          <w:rFonts w:ascii="Arial" w:hAnsi="Arial"/>
          <w:b/>
          <w:bCs/>
          <w:sz w:val="22"/>
          <w:szCs w:val="22"/>
        </w:rPr>
      </w:pPr>
      <w:r>
        <w:rPr>
          <w:rFonts w:ascii="Arial" w:hAnsi="Arial"/>
          <w:b/>
          <w:bCs/>
          <w:sz w:val="22"/>
          <w:szCs w:val="22"/>
          <w:lang w:val="en-GB"/>
        </w:rPr>
        <w:t xml:space="preserve">2.2 </w:t>
      </w:r>
      <w:r>
        <w:rPr>
          <w:rFonts w:ascii="Arial" w:hAnsi="Arial"/>
          <w:b/>
          <w:bCs/>
          <w:sz w:val="22"/>
          <w:szCs w:val="22"/>
        </w:rPr>
        <w:t>Participants</w:t>
      </w:r>
    </w:p>
    <w:p w:rsidR="00BC1D7C" w:rsidRDefault="00232D84">
      <w:pPr>
        <w:pStyle w:val="Body"/>
        <w:spacing w:after="0"/>
        <w:rPr>
          <w:rFonts w:ascii="Arial" w:hAnsi="Arial"/>
        </w:rPr>
      </w:pPr>
      <w:r>
        <w:rPr>
          <w:rFonts w:ascii="Arial" w:hAnsi="Arial"/>
        </w:rPr>
        <w:t xml:space="preserve">Study participants were recruited from among pregnant women who presented at the antenatal clinic of General Hospital, </w:t>
      </w:r>
      <w:proofErr w:type="spellStart"/>
      <w:r>
        <w:rPr>
          <w:rFonts w:ascii="Arial" w:hAnsi="Arial"/>
        </w:rPr>
        <w:t>Ifo</w:t>
      </w:r>
      <w:proofErr w:type="spellEnd"/>
      <w:r>
        <w:rPr>
          <w:rFonts w:ascii="Arial" w:hAnsi="Arial"/>
        </w:rPr>
        <w:t xml:space="preserve">, Ogun State, located in the South-Western region of Nigeria. They include 45 women who presented with hyperemesis </w:t>
      </w:r>
      <w:r>
        <w:rPr>
          <w:rFonts w:ascii="Arial" w:hAnsi="Arial"/>
        </w:rPr>
        <w:lastRenderedPageBreak/>
        <w:t>gravidarum during the first trimester, and 45 pregnant women of a similar gestational age who did not have any vomiting at all, as control group.</w:t>
      </w:r>
    </w:p>
    <w:p w:rsidR="00BC1D7C" w:rsidRDefault="00232D84">
      <w:pPr>
        <w:pStyle w:val="Body"/>
        <w:spacing w:after="0"/>
        <w:rPr>
          <w:rFonts w:ascii="Arial" w:hAnsi="Arial"/>
          <w:b/>
          <w:bCs/>
        </w:rPr>
      </w:pPr>
      <w:r>
        <w:rPr>
          <w:rFonts w:ascii="Arial" w:hAnsi="Arial"/>
          <w:b/>
          <w:bCs/>
          <w:lang w:val="en-GB"/>
        </w:rPr>
        <w:t xml:space="preserve">2.2.1 </w:t>
      </w:r>
      <w:r>
        <w:rPr>
          <w:rFonts w:ascii="Arial" w:hAnsi="Arial"/>
          <w:b/>
          <w:bCs/>
        </w:rPr>
        <w:t>Inclusion criteria</w:t>
      </w:r>
    </w:p>
    <w:p w:rsidR="00BC1D7C" w:rsidRDefault="00232D84">
      <w:pPr>
        <w:pStyle w:val="Body"/>
        <w:spacing w:after="0"/>
        <w:rPr>
          <w:rFonts w:ascii="Arial" w:hAnsi="Arial"/>
        </w:rPr>
      </w:pPr>
      <w:r>
        <w:rPr>
          <w:rFonts w:ascii="Arial" w:hAnsi="Arial"/>
        </w:rPr>
        <w:t xml:space="preserve">Participants with singleton pregnancy, gestational age between six and 14 weeks and having persistent nausea and vomiting were recruited for the study. The control group includes pregnant women with similar characteristics but without any history of vomiting. </w:t>
      </w:r>
    </w:p>
    <w:p w:rsidR="00BC1D7C" w:rsidRDefault="00232D84">
      <w:pPr>
        <w:pStyle w:val="Body"/>
        <w:spacing w:after="0"/>
        <w:rPr>
          <w:rFonts w:ascii="Arial" w:hAnsi="Arial"/>
          <w:b/>
          <w:bCs/>
        </w:rPr>
      </w:pPr>
      <w:r>
        <w:rPr>
          <w:rFonts w:ascii="Arial" w:hAnsi="Arial"/>
          <w:b/>
          <w:bCs/>
          <w:lang w:val="en-GB"/>
        </w:rPr>
        <w:t xml:space="preserve">2.2.2 </w:t>
      </w:r>
      <w:r>
        <w:rPr>
          <w:rFonts w:ascii="Arial" w:hAnsi="Arial"/>
          <w:b/>
          <w:bCs/>
        </w:rPr>
        <w:t>Exclusion criteria</w:t>
      </w:r>
    </w:p>
    <w:p w:rsidR="00BC1D7C" w:rsidRDefault="00232D84">
      <w:pPr>
        <w:pStyle w:val="Body"/>
        <w:spacing w:after="0"/>
        <w:rPr>
          <w:rFonts w:ascii="Arial" w:hAnsi="Arial"/>
        </w:rPr>
      </w:pPr>
      <w:r>
        <w:rPr>
          <w:rFonts w:ascii="Arial" w:hAnsi="Arial"/>
        </w:rPr>
        <w:t>Pregnant women with multiple gestation, known thyroid disease, trophoblastic disease, eating disorders, known psychiatric disorder, smokers, and women having any known inflammatory conditions were excluded from this study.</w:t>
      </w:r>
    </w:p>
    <w:p w:rsidR="00BC1D7C" w:rsidRDefault="00232D84">
      <w:pPr>
        <w:pStyle w:val="Body"/>
        <w:spacing w:after="0"/>
        <w:rPr>
          <w:rFonts w:ascii="Arial" w:hAnsi="Arial"/>
        </w:rPr>
      </w:pPr>
      <w:r>
        <w:rPr>
          <w:rFonts w:ascii="Arial" w:hAnsi="Arial"/>
          <w:b/>
          <w:bCs/>
          <w:sz w:val="22"/>
          <w:szCs w:val="22"/>
          <w:lang w:val="en-GB"/>
        </w:rPr>
        <w:t xml:space="preserve">2.3 </w:t>
      </w:r>
      <w:r>
        <w:rPr>
          <w:rFonts w:ascii="Arial" w:hAnsi="Arial"/>
          <w:b/>
          <w:bCs/>
          <w:sz w:val="22"/>
          <w:szCs w:val="22"/>
        </w:rPr>
        <w:t>Sample collection</w:t>
      </w:r>
    </w:p>
    <w:p w:rsidR="00BC1D7C" w:rsidRDefault="00232D84">
      <w:pPr>
        <w:pStyle w:val="Body"/>
        <w:spacing w:after="0"/>
        <w:rPr>
          <w:rFonts w:ascii="Arial" w:hAnsi="Arial"/>
        </w:rPr>
      </w:pPr>
      <w:r>
        <w:rPr>
          <w:rFonts w:ascii="Arial" w:hAnsi="Arial"/>
        </w:rPr>
        <w:t xml:space="preserve">Five milliliters (5ml) of venous blood sample was collected aseptically from each participant into a plain bottle, and centrifuged at 3500rpm for 5 minutes, after which the serum was separated into plain bottles and stored at -20°C until the time of analysis for leptin, </w:t>
      </w:r>
      <w:proofErr w:type="spellStart"/>
      <w:r>
        <w:rPr>
          <w:rFonts w:ascii="Arial" w:hAnsi="Arial"/>
        </w:rPr>
        <w:t>hsCRP</w:t>
      </w:r>
      <w:proofErr w:type="spellEnd"/>
      <w:r>
        <w:rPr>
          <w:rFonts w:ascii="Arial" w:hAnsi="Arial"/>
        </w:rPr>
        <w:t>, total antioxidant status, malondialdehyde and glutathione peroxidase.</w:t>
      </w:r>
    </w:p>
    <w:p w:rsidR="00BC1D7C" w:rsidRDefault="00232D84">
      <w:pPr>
        <w:pStyle w:val="Body"/>
        <w:spacing w:after="0"/>
        <w:rPr>
          <w:rFonts w:ascii="Arial" w:hAnsi="Arial"/>
        </w:rPr>
      </w:pPr>
      <w:r>
        <w:rPr>
          <w:rFonts w:ascii="Arial" w:hAnsi="Arial"/>
          <w:b/>
          <w:bCs/>
          <w:sz w:val="22"/>
          <w:szCs w:val="22"/>
          <w:lang w:val="en-GB"/>
        </w:rPr>
        <w:t xml:space="preserve">2.4 </w:t>
      </w:r>
      <w:r>
        <w:rPr>
          <w:rFonts w:ascii="Arial" w:hAnsi="Arial"/>
          <w:b/>
          <w:bCs/>
          <w:sz w:val="22"/>
          <w:szCs w:val="22"/>
        </w:rPr>
        <w:t>Biochemical analysis</w:t>
      </w:r>
    </w:p>
    <w:p w:rsidR="00BC1D7C" w:rsidRDefault="00232D84">
      <w:pPr>
        <w:pStyle w:val="Body"/>
        <w:spacing w:after="0"/>
        <w:rPr>
          <w:rFonts w:ascii="Arial" w:hAnsi="Arial"/>
        </w:rPr>
      </w:pPr>
      <w:r>
        <w:rPr>
          <w:rFonts w:ascii="Arial" w:hAnsi="Arial"/>
        </w:rPr>
        <w:t xml:space="preserve">Serum Leptin and </w:t>
      </w:r>
      <w:proofErr w:type="spellStart"/>
      <w:r>
        <w:rPr>
          <w:rFonts w:ascii="Arial" w:hAnsi="Arial"/>
        </w:rPr>
        <w:t>hsCRP</w:t>
      </w:r>
      <w:proofErr w:type="spellEnd"/>
      <w:r>
        <w:rPr>
          <w:rFonts w:ascii="Arial" w:hAnsi="Arial"/>
        </w:rPr>
        <w:t xml:space="preserve"> levels were determined using ELISA technique with kits supplied by </w:t>
      </w:r>
      <w:proofErr w:type="spellStart"/>
      <w:r>
        <w:rPr>
          <w:rFonts w:ascii="Arial" w:hAnsi="Arial"/>
        </w:rPr>
        <w:t>Calbiotech</w:t>
      </w:r>
      <w:proofErr w:type="spellEnd"/>
      <w:r>
        <w:rPr>
          <w:rFonts w:ascii="Arial" w:hAnsi="Arial"/>
        </w:rPr>
        <w:t xml:space="preserve"> Inc. (California, USA). Briefly, a monoclonal antibody specific for Leptin has been coated onto the wells of the microtiter strips provided. </w:t>
      </w:r>
      <w:proofErr w:type="gramStart"/>
      <w:r>
        <w:rPr>
          <w:rFonts w:ascii="Arial" w:hAnsi="Arial"/>
        </w:rPr>
        <w:t>Twenty five</w:t>
      </w:r>
      <w:proofErr w:type="gramEnd"/>
      <w:r>
        <w:rPr>
          <w:rFonts w:ascii="Arial" w:hAnsi="Arial"/>
        </w:rPr>
        <w:t xml:space="preserve"> </w:t>
      </w:r>
      <w:proofErr w:type="spellStart"/>
      <w:r>
        <w:rPr>
          <w:rFonts w:ascii="Arial" w:hAnsi="Arial"/>
        </w:rPr>
        <w:t>microlitres</w:t>
      </w:r>
      <w:proofErr w:type="spellEnd"/>
      <w:r>
        <w:rPr>
          <w:rFonts w:ascii="Arial" w:hAnsi="Arial"/>
        </w:rPr>
        <w:t xml:space="preserve"> of samples/standard/controls were pipette into these wells, followed by addition of 100μL of HRP conjugate. The plate was swirled for 20 seconds and incubated at room temperature for 60 minutes. This was then washed and followed by addition of 100 </w:t>
      </w:r>
      <w:proofErr w:type="spellStart"/>
      <w:r>
        <w:rPr>
          <w:rFonts w:ascii="Arial" w:hAnsi="Arial"/>
        </w:rPr>
        <w:t>μL</w:t>
      </w:r>
      <w:proofErr w:type="spellEnd"/>
      <w:r>
        <w:rPr>
          <w:rFonts w:ascii="Arial" w:hAnsi="Arial"/>
        </w:rPr>
        <w:t xml:space="preserve"> of TMB substrate. At exactly 15 minutes, 50 </w:t>
      </w:r>
      <w:proofErr w:type="spellStart"/>
      <w:r>
        <w:rPr>
          <w:rFonts w:ascii="Arial" w:hAnsi="Arial"/>
        </w:rPr>
        <w:t>μL</w:t>
      </w:r>
      <w:proofErr w:type="spellEnd"/>
      <w:r>
        <w:rPr>
          <w:rFonts w:ascii="Arial" w:hAnsi="Arial"/>
        </w:rPr>
        <w:t xml:space="preserve"> of stop solution was added to each well and the optical density was measured with </w:t>
      </w:r>
      <w:proofErr w:type="spellStart"/>
      <w:r>
        <w:rPr>
          <w:rFonts w:ascii="Arial" w:hAnsi="Arial"/>
        </w:rPr>
        <w:t>Caretium</w:t>
      </w:r>
      <w:proofErr w:type="spellEnd"/>
      <w:r>
        <w:rPr>
          <w:rFonts w:ascii="Arial" w:hAnsi="Arial"/>
        </w:rPr>
        <w:t xml:space="preserve"> KC-100 micro</w:t>
      </w:r>
      <w:r>
        <w:t xml:space="preserve"> </w:t>
      </w:r>
      <w:proofErr w:type="spellStart"/>
      <w:r>
        <w:rPr>
          <w:rFonts w:ascii="Arial" w:hAnsi="Arial"/>
        </w:rPr>
        <w:t>GrapH</w:t>
      </w:r>
      <w:proofErr w:type="spellEnd"/>
      <w:r>
        <w:rPr>
          <w:rFonts w:ascii="Arial" w:hAnsi="Arial"/>
        </w:rPr>
        <w:t xml:space="preserve"> reader at wavelength of 450nm. Sample concentrations were read off the calibration curve prepared with the concentration of standards.</w:t>
      </w:r>
    </w:p>
    <w:p w:rsidR="00BC1D7C" w:rsidRDefault="00232D84">
      <w:pPr>
        <w:pStyle w:val="Body"/>
        <w:spacing w:after="0"/>
        <w:rPr>
          <w:rFonts w:ascii="Arial" w:hAnsi="Arial"/>
        </w:rPr>
      </w:pPr>
      <w:r>
        <w:rPr>
          <w:rFonts w:ascii="Arial" w:hAnsi="Arial"/>
        </w:rPr>
        <w:t xml:space="preserve">Serum MDA was measured as an index of lipid peroxidation by the </w:t>
      </w:r>
      <w:proofErr w:type="spellStart"/>
      <w:r>
        <w:rPr>
          <w:rFonts w:ascii="Arial" w:hAnsi="Arial"/>
        </w:rPr>
        <w:t>thiobarbituric</w:t>
      </w:r>
      <w:proofErr w:type="spellEnd"/>
      <w:r>
        <w:rPr>
          <w:rFonts w:ascii="Arial" w:hAnsi="Arial"/>
        </w:rPr>
        <w:t xml:space="preserve"> acid (TBA) reaction method as previously carried out (</w:t>
      </w:r>
      <w:proofErr w:type="spellStart"/>
      <w:r>
        <w:rPr>
          <w:rFonts w:ascii="Arial" w:hAnsi="Arial"/>
        </w:rPr>
        <w:t>Adelakun</w:t>
      </w:r>
      <w:proofErr w:type="spellEnd"/>
      <w:r>
        <w:rPr>
          <w:rFonts w:ascii="Arial" w:hAnsi="Arial"/>
        </w:rPr>
        <w:t xml:space="preserve"> </w:t>
      </w:r>
      <w:r>
        <w:rPr>
          <w:rFonts w:ascii="Arial" w:hAnsi="Arial"/>
          <w:i/>
          <w:iCs/>
        </w:rPr>
        <w:t>et al</w:t>
      </w:r>
      <w:r>
        <w:rPr>
          <w:rFonts w:ascii="Arial" w:hAnsi="Arial"/>
        </w:rPr>
        <w:t xml:space="preserve">., 2014).  This method is based on the principle that presence of acid, MDA reacts with TBA to produce a colored end product that absorbs light maximally at 532 nm which corresponds to the concentration of MDA in the sample. </w:t>
      </w:r>
    </w:p>
    <w:p w:rsidR="00BC1D7C" w:rsidRDefault="00232D84">
      <w:pPr>
        <w:pStyle w:val="Body"/>
        <w:spacing w:after="0"/>
        <w:rPr>
          <w:rFonts w:ascii="Arial" w:hAnsi="Arial"/>
        </w:rPr>
      </w:pPr>
      <w:r>
        <w:rPr>
          <w:rFonts w:ascii="Arial" w:hAnsi="Arial"/>
        </w:rPr>
        <w:t>Serum activity of GSH-Px was measured in serum using ELISA technique, with kits supplied by Northwest Life Science Specialties (Vancouver, Canada) as previously carried out (</w:t>
      </w:r>
      <w:proofErr w:type="spellStart"/>
      <w:r>
        <w:rPr>
          <w:rFonts w:ascii="Arial" w:hAnsi="Arial"/>
        </w:rPr>
        <w:t>Adelakun</w:t>
      </w:r>
      <w:proofErr w:type="spellEnd"/>
      <w:r>
        <w:rPr>
          <w:rFonts w:ascii="Arial" w:hAnsi="Arial"/>
        </w:rPr>
        <w:t xml:space="preserve"> </w:t>
      </w:r>
      <w:r>
        <w:rPr>
          <w:rFonts w:ascii="Arial" w:hAnsi="Arial"/>
          <w:i/>
          <w:iCs/>
        </w:rPr>
        <w:t>et al</w:t>
      </w:r>
      <w:r>
        <w:rPr>
          <w:rFonts w:ascii="Arial" w:hAnsi="Arial"/>
        </w:rPr>
        <w:t>., 2014).</w:t>
      </w:r>
    </w:p>
    <w:p w:rsidR="00BC1D7C" w:rsidRDefault="00232D84">
      <w:pPr>
        <w:pStyle w:val="Body"/>
        <w:spacing w:after="0"/>
        <w:rPr>
          <w:rFonts w:ascii="Arial" w:hAnsi="Arial"/>
        </w:rPr>
      </w:pPr>
      <w:r>
        <w:rPr>
          <w:rFonts w:ascii="Arial" w:hAnsi="Arial"/>
        </w:rPr>
        <w:t xml:space="preserve">Total antioxidant status was determined using TAS colorimetric kit supplied by </w:t>
      </w:r>
      <w:proofErr w:type="spellStart"/>
      <w:r>
        <w:rPr>
          <w:rFonts w:ascii="Arial" w:hAnsi="Arial"/>
        </w:rPr>
        <w:t>Randox</w:t>
      </w:r>
      <w:proofErr w:type="spellEnd"/>
      <w:r>
        <w:rPr>
          <w:rFonts w:ascii="Arial" w:hAnsi="Arial"/>
        </w:rPr>
        <w:t xml:space="preserve"> Laboratories Ltd. (UK). The procedure has been previously described (</w:t>
      </w:r>
      <w:proofErr w:type="spellStart"/>
      <w:r>
        <w:rPr>
          <w:rFonts w:ascii="Arial" w:hAnsi="Arial"/>
        </w:rPr>
        <w:t>Adediji</w:t>
      </w:r>
      <w:proofErr w:type="spellEnd"/>
      <w:r>
        <w:rPr>
          <w:rFonts w:ascii="Arial" w:hAnsi="Arial"/>
        </w:rPr>
        <w:t xml:space="preserve"> </w:t>
      </w:r>
      <w:r>
        <w:rPr>
          <w:rFonts w:ascii="Arial" w:hAnsi="Arial"/>
          <w:i/>
          <w:iCs/>
        </w:rPr>
        <w:t>et al</w:t>
      </w:r>
      <w:r>
        <w:rPr>
          <w:rFonts w:ascii="Arial" w:hAnsi="Arial"/>
        </w:rPr>
        <w:t>., 2017).</w:t>
      </w:r>
    </w:p>
    <w:p w:rsidR="00BC1D7C" w:rsidRDefault="00232D84">
      <w:pPr>
        <w:pStyle w:val="Body"/>
        <w:spacing w:after="0"/>
        <w:rPr>
          <w:rFonts w:ascii="Arial" w:hAnsi="Arial"/>
          <w:b/>
          <w:bCs/>
          <w:sz w:val="22"/>
          <w:szCs w:val="22"/>
        </w:rPr>
      </w:pPr>
      <w:r>
        <w:rPr>
          <w:rFonts w:ascii="Arial" w:hAnsi="Arial"/>
          <w:b/>
          <w:bCs/>
          <w:sz w:val="22"/>
          <w:szCs w:val="22"/>
          <w:lang w:val="en-GB"/>
        </w:rPr>
        <w:t xml:space="preserve">2.5 </w:t>
      </w:r>
      <w:r>
        <w:rPr>
          <w:rFonts w:ascii="Arial" w:hAnsi="Arial"/>
          <w:b/>
          <w:bCs/>
          <w:sz w:val="22"/>
          <w:szCs w:val="22"/>
        </w:rPr>
        <w:t>Statistical analysis</w:t>
      </w:r>
    </w:p>
    <w:p w:rsidR="00BC1D7C" w:rsidRDefault="00232D84">
      <w:pPr>
        <w:pStyle w:val="Body"/>
        <w:spacing w:after="0"/>
        <w:rPr>
          <w:rFonts w:ascii="Arial" w:hAnsi="Arial" w:cs="Arial"/>
        </w:rPr>
      </w:pPr>
      <w:r>
        <w:rPr>
          <w:rFonts w:ascii="Arial" w:hAnsi="Arial"/>
        </w:rPr>
        <w:t xml:space="preserve">Demographic data was reported as mean ± standard deviation and number (percentages) as appropriate. Data obtained from the biochemical analysis was </w:t>
      </w:r>
      <w:proofErr w:type="spellStart"/>
      <w:r>
        <w:rPr>
          <w:rFonts w:ascii="Arial" w:hAnsi="Arial"/>
        </w:rPr>
        <w:t>analysed</w:t>
      </w:r>
      <w:proofErr w:type="spellEnd"/>
      <w:r>
        <w:rPr>
          <w:rFonts w:ascii="Arial" w:hAnsi="Arial"/>
        </w:rPr>
        <w:t xml:space="preserve"> using the Statistical Package for Social Sciences (SPSS) and reported as mean ± standard error of mean (SEM) for the two groups. Difference between the means was analyzed using Student’s t-test with. P-values &lt; 0.05 were considered statistically significant. Linear correlation analysis was done to determine the relationship between each of the age, serum leptin, serum </w:t>
      </w:r>
      <w:proofErr w:type="spellStart"/>
      <w:r>
        <w:rPr>
          <w:rFonts w:ascii="Arial" w:hAnsi="Arial"/>
        </w:rPr>
        <w:t>hsCRP</w:t>
      </w:r>
      <w:proofErr w:type="spellEnd"/>
      <w:r>
        <w:rPr>
          <w:rFonts w:ascii="Arial" w:hAnsi="Arial"/>
        </w:rPr>
        <w:t>, TAS, MDA and GSH-Px</w:t>
      </w:r>
    </w:p>
    <w:p w:rsidR="00BC1D7C" w:rsidRDefault="00BC1D7C">
      <w:pPr>
        <w:pStyle w:val="Body"/>
        <w:spacing w:after="0"/>
        <w:rPr>
          <w:rFonts w:ascii="Arial" w:hAnsi="Arial" w:cs="Arial"/>
        </w:rPr>
      </w:pPr>
    </w:p>
    <w:p w:rsidR="00BC1D7C" w:rsidRDefault="00BC1D7C">
      <w:pPr>
        <w:pStyle w:val="Body"/>
        <w:spacing w:after="0"/>
        <w:rPr>
          <w:rFonts w:ascii="Arial" w:hAnsi="Arial" w:cs="Arial"/>
        </w:rPr>
      </w:pPr>
    </w:p>
    <w:p w:rsidR="00BC1D7C" w:rsidRDefault="00232D84">
      <w:pPr>
        <w:pStyle w:val="Head1"/>
        <w:spacing w:after="0"/>
        <w:jc w:val="both"/>
        <w:rPr>
          <w:rFonts w:ascii="Arial" w:hAnsi="Arial" w:cs="Arial"/>
        </w:rPr>
      </w:pPr>
      <w:r>
        <w:rPr>
          <w:rFonts w:ascii="Arial" w:hAnsi="Arial" w:cs="Arial"/>
        </w:rPr>
        <w:t>3. results and discussion</w:t>
      </w:r>
    </w:p>
    <w:p w:rsidR="00BC1D7C" w:rsidRDefault="00BC1D7C">
      <w:pPr>
        <w:pStyle w:val="Head1"/>
        <w:spacing w:after="0"/>
        <w:jc w:val="both"/>
        <w:rPr>
          <w:rFonts w:ascii="Arial" w:hAnsi="Arial" w:cs="Arial"/>
        </w:rPr>
      </w:pPr>
    </w:p>
    <w:p w:rsidR="00BC1D7C" w:rsidRDefault="00232D84">
      <w:pPr>
        <w:pStyle w:val="Body"/>
        <w:spacing w:after="0"/>
        <w:rPr>
          <w:rFonts w:ascii="Arial" w:hAnsi="Arial"/>
        </w:rPr>
      </w:pPr>
      <w:r>
        <w:rPr>
          <w:rFonts w:ascii="Arial" w:hAnsi="Arial"/>
        </w:rPr>
        <w:t>Table 1 shows demographic data of study participants. Participant groups (tests vs controls) were observed to be identical in terms of age, gravidity, parity, gestational age, educational status and occupation.</w:t>
      </w:r>
    </w:p>
    <w:p w:rsidR="00BC1D7C" w:rsidRDefault="00232D84">
      <w:pPr>
        <w:spacing w:line="480" w:lineRule="auto"/>
        <w:jc w:val="both"/>
        <w:rPr>
          <w:rFonts w:ascii="Times New Roman" w:hAnsi="Times New Roman"/>
          <w:b/>
          <w:sz w:val="24"/>
          <w:szCs w:val="24"/>
        </w:rPr>
      </w:pPr>
      <w:r>
        <w:rPr>
          <w:rFonts w:ascii="Times New Roman" w:hAnsi="Times New Roman"/>
          <w:b/>
          <w:sz w:val="24"/>
          <w:szCs w:val="24"/>
        </w:rPr>
        <w:t>Table 1: Demographic data of the patients with HG and the control group</w:t>
      </w:r>
    </w:p>
    <w:tbl>
      <w:tblPr>
        <w:tblStyle w:val="TableGrid"/>
        <w:tblW w:w="90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
        <w:gridCol w:w="2659"/>
        <w:gridCol w:w="2119"/>
        <w:gridCol w:w="2119"/>
        <w:gridCol w:w="1141"/>
      </w:tblGrid>
      <w:tr w:rsidR="00BC1D7C">
        <w:trPr>
          <w:trHeight w:val="350"/>
        </w:trPr>
        <w:tc>
          <w:tcPr>
            <w:tcW w:w="0" w:type="auto"/>
            <w:gridSpan w:val="2"/>
            <w:tcBorders>
              <w:top w:val="single" w:sz="4" w:space="0" w:color="auto"/>
              <w:bottom w:val="single" w:sz="4" w:space="0" w:color="auto"/>
            </w:tcBorders>
          </w:tcPr>
          <w:p w:rsidR="00BC1D7C" w:rsidRDefault="00232D84">
            <w:pPr>
              <w:spacing w:line="480" w:lineRule="auto"/>
              <w:jc w:val="both"/>
              <w:rPr>
                <w:rFonts w:ascii="Times New Roman" w:hAnsi="Times New Roman"/>
                <w:b/>
                <w:sz w:val="24"/>
                <w:szCs w:val="24"/>
              </w:rPr>
            </w:pPr>
            <w:r>
              <w:rPr>
                <w:rFonts w:ascii="Times New Roman" w:hAnsi="Times New Roman"/>
                <w:b/>
                <w:sz w:val="24"/>
                <w:szCs w:val="24"/>
              </w:rPr>
              <w:t>Variables</w:t>
            </w:r>
          </w:p>
        </w:tc>
        <w:tc>
          <w:tcPr>
            <w:tcW w:w="0" w:type="auto"/>
            <w:tcBorders>
              <w:top w:val="single" w:sz="4" w:space="0" w:color="auto"/>
              <w:bottom w:val="single" w:sz="4" w:space="0" w:color="auto"/>
            </w:tcBorders>
          </w:tcPr>
          <w:p w:rsidR="00BC1D7C" w:rsidRDefault="00232D84">
            <w:pPr>
              <w:spacing w:line="480" w:lineRule="auto"/>
              <w:jc w:val="both"/>
              <w:rPr>
                <w:rFonts w:ascii="Times New Roman" w:hAnsi="Times New Roman"/>
                <w:b/>
                <w:sz w:val="24"/>
                <w:szCs w:val="24"/>
              </w:rPr>
            </w:pPr>
            <w:r>
              <w:rPr>
                <w:rFonts w:ascii="Times New Roman" w:hAnsi="Times New Roman"/>
                <w:b/>
                <w:sz w:val="24"/>
                <w:szCs w:val="24"/>
              </w:rPr>
              <w:t xml:space="preserve">HG </w:t>
            </w:r>
          </w:p>
        </w:tc>
        <w:tc>
          <w:tcPr>
            <w:tcW w:w="0" w:type="auto"/>
            <w:tcBorders>
              <w:top w:val="single" w:sz="4" w:space="0" w:color="auto"/>
              <w:bottom w:val="single" w:sz="4" w:space="0" w:color="auto"/>
            </w:tcBorders>
          </w:tcPr>
          <w:p w:rsidR="00BC1D7C" w:rsidRDefault="00232D84">
            <w:pPr>
              <w:spacing w:line="480" w:lineRule="auto"/>
              <w:jc w:val="both"/>
              <w:rPr>
                <w:rFonts w:ascii="Times New Roman" w:hAnsi="Times New Roman"/>
                <w:b/>
                <w:sz w:val="24"/>
                <w:szCs w:val="24"/>
              </w:rPr>
            </w:pPr>
            <w:r>
              <w:rPr>
                <w:rFonts w:ascii="Times New Roman" w:hAnsi="Times New Roman"/>
                <w:b/>
                <w:sz w:val="24"/>
                <w:szCs w:val="24"/>
              </w:rPr>
              <w:t>Controls</w:t>
            </w:r>
          </w:p>
        </w:tc>
        <w:tc>
          <w:tcPr>
            <w:tcW w:w="0" w:type="auto"/>
            <w:tcBorders>
              <w:top w:val="single" w:sz="4" w:space="0" w:color="auto"/>
              <w:bottom w:val="single" w:sz="4" w:space="0" w:color="auto"/>
            </w:tcBorders>
          </w:tcPr>
          <w:p w:rsidR="00BC1D7C" w:rsidRDefault="00232D84">
            <w:pPr>
              <w:spacing w:line="480" w:lineRule="auto"/>
              <w:jc w:val="both"/>
              <w:rPr>
                <w:rFonts w:ascii="Times New Roman" w:hAnsi="Times New Roman"/>
                <w:b/>
                <w:sz w:val="24"/>
                <w:szCs w:val="24"/>
                <w:lang w:val="en-GB"/>
              </w:rPr>
            </w:pPr>
            <w:r>
              <w:rPr>
                <w:rFonts w:ascii="Times New Roman" w:hAnsi="Times New Roman"/>
                <w:b/>
                <w:i/>
                <w:iCs/>
                <w:sz w:val="24"/>
                <w:szCs w:val="24"/>
                <w:lang w:val="en-GB"/>
              </w:rPr>
              <w:t>P</w:t>
            </w:r>
          </w:p>
        </w:tc>
      </w:tr>
      <w:tr w:rsidR="00BC1D7C">
        <w:trPr>
          <w:trHeight w:val="287"/>
        </w:trPr>
        <w:tc>
          <w:tcPr>
            <w:tcW w:w="0" w:type="auto"/>
            <w:gridSpan w:val="2"/>
            <w:tcBorders>
              <w:top w:val="single" w:sz="4" w:space="0" w:color="auto"/>
            </w:tcBorders>
          </w:tcPr>
          <w:p w:rsidR="00BC1D7C" w:rsidRDefault="00232D84">
            <w:pPr>
              <w:spacing w:line="480" w:lineRule="auto"/>
              <w:jc w:val="both"/>
              <w:rPr>
                <w:rFonts w:ascii="Times New Roman" w:hAnsi="Times New Roman"/>
                <w:sz w:val="24"/>
                <w:szCs w:val="24"/>
              </w:rPr>
            </w:pPr>
            <w:r>
              <w:rPr>
                <w:rFonts w:ascii="Times New Roman" w:hAnsi="Times New Roman"/>
                <w:sz w:val="24"/>
                <w:szCs w:val="24"/>
              </w:rPr>
              <w:t>Age</w:t>
            </w:r>
          </w:p>
        </w:tc>
        <w:tc>
          <w:tcPr>
            <w:tcW w:w="0" w:type="auto"/>
            <w:tcBorders>
              <w:top w:val="single" w:sz="4" w:space="0" w:color="auto"/>
            </w:tcBorders>
          </w:tcPr>
          <w:p w:rsidR="00BC1D7C" w:rsidRDefault="00232D84">
            <w:pPr>
              <w:spacing w:line="480" w:lineRule="auto"/>
              <w:jc w:val="both"/>
              <w:rPr>
                <w:rFonts w:ascii="Times New Roman" w:hAnsi="Times New Roman"/>
                <w:sz w:val="24"/>
                <w:szCs w:val="24"/>
              </w:rPr>
            </w:pPr>
            <w:r>
              <w:rPr>
                <w:rFonts w:ascii="Times New Roman" w:hAnsi="Times New Roman"/>
                <w:sz w:val="24"/>
                <w:szCs w:val="24"/>
              </w:rPr>
              <w:t>33.5 ± 4.7</w:t>
            </w:r>
          </w:p>
        </w:tc>
        <w:tc>
          <w:tcPr>
            <w:tcW w:w="0" w:type="auto"/>
            <w:tcBorders>
              <w:top w:val="single" w:sz="4" w:space="0" w:color="auto"/>
            </w:tcBorders>
          </w:tcPr>
          <w:p w:rsidR="00BC1D7C" w:rsidRDefault="00232D84">
            <w:pPr>
              <w:spacing w:line="480" w:lineRule="auto"/>
              <w:jc w:val="both"/>
              <w:rPr>
                <w:rFonts w:ascii="Times New Roman" w:hAnsi="Times New Roman"/>
                <w:sz w:val="24"/>
                <w:szCs w:val="24"/>
              </w:rPr>
            </w:pPr>
            <w:r>
              <w:rPr>
                <w:rFonts w:ascii="Times New Roman" w:hAnsi="Times New Roman"/>
                <w:sz w:val="24"/>
                <w:szCs w:val="24"/>
              </w:rPr>
              <w:t>31.7 ± 6.3</w:t>
            </w:r>
          </w:p>
        </w:tc>
        <w:tc>
          <w:tcPr>
            <w:tcW w:w="0" w:type="auto"/>
            <w:tcBorders>
              <w:top w:val="single" w:sz="4" w:space="0" w:color="auto"/>
            </w:tcBorders>
          </w:tcPr>
          <w:p w:rsidR="00BC1D7C" w:rsidRDefault="00232D84">
            <w:pPr>
              <w:spacing w:line="480" w:lineRule="auto"/>
              <w:jc w:val="both"/>
              <w:rPr>
                <w:rFonts w:ascii="Times New Roman" w:hAnsi="Times New Roman"/>
                <w:sz w:val="24"/>
                <w:szCs w:val="24"/>
              </w:rPr>
            </w:pPr>
            <w:r>
              <w:rPr>
                <w:rFonts w:ascii="Times New Roman" w:hAnsi="Times New Roman"/>
                <w:sz w:val="24"/>
                <w:szCs w:val="24"/>
              </w:rPr>
              <w:t>.26*</w:t>
            </w:r>
          </w:p>
        </w:tc>
      </w:tr>
      <w:tr w:rsidR="00BC1D7C">
        <w:trPr>
          <w:trHeight w:val="233"/>
        </w:trPr>
        <w:tc>
          <w:tcPr>
            <w:tcW w:w="0" w:type="auto"/>
            <w:gridSpan w:val="2"/>
          </w:tcPr>
          <w:p w:rsidR="00BC1D7C" w:rsidRDefault="00232D84">
            <w:pPr>
              <w:spacing w:line="480" w:lineRule="auto"/>
              <w:jc w:val="both"/>
              <w:rPr>
                <w:rFonts w:ascii="Times New Roman" w:hAnsi="Times New Roman"/>
                <w:sz w:val="24"/>
                <w:szCs w:val="24"/>
              </w:rPr>
            </w:pPr>
            <w:r>
              <w:rPr>
                <w:rFonts w:ascii="Times New Roman" w:hAnsi="Times New Roman"/>
                <w:sz w:val="24"/>
                <w:szCs w:val="24"/>
              </w:rPr>
              <w:t>Gravidity</w:t>
            </w:r>
          </w:p>
        </w:tc>
        <w:tc>
          <w:tcPr>
            <w:tcW w:w="0" w:type="auto"/>
          </w:tcPr>
          <w:p w:rsidR="00BC1D7C" w:rsidRDefault="00232D84">
            <w:pPr>
              <w:spacing w:line="480" w:lineRule="auto"/>
              <w:jc w:val="both"/>
              <w:rPr>
                <w:rFonts w:ascii="Times New Roman" w:hAnsi="Times New Roman"/>
                <w:sz w:val="24"/>
                <w:szCs w:val="24"/>
              </w:rPr>
            </w:pPr>
            <w:r>
              <w:rPr>
                <w:rFonts w:ascii="Times New Roman" w:hAnsi="Times New Roman"/>
                <w:sz w:val="24"/>
                <w:szCs w:val="24"/>
              </w:rPr>
              <w:t>3 (1 – 6)</w:t>
            </w:r>
          </w:p>
        </w:tc>
        <w:tc>
          <w:tcPr>
            <w:tcW w:w="0" w:type="auto"/>
          </w:tcPr>
          <w:p w:rsidR="00BC1D7C" w:rsidRDefault="00232D84">
            <w:pPr>
              <w:spacing w:line="480" w:lineRule="auto"/>
              <w:jc w:val="both"/>
              <w:rPr>
                <w:rFonts w:ascii="Times New Roman" w:hAnsi="Times New Roman"/>
                <w:sz w:val="24"/>
                <w:szCs w:val="24"/>
              </w:rPr>
            </w:pPr>
            <w:r>
              <w:rPr>
                <w:rFonts w:ascii="Times New Roman" w:hAnsi="Times New Roman"/>
                <w:sz w:val="24"/>
                <w:szCs w:val="24"/>
              </w:rPr>
              <w:t>3 (1 – 5)</w:t>
            </w:r>
          </w:p>
        </w:tc>
        <w:tc>
          <w:tcPr>
            <w:tcW w:w="0" w:type="auto"/>
          </w:tcPr>
          <w:p w:rsidR="00BC1D7C" w:rsidRDefault="00232D84">
            <w:pPr>
              <w:spacing w:line="480" w:lineRule="auto"/>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lang w:val="en-GB"/>
              </w:rPr>
              <w:t>2</w:t>
            </w:r>
            <w:r>
              <w:rPr>
                <w:vertAlign w:val="superscript"/>
              </w:rPr>
              <w:t>†</w:t>
            </w:r>
          </w:p>
        </w:tc>
      </w:tr>
      <w:tr w:rsidR="00BC1D7C">
        <w:trPr>
          <w:trHeight w:val="332"/>
        </w:trPr>
        <w:tc>
          <w:tcPr>
            <w:tcW w:w="0" w:type="auto"/>
            <w:gridSpan w:val="2"/>
          </w:tcPr>
          <w:p w:rsidR="00BC1D7C" w:rsidRDefault="00232D84">
            <w:pPr>
              <w:spacing w:line="480" w:lineRule="auto"/>
              <w:jc w:val="both"/>
              <w:rPr>
                <w:rFonts w:ascii="Times New Roman" w:hAnsi="Times New Roman"/>
                <w:sz w:val="24"/>
                <w:szCs w:val="24"/>
              </w:rPr>
            </w:pPr>
            <w:r>
              <w:rPr>
                <w:rFonts w:ascii="Times New Roman" w:hAnsi="Times New Roman"/>
                <w:sz w:val="24"/>
                <w:szCs w:val="24"/>
              </w:rPr>
              <w:t>Parity</w:t>
            </w:r>
          </w:p>
        </w:tc>
        <w:tc>
          <w:tcPr>
            <w:tcW w:w="0" w:type="auto"/>
          </w:tcPr>
          <w:p w:rsidR="00BC1D7C" w:rsidRDefault="00232D84">
            <w:pPr>
              <w:spacing w:line="480" w:lineRule="auto"/>
              <w:jc w:val="both"/>
              <w:rPr>
                <w:rFonts w:ascii="Times New Roman" w:hAnsi="Times New Roman"/>
                <w:sz w:val="24"/>
                <w:szCs w:val="24"/>
              </w:rPr>
            </w:pPr>
            <w:r>
              <w:rPr>
                <w:rFonts w:ascii="Times New Roman" w:hAnsi="Times New Roman"/>
                <w:sz w:val="24"/>
                <w:szCs w:val="24"/>
              </w:rPr>
              <w:t>1 (0 – 3)</w:t>
            </w:r>
          </w:p>
        </w:tc>
        <w:tc>
          <w:tcPr>
            <w:tcW w:w="0" w:type="auto"/>
          </w:tcPr>
          <w:p w:rsidR="00BC1D7C" w:rsidRDefault="00232D84">
            <w:pPr>
              <w:spacing w:line="480" w:lineRule="auto"/>
              <w:jc w:val="both"/>
              <w:rPr>
                <w:rFonts w:ascii="Times New Roman" w:hAnsi="Times New Roman"/>
                <w:sz w:val="24"/>
                <w:szCs w:val="24"/>
              </w:rPr>
            </w:pPr>
            <w:r>
              <w:rPr>
                <w:rFonts w:ascii="Times New Roman" w:hAnsi="Times New Roman"/>
                <w:sz w:val="24"/>
                <w:szCs w:val="24"/>
              </w:rPr>
              <w:t>1 (0 – 4)</w:t>
            </w:r>
          </w:p>
        </w:tc>
        <w:tc>
          <w:tcPr>
            <w:tcW w:w="0" w:type="auto"/>
          </w:tcPr>
          <w:p w:rsidR="00BC1D7C" w:rsidRDefault="00232D84">
            <w:pPr>
              <w:spacing w:line="480" w:lineRule="auto"/>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lang w:val="en-GB"/>
              </w:rPr>
              <w:t>6</w:t>
            </w:r>
            <w:r>
              <w:rPr>
                <w:vertAlign w:val="superscript"/>
              </w:rPr>
              <w:t>†</w:t>
            </w:r>
          </w:p>
        </w:tc>
      </w:tr>
      <w:tr w:rsidR="00BC1D7C">
        <w:trPr>
          <w:trHeight w:val="278"/>
        </w:trPr>
        <w:tc>
          <w:tcPr>
            <w:tcW w:w="0" w:type="auto"/>
            <w:gridSpan w:val="2"/>
          </w:tcPr>
          <w:p w:rsidR="00BC1D7C" w:rsidRDefault="00232D84">
            <w:pPr>
              <w:spacing w:line="480" w:lineRule="auto"/>
              <w:jc w:val="both"/>
              <w:rPr>
                <w:rFonts w:ascii="Times New Roman" w:hAnsi="Times New Roman"/>
                <w:sz w:val="24"/>
                <w:szCs w:val="24"/>
              </w:rPr>
            </w:pPr>
            <w:r>
              <w:rPr>
                <w:rFonts w:ascii="Times New Roman" w:hAnsi="Times New Roman"/>
                <w:sz w:val="24"/>
                <w:szCs w:val="24"/>
              </w:rPr>
              <w:t>Gestational age</w:t>
            </w:r>
          </w:p>
        </w:tc>
        <w:tc>
          <w:tcPr>
            <w:tcW w:w="0" w:type="auto"/>
          </w:tcPr>
          <w:p w:rsidR="00BC1D7C" w:rsidRDefault="00232D84">
            <w:pPr>
              <w:spacing w:line="480" w:lineRule="auto"/>
              <w:jc w:val="both"/>
              <w:rPr>
                <w:rFonts w:ascii="Times New Roman" w:hAnsi="Times New Roman"/>
                <w:sz w:val="24"/>
                <w:szCs w:val="24"/>
              </w:rPr>
            </w:pPr>
            <w:r>
              <w:rPr>
                <w:rFonts w:ascii="Times New Roman" w:hAnsi="Times New Roman"/>
                <w:sz w:val="24"/>
                <w:szCs w:val="24"/>
              </w:rPr>
              <w:t>8.6 ± 2.0</w:t>
            </w:r>
          </w:p>
        </w:tc>
        <w:tc>
          <w:tcPr>
            <w:tcW w:w="0" w:type="auto"/>
          </w:tcPr>
          <w:p w:rsidR="00BC1D7C" w:rsidRDefault="00232D84">
            <w:pPr>
              <w:spacing w:line="480" w:lineRule="auto"/>
              <w:jc w:val="both"/>
              <w:rPr>
                <w:rFonts w:ascii="Times New Roman" w:hAnsi="Times New Roman"/>
                <w:sz w:val="24"/>
                <w:szCs w:val="24"/>
              </w:rPr>
            </w:pPr>
            <w:r>
              <w:rPr>
                <w:rFonts w:ascii="Times New Roman" w:hAnsi="Times New Roman"/>
                <w:sz w:val="24"/>
                <w:szCs w:val="24"/>
              </w:rPr>
              <w:t>8.7 ± 1.9</w:t>
            </w:r>
          </w:p>
        </w:tc>
        <w:tc>
          <w:tcPr>
            <w:tcW w:w="0" w:type="auto"/>
          </w:tcPr>
          <w:p w:rsidR="00BC1D7C" w:rsidRDefault="00232D84">
            <w:pPr>
              <w:spacing w:line="480" w:lineRule="auto"/>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lang w:val="en-GB"/>
              </w:rPr>
              <w:t>3</w:t>
            </w:r>
            <w:r>
              <w:rPr>
                <w:rFonts w:ascii="Times New Roman" w:hAnsi="Times New Roman"/>
                <w:sz w:val="24"/>
                <w:szCs w:val="24"/>
              </w:rPr>
              <w:t>*</w:t>
            </w:r>
          </w:p>
        </w:tc>
      </w:tr>
      <w:tr w:rsidR="00BC1D7C">
        <w:trPr>
          <w:trHeight w:val="305"/>
        </w:trPr>
        <w:tc>
          <w:tcPr>
            <w:tcW w:w="0" w:type="auto"/>
            <w:gridSpan w:val="2"/>
          </w:tcPr>
          <w:p w:rsidR="00BC1D7C" w:rsidRDefault="00232D84">
            <w:pPr>
              <w:spacing w:line="480" w:lineRule="auto"/>
              <w:jc w:val="both"/>
              <w:rPr>
                <w:rFonts w:ascii="Times New Roman" w:hAnsi="Times New Roman"/>
                <w:sz w:val="24"/>
                <w:szCs w:val="24"/>
              </w:rPr>
            </w:pPr>
            <w:r>
              <w:rPr>
                <w:rFonts w:ascii="Times New Roman" w:hAnsi="Times New Roman"/>
                <w:sz w:val="24"/>
                <w:szCs w:val="24"/>
              </w:rPr>
              <w:t>Educational status</w:t>
            </w:r>
          </w:p>
        </w:tc>
        <w:tc>
          <w:tcPr>
            <w:tcW w:w="0" w:type="auto"/>
          </w:tcPr>
          <w:p w:rsidR="00BC1D7C" w:rsidRDefault="00BC1D7C">
            <w:pPr>
              <w:spacing w:line="480" w:lineRule="auto"/>
              <w:jc w:val="both"/>
              <w:rPr>
                <w:rFonts w:ascii="Times New Roman" w:hAnsi="Times New Roman"/>
                <w:sz w:val="24"/>
                <w:szCs w:val="24"/>
              </w:rPr>
            </w:pPr>
          </w:p>
        </w:tc>
        <w:tc>
          <w:tcPr>
            <w:tcW w:w="0" w:type="auto"/>
          </w:tcPr>
          <w:p w:rsidR="00BC1D7C" w:rsidRDefault="00BC1D7C">
            <w:pPr>
              <w:spacing w:line="480" w:lineRule="auto"/>
              <w:jc w:val="both"/>
              <w:rPr>
                <w:rFonts w:ascii="Times New Roman" w:hAnsi="Times New Roman"/>
                <w:sz w:val="24"/>
                <w:szCs w:val="24"/>
              </w:rPr>
            </w:pPr>
          </w:p>
        </w:tc>
        <w:tc>
          <w:tcPr>
            <w:tcW w:w="0" w:type="auto"/>
          </w:tcPr>
          <w:p w:rsidR="00BC1D7C" w:rsidRDefault="00232D84">
            <w:pPr>
              <w:spacing w:line="480" w:lineRule="auto"/>
              <w:jc w:val="both"/>
              <w:rPr>
                <w:rFonts w:ascii="Times New Roman" w:hAnsi="Times New Roman"/>
                <w:sz w:val="24"/>
                <w:szCs w:val="24"/>
                <w:u w:val="single"/>
              </w:rPr>
            </w:pPr>
            <w:r>
              <w:rPr>
                <w:rFonts w:ascii="Times New Roman" w:hAnsi="Times New Roman"/>
                <w:sz w:val="24"/>
                <w:szCs w:val="24"/>
              </w:rPr>
              <w:t>.6</w:t>
            </w:r>
            <w:r>
              <w:rPr>
                <w:rFonts w:ascii="Times New Roman" w:hAnsi="Times New Roman"/>
                <w:sz w:val="24"/>
                <w:szCs w:val="24"/>
                <w:lang w:val="en-GB"/>
              </w:rPr>
              <w:t>9</w:t>
            </w:r>
            <w:r>
              <w:rPr>
                <w:vertAlign w:val="superscript"/>
              </w:rPr>
              <w:t>‡</w:t>
            </w:r>
          </w:p>
        </w:tc>
      </w:tr>
      <w:tr w:rsidR="00BC1D7C">
        <w:trPr>
          <w:trHeight w:val="413"/>
        </w:trPr>
        <w:tc>
          <w:tcPr>
            <w:tcW w:w="1049" w:type="dxa"/>
          </w:tcPr>
          <w:p w:rsidR="00BC1D7C" w:rsidRDefault="00BC1D7C">
            <w:pPr>
              <w:spacing w:line="480" w:lineRule="auto"/>
              <w:jc w:val="both"/>
              <w:rPr>
                <w:rFonts w:ascii="Times New Roman" w:hAnsi="Times New Roman"/>
                <w:sz w:val="24"/>
                <w:szCs w:val="24"/>
              </w:rPr>
            </w:pPr>
          </w:p>
        </w:tc>
        <w:tc>
          <w:tcPr>
            <w:tcW w:w="2659" w:type="dxa"/>
          </w:tcPr>
          <w:p w:rsidR="00BC1D7C" w:rsidRDefault="00232D84">
            <w:pPr>
              <w:spacing w:line="480" w:lineRule="auto"/>
              <w:jc w:val="both"/>
              <w:rPr>
                <w:rFonts w:ascii="Times New Roman" w:hAnsi="Times New Roman"/>
                <w:sz w:val="24"/>
                <w:szCs w:val="24"/>
              </w:rPr>
            </w:pPr>
            <w:r>
              <w:rPr>
                <w:rFonts w:ascii="Times New Roman" w:hAnsi="Times New Roman"/>
                <w:sz w:val="24"/>
                <w:szCs w:val="24"/>
              </w:rPr>
              <w:t>No formal education</w:t>
            </w:r>
          </w:p>
        </w:tc>
        <w:tc>
          <w:tcPr>
            <w:tcW w:w="0" w:type="auto"/>
          </w:tcPr>
          <w:p w:rsidR="00BC1D7C" w:rsidRDefault="00232D84">
            <w:pPr>
              <w:spacing w:line="480" w:lineRule="auto"/>
              <w:jc w:val="both"/>
              <w:rPr>
                <w:rFonts w:ascii="Times New Roman" w:hAnsi="Times New Roman"/>
                <w:sz w:val="24"/>
                <w:szCs w:val="24"/>
              </w:rPr>
            </w:pPr>
            <w:r>
              <w:rPr>
                <w:rFonts w:ascii="Times New Roman" w:hAnsi="Times New Roman"/>
                <w:sz w:val="24"/>
                <w:szCs w:val="24"/>
              </w:rPr>
              <w:t>1 (2.2%)</w:t>
            </w:r>
          </w:p>
        </w:tc>
        <w:tc>
          <w:tcPr>
            <w:tcW w:w="0" w:type="auto"/>
          </w:tcPr>
          <w:p w:rsidR="00BC1D7C" w:rsidRDefault="00232D84">
            <w:pPr>
              <w:spacing w:line="480" w:lineRule="auto"/>
              <w:jc w:val="both"/>
              <w:rPr>
                <w:rFonts w:ascii="Times New Roman" w:hAnsi="Times New Roman"/>
                <w:sz w:val="24"/>
                <w:szCs w:val="24"/>
              </w:rPr>
            </w:pPr>
            <w:r>
              <w:rPr>
                <w:rFonts w:ascii="Times New Roman" w:hAnsi="Times New Roman"/>
                <w:sz w:val="24"/>
                <w:szCs w:val="24"/>
              </w:rPr>
              <w:t>1 (2.2%)</w:t>
            </w:r>
          </w:p>
        </w:tc>
        <w:tc>
          <w:tcPr>
            <w:tcW w:w="0" w:type="auto"/>
          </w:tcPr>
          <w:p w:rsidR="00BC1D7C" w:rsidRDefault="00BC1D7C">
            <w:pPr>
              <w:spacing w:line="480" w:lineRule="auto"/>
              <w:jc w:val="both"/>
              <w:rPr>
                <w:rFonts w:ascii="Times New Roman" w:hAnsi="Times New Roman"/>
                <w:sz w:val="24"/>
                <w:szCs w:val="24"/>
              </w:rPr>
            </w:pPr>
          </w:p>
        </w:tc>
      </w:tr>
      <w:tr w:rsidR="00BC1D7C">
        <w:trPr>
          <w:trHeight w:val="260"/>
        </w:trPr>
        <w:tc>
          <w:tcPr>
            <w:tcW w:w="1049" w:type="dxa"/>
          </w:tcPr>
          <w:p w:rsidR="00BC1D7C" w:rsidRDefault="00BC1D7C">
            <w:pPr>
              <w:spacing w:line="480" w:lineRule="auto"/>
              <w:jc w:val="both"/>
              <w:rPr>
                <w:rFonts w:ascii="Times New Roman" w:hAnsi="Times New Roman"/>
                <w:sz w:val="24"/>
                <w:szCs w:val="24"/>
              </w:rPr>
            </w:pPr>
          </w:p>
        </w:tc>
        <w:tc>
          <w:tcPr>
            <w:tcW w:w="2659" w:type="dxa"/>
          </w:tcPr>
          <w:p w:rsidR="00BC1D7C" w:rsidRDefault="00232D84">
            <w:pPr>
              <w:spacing w:line="480" w:lineRule="auto"/>
              <w:jc w:val="both"/>
              <w:rPr>
                <w:rFonts w:ascii="Times New Roman" w:hAnsi="Times New Roman"/>
                <w:sz w:val="24"/>
                <w:szCs w:val="24"/>
              </w:rPr>
            </w:pPr>
            <w:r>
              <w:rPr>
                <w:rFonts w:ascii="Times New Roman" w:hAnsi="Times New Roman"/>
                <w:sz w:val="24"/>
                <w:szCs w:val="24"/>
              </w:rPr>
              <w:t>Primary</w:t>
            </w:r>
          </w:p>
        </w:tc>
        <w:tc>
          <w:tcPr>
            <w:tcW w:w="0" w:type="auto"/>
          </w:tcPr>
          <w:p w:rsidR="00BC1D7C" w:rsidRDefault="00232D84">
            <w:pPr>
              <w:spacing w:line="480" w:lineRule="auto"/>
              <w:jc w:val="both"/>
              <w:rPr>
                <w:rFonts w:ascii="Times New Roman" w:hAnsi="Times New Roman"/>
                <w:sz w:val="24"/>
                <w:szCs w:val="24"/>
              </w:rPr>
            </w:pPr>
            <w:r>
              <w:rPr>
                <w:rFonts w:ascii="Times New Roman" w:hAnsi="Times New Roman"/>
                <w:sz w:val="24"/>
                <w:szCs w:val="24"/>
              </w:rPr>
              <w:t>3 (6.7%)</w:t>
            </w:r>
          </w:p>
        </w:tc>
        <w:tc>
          <w:tcPr>
            <w:tcW w:w="0" w:type="auto"/>
          </w:tcPr>
          <w:p w:rsidR="00BC1D7C" w:rsidRDefault="00232D84">
            <w:pPr>
              <w:spacing w:line="480" w:lineRule="auto"/>
              <w:jc w:val="both"/>
              <w:rPr>
                <w:rFonts w:ascii="Times New Roman" w:hAnsi="Times New Roman"/>
                <w:sz w:val="24"/>
                <w:szCs w:val="24"/>
              </w:rPr>
            </w:pPr>
            <w:r>
              <w:rPr>
                <w:rFonts w:ascii="Times New Roman" w:hAnsi="Times New Roman"/>
                <w:sz w:val="24"/>
                <w:szCs w:val="24"/>
              </w:rPr>
              <w:t>5 (11.1%)</w:t>
            </w:r>
          </w:p>
        </w:tc>
        <w:tc>
          <w:tcPr>
            <w:tcW w:w="0" w:type="auto"/>
          </w:tcPr>
          <w:p w:rsidR="00BC1D7C" w:rsidRDefault="00BC1D7C">
            <w:pPr>
              <w:spacing w:line="480" w:lineRule="auto"/>
              <w:jc w:val="both"/>
              <w:rPr>
                <w:rFonts w:ascii="Times New Roman" w:hAnsi="Times New Roman"/>
                <w:sz w:val="24"/>
                <w:szCs w:val="24"/>
              </w:rPr>
            </w:pPr>
          </w:p>
        </w:tc>
      </w:tr>
      <w:tr w:rsidR="00BC1D7C">
        <w:trPr>
          <w:trHeight w:val="287"/>
        </w:trPr>
        <w:tc>
          <w:tcPr>
            <w:tcW w:w="1049" w:type="dxa"/>
          </w:tcPr>
          <w:p w:rsidR="00BC1D7C" w:rsidRDefault="00BC1D7C">
            <w:pPr>
              <w:spacing w:line="480" w:lineRule="auto"/>
              <w:jc w:val="both"/>
              <w:rPr>
                <w:rFonts w:ascii="Times New Roman" w:hAnsi="Times New Roman"/>
                <w:sz w:val="24"/>
                <w:szCs w:val="24"/>
              </w:rPr>
            </w:pPr>
          </w:p>
        </w:tc>
        <w:tc>
          <w:tcPr>
            <w:tcW w:w="2659" w:type="dxa"/>
          </w:tcPr>
          <w:p w:rsidR="00BC1D7C" w:rsidRDefault="00232D84">
            <w:pPr>
              <w:spacing w:line="480" w:lineRule="auto"/>
              <w:jc w:val="both"/>
              <w:rPr>
                <w:rFonts w:ascii="Times New Roman" w:hAnsi="Times New Roman"/>
                <w:sz w:val="24"/>
                <w:szCs w:val="24"/>
              </w:rPr>
            </w:pPr>
            <w:r>
              <w:rPr>
                <w:rFonts w:ascii="Times New Roman" w:hAnsi="Times New Roman"/>
                <w:sz w:val="24"/>
                <w:szCs w:val="24"/>
              </w:rPr>
              <w:t>Secondary</w:t>
            </w:r>
          </w:p>
        </w:tc>
        <w:tc>
          <w:tcPr>
            <w:tcW w:w="0" w:type="auto"/>
          </w:tcPr>
          <w:p w:rsidR="00BC1D7C" w:rsidRDefault="00232D84">
            <w:pPr>
              <w:spacing w:line="480" w:lineRule="auto"/>
              <w:jc w:val="both"/>
              <w:rPr>
                <w:rFonts w:ascii="Times New Roman" w:hAnsi="Times New Roman"/>
                <w:sz w:val="24"/>
                <w:szCs w:val="24"/>
              </w:rPr>
            </w:pPr>
            <w:r>
              <w:rPr>
                <w:rFonts w:ascii="Times New Roman" w:hAnsi="Times New Roman"/>
                <w:sz w:val="24"/>
                <w:szCs w:val="24"/>
              </w:rPr>
              <w:t>12 (26.7%)</w:t>
            </w:r>
          </w:p>
        </w:tc>
        <w:tc>
          <w:tcPr>
            <w:tcW w:w="0" w:type="auto"/>
          </w:tcPr>
          <w:p w:rsidR="00BC1D7C" w:rsidRDefault="00232D84">
            <w:pPr>
              <w:spacing w:line="480" w:lineRule="auto"/>
              <w:jc w:val="both"/>
              <w:rPr>
                <w:rFonts w:ascii="Times New Roman" w:hAnsi="Times New Roman"/>
                <w:sz w:val="24"/>
                <w:szCs w:val="24"/>
              </w:rPr>
            </w:pPr>
            <w:r>
              <w:rPr>
                <w:rFonts w:ascii="Times New Roman" w:hAnsi="Times New Roman"/>
                <w:sz w:val="24"/>
                <w:szCs w:val="24"/>
              </w:rPr>
              <w:t>11 (24.4%)</w:t>
            </w:r>
          </w:p>
        </w:tc>
        <w:tc>
          <w:tcPr>
            <w:tcW w:w="0" w:type="auto"/>
          </w:tcPr>
          <w:p w:rsidR="00BC1D7C" w:rsidRDefault="00BC1D7C">
            <w:pPr>
              <w:spacing w:line="480" w:lineRule="auto"/>
              <w:jc w:val="both"/>
              <w:rPr>
                <w:rFonts w:ascii="Times New Roman" w:hAnsi="Times New Roman"/>
                <w:sz w:val="24"/>
                <w:szCs w:val="24"/>
              </w:rPr>
            </w:pPr>
          </w:p>
        </w:tc>
      </w:tr>
      <w:tr w:rsidR="00BC1D7C">
        <w:trPr>
          <w:trHeight w:val="233"/>
        </w:trPr>
        <w:tc>
          <w:tcPr>
            <w:tcW w:w="1049" w:type="dxa"/>
          </w:tcPr>
          <w:p w:rsidR="00BC1D7C" w:rsidRDefault="00BC1D7C">
            <w:pPr>
              <w:spacing w:line="480" w:lineRule="auto"/>
              <w:jc w:val="both"/>
              <w:rPr>
                <w:rFonts w:ascii="Times New Roman" w:hAnsi="Times New Roman"/>
                <w:sz w:val="24"/>
                <w:szCs w:val="24"/>
              </w:rPr>
            </w:pPr>
          </w:p>
        </w:tc>
        <w:tc>
          <w:tcPr>
            <w:tcW w:w="2659" w:type="dxa"/>
          </w:tcPr>
          <w:p w:rsidR="00BC1D7C" w:rsidRDefault="00232D84">
            <w:pPr>
              <w:spacing w:line="480" w:lineRule="auto"/>
              <w:jc w:val="both"/>
              <w:rPr>
                <w:rFonts w:ascii="Times New Roman" w:hAnsi="Times New Roman"/>
                <w:sz w:val="24"/>
                <w:szCs w:val="24"/>
              </w:rPr>
            </w:pPr>
            <w:r>
              <w:rPr>
                <w:rFonts w:ascii="Times New Roman" w:hAnsi="Times New Roman"/>
                <w:sz w:val="24"/>
                <w:szCs w:val="24"/>
              </w:rPr>
              <w:t>Tertiary</w:t>
            </w:r>
          </w:p>
        </w:tc>
        <w:tc>
          <w:tcPr>
            <w:tcW w:w="0" w:type="auto"/>
          </w:tcPr>
          <w:p w:rsidR="00BC1D7C" w:rsidRDefault="00232D84">
            <w:pPr>
              <w:spacing w:line="480" w:lineRule="auto"/>
              <w:jc w:val="both"/>
              <w:rPr>
                <w:rFonts w:ascii="Times New Roman" w:hAnsi="Times New Roman"/>
                <w:sz w:val="24"/>
                <w:szCs w:val="24"/>
              </w:rPr>
            </w:pPr>
            <w:r>
              <w:rPr>
                <w:rFonts w:ascii="Times New Roman" w:hAnsi="Times New Roman"/>
                <w:sz w:val="24"/>
                <w:szCs w:val="24"/>
              </w:rPr>
              <w:t>29 (64.4%)</w:t>
            </w:r>
          </w:p>
        </w:tc>
        <w:tc>
          <w:tcPr>
            <w:tcW w:w="0" w:type="auto"/>
          </w:tcPr>
          <w:p w:rsidR="00BC1D7C" w:rsidRDefault="00232D84">
            <w:pPr>
              <w:spacing w:line="480" w:lineRule="auto"/>
              <w:jc w:val="both"/>
              <w:rPr>
                <w:rFonts w:ascii="Times New Roman" w:hAnsi="Times New Roman"/>
                <w:sz w:val="24"/>
                <w:szCs w:val="24"/>
              </w:rPr>
            </w:pPr>
            <w:r>
              <w:rPr>
                <w:rFonts w:ascii="Times New Roman" w:hAnsi="Times New Roman"/>
                <w:sz w:val="24"/>
                <w:szCs w:val="24"/>
              </w:rPr>
              <w:t>28 (62.2%)</w:t>
            </w:r>
          </w:p>
        </w:tc>
        <w:tc>
          <w:tcPr>
            <w:tcW w:w="0" w:type="auto"/>
          </w:tcPr>
          <w:p w:rsidR="00BC1D7C" w:rsidRDefault="00BC1D7C">
            <w:pPr>
              <w:spacing w:line="480" w:lineRule="auto"/>
              <w:jc w:val="both"/>
              <w:rPr>
                <w:rFonts w:ascii="Times New Roman" w:hAnsi="Times New Roman"/>
                <w:sz w:val="24"/>
                <w:szCs w:val="24"/>
              </w:rPr>
            </w:pPr>
          </w:p>
        </w:tc>
      </w:tr>
      <w:tr w:rsidR="00BC1D7C">
        <w:trPr>
          <w:trHeight w:val="152"/>
        </w:trPr>
        <w:tc>
          <w:tcPr>
            <w:tcW w:w="0" w:type="auto"/>
            <w:gridSpan w:val="2"/>
          </w:tcPr>
          <w:p w:rsidR="00BC1D7C" w:rsidRDefault="00232D84">
            <w:pPr>
              <w:spacing w:line="480" w:lineRule="auto"/>
              <w:jc w:val="both"/>
              <w:rPr>
                <w:rFonts w:ascii="Times New Roman" w:hAnsi="Times New Roman"/>
                <w:sz w:val="24"/>
                <w:szCs w:val="24"/>
              </w:rPr>
            </w:pPr>
            <w:r>
              <w:rPr>
                <w:rFonts w:ascii="Times New Roman" w:hAnsi="Times New Roman"/>
                <w:sz w:val="24"/>
                <w:szCs w:val="24"/>
              </w:rPr>
              <w:t>Occupation</w:t>
            </w:r>
          </w:p>
        </w:tc>
        <w:tc>
          <w:tcPr>
            <w:tcW w:w="0" w:type="auto"/>
          </w:tcPr>
          <w:p w:rsidR="00BC1D7C" w:rsidRDefault="00BC1D7C">
            <w:pPr>
              <w:spacing w:line="480" w:lineRule="auto"/>
              <w:jc w:val="both"/>
              <w:rPr>
                <w:rFonts w:ascii="Times New Roman" w:hAnsi="Times New Roman"/>
                <w:sz w:val="24"/>
                <w:szCs w:val="24"/>
              </w:rPr>
            </w:pPr>
          </w:p>
        </w:tc>
        <w:tc>
          <w:tcPr>
            <w:tcW w:w="0" w:type="auto"/>
          </w:tcPr>
          <w:p w:rsidR="00BC1D7C" w:rsidRDefault="00BC1D7C">
            <w:pPr>
              <w:spacing w:line="480" w:lineRule="auto"/>
              <w:jc w:val="both"/>
              <w:rPr>
                <w:rFonts w:ascii="Times New Roman" w:hAnsi="Times New Roman"/>
                <w:sz w:val="24"/>
                <w:szCs w:val="24"/>
              </w:rPr>
            </w:pPr>
          </w:p>
        </w:tc>
        <w:tc>
          <w:tcPr>
            <w:tcW w:w="0" w:type="auto"/>
          </w:tcPr>
          <w:p w:rsidR="00BC1D7C" w:rsidRDefault="00232D84">
            <w:pPr>
              <w:spacing w:line="480" w:lineRule="auto"/>
              <w:jc w:val="both"/>
              <w:rPr>
                <w:rFonts w:ascii="Times New Roman" w:hAnsi="Times New Roman"/>
                <w:sz w:val="24"/>
                <w:szCs w:val="24"/>
              </w:rPr>
            </w:pPr>
            <w:r>
              <w:rPr>
                <w:rFonts w:ascii="Times New Roman" w:hAnsi="Times New Roman"/>
                <w:sz w:val="24"/>
                <w:szCs w:val="24"/>
              </w:rPr>
              <w:t>0.5</w:t>
            </w:r>
            <w:r>
              <w:rPr>
                <w:rFonts w:ascii="Times New Roman" w:hAnsi="Times New Roman"/>
                <w:sz w:val="24"/>
                <w:szCs w:val="24"/>
                <w:lang w:val="en-GB"/>
              </w:rPr>
              <w:t>9</w:t>
            </w:r>
            <w:r>
              <w:rPr>
                <w:vertAlign w:val="superscript"/>
              </w:rPr>
              <w:t>‡</w:t>
            </w:r>
          </w:p>
        </w:tc>
      </w:tr>
      <w:tr w:rsidR="00BC1D7C">
        <w:trPr>
          <w:trHeight w:val="368"/>
        </w:trPr>
        <w:tc>
          <w:tcPr>
            <w:tcW w:w="0" w:type="auto"/>
          </w:tcPr>
          <w:p w:rsidR="00BC1D7C" w:rsidRDefault="00BC1D7C">
            <w:pPr>
              <w:spacing w:line="480" w:lineRule="auto"/>
              <w:ind w:left="108"/>
              <w:jc w:val="both"/>
              <w:rPr>
                <w:rFonts w:ascii="Times New Roman" w:hAnsi="Times New Roman"/>
                <w:sz w:val="24"/>
                <w:szCs w:val="24"/>
              </w:rPr>
            </w:pPr>
          </w:p>
        </w:tc>
        <w:tc>
          <w:tcPr>
            <w:tcW w:w="0" w:type="auto"/>
          </w:tcPr>
          <w:p w:rsidR="00BC1D7C" w:rsidRDefault="00232D84">
            <w:pPr>
              <w:spacing w:line="480" w:lineRule="auto"/>
              <w:ind w:left="108"/>
              <w:jc w:val="both"/>
              <w:rPr>
                <w:rFonts w:ascii="Times New Roman" w:hAnsi="Times New Roman"/>
                <w:sz w:val="24"/>
                <w:szCs w:val="24"/>
              </w:rPr>
            </w:pPr>
            <w:r>
              <w:rPr>
                <w:rFonts w:ascii="Times New Roman" w:hAnsi="Times New Roman"/>
                <w:sz w:val="24"/>
                <w:szCs w:val="24"/>
              </w:rPr>
              <w:t>Civil servant</w:t>
            </w:r>
          </w:p>
        </w:tc>
        <w:tc>
          <w:tcPr>
            <w:tcW w:w="0" w:type="auto"/>
          </w:tcPr>
          <w:p w:rsidR="00BC1D7C" w:rsidRDefault="00232D84">
            <w:pPr>
              <w:spacing w:line="480" w:lineRule="auto"/>
              <w:ind w:left="108"/>
              <w:jc w:val="both"/>
              <w:rPr>
                <w:rFonts w:ascii="Times New Roman" w:hAnsi="Times New Roman"/>
                <w:sz w:val="24"/>
                <w:szCs w:val="24"/>
              </w:rPr>
            </w:pPr>
            <w:r>
              <w:rPr>
                <w:rFonts w:ascii="Times New Roman" w:hAnsi="Times New Roman"/>
                <w:sz w:val="24"/>
                <w:szCs w:val="24"/>
              </w:rPr>
              <w:t>8 (17.8%)</w:t>
            </w:r>
          </w:p>
        </w:tc>
        <w:tc>
          <w:tcPr>
            <w:tcW w:w="0" w:type="auto"/>
          </w:tcPr>
          <w:p w:rsidR="00BC1D7C" w:rsidRDefault="00232D84">
            <w:pPr>
              <w:spacing w:line="480" w:lineRule="auto"/>
              <w:ind w:left="108"/>
              <w:jc w:val="both"/>
              <w:rPr>
                <w:rFonts w:ascii="Times New Roman" w:hAnsi="Times New Roman"/>
                <w:sz w:val="24"/>
                <w:szCs w:val="24"/>
              </w:rPr>
            </w:pPr>
            <w:r>
              <w:rPr>
                <w:rFonts w:ascii="Times New Roman" w:hAnsi="Times New Roman"/>
                <w:sz w:val="24"/>
                <w:szCs w:val="24"/>
              </w:rPr>
              <w:t>11 (24.4%)</w:t>
            </w:r>
          </w:p>
        </w:tc>
        <w:tc>
          <w:tcPr>
            <w:tcW w:w="0" w:type="auto"/>
          </w:tcPr>
          <w:p w:rsidR="00BC1D7C" w:rsidRDefault="00BC1D7C">
            <w:pPr>
              <w:spacing w:line="480" w:lineRule="auto"/>
              <w:jc w:val="both"/>
              <w:rPr>
                <w:rFonts w:ascii="Times New Roman" w:hAnsi="Times New Roman"/>
                <w:sz w:val="24"/>
                <w:szCs w:val="24"/>
              </w:rPr>
            </w:pPr>
          </w:p>
        </w:tc>
      </w:tr>
      <w:tr w:rsidR="00BC1D7C">
        <w:trPr>
          <w:trHeight w:val="305"/>
        </w:trPr>
        <w:tc>
          <w:tcPr>
            <w:tcW w:w="0" w:type="auto"/>
          </w:tcPr>
          <w:p w:rsidR="00BC1D7C" w:rsidRDefault="00BC1D7C">
            <w:pPr>
              <w:spacing w:line="480" w:lineRule="auto"/>
              <w:ind w:left="108"/>
              <w:jc w:val="both"/>
              <w:rPr>
                <w:rFonts w:ascii="Times New Roman" w:hAnsi="Times New Roman"/>
                <w:sz w:val="24"/>
                <w:szCs w:val="24"/>
              </w:rPr>
            </w:pPr>
          </w:p>
        </w:tc>
        <w:tc>
          <w:tcPr>
            <w:tcW w:w="0" w:type="auto"/>
          </w:tcPr>
          <w:p w:rsidR="00BC1D7C" w:rsidRDefault="00232D84">
            <w:pPr>
              <w:spacing w:line="480" w:lineRule="auto"/>
              <w:ind w:left="108"/>
              <w:jc w:val="both"/>
              <w:rPr>
                <w:rFonts w:ascii="Times New Roman" w:hAnsi="Times New Roman"/>
                <w:sz w:val="24"/>
                <w:szCs w:val="24"/>
              </w:rPr>
            </w:pPr>
            <w:r>
              <w:rPr>
                <w:rFonts w:ascii="Times New Roman" w:hAnsi="Times New Roman"/>
                <w:sz w:val="24"/>
                <w:szCs w:val="24"/>
              </w:rPr>
              <w:t>Self employed</w:t>
            </w:r>
          </w:p>
        </w:tc>
        <w:tc>
          <w:tcPr>
            <w:tcW w:w="0" w:type="auto"/>
          </w:tcPr>
          <w:p w:rsidR="00BC1D7C" w:rsidRDefault="00232D84">
            <w:pPr>
              <w:spacing w:line="480" w:lineRule="auto"/>
              <w:ind w:left="108"/>
              <w:jc w:val="both"/>
              <w:rPr>
                <w:rFonts w:ascii="Times New Roman" w:hAnsi="Times New Roman"/>
                <w:sz w:val="24"/>
                <w:szCs w:val="24"/>
              </w:rPr>
            </w:pPr>
            <w:r>
              <w:rPr>
                <w:rFonts w:ascii="Times New Roman" w:hAnsi="Times New Roman"/>
                <w:sz w:val="24"/>
                <w:szCs w:val="24"/>
              </w:rPr>
              <w:t>36 (80.0%)</w:t>
            </w:r>
          </w:p>
        </w:tc>
        <w:tc>
          <w:tcPr>
            <w:tcW w:w="0" w:type="auto"/>
          </w:tcPr>
          <w:p w:rsidR="00BC1D7C" w:rsidRDefault="00232D84">
            <w:pPr>
              <w:spacing w:line="480" w:lineRule="auto"/>
              <w:ind w:left="108"/>
              <w:jc w:val="both"/>
              <w:rPr>
                <w:rFonts w:ascii="Times New Roman" w:hAnsi="Times New Roman"/>
                <w:sz w:val="24"/>
                <w:szCs w:val="24"/>
              </w:rPr>
            </w:pPr>
            <w:r>
              <w:rPr>
                <w:rFonts w:ascii="Times New Roman" w:hAnsi="Times New Roman"/>
                <w:sz w:val="24"/>
                <w:szCs w:val="24"/>
              </w:rPr>
              <w:t>32 (71.1%)</w:t>
            </w:r>
          </w:p>
        </w:tc>
        <w:tc>
          <w:tcPr>
            <w:tcW w:w="0" w:type="auto"/>
          </w:tcPr>
          <w:p w:rsidR="00BC1D7C" w:rsidRDefault="00BC1D7C">
            <w:pPr>
              <w:spacing w:line="480" w:lineRule="auto"/>
              <w:jc w:val="both"/>
              <w:rPr>
                <w:rFonts w:ascii="Times New Roman" w:hAnsi="Times New Roman"/>
                <w:sz w:val="24"/>
                <w:szCs w:val="24"/>
              </w:rPr>
            </w:pPr>
          </w:p>
        </w:tc>
      </w:tr>
      <w:tr w:rsidR="00BC1D7C">
        <w:trPr>
          <w:trHeight w:val="242"/>
        </w:trPr>
        <w:tc>
          <w:tcPr>
            <w:tcW w:w="0" w:type="auto"/>
          </w:tcPr>
          <w:p w:rsidR="00BC1D7C" w:rsidRDefault="00BC1D7C">
            <w:pPr>
              <w:spacing w:line="480" w:lineRule="auto"/>
              <w:ind w:left="108"/>
              <w:jc w:val="both"/>
              <w:rPr>
                <w:rFonts w:ascii="Times New Roman" w:hAnsi="Times New Roman"/>
                <w:sz w:val="24"/>
                <w:szCs w:val="24"/>
              </w:rPr>
            </w:pPr>
          </w:p>
        </w:tc>
        <w:tc>
          <w:tcPr>
            <w:tcW w:w="0" w:type="auto"/>
          </w:tcPr>
          <w:p w:rsidR="00BC1D7C" w:rsidRDefault="00232D84">
            <w:pPr>
              <w:spacing w:line="480" w:lineRule="auto"/>
              <w:ind w:left="108"/>
              <w:jc w:val="both"/>
              <w:rPr>
                <w:rFonts w:ascii="Times New Roman" w:hAnsi="Times New Roman"/>
                <w:sz w:val="24"/>
                <w:szCs w:val="24"/>
              </w:rPr>
            </w:pPr>
            <w:r>
              <w:rPr>
                <w:rFonts w:ascii="Times New Roman" w:hAnsi="Times New Roman"/>
                <w:sz w:val="24"/>
                <w:szCs w:val="24"/>
              </w:rPr>
              <w:t>Student</w:t>
            </w:r>
          </w:p>
        </w:tc>
        <w:tc>
          <w:tcPr>
            <w:tcW w:w="0" w:type="auto"/>
          </w:tcPr>
          <w:p w:rsidR="00BC1D7C" w:rsidRDefault="00232D84">
            <w:pPr>
              <w:spacing w:line="480" w:lineRule="auto"/>
              <w:ind w:left="108"/>
              <w:jc w:val="both"/>
              <w:rPr>
                <w:rFonts w:ascii="Times New Roman" w:hAnsi="Times New Roman"/>
                <w:sz w:val="24"/>
                <w:szCs w:val="24"/>
              </w:rPr>
            </w:pPr>
            <w:r>
              <w:rPr>
                <w:rFonts w:ascii="Times New Roman" w:hAnsi="Times New Roman"/>
                <w:sz w:val="24"/>
                <w:szCs w:val="24"/>
              </w:rPr>
              <w:t>1 (2.2%)</w:t>
            </w:r>
          </w:p>
        </w:tc>
        <w:tc>
          <w:tcPr>
            <w:tcW w:w="0" w:type="auto"/>
          </w:tcPr>
          <w:p w:rsidR="00BC1D7C" w:rsidRDefault="00232D84">
            <w:pPr>
              <w:spacing w:line="480" w:lineRule="auto"/>
              <w:ind w:left="108"/>
              <w:jc w:val="both"/>
              <w:rPr>
                <w:rFonts w:ascii="Times New Roman" w:hAnsi="Times New Roman"/>
                <w:sz w:val="24"/>
                <w:szCs w:val="24"/>
              </w:rPr>
            </w:pPr>
            <w:r>
              <w:rPr>
                <w:rFonts w:ascii="Times New Roman" w:hAnsi="Times New Roman"/>
                <w:sz w:val="24"/>
                <w:szCs w:val="24"/>
              </w:rPr>
              <w:t>2 (4.4%)</w:t>
            </w:r>
          </w:p>
        </w:tc>
        <w:tc>
          <w:tcPr>
            <w:tcW w:w="0" w:type="auto"/>
          </w:tcPr>
          <w:p w:rsidR="00BC1D7C" w:rsidRDefault="00BC1D7C">
            <w:pPr>
              <w:spacing w:line="480" w:lineRule="auto"/>
              <w:jc w:val="both"/>
              <w:rPr>
                <w:rFonts w:ascii="Times New Roman" w:hAnsi="Times New Roman"/>
                <w:sz w:val="24"/>
                <w:szCs w:val="24"/>
              </w:rPr>
            </w:pPr>
          </w:p>
        </w:tc>
      </w:tr>
      <w:tr w:rsidR="00BC1D7C">
        <w:trPr>
          <w:trHeight w:val="260"/>
        </w:trPr>
        <w:tc>
          <w:tcPr>
            <w:tcW w:w="0" w:type="auto"/>
            <w:gridSpan w:val="2"/>
            <w:tcBorders>
              <w:bottom w:val="single" w:sz="4" w:space="0" w:color="auto"/>
            </w:tcBorders>
          </w:tcPr>
          <w:p w:rsidR="00BC1D7C" w:rsidRDefault="00232D84">
            <w:pPr>
              <w:spacing w:line="480" w:lineRule="auto"/>
              <w:jc w:val="both"/>
              <w:rPr>
                <w:rFonts w:ascii="Times New Roman" w:hAnsi="Times New Roman"/>
                <w:sz w:val="24"/>
                <w:szCs w:val="24"/>
              </w:rPr>
            </w:pPr>
            <w:r>
              <w:rPr>
                <w:rFonts w:ascii="Times New Roman" w:hAnsi="Times New Roman"/>
                <w:sz w:val="24"/>
                <w:szCs w:val="24"/>
              </w:rPr>
              <w:t>BMI</w:t>
            </w:r>
          </w:p>
        </w:tc>
        <w:tc>
          <w:tcPr>
            <w:tcW w:w="0" w:type="auto"/>
            <w:tcBorders>
              <w:bottom w:val="single" w:sz="4" w:space="0" w:color="auto"/>
            </w:tcBorders>
          </w:tcPr>
          <w:p w:rsidR="00BC1D7C" w:rsidRDefault="00232D84">
            <w:pPr>
              <w:spacing w:line="480" w:lineRule="auto"/>
              <w:jc w:val="both"/>
              <w:rPr>
                <w:rFonts w:ascii="Times New Roman" w:hAnsi="Times New Roman"/>
                <w:sz w:val="24"/>
                <w:szCs w:val="24"/>
              </w:rPr>
            </w:pPr>
            <w:r>
              <w:rPr>
                <w:rFonts w:ascii="Times New Roman" w:hAnsi="Times New Roman"/>
                <w:sz w:val="24"/>
                <w:szCs w:val="24"/>
              </w:rPr>
              <w:t>23.0 ± 3.5</w:t>
            </w:r>
          </w:p>
        </w:tc>
        <w:tc>
          <w:tcPr>
            <w:tcW w:w="0" w:type="auto"/>
            <w:tcBorders>
              <w:bottom w:val="single" w:sz="4" w:space="0" w:color="auto"/>
            </w:tcBorders>
          </w:tcPr>
          <w:p w:rsidR="00BC1D7C" w:rsidRDefault="00232D84">
            <w:pPr>
              <w:spacing w:line="480" w:lineRule="auto"/>
              <w:jc w:val="both"/>
              <w:rPr>
                <w:rFonts w:ascii="Times New Roman" w:hAnsi="Times New Roman"/>
                <w:sz w:val="24"/>
                <w:szCs w:val="24"/>
              </w:rPr>
            </w:pPr>
            <w:r>
              <w:rPr>
                <w:rFonts w:ascii="Times New Roman" w:hAnsi="Times New Roman"/>
                <w:sz w:val="24"/>
                <w:szCs w:val="24"/>
              </w:rPr>
              <w:t>24.8 ± 4.2</w:t>
            </w:r>
          </w:p>
        </w:tc>
        <w:tc>
          <w:tcPr>
            <w:tcW w:w="0" w:type="auto"/>
            <w:tcBorders>
              <w:bottom w:val="single" w:sz="4" w:space="0" w:color="auto"/>
            </w:tcBorders>
          </w:tcPr>
          <w:p w:rsidR="00BC1D7C" w:rsidRDefault="00232D84">
            <w:pPr>
              <w:spacing w:line="480" w:lineRule="auto"/>
              <w:jc w:val="both"/>
              <w:rPr>
                <w:rFonts w:ascii="Times New Roman" w:hAnsi="Times New Roman"/>
                <w:sz w:val="24"/>
                <w:szCs w:val="24"/>
              </w:rPr>
            </w:pPr>
            <w:r>
              <w:rPr>
                <w:rFonts w:ascii="Times New Roman" w:hAnsi="Times New Roman"/>
                <w:sz w:val="24"/>
                <w:szCs w:val="24"/>
              </w:rPr>
              <w:t>0.0</w:t>
            </w:r>
            <w:r>
              <w:rPr>
                <w:rFonts w:ascii="Times New Roman" w:hAnsi="Times New Roman"/>
                <w:sz w:val="24"/>
                <w:szCs w:val="24"/>
                <w:lang w:val="en-GB"/>
              </w:rPr>
              <w:t>4</w:t>
            </w:r>
            <w:r>
              <w:rPr>
                <w:rFonts w:ascii="Times New Roman" w:hAnsi="Times New Roman"/>
                <w:sz w:val="24"/>
                <w:szCs w:val="24"/>
              </w:rPr>
              <w:t>*</w:t>
            </w:r>
          </w:p>
        </w:tc>
      </w:tr>
    </w:tbl>
    <w:p w:rsidR="00BC1D7C" w:rsidRDefault="00232D84">
      <w:pPr>
        <w:spacing w:line="480" w:lineRule="auto"/>
        <w:jc w:val="both"/>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 Independent samples t-test</w:t>
      </w:r>
    </w:p>
    <w:p w:rsidR="00BC1D7C" w:rsidRDefault="00232D84">
      <w:pPr>
        <w:spacing w:line="480" w:lineRule="auto"/>
        <w:jc w:val="both"/>
      </w:pPr>
      <w:r>
        <w:t>† Mann–Whitney U test.</w:t>
      </w:r>
    </w:p>
    <w:p w:rsidR="00BC1D7C" w:rsidRDefault="00232D84">
      <w:pPr>
        <w:pStyle w:val="Body"/>
        <w:spacing w:after="0"/>
      </w:pPr>
      <w:r>
        <w:t>‡ Chi-square</w:t>
      </w:r>
    </w:p>
    <w:p w:rsidR="00BC1D7C" w:rsidRDefault="00BC1D7C">
      <w:pPr>
        <w:pStyle w:val="Body"/>
        <w:spacing w:after="0"/>
      </w:pPr>
    </w:p>
    <w:p w:rsidR="00BC1D7C" w:rsidRDefault="00BC1D7C">
      <w:pPr>
        <w:pStyle w:val="Body"/>
        <w:spacing w:after="0"/>
      </w:pPr>
    </w:p>
    <w:p w:rsidR="00BC1D7C" w:rsidRDefault="00232D84">
      <w:pPr>
        <w:pStyle w:val="Body"/>
        <w:spacing w:after="0"/>
        <w:rPr>
          <w:rFonts w:ascii="Arial" w:hAnsi="Arial"/>
        </w:rPr>
      </w:pPr>
      <w:r>
        <w:rPr>
          <w:rFonts w:ascii="Arial" w:hAnsi="Arial"/>
        </w:rPr>
        <w:t xml:space="preserve"> Table 2 shows the comparison of Leptin, </w:t>
      </w:r>
      <w:proofErr w:type="spellStart"/>
      <w:r>
        <w:rPr>
          <w:rFonts w:ascii="Arial" w:hAnsi="Arial"/>
        </w:rPr>
        <w:t>hsCRP</w:t>
      </w:r>
      <w:proofErr w:type="spellEnd"/>
      <w:r>
        <w:rPr>
          <w:rFonts w:ascii="Arial" w:hAnsi="Arial"/>
        </w:rPr>
        <w:t xml:space="preserve"> and oxidative stress makers between test and controls. The test group has a higher leptin (p &lt; 0.01), </w:t>
      </w:r>
      <w:proofErr w:type="spellStart"/>
      <w:r>
        <w:rPr>
          <w:rFonts w:ascii="Arial" w:hAnsi="Arial"/>
        </w:rPr>
        <w:t>hsCRP</w:t>
      </w:r>
      <w:proofErr w:type="spellEnd"/>
      <w:r>
        <w:rPr>
          <w:rFonts w:ascii="Arial" w:hAnsi="Arial"/>
        </w:rPr>
        <w:t xml:space="preserve"> (p &lt; 0.005), TAS (p &lt; 0.05) and </w:t>
      </w:r>
      <w:proofErr w:type="spellStart"/>
      <w:r>
        <w:rPr>
          <w:rFonts w:ascii="Arial" w:hAnsi="Arial"/>
        </w:rPr>
        <w:t>GPx</w:t>
      </w:r>
      <w:proofErr w:type="spellEnd"/>
      <w:r>
        <w:rPr>
          <w:rFonts w:ascii="Arial" w:hAnsi="Arial"/>
        </w:rPr>
        <w:t xml:space="preserve"> (p &lt; 0.005) compared to control, while there was no significant difference in the mean value of MDA between the two groups.</w:t>
      </w:r>
    </w:p>
    <w:p w:rsidR="00BC1D7C" w:rsidRDefault="00BC1D7C">
      <w:pPr>
        <w:pStyle w:val="Body"/>
        <w:spacing w:after="0"/>
        <w:rPr>
          <w:rFonts w:ascii="Arial" w:hAnsi="Arial"/>
        </w:rPr>
      </w:pPr>
    </w:p>
    <w:p w:rsidR="00BC1D7C" w:rsidRDefault="00232D84">
      <w:pPr>
        <w:spacing w:line="480" w:lineRule="auto"/>
        <w:jc w:val="both"/>
        <w:rPr>
          <w:rFonts w:ascii="Arial" w:hAnsi="Arial" w:cs="Arial"/>
          <w:b/>
          <w:sz w:val="22"/>
          <w:szCs w:val="22"/>
        </w:rPr>
      </w:pPr>
      <w:r>
        <w:rPr>
          <w:rFonts w:ascii="Arial" w:hAnsi="Arial" w:cs="Arial"/>
          <w:b/>
          <w:sz w:val="22"/>
          <w:szCs w:val="22"/>
        </w:rPr>
        <w:t>Table 2: Comparison of biochemical parameters between test and control group</w:t>
      </w:r>
    </w:p>
    <w:tbl>
      <w:tblPr>
        <w:tblpPr w:leftFromText="180" w:rightFromText="180" w:vertAnchor="text" w:tblpX="-36" w:tblpY="1"/>
        <w:tblOverlap w:val="never"/>
        <w:tblW w:w="0" w:type="auto"/>
        <w:tblBorders>
          <w:top w:val="single" w:sz="4" w:space="0" w:color="auto"/>
        </w:tblBorders>
        <w:tblLayout w:type="fixed"/>
        <w:tblLook w:val="04A0" w:firstRow="1" w:lastRow="0" w:firstColumn="1" w:lastColumn="0" w:noHBand="0" w:noVBand="1"/>
      </w:tblPr>
      <w:tblGrid>
        <w:gridCol w:w="2189"/>
        <w:gridCol w:w="1842"/>
        <w:gridCol w:w="1950"/>
        <w:gridCol w:w="3251"/>
      </w:tblGrid>
      <w:tr w:rsidR="00BC1D7C">
        <w:trPr>
          <w:trHeight w:val="434"/>
        </w:trPr>
        <w:tc>
          <w:tcPr>
            <w:tcW w:w="2189" w:type="dxa"/>
            <w:tcBorders>
              <w:top w:val="single" w:sz="4" w:space="0" w:color="auto"/>
              <w:bottom w:val="single" w:sz="4" w:space="0" w:color="auto"/>
            </w:tcBorders>
          </w:tcPr>
          <w:p w:rsidR="00BC1D7C" w:rsidRDefault="00BC1D7C">
            <w:pPr>
              <w:spacing w:after="120" w:line="480" w:lineRule="auto"/>
              <w:jc w:val="both"/>
              <w:rPr>
                <w:rFonts w:ascii="Times New Roman" w:hAnsi="Times New Roman"/>
                <w:sz w:val="24"/>
                <w:szCs w:val="24"/>
              </w:rPr>
            </w:pPr>
          </w:p>
        </w:tc>
        <w:tc>
          <w:tcPr>
            <w:tcW w:w="1842" w:type="dxa"/>
            <w:tcBorders>
              <w:top w:val="single" w:sz="4" w:space="0" w:color="auto"/>
              <w:bottom w:val="single" w:sz="4" w:space="0" w:color="auto"/>
            </w:tcBorders>
          </w:tcPr>
          <w:p w:rsidR="00BC1D7C" w:rsidRDefault="00232D84">
            <w:pPr>
              <w:spacing w:after="120" w:line="480" w:lineRule="auto"/>
              <w:jc w:val="both"/>
              <w:rPr>
                <w:rFonts w:ascii="Times New Roman" w:hAnsi="Times New Roman"/>
                <w:sz w:val="24"/>
                <w:szCs w:val="24"/>
              </w:rPr>
            </w:pPr>
            <w:r>
              <w:rPr>
                <w:rFonts w:ascii="Times New Roman" w:hAnsi="Times New Roman"/>
                <w:sz w:val="24"/>
                <w:szCs w:val="24"/>
              </w:rPr>
              <w:t>HG</w:t>
            </w:r>
            <w:r>
              <w:rPr>
                <w:vertAlign w:val="superscript"/>
              </w:rPr>
              <w:t>§</w:t>
            </w:r>
            <w:r>
              <w:rPr>
                <w:rFonts w:ascii="Times New Roman" w:hAnsi="Times New Roman"/>
                <w:sz w:val="24"/>
                <w:szCs w:val="24"/>
              </w:rPr>
              <w:t xml:space="preserve"> </w:t>
            </w:r>
          </w:p>
        </w:tc>
        <w:tc>
          <w:tcPr>
            <w:tcW w:w="1950" w:type="dxa"/>
            <w:tcBorders>
              <w:top w:val="single" w:sz="4" w:space="0" w:color="auto"/>
              <w:bottom w:val="single" w:sz="4" w:space="0" w:color="auto"/>
            </w:tcBorders>
          </w:tcPr>
          <w:p w:rsidR="00BC1D7C" w:rsidRDefault="00232D84">
            <w:pPr>
              <w:spacing w:after="120" w:line="480" w:lineRule="auto"/>
              <w:jc w:val="both"/>
              <w:rPr>
                <w:rFonts w:ascii="Times New Roman" w:hAnsi="Times New Roman"/>
                <w:sz w:val="24"/>
                <w:szCs w:val="24"/>
              </w:rPr>
            </w:pPr>
            <w:r>
              <w:rPr>
                <w:rFonts w:ascii="Times New Roman" w:hAnsi="Times New Roman"/>
                <w:sz w:val="24"/>
                <w:szCs w:val="24"/>
              </w:rPr>
              <w:t>Control</w:t>
            </w:r>
          </w:p>
        </w:tc>
        <w:tc>
          <w:tcPr>
            <w:tcW w:w="3251" w:type="dxa"/>
            <w:tcBorders>
              <w:top w:val="single" w:sz="4" w:space="0" w:color="auto"/>
              <w:bottom w:val="single" w:sz="4" w:space="0" w:color="auto"/>
            </w:tcBorders>
          </w:tcPr>
          <w:p w:rsidR="00BC1D7C" w:rsidRDefault="00232D84">
            <w:pPr>
              <w:spacing w:after="120" w:line="480" w:lineRule="auto"/>
              <w:jc w:val="both"/>
              <w:rPr>
                <w:rFonts w:ascii="Times New Roman" w:hAnsi="Times New Roman"/>
                <w:sz w:val="24"/>
                <w:szCs w:val="24"/>
              </w:rPr>
            </w:pPr>
            <w:r>
              <w:rPr>
                <w:rFonts w:ascii="Times New Roman" w:hAnsi="Times New Roman"/>
                <w:i/>
                <w:iCs/>
                <w:sz w:val="24"/>
                <w:szCs w:val="24"/>
              </w:rPr>
              <w:t>P</w:t>
            </w:r>
            <w:r>
              <w:rPr>
                <w:rFonts w:ascii="Times New Roman" w:hAnsi="Times New Roman"/>
                <w:sz w:val="24"/>
                <w:szCs w:val="24"/>
              </w:rPr>
              <w:t xml:space="preserve"> (Student’s t-test)</w:t>
            </w:r>
          </w:p>
        </w:tc>
      </w:tr>
      <w:tr w:rsidR="00BC1D7C">
        <w:trPr>
          <w:trHeight w:val="362"/>
        </w:trPr>
        <w:tc>
          <w:tcPr>
            <w:tcW w:w="2189" w:type="dxa"/>
            <w:tcBorders>
              <w:top w:val="single" w:sz="4" w:space="0" w:color="auto"/>
            </w:tcBorders>
          </w:tcPr>
          <w:p w:rsidR="00BC1D7C" w:rsidRDefault="00232D84">
            <w:pPr>
              <w:spacing w:after="120" w:line="480" w:lineRule="auto"/>
              <w:jc w:val="both"/>
              <w:rPr>
                <w:rFonts w:ascii="Times New Roman" w:hAnsi="Times New Roman"/>
                <w:sz w:val="24"/>
                <w:szCs w:val="24"/>
              </w:rPr>
            </w:pPr>
            <w:r>
              <w:rPr>
                <w:rFonts w:ascii="Times New Roman" w:hAnsi="Times New Roman"/>
                <w:sz w:val="24"/>
                <w:szCs w:val="24"/>
              </w:rPr>
              <w:t>Leptin (ng/ml)</w:t>
            </w:r>
          </w:p>
        </w:tc>
        <w:tc>
          <w:tcPr>
            <w:tcW w:w="1842" w:type="dxa"/>
            <w:tcBorders>
              <w:top w:val="single" w:sz="4" w:space="0" w:color="auto"/>
            </w:tcBorders>
          </w:tcPr>
          <w:p w:rsidR="00BC1D7C" w:rsidRDefault="00232D84">
            <w:pPr>
              <w:spacing w:after="120" w:line="480" w:lineRule="auto"/>
              <w:jc w:val="both"/>
              <w:rPr>
                <w:rFonts w:ascii="Times New Roman" w:hAnsi="Times New Roman"/>
                <w:sz w:val="24"/>
                <w:szCs w:val="24"/>
              </w:rPr>
            </w:pPr>
            <w:r>
              <w:rPr>
                <w:rFonts w:ascii="Times New Roman" w:hAnsi="Times New Roman"/>
                <w:sz w:val="24"/>
                <w:szCs w:val="24"/>
                <w:lang w:val="en-GB"/>
              </w:rPr>
              <w:t xml:space="preserve">6.1 </w:t>
            </w:r>
            <w:r>
              <w:rPr>
                <w:rFonts w:ascii="Times New Roman" w:hAnsi="Times New Roman"/>
                <w:sz w:val="24"/>
                <w:szCs w:val="24"/>
              </w:rPr>
              <w:t>±</w:t>
            </w:r>
            <w:r>
              <w:rPr>
                <w:rFonts w:ascii="Times New Roman" w:hAnsi="Times New Roman"/>
                <w:sz w:val="24"/>
                <w:szCs w:val="24"/>
                <w:lang w:val="en-GB"/>
              </w:rPr>
              <w:t xml:space="preserve"> 1.26</w:t>
            </w:r>
          </w:p>
        </w:tc>
        <w:tc>
          <w:tcPr>
            <w:tcW w:w="1950" w:type="dxa"/>
            <w:tcBorders>
              <w:top w:val="single" w:sz="4" w:space="0" w:color="auto"/>
            </w:tcBorders>
          </w:tcPr>
          <w:p w:rsidR="00BC1D7C" w:rsidRDefault="00232D84">
            <w:pPr>
              <w:spacing w:after="120" w:line="48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lang w:val="en-GB"/>
              </w:rPr>
              <w:t>.</w:t>
            </w:r>
            <w:r>
              <w:rPr>
                <w:rFonts w:ascii="Times New Roman" w:hAnsi="Times New Roman"/>
                <w:sz w:val="24"/>
                <w:szCs w:val="24"/>
              </w:rPr>
              <w:t>0</w:t>
            </w:r>
            <w:r>
              <w:rPr>
                <w:rFonts w:ascii="Times New Roman" w:hAnsi="Times New Roman"/>
                <w:sz w:val="24"/>
                <w:szCs w:val="24"/>
                <w:lang w:val="en-GB"/>
              </w:rPr>
              <w:t xml:space="preserve"> </w:t>
            </w:r>
            <w:r>
              <w:rPr>
                <w:rFonts w:ascii="Times New Roman" w:hAnsi="Times New Roman"/>
                <w:sz w:val="24"/>
                <w:szCs w:val="24"/>
              </w:rPr>
              <w:t>±</w:t>
            </w:r>
            <w:r>
              <w:rPr>
                <w:rFonts w:ascii="Times New Roman" w:hAnsi="Times New Roman"/>
                <w:sz w:val="24"/>
                <w:szCs w:val="24"/>
                <w:lang w:val="en-GB"/>
              </w:rPr>
              <w:t xml:space="preserve"> 1.</w:t>
            </w:r>
            <w:r>
              <w:rPr>
                <w:rFonts w:ascii="Times New Roman" w:hAnsi="Times New Roman"/>
                <w:sz w:val="24"/>
                <w:szCs w:val="24"/>
              </w:rPr>
              <w:t>14</w:t>
            </w:r>
          </w:p>
        </w:tc>
        <w:tc>
          <w:tcPr>
            <w:tcW w:w="3251" w:type="dxa"/>
            <w:tcBorders>
              <w:top w:val="single" w:sz="4" w:space="0" w:color="auto"/>
            </w:tcBorders>
          </w:tcPr>
          <w:p w:rsidR="00BC1D7C" w:rsidRDefault="00232D84">
            <w:pPr>
              <w:spacing w:after="120" w:line="480" w:lineRule="auto"/>
              <w:jc w:val="both"/>
              <w:rPr>
                <w:rFonts w:ascii="Times New Roman" w:hAnsi="Times New Roman"/>
                <w:sz w:val="24"/>
                <w:szCs w:val="24"/>
              </w:rPr>
            </w:pPr>
            <w:r>
              <w:rPr>
                <w:rFonts w:ascii="Times New Roman" w:hAnsi="Times New Roman"/>
                <w:sz w:val="24"/>
                <w:szCs w:val="24"/>
              </w:rPr>
              <w:t>.005</w:t>
            </w:r>
          </w:p>
        </w:tc>
      </w:tr>
      <w:tr w:rsidR="00BC1D7C">
        <w:trPr>
          <w:trHeight w:val="384"/>
        </w:trPr>
        <w:tc>
          <w:tcPr>
            <w:tcW w:w="2189" w:type="dxa"/>
          </w:tcPr>
          <w:p w:rsidR="00BC1D7C" w:rsidRDefault="00232D84">
            <w:pPr>
              <w:spacing w:after="120" w:line="480" w:lineRule="auto"/>
              <w:jc w:val="both"/>
              <w:rPr>
                <w:rFonts w:ascii="Times New Roman" w:hAnsi="Times New Roman"/>
                <w:sz w:val="24"/>
                <w:szCs w:val="24"/>
              </w:rPr>
            </w:pPr>
            <w:proofErr w:type="spellStart"/>
            <w:r>
              <w:rPr>
                <w:rFonts w:ascii="Times New Roman" w:hAnsi="Times New Roman"/>
                <w:sz w:val="24"/>
                <w:szCs w:val="24"/>
              </w:rPr>
              <w:t>hsCRP</w:t>
            </w:r>
            <w:proofErr w:type="spellEnd"/>
            <w:r>
              <w:rPr>
                <w:rFonts w:ascii="Times New Roman" w:hAnsi="Times New Roman"/>
                <w:sz w:val="24"/>
                <w:szCs w:val="24"/>
              </w:rPr>
              <w:t xml:space="preserve"> (mg/L)</w:t>
            </w:r>
          </w:p>
        </w:tc>
        <w:tc>
          <w:tcPr>
            <w:tcW w:w="1842" w:type="dxa"/>
          </w:tcPr>
          <w:p w:rsidR="00BC1D7C" w:rsidRDefault="00232D84">
            <w:pPr>
              <w:spacing w:after="120" w:line="480" w:lineRule="auto"/>
              <w:jc w:val="both"/>
              <w:rPr>
                <w:rFonts w:ascii="Times New Roman" w:hAnsi="Times New Roman"/>
                <w:sz w:val="24"/>
                <w:szCs w:val="24"/>
              </w:rPr>
            </w:pPr>
            <w:r>
              <w:rPr>
                <w:rFonts w:ascii="Times New Roman" w:hAnsi="Times New Roman"/>
                <w:sz w:val="24"/>
                <w:szCs w:val="24"/>
              </w:rPr>
              <w:t>9.48±2.12</w:t>
            </w:r>
          </w:p>
        </w:tc>
        <w:tc>
          <w:tcPr>
            <w:tcW w:w="1950" w:type="dxa"/>
          </w:tcPr>
          <w:p w:rsidR="00BC1D7C" w:rsidRDefault="00232D84">
            <w:pPr>
              <w:spacing w:after="120" w:line="480" w:lineRule="auto"/>
              <w:jc w:val="both"/>
              <w:rPr>
                <w:rFonts w:ascii="Times New Roman" w:hAnsi="Times New Roman"/>
                <w:sz w:val="24"/>
                <w:szCs w:val="24"/>
              </w:rPr>
            </w:pPr>
            <w:r>
              <w:rPr>
                <w:rFonts w:ascii="Times New Roman" w:hAnsi="Times New Roman"/>
                <w:sz w:val="24"/>
                <w:szCs w:val="24"/>
              </w:rPr>
              <w:t>6.12±1.24</w:t>
            </w:r>
          </w:p>
        </w:tc>
        <w:tc>
          <w:tcPr>
            <w:tcW w:w="3251" w:type="dxa"/>
          </w:tcPr>
          <w:p w:rsidR="00BC1D7C" w:rsidRDefault="00232D84">
            <w:pPr>
              <w:spacing w:after="120" w:line="480" w:lineRule="auto"/>
              <w:jc w:val="both"/>
              <w:rPr>
                <w:rFonts w:ascii="Times New Roman" w:hAnsi="Times New Roman"/>
                <w:sz w:val="24"/>
                <w:szCs w:val="24"/>
              </w:rPr>
            </w:pPr>
            <w:r>
              <w:rPr>
                <w:rFonts w:ascii="Times New Roman" w:hAnsi="Times New Roman"/>
                <w:sz w:val="24"/>
                <w:szCs w:val="24"/>
              </w:rPr>
              <w:t>.004</w:t>
            </w:r>
          </w:p>
        </w:tc>
      </w:tr>
      <w:tr w:rsidR="00BC1D7C">
        <w:trPr>
          <w:trHeight w:val="384"/>
        </w:trPr>
        <w:tc>
          <w:tcPr>
            <w:tcW w:w="2189" w:type="dxa"/>
          </w:tcPr>
          <w:p w:rsidR="00BC1D7C" w:rsidRDefault="00232D84">
            <w:pPr>
              <w:spacing w:after="120" w:line="480" w:lineRule="auto"/>
              <w:jc w:val="both"/>
              <w:rPr>
                <w:rFonts w:ascii="Times New Roman" w:hAnsi="Times New Roman"/>
                <w:sz w:val="24"/>
                <w:szCs w:val="24"/>
              </w:rPr>
            </w:pPr>
            <w:r>
              <w:rPr>
                <w:rFonts w:ascii="Times New Roman" w:hAnsi="Times New Roman"/>
                <w:sz w:val="24"/>
                <w:szCs w:val="24"/>
              </w:rPr>
              <w:t>TAS</w:t>
            </w:r>
          </w:p>
        </w:tc>
        <w:tc>
          <w:tcPr>
            <w:tcW w:w="1842" w:type="dxa"/>
          </w:tcPr>
          <w:p w:rsidR="00BC1D7C" w:rsidRDefault="00232D84">
            <w:pPr>
              <w:spacing w:after="120" w:line="480" w:lineRule="auto"/>
              <w:jc w:val="both"/>
              <w:rPr>
                <w:rFonts w:ascii="Times New Roman" w:hAnsi="Times New Roman"/>
                <w:sz w:val="24"/>
                <w:szCs w:val="24"/>
              </w:rPr>
            </w:pPr>
            <w:r>
              <w:rPr>
                <w:rFonts w:ascii="Times New Roman" w:hAnsi="Times New Roman"/>
                <w:sz w:val="24"/>
                <w:szCs w:val="24"/>
              </w:rPr>
              <w:t>3.12±0.74</w:t>
            </w:r>
          </w:p>
        </w:tc>
        <w:tc>
          <w:tcPr>
            <w:tcW w:w="1950" w:type="dxa"/>
          </w:tcPr>
          <w:p w:rsidR="00BC1D7C" w:rsidRDefault="00232D84">
            <w:pPr>
              <w:spacing w:after="120" w:line="480" w:lineRule="auto"/>
              <w:jc w:val="both"/>
              <w:rPr>
                <w:rFonts w:ascii="Times New Roman" w:hAnsi="Times New Roman"/>
                <w:sz w:val="24"/>
                <w:szCs w:val="24"/>
              </w:rPr>
            </w:pPr>
            <w:r>
              <w:rPr>
                <w:rFonts w:ascii="Times New Roman" w:hAnsi="Times New Roman"/>
                <w:sz w:val="24"/>
                <w:szCs w:val="24"/>
              </w:rPr>
              <w:t>2.45±0.65</w:t>
            </w:r>
          </w:p>
        </w:tc>
        <w:tc>
          <w:tcPr>
            <w:tcW w:w="3251" w:type="dxa"/>
          </w:tcPr>
          <w:p w:rsidR="00BC1D7C" w:rsidRDefault="00232D84">
            <w:pPr>
              <w:spacing w:after="120" w:line="480" w:lineRule="auto"/>
              <w:jc w:val="both"/>
              <w:rPr>
                <w:rFonts w:ascii="Times New Roman" w:hAnsi="Times New Roman"/>
                <w:sz w:val="24"/>
                <w:szCs w:val="24"/>
              </w:rPr>
            </w:pPr>
            <w:r>
              <w:rPr>
                <w:rFonts w:ascii="Times New Roman" w:hAnsi="Times New Roman"/>
                <w:sz w:val="24"/>
                <w:szCs w:val="24"/>
              </w:rPr>
              <w:t>.03</w:t>
            </w:r>
          </w:p>
        </w:tc>
      </w:tr>
      <w:tr w:rsidR="00BC1D7C">
        <w:trPr>
          <w:trHeight w:val="384"/>
        </w:trPr>
        <w:tc>
          <w:tcPr>
            <w:tcW w:w="2189" w:type="dxa"/>
            <w:tcBorders>
              <w:bottom w:val="nil"/>
            </w:tcBorders>
          </w:tcPr>
          <w:p w:rsidR="00BC1D7C" w:rsidRDefault="00232D84">
            <w:pPr>
              <w:spacing w:after="120" w:line="480" w:lineRule="auto"/>
              <w:jc w:val="both"/>
              <w:rPr>
                <w:rFonts w:ascii="Times New Roman" w:hAnsi="Times New Roman"/>
                <w:sz w:val="24"/>
                <w:szCs w:val="24"/>
              </w:rPr>
            </w:pPr>
            <w:proofErr w:type="gramStart"/>
            <w:r>
              <w:rPr>
                <w:rFonts w:ascii="Times New Roman" w:hAnsi="Times New Roman"/>
                <w:sz w:val="24"/>
                <w:szCs w:val="24"/>
              </w:rPr>
              <w:t>MDA</w:t>
            </w:r>
            <w:r>
              <w:rPr>
                <w:rFonts w:ascii="Times New Roman" w:eastAsia="Arial" w:hAnsi="Times New Roman"/>
                <w:sz w:val="24"/>
                <w:szCs w:val="24"/>
              </w:rPr>
              <w:t>(</w:t>
            </w:r>
            <w:proofErr w:type="gramEnd"/>
            <w:r>
              <w:rPr>
                <w:rFonts w:ascii="Times New Roman" w:eastAsia="Arial" w:hAnsi="Times New Roman"/>
                <w:sz w:val="24"/>
                <w:szCs w:val="24"/>
              </w:rPr>
              <w:t>nmol/ml)</w:t>
            </w:r>
          </w:p>
        </w:tc>
        <w:tc>
          <w:tcPr>
            <w:tcW w:w="1842" w:type="dxa"/>
            <w:tcBorders>
              <w:bottom w:val="nil"/>
            </w:tcBorders>
          </w:tcPr>
          <w:p w:rsidR="00BC1D7C" w:rsidRDefault="00232D84">
            <w:pPr>
              <w:spacing w:after="120" w:line="480" w:lineRule="auto"/>
              <w:jc w:val="both"/>
              <w:rPr>
                <w:rFonts w:ascii="Times New Roman" w:hAnsi="Times New Roman"/>
                <w:sz w:val="24"/>
                <w:szCs w:val="24"/>
              </w:rPr>
            </w:pPr>
            <w:r>
              <w:rPr>
                <w:rFonts w:ascii="Times New Roman" w:hAnsi="Times New Roman"/>
                <w:sz w:val="24"/>
                <w:szCs w:val="24"/>
              </w:rPr>
              <w:t>7.59±2.8</w:t>
            </w:r>
          </w:p>
        </w:tc>
        <w:tc>
          <w:tcPr>
            <w:tcW w:w="1950" w:type="dxa"/>
            <w:tcBorders>
              <w:bottom w:val="nil"/>
            </w:tcBorders>
          </w:tcPr>
          <w:p w:rsidR="00BC1D7C" w:rsidRDefault="00232D84">
            <w:pPr>
              <w:spacing w:after="120" w:line="480" w:lineRule="auto"/>
              <w:jc w:val="both"/>
              <w:rPr>
                <w:rFonts w:ascii="Times New Roman" w:hAnsi="Times New Roman"/>
                <w:sz w:val="24"/>
                <w:szCs w:val="24"/>
              </w:rPr>
            </w:pPr>
            <w:r>
              <w:rPr>
                <w:rFonts w:ascii="Times New Roman" w:hAnsi="Times New Roman"/>
                <w:sz w:val="24"/>
                <w:szCs w:val="24"/>
              </w:rPr>
              <w:t>8.03±3.05</w:t>
            </w:r>
          </w:p>
        </w:tc>
        <w:tc>
          <w:tcPr>
            <w:tcW w:w="3251" w:type="dxa"/>
            <w:tcBorders>
              <w:bottom w:val="nil"/>
            </w:tcBorders>
          </w:tcPr>
          <w:p w:rsidR="00BC1D7C" w:rsidRDefault="00232D84">
            <w:pPr>
              <w:spacing w:after="120" w:line="480" w:lineRule="auto"/>
              <w:jc w:val="both"/>
              <w:rPr>
                <w:rFonts w:ascii="Times New Roman" w:hAnsi="Times New Roman"/>
                <w:sz w:val="24"/>
                <w:szCs w:val="24"/>
                <w:lang w:val="en-GB"/>
              </w:rPr>
            </w:pPr>
            <w:r>
              <w:rPr>
                <w:rFonts w:ascii="Times New Roman" w:hAnsi="Times New Roman"/>
                <w:sz w:val="24"/>
                <w:szCs w:val="24"/>
                <w:lang w:val="en-GB"/>
              </w:rPr>
              <w:t>.28</w:t>
            </w:r>
          </w:p>
        </w:tc>
      </w:tr>
      <w:tr w:rsidR="00BC1D7C">
        <w:trPr>
          <w:trHeight w:val="384"/>
        </w:trPr>
        <w:tc>
          <w:tcPr>
            <w:tcW w:w="2189" w:type="dxa"/>
            <w:tcBorders>
              <w:top w:val="nil"/>
              <w:bottom w:val="single" w:sz="4" w:space="0" w:color="auto"/>
            </w:tcBorders>
          </w:tcPr>
          <w:p w:rsidR="00BC1D7C" w:rsidRDefault="00232D84">
            <w:pPr>
              <w:spacing w:after="120" w:line="480" w:lineRule="auto"/>
              <w:jc w:val="both"/>
              <w:rPr>
                <w:rFonts w:ascii="Times New Roman" w:hAnsi="Times New Roman"/>
                <w:sz w:val="24"/>
                <w:szCs w:val="24"/>
              </w:rPr>
            </w:pPr>
            <w:proofErr w:type="spellStart"/>
            <w:r>
              <w:rPr>
                <w:rFonts w:ascii="Times New Roman" w:hAnsi="Times New Roman"/>
                <w:sz w:val="24"/>
                <w:szCs w:val="24"/>
              </w:rPr>
              <w:t>GPx</w:t>
            </w:r>
            <w:proofErr w:type="spellEnd"/>
            <w:r>
              <w:rPr>
                <w:rFonts w:ascii="Times New Roman" w:hAnsi="Times New Roman"/>
                <w:sz w:val="24"/>
                <w:szCs w:val="24"/>
              </w:rPr>
              <w:t xml:space="preserve"> (μ/ml)</w:t>
            </w:r>
          </w:p>
        </w:tc>
        <w:tc>
          <w:tcPr>
            <w:tcW w:w="1842" w:type="dxa"/>
            <w:tcBorders>
              <w:top w:val="nil"/>
              <w:bottom w:val="single" w:sz="4" w:space="0" w:color="auto"/>
            </w:tcBorders>
          </w:tcPr>
          <w:p w:rsidR="00BC1D7C" w:rsidRDefault="00232D84">
            <w:pPr>
              <w:spacing w:after="120" w:line="480" w:lineRule="auto"/>
              <w:jc w:val="both"/>
              <w:rPr>
                <w:rFonts w:ascii="Times New Roman" w:hAnsi="Times New Roman"/>
                <w:sz w:val="24"/>
                <w:szCs w:val="24"/>
              </w:rPr>
            </w:pPr>
            <w:r>
              <w:rPr>
                <w:rFonts w:ascii="Times New Roman" w:hAnsi="Times New Roman"/>
                <w:sz w:val="24"/>
                <w:szCs w:val="24"/>
              </w:rPr>
              <w:t>110.74±27.1</w:t>
            </w:r>
          </w:p>
        </w:tc>
        <w:tc>
          <w:tcPr>
            <w:tcW w:w="1950" w:type="dxa"/>
            <w:tcBorders>
              <w:top w:val="nil"/>
              <w:bottom w:val="single" w:sz="4" w:space="0" w:color="auto"/>
            </w:tcBorders>
          </w:tcPr>
          <w:p w:rsidR="00BC1D7C" w:rsidRDefault="00232D84">
            <w:pPr>
              <w:spacing w:after="120" w:line="480" w:lineRule="auto"/>
              <w:jc w:val="both"/>
              <w:rPr>
                <w:rFonts w:ascii="Times New Roman" w:hAnsi="Times New Roman"/>
                <w:sz w:val="24"/>
                <w:szCs w:val="24"/>
              </w:rPr>
            </w:pPr>
            <w:r>
              <w:rPr>
                <w:rFonts w:ascii="Times New Roman" w:hAnsi="Times New Roman"/>
                <w:sz w:val="24"/>
                <w:szCs w:val="24"/>
              </w:rPr>
              <w:t>93.17±18.9</w:t>
            </w:r>
          </w:p>
        </w:tc>
        <w:tc>
          <w:tcPr>
            <w:tcW w:w="3251" w:type="dxa"/>
            <w:tcBorders>
              <w:top w:val="nil"/>
              <w:bottom w:val="single" w:sz="4" w:space="0" w:color="auto"/>
            </w:tcBorders>
          </w:tcPr>
          <w:p w:rsidR="00BC1D7C" w:rsidRDefault="00232D84">
            <w:pPr>
              <w:spacing w:after="120" w:line="480" w:lineRule="auto"/>
              <w:jc w:val="both"/>
              <w:rPr>
                <w:rFonts w:ascii="Times New Roman" w:hAnsi="Times New Roman"/>
                <w:sz w:val="24"/>
                <w:szCs w:val="24"/>
              </w:rPr>
            </w:pPr>
            <w:r>
              <w:rPr>
                <w:rFonts w:ascii="Times New Roman" w:hAnsi="Times New Roman"/>
                <w:sz w:val="24"/>
                <w:szCs w:val="24"/>
              </w:rPr>
              <w:t>.001</w:t>
            </w:r>
          </w:p>
        </w:tc>
      </w:tr>
    </w:tbl>
    <w:p w:rsidR="00BC1D7C" w:rsidRDefault="00BC1D7C">
      <w:pPr>
        <w:pStyle w:val="Body"/>
        <w:spacing w:after="0"/>
        <w:rPr>
          <w:rFonts w:ascii="Arial" w:hAnsi="Arial"/>
        </w:rPr>
      </w:pPr>
    </w:p>
    <w:p w:rsidR="00BC1D7C" w:rsidRDefault="00BC1D7C">
      <w:pPr>
        <w:pStyle w:val="Body"/>
        <w:spacing w:after="0"/>
        <w:rPr>
          <w:rFonts w:ascii="Arial" w:hAnsi="Arial"/>
        </w:rPr>
      </w:pPr>
    </w:p>
    <w:p w:rsidR="00BC1D7C" w:rsidRDefault="00BC1D7C">
      <w:pPr>
        <w:pStyle w:val="Body"/>
        <w:spacing w:after="0"/>
        <w:rPr>
          <w:rFonts w:ascii="Arial" w:hAnsi="Arial"/>
        </w:rPr>
      </w:pPr>
    </w:p>
    <w:p w:rsidR="00BC1D7C" w:rsidRDefault="00BC1D7C">
      <w:pPr>
        <w:pStyle w:val="Body"/>
        <w:spacing w:after="0"/>
        <w:rPr>
          <w:rFonts w:ascii="Arial" w:hAnsi="Arial"/>
        </w:rPr>
      </w:pPr>
    </w:p>
    <w:p w:rsidR="00BC1D7C" w:rsidRDefault="00BC1D7C">
      <w:pPr>
        <w:pStyle w:val="Body"/>
        <w:spacing w:after="0"/>
        <w:rPr>
          <w:rFonts w:ascii="Arial" w:hAnsi="Arial"/>
        </w:rPr>
      </w:pPr>
    </w:p>
    <w:p w:rsidR="00BC1D7C" w:rsidRDefault="00BC1D7C">
      <w:pPr>
        <w:pStyle w:val="Body"/>
        <w:spacing w:after="0"/>
        <w:rPr>
          <w:rFonts w:ascii="Arial" w:hAnsi="Arial"/>
        </w:rPr>
      </w:pPr>
    </w:p>
    <w:p w:rsidR="00BC1D7C" w:rsidRDefault="00BC1D7C">
      <w:pPr>
        <w:pStyle w:val="Body"/>
        <w:spacing w:after="0"/>
        <w:rPr>
          <w:rFonts w:ascii="Arial" w:hAnsi="Arial"/>
        </w:rPr>
      </w:pPr>
    </w:p>
    <w:p w:rsidR="00BC1D7C" w:rsidRDefault="00BC1D7C">
      <w:pPr>
        <w:pStyle w:val="Body"/>
        <w:spacing w:after="0"/>
        <w:rPr>
          <w:rFonts w:ascii="Arial" w:hAnsi="Arial"/>
        </w:rPr>
      </w:pPr>
    </w:p>
    <w:p w:rsidR="00BC1D7C" w:rsidRDefault="00BC1D7C">
      <w:pPr>
        <w:pStyle w:val="Body"/>
        <w:spacing w:after="0"/>
        <w:rPr>
          <w:rFonts w:ascii="Arial" w:hAnsi="Arial"/>
        </w:rPr>
      </w:pPr>
    </w:p>
    <w:p w:rsidR="00BC1D7C" w:rsidRDefault="00BC1D7C">
      <w:pPr>
        <w:pStyle w:val="Body"/>
        <w:spacing w:after="0"/>
        <w:rPr>
          <w:rFonts w:ascii="Arial" w:hAnsi="Arial"/>
        </w:rPr>
      </w:pPr>
    </w:p>
    <w:p w:rsidR="00BC1D7C" w:rsidRDefault="00BC1D7C">
      <w:pPr>
        <w:pStyle w:val="Body"/>
        <w:spacing w:after="0"/>
        <w:rPr>
          <w:rFonts w:ascii="Arial" w:hAnsi="Arial"/>
        </w:rPr>
      </w:pPr>
    </w:p>
    <w:p w:rsidR="00BC1D7C" w:rsidRDefault="00BC1D7C">
      <w:pPr>
        <w:pStyle w:val="Body"/>
        <w:spacing w:after="0"/>
        <w:rPr>
          <w:rFonts w:ascii="Arial" w:hAnsi="Arial"/>
        </w:rPr>
      </w:pPr>
    </w:p>
    <w:p w:rsidR="00BC1D7C" w:rsidRDefault="00BC1D7C">
      <w:pPr>
        <w:pStyle w:val="Body"/>
        <w:spacing w:after="0"/>
        <w:rPr>
          <w:rFonts w:ascii="Arial" w:hAnsi="Arial"/>
        </w:rPr>
      </w:pPr>
    </w:p>
    <w:p w:rsidR="00BC1D7C" w:rsidRDefault="00BC1D7C">
      <w:pPr>
        <w:pStyle w:val="Body"/>
        <w:spacing w:after="0"/>
        <w:rPr>
          <w:rFonts w:ascii="Arial" w:hAnsi="Arial"/>
        </w:rPr>
      </w:pPr>
    </w:p>
    <w:p w:rsidR="00BC1D7C" w:rsidRDefault="00BC1D7C">
      <w:pPr>
        <w:pStyle w:val="Body"/>
        <w:spacing w:after="0"/>
        <w:rPr>
          <w:rFonts w:ascii="Arial" w:hAnsi="Arial"/>
        </w:rPr>
      </w:pPr>
    </w:p>
    <w:p w:rsidR="00BC1D7C" w:rsidRDefault="00BC1D7C">
      <w:pPr>
        <w:pStyle w:val="Body"/>
        <w:spacing w:after="0"/>
        <w:rPr>
          <w:rFonts w:ascii="Arial" w:hAnsi="Arial"/>
        </w:rPr>
      </w:pPr>
    </w:p>
    <w:p w:rsidR="00BC1D7C" w:rsidRDefault="00BC1D7C">
      <w:pPr>
        <w:pStyle w:val="Body"/>
        <w:spacing w:after="0"/>
        <w:rPr>
          <w:rFonts w:ascii="Arial" w:hAnsi="Arial"/>
        </w:rPr>
      </w:pPr>
    </w:p>
    <w:p w:rsidR="00BC1D7C" w:rsidRDefault="00BC1D7C">
      <w:pPr>
        <w:pStyle w:val="Body"/>
        <w:spacing w:after="0"/>
        <w:rPr>
          <w:rFonts w:ascii="Arial" w:hAnsi="Arial"/>
        </w:rPr>
      </w:pPr>
    </w:p>
    <w:p w:rsidR="00BC1D7C" w:rsidRDefault="00BC1D7C">
      <w:pPr>
        <w:pStyle w:val="Body"/>
        <w:spacing w:after="0"/>
        <w:rPr>
          <w:rFonts w:ascii="Arial" w:hAnsi="Arial"/>
        </w:rPr>
      </w:pPr>
    </w:p>
    <w:p w:rsidR="00BC1D7C" w:rsidRDefault="00232D84">
      <w:pPr>
        <w:pStyle w:val="Body"/>
        <w:spacing w:after="0"/>
        <w:rPr>
          <w:rFonts w:ascii="Arial" w:hAnsi="Arial"/>
        </w:rPr>
      </w:pPr>
      <w:r>
        <w:rPr>
          <w:rFonts w:ascii="Arial" w:hAnsi="Arial"/>
        </w:rPr>
        <w:t xml:space="preserve">Table 3 shows the linear correlation among age, serum leptin, </w:t>
      </w:r>
      <w:proofErr w:type="spellStart"/>
      <w:r>
        <w:rPr>
          <w:rFonts w:ascii="Arial" w:hAnsi="Arial"/>
        </w:rPr>
        <w:t>hsCRP</w:t>
      </w:r>
      <w:proofErr w:type="spellEnd"/>
      <w:r>
        <w:rPr>
          <w:rFonts w:ascii="Arial" w:hAnsi="Arial"/>
        </w:rPr>
        <w:t xml:space="preserve">, MDA, TAS and </w:t>
      </w:r>
      <w:proofErr w:type="spellStart"/>
      <w:r>
        <w:rPr>
          <w:rFonts w:ascii="Arial" w:hAnsi="Arial"/>
        </w:rPr>
        <w:t>GPx</w:t>
      </w:r>
      <w:proofErr w:type="spellEnd"/>
      <w:r>
        <w:rPr>
          <w:rFonts w:ascii="Arial" w:hAnsi="Arial"/>
        </w:rPr>
        <w:t xml:space="preserve"> values in the HG group. Leptin showed a positive correlation with </w:t>
      </w:r>
      <w:proofErr w:type="spellStart"/>
      <w:r>
        <w:rPr>
          <w:rFonts w:ascii="Arial" w:hAnsi="Arial"/>
        </w:rPr>
        <w:t>hsCRP</w:t>
      </w:r>
      <w:proofErr w:type="spellEnd"/>
      <w:r>
        <w:rPr>
          <w:rFonts w:ascii="Arial" w:hAnsi="Arial"/>
        </w:rPr>
        <w:t xml:space="preserve"> and TAS while it showed a negative correlation with MDA. Also, a negative correlation was observed between MDA and TAS, as well as between MDA and </w:t>
      </w:r>
      <w:proofErr w:type="spellStart"/>
      <w:r>
        <w:rPr>
          <w:rFonts w:ascii="Arial" w:hAnsi="Arial"/>
        </w:rPr>
        <w:t>GPx</w:t>
      </w:r>
      <w:proofErr w:type="spellEnd"/>
      <w:r>
        <w:rPr>
          <w:rFonts w:ascii="Arial" w:hAnsi="Arial"/>
        </w:rPr>
        <w:t xml:space="preserve">; while a positive correlation was observed between </w:t>
      </w:r>
      <w:proofErr w:type="spellStart"/>
      <w:r>
        <w:rPr>
          <w:rFonts w:ascii="Arial" w:hAnsi="Arial"/>
        </w:rPr>
        <w:t>GPx</w:t>
      </w:r>
      <w:proofErr w:type="spellEnd"/>
      <w:r>
        <w:rPr>
          <w:rFonts w:ascii="Arial" w:hAnsi="Arial"/>
        </w:rPr>
        <w:t xml:space="preserve"> and </w:t>
      </w:r>
      <w:proofErr w:type="spellStart"/>
      <w:r>
        <w:rPr>
          <w:rFonts w:ascii="Arial" w:hAnsi="Arial"/>
        </w:rPr>
        <w:t>hsCRP</w:t>
      </w:r>
      <w:proofErr w:type="spellEnd"/>
      <w:r>
        <w:rPr>
          <w:rFonts w:ascii="Arial" w:hAnsi="Arial"/>
        </w:rPr>
        <w:t xml:space="preserve"> as well as between </w:t>
      </w:r>
      <w:proofErr w:type="spellStart"/>
      <w:r>
        <w:rPr>
          <w:rFonts w:ascii="Arial" w:hAnsi="Arial"/>
        </w:rPr>
        <w:t>GPx</w:t>
      </w:r>
      <w:proofErr w:type="spellEnd"/>
      <w:r>
        <w:rPr>
          <w:rFonts w:ascii="Arial" w:hAnsi="Arial"/>
        </w:rPr>
        <w:t xml:space="preserve"> and TAS.</w:t>
      </w:r>
    </w:p>
    <w:p w:rsidR="00BC1D7C" w:rsidRDefault="00BC1D7C">
      <w:pPr>
        <w:pStyle w:val="Body"/>
        <w:spacing w:after="0"/>
        <w:rPr>
          <w:rFonts w:ascii="Arial" w:hAnsi="Arial"/>
        </w:rPr>
      </w:pPr>
    </w:p>
    <w:p w:rsidR="00BC1D7C" w:rsidRDefault="00232D84">
      <w:pPr>
        <w:spacing w:line="480" w:lineRule="auto"/>
        <w:jc w:val="both"/>
        <w:rPr>
          <w:rFonts w:ascii="Arial" w:hAnsi="Arial" w:cs="Arial"/>
          <w:b/>
          <w:sz w:val="22"/>
          <w:szCs w:val="22"/>
        </w:rPr>
      </w:pPr>
      <w:r>
        <w:rPr>
          <w:rFonts w:ascii="Arial" w:hAnsi="Arial" w:cs="Arial"/>
          <w:b/>
          <w:sz w:val="22"/>
          <w:szCs w:val="22"/>
        </w:rPr>
        <w:t xml:space="preserve">Table 3: Linear correlation of Age, Leptin, </w:t>
      </w:r>
      <w:proofErr w:type="spellStart"/>
      <w:r>
        <w:rPr>
          <w:rFonts w:ascii="Arial" w:hAnsi="Arial" w:cs="Arial"/>
          <w:b/>
          <w:sz w:val="22"/>
          <w:szCs w:val="22"/>
        </w:rPr>
        <w:t>hsCRP</w:t>
      </w:r>
      <w:proofErr w:type="spellEnd"/>
      <w:r>
        <w:rPr>
          <w:rFonts w:ascii="Arial" w:hAnsi="Arial" w:cs="Arial"/>
          <w:b/>
          <w:sz w:val="22"/>
          <w:szCs w:val="22"/>
        </w:rPr>
        <w:t xml:space="preserve"> and oxidative stress makers</w:t>
      </w:r>
    </w:p>
    <w:tbl>
      <w:tblPr>
        <w:tblW w:w="10248" w:type="dxa"/>
        <w:tblLayout w:type="fixed"/>
        <w:tblLook w:val="04A0" w:firstRow="1" w:lastRow="0" w:firstColumn="1" w:lastColumn="0" w:noHBand="0" w:noVBand="1"/>
      </w:tblPr>
      <w:tblGrid>
        <w:gridCol w:w="1398"/>
        <w:gridCol w:w="1360"/>
        <w:gridCol w:w="1480"/>
        <w:gridCol w:w="1410"/>
        <w:gridCol w:w="1580"/>
        <w:gridCol w:w="1520"/>
        <w:gridCol w:w="1500"/>
      </w:tblGrid>
      <w:tr w:rsidR="00BC1D7C">
        <w:trPr>
          <w:trHeight w:val="685"/>
        </w:trPr>
        <w:tc>
          <w:tcPr>
            <w:tcW w:w="1398" w:type="dxa"/>
            <w:tcBorders>
              <w:top w:val="single" w:sz="4" w:space="0" w:color="auto"/>
              <w:bottom w:val="single" w:sz="4" w:space="0" w:color="auto"/>
            </w:tcBorders>
          </w:tcPr>
          <w:p w:rsidR="00BC1D7C" w:rsidRDefault="00BC1D7C">
            <w:pPr>
              <w:spacing w:line="480" w:lineRule="auto"/>
              <w:rPr>
                <w:rFonts w:ascii="Times New Roman" w:hAnsi="Times New Roman"/>
              </w:rPr>
            </w:pPr>
          </w:p>
        </w:tc>
        <w:tc>
          <w:tcPr>
            <w:tcW w:w="1360" w:type="dxa"/>
            <w:tcBorders>
              <w:top w:val="single" w:sz="4" w:space="0" w:color="auto"/>
              <w:bottom w:val="single" w:sz="4" w:space="0" w:color="auto"/>
            </w:tcBorders>
          </w:tcPr>
          <w:p w:rsidR="00BC1D7C" w:rsidRDefault="00232D84">
            <w:pPr>
              <w:spacing w:line="480" w:lineRule="auto"/>
              <w:rPr>
                <w:rFonts w:ascii="Times New Roman" w:hAnsi="Times New Roman"/>
              </w:rPr>
            </w:pPr>
            <w:r>
              <w:rPr>
                <w:rFonts w:ascii="Times New Roman" w:hAnsi="Times New Roman"/>
              </w:rPr>
              <w:t xml:space="preserve">Age (r; </w:t>
            </w:r>
            <w:r>
              <w:rPr>
                <w:rFonts w:ascii="Times New Roman" w:hAnsi="Times New Roman"/>
                <w:i/>
                <w:iCs/>
                <w:lang w:val="en-GB"/>
              </w:rPr>
              <w:t>P</w:t>
            </w:r>
            <w:r>
              <w:rPr>
                <w:rFonts w:ascii="Times New Roman" w:hAnsi="Times New Roman"/>
              </w:rPr>
              <w:t>)</w:t>
            </w:r>
          </w:p>
        </w:tc>
        <w:tc>
          <w:tcPr>
            <w:tcW w:w="1480" w:type="dxa"/>
            <w:tcBorders>
              <w:top w:val="single" w:sz="4" w:space="0" w:color="auto"/>
              <w:bottom w:val="single" w:sz="4" w:space="0" w:color="auto"/>
            </w:tcBorders>
          </w:tcPr>
          <w:p w:rsidR="00BC1D7C" w:rsidRDefault="00232D84">
            <w:pPr>
              <w:spacing w:line="480" w:lineRule="auto"/>
              <w:rPr>
                <w:rFonts w:ascii="Times New Roman" w:hAnsi="Times New Roman"/>
              </w:rPr>
            </w:pPr>
            <w:proofErr w:type="gramStart"/>
            <w:r>
              <w:rPr>
                <w:rFonts w:ascii="Times New Roman" w:hAnsi="Times New Roman"/>
              </w:rPr>
              <w:t>Leptin(</w:t>
            </w:r>
            <w:proofErr w:type="gramEnd"/>
            <w:r>
              <w:rPr>
                <w:rFonts w:ascii="Times New Roman" w:hAnsi="Times New Roman"/>
              </w:rPr>
              <w:t xml:space="preserve">r; </w:t>
            </w:r>
            <w:r>
              <w:rPr>
                <w:rFonts w:ascii="Times New Roman" w:hAnsi="Times New Roman"/>
                <w:i/>
                <w:iCs/>
                <w:lang w:val="en-GB"/>
              </w:rPr>
              <w:t>P</w:t>
            </w:r>
            <w:r>
              <w:rPr>
                <w:rFonts w:ascii="Times New Roman" w:hAnsi="Times New Roman"/>
              </w:rPr>
              <w:t>)</w:t>
            </w:r>
          </w:p>
        </w:tc>
        <w:tc>
          <w:tcPr>
            <w:tcW w:w="1410" w:type="dxa"/>
            <w:tcBorders>
              <w:top w:val="single" w:sz="4" w:space="0" w:color="auto"/>
              <w:bottom w:val="single" w:sz="4" w:space="0" w:color="auto"/>
            </w:tcBorders>
          </w:tcPr>
          <w:p w:rsidR="00BC1D7C" w:rsidRDefault="00232D84">
            <w:pPr>
              <w:spacing w:line="480" w:lineRule="auto"/>
              <w:rPr>
                <w:rFonts w:ascii="Times New Roman" w:hAnsi="Times New Roman"/>
              </w:rPr>
            </w:pPr>
            <w:proofErr w:type="spellStart"/>
            <w:r>
              <w:rPr>
                <w:rFonts w:ascii="Times New Roman" w:hAnsi="Times New Roman"/>
              </w:rPr>
              <w:t>hsCRP</w:t>
            </w:r>
            <w:proofErr w:type="spellEnd"/>
            <w:r>
              <w:rPr>
                <w:rFonts w:ascii="Times New Roman" w:hAnsi="Times New Roman"/>
              </w:rPr>
              <w:t xml:space="preserve"> (r;</w:t>
            </w:r>
            <w:r>
              <w:rPr>
                <w:rFonts w:ascii="Times New Roman" w:hAnsi="Times New Roman"/>
                <w:lang w:val="en-GB"/>
              </w:rPr>
              <w:t xml:space="preserve"> </w:t>
            </w:r>
            <w:r>
              <w:rPr>
                <w:rFonts w:ascii="Times New Roman" w:hAnsi="Times New Roman"/>
                <w:i/>
                <w:iCs/>
                <w:lang w:val="en-GB"/>
              </w:rPr>
              <w:t>P</w:t>
            </w:r>
            <w:r>
              <w:rPr>
                <w:rFonts w:ascii="Times New Roman" w:hAnsi="Times New Roman"/>
              </w:rPr>
              <w:t>)</w:t>
            </w:r>
          </w:p>
        </w:tc>
        <w:tc>
          <w:tcPr>
            <w:tcW w:w="1580" w:type="dxa"/>
            <w:tcBorders>
              <w:top w:val="single" w:sz="4" w:space="0" w:color="auto"/>
              <w:bottom w:val="single" w:sz="4" w:space="0" w:color="auto"/>
            </w:tcBorders>
          </w:tcPr>
          <w:p w:rsidR="00BC1D7C" w:rsidRDefault="00232D84">
            <w:pPr>
              <w:spacing w:line="480" w:lineRule="auto"/>
              <w:rPr>
                <w:rFonts w:ascii="Times New Roman" w:hAnsi="Times New Roman"/>
              </w:rPr>
            </w:pPr>
            <w:r>
              <w:rPr>
                <w:rFonts w:ascii="Times New Roman" w:hAnsi="Times New Roman"/>
              </w:rPr>
              <w:t>TAS (r;</w:t>
            </w:r>
            <w:r>
              <w:rPr>
                <w:rFonts w:ascii="Times New Roman" w:hAnsi="Times New Roman"/>
                <w:lang w:val="en-GB"/>
              </w:rPr>
              <w:t xml:space="preserve"> </w:t>
            </w:r>
            <w:r>
              <w:rPr>
                <w:rFonts w:ascii="Times New Roman" w:hAnsi="Times New Roman"/>
                <w:i/>
                <w:iCs/>
                <w:lang w:val="en-GB"/>
              </w:rPr>
              <w:t>P</w:t>
            </w:r>
            <w:r>
              <w:rPr>
                <w:rFonts w:ascii="Times New Roman" w:hAnsi="Times New Roman"/>
              </w:rPr>
              <w:t>)</w:t>
            </w:r>
          </w:p>
        </w:tc>
        <w:tc>
          <w:tcPr>
            <w:tcW w:w="1520" w:type="dxa"/>
            <w:tcBorders>
              <w:top w:val="single" w:sz="4" w:space="0" w:color="auto"/>
              <w:bottom w:val="single" w:sz="4" w:space="0" w:color="auto"/>
            </w:tcBorders>
          </w:tcPr>
          <w:p w:rsidR="00BC1D7C" w:rsidRDefault="00232D84">
            <w:pPr>
              <w:spacing w:line="480" w:lineRule="auto"/>
              <w:rPr>
                <w:rFonts w:ascii="Times New Roman" w:hAnsi="Times New Roman"/>
              </w:rPr>
            </w:pPr>
            <w:proofErr w:type="gramStart"/>
            <w:r>
              <w:rPr>
                <w:rFonts w:ascii="Times New Roman" w:hAnsi="Times New Roman"/>
              </w:rPr>
              <w:t>MDA(</w:t>
            </w:r>
            <w:proofErr w:type="gramEnd"/>
            <w:r>
              <w:rPr>
                <w:rFonts w:ascii="Times New Roman" w:hAnsi="Times New Roman"/>
              </w:rPr>
              <w:t xml:space="preserve">r; </w:t>
            </w:r>
            <w:r>
              <w:rPr>
                <w:rFonts w:ascii="Times New Roman" w:hAnsi="Times New Roman"/>
                <w:i/>
                <w:iCs/>
                <w:lang w:val="en-GB"/>
              </w:rPr>
              <w:t>P</w:t>
            </w:r>
            <w:r>
              <w:rPr>
                <w:rFonts w:ascii="Times New Roman" w:hAnsi="Times New Roman"/>
              </w:rPr>
              <w:t>)</w:t>
            </w:r>
          </w:p>
        </w:tc>
        <w:tc>
          <w:tcPr>
            <w:tcW w:w="1500" w:type="dxa"/>
            <w:tcBorders>
              <w:top w:val="single" w:sz="4" w:space="0" w:color="auto"/>
              <w:bottom w:val="single" w:sz="4" w:space="0" w:color="auto"/>
            </w:tcBorders>
          </w:tcPr>
          <w:p w:rsidR="00BC1D7C" w:rsidRDefault="00232D84">
            <w:pPr>
              <w:spacing w:line="480" w:lineRule="auto"/>
              <w:rPr>
                <w:rFonts w:ascii="Times New Roman" w:hAnsi="Times New Roman"/>
              </w:rPr>
            </w:pPr>
            <w:proofErr w:type="spellStart"/>
            <w:r>
              <w:rPr>
                <w:rFonts w:ascii="Times New Roman" w:hAnsi="Times New Roman"/>
              </w:rPr>
              <w:t>GPx</w:t>
            </w:r>
            <w:proofErr w:type="spellEnd"/>
            <w:r>
              <w:rPr>
                <w:rFonts w:ascii="Times New Roman" w:hAnsi="Times New Roman"/>
              </w:rPr>
              <w:t xml:space="preserve"> (r; </w:t>
            </w:r>
            <w:r>
              <w:rPr>
                <w:rFonts w:ascii="Times New Roman" w:hAnsi="Times New Roman"/>
                <w:i/>
                <w:iCs/>
                <w:lang w:val="en-GB"/>
              </w:rPr>
              <w:t>P</w:t>
            </w:r>
            <w:r>
              <w:rPr>
                <w:rFonts w:ascii="Times New Roman" w:hAnsi="Times New Roman"/>
              </w:rPr>
              <w:t>)</w:t>
            </w:r>
          </w:p>
        </w:tc>
      </w:tr>
      <w:tr w:rsidR="00BC1D7C">
        <w:trPr>
          <w:trHeight w:val="385"/>
        </w:trPr>
        <w:tc>
          <w:tcPr>
            <w:tcW w:w="1398" w:type="dxa"/>
            <w:tcBorders>
              <w:top w:val="single" w:sz="4" w:space="0" w:color="auto"/>
            </w:tcBorders>
          </w:tcPr>
          <w:p w:rsidR="00BC1D7C" w:rsidRDefault="00232D84">
            <w:pPr>
              <w:spacing w:line="480" w:lineRule="auto"/>
              <w:rPr>
                <w:rFonts w:ascii="Times New Roman" w:hAnsi="Times New Roman"/>
              </w:rPr>
            </w:pPr>
            <w:r>
              <w:rPr>
                <w:rFonts w:ascii="Times New Roman" w:hAnsi="Times New Roman"/>
              </w:rPr>
              <w:t>Age</w:t>
            </w:r>
          </w:p>
        </w:tc>
        <w:tc>
          <w:tcPr>
            <w:tcW w:w="1360" w:type="dxa"/>
            <w:tcBorders>
              <w:top w:val="single" w:sz="4" w:space="0" w:color="auto"/>
            </w:tcBorders>
          </w:tcPr>
          <w:p w:rsidR="00BC1D7C" w:rsidRDefault="00232D84">
            <w:pPr>
              <w:spacing w:line="480" w:lineRule="auto"/>
              <w:rPr>
                <w:rFonts w:ascii="Times New Roman" w:hAnsi="Times New Roman"/>
              </w:rPr>
            </w:pPr>
            <w:r>
              <w:rPr>
                <w:rFonts w:ascii="Times New Roman" w:hAnsi="Times New Roman"/>
              </w:rPr>
              <w:t>1</w:t>
            </w:r>
          </w:p>
        </w:tc>
        <w:tc>
          <w:tcPr>
            <w:tcW w:w="1480" w:type="dxa"/>
            <w:tcBorders>
              <w:top w:val="single" w:sz="4" w:space="0" w:color="auto"/>
            </w:tcBorders>
          </w:tcPr>
          <w:p w:rsidR="00BC1D7C" w:rsidRDefault="00232D84">
            <w:pPr>
              <w:spacing w:line="480" w:lineRule="auto"/>
              <w:rPr>
                <w:rFonts w:ascii="Times New Roman" w:hAnsi="Times New Roman"/>
              </w:rPr>
            </w:pPr>
            <w:r>
              <w:rPr>
                <w:rFonts w:ascii="Times New Roman" w:hAnsi="Times New Roman"/>
              </w:rPr>
              <w:t xml:space="preserve">0.065; </w:t>
            </w:r>
            <w:r>
              <w:rPr>
                <w:rFonts w:ascii="Times New Roman" w:eastAsia="Arial" w:hAnsi="Times New Roman"/>
              </w:rPr>
              <w:t>.67</w:t>
            </w:r>
          </w:p>
        </w:tc>
        <w:tc>
          <w:tcPr>
            <w:tcW w:w="1410" w:type="dxa"/>
            <w:tcBorders>
              <w:top w:val="single" w:sz="4" w:space="0" w:color="auto"/>
            </w:tcBorders>
          </w:tcPr>
          <w:p w:rsidR="00BC1D7C" w:rsidRDefault="00232D84">
            <w:pPr>
              <w:spacing w:line="480" w:lineRule="auto"/>
              <w:rPr>
                <w:rFonts w:ascii="Times New Roman" w:hAnsi="Times New Roman"/>
              </w:rPr>
            </w:pPr>
            <w:r>
              <w:rPr>
                <w:rFonts w:ascii="Times New Roman" w:hAnsi="Times New Roman"/>
              </w:rPr>
              <w:t>0.183; .62</w:t>
            </w:r>
          </w:p>
        </w:tc>
        <w:tc>
          <w:tcPr>
            <w:tcW w:w="1580" w:type="dxa"/>
            <w:tcBorders>
              <w:top w:val="single" w:sz="4" w:space="0" w:color="auto"/>
            </w:tcBorders>
          </w:tcPr>
          <w:p w:rsidR="00BC1D7C" w:rsidRDefault="00232D84">
            <w:pPr>
              <w:spacing w:line="480" w:lineRule="auto"/>
              <w:rPr>
                <w:rFonts w:ascii="Times New Roman" w:hAnsi="Times New Roman"/>
              </w:rPr>
            </w:pPr>
            <w:r>
              <w:rPr>
                <w:rFonts w:ascii="Times New Roman" w:hAnsi="Times New Roman"/>
              </w:rPr>
              <w:t>0.212; .53</w:t>
            </w:r>
          </w:p>
        </w:tc>
        <w:tc>
          <w:tcPr>
            <w:tcW w:w="1520" w:type="dxa"/>
            <w:tcBorders>
              <w:top w:val="single" w:sz="4" w:space="0" w:color="auto"/>
            </w:tcBorders>
          </w:tcPr>
          <w:p w:rsidR="00BC1D7C" w:rsidRDefault="00232D84">
            <w:pPr>
              <w:spacing w:line="480" w:lineRule="auto"/>
              <w:rPr>
                <w:rFonts w:ascii="Times New Roman" w:hAnsi="Times New Roman"/>
                <w:lang w:val="en-GB"/>
              </w:rPr>
            </w:pPr>
            <w:r>
              <w:rPr>
                <w:rFonts w:ascii="Times New Roman" w:hAnsi="Times New Roman"/>
              </w:rPr>
              <w:t>-0.079; 0</w:t>
            </w:r>
            <w:r>
              <w:rPr>
                <w:rFonts w:ascii="Times New Roman" w:eastAsia="Arial" w:hAnsi="Times New Roman"/>
              </w:rPr>
              <w:t>.6</w:t>
            </w:r>
            <w:r>
              <w:rPr>
                <w:rFonts w:ascii="Times New Roman" w:eastAsia="Arial" w:hAnsi="Times New Roman"/>
                <w:lang w:val="en-GB"/>
              </w:rPr>
              <w:t>1</w:t>
            </w:r>
          </w:p>
        </w:tc>
        <w:tc>
          <w:tcPr>
            <w:tcW w:w="1500" w:type="dxa"/>
            <w:tcBorders>
              <w:top w:val="single" w:sz="4" w:space="0" w:color="auto"/>
            </w:tcBorders>
          </w:tcPr>
          <w:p w:rsidR="00BC1D7C" w:rsidRDefault="00232D84">
            <w:pPr>
              <w:spacing w:line="480" w:lineRule="auto"/>
              <w:rPr>
                <w:rFonts w:ascii="Times New Roman" w:hAnsi="Times New Roman"/>
                <w:lang w:val="en-GB"/>
              </w:rPr>
            </w:pPr>
            <w:r>
              <w:rPr>
                <w:rFonts w:ascii="Times New Roman" w:hAnsi="Times New Roman"/>
              </w:rPr>
              <w:t>-0.054; 0</w:t>
            </w:r>
            <w:r>
              <w:rPr>
                <w:rFonts w:ascii="Times New Roman" w:eastAsia="Arial" w:hAnsi="Times New Roman"/>
              </w:rPr>
              <w:t>.7</w:t>
            </w:r>
            <w:r>
              <w:rPr>
                <w:rFonts w:ascii="Times New Roman" w:eastAsia="Arial" w:hAnsi="Times New Roman"/>
                <w:lang w:val="en-GB"/>
              </w:rPr>
              <w:t>3</w:t>
            </w:r>
          </w:p>
        </w:tc>
      </w:tr>
      <w:tr w:rsidR="00BC1D7C">
        <w:trPr>
          <w:trHeight w:val="467"/>
        </w:trPr>
        <w:tc>
          <w:tcPr>
            <w:tcW w:w="1398" w:type="dxa"/>
          </w:tcPr>
          <w:p w:rsidR="00BC1D7C" w:rsidRDefault="00232D84">
            <w:pPr>
              <w:spacing w:line="480" w:lineRule="auto"/>
              <w:rPr>
                <w:rFonts w:ascii="Times New Roman" w:hAnsi="Times New Roman"/>
              </w:rPr>
            </w:pPr>
            <w:r>
              <w:rPr>
                <w:rFonts w:ascii="Times New Roman" w:hAnsi="Times New Roman"/>
              </w:rPr>
              <w:t>Leptin</w:t>
            </w:r>
          </w:p>
        </w:tc>
        <w:tc>
          <w:tcPr>
            <w:tcW w:w="1360" w:type="dxa"/>
          </w:tcPr>
          <w:p w:rsidR="00BC1D7C" w:rsidRDefault="00232D84">
            <w:pPr>
              <w:spacing w:line="480" w:lineRule="auto"/>
              <w:rPr>
                <w:rFonts w:ascii="Times New Roman" w:hAnsi="Times New Roman"/>
              </w:rPr>
            </w:pPr>
            <w:r>
              <w:rPr>
                <w:rFonts w:ascii="Times New Roman" w:hAnsi="Times New Roman"/>
              </w:rPr>
              <w:t>0.065; .</w:t>
            </w:r>
            <w:r>
              <w:rPr>
                <w:rFonts w:ascii="Times New Roman" w:eastAsia="Arial" w:hAnsi="Times New Roman"/>
              </w:rPr>
              <w:t>67</w:t>
            </w:r>
          </w:p>
        </w:tc>
        <w:tc>
          <w:tcPr>
            <w:tcW w:w="1480" w:type="dxa"/>
          </w:tcPr>
          <w:p w:rsidR="00BC1D7C" w:rsidRDefault="00232D84">
            <w:pPr>
              <w:spacing w:line="480" w:lineRule="auto"/>
              <w:rPr>
                <w:rFonts w:ascii="Times New Roman" w:hAnsi="Times New Roman"/>
              </w:rPr>
            </w:pPr>
            <w:r>
              <w:rPr>
                <w:rFonts w:ascii="Times New Roman" w:hAnsi="Times New Roman"/>
              </w:rPr>
              <w:t>1</w:t>
            </w:r>
          </w:p>
        </w:tc>
        <w:tc>
          <w:tcPr>
            <w:tcW w:w="1410" w:type="dxa"/>
          </w:tcPr>
          <w:p w:rsidR="00BC1D7C" w:rsidRDefault="00232D84">
            <w:pPr>
              <w:spacing w:line="480" w:lineRule="auto"/>
              <w:rPr>
                <w:rFonts w:ascii="Times New Roman" w:hAnsi="Times New Roman"/>
                <w:lang w:val="en-GB"/>
              </w:rPr>
            </w:pPr>
            <w:r>
              <w:rPr>
                <w:rFonts w:ascii="Times New Roman" w:hAnsi="Times New Roman"/>
              </w:rPr>
              <w:t>0.436; .03</w:t>
            </w:r>
            <w:r>
              <w:rPr>
                <w:rFonts w:ascii="Times New Roman" w:hAnsi="Times New Roman"/>
                <w:lang w:val="en-GB"/>
              </w:rPr>
              <w:t>*</w:t>
            </w:r>
          </w:p>
        </w:tc>
        <w:tc>
          <w:tcPr>
            <w:tcW w:w="1580" w:type="dxa"/>
          </w:tcPr>
          <w:p w:rsidR="00BC1D7C" w:rsidRDefault="00232D84">
            <w:pPr>
              <w:spacing w:line="480" w:lineRule="auto"/>
              <w:rPr>
                <w:rFonts w:ascii="Times New Roman" w:hAnsi="Times New Roman"/>
                <w:lang w:val="en-GB"/>
              </w:rPr>
            </w:pPr>
            <w:r>
              <w:rPr>
                <w:rFonts w:ascii="Times New Roman" w:hAnsi="Times New Roman"/>
              </w:rPr>
              <w:t>0.224; .01</w:t>
            </w:r>
            <w:r>
              <w:rPr>
                <w:rFonts w:ascii="Times New Roman" w:hAnsi="Times New Roman"/>
                <w:lang w:val="en-GB"/>
              </w:rPr>
              <w:t>*</w:t>
            </w:r>
          </w:p>
        </w:tc>
        <w:tc>
          <w:tcPr>
            <w:tcW w:w="1520" w:type="dxa"/>
          </w:tcPr>
          <w:p w:rsidR="00BC1D7C" w:rsidRDefault="00232D84">
            <w:pPr>
              <w:spacing w:line="480" w:lineRule="auto"/>
              <w:rPr>
                <w:rFonts w:ascii="Times New Roman" w:hAnsi="Times New Roman"/>
              </w:rPr>
            </w:pPr>
            <w:r>
              <w:rPr>
                <w:rFonts w:ascii="Times New Roman" w:hAnsi="Times New Roman"/>
              </w:rPr>
              <w:t xml:space="preserve">-0.165; </w:t>
            </w:r>
            <w:r>
              <w:rPr>
                <w:rFonts w:ascii="Times New Roman" w:eastAsia="Arial" w:hAnsi="Times New Roman"/>
              </w:rPr>
              <w:t>.047*</w:t>
            </w:r>
          </w:p>
        </w:tc>
        <w:tc>
          <w:tcPr>
            <w:tcW w:w="1500" w:type="dxa"/>
          </w:tcPr>
          <w:p w:rsidR="00BC1D7C" w:rsidRDefault="00232D84">
            <w:pPr>
              <w:spacing w:line="480" w:lineRule="auto"/>
              <w:rPr>
                <w:rFonts w:ascii="Times New Roman" w:eastAsia="Arial" w:hAnsi="Times New Roman"/>
              </w:rPr>
            </w:pPr>
            <w:r>
              <w:rPr>
                <w:rFonts w:ascii="Times New Roman" w:hAnsi="Times New Roman"/>
              </w:rPr>
              <w:t>0.059; 0</w:t>
            </w:r>
            <w:r>
              <w:rPr>
                <w:rFonts w:ascii="Times New Roman" w:eastAsia="Arial" w:hAnsi="Times New Roman"/>
              </w:rPr>
              <w:t xml:space="preserve">.07 </w:t>
            </w:r>
          </w:p>
        </w:tc>
      </w:tr>
      <w:tr w:rsidR="00BC1D7C">
        <w:trPr>
          <w:trHeight w:val="467"/>
        </w:trPr>
        <w:tc>
          <w:tcPr>
            <w:tcW w:w="1398" w:type="dxa"/>
          </w:tcPr>
          <w:p w:rsidR="00BC1D7C" w:rsidRDefault="00232D84">
            <w:pPr>
              <w:spacing w:line="480" w:lineRule="auto"/>
              <w:rPr>
                <w:rFonts w:ascii="Times New Roman" w:hAnsi="Times New Roman"/>
              </w:rPr>
            </w:pPr>
            <w:proofErr w:type="spellStart"/>
            <w:r>
              <w:rPr>
                <w:rFonts w:ascii="Times New Roman" w:hAnsi="Times New Roman"/>
              </w:rPr>
              <w:t>hsCRP</w:t>
            </w:r>
            <w:proofErr w:type="spellEnd"/>
          </w:p>
        </w:tc>
        <w:tc>
          <w:tcPr>
            <w:tcW w:w="1360" w:type="dxa"/>
          </w:tcPr>
          <w:p w:rsidR="00BC1D7C" w:rsidRDefault="00232D84">
            <w:pPr>
              <w:spacing w:line="480" w:lineRule="auto"/>
              <w:rPr>
                <w:rFonts w:ascii="Times New Roman" w:hAnsi="Times New Roman"/>
              </w:rPr>
            </w:pPr>
            <w:r>
              <w:rPr>
                <w:rFonts w:ascii="Times New Roman" w:hAnsi="Times New Roman"/>
              </w:rPr>
              <w:t>0.183; .62</w:t>
            </w:r>
          </w:p>
        </w:tc>
        <w:tc>
          <w:tcPr>
            <w:tcW w:w="1480" w:type="dxa"/>
          </w:tcPr>
          <w:p w:rsidR="00BC1D7C" w:rsidRDefault="00232D84">
            <w:pPr>
              <w:spacing w:line="480" w:lineRule="auto"/>
              <w:rPr>
                <w:rFonts w:ascii="Times New Roman" w:hAnsi="Times New Roman"/>
                <w:lang w:val="en-GB"/>
              </w:rPr>
            </w:pPr>
            <w:r>
              <w:rPr>
                <w:rFonts w:ascii="Times New Roman" w:hAnsi="Times New Roman"/>
              </w:rPr>
              <w:t>0.436; .03</w:t>
            </w:r>
            <w:r>
              <w:rPr>
                <w:rFonts w:ascii="Times New Roman" w:hAnsi="Times New Roman"/>
                <w:lang w:val="en-GB"/>
              </w:rPr>
              <w:t>*</w:t>
            </w:r>
          </w:p>
        </w:tc>
        <w:tc>
          <w:tcPr>
            <w:tcW w:w="1410" w:type="dxa"/>
          </w:tcPr>
          <w:p w:rsidR="00BC1D7C" w:rsidRDefault="00232D84">
            <w:pPr>
              <w:spacing w:line="480" w:lineRule="auto"/>
              <w:rPr>
                <w:rFonts w:ascii="Times New Roman" w:hAnsi="Times New Roman"/>
              </w:rPr>
            </w:pPr>
            <w:r>
              <w:rPr>
                <w:rFonts w:ascii="Times New Roman" w:hAnsi="Times New Roman"/>
              </w:rPr>
              <w:t>1</w:t>
            </w:r>
          </w:p>
        </w:tc>
        <w:tc>
          <w:tcPr>
            <w:tcW w:w="1580" w:type="dxa"/>
          </w:tcPr>
          <w:p w:rsidR="00BC1D7C" w:rsidRDefault="00232D84">
            <w:pPr>
              <w:spacing w:line="480" w:lineRule="auto"/>
              <w:rPr>
                <w:rFonts w:ascii="Times New Roman" w:hAnsi="Times New Roman"/>
              </w:rPr>
            </w:pPr>
            <w:r>
              <w:rPr>
                <w:rFonts w:ascii="Times New Roman" w:hAnsi="Times New Roman"/>
              </w:rPr>
              <w:t>0.254; .06</w:t>
            </w:r>
          </w:p>
        </w:tc>
        <w:tc>
          <w:tcPr>
            <w:tcW w:w="1520" w:type="dxa"/>
          </w:tcPr>
          <w:p w:rsidR="00BC1D7C" w:rsidRDefault="00232D84">
            <w:pPr>
              <w:spacing w:line="480" w:lineRule="auto"/>
              <w:rPr>
                <w:rFonts w:ascii="Times New Roman" w:hAnsi="Times New Roman"/>
                <w:lang w:val="en-GB"/>
              </w:rPr>
            </w:pPr>
            <w:r>
              <w:rPr>
                <w:rFonts w:ascii="Times New Roman" w:hAnsi="Times New Roman"/>
              </w:rPr>
              <w:t>-0.121; 0.1</w:t>
            </w:r>
            <w:r>
              <w:rPr>
                <w:rFonts w:ascii="Times New Roman" w:hAnsi="Times New Roman"/>
                <w:lang w:val="en-GB"/>
              </w:rPr>
              <w:t>1</w:t>
            </w:r>
          </w:p>
        </w:tc>
        <w:tc>
          <w:tcPr>
            <w:tcW w:w="1500" w:type="dxa"/>
          </w:tcPr>
          <w:p w:rsidR="00BC1D7C" w:rsidRDefault="00232D84">
            <w:pPr>
              <w:spacing w:line="480" w:lineRule="auto"/>
              <w:rPr>
                <w:rFonts w:ascii="Times New Roman" w:hAnsi="Times New Roman"/>
                <w:lang w:val="en-GB"/>
              </w:rPr>
            </w:pPr>
            <w:r>
              <w:rPr>
                <w:rFonts w:ascii="Times New Roman" w:hAnsi="Times New Roman"/>
              </w:rPr>
              <w:t>0.209; 0.04</w:t>
            </w:r>
            <w:r>
              <w:rPr>
                <w:rFonts w:ascii="Times New Roman" w:hAnsi="Times New Roman"/>
                <w:lang w:val="en-GB"/>
              </w:rPr>
              <w:t>*</w:t>
            </w:r>
          </w:p>
        </w:tc>
      </w:tr>
      <w:tr w:rsidR="00BC1D7C">
        <w:trPr>
          <w:trHeight w:val="467"/>
        </w:trPr>
        <w:tc>
          <w:tcPr>
            <w:tcW w:w="1398" w:type="dxa"/>
          </w:tcPr>
          <w:p w:rsidR="00BC1D7C" w:rsidRDefault="00232D84">
            <w:pPr>
              <w:spacing w:line="480" w:lineRule="auto"/>
              <w:rPr>
                <w:rFonts w:ascii="Times New Roman" w:hAnsi="Times New Roman"/>
              </w:rPr>
            </w:pPr>
            <w:r>
              <w:rPr>
                <w:rFonts w:ascii="Times New Roman" w:hAnsi="Times New Roman"/>
              </w:rPr>
              <w:t>TAS</w:t>
            </w:r>
          </w:p>
        </w:tc>
        <w:tc>
          <w:tcPr>
            <w:tcW w:w="1360" w:type="dxa"/>
          </w:tcPr>
          <w:p w:rsidR="00BC1D7C" w:rsidRDefault="00232D84">
            <w:pPr>
              <w:spacing w:line="480" w:lineRule="auto"/>
              <w:rPr>
                <w:rFonts w:ascii="Times New Roman" w:hAnsi="Times New Roman"/>
              </w:rPr>
            </w:pPr>
            <w:r>
              <w:rPr>
                <w:rFonts w:ascii="Times New Roman" w:hAnsi="Times New Roman"/>
              </w:rPr>
              <w:t>0.212; .53</w:t>
            </w:r>
          </w:p>
        </w:tc>
        <w:tc>
          <w:tcPr>
            <w:tcW w:w="1480" w:type="dxa"/>
          </w:tcPr>
          <w:p w:rsidR="00BC1D7C" w:rsidRDefault="00232D84">
            <w:pPr>
              <w:spacing w:line="480" w:lineRule="auto"/>
              <w:rPr>
                <w:rFonts w:ascii="Times New Roman" w:hAnsi="Times New Roman"/>
                <w:lang w:val="en-GB"/>
              </w:rPr>
            </w:pPr>
            <w:r>
              <w:rPr>
                <w:rFonts w:ascii="Times New Roman" w:hAnsi="Times New Roman"/>
              </w:rPr>
              <w:t>0.224; .01</w:t>
            </w:r>
            <w:r>
              <w:rPr>
                <w:rFonts w:ascii="Times New Roman" w:hAnsi="Times New Roman"/>
                <w:lang w:val="en-GB"/>
              </w:rPr>
              <w:t>*</w:t>
            </w:r>
          </w:p>
        </w:tc>
        <w:tc>
          <w:tcPr>
            <w:tcW w:w="1410" w:type="dxa"/>
          </w:tcPr>
          <w:p w:rsidR="00BC1D7C" w:rsidRDefault="00232D84">
            <w:pPr>
              <w:spacing w:line="480" w:lineRule="auto"/>
              <w:rPr>
                <w:rFonts w:ascii="Times New Roman" w:hAnsi="Times New Roman"/>
              </w:rPr>
            </w:pPr>
            <w:r>
              <w:rPr>
                <w:rFonts w:ascii="Times New Roman" w:hAnsi="Times New Roman"/>
              </w:rPr>
              <w:t>0.254; .06</w:t>
            </w:r>
          </w:p>
        </w:tc>
        <w:tc>
          <w:tcPr>
            <w:tcW w:w="1580" w:type="dxa"/>
          </w:tcPr>
          <w:p w:rsidR="00BC1D7C" w:rsidRDefault="00232D84">
            <w:pPr>
              <w:spacing w:line="480" w:lineRule="auto"/>
              <w:rPr>
                <w:rFonts w:ascii="Times New Roman" w:hAnsi="Times New Roman"/>
              </w:rPr>
            </w:pPr>
            <w:r>
              <w:rPr>
                <w:rFonts w:ascii="Times New Roman" w:hAnsi="Times New Roman"/>
              </w:rPr>
              <w:t>1</w:t>
            </w:r>
          </w:p>
        </w:tc>
        <w:tc>
          <w:tcPr>
            <w:tcW w:w="1520" w:type="dxa"/>
          </w:tcPr>
          <w:p w:rsidR="00BC1D7C" w:rsidRDefault="00232D84">
            <w:pPr>
              <w:spacing w:line="480" w:lineRule="auto"/>
              <w:rPr>
                <w:rFonts w:ascii="Times New Roman" w:hAnsi="Times New Roman"/>
                <w:lang w:val="en-GB"/>
              </w:rPr>
            </w:pPr>
            <w:r>
              <w:rPr>
                <w:rFonts w:ascii="Times New Roman" w:hAnsi="Times New Roman"/>
              </w:rPr>
              <w:t>-0.865; .009</w:t>
            </w:r>
            <w:r>
              <w:rPr>
                <w:rFonts w:ascii="Times New Roman" w:hAnsi="Times New Roman"/>
                <w:lang w:val="en-GB"/>
              </w:rPr>
              <w:t>*</w:t>
            </w:r>
          </w:p>
        </w:tc>
        <w:tc>
          <w:tcPr>
            <w:tcW w:w="1500" w:type="dxa"/>
          </w:tcPr>
          <w:p w:rsidR="00BC1D7C" w:rsidRDefault="00232D84">
            <w:pPr>
              <w:spacing w:line="480" w:lineRule="auto"/>
              <w:rPr>
                <w:rFonts w:ascii="Times New Roman" w:hAnsi="Times New Roman"/>
                <w:lang w:val="en-GB"/>
              </w:rPr>
            </w:pPr>
            <w:r>
              <w:rPr>
                <w:rFonts w:ascii="Times New Roman" w:hAnsi="Times New Roman"/>
              </w:rPr>
              <w:t>0.924; 0.006</w:t>
            </w:r>
            <w:r>
              <w:rPr>
                <w:rFonts w:ascii="Times New Roman" w:hAnsi="Times New Roman"/>
                <w:lang w:val="en-GB"/>
              </w:rPr>
              <w:t>*</w:t>
            </w:r>
          </w:p>
        </w:tc>
      </w:tr>
      <w:tr w:rsidR="00BC1D7C">
        <w:trPr>
          <w:trHeight w:val="467"/>
        </w:trPr>
        <w:tc>
          <w:tcPr>
            <w:tcW w:w="1398" w:type="dxa"/>
          </w:tcPr>
          <w:p w:rsidR="00BC1D7C" w:rsidRDefault="00232D84">
            <w:pPr>
              <w:spacing w:line="480" w:lineRule="auto"/>
              <w:rPr>
                <w:rFonts w:ascii="Times New Roman" w:hAnsi="Times New Roman"/>
              </w:rPr>
            </w:pPr>
            <w:r>
              <w:rPr>
                <w:rFonts w:ascii="Times New Roman" w:hAnsi="Times New Roman"/>
              </w:rPr>
              <w:t>MDA</w:t>
            </w:r>
          </w:p>
        </w:tc>
        <w:tc>
          <w:tcPr>
            <w:tcW w:w="1360" w:type="dxa"/>
          </w:tcPr>
          <w:p w:rsidR="00BC1D7C" w:rsidRDefault="00232D84">
            <w:pPr>
              <w:spacing w:line="480" w:lineRule="auto"/>
              <w:rPr>
                <w:rFonts w:ascii="Times New Roman" w:hAnsi="Times New Roman"/>
                <w:lang w:val="en-GB"/>
              </w:rPr>
            </w:pPr>
            <w:r>
              <w:rPr>
                <w:rFonts w:ascii="Times New Roman" w:hAnsi="Times New Roman"/>
              </w:rPr>
              <w:t xml:space="preserve">-0.079; </w:t>
            </w:r>
            <w:r>
              <w:rPr>
                <w:rFonts w:ascii="Times New Roman" w:eastAsia="Arial" w:hAnsi="Times New Roman"/>
              </w:rPr>
              <w:t>.6</w:t>
            </w:r>
            <w:r>
              <w:rPr>
                <w:rFonts w:ascii="Times New Roman" w:eastAsia="Arial" w:hAnsi="Times New Roman"/>
                <w:lang w:val="en-GB"/>
              </w:rPr>
              <w:t>1</w:t>
            </w:r>
          </w:p>
        </w:tc>
        <w:tc>
          <w:tcPr>
            <w:tcW w:w="1480" w:type="dxa"/>
          </w:tcPr>
          <w:p w:rsidR="00BC1D7C" w:rsidRDefault="00232D84">
            <w:pPr>
              <w:spacing w:line="480" w:lineRule="auto"/>
              <w:rPr>
                <w:rFonts w:ascii="Times New Roman" w:hAnsi="Times New Roman"/>
                <w:lang w:val="en-GB"/>
              </w:rPr>
            </w:pPr>
            <w:r>
              <w:rPr>
                <w:rFonts w:ascii="Times New Roman" w:hAnsi="Times New Roman"/>
              </w:rPr>
              <w:t xml:space="preserve">-0.165; </w:t>
            </w:r>
            <w:r>
              <w:rPr>
                <w:rFonts w:ascii="Times New Roman" w:eastAsia="Arial" w:hAnsi="Times New Roman"/>
              </w:rPr>
              <w:t>.047</w:t>
            </w:r>
            <w:r>
              <w:rPr>
                <w:rFonts w:ascii="Times New Roman" w:eastAsia="Arial" w:hAnsi="Times New Roman"/>
                <w:lang w:val="en-GB"/>
              </w:rPr>
              <w:t>*</w:t>
            </w:r>
          </w:p>
        </w:tc>
        <w:tc>
          <w:tcPr>
            <w:tcW w:w="1410" w:type="dxa"/>
          </w:tcPr>
          <w:p w:rsidR="00BC1D7C" w:rsidRDefault="00232D84">
            <w:pPr>
              <w:spacing w:line="480" w:lineRule="auto"/>
              <w:rPr>
                <w:rFonts w:ascii="Times New Roman" w:hAnsi="Times New Roman"/>
                <w:lang w:val="en-GB"/>
              </w:rPr>
            </w:pPr>
            <w:r>
              <w:rPr>
                <w:rFonts w:ascii="Times New Roman" w:hAnsi="Times New Roman"/>
              </w:rPr>
              <w:t>-0.121; .1</w:t>
            </w:r>
            <w:r>
              <w:rPr>
                <w:rFonts w:ascii="Times New Roman" w:hAnsi="Times New Roman"/>
                <w:lang w:val="en-GB"/>
              </w:rPr>
              <w:t>1</w:t>
            </w:r>
          </w:p>
        </w:tc>
        <w:tc>
          <w:tcPr>
            <w:tcW w:w="1580" w:type="dxa"/>
          </w:tcPr>
          <w:p w:rsidR="00BC1D7C" w:rsidRDefault="00232D84">
            <w:pPr>
              <w:spacing w:line="480" w:lineRule="auto"/>
              <w:rPr>
                <w:rFonts w:ascii="Times New Roman" w:hAnsi="Times New Roman"/>
                <w:lang w:val="en-GB"/>
              </w:rPr>
            </w:pPr>
            <w:r>
              <w:rPr>
                <w:rFonts w:ascii="Times New Roman" w:hAnsi="Times New Roman"/>
              </w:rPr>
              <w:t>-0.865; .009</w:t>
            </w:r>
            <w:r>
              <w:rPr>
                <w:rFonts w:ascii="Times New Roman" w:hAnsi="Times New Roman"/>
                <w:lang w:val="en-GB"/>
              </w:rPr>
              <w:t>*</w:t>
            </w:r>
          </w:p>
        </w:tc>
        <w:tc>
          <w:tcPr>
            <w:tcW w:w="1520" w:type="dxa"/>
          </w:tcPr>
          <w:p w:rsidR="00BC1D7C" w:rsidRDefault="00232D84">
            <w:pPr>
              <w:spacing w:line="480" w:lineRule="auto"/>
              <w:rPr>
                <w:rFonts w:ascii="Times New Roman" w:hAnsi="Times New Roman"/>
              </w:rPr>
            </w:pPr>
            <w:r>
              <w:rPr>
                <w:rFonts w:ascii="Times New Roman" w:hAnsi="Times New Roman"/>
              </w:rPr>
              <w:t>1</w:t>
            </w:r>
          </w:p>
        </w:tc>
        <w:tc>
          <w:tcPr>
            <w:tcW w:w="1500" w:type="dxa"/>
          </w:tcPr>
          <w:p w:rsidR="00BC1D7C" w:rsidRDefault="00232D84">
            <w:pPr>
              <w:spacing w:line="480" w:lineRule="auto"/>
              <w:rPr>
                <w:rFonts w:ascii="Times New Roman" w:hAnsi="Times New Roman"/>
                <w:lang w:val="en-GB"/>
              </w:rPr>
            </w:pPr>
            <w:r>
              <w:rPr>
                <w:rFonts w:ascii="Times New Roman" w:hAnsi="Times New Roman"/>
              </w:rPr>
              <w:t>-0.243; 0</w:t>
            </w:r>
            <w:r>
              <w:rPr>
                <w:rFonts w:ascii="Times New Roman" w:eastAsia="Arial" w:hAnsi="Times New Roman"/>
              </w:rPr>
              <w:t>.0</w:t>
            </w:r>
            <w:r>
              <w:rPr>
                <w:rFonts w:ascii="Times New Roman" w:eastAsia="Arial" w:hAnsi="Times New Roman"/>
                <w:lang w:val="en-GB"/>
              </w:rPr>
              <w:t>2*</w:t>
            </w:r>
          </w:p>
        </w:tc>
      </w:tr>
      <w:tr w:rsidR="00BC1D7C">
        <w:trPr>
          <w:trHeight w:val="477"/>
        </w:trPr>
        <w:tc>
          <w:tcPr>
            <w:tcW w:w="1398" w:type="dxa"/>
            <w:tcBorders>
              <w:bottom w:val="single" w:sz="4" w:space="0" w:color="auto"/>
            </w:tcBorders>
          </w:tcPr>
          <w:p w:rsidR="00BC1D7C" w:rsidRDefault="00232D84">
            <w:pPr>
              <w:spacing w:line="480" w:lineRule="auto"/>
              <w:rPr>
                <w:rFonts w:ascii="Times New Roman" w:hAnsi="Times New Roman"/>
              </w:rPr>
            </w:pPr>
            <w:proofErr w:type="spellStart"/>
            <w:r>
              <w:rPr>
                <w:rFonts w:ascii="Times New Roman" w:hAnsi="Times New Roman"/>
              </w:rPr>
              <w:t>GPx</w:t>
            </w:r>
            <w:proofErr w:type="spellEnd"/>
          </w:p>
        </w:tc>
        <w:tc>
          <w:tcPr>
            <w:tcW w:w="1360" w:type="dxa"/>
            <w:tcBorders>
              <w:bottom w:val="single" w:sz="4" w:space="0" w:color="auto"/>
            </w:tcBorders>
          </w:tcPr>
          <w:p w:rsidR="00BC1D7C" w:rsidRDefault="00232D84">
            <w:pPr>
              <w:spacing w:line="480" w:lineRule="auto"/>
              <w:rPr>
                <w:rFonts w:ascii="Times New Roman" w:hAnsi="Times New Roman"/>
                <w:lang w:val="en-GB"/>
              </w:rPr>
            </w:pPr>
            <w:r>
              <w:rPr>
                <w:rFonts w:ascii="Times New Roman" w:hAnsi="Times New Roman"/>
              </w:rPr>
              <w:t xml:space="preserve">-0.054; </w:t>
            </w:r>
            <w:r>
              <w:rPr>
                <w:rFonts w:ascii="Times New Roman" w:eastAsia="Arial" w:hAnsi="Times New Roman"/>
              </w:rPr>
              <w:t>.7</w:t>
            </w:r>
            <w:r>
              <w:rPr>
                <w:rFonts w:ascii="Times New Roman" w:eastAsia="Arial" w:hAnsi="Times New Roman"/>
                <w:lang w:val="en-GB"/>
              </w:rPr>
              <w:t>3</w:t>
            </w:r>
          </w:p>
        </w:tc>
        <w:tc>
          <w:tcPr>
            <w:tcW w:w="1480" w:type="dxa"/>
            <w:tcBorders>
              <w:bottom w:val="single" w:sz="4" w:space="0" w:color="auto"/>
            </w:tcBorders>
          </w:tcPr>
          <w:p w:rsidR="00BC1D7C" w:rsidRDefault="00232D84">
            <w:pPr>
              <w:spacing w:line="480" w:lineRule="auto"/>
              <w:rPr>
                <w:rFonts w:ascii="Times New Roman" w:eastAsia="Arial" w:hAnsi="Times New Roman"/>
              </w:rPr>
            </w:pPr>
            <w:r>
              <w:rPr>
                <w:rFonts w:ascii="Times New Roman" w:hAnsi="Times New Roman"/>
              </w:rPr>
              <w:t xml:space="preserve">0.059; </w:t>
            </w:r>
            <w:r>
              <w:rPr>
                <w:rFonts w:ascii="Times New Roman" w:eastAsia="Arial" w:hAnsi="Times New Roman"/>
              </w:rPr>
              <w:t xml:space="preserve">.07 </w:t>
            </w:r>
          </w:p>
        </w:tc>
        <w:tc>
          <w:tcPr>
            <w:tcW w:w="1410" w:type="dxa"/>
            <w:tcBorders>
              <w:bottom w:val="single" w:sz="4" w:space="0" w:color="auto"/>
            </w:tcBorders>
          </w:tcPr>
          <w:p w:rsidR="00BC1D7C" w:rsidRDefault="00232D84">
            <w:pPr>
              <w:spacing w:line="480" w:lineRule="auto"/>
              <w:rPr>
                <w:rFonts w:ascii="Times New Roman" w:hAnsi="Times New Roman"/>
                <w:lang w:val="en-GB"/>
              </w:rPr>
            </w:pPr>
            <w:r>
              <w:rPr>
                <w:rFonts w:ascii="Times New Roman" w:hAnsi="Times New Roman"/>
              </w:rPr>
              <w:t>0.209; .04</w:t>
            </w:r>
            <w:r>
              <w:rPr>
                <w:rFonts w:ascii="Times New Roman" w:hAnsi="Times New Roman"/>
                <w:lang w:val="en-GB"/>
              </w:rPr>
              <w:t>*</w:t>
            </w:r>
          </w:p>
        </w:tc>
        <w:tc>
          <w:tcPr>
            <w:tcW w:w="1580" w:type="dxa"/>
            <w:tcBorders>
              <w:bottom w:val="single" w:sz="4" w:space="0" w:color="auto"/>
            </w:tcBorders>
          </w:tcPr>
          <w:p w:rsidR="00BC1D7C" w:rsidRDefault="00232D84">
            <w:pPr>
              <w:spacing w:line="480" w:lineRule="auto"/>
              <w:rPr>
                <w:rFonts w:ascii="Times New Roman" w:hAnsi="Times New Roman"/>
                <w:lang w:val="en-GB"/>
              </w:rPr>
            </w:pPr>
            <w:r>
              <w:rPr>
                <w:rFonts w:ascii="Times New Roman" w:hAnsi="Times New Roman"/>
              </w:rPr>
              <w:t>0.924; .006</w:t>
            </w:r>
            <w:r>
              <w:rPr>
                <w:rFonts w:ascii="Times New Roman" w:hAnsi="Times New Roman"/>
                <w:lang w:val="en-GB"/>
              </w:rPr>
              <w:t>*</w:t>
            </w:r>
          </w:p>
        </w:tc>
        <w:tc>
          <w:tcPr>
            <w:tcW w:w="1520" w:type="dxa"/>
            <w:tcBorders>
              <w:bottom w:val="single" w:sz="4" w:space="0" w:color="auto"/>
            </w:tcBorders>
          </w:tcPr>
          <w:p w:rsidR="00BC1D7C" w:rsidRDefault="00232D84">
            <w:pPr>
              <w:spacing w:line="480" w:lineRule="auto"/>
              <w:rPr>
                <w:rFonts w:ascii="Times New Roman" w:hAnsi="Times New Roman"/>
                <w:lang w:val="en-GB"/>
              </w:rPr>
            </w:pPr>
            <w:r>
              <w:rPr>
                <w:rFonts w:ascii="Times New Roman" w:hAnsi="Times New Roman"/>
              </w:rPr>
              <w:t xml:space="preserve">-0.243; </w:t>
            </w:r>
            <w:r>
              <w:rPr>
                <w:rFonts w:ascii="Times New Roman" w:eastAsia="Arial" w:hAnsi="Times New Roman"/>
              </w:rPr>
              <w:t>.0</w:t>
            </w:r>
            <w:r>
              <w:rPr>
                <w:rFonts w:ascii="Times New Roman" w:eastAsia="Arial" w:hAnsi="Times New Roman"/>
                <w:lang w:val="en-GB"/>
              </w:rPr>
              <w:t>2*</w:t>
            </w:r>
          </w:p>
        </w:tc>
        <w:tc>
          <w:tcPr>
            <w:tcW w:w="1500" w:type="dxa"/>
            <w:tcBorders>
              <w:bottom w:val="single" w:sz="4" w:space="0" w:color="auto"/>
            </w:tcBorders>
          </w:tcPr>
          <w:p w:rsidR="00BC1D7C" w:rsidRDefault="00232D84">
            <w:pPr>
              <w:spacing w:line="480" w:lineRule="auto"/>
              <w:rPr>
                <w:rFonts w:ascii="Times New Roman" w:hAnsi="Times New Roman"/>
              </w:rPr>
            </w:pPr>
            <w:r>
              <w:rPr>
                <w:rFonts w:ascii="Times New Roman" w:hAnsi="Times New Roman"/>
              </w:rPr>
              <w:t>1</w:t>
            </w:r>
          </w:p>
        </w:tc>
      </w:tr>
    </w:tbl>
    <w:p w:rsidR="00BC1D7C" w:rsidRDefault="00BC1D7C">
      <w:pPr>
        <w:pStyle w:val="Body"/>
        <w:spacing w:after="0"/>
        <w:rPr>
          <w:rFonts w:ascii="Arial" w:hAnsi="Arial" w:cs="Arial"/>
        </w:rPr>
      </w:pPr>
    </w:p>
    <w:p w:rsidR="00BC1D7C" w:rsidRDefault="00BC1D7C">
      <w:pPr>
        <w:pStyle w:val="Body"/>
        <w:spacing w:after="0"/>
        <w:rPr>
          <w:rFonts w:ascii="Arial" w:hAnsi="Arial" w:cs="Arial"/>
        </w:rPr>
      </w:pPr>
    </w:p>
    <w:p w:rsidR="00BC1D7C" w:rsidRDefault="00232D84">
      <w:pPr>
        <w:pStyle w:val="Body"/>
        <w:spacing w:after="0"/>
        <w:rPr>
          <w:rFonts w:ascii="Arial" w:hAnsi="Arial"/>
        </w:rPr>
      </w:pPr>
      <w:r>
        <w:rPr>
          <w:rFonts w:ascii="Arial" w:hAnsi="Arial"/>
        </w:rPr>
        <w:t>Nausea and vomiting of pregnancy affect majority (70%) of women with onset at 6 to 8 weeks of gestation and resolving by 16 to 20 weeks (</w:t>
      </w:r>
      <w:proofErr w:type="spellStart"/>
      <w:r>
        <w:rPr>
          <w:rFonts w:ascii="Arial" w:hAnsi="Arial"/>
        </w:rPr>
        <w:t>Fejzo</w:t>
      </w:r>
      <w:proofErr w:type="spellEnd"/>
      <w:r>
        <w:rPr>
          <w:rFonts w:ascii="Arial" w:hAnsi="Arial"/>
        </w:rPr>
        <w:t xml:space="preserve"> </w:t>
      </w:r>
      <w:r>
        <w:rPr>
          <w:rFonts w:ascii="Arial" w:hAnsi="Arial"/>
          <w:i/>
          <w:iCs/>
        </w:rPr>
        <w:t>et al</w:t>
      </w:r>
      <w:r>
        <w:rPr>
          <w:rFonts w:ascii="Arial" w:hAnsi="Arial"/>
        </w:rPr>
        <w:t xml:space="preserve">., 2019). Its severe form, hyperemesis gravidarum (HG) has been reported in 0.3 to 10.8% of pregnant women (Jennings and </w:t>
      </w:r>
      <w:proofErr w:type="spellStart"/>
      <w:r>
        <w:rPr>
          <w:rFonts w:ascii="Arial" w:hAnsi="Arial"/>
        </w:rPr>
        <w:t>Mahdy</w:t>
      </w:r>
      <w:proofErr w:type="spellEnd"/>
      <w:r>
        <w:rPr>
          <w:rFonts w:ascii="Arial" w:hAnsi="Arial"/>
        </w:rPr>
        <w:t xml:space="preserve">, </w:t>
      </w:r>
      <w:r w:rsidR="002437BB">
        <w:rPr>
          <w:rFonts w:ascii="Arial" w:hAnsi="Arial"/>
        </w:rPr>
        <w:t>2023</w:t>
      </w:r>
      <w:r>
        <w:rPr>
          <w:rFonts w:ascii="Arial" w:hAnsi="Arial"/>
        </w:rPr>
        <w:t>), and associated with serious maternal and prenatal complications such as dehydration, electrolyte imbalance, ketoacidosis as well as increased risks for low birthweight (LBW), preterm birth (PTB), small-for-gestational-age (SGA) and perinatal death (</w:t>
      </w:r>
      <w:proofErr w:type="spellStart"/>
      <w:r>
        <w:rPr>
          <w:rFonts w:ascii="Arial" w:hAnsi="Arial"/>
        </w:rPr>
        <w:t>Gabra</w:t>
      </w:r>
      <w:proofErr w:type="spellEnd"/>
      <w:r>
        <w:rPr>
          <w:rFonts w:ascii="Arial" w:hAnsi="Arial"/>
        </w:rPr>
        <w:t xml:space="preserve">, 2018; </w:t>
      </w:r>
      <w:proofErr w:type="spellStart"/>
      <w:r>
        <w:rPr>
          <w:rFonts w:ascii="Arial" w:hAnsi="Arial"/>
        </w:rPr>
        <w:t>Vikanes</w:t>
      </w:r>
      <w:proofErr w:type="spellEnd"/>
      <w:r>
        <w:rPr>
          <w:rFonts w:ascii="Arial" w:hAnsi="Arial"/>
        </w:rPr>
        <w:t xml:space="preserve"> </w:t>
      </w:r>
      <w:r>
        <w:rPr>
          <w:rFonts w:ascii="Arial" w:hAnsi="Arial"/>
          <w:i/>
          <w:iCs/>
        </w:rPr>
        <w:t>et al</w:t>
      </w:r>
      <w:r>
        <w:rPr>
          <w:rFonts w:ascii="Arial" w:hAnsi="Arial"/>
        </w:rPr>
        <w:t>., 2013).</w:t>
      </w:r>
    </w:p>
    <w:p w:rsidR="00BC1D7C" w:rsidRDefault="00232D84">
      <w:pPr>
        <w:pStyle w:val="Body"/>
        <w:spacing w:after="0"/>
        <w:rPr>
          <w:rFonts w:ascii="Arial" w:hAnsi="Arial"/>
        </w:rPr>
      </w:pPr>
      <w:r>
        <w:rPr>
          <w:rFonts w:ascii="Arial" w:hAnsi="Arial"/>
        </w:rPr>
        <w:t xml:space="preserve">In this study, we observed that serum leptin concentration was increased among test subjects compared with the control group, this agrees with the study of </w:t>
      </w:r>
      <w:proofErr w:type="spellStart"/>
      <w:r>
        <w:rPr>
          <w:rFonts w:ascii="Arial" w:hAnsi="Arial"/>
        </w:rPr>
        <w:t>Elzeneny</w:t>
      </w:r>
      <w:proofErr w:type="spellEnd"/>
      <w:r>
        <w:rPr>
          <w:rFonts w:ascii="Arial" w:hAnsi="Arial"/>
        </w:rPr>
        <w:t xml:space="preserve"> </w:t>
      </w:r>
      <w:r>
        <w:rPr>
          <w:rFonts w:ascii="Arial" w:hAnsi="Arial"/>
          <w:i/>
          <w:iCs/>
        </w:rPr>
        <w:t>et al</w:t>
      </w:r>
      <w:r>
        <w:rPr>
          <w:rFonts w:ascii="Arial" w:hAnsi="Arial"/>
        </w:rPr>
        <w:t>. (2017), who reported that serum leptin was higher among patients with hyperemesis gravidarum. Leptin inhibits hunger and reg</w:t>
      </w:r>
      <w:bookmarkStart w:id="0" w:name="_GoBack"/>
      <w:bookmarkEnd w:id="0"/>
      <w:r>
        <w:rPr>
          <w:rFonts w:ascii="Arial" w:hAnsi="Arial"/>
        </w:rPr>
        <w:t>ulates energy balance. A decrease in leptin concentration triggers an increase in appetite and food cravings, while its increase inhibits the desire for food (</w:t>
      </w:r>
      <w:proofErr w:type="spellStart"/>
      <w:r>
        <w:rPr>
          <w:rFonts w:ascii="Arial" w:hAnsi="Arial"/>
        </w:rPr>
        <w:t>Picό</w:t>
      </w:r>
      <w:proofErr w:type="spellEnd"/>
      <w:r>
        <w:rPr>
          <w:rFonts w:ascii="Arial" w:hAnsi="Arial"/>
        </w:rPr>
        <w:t xml:space="preserve"> </w:t>
      </w:r>
      <w:r>
        <w:rPr>
          <w:rFonts w:ascii="Arial" w:hAnsi="Arial"/>
          <w:i/>
          <w:iCs/>
        </w:rPr>
        <w:t>et al</w:t>
      </w:r>
      <w:r>
        <w:rPr>
          <w:rFonts w:ascii="Arial" w:hAnsi="Arial"/>
        </w:rPr>
        <w:t xml:space="preserve">., 2003). Since a two-fold risk of anorexia nervosa has been reported among women with hyperemesis gravidarum (Mantel </w:t>
      </w:r>
      <w:r>
        <w:rPr>
          <w:rFonts w:ascii="Arial" w:hAnsi="Arial"/>
          <w:i/>
          <w:iCs/>
        </w:rPr>
        <w:t>et al</w:t>
      </w:r>
      <w:r>
        <w:rPr>
          <w:rFonts w:ascii="Arial" w:hAnsi="Arial"/>
        </w:rPr>
        <w:t xml:space="preserve">., 2020), it therefore suggests that the observed elevated serum leptin is responsible for decreased appetite in patients with HG. Increase in leptin concentration in HG has been associated with small for gestational age infants (SGA) and prematurity as well as adverse birth outcomes (McCarthy </w:t>
      </w:r>
      <w:r>
        <w:rPr>
          <w:rFonts w:ascii="Arial" w:hAnsi="Arial"/>
          <w:i/>
          <w:iCs/>
        </w:rPr>
        <w:t>et al</w:t>
      </w:r>
      <w:r>
        <w:rPr>
          <w:rFonts w:ascii="Arial" w:hAnsi="Arial"/>
        </w:rPr>
        <w:t xml:space="preserve">., 2014; Hu </w:t>
      </w:r>
      <w:r>
        <w:rPr>
          <w:rFonts w:ascii="Arial" w:hAnsi="Arial"/>
          <w:i/>
          <w:iCs/>
        </w:rPr>
        <w:t>et al</w:t>
      </w:r>
      <w:r>
        <w:rPr>
          <w:rFonts w:ascii="Arial" w:hAnsi="Arial"/>
        </w:rPr>
        <w:t xml:space="preserve">., 2017). This emphasizes the role of </w:t>
      </w:r>
      <w:proofErr w:type="spellStart"/>
      <w:r>
        <w:rPr>
          <w:rFonts w:ascii="Arial" w:hAnsi="Arial"/>
        </w:rPr>
        <w:t>hyperleptinaemia</w:t>
      </w:r>
      <w:proofErr w:type="spellEnd"/>
      <w:r>
        <w:rPr>
          <w:rFonts w:ascii="Arial" w:hAnsi="Arial"/>
        </w:rPr>
        <w:t xml:space="preserve"> in maternal nutritional inadequacy.</w:t>
      </w:r>
    </w:p>
    <w:p w:rsidR="00BC1D7C" w:rsidRDefault="00232D84">
      <w:pPr>
        <w:pStyle w:val="Body"/>
        <w:spacing w:after="0"/>
        <w:rPr>
          <w:rFonts w:ascii="Arial" w:hAnsi="Arial"/>
        </w:rPr>
      </w:pPr>
      <w:r>
        <w:rPr>
          <w:rFonts w:ascii="Arial" w:hAnsi="Arial"/>
        </w:rPr>
        <w:t xml:space="preserve">Additionally, the findings of this study showed that the body mass index in the HG group was significantly lower when compared with the control. This further showed the increased in leptin level in the study subjects is responsible for the low weights seen in pregnant women with Hyperemesis gravidarum. </w:t>
      </w:r>
      <w:proofErr w:type="spellStart"/>
      <w:r>
        <w:rPr>
          <w:rFonts w:ascii="Arial" w:hAnsi="Arial"/>
        </w:rPr>
        <w:t>Chortatos</w:t>
      </w:r>
      <w:proofErr w:type="spellEnd"/>
      <w:r>
        <w:rPr>
          <w:rFonts w:ascii="Arial" w:hAnsi="Arial"/>
        </w:rPr>
        <w:t xml:space="preserve"> </w:t>
      </w:r>
      <w:r>
        <w:rPr>
          <w:rFonts w:ascii="Arial" w:hAnsi="Arial"/>
          <w:i/>
          <w:iCs/>
        </w:rPr>
        <w:t>et al</w:t>
      </w:r>
      <w:r>
        <w:rPr>
          <w:rFonts w:ascii="Arial" w:hAnsi="Arial"/>
        </w:rPr>
        <w:t>. (2015) and the committee on practice bulletin-</w:t>
      </w:r>
      <w:proofErr w:type="spellStart"/>
      <w:r>
        <w:rPr>
          <w:rFonts w:ascii="Arial" w:hAnsi="Arial"/>
        </w:rPr>
        <w:t>obsterics</w:t>
      </w:r>
      <w:proofErr w:type="spellEnd"/>
      <w:r>
        <w:rPr>
          <w:rFonts w:ascii="Arial" w:hAnsi="Arial"/>
        </w:rPr>
        <w:t xml:space="preserve"> (2018) reported that the consequences of nausea and vomiting in pregnant women correlate with the severity of the symptom and ranges from reduced quality of life and depressive symptoms to preeclampsia, malnutrition, weight loss and dehydration. Thus, hyperemesis gravidarum can be seen as a condition requiring urgent medical attention due to its higher chances of resulting in an adverse birth outcome and the burden on maternal well-being.</w:t>
      </w:r>
    </w:p>
    <w:p w:rsidR="00BC1D7C" w:rsidRDefault="00232D84">
      <w:pPr>
        <w:pStyle w:val="Body"/>
        <w:spacing w:after="0"/>
        <w:rPr>
          <w:rFonts w:ascii="Arial" w:hAnsi="Arial"/>
        </w:rPr>
      </w:pPr>
      <w:r>
        <w:rPr>
          <w:rFonts w:ascii="Arial" w:hAnsi="Arial"/>
        </w:rPr>
        <w:t>Furthermore, this study found no significant difference between serum MDA levels in hyperemesis gravidarum patients compared with controls</w:t>
      </w:r>
      <w:r>
        <w:rPr>
          <w:rFonts w:ascii="Arial" w:hAnsi="Arial"/>
          <w:lang w:val="en-GB"/>
        </w:rPr>
        <w:t xml:space="preserve">, despite the significant elevation of other </w:t>
      </w:r>
      <w:r>
        <w:rPr>
          <w:rFonts w:ascii="Arial" w:hAnsi="Arial"/>
        </w:rPr>
        <w:t>oxidative stress and inflammatory markers such as glutathione peroxidase (</w:t>
      </w:r>
      <w:proofErr w:type="spellStart"/>
      <w:r>
        <w:rPr>
          <w:rFonts w:ascii="Arial" w:hAnsi="Arial"/>
        </w:rPr>
        <w:t>GPx</w:t>
      </w:r>
      <w:proofErr w:type="spellEnd"/>
      <w:r>
        <w:rPr>
          <w:rFonts w:ascii="Arial" w:hAnsi="Arial"/>
        </w:rPr>
        <w:t xml:space="preserve">), total antioxidant status (TAS), leptin, and </w:t>
      </w:r>
      <w:proofErr w:type="spellStart"/>
      <w:r>
        <w:rPr>
          <w:rFonts w:ascii="Arial" w:hAnsi="Arial"/>
        </w:rPr>
        <w:t>hsCRP</w:t>
      </w:r>
      <w:proofErr w:type="spellEnd"/>
      <w:r>
        <w:rPr>
          <w:rFonts w:ascii="Arial" w:hAnsi="Arial"/>
        </w:rPr>
        <w:t xml:space="preserve"> in HG patients. This observation contrasts with previous studies which reported increased serum MDA levels in patients with hyperemesis gravidarum (Abdul-Barry </w:t>
      </w:r>
      <w:r>
        <w:rPr>
          <w:rFonts w:ascii="Arial" w:hAnsi="Arial"/>
          <w:i/>
          <w:iCs/>
        </w:rPr>
        <w:t>et al</w:t>
      </w:r>
      <w:r>
        <w:rPr>
          <w:rFonts w:ascii="Arial" w:hAnsi="Arial"/>
        </w:rPr>
        <w:t xml:space="preserve">., 2010; </w:t>
      </w:r>
      <w:proofErr w:type="spellStart"/>
      <w:r>
        <w:rPr>
          <w:rFonts w:ascii="Arial" w:hAnsi="Arial"/>
        </w:rPr>
        <w:t>Biberoglu</w:t>
      </w:r>
      <w:proofErr w:type="spellEnd"/>
      <w:r>
        <w:rPr>
          <w:rFonts w:ascii="Arial" w:hAnsi="Arial"/>
        </w:rPr>
        <w:t xml:space="preserve"> </w:t>
      </w:r>
      <w:r>
        <w:rPr>
          <w:rFonts w:ascii="Arial" w:hAnsi="Arial"/>
          <w:i/>
          <w:iCs/>
        </w:rPr>
        <w:t>et al</w:t>
      </w:r>
      <w:r>
        <w:rPr>
          <w:rFonts w:ascii="Arial" w:hAnsi="Arial"/>
        </w:rPr>
        <w:t xml:space="preserve">., 2016).  This disparity might be due to the gestational age of study participants. In our study, all participants were within the first trimester of pregnancy, whereas in the study of Abdul-Barry </w:t>
      </w:r>
      <w:r>
        <w:rPr>
          <w:rFonts w:ascii="Arial" w:hAnsi="Arial"/>
          <w:i/>
          <w:iCs/>
        </w:rPr>
        <w:t>et al</w:t>
      </w:r>
      <w:r>
        <w:rPr>
          <w:rFonts w:ascii="Arial" w:hAnsi="Arial"/>
        </w:rPr>
        <w:t>. (2010), participants were spread across the three trimesters</w:t>
      </w:r>
      <w:r>
        <w:rPr>
          <w:rFonts w:ascii="Arial" w:hAnsi="Arial"/>
          <w:lang w:val="en-GB"/>
        </w:rPr>
        <w:t xml:space="preserve"> </w:t>
      </w:r>
      <w:r>
        <w:rPr>
          <w:rFonts w:ascii="Arial" w:hAnsi="Arial"/>
        </w:rPr>
        <w:t xml:space="preserve">during which oxidative stress and lipid peroxidation might increase progressively due to cumulative metabolic demand and placental maturation. </w:t>
      </w:r>
      <w:r>
        <w:rPr>
          <w:rFonts w:ascii="Arial" w:hAnsi="Arial"/>
          <w:lang w:val="en-GB"/>
        </w:rPr>
        <w:t>Furthermore, there is possibility of c</w:t>
      </w:r>
      <w:proofErr w:type="spellStart"/>
      <w:r>
        <w:rPr>
          <w:rFonts w:ascii="Arial" w:hAnsi="Arial"/>
        </w:rPr>
        <w:t>ompensatory</w:t>
      </w:r>
      <w:proofErr w:type="spellEnd"/>
      <w:r>
        <w:rPr>
          <w:rFonts w:ascii="Arial" w:hAnsi="Arial"/>
        </w:rPr>
        <w:t xml:space="preserve"> </w:t>
      </w:r>
      <w:r>
        <w:rPr>
          <w:rFonts w:ascii="Arial" w:hAnsi="Arial"/>
          <w:lang w:val="en-GB"/>
        </w:rPr>
        <w:t>a</w:t>
      </w:r>
      <w:proofErr w:type="spellStart"/>
      <w:r>
        <w:rPr>
          <w:rFonts w:ascii="Arial" w:hAnsi="Arial"/>
        </w:rPr>
        <w:t>ntioxidant</w:t>
      </w:r>
      <w:proofErr w:type="spellEnd"/>
      <w:r>
        <w:rPr>
          <w:rFonts w:ascii="Arial" w:hAnsi="Arial"/>
        </w:rPr>
        <w:t xml:space="preserve"> </w:t>
      </w:r>
      <w:r>
        <w:rPr>
          <w:rFonts w:ascii="Arial" w:hAnsi="Arial"/>
          <w:lang w:val="en-GB"/>
        </w:rPr>
        <w:t>r</w:t>
      </w:r>
      <w:proofErr w:type="spellStart"/>
      <w:r>
        <w:rPr>
          <w:rFonts w:ascii="Arial" w:hAnsi="Arial"/>
        </w:rPr>
        <w:t>esponse</w:t>
      </w:r>
      <w:proofErr w:type="spellEnd"/>
      <w:r>
        <w:rPr>
          <w:rFonts w:ascii="Arial" w:hAnsi="Arial"/>
          <w:lang w:val="en-GB"/>
        </w:rPr>
        <w:t xml:space="preserve"> with</w:t>
      </w:r>
      <w:r>
        <w:rPr>
          <w:rFonts w:ascii="Arial" w:hAnsi="Arial"/>
        </w:rPr>
        <w:t xml:space="preserve"> </w:t>
      </w:r>
      <w:r>
        <w:rPr>
          <w:rFonts w:ascii="Arial" w:hAnsi="Arial"/>
          <w:lang w:val="en-GB"/>
        </w:rPr>
        <w:t>e</w:t>
      </w:r>
      <w:proofErr w:type="spellStart"/>
      <w:r>
        <w:rPr>
          <w:rFonts w:ascii="Arial" w:hAnsi="Arial"/>
        </w:rPr>
        <w:t>levated</w:t>
      </w:r>
      <w:proofErr w:type="spellEnd"/>
      <w:r>
        <w:rPr>
          <w:rFonts w:ascii="Arial" w:hAnsi="Arial"/>
        </w:rPr>
        <w:t xml:space="preserve"> TAS and </w:t>
      </w:r>
      <w:proofErr w:type="spellStart"/>
      <w:r>
        <w:rPr>
          <w:rFonts w:ascii="Arial" w:hAnsi="Arial"/>
        </w:rPr>
        <w:t>GPx</w:t>
      </w:r>
      <w:proofErr w:type="spellEnd"/>
      <w:r>
        <w:rPr>
          <w:rFonts w:ascii="Arial" w:hAnsi="Arial"/>
        </w:rPr>
        <w:t xml:space="preserve"> levels in the HG group suggest</w:t>
      </w:r>
      <w:proofErr w:type="spellStart"/>
      <w:r>
        <w:rPr>
          <w:rFonts w:ascii="Arial" w:hAnsi="Arial"/>
          <w:lang w:val="en-GB"/>
        </w:rPr>
        <w:t>ing</w:t>
      </w:r>
      <w:proofErr w:type="spellEnd"/>
      <w:r>
        <w:rPr>
          <w:rFonts w:ascii="Arial" w:hAnsi="Arial"/>
          <w:lang w:val="en-GB"/>
        </w:rPr>
        <w:t xml:space="preserve"> </w:t>
      </w:r>
      <w:r>
        <w:rPr>
          <w:rFonts w:ascii="Arial" w:hAnsi="Arial"/>
        </w:rPr>
        <w:t>an enhanced antioxidant defense effectively neutralizing lipid peroxidation, thereby stabilizing MDA levels. This supports the idea of a protective shift rather than overt oxidative damage in early pregnancy.</w:t>
      </w:r>
    </w:p>
    <w:p w:rsidR="00BC1D7C" w:rsidRDefault="00232D84">
      <w:pPr>
        <w:pStyle w:val="Body"/>
        <w:spacing w:after="0"/>
        <w:rPr>
          <w:rFonts w:ascii="Arial" w:hAnsi="Arial"/>
        </w:rPr>
      </w:pPr>
      <w:r>
        <w:rPr>
          <w:rFonts w:ascii="Arial" w:hAnsi="Arial"/>
        </w:rPr>
        <w:t>Serum level of MDA has been used as a marker of lipid peroxidation and an important expression of oxidative stress (</w:t>
      </w:r>
      <w:proofErr w:type="spellStart"/>
      <w:r>
        <w:rPr>
          <w:rFonts w:ascii="Arial" w:hAnsi="Arial"/>
          <w:lang w:val="en-GB"/>
        </w:rPr>
        <w:t>Nesma</w:t>
      </w:r>
      <w:proofErr w:type="spellEnd"/>
      <w:r>
        <w:rPr>
          <w:rFonts w:ascii="Arial" w:hAnsi="Arial"/>
          <w:lang w:val="en-GB"/>
        </w:rPr>
        <w:t xml:space="preserve"> </w:t>
      </w:r>
      <w:r>
        <w:rPr>
          <w:rFonts w:ascii="Arial" w:hAnsi="Arial"/>
          <w:i/>
          <w:iCs/>
          <w:lang w:val="en-GB"/>
        </w:rPr>
        <w:t>et al</w:t>
      </w:r>
      <w:r>
        <w:rPr>
          <w:rFonts w:ascii="Arial" w:hAnsi="Arial"/>
          <w:lang w:val="en-GB"/>
        </w:rPr>
        <w:t>., 2021</w:t>
      </w:r>
      <w:r>
        <w:rPr>
          <w:rFonts w:ascii="Arial" w:hAnsi="Arial"/>
        </w:rPr>
        <w:t>). Our finding therefore suggests that excessive lipid peroxidation is not associated with hyperemesis gravidarum in the first trimester.</w:t>
      </w:r>
    </w:p>
    <w:p w:rsidR="00BC1D7C" w:rsidRDefault="00232D84">
      <w:pPr>
        <w:pStyle w:val="Body"/>
        <w:spacing w:after="0"/>
        <w:rPr>
          <w:rFonts w:ascii="Arial" w:hAnsi="Arial"/>
        </w:rPr>
      </w:pPr>
      <w:r>
        <w:rPr>
          <w:rFonts w:ascii="Arial" w:hAnsi="Arial"/>
        </w:rPr>
        <w:t xml:space="preserve">The lack of elevated MDA in HG, despite evidence of inflammation and increased antioxidant activity, indicates that oxidative stress in early pregnancy may be balanced by upregulated antioxidant mechanisms, particularly in women with hyperemesis gravidarum. Thus, MDA alone may not be a reliable indicator of oxidative stress in early HG and should be interpreted alongside TAS and </w:t>
      </w:r>
      <w:proofErr w:type="spellStart"/>
      <w:r>
        <w:rPr>
          <w:rFonts w:ascii="Arial" w:hAnsi="Arial"/>
        </w:rPr>
        <w:t>GPx</w:t>
      </w:r>
      <w:proofErr w:type="spellEnd"/>
      <w:r>
        <w:rPr>
          <w:rFonts w:ascii="Arial" w:hAnsi="Arial"/>
        </w:rPr>
        <w:t>.</w:t>
      </w:r>
    </w:p>
    <w:p w:rsidR="00BC1D7C" w:rsidRDefault="00232D84">
      <w:pPr>
        <w:pStyle w:val="Body"/>
        <w:spacing w:after="0"/>
        <w:rPr>
          <w:rFonts w:ascii="Arial" w:hAnsi="Arial"/>
        </w:rPr>
      </w:pPr>
      <w:r>
        <w:rPr>
          <w:rFonts w:ascii="Arial" w:hAnsi="Arial"/>
        </w:rPr>
        <w:t>The lack of equilibrium between reactive oxygen species (ROS) and the antioxidant defense systems causes oxidative stress. This study also showed an increased level of glutathione peroxidase (</w:t>
      </w:r>
      <w:proofErr w:type="spellStart"/>
      <w:r>
        <w:rPr>
          <w:rFonts w:ascii="Arial" w:hAnsi="Arial"/>
        </w:rPr>
        <w:t>GPx</w:t>
      </w:r>
      <w:proofErr w:type="spellEnd"/>
      <w:r>
        <w:rPr>
          <w:rFonts w:ascii="Arial" w:hAnsi="Arial"/>
        </w:rPr>
        <w:t xml:space="preserve">) in test subjects compared with controls. This finding implies oxidative stress is not associated with this condition. This is also in disagreement with studies done by Abdul-Barry </w:t>
      </w:r>
      <w:r>
        <w:rPr>
          <w:rFonts w:ascii="Arial" w:hAnsi="Arial"/>
          <w:i/>
          <w:iCs/>
        </w:rPr>
        <w:t>et al</w:t>
      </w:r>
      <w:r>
        <w:rPr>
          <w:rFonts w:ascii="Arial" w:hAnsi="Arial"/>
        </w:rPr>
        <w:t xml:space="preserve">., (2010). Various researchers have evaluated the relationship between oxidative stress </w:t>
      </w:r>
      <w:r>
        <w:rPr>
          <w:rFonts w:ascii="Arial" w:hAnsi="Arial"/>
        </w:rPr>
        <w:lastRenderedPageBreak/>
        <w:t xml:space="preserve">and hyperemesis gravidarum, but conflicting results have been reported on this relationship. Various studies have reported that plasma level enzyme antioxidants and non-enzymatic antioxidants are decreased, increased, or unchanged (Vidal et al., 2014). The total antioxidant status in this study was found to be significantly higher in the study subjects when compared with the control. The elevated </w:t>
      </w:r>
      <w:proofErr w:type="spellStart"/>
      <w:r>
        <w:rPr>
          <w:rFonts w:ascii="Arial" w:hAnsi="Arial"/>
        </w:rPr>
        <w:t>GPx</w:t>
      </w:r>
      <w:proofErr w:type="spellEnd"/>
      <w:r>
        <w:rPr>
          <w:rFonts w:ascii="Arial" w:hAnsi="Arial"/>
        </w:rPr>
        <w:t xml:space="preserve"> levels and TAS in the study subject, might be responsible for the reduced MDA or prevent its accumulation, thus masking lipid peroxidation.</w:t>
      </w:r>
    </w:p>
    <w:p w:rsidR="00BC1D7C" w:rsidRDefault="00232D84">
      <w:pPr>
        <w:pStyle w:val="Body"/>
        <w:spacing w:after="0"/>
        <w:rPr>
          <w:rFonts w:ascii="Arial" w:hAnsi="Arial"/>
        </w:rPr>
      </w:pPr>
      <w:r>
        <w:rPr>
          <w:rFonts w:ascii="Arial" w:hAnsi="Arial"/>
        </w:rPr>
        <w:t xml:space="preserve">Immune dysregulation and inflammation have been suggested to play an important role in the </w:t>
      </w:r>
      <w:proofErr w:type="spellStart"/>
      <w:r>
        <w:rPr>
          <w:rFonts w:ascii="Arial" w:hAnsi="Arial"/>
        </w:rPr>
        <w:t>aetiopathogenesis</w:t>
      </w:r>
      <w:proofErr w:type="spellEnd"/>
      <w:r>
        <w:rPr>
          <w:rFonts w:ascii="Arial" w:hAnsi="Arial"/>
        </w:rPr>
        <w:t xml:space="preserve"> of HG (</w:t>
      </w:r>
      <w:proofErr w:type="spellStart"/>
      <w:r>
        <w:rPr>
          <w:rFonts w:ascii="Arial" w:hAnsi="Arial"/>
        </w:rPr>
        <w:t>Yoyshio</w:t>
      </w:r>
      <w:proofErr w:type="spellEnd"/>
      <w:r>
        <w:rPr>
          <w:rFonts w:ascii="Arial" w:hAnsi="Arial"/>
        </w:rPr>
        <w:t xml:space="preserve"> et al., 2002). In this study, a significant increase in </w:t>
      </w:r>
      <w:proofErr w:type="spellStart"/>
      <w:r>
        <w:rPr>
          <w:rFonts w:ascii="Arial" w:hAnsi="Arial"/>
        </w:rPr>
        <w:t>hsCRP</w:t>
      </w:r>
      <w:proofErr w:type="spellEnd"/>
      <w:r>
        <w:rPr>
          <w:rFonts w:ascii="Arial" w:hAnsi="Arial"/>
        </w:rPr>
        <w:t xml:space="preserve"> was seen in the study subjects when compared with the control group. </w:t>
      </w:r>
      <w:proofErr w:type="spellStart"/>
      <w:r>
        <w:rPr>
          <w:rFonts w:ascii="Arial" w:hAnsi="Arial"/>
        </w:rPr>
        <w:t>HsCRP</w:t>
      </w:r>
      <w:proofErr w:type="spellEnd"/>
      <w:r>
        <w:rPr>
          <w:rFonts w:ascii="Arial" w:hAnsi="Arial"/>
        </w:rPr>
        <w:t xml:space="preserve"> has been </w:t>
      </w:r>
      <w:proofErr w:type="gramStart"/>
      <w:r>
        <w:rPr>
          <w:rFonts w:ascii="Arial" w:hAnsi="Arial"/>
        </w:rPr>
        <w:t>reported  to</w:t>
      </w:r>
      <w:proofErr w:type="gramEnd"/>
      <w:r>
        <w:rPr>
          <w:rFonts w:ascii="Arial" w:hAnsi="Arial"/>
        </w:rPr>
        <w:t xml:space="preserve"> be a major biochemical parameter used in various studies to depict hyperemesis gravidarum as an inflammatory process. The findings of the present study agree with </w:t>
      </w:r>
      <w:proofErr w:type="spellStart"/>
      <w:r>
        <w:rPr>
          <w:rFonts w:ascii="Arial" w:hAnsi="Arial"/>
        </w:rPr>
        <w:t>Ozlen</w:t>
      </w:r>
      <w:proofErr w:type="spellEnd"/>
      <w:r>
        <w:rPr>
          <w:rFonts w:ascii="Arial" w:hAnsi="Arial"/>
        </w:rPr>
        <w:t xml:space="preserve"> </w:t>
      </w:r>
      <w:r>
        <w:rPr>
          <w:rFonts w:ascii="Arial" w:hAnsi="Arial"/>
          <w:i/>
          <w:iCs/>
        </w:rPr>
        <w:t>et al</w:t>
      </w:r>
      <w:r>
        <w:rPr>
          <w:rFonts w:ascii="Arial" w:hAnsi="Arial"/>
        </w:rPr>
        <w:t xml:space="preserve">. (2020) who reported a significant high </w:t>
      </w:r>
      <w:proofErr w:type="spellStart"/>
      <w:r>
        <w:rPr>
          <w:rFonts w:ascii="Arial" w:hAnsi="Arial"/>
        </w:rPr>
        <w:t>hsCRP</w:t>
      </w:r>
      <w:proofErr w:type="spellEnd"/>
      <w:r>
        <w:rPr>
          <w:rFonts w:ascii="Arial" w:hAnsi="Arial"/>
        </w:rPr>
        <w:t xml:space="preserve"> level in pregnant women with hyperemesis gravidarum when compared with women without HG. However, Yilmaz </w:t>
      </w:r>
      <w:r>
        <w:rPr>
          <w:rFonts w:ascii="Arial" w:hAnsi="Arial"/>
          <w:i/>
          <w:iCs/>
        </w:rPr>
        <w:t>et al</w:t>
      </w:r>
      <w:r>
        <w:rPr>
          <w:rFonts w:ascii="Arial" w:hAnsi="Arial"/>
        </w:rPr>
        <w:t xml:space="preserve">. (2016) reported no significant difference in </w:t>
      </w:r>
      <w:proofErr w:type="spellStart"/>
      <w:r>
        <w:rPr>
          <w:rFonts w:ascii="Arial" w:hAnsi="Arial"/>
        </w:rPr>
        <w:t>hsCRP</w:t>
      </w:r>
      <w:proofErr w:type="spellEnd"/>
      <w:r>
        <w:rPr>
          <w:rFonts w:ascii="Arial" w:hAnsi="Arial"/>
        </w:rPr>
        <w:t xml:space="preserve"> level in women with HG and control. Furthermore, </w:t>
      </w:r>
      <w:proofErr w:type="gramStart"/>
      <w:r>
        <w:rPr>
          <w:rFonts w:ascii="Arial" w:hAnsi="Arial"/>
        </w:rPr>
        <w:t>other  proven</w:t>
      </w:r>
      <w:proofErr w:type="gramEnd"/>
      <w:r>
        <w:rPr>
          <w:rFonts w:ascii="Arial" w:hAnsi="Arial"/>
        </w:rPr>
        <w:t xml:space="preserve"> indicators of inflammation such as C-reactive protein, </w:t>
      </w:r>
      <w:proofErr w:type="spellStart"/>
      <w:r>
        <w:rPr>
          <w:rFonts w:ascii="Arial" w:hAnsi="Arial"/>
        </w:rPr>
        <w:t>Vaspin</w:t>
      </w:r>
      <w:proofErr w:type="spellEnd"/>
      <w:r>
        <w:rPr>
          <w:rFonts w:ascii="Arial" w:hAnsi="Arial"/>
        </w:rPr>
        <w:t xml:space="preserve">, interleukin-6 (IL-6) and </w:t>
      </w:r>
      <w:proofErr w:type="spellStart"/>
      <w:r>
        <w:rPr>
          <w:rFonts w:ascii="Arial" w:hAnsi="Arial"/>
        </w:rPr>
        <w:t>tumour</w:t>
      </w:r>
      <w:proofErr w:type="spellEnd"/>
      <w:r>
        <w:rPr>
          <w:rFonts w:ascii="Arial" w:hAnsi="Arial"/>
        </w:rPr>
        <w:t xml:space="preserve"> necrosis factor (TNF-α) have been reported to be elevated in women with HG, thus underscoring the role of inflammation in the pathogenesis of HG (</w:t>
      </w:r>
      <w:proofErr w:type="spellStart"/>
      <w:r>
        <w:rPr>
          <w:rFonts w:ascii="Arial" w:hAnsi="Arial"/>
        </w:rPr>
        <w:t>Engin-Ustin</w:t>
      </w:r>
      <w:proofErr w:type="spellEnd"/>
      <w:r>
        <w:rPr>
          <w:rFonts w:ascii="Arial" w:hAnsi="Arial"/>
        </w:rPr>
        <w:t xml:space="preserve"> </w:t>
      </w:r>
      <w:r>
        <w:rPr>
          <w:rFonts w:ascii="Arial" w:hAnsi="Arial"/>
          <w:i/>
          <w:iCs/>
        </w:rPr>
        <w:t>et al</w:t>
      </w:r>
      <w:r>
        <w:rPr>
          <w:rFonts w:ascii="Arial" w:hAnsi="Arial"/>
        </w:rPr>
        <w:t>., 2013).</w:t>
      </w:r>
    </w:p>
    <w:p w:rsidR="00BC1D7C" w:rsidRDefault="00BC1D7C">
      <w:pPr>
        <w:pStyle w:val="Body"/>
        <w:spacing w:after="0"/>
        <w:rPr>
          <w:rFonts w:ascii="Arial" w:hAnsi="Arial"/>
        </w:rPr>
      </w:pPr>
    </w:p>
    <w:p w:rsidR="00BC1D7C" w:rsidRDefault="00BC1D7C">
      <w:pPr>
        <w:pStyle w:val="Body"/>
        <w:spacing w:after="0"/>
        <w:rPr>
          <w:rFonts w:ascii="Arial" w:hAnsi="Arial" w:cs="Arial"/>
        </w:rPr>
      </w:pPr>
    </w:p>
    <w:p w:rsidR="00BC1D7C" w:rsidRDefault="00232D84">
      <w:pPr>
        <w:pStyle w:val="ConcHead"/>
        <w:spacing w:after="0"/>
        <w:jc w:val="both"/>
        <w:rPr>
          <w:rFonts w:ascii="Arial" w:hAnsi="Arial" w:cs="Arial"/>
        </w:rPr>
      </w:pPr>
      <w:r>
        <w:rPr>
          <w:rFonts w:ascii="Arial" w:hAnsi="Arial" w:cs="Arial"/>
        </w:rPr>
        <w:t>4. Conclusion</w:t>
      </w:r>
    </w:p>
    <w:p w:rsidR="00BC1D7C" w:rsidRDefault="00BC1D7C">
      <w:pPr>
        <w:pStyle w:val="ConcHead"/>
        <w:spacing w:after="0"/>
        <w:jc w:val="both"/>
        <w:rPr>
          <w:rFonts w:ascii="Arial" w:hAnsi="Arial" w:cs="Arial"/>
        </w:rPr>
      </w:pPr>
    </w:p>
    <w:p w:rsidR="00BC1D7C" w:rsidRDefault="00232D84">
      <w:pPr>
        <w:pStyle w:val="Body"/>
        <w:spacing w:after="0"/>
        <w:rPr>
          <w:rFonts w:ascii="Arial" w:hAnsi="Arial"/>
        </w:rPr>
      </w:pPr>
      <w:r>
        <w:rPr>
          <w:rFonts w:ascii="Arial" w:hAnsi="Arial"/>
        </w:rPr>
        <w:t xml:space="preserve">Hyperemesis gravidarum is associated with elevated leptin and </w:t>
      </w:r>
      <w:proofErr w:type="spellStart"/>
      <w:r>
        <w:rPr>
          <w:rFonts w:ascii="Arial" w:hAnsi="Arial"/>
        </w:rPr>
        <w:t>hsCRP</w:t>
      </w:r>
      <w:proofErr w:type="spellEnd"/>
      <w:r>
        <w:rPr>
          <w:rFonts w:ascii="Arial" w:hAnsi="Arial"/>
        </w:rPr>
        <w:t xml:space="preserve"> levels, suggesting an inflammatory component. The concurrent rise in TAS and </w:t>
      </w:r>
      <w:proofErr w:type="spellStart"/>
      <w:r>
        <w:rPr>
          <w:rFonts w:ascii="Arial" w:hAnsi="Arial"/>
        </w:rPr>
        <w:t>GPx</w:t>
      </w:r>
      <w:proofErr w:type="spellEnd"/>
      <w:r>
        <w:rPr>
          <w:rFonts w:ascii="Arial" w:hAnsi="Arial"/>
        </w:rPr>
        <w:t>, despite stable MDA levels, indicates a compensatory antioxidant response rather than overt oxidative damage. These findings highlight leptin's possible role in modulating inflammation and redox balance during early pregnancy.</w:t>
      </w:r>
    </w:p>
    <w:p w:rsidR="00BC1D7C" w:rsidRDefault="00BC1D7C">
      <w:pPr>
        <w:pStyle w:val="Body"/>
        <w:spacing w:after="0"/>
        <w:rPr>
          <w:rFonts w:ascii="Arial" w:hAnsi="Arial" w:cs="Arial"/>
        </w:rPr>
      </w:pPr>
    </w:p>
    <w:p w:rsidR="00BC1D7C" w:rsidRDefault="00BC1D7C"/>
    <w:p w:rsidR="00BC1D7C" w:rsidRDefault="00BC1D7C">
      <w:pPr>
        <w:pStyle w:val="Author"/>
        <w:wordWrap w:val="0"/>
        <w:spacing w:line="240" w:lineRule="auto"/>
        <w:rPr>
          <w:rFonts w:ascii="Arial" w:hAnsi="Arial" w:cs="Arial"/>
          <w:lang w:val="en-GB"/>
        </w:rPr>
      </w:pPr>
    </w:p>
    <w:p w:rsidR="00BC1D7C" w:rsidRDefault="00232D84">
      <w:pPr>
        <w:pStyle w:val="ReferHead"/>
        <w:spacing w:after="0"/>
        <w:jc w:val="both"/>
        <w:rPr>
          <w:rFonts w:ascii="Arial" w:hAnsi="Arial" w:cs="Arial"/>
          <w:bCs/>
        </w:rPr>
      </w:pPr>
      <w:r>
        <w:rPr>
          <w:rFonts w:ascii="Arial" w:hAnsi="Arial" w:cs="Arial"/>
          <w:bCs/>
        </w:rPr>
        <w:t>Consent</w:t>
      </w:r>
    </w:p>
    <w:p w:rsidR="00BC1D7C" w:rsidRDefault="00BC1D7C">
      <w:pPr>
        <w:pStyle w:val="ReferHead"/>
        <w:spacing w:after="0"/>
        <w:jc w:val="both"/>
        <w:rPr>
          <w:rFonts w:ascii="Arial" w:hAnsi="Arial" w:cs="Arial"/>
          <w:bCs/>
        </w:rPr>
      </w:pPr>
    </w:p>
    <w:p w:rsidR="00BC1D7C" w:rsidRDefault="00232D84">
      <w:pPr>
        <w:pStyle w:val="ReferHead"/>
        <w:spacing w:after="0"/>
        <w:jc w:val="both"/>
        <w:rPr>
          <w:rFonts w:ascii="Arial" w:hAnsi="Arial" w:cs="Arial"/>
          <w:b w:val="0"/>
          <w:caps w:val="0"/>
          <w:sz w:val="20"/>
        </w:rPr>
      </w:pPr>
      <w:r>
        <w:rPr>
          <w:rFonts w:ascii="Arial" w:hAnsi="Arial" w:cs="Arial"/>
          <w:b w:val="0"/>
          <w:caps w:val="0"/>
          <w:sz w:val="20"/>
        </w:rPr>
        <w:t>All authors declare that ‘written informed consent was obtained from the patient</w:t>
      </w:r>
      <w:r>
        <w:rPr>
          <w:rFonts w:ascii="Arial" w:hAnsi="Arial" w:cs="Arial"/>
          <w:b w:val="0"/>
          <w:caps w:val="0"/>
          <w:sz w:val="20"/>
          <w:lang w:val="en-GB"/>
        </w:rPr>
        <w:t>s</w:t>
      </w:r>
      <w:r>
        <w:rPr>
          <w:rFonts w:ascii="Arial" w:hAnsi="Arial" w:cs="Arial"/>
          <w:b w:val="0"/>
          <w:caps w:val="0"/>
          <w:sz w:val="20"/>
        </w:rPr>
        <w:t>. A copy of the written consent is available for review by the Editorial office/Chief Editor/Editorial Board members of this journal.</w:t>
      </w:r>
    </w:p>
    <w:p w:rsidR="00BC1D7C" w:rsidRDefault="00BC1D7C">
      <w:pPr>
        <w:pStyle w:val="ReferHead"/>
        <w:spacing w:after="0"/>
        <w:jc w:val="both"/>
        <w:rPr>
          <w:rFonts w:ascii="Arial" w:hAnsi="Arial" w:cs="Arial"/>
          <w:b w:val="0"/>
          <w:caps w:val="0"/>
          <w:sz w:val="20"/>
        </w:rPr>
      </w:pPr>
    </w:p>
    <w:p w:rsidR="00BC1D7C" w:rsidRDefault="00BC1D7C">
      <w:pPr>
        <w:pStyle w:val="ReferHead"/>
        <w:spacing w:after="0"/>
        <w:jc w:val="both"/>
        <w:rPr>
          <w:rFonts w:ascii="Arial" w:hAnsi="Arial" w:cs="Arial"/>
          <w:b w:val="0"/>
          <w:caps w:val="0"/>
          <w:sz w:val="20"/>
        </w:rPr>
      </w:pPr>
    </w:p>
    <w:p w:rsidR="00BC1D7C" w:rsidRDefault="00232D84">
      <w:pPr>
        <w:pStyle w:val="ReferHead"/>
        <w:spacing w:after="0"/>
        <w:jc w:val="both"/>
        <w:rPr>
          <w:rFonts w:ascii="Arial" w:hAnsi="Arial" w:cs="Arial"/>
          <w:bCs/>
        </w:rPr>
      </w:pPr>
      <w:r>
        <w:rPr>
          <w:rFonts w:ascii="Arial" w:hAnsi="Arial" w:cs="Arial"/>
          <w:bCs/>
        </w:rPr>
        <w:t>Ethical approval</w:t>
      </w:r>
    </w:p>
    <w:p w:rsidR="00BC1D7C" w:rsidRDefault="00BC1D7C">
      <w:pPr>
        <w:pStyle w:val="ReferHead"/>
        <w:spacing w:after="0"/>
        <w:jc w:val="both"/>
        <w:rPr>
          <w:rFonts w:ascii="Arial" w:hAnsi="Arial" w:cs="Arial"/>
          <w:bCs/>
        </w:rPr>
      </w:pPr>
    </w:p>
    <w:p w:rsidR="00BC1D7C" w:rsidRDefault="00232D84">
      <w:pPr>
        <w:pStyle w:val="Body"/>
        <w:spacing w:after="0"/>
        <w:rPr>
          <w:rFonts w:ascii="Arial" w:hAnsi="Arial" w:cs="Arial"/>
        </w:rPr>
      </w:pPr>
      <w:r>
        <w:rPr>
          <w:rFonts w:ascii="Arial" w:hAnsi="Arial"/>
        </w:rPr>
        <w:t>Ethical consideration: Ethical approval was obtained from Babcock University Health Research Ethics Committee (BUHREC) with approval number - BUHREC638/21.</w:t>
      </w:r>
      <w:r>
        <w:rPr>
          <w:rFonts w:ascii="Arial" w:hAnsi="Arial"/>
          <w:lang w:val="en-GB"/>
        </w:rPr>
        <w:t xml:space="preserve"> </w:t>
      </w:r>
      <w:r>
        <w:rPr>
          <w:rFonts w:ascii="Arial" w:hAnsi="Arial" w:cs="Arial"/>
        </w:rPr>
        <w:t>All authors hereby declare that all experiments have been examined and approved by the appropriate ethics committee and have therefore been performed in accordance with the ethical standards laid down in the 1964 Declaration of Helsinki.</w:t>
      </w:r>
    </w:p>
    <w:p w:rsidR="00BC1D7C" w:rsidRDefault="00BC1D7C">
      <w:pPr>
        <w:pStyle w:val="Body"/>
        <w:spacing w:after="0"/>
        <w:rPr>
          <w:rFonts w:ascii="Arial" w:hAnsi="Arial" w:cs="Arial"/>
          <w:u w:val="single"/>
        </w:rPr>
      </w:pPr>
    </w:p>
    <w:p w:rsidR="00BC1D7C" w:rsidRDefault="00BC1D7C">
      <w:pPr>
        <w:pStyle w:val="Body"/>
        <w:spacing w:after="0"/>
        <w:rPr>
          <w:rFonts w:ascii="Arial" w:hAnsi="Arial" w:cs="Arial"/>
          <w:u w:val="single"/>
        </w:rPr>
      </w:pPr>
    </w:p>
    <w:p w:rsidR="00BC1D7C" w:rsidRPr="00EC158C" w:rsidRDefault="00BC1D7C">
      <w:pPr>
        <w:pStyle w:val="Body"/>
        <w:spacing w:after="0"/>
        <w:rPr>
          <w:rFonts w:ascii="Arial" w:hAnsi="Arial" w:cs="Arial"/>
          <w:b/>
          <w:u w:val="single"/>
        </w:rPr>
      </w:pPr>
    </w:p>
    <w:p w:rsidR="00BC1D7C" w:rsidRPr="00EC158C" w:rsidRDefault="00232D84">
      <w:pPr>
        <w:rPr>
          <w:rFonts w:ascii="Calibri" w:eastAsia="Calibri" w:hAnsi="Calibri"/>
          <w:b/>
          <w:kern w:val="2"/>
          <w:highlight w:val="yellow"/>
        </w:rPr>
      </w:pPr>
      <w:bookmarkStart w:id="1" w:name="_Hlk183680988"/>
      <w:bookmarkStart w:id="2" w:name="_Hlk197173371"/>
      <w:bookmarkStart w:id="3" w:name="_Hlk180402183"/>
      <w:bookmarkStart w:id="4" w:name="_Hlk201835975"/>
      <w:bookmarkStart w:id="5" w:name="_Hlk193540946"/>
      <w:r w:rsidRPr="00EC158C">
        <w:rPr>
          <w:rFonts w:ascii="Calibri" w:eastAsia="Calibri" w:hAnsi="Calibri"/>
          <w:b/>
          <w:kern w:val="2"/>
          <w:highlight w:val="yellow"/>
        </w:rPr>
        <w:t>Disclaimer (Artificial intelligence)</w:t>
      </w:r>
    </w:p>
    <w:p w:rsidR="00BC1D7C" w:rsidRDefault="00232D84">
      <w:pPr>
        <w:rPr>
          <w:rFonts w:ascii="Calibri" w:eastAsia="Calibri" w:hAnsi="Calibri"/>
          <w:kern w:val="2"/>
          <w:highlight w:val="yellow"/>
        </w:rPr>
      </w:pPr>
      <w:r>
        <w:rPr>
          <w:rFonts w:ascii="Calibri" w:eastAsia="Calibri" w:hAnsi="Calibri"/>
          <w:kern w:val="2"/>
          <w:highlight w:val="yellow"/>
        </w:rPr>
        <w:t xml:space="preserve">Option 1: </w:t>
      </w:r>
    </w:p>
    <w:p w:rsidR="00BC1D7C" w:rsidRDefault="00232D84">
      <w:pPr>
        <w:rPr>
          <w:rFonts w:ascii="Calibri" w:eastAsia="Calibri" w:hAnsi="Calibri"/>
          <w:kern w:val="2"/>
          <w:highlight w:val="yellow"/>
        </w:rPr>
      </w:pPr>
      <w:r>
        <w:rPr>
          <w:rFonts w:ascii="Calibri" w:eastAsia="Calibri" w:hAnsi="Calibri"/>
          <w:kern w:val="2"/>
          <w:highlight w:val="yellow"/>
        </w:rPr>
        <w:t>Author(s) hereby declare that NO generative AI technologies such as Large Language Models (</w:t>
      </w:r>
      <w:proofErr w:type="spellStart"/>
      <w:r>
        <w:rPr>
          <w:rFonts w:ascii="Calibri" w:eastAsia="Calibri" w:hAnsi="Calibri"/>
          <w:kern w:val="2"/>
          <w:highlight w:val="yellow"/>
        </w:rPr>
        <w:t>ChatGPT</w:t>
      </w:r>
      <w:proofErr w:type="spellEnd"/>
      <w:r>
        <w:rPr>
          <w:rFonts w:ascii="Calibri" w:eastAsia="Calibri" w:hAnsi="Calibri"/>
          <w:kern w:val="2"/>
          <w:highlight w:val="yellow"/>
        </w:rPr>
        <w:t>, manuscript</w:t>
      </w:r>
      <w:r>
        <w:rPr>
          <w:rFonts w:ascii="Calibri" w:eastAsia="Calibri" w:hAnsi="Calibri"/>
          <w:kern w:val="2"/>
          <w:highlight w:val="yellow"/>
          <w:lang w:val="en-GB"/>
        </w:rPr>
        <w:t xml:space="preserve">, etc.) </w:t>
      </w:r>
      <w:r>
        <w:rPr>
          <w:rFonts w:ascii="Calibri" w:eastAsia="Calibri" w:hAnsi="Calibri"/>
          <w:kern w:val="2"/>
          <w:highlight w:val="yellow"/>
        </w:rPr>
        <w:t xml:space="preserve">have been used during the writing or editing of manuscripts. </w:t>
      </w:r>
    </w:p>
    <w:bookmarkEnd w:id="1"/>
    <w:bookmarkEnd w:id="2"/>
    <w:bookmarkEnd w:id="3"/>
    <w:bookmarkEnd w:id="4"/>
    <w:bookmarkEnd w:id="5"/>
    <w:p w:rsidR="00BC1D7C" w:rsidRDefault="00BC1D7C">
      <w:pPr>
        <w:pStyle w:val="Body"/>
        <w:spacing w:after="0"/>
        <w:rPr>
          <w:rFonts w:ascii="Arial" w:hAnsi="Arial" w:cs="Arial"/>
          <w:u w:val="single"/>
        </w:rPr>
      </w:pPr>
    </w:p>
    <w:p w:rsidR="00BC1D7C" w:rsidRDefault="00BC1D7C">
      <w:pPr>
        <w:pStyle w:val="ReferHead"/>
        <w:spacing w:after="0"/>
        <w:jc w:val="both"/>
        <w:rPr>
          <w:rFonts w:ascii="Arial" w:hAnsi="Arial" w:cs="Arial"/>
        </w:rPr>
      </w:pPr>
    </w:p>
    <w:p w:rsidR="00BC1D7C" w:rsidRDefault="00232D84">
      <w:pPr>
        <w:pStyle w:val="ReferHead"/>
        <w:spacing w:after="0"/>
        <w:jc w:val="both"/>
        <w:rPr>
          <w:rFonts w:ascii="Arial" w:hAnsi="Arial" w:cs="Arial"/>
        </w:rPr>
      </w:pPr>
      <w:r>
        <w:rPr>
          <w:rFonts w:ascii="Arial" w:hAnsi="Arial" w:cs="Arial"/>
        </w:rPr>
        <w:t>References</w:t>
      </w:r>
    </w:p>
    <w:p w:rsidR="00BC1D7C" w:rsidRDefault="00BC1D7C">
      <w:pPr>
        <w:pStyle w:val="ReferHead"/>
        <w:spacing w:after="0"/>
        <w:jc w:val="both"/>
        <w:rPr>
          <w:rFonts w:ascii="Arial" w:hAnsi="Arial" w:cs="Arial"/>
        </w:rPr>
      </w:pPr>
    </w:p>
    <w:p w:rsidR="00BC1D7C" w:rsidRDefault="00232D84">
      <w:pPr>
        <w:pStyle w:val="ListParagraph"/>
        <w:numPr>
          <w:ilvl w:val="0"/>
          <w:numId w:val="2"/>
        </w:numPr>
        <w:autoSpaceDE w:val="0"/>
        <w:autoSpaceDN w:val="0"/>
        <w:adjustRightInd w:val="0"/>
        <w:ind w:left="450"/>
        <w:jc w:val="both"/>
        <w:rPr>
          <w:rFonts w:ascii="Arial" w:hAnsi="Arial" w:cs="Arial"/>
          <w:color w:val="222222"/>
          <w:shd w:val="clear" w:color="auto" w:fill="FFFFFF"/>
        </w:rPr>
      </w:pPr>
      <w:proofErr w:type="spellStart"/>
      <w:r>
        <w:rPr>
          <w:rFonts w:ascii="Arial" w:hAnsi="Arial" w:cs="Arial"/>
        </w:rPr>
        <w:t>Fejzo</w:t>
      </w:r>
      <w:proofErr w:type="spellEnd"/>
      <w:r>
        <w:rPr>
          <w:rFonts w:ascii="Arial" w:hAnsi="Arial" w:cs="Arial"/>
        </w:rPr>
        <w:t xml:space="preserve"> MS, </w:t>
      </w:r>
      <w:proofErr w:type="spellStart"/>
      <w:r>
        <w:rPr>
          <w:rFonts w:ascii="Arial" w:hAnsi="Arial" w:cs="Arial"/>
        </w:rPr>
        <w:t>Trovik</w:t>
      </w:r>
      <w:proofErr w:type="spellEnd"/>
      <w:r>
        <w:rPr>
          <w:rFonts w:ascii="Arial" w:hAnsi="Arial" w:cs="Arial"/>
        </w:rPr>
        <w:t xml:space="preserve"> J, </w:t>
      </w:r>
      <w:proofErr w:type="spellStart"/>
      <w:r>
        <w:rPr>
          <w:rFonts w:ascii="Arial" w:hAnsi="Arial" w:cs="Arial"/>
        </w:rPr>
        <w:t>Grooten</w:t>
      </w:r>
      <w:proofErr w:type="spellEnd"/>
      <w:r>
        <w:rPr>
          <w:rFonts w:ascii="Arial" w:hAnsi="Arial" w:cs="Arial"/>
        </w:rPr>
        <w:t xml:space="preserve"> IJ, Sridharan K, </w:t>
      </w:r>
      <w:proofErr w:type="spellStart"/>
      <w:r>
        <w:rPr>
          <w:rFonts w:ascii="Arial" w:hAnsi="Arial" w:cs="Arial"/>
        </w:rPr>
        <w:t>Roseboom</w:t>
      </w:r>
      <w:proofErr w:type="spellEnd"/>
      <w:r>
        <w:rPr>
          <w:rFonts w:ascii="Arial" w:hAnsi="Arial" w:cs="Arial"/>
        </w:rPr>
        <w:t xml:space="preserve"> TJ, </w:t>
      </w:r>
      <w:proofErr w:type="spellStart"/>
      <w:r>
        <w:rPr>
          <w:rFonts w:ascii="Arial" w:hAnsi="Arial" w:cs="Arial"/>
        </w:rPr>
        <w:t>Vikanes</w:t>
      </w:r>
      <w:proofErr w:type="spellEnd"/>
      <w:r>
        <w:rPr>
          <w:rFonts w:ascii="Arial" w:hAnsi="Arial" w:cs="Arial"/>
        </w:rPr>
        <w:t xml:space="preserve"> A, et al. Nausea and vomiting of pregnancy and hyperemesis gravidarum. Nat Rev Dis Primers. (2019) 5:62. </w:t>
      </w:r>
      <w:proofErr w:type="spellStart"/>
      <w:r>
        <w:rPr>
          <w:rFonts w:ascii="Arial" w:hAnsi="Arial" w:cs="Arial"/>
        </w:rPr>
        <w:t>doi</w:t>
      </w:r>
      <w:proofErr w:type="spellEnd"/>
      <w:r>
        <w:rPr>
          <w:rFonts w:ascii="Arial" w:hAnsi="Arial" w:cs="Arial"/>
        </w:rPr>
        <w:t>: 10.1038/s41572-019-0110-3</w:t>
      </w:r>
    </w:p>
    <w:p w:rsidR="00BC1D7C" w:rsidRDefault="00232D84">
      <w:pPr>
        <w:pStyle w:val="ListParagraph"/>
        <w:numPr>
          <w:ilvl w:val="0"/>
          <w:numId w:val="2"/>
        </w:numPr>
        <w:autoSpaceDE w:val="0"/>
        <w:autoSpaceDN w:val="0"/>
        <w:adjustRightInd w:val="0"/>
        <w:ind w:left="450"/>
        <w:jc w:val="both"/>
        <w:rPr>
          <w:rFonts w:ascii="Arial" w:hAnsi="Arial" w:cs="Arial"/>
          <w:color w:val="222222"/>
          <w:shd w:val="clear" w:color="auto" w:fill="FFFFFF"/>
        </w:rPr>
      </w:pPr>
      <w:r>
        <w:rPr>
          <w:rFonts w:ascii="Arial" w:hAnsi="Arial"/>
          <w:color w:val="222222"/>
          <w:shd w:val="clear" w:color="auto" w:fill="FFFFFF"/>
        </w:rPr>
        <w:t>Austin, K., Wilson, K. and Saha, S. (2019), Hyperemesis Gravidarum. Nutrition in Clinical Practice, 34: 226-241. https://doi.org/10.1002/ncp.10205</w:t>
      </w:r>
    </w:p>
    <w:p w:rsidR="00BC1D7C" w:rsidRDefault="00232D84">
      <w:pPr>
        <w:pStyle w:val="ListParagraph"/>
        <w:numPr>
          <w:ilvl w:val="0"/>
          <w:numId w:val="2"/>
        </w:numPr>
        <w:autoSpaceDE w:val="0"/>
        <w:autoSpaceDN w:val="0"/>
        <w:adjustRightInd w:val="0"/>
        <w:ind w:left="450"/>
        <w:jc w:val="both"/>
        <w:rPr>
          <w:rStyle w:val="bkciteavail"/>
          <w:rFonts w:ascii="Arial" w:hAnsi="Arial"/>
          <w:color w:val="222222"/>
          <w:shd w:val="clear" w:color="auto" w:fill="FFFFFF"/>
        </w:rPr>
      </w:pPr>
      <w:r>
        <w:rPr>
          <w:rStyle w:val="bkciteavail"/>
          <w:rFonts w:ascii="Arial" w:hAnsi="Arial"/>
          <w:color w:val="222222"/>
          <w:shd w:val="clear" w:color="auto" w:fill="FFFFFF"/>
        </w:rPr>
        <w:t xml:space="preserve">Jennings LK, </w:t>
      </w:r>
      <w:proofErr w:type="spellStart"/>
      <w:r>
        <w:rPr>
          <w:rStyle w:val="bkciteavail"/>
          <w:rFonts w:ascii="Arial" w:hAnsi="Arial"/>
          <w:color w:val="222222"/>
          <w:shd w:val="clear" w:color="auto" w:fill="FFFFFF"/>
        </w:rPr>
        <w:t>Mahdy</w:t>
      </w:r>
      <w:proofErr w:type="spellEnd"/>
      <w:r>
        <w:rPr>
          <w:rStyle w:val="bkciteavail"/>
          <w:rFonts w:ascii="Arial" w:hAnsi="Arial"/>
          <w:color w:val="222222"/>
          <w:shd w:val="clear" w:color="auto" w:fill="FFFFFF"/>
        </w:rPr>
        <w:t xml:space="preserve"> H. Hyperemesis Gravidarum. [Updated 2023 Jul 31]. In: </w:t>
      </w:r>
      <w:proofErr w:type="spellStart"/>
      <w:r>
        <w:rPr>
          <w:rStyle w:val="bkciteavail"/>
          <w:rFonts w:ascii="Arial" w:hAnsi="Arial"/>
          <w:color w:val="222222"/>
          <w:shd w:val="clear" w:color="auto" w:fill="FFFFFF"/>
        </w:rPr>
        <w:t>StatPearls</w:t>
      </w:r>
      <w:proofErr w:type="spellEnd"/>
      <w:r>
        <w:rPr>
          <w:rStyle w:val="bkciteavail"/>
          <w:rFonts w:ascii="Arial" w:hAnsi="Arial"/>
          <w:color w:val="222222"/>
          <w:shd w:val="clear" w:color="auto" w:fill="FFFFFF"/>
        </w:rPr>
        <w:t xml:space="preserve"> [Internet]. Treasure Island (FL): </w:t>
      </w:r>
      <w:proofErr w:type="spellStart"/>
      <w:r>
        <w:rPr>
          <w:rStyle w:val="bkciteavail"/>
          <w:rFonts w:ascii="Arial" w:hAnsi="Arial"/>
          <w:color w:val="222222"/>
          <w:shd w:val="clear" w:color="auto" w:fill="FFFFFF"/>
        </w:rPr>
        <w:t>StatPearls</w:t>
      </w:r>
      <w:proofErr w:type="spellEnd"/>
      <w:r>
        <w:rPr>
          <w:rStyle w:val="bkciteavail"/>
          <w:rFonts w:ascii="Arial" w:hAnsi="Arial"/>
          <w:color w:val="222222"/>
          <w:shd w:val="clear" w:color="auto" w:fill="FFFFFF"/>
        </w:rPr>
        <w:t xml:space="preserve"> Publishing; 2025 Jan-. Available from: </w:t>
      </w:r>
      <w:hyperlink r:id="rId15" w:history="1">
        <w:r>
          <w:rPr>
            <w:rStyle w:val="Hyperlink"/>
            <w:rFonts w:ascii="Arial" w:hAnsi="Arial"/>
            <w:shd w:val="clear" w:color="auto" w:fill="FFFFFF"/>
          </w:rPr>
          <w:t>https://www.ncbi.nlm.nih.gov/books/NBK532917/</w:t>
        </w:r>
      </w:hyperlink>
    </w:p>
    <w:p w:rsidR="00BC1D7C" w:rsidRDefault="00232D84">
      <w:pPr>
        <w:pStyle w:val="ListParagraph"/>
        <w:numPr>
          <w:ilvl w:val="0"/>
          <w:numId w:val="2"/>
        </w:numPr>
        <w:autoSpaceDE w:val="0"/>
        <w:autoSpaceDN w:val="0"/>
        <w:adjustRightInd w:val="0"/>
        <w:ind w:left="450"/>
        <w:jc w:val="both"/>
        <w:rPr>
          <w:rStyle w:val="bkciteavail"/>
          <w:rFonts w:ascii="Arial" w:hAnsi="Arial"/>
          <w:color w:val="222222"/>
          <w:shd w:val="clear" w:color="auto" w:fill="FFFFFF"/>
        </w:rPr>
      </w:pPr>
      <w:r>
        <w:rPr>
          <w:rStyle w:val="bkciteavail"/>
          <w:rFonts w:ascii="Arial" w:hAnsi="Arial"/>
          <w:color w:val="222222"/>
          <w:shd w:val="clear" w:color="auto" w:fill="FFFFFF"/>
        </w:rPr>
        <w:t xml:space="preserve">ACOG Practice Bulletin No. 189: Nausea </w:t>
      </w:r>
      <w:proofErr w:type="gramStart"/>
      <w:r>
        <w:rPr>
          <w:rStyle w:val="bkciteavail"/>
          <w:rFonts w:ascii="Arial" w:hAnsi="Arial"/>
          <w:color w:val="222222"/>
          <w:shd w:val="clear" w:color="auto" w:fill="FFFFFF"/>
        </w:rPr>
        <w:t>And</w:t>
      </w:r>
      <w:proofErr w:type="gramEnd"/>
      <w:r>
        <w:rPr>
          <w:rStyle w:val="bkciteavail"/>
          <w:rFonts w:ascii="Arial" w:hAnsi="Arial"/>
          <w:color w:val="222222"/>
          <w:shd w:val="clear" w:color="auto" w:fill="FFFFFF"/>
        </w:rPr>
        <w:t xml:space="preserve"> Vomiting Of Pregnancy. Obstetrics &amp; Gynecology 131(1</w:t>
      </w:r>
      <w:proofErr w:type="gramStart"/>
      <w:r>
        <w:rPr>
          <w:rStyle w:val="bkciteavail"/>
          <w:rFonts w:ascii="Arial" w:hAnsi="Arial"/>
          <w:color w:val="222222"/>
          <w:shd w:val="clear" w:color="auto" w:fill="FFFFFF"/>
        </w:rPr>
        <w:t>):p</w:t>
      </w:r>
      <w:proofErr w:type="gramEnd"/>
      <w:r>
        <w:rPr>
          <w:rStyle w:val="bkciteavail"/>
          <w:rFonts w:ascii="Arial" w:hAnsi="Arial"/>
          <w:color w:val="222222"/>
          <w:shd w:val="clear" w:color="auto" w:fill="FFFFFF"/>
        </w:rPr>
        <w:t xml:space="preserve"> e15-e30, January 2018.</w:t>
      </w:r>
    </w:p>
    <w:p w:rsidR="00BC1D7C" w:rsidRDefault="00232D84">
      <w:pPr>
        <w:pStyle w:val="ListParagraph"/>
        <w:numPr>
          <w:ilvl w:val="0"/>
          <w:numId w:val="2"/>
        </w:numPr>
        <w:autoSpaceDE w:val="0"/>
        <w:autoSpaceDN w:val="0"/>
        <w:adjustRightInd w:val="0"/>
        <w:ind w:left="450"/>
        <w:jc w:val="both"/>
        <w:rPr>
          <w:rStyle w:val="bkciteavail"/>
          <w:rFonts w:ascii="Arial" w:hAnsi="Arial" w:cs="Arial"/>
          <w:color w:val="222222"/>
          <w:shd w:val="clear" w:color="auto" w:fill="FFFFFF"/>
        </w:rPr>
      </w:pPr>
      <w:r>
        <w:rPr>
          <w:rFonts w:ascii="Arial" w:hAnsi="Arial" w:cs="Arial"/>
        </w:rPr>
        <w:t>Hussein KS. Thyroid Functions with Cases of Hyperemesis Gravidarum in Saudi Women. IJPRAS. 2017;6(2):98-106.</w:t>
      </w:r>
    </w:p>
    <w:p w:rsidR="00BC1D7C" w:rsidRDefault="00232D84">
      <w:pPr>
        <w:pStyle w:val="ListParagraph"/>
        <w:numPr>
          <w:ilvl w:val="0"/>
          <w:numId w:val="2"/>
        </w:numPr>
        <w:autoSpaceDE w:val="0"/>
        <w:autoSpaceDN w:val="0"/>
        <w:adjustRightInd w:val="0"/>
        <w:ind w:left="450"/>
        <w:jc w:val="both"/>
        <w:rPr>
          <w:rFonts w:ascii="Arial" w:hAnsi="Arial" w:cs="Arial"/>
          <w:color w:val="222222"/>
          <w:shd w:val="clear" w:color="auto" w:fill="FFFFFF"/>
        </w:rPr>
      </w:pPr>
      <w:proofErr w:type="spellStart"/>
      <w:r>
        <w:rPr>
          <w:rFonts w:ascii="Arial" w:hAnsi="Arial" w:cs="Arial"/>
        </w:rPr>
        <w:lastRenderedPageBreak/>
        <w:t>Pakniat</w:t>
      </w:r>
      <w:proofErr w:type="spellEnd"/>
      <w:r>
        <w:rPr>
          <w:rFonts w:ascii="Arial" w:hAnsi="Arial" w:cs="Arial"/>
        </w:rPr>
        <w:t xml:space="preserve"> H, </w:t>
      </w:r>
      <w:proofErr w:type="spellStart"/>
      <w:r>
        <w:rPr>
          <w:rFonts w:ascii="Arial" w:hAnsi="Arial" w:cs="Arial"/>
        </w:rPr>
        <w:t>Memarzadeh</w:t>
      </w:r>
      <w:proofErr w:type="spellEnd"/>
      <w:r>
        <w:rPr>
          <w:rFonts w:ascii="Arial" w:hAnsi="Arial" w:cs="Arial"/>
        </w:rPr>
        <w:t xml:space="preserve"> MR, </w:t>
      </w:r>
      <w:proofErr w:type="spellStart"/>
      <w:r>
        <w:rPr>
          <w:rFonts w:ascii="Arial" w:hAnsi="Arial" w:cs="Arial"/>
        </w:rPr>
        <w:t>Azh</w:t>
      </w:r>
      <w:proofErr w:type="spellEnd"/>
      <w:r>
        <w:rPr>
          <w:rFonts w:ascii="Arial" w:hAnsi="Arial" w:cs="Arial"/>
        </w:rPr>
        <w:t xml:space="preserve"> N, Mafi M, </w:t>
      </w:r>
      <w:proofErr w:type="spellStart"/>
      <w:r>
        <w:rPr>
          <w:rFonts w:ascii="Arial" w:hAnsi="Arial" w:cs="Arial"/>
        </w:rPr>
        <w:t>Ranjkesh</w:t>
      </w:r>
      <w:proofErr w:type="spellEnd"/>
      <w:r>
        <w:rPr>
          <w:rFonts w:ascii="Arial" w:hAnsi="Arial" w:cs="Arial"/>
        </w:rPr>
        <w:t xml:space="preserve"> F. Comparison of the effect of chamomile, Ginger and vitamin B6 on treatment of nausea and vomiting in pregnancy: a randomized clinical trial. Iran J </w:t>
      </w:r>
      <w:proofErr w:type="spellStart"/>
      <w:r>
        <w:rPr>
          <w:rFonts w:ascii="Arial" w:hAnsi="Arial" w:cs="Arial"/>
        </w:rPr>
        <w:t>Obstet</w:t>
      </w:r>
      <w:proofErr w:type="spellEnd"/>
      <w:r>
        <w:rPr>
          <w:rFonts w:ascii="Arial" w:hAnsi="Arial" w:cs="Arial"/>
        </w:rPr>
        <w:t xml:space="preserve"> </w:t>
      </w:r>
      <w:proofErr w:type="spellStart"/>
      <w:r>
        <w:rPr>
          <w:rFonts w:ascii="Arial" w:hAnsi="Arial" w:cs="Arial"/>
        </w:rPr>
        <w:t>Gynecol</w:t>
      </w:r>
      <w:proofErr w:type="spellEnd"/>
      <w:r>
        <w:rPr>
          <w:rFonts w:ascii="Arial" w:hAnsi="Arial" w:cs="Arial"/>
        </w:rPr>
        <w:t xml:space="preserve"> </w:t>
      </w:r>
      <w:proofErr w:type="spellStart"/>
      <w:r>
        <w:rPr>
          <w:rFonts w:ascii="Arial" w:hAnsi="Arial" w:cs="Arial"/>
        </w:rPr>
        <w:t>Infertil</w:t>
      </w:r>
      <w:proofErr w:type="spellEnd"/>
      <w:r>
        <w:rPr>
          <w:rFonts w:ascii="Arial" w:hAnsi="Arial" w:cs="Arial"/>
        </w:rPr>
        <w:t>. 2018; 21(8): 47-54.</w:t>
      </w:r>
    </w:p>
    <w:p w:rsidR="00BC1D7C" w:rsidRDefault="00232D84">
      <w:pPr>
        <w:pStyle w:val="ListParagraph"/>
        <w:numPr>
          <w:ilvl w:val="0"/>
          <w:numId w:val="2"/>
        </w:numPr>
        <w:autoSpaceDE w:val="0"/>
        <w:autoSpaceDN w:val="0"/>
        <w:adjustRightInd w:val="0"/>
        <w:ind w:left="450"/>
        <w:jc w:val="both"/>
        <w:rPr>
          <w:rFonts w:ascii="Arial" w:hAnsi="Arial" w:cs="Arial"/>
          <w:color w:val="222222"/>
          <w:shd w:val="clear" w:color="auto" w:fill="FFFFFF"/>
        </w:rPr>
      </w:pPr>
      <w:r>
        <w:rPr>
          <w:lang w:val="nl-BE"/>
        </w:rPr>
        <w:t xml:space="preserve">Aleem, N. S. A., El-Dakhakhni, R. A., Borg, H. M., Hazzaa, S. M., &amp; Aglaan, N. I. (2021). </w:t>
      </w:r>
      <w:r>
        <w:rPr>
          <w:lang w:val="en-GB"/>
        </w:rPr>
        <w:t>Comparative Study between Patients with Hyperemesis Gravidarum and Normal Pregnancy Regarding Presence of Helicobacter Pylori Antibodies. Journal of Advances in Medicine and Medical Research, 33(18), 130–142. https://doi.org/10.9734/jammr/2021/v33i1831063</w:t>
      </w:r>
    </w:p>
    <w:p w:rsidR="00BC1D7C" w:rsidRDefault="00232D84">
      <w:pPr>
        <w:pStyle w:val="ListParagraph"/>
        <w:numPr>
          <w:ilvl w:val="0"/>
          <w:numId w:val="2"/>
        </w:numPr>
        <w:autoSpaceDE w:val="0"/>
        <w:autoSpaceDN w:val="0"/>
        <w:adjustRightInd w:val="0"/>
        <w:ind w:left="450"/>
        <w:jc w:val="both"/>
        <w:rPr>
          <w:rFonts w:ascii="Arial" w:hAnsi="Arial" w:cs="Arial"/>
          <w:color w:val="222222"/>
          <w:shd w:val="clear" w:color="auto" w:fill="FFFFFF"/>
        </w:rPr>
      </w:pPr>
      <w:proofErr w:type="spellStart"/>
      <w:r>
        <w:rPr>
          <w:rFonts w:ascii="Arial" w:hAnsi="Arial" w:cs="Arial"/>
          <w:color w:val="222222"/>
          <w:shd w:val="clear" w:color="auto" w:fill="FFFFFF"/>
        </w:rPr>
        <w:t>Zdravkovic</w:t>
      </w:r>
      <w:proofErr w:type="spellEnd"/>
      <w:r>
        <w:rPr>
          <w:rFonts w:ascii="Arial" w:hAnsi="Arial" w:cs="Arial"/>
          <w:color w:val="222222"/>
          <w:shd w:val="clear" w:color="auto" w:fill="FFFFFF"/>
        </w:rPr>
        <w:t xml:space="preserve"> T, </w:t>
      </w:r>
      <w:proofErr w:type="spellStart"/>
      <w:r>
        <w:rPr>
          <w:rFonts w:ascii="Arial" w:hAnsi="Arial" w:cs="Arial"/>
          <w:color w:val="222222"/>
          <w:shd w:val="clear" w:color="auto" w:fill="FFFFFF"/>
        </w:rPr>
        <w:t>Nazor</w:t>
      </w:r>
      <w:proofErr w:type="spellEnd"/>
      <w:r>
        <w:rPr>
          <w:rFonts w:ascii="Arial" w:hAnsi="Arial" w:cs="Arial"/>
          <w:color w:val="222222"/>
          <w:shd w:val="clear" w:color="auto" w:fill="FFFFFF"/>
        </w:rPr>
        <w:t xml:space="preserve"> KL, Larocque N, Gormley M, Donne M, </w:t>
      </w:r>
      <w:proofErr w:type="spellStart"/>
      <w:r>
        <w:rPr>
          <w:rFonts w:ascii="Arial" w:hAnsi="Arial" w:cs="Arial"/>
          <w:color w:val="222222"/>
          <w:shd w:val="clear" w:color="auto" w:fill="FFFFFF"/>
        </w:rPr>
        <w:t>Giritharan</w:t>
      </w:r>
      <w:proofErr w:type="spellEnd"/>
      <w:r>
        <w:rPr>
          <w:rFonts w:ascii="Arial" w:hAnsi="Arial" w:cs="Arial"/>
          <w:color w:val="222222"/>
          <w:shd w:val="clear" w:color="auto" w:fill="FFFFFF"/>
        </w:rPr>
        <w:t xml:space="preserve"> G, Bernstein HS, Wei G, </w:t>
      </w:r>
      <w:proofErr w:type="spellStart"/>
      <w:r>
        <w:rPr>
          <w:rFonts w:ascii="Arial" w:hAnsi="Arial" w:cs="Arial"/>
          <w:color w:val="222222"/>
          <w:shd w:val="clear" w:color="auto" w:fill="FFFFFF"/>
        </w:rPr>
        <w:t>Hebrok</w:t>
      </w:r>
      <w:proofErr w:type="spellEnd"/>
      <w:r>
        <w:rPr>
          <w:rFonts w:ascii="Arial" w:hAnsi="Arial" w:cs="Arial"/>
          <w:color w:val="222222"/>
          <w:shd w:val="clear" w:color="auto" w:fill="FFFFFF"/>
        </w:rPr>
        <w:t xml:space="preserve"> M, Zeng X &amp; </w:t>
      </w:r>
      <w:proofErr w:type="spellStart"/>
      <w:r>
        <w:rPr>
          <w:rFonts w:ascii="Arial" w:hAnsi="Arial" w:cs="Arial"/>
          <w:color w:val="222222"/>
          <w:shd w:val="clear" w:color="auto" w:fill="FFFFFF"/>
        </w:rPr>
        <w:t>Genbacev</w:t>
      </w:r>
      <w:proofErr w:type="spellEnd"/>
      <w:r>
        <w:rPr>
          <w:rFonts w:ascii="Arial" w:hAnsi="Arial" w:cs="Arial"/>
          <w:color w:val="222222"/>
          <w:shd w:val="clear" w:color="auto" w:fill="FFFFFF"/>
        </w:rPr>
        <w:t xml:space="preserve"> O (2015). Human stem cells from single blastomeres reveal pathways of embryonic or trophoblast fate specification. </w:t>
      </w:r>
      <w:r>
        <w:rPr>
          <w:rFonts w:ascii="Arial" w:hAnsi="Arial" w:cs="Arial"/>
          <w:i/>
          <w:iCs/>
          <w:color w:val="222222"/>
          <w:shd w:val="clear" w:color="auto" w:fill="FFFFFF"/>
        </w:rPr>
        <w:t>Development.</w:t>
      </w:r>
      <w:r>
        <w:rPr>
          <w:rFonts w:ascii="Arial" w:hAnsi="Arial" w:cs="Arial"/>
          <w:color w:val="222222"/>
          <w:shd w:val="clear" w:color="auto" w:fill="FFFFFF"/>
        </w:rPr>
        <w:t>142(23):4010-25.</w:t>
      </w:r>
    </w:p>
    <w:p w:rsidR="00BC1D7C" w:rsidRDefault="00232D84">
      <w:pPr>
        <w:pStyle w:val="ListParagraph"/>
        <w:numPr>
          <w:ilvl w:val="0"/>
          <w:numId w:val="2"/>
        </w:numPr>
        <w:autoSpaceDE w:val="0"/>
        <w:autoSpaceDN w:val="0"/>
        <w:adjustRightInd w:val="0"/>
        <w:ind w:left="450"/>
        <w:jc w:val="both"/>
        <w:rPr>
          <w:rFonts w:ascii="Arial" w:hAnsi="Arial" w:cs="Arial"/>
          <w:color w:val="222222"/>
          <w:shd w:val="clear" w:color="auto" w:fill="FFFFFF"/>
        </w:rPr>
      </w:pPr>
      <w:r>
        <w:rPr>
          <w:rFonts w:ascii="Arial" w:hAnsi="Arial" w:cs="Arial"/>
          <w:color w:val="222222"/>
          <w:shd w:val="clear" w:color="auto" w:fill="FFFFFF"/>
        </w:rPr>
        <w:t xml:space="preserve">Turco MY, Gardner L, Kay RG, Hamilton RS, Prater M, </w:t>
      </w:r>
      <w:proofErr w:type="spellStart"/>
      <w:r>
        <w:rPr>
          <w:rFonts w:ascii="Arial" w:hAnsi="Arial" w:cs="Arial"/>
          <w:color w:val="222222"/>
          <w:shd w:val="clear" w:color="auto" w:fill="FFFFFF"/>
        </w:rPr>
        <w:t>Hollinshead</w:t>
      </w:r>
      <w:proofErr w:type="spellEnd"/>
      <w:r>
        <w:rPr>
          <w:rFonts w:ascii="Arial" w:hAnsi="Arial" w:cs="Arial"/>
          <w:color w:val="222222"/>
          <w:shd w:val="clear" w:color="auto" w:fill="FFFFFF"/>
        </w:rPr>
        <w:t xml:space="preserve"> MS, McWhinnie A, Esposito L, Fernando R, Skelton H &amp; Reimann F (2018). Trophoblast organoids as a model for maternal–fetal interactions during human placentation. </w:t>
      </w:r>
      <w:r>
        <w:rPr>
          <w:rFonts w:ascii="Arial" w:hAnsi="Arial" w:cs="Arial"/>
          <w:i/>
          <w:iCs/>
          <w:color w:val="222222"/>
          <w:shd w:val="clear" w:color="auto" w:fill="FFFFFF"/>
        </w:rPr>
        <w:t>Nature</w:t>
      </w:r>
      <w:r>
        <w:rPr>
          <w:rFonts w:ascii="Arial" w:hAnsi="Arial" w:cs="Arial"/>
          <w:color w:val="222222"/>
          <w:shd w:val="clear" w:color="auto" w:fill="FFFFFF"/>
        </w:rPr>
        <w:t>. 564(7735):263-7.</w:t>
      </w:r>
    </w:p>
    <w:p w:rsidR="00BC1D7C" w:rsidRDefault="00232D84">
      <w:pPr>
        <w:pStyle w:val="ListParagraph"/>
        <w:numPr>
          <w:ilvl w:val="0"/>
          <w:numId w:val="2"/>
        </w:numPr>
        <w:autoSpaceDE w:val="0"/>
        <w:autoSpaceDN w:val="0"/>
        <w:adjustRightInd w:val="0"/>
        <w:ind w:left="450"/>
        <w:jc w:val="both"/>
        <w:rPr>
          <w:rFonts w:ascii="Arial" w:hAnsi="Arial" w:cs="Arial"/>
          <w:color w:val="222222"/>
          <w:shd w:val="clear" w:color="auto" w:fill="FFFFFF"/>
        </w:rPr>
      </w:pPr>
      <w:proofErr w:type="spellStart"/>
      <w:r>
        <w:rPr>
          <w:rFonts w:ascii="Arial" w:hAnsi="Arial"/>
          <w:color w:val="222222"/>
          <w:shd w:val="clear" w:color="auto" w:fill="FFFFFF"/>
        </w:rPr>
        <w:t>Fejzo</w:t>
      </w:r>
      <w:proofErr w:type="spellEnd"/>
      <w:r>
        <w:rPr>
          <w:rFonts w:ascii="Arial" w:hAnsi="Arial"/>
          <w:color w:val="222222"/>
          <w:shd w:val="clear" w:color="auto" w:fill="FFFFFF"/>
        </w:rPr>
        <w:t>, M., Rocha, N., Cimino, I. Rocha,</w:t>
      </w:r>
      <w:r>
        <w:rPr>
          <w:rFonts w:ascii="Arial" w:hAnsi="Arial"/>
          <w:color w:val="222222"/>
          <w:shd w:val="clear" w:color="auto" w:fill="FFFFFF"/>
          <w:lang w:val="en-GB"/>
        </w:rPr>
        <w:t xml:space="preserve"> N.,</w:t>
      </w:r>
      <w:r>
        <w:rPr>
          <w:rFonts w:ascii="Arial" w:hAnsi="Arial"/>
          <w:color w:val="222222"/>
          <w:shd w:val="clear" w:color="auto" w:fill="FFFFFF"/>
        </w:rPr>
        <w:t xml:space="preserve"> Cimino,</w:t>
      </w:r>
      <w:r>
        <w:rPr>
          <w:rFonts w:ascii="Arial" w:hAnsi="Arial"/>
          <w:color w:val="222222"/>
          <w:shd w:val="clear" w:color="auto" w:fill="FFFFFF"/>
          <w:lang w:val="en-GB"/>
        </w:rPr>
        <w:t xml:space="preserve"> I.,</w:t>
      </w:r>
      <w:r>
        <w:rPr>
          <w:rFonts w:ascii="Arial" w:hAnsi="Arial"/>
          <w:color w:val="222222"/>
          <w:shd w:val="clear" w:color="auto" w:fill="FFFFFF"/>
        </w:rPr>
        <w:t xml:space="preserve"> Lockhart,</w:t>
      </w:r>
      <w:r>
        <w:rPr>
          <w:rFonts w:ascii="Arial" w:hAnsi="Arial"/>
          <w:color w:val="222222"/>
          <w:shd w:val="clear" w:color="auto" w:fill="FFFFFF"/>
          <w:lang w:val="en-GB"/>
        </w:rPr>
        <w:t xml:space="preserve"> S.M.,</w:t>
      </w:r>
      <w:r>
        <w:rPr>
          <w:rFonts w:ascii="Arial" w:hAnsi="Arial"/>
          <w:color w:val="222222"/>
          <w:shd w:val="clear" w:color="auto" w:fill="FFFFFF"/>
        </w:rPr>
        <w:t xml:space="preserve"> Petry,</w:t>
      </w:r>
      <w:r>
        <w:rPr>
          <w:rFonts w:ascii="Arial" w:hAnsi="Arial"/>
          <w:color w:val="222222"/>
          <w:shd w:val="clear" w:color="auto" w:fill="FFFFFF"/>
          <w:lang w:val="en-GB"/>
        </w:rPr>
        <w:t xml:space="preserve"> C.J.,</w:t>
      </w:r>
      <w:r>
        <w:rPr>
          <w:rFonts w:ascii="Arial" w:hAnsi="Arial"/>
          <w:color w:val="222222"/>
          <w:shd w:val="clear" w:color="auto" w:fill="FFFFFF"/>
        </w:rPr>
        <w:t xml:space="preserve"> Kay,</w:t>
      </w:r>
      <w:r>
        <w:rPr>
          <w:rFonts w:ascii="Arial" w:hAnsi="Arial"/>
          <w:color w:val="222222"/>
          <w:shd w:val="clear" w:color="auto" w:fill="FFFFFF"/>
          <w:lang w:val="en-GB"/>
        </w:rPr>
        <w:t xml:space="preserve"> R.G., </w:t>
      </w:r>
      <w:r>
        <w:rPr>
          <w:rFonts w:ascii="Arial" w:hAnsi="Arial"/>
          <w:color w:val="222222"/>
          <w:shd w:val="clear" w:color="auto" w:fill="FFFFFF"/>
        </w:rPr>
        <w:t xml:space="preserve"> Burling,</w:t>
      </w:r>
      <w:r>
        <w:rPr>
          <w:rFonts w:ascii="Arial" w:hAnsi="Arial"/>
          <w:color w:val="222222"/>
          <w:shd w:val="clear" w:color="auto" w:fill="FFFFFF"/>
          <w:lang w:val="en-GB"/>
        </w:rPr>
        <w:t xml:space="preserve"> K.,</w:t>
      </w:r>
      <w:r>
        <w:rPr>
          <w:rFonts w:ascii="Arial" w:hAnsi="Arial"/>
          <w:color w:val="222222"/>
          <w:shd w:val="clear" w:color="auto" w:fill="FFFFFF"/>
        </w:rPr>
        <w:t xml:space="preserve"> Barker,</w:t>
      </w:r>
      <w:r>
        <w:rPr>
          <w:rFonts w:ascii="Arial" w:hAnsi="Arial"/>
          <w:color w:val="222222"/>
          <w:shd w:val="clear" w:color="auto" w:fill="FFFFFF"/>
          <w:lang w:val="en-GB"/>
        </w:rPr>
        <w:t xml:space="preserve"> P.,</w:t>
      </w:r>
      <w:r>
        <w:rPr>
          <w:rFonts w:ascii="Arial" w:hAnsi="Arial"/>
          <w:color w:val="222222"/>
          <w:shd w:val="clear" w:color="auto" w:fill="FFFFFF"/>
        </w:rPr>
        <w:t xml:space="preserve"> George,</w:t>
      </w:r>
      <w:r>
        <w:rPr>
          <w:rFonts w:ascii="Arial" w:hAnsi="Arial"/>
          <w:color w:val="222222"/>
          <w:shd w:val="clear" w:color="auto" w:fill="FFFFFF"/>
          <w:lang w:val="en-GB"/>
        </w:rPr>
        <w:t xml:space="preserve"> A.L.,</w:t>
      </w:r>
      <w:r>
        <w:rPr>
          <w:rFonts w:ascii="Arial" w:hAnsi="Arial"/>
          <w:color w:val="222222"/>
          <w:shd w:val="clear" w:color="auto" w:fill="FFFFFF"/>
        </w:rPr>
        <w:t xml:space="preserve"> </w:t>
      </w:r>
      <w:proofErr w:type="spellStart"/>
      <w:r>
        <w:rPr>
          <w:rFonts w:ascii="Arial" w:hAnsi="Arial"/>
          <w:color w:val="222222"/>
          <w:shd w:val="clear" w:color="auto" w:fill="FFFFFF"/>
        </w:rPr>
        <w:t>Yasara</w:t>
      </w:r>
      <w:proofErr w:type="spellEnd"/>
      <w:r>
        <w:rPr>
          <w:rFonts w:ascii="Arial" w:hAnsi="Arial"/>
          <w:color w:val="222222"/>
          <w:shd w:val="clear" w:color="auto" w:fill="FFFFFF"/>
        </w:rPr>
        <w:t>,</w:t>
      </w:r>
      <w:r>
        <w:rPr>
          <w:rFonts w:ascii="Arial" w:hAnsi="Arial"/>
          <w:color w:val="222222"/>
          <w:shd w:val="clear" w:color="auto" w:fill="FFFFFF"/>
          <w:lang w:val="en-GB"/>
        </w:rPr>
        <w:t xml:space="preserve"> N.,</w:t>
      </w:r>
      <w:r>
        <w:rPr>
          <w:rFonts w:ascii="Arial" w:hAnsi="Arial"/>
          <w:color w:val="222222"/>
          <w:shd w:val="clear" w:color="auto" w:fill="FFFFFF"/>
        </w:rPr>
        <w:t xml:space="preserve"> </w:t>
      </w:r>
      <w:proofErr w:type="spellStart"/>
      <w:r>
        <w:rPr>
          <w:rFonts w:ascii="Arial" w:hAnsi="Arial"/>
          <w:color w:val="222222"/>
          <w:shd w:val="clear" w:color="auto" w:fill="FFFFFF"/>
        </w:rPr>
        <w:t>Premawardhena</w:t>
      </w:r>
      <w:proofErr w:type="spellEnd"/>
      <w:r>
        <w:rPr>
          <w:rFonts w:ascii="Arial" w:hAnsi="Arial"/>
          <w:color w:val="222222"/>
          <w:shd w:val="clear" w:color="auto" w:fill="FFFFFF"/>
        </w:rPr>
        <w:t xml:space="preserve">, </w:t>
      </w:r>
      <w:r>
        <w:rPr>
          <w:rFonts w:ascii="Arial" w:hAnsi="Arial"/>
          <w:color w:val="222222"/>
          <w:shd w:val="clear" w:color="auto" w:fill="FFFFFF"/>
          <w:lang w:val="en-GB"/>
        </w:rPr>
        <w:t xml:space="preserve">A., </w:t>
      </w:r>
      <w:r>
        <w:rPr>
          <w:rFonts w:ascii="Arial" w:hAnsi="Arial"/>
          <w:color w:val="222222"/>
          <w:shd w:val="clear" w:color="auto" w:fill="FFFFFF"/>
        </w:rPr>
        <w:t>Gong,</w:t>
      </w:r>
      <w:r>
        <w:rPr>
          <w:rFonts w:ascii="Arial" w:hAnsi="Arial"/>
          <w:color w:val="222222"/>
          <w:shd w:val="clear" w:color="auto" w:fill="FFFFFF"/>
          <w:lang w:val="en-GB"/>
        </w:rPr>
        <w:t xml:space="preserve"> S.,</w:t>
      </w:r>
      <w:r>
        <w:rPr>
          <w:rFonts w:ascii="Arial" w:hAnsi="Arial"/>
          <w:color w:val="222222"/>
          <w:shd w:val="clear" w:color="auto" w:fill="FFFFFF"/>
        </w:rPr>
        <w:t xml:space="preserve"> Cook,</w:t>
      </w:r>
      <w:r>
        <w:rPr>
          <w:rFonts w:ascii="Arial" w:hAnsi="Arial"/>
          <w:color w:val="222222"/>
          <w:shd w:val="clear" w:color="auto" w:fill="FFFFFF"/>
          <w:lang w:val="en-GB"/>
        </w:rPr>
        <w:t xml:space="preserve"> E.,</w:t>
      </w:r>
      <w:r>
        <w:rPr>
          <w:rFonts w:ascii="Arial" w:hAnsi="Arial"/>
          <w:color w:val="222222"/>
          <w:shd w:val="clear" w:color="auto" w:fill="FFFFFF"/>
        </w:rPr>
        <w:t xml:space="preserve"> </w:t>
      </w:r>
      <w:proofErr w:type="spellStart"/>
      <w:r>
        <w:rPr>
          <w:rFonts w:ascii="Arial" w:hAnsi="Arial"/>
          <w:color w:val="222222"/>
          <w:shd w:val="clear" w:color="auto" w:fill="FFFFFF"/>
        </w:rPr>
        <w:t>Rimmington</w:t>
      </w:r>
      <w:proofErr w:type="spellEnd"/>
      <w:r>
        <w:rPr>
          <w:rFonts w:ascii="Arial" w:hAnsi="Arial"/>
          <w:color w:val="222222"/>
          <w:shd w:val="clear" w:color="auto" w:fill="FFFFFF"/>
        </w:rPr>
        <w:t>,</w:t>
      </w:r>
      <w:r>
        <w:rPr>
          <w:rFonts w:ascii="Arial" w:hAnsi="Arial"/>
          <w:color w:val="222222"/>
          <w:shd w:val="clear" w:color="auto" w:fill="FFFFFF"/>
          <w:lang w:val="en-GB"/>
        </w:rPr>
        <w:t xml:space="preserve"> D.,</w:t>
      </w:r>
      <w:r>
        <w:rPr>
          <w:rFonts w:ascii="Arial" w:hAnsi="Arial"/>
          <w:color w:val="222222"/>
          <w:shd w:val="clear" w:color="auto" w:fill="FFFFFF"/>
        </w:rPr>
        <w:t xml:space="preserve"> Rainbow,</w:t>
      </w:r>
      <w:r>
        <w:rPr>
          <w:rFonts w:ascii="Arial" w:hAnsi="Arial"/>
          <w:color w:val="222222"/>
          <w:shd w:val="clear" w:color="auto" w:fill="FFFFFF"/>
          <w:lang w:val="en-GB"/>
        </w:rPr>
        <w:t xml:space="preserve"> K.,</w:t>
      </w:r>
      <w:r>
        <w:rPr>
          <w:rFonts w:ascii="Arial" w:hAnsi="Arial"/>
          <w:color w:val="222222"/>
          <w:shd w:val="clear" w:color="auto" w:fill="FFFFFF"/>
        </w:rPr>
        <w:t xml:space="preserve"> Withers,</w:t>
      </w:r>
      <w:r>
        <w:rPr>
          <w:rFonts w:ascii="Arial" w:hAnsi="Arial"/>
          <w:color w:val="222222"/>
          <w:shd w:val="clear" w:color="auto" w:fill="FFFFFF"/>
          <w:lang w:val="en-GB"/>
        </w:rPr>
        <w:t xml:space="preserve"> D.J., </w:t>
      </w:r>
      <w:proofErr w:type="spellStart"/>
      <w:r>
        <w:rPr>
          <w:rFonts w:ascii="Arial" w:hAnsi="Arial"/>
          <w:color w:val="222222"/>
          <w:shd w:val="clear" w:color="auto" w:fill="FFFFFF"/>
        </w:rPr>
        <w:t>Cortessis</w:t>
      </w:r>
      <w:proofErr w:type="spellEnd"/>
      <w:r>
        <w:rPr>
          <w:rFonts w:ascii="Arial" w:hAnsi="Arial"/>
          <w:color w:val="222222"/>
          <w:shd w:val="clear" w:color="auto" w:fill="FFFFFF"/>
        </w:rPr>
        <w:t>,</w:t>
      </w:r>
      <w:r>
        <w:rPr>
          <w:rFonts w:ascii="Arial" w:hAnsi="Arial"/>
          <w:color w:val="222222"/>
          <w:shd w:val="clear" w:color="auto" w:fill="FFFFFF"/>
          <w:lang w:val="en-GB"/>
        </w:rPr>
        <w:t xml:space="preserve"> V.,</w:t>
      </w:r>
      <w:r>
        <w:rPr>
          <w:rFonts w:ascii="Arial" w:hAnsi="Arial"/>
          <w:color w:val="222222"/>
          <w:shd w:val="clear" w:color="auto" w:fill="FFFFFF"/>
        </w:rPr>
        <w:t xml:space="preserve"> Mullin,</w:t>
      </w:r>
      <w:r>
        <w:rPr>
          <w:rFonts w:ascii="Arial" w:hAnsi="Arial"/>
          <w:color w:val="222222"/>
          <w:shd w:val="clear" w:color="auto" w:fill="FFFFFF"/>
          <w:lang w:val="en-GB"/>
        </w:rPr>
        <w:t xml:space="preserve"> P.M.,</w:t>
      </w:r>
      <w:r>
        <w:rPr>
          <w:rFonts w:ascii="Arial" w:hAnsi="Arial"/>
          <w:color w:val="222222"/>
          <w:shd w:val="clear" w:color="auto" w:fill="FFFFFF"/>
        </w:rPr>
        <w:t xml:space="preserve">  MacGibbon,</w:t>
      </w:r>
      <w:r>
        <w:rPr>
          <w:rFonts w:ascii="Arial" w:hAnsi="Arial"/>
          <w:color w:val="222222"/>
          <w:shd w:val="clear" w:color="auto" w:fill="FFFFFF"/>
          <w:lang w:val="en-GB"/>
        </w:rPr>
        <w:t xml:space="preserve"> K.W.,</w:t>
      </w:r>
      <w:r>
        <w:rPr>
          <w:rFonts w:ascii="Arial" w:hAnsi="Arial"/>
          <w:color w:val="222222"/>
          <w:shd w:val="clear" w:color="auto" w:fill="FFFFFF"/>
        </w:rPr>
        <w:t xml:space="preserve"> </w:t>
      </w:r>
      <w:proofErr w:type="spellStart"/>
      <w:r>
        <w:rPr>
          <w:rFonts w:ascii="Arial" w:hAnsi="Arial"/>
          <w:color w:val="222222"/>
          <w:shd w:val="clear" w:color="auto" w:fill="FFFFFF"/>
        </w:rPr>
        <w:t>Jin</w:t>
      </w:r>
      <w:proofErr w:type="spellEnd"/>
      <w:r>
        <w:rPr>
          <w:rFonts w:ascii="Arial" w:hAnsi="Arial"/>
          <w:color w:val="222222"/>
          <w:shd w:val="clear" w:color="auto" w:fill="FFFFFF"/>
        </w:rPr>
        <w:t>,</w:t>
      </w:r>
      <w:r>
        <w:rPr>
          <w:rFonts w:ascii="Arial" w:hAnsi="Arial"/>
          <w:color w:val="222222"/>
          <w:shd w:val="clear" w:color="auto" w:fill="FFFFFF"/>
          <w:lang w:val="en-GB"/>
        </w:rPr>
        <w:t xml:space="preserve"> E.,</w:t>
      </w:r>
      <w:r>
        <w:rPr>
          <w:rFonts w:ascii="Arial" w:hAnsi="Arial"/>
          <w:color w:val="222222"/>
          <w:shd w:val="clear" w:color="auto" w:fill="FFFFFF"/>
        </w:rPr>
        <w:t xml:space="preserve"> Kam,</w:t>
      </w:r>
      <w:r>
        <w:rPr>
          <w:rFonts w:ascii="Arial" w:hAnsi="Arial"/>
          <w:color w:val="222222"/>
          <w:shd w:val="clear" w:color="auto" w:fill="FFFFFF"/>
          <w:lang w:val="en-GB"/>
        </w:rPr>
        <w:t xml:space="preserve"> A.,</w:t>
      </w:r>
      <w:r>
        <w:rPr>
          <w:rFonts w:ascii="Arial" w:hAnsi="Arial"/>
          <w:color w:val="222222"/>
          <w:shd w:val="clear" w:color="auto" w:fill="FFFFFF"/>
        </w:rPr>
        <w:t xml:space="preserve"> Campbell,</w:t>
      </w:r>
      <w:r>
        <w:rPr>
          <w:rFonts w:ascii="Arial" w:hAnsi="Arial"/>
          <w:color w:val="222222"/>
          <w:shd w:val="clear" w:color="auto" w:fill="FFFFFF"/>
          <w:lang w:val="en-GB"/>
        </w:rPr>
        <w:t xml:space="preserve"> A.,</w:t>
      </w:r>
      <w:proofErr w:type="spellStart"/>
      <w:r>
        <w:rPr>
          <w:rFonts w:ascii="Arial" w:hAnsi="Arial"/>
          <w:color w:val="222222"/>
          <w:shd w:val="clear" w:color="auto" w:fill="FFFFFF"/>
        </w:rPr>
        <w:t>Polasek</w:t>
      </w:r>
      <w:proofErr w:type="spellEnd"/>
      <w:r>
        <w:rPr>
          <w:rFonts w:ascii="Arial" w:hAnsi="Arial"/>
          <w:color w:val="222222"/>
          <w:shd w:val="clear" w:color="auto" w:fill="FFFFFF"/>
        </w:rPr>
        <w:t>,</w:t>
      </w:r>
      <w:r>
        <w:rPr>
          <w:rFonts w:ascii="Arial" w:hAnsi="Arial"/>
          <w:color w:val="222222"/>
          <w:shd w:val="clear" w:color="auto" w:fill="FFFFFF"/>
          <w:lang w:val="en-GB"/>
        </w:rPr>
        <w:t xml:space="preserve"> O.,</w:t>
      </w:r>
      <w:r>
        <w:rPr>
          <w:rFonts w:ascii="Arial" w:hAnsi="Arial"/>
          <w:color w:val="222222"/>
          <w:shd w:val="clear" w:color="auto" w:fill="FFFFFF"/>
        </w:rPr>
        <w:t xml:space="preserve"> </w:t>
      </w:r>
      <w:proofErr w:type="spellStart"/>
      <w:r>
        <w:rPr>
          <w:rFonts w:ascii="Arial" w:hAnsi="Arial"/>
          <w:color w:val="222222"/>
          <w:shd w:val="clear" w:color="auto" w:fill="FFFFFF"/>
        </w:rPr>
        <w:t>Tzoneva</w:t>
      </w:r>
      <w:proofErr w:type="spellEnd"/>
      <w:r>
        <w:rPr>
          <w:rFonts w:ascii="Arial" w:hAnsi="Arial"/>
          <w:color w:val="222222"/>
          <w:shd w:val="clear" w:color="auto" w:fill="FFFFFF"/>
        </w:rPr>
        <w:t>,</w:t>
      </w:r>
      <w:r>
        <w:rPr>
          <w:rFonts w:ascii="Arial" w:hAnsi="Arial"/>
          <w:color w:val="222222"/>
          <w:shd w:val="clear" w:color="auto" w:fill="FFFFFF"/>
          <w:lang w:val="en-GB"/>
        </w:rPr>
        <w:t xml:space="preserve"> G.,</w:t>
      </w:r>
      <w:r>
        <w:rPr>
          <w:rFonts w:ascii="Arial" w:hAnsi="Arial"/>
          <w:color w:val="222222"/>
          <w:shd w:val="clear" w:color="auto" w:fill="FFFFFF"/>
        </w:rPr>
        <w:t xml:space="preserve"> Gribble,</w:t>
      </w:r>
      <w:r>
        <w:rPr>
          <w:rFonts w:ascii="Arial" w:hAnsi="Arial"/>
          <w:color w:val="222222"/>
          <w:shd w:val="clear" w:color="auto" w:fill="FFFFFF"/>
          <w:lang w:val="en-GB"/>
        </w:rPr>
        <w:t xml:space="preserve"> F.M.,</w:t>
      </w:r>
      <w:r>
        <w:rPr>
          <w:rFonts w:ascii="Arial" w:hAnsi="Arial"/>
          <w:color w:val="222222"/>
          <w:shd w:val="clear" w:color="auto" w:fill="FFFFFF"/>
        </w:rPr>
        <w:t xml:space="preserve"> Yeo,</w:t>
      </w:r>
      <w:r>
        <w:rPr>
          <w:rFonts w:ascii="Arial" w:hAnsi="Arial"/>
          <w:color w:val="222222"/>
          <w:shd w:val="clear" w:color="auto" w:fill="FFFFFF"/>
          <w:lang w:val="en-GB"/>
        </w:rPr>
        <w:t xml:space="preserve"> G.S.H.,</w:t>
      </w:r>
      <w:r>
        <w:rPr>
          <w:rFonts w:ascii="Arial" w:hAnsi="Arial"/>
          <w:color w:val="222222"/>
          <w:shd w:val="clear" w:color="auto" w:fill="FFFFFF"/>
        </w:rPr>
        <w:t xml:space="preserve"> Lam, </w:t>
      </w:r>
      <w:r>
        <w:rPr>
          <w:rFonts w:ascii="Arial" w:hAnsi="Arial"/>
          <w:color w:val="222222"/>
          <w:shd w:val="clear" w:color="auto" w:fill="FFFFFF"/>
          <w:lang w:val="en-GB"/>
        </w:rPr>
        <w:t xml:space="preserve">B.Y.H., </w:t>
      </w:r>
      <w:proofErr w:type="spellStart"/>
      <w:r>
        <w:rPr>
          <w:rFonts w:ascii="Arial" w:hAnsi="Arial"/>
          <w:color w:val="222222"/>
          <w:shd w:val="clear" w:color="auto" w:fill="FFFFFF"/>
        </w:rPr>
        <w:t>Saudek</w:t>
      </w:r>
      <w:proofErr w:type="spellEnd"/>
      <w:r>
        <w:rPr>
          <w:rFonts w:ascii="Arial" w:hAnsi="Arial"/>
          <w:color w:val="222222"/>
          <w:shd w:val="clear" w:color="auto" w:fill="FFFFFF"/>
        </w:rPr>
        <w:t>,</w:t>
      </w:r>
      <w:r>
        <w:rPr>
          <w:rFonts w:ascii="Arial" w:hAnsi="Arial"/>
          <w:color w:val="222222"/>
          <w:shd w:val="clear" w:color="auto" w:fill="FFFFFF"/>
          <w:lang w:val="en-GB"/>
        </w:rPr>
        <w:t xml:space="preserve"> V.,</w:t>
      </w:r>
      <w:r>
        <w:rPr>
          <w:rFonts w:ascii="Arial" w:hAnsi="Arial"/>
          <w:color w:val="222222"/>
          <w:shd w:val="clear" w:color="auto" w:fill="FFFFFF"/>
        </w:rPr>
        <w:t xml:space="preserve"> Hughes,</w:t>
      </w:r>
      <w:r>
        <w:rPr>
          <w:rFonts w:ascii="Arial" w:hAnsi="Arial"/>
          <w:color w:val="222222"/>
          <w:shd w:val="clear" w:color="auto" w:fill="FFFFFF"/>
          <w:lang w:val="en-GB"/>
        </w:rPr>
        <w:t xml:space="preserve"> I.A.,</w:t>
      </w:r>
      <w:r>
        <w:rPr>
          <w:rFonts w:ascii="Arial" w:hAnsi="Arial"/>
          <w:color w:val="222222"/>
          <w:shd w:val="clear" w:color="auto" w:fill="FFFFFF"/>
        </w:rPr>
        <w:t xml:space="preserve"> Ong, </w:t>
      </w:r>
      <w:r>
        <w:rPr>
          <w:rFonts w:ascii="Arial" w:hAnsi="Arial"/>
          <w:color w:val="222222"/>
          <w:shd w:val="clear" w:color="auto" w:fill="FFFFFF"/>
          <w:lang w:val="en-GB"/>
        </w:rPr>
        <w:t xml:space="preserve">K.K., </w:t>
      </w:r>
      <w:r>
        <w:rPr>
          <w:rFonts w:ascii="Arial" w:hAnsi="Arial"/>
          <w:color w:val="222222"/>
          <w:shd w:val="clear" w:color="auto" w:fill="FFFFFF"/>
        </w:rPr>
        <w:t>Perry,</w:t>
      </w:r>
      <w:r>
        <w:rPr>
          <w:rFonts w:ascii="Arial" w:hAnsi="Arial"/>
          <w:color w:val="222222"/>
          <w:shd w:val="clear" w:color="auto" w:fill="FFFFFF"/>
          <w:lang w:val="en-GB"/>
        </w:rPr>
        <w:t xml:space="preserve"> J.R.B.,</w:t>
      </w:r>
      <w:r>
        <w:rPr>
          <w:rFonts w:ascii="Arial" w:hAnsi="Arial"/>
          <w:color w:val="222222"/>
          <w:shd w:val="clear" w:color="auto" w:fill="FFFFFF"/>
        </w:rPr>
        <w:t xml:space="preserve"> Sutton Cole,</w:t>
      </w:r>
      <w:r>
        <w:rPr>
          <w:rFonts w:ascii="Arial" w:hAnsi="Arial"/>
          <w:color w:val="222222"/>
          <w:shd w:val="clear" w:color="auto" w:fill="FFFFFF"/>
          <w:lang w:val="en-GB"/>
        </w:rPr>
        <w:t xml:space="preserve"> A.,</w:t>
      </w:r>
      <w:r>
        <w:rPr>
          <w:rFonts w:ascii="Arial" w:hAnsi="Arial"/>
          <w:color w:val="222222"/>
          <w:shd w:val="clear" w:color="auto" w:fill="FFFFFF"/>
        </w:rPr>
        <w:t xml:space="preserve"> Baumgarten,</w:t>
      </w:r>
      <w:r>
        <w:rPr>
          <w:rFonts w:ascii="Arial" w:hAnsi="Arial"/>
          <w:color w:val="222222"/>
          <w:shd w:val="clear" w:color="auto" w:fill="FFFFFF"/>
          <w:lang w:val="en-GB"/>
        </w:rPr>
        <w:t xml:space="preserve"> M., </w:t>
      </w:r>
      <w:r>
        <w:rPr>
          <w:rFonts w:ascii="Arial" w:hAnsi="Arial"/>
          <w:color w:val="222222"/>
          <w:shd w:val="clear" w:color="auto" w:fill="FFFFFF"/>
        </w:rPr>
        <w:t>Welsh,</w:t>
      </w:r>
      <w:r>
        <w:rPr>
          <w:rFonts w:ascii="Arial" w:hAnsi="Arial"/>
          <w:color w:val="222222"/>
          <w:shd w:val="clear" w:color="auto" w:fill="FFFFFF"/>
          <w:lang w:val="en-GB"/>
        </w:rPr>
        <w:t xml:space="preserve"> P.,</w:t>
      </w:r>
      <w:r>
        <w:rPr>
          <w:rFonts w:ascii="Arial" w:hAnsi="Arial"/>
          <w:color w:val="222222"/>
          <w:shd w:val="clear" w:color="auto" w:fill="FFFFFF"/>
        </w:rPr>
        <w:t xml:space="preserve"> Sattar,</w:t>
      </w:r>
      <w:r>
        <w:rPr>
          <w:rFonts w:ascii="Arial" w:hAnsi="Arial"/>
          <w:color w:val="222222"/>
          <w:shd w:val="clear" w:color="auto" w:fill="FFFFFF"/>
          <w:lang w:val="en-GB"/>
        </w:rPr>
        <w:t xml:space="preserve"> N.,</w:t>
      </w:r>
      <w:r>
        <w:rPr>
          <w:rFonts w:ascii="Arial" w:hAnsi="Arial"/>
          <w:color w:val="222222"/>
          <w:shd w:val="clear" w:color="auto" w:fill="FFFFFF"/>
        </w:rPr>
        <w:t xml:space="preserve"> Smith,</w:t>
      </w:r>
      <w:r>
        <w:rPr>
          <w:rFonts w:ascii="Arial" w:hAnsi="Arial"/>
          <w:color w:val="222222"/>
          <w:shd w:val="clear" w:color="auto" w:fill="FFFFFF"/>
          <w:lang w:val="en-GB"/>
        </w:rPr>
        <w:t xml:space="preserve"> G.C.S.,</w:t>
      </w:r>
      <w:r>
        <w:rPr>
          <w:rFonts w:ascii="Arial" w:hAnsi="Arial"/>
          <w:color w:val="222222"/>
          <w:shd w:val="clear" w:color="auto" w:fill="FFFFFF"/>
        </w:rPr>
        <w:t xml:space="preserve"> Charnock-Jones,</w:t>
      </w:r>
      <w:r>
        <w:rPr>
          <w:rFonts w:ascii="Arial" w:hAnsi="Arial"/>
          <w:color w:val="222222"/>
          <w:shd w:val="clear" w:color="auto" w:fill="FFFFFF"/>
          <w:lang w:val="en-GB"/>
        </w:rPr>
        <w:t xml:space="preserve"> D.S.,</w:t>
      </w:r>
      <w:r>
        <w:rPr>
          <w:rFonts w:ascii="Arial" w:hAnsi="Arial"/>
          <w:color w:val="222222"/>
          <w:shd w:val="clear" w:color="auto" w:fill="FFFFFF"/>
        </w:rPr>
        <w:t xml:space="preserve"> Coll,</w:t>
      </w:r>
      <w:r>
        <w:rPr>
          <w:rFonts w:ascii="Arial" w:hAnsi="Arial"/>
          <w:color w:val="222222"/>
          <w:shd w:val="clear" w:color="auto" w:fill="FFFFFF"/>
          <w:lang w:val="en-GB"/>
        </w:rPr>
        <w:t xml:space="preserve"> A.P.,</w:t>
      </w:r>
      <w:r>
        <w:rPr>
          <w:rFonts w:ascii="Arial" w:hAnsi="Arial"/>
          <w:color w:val="222222"/>
          <w:shd w:val="clear" w:color="auto" w:fill="FFFFFF"/>
        </w:rPr>
        <w:t xml:space="preserve"> Meek,</w:t>
      </w:r>
      <w:r>
        <w:rPr>
          <w:rFonts w:ascii="Arial" w:hAnsi="Arial"/>
          <w:color w:val="222222"/>
          <w:shd w:val="clear" w:color="auto" w:fill="FFFFFF"/>
          <w:lang w:val="en-GB"/>
        </w:rPr>
        <w:t xml:space="preserve"> C.L.,</w:t>
      </w:r>
      <w:r>
        <w:rPr>
          <w:rFonts w:ascii="Arial" w:hAnsi="Arial"/>
          <w:color w:val="222222"/>
          <w:shd w:val="clear" w:color="auto" w:fill="FFFFFF"/>
        </w:rPr>
        <w:t xml:space="preserve"> </w:t>
      </w:r>
      <w:proofErr w:type="spellStart"/>
      <w:r>
        <w:rPr>
          <w:rFonts w:ascii="Arial" w:hAnsi="Arial"/>
          <w:color w:val="222222"/>
          <w:shd w:val="clear" w:color="auto" w:fill="FFFFFF"/>
        </w:rPr>
        <w:t>Mettananda</w:t>
      </w:r>
      <w:proofErr w:type="spellEnd"/>
      <w:r>
        <w:rPr>
          <w:rFonts w:ascii="Arial" w:hAnsi="Arial"/>
          <w:color w:val="222222"/>
          <w:shd w:val="clear" w:color="auto" w:fill="FFFFFF"/>
        </w:rPr>
        <w:t xml:space="preserve">, </w:t>
      </w:r>
      <w:r>
        <w:rPr>
          <w:rFonts w:ascii="Arial" w:hAnsi="Arial"/>
          <w:color w:val="222222"/>
          <w:shd w:val="clear" w:color="auto" w:fill="FFFFFF"/>
          <w:lang w:val="en-GB"/>
        </w:rPr>
        <w:t xml:space="preserve">S., </w:t>
      </w:r>
      <w:r>
        <w:rPr>
          <w:rFonts w:ascii="Arial" w:hAnsi="Arial"/>
          <w:color w:val="222222"/>
          <w:shd w:val="clear" w:color="auto" w:fill="FFFFFF"/>
        </w:rPr>
        <w:t>Hayward,</w:t>
      </w:r>
      <w:r>
        <w:rPr>
          <w:rFonts w:ascii="Arial" w:hAnsi="Arial"/>
          <w:color w:val="222222"/>
          <w:shd w:val="clear" w:color="auto" w:fill="FFFFFF"/>
          <w:lang w:val="en-GB"/>
        </w:rPr>
        <w:t xml:space="preserve"> C.,</w:t>
      </w:r>
      <w:r>
        <w:rPr>
          <w:rFonts w:ascii="Arial" w:hAnsi="Arial"/>
          <w:color w:val="222222"/>
          <w:shd w:val="clear" w:color="auto" w:fill="FFFFFF"/>
        </w:rPr>
        <w:t xml:space="preserve"> Mancuso</w:t>
      </w:r>
      <w:r>
        <w:rPr>
          <w:rFonts w:ascii="Arial" w:hAnsi="Arial"/>
          <w:color w:val="222222"/>
          <w:shd w:val="clear" w:color="auto" w:fill="FFFFFF"/>
          <w:lang w:val="en-GB"/>
        </w:rPr>
        <w:t>, N.</w:t>
      </w:r>
      <w:r>
        <w:rPr>
          <w:rFonts w:ascii="Arial" w:hAnsi="Arial"/>
          <w:color w:val="222222"/>
          <w:shd w:val="clear" w:color="auto" w:fill="FFFFFF"/>
        </w:rPr>
        <w:t xml:space="preserve"> </w:t>
      </w:r>
      <w:r>
        <w:rPr>
          <w:rFonts w:ascii="Arial" w:hAnsi="Arial"/>
          <w:color w:val="222222"/>
          <w:shd w:val="clear" w:color="auto" w:fill="FFFFFF"/>
          <w:lang w:val="en-GB"/>
        </w:rPr>
        <w:t>and</w:t>
      </w:r>
      <w:r>
        <w:rPr>
          <w:rFonts w:ascii="Arial" w:hAnsi="Arial"/>
          <w:color w:val="222222"/>
          <w:shd w:val="clear" w:color="auto" w:fill="FFFFFF"/>
        </w:rPr>
        <w:t xml:space="preserve"> </w:t>
      </w:r>
      <w:proofErr w:type="spellStart"/>
      <w:r>
        <w:rPr>
          <w:rFonts w:ascii="Arial" w:hAnsi="Arial"/>
          <w:color w:val="222222"/>
          <w:shd w:val="clear" w:color="auto" w:fill="FFFFFF"/>
        </w:rPr>
        <w:t>O’Rahilly</w:t>
      </w:r>
      <w:proofErr w:type="spellEnd"/>
      <w:r>
        <w:rPr>
          <w:rFonts w:ascii="Arial" w:hAnsi="Arial"/>
          <w:color w:val="222222"/>
          <w:shd w:val="clear" w:color="auto" w:fill="FFFFFF"/>
          <w:lang w:val="en-GB"/>
        </w:rPr>
        <w:t>, S.</w:t>
      </w:r>
      <w:r>
        <w:rPr>
          <w:rFonts w:ascii="Arial" w:hAnsi="Arial"/>
          <w:color w:val="222222"/>
          <w:shd w:val="clear" w:color="auto" w:fill="FFFFFF"/>
        </w:rPr>
        <w:t xml:space="preserve"> </w:t>
      </w:r>
      <w:r>
        <w:rPr>
          <w:rFonts w:ascii="Arial" w:hAnsi="Arial"/>
          <w:color w:val="222222"/>
          <w:shd w:val="clear" w:color="auto" w:fill="FFFFFF"/>
          <w:lang w:val="en-GB"/>
        </w:rPr>
        <w:t xml:space="preserve">(2024) </w:t>
      </w:r>
      <w:r>
        <w:rPr>
          <w:rFonts w:ascii="Arial" w:hAnsi="Arial"/>
          <w:color w:val="222222"/>
          <w:shd w:val="clear" w:color="auto" w:fill="FFFFFF"/>
        </w:rPr>
        <w:t xml:space="preserve">GDF15 linked to maternal risk of nausea and vomiting during pregnancy. Nature 625, 760–767. </w:t>
      </w:r>
      <w:hyperlink r:id="rId16" w:history="1">
        <w:r>
          <w:rPr>
            <w:rStyle w:val="Hyperlink"/>
            <w:rFonts w:ascii="Arial" w:hAnsi="Arial"/>
            <w:shd w:val="clear" w:color="auto" w:fill="FFFFFF"/>
          </w:rPr>
          <w:t>https://doi.org/10.1038/s41586-023-06921-9</w:t>
        </w:r>
      </w:hyperlink>
    </w:p>
    <w:p w:rsidR="00BC1D7C" w:rsidRDefault="00232D84">
      <w:pPr>
        <w:pStyle w:val="ListParagraph"/>
        <w:numPr>
          <w:ilvl w:val="0"/>
          <w:numId w:val="2"/>
        </w:numPr>
        <w:autoSpaceDE w:val="0"/>
        <w:autoSpaceDN w:val="0"/>
        <w:adjustRightInd w:val="0"/>
        <w:ind w:left="450"/>
        <w:jc w:val="both"/>
        <w:rPr>
          <w:rFonts w:ascii="Arial" w:hAnsi="Arial" w:cs="Arial"/>
          <w:color w:val="222222"/>
          <w:shd w:val="clear" w:color="auto" w:fill="FFFFFF"/>
        </w:rPr>
      </w:pPr>
      <w:proofErr w:type="spellStart"/>
      <w:r>
        <w:rPr>
          <w:rFonts w:ascii="Arial" w:hAnsi="Arial"/>
          <w:color w:val="222222"/>
          <w:shd w:val="clear" w:color="auto" w:fill="FFFFFF"/>
        </w:rPr>
        <w:t>Frikke</w:t>
      </w:r>
      <w:proofErr w:type="spellEnd"/>
      <w:r>
        <w:rPr>
          <w:rFonts w:ascii="Arial" w:hAnsi="Arial"/>
          <w:color w:val="222222"/>
          <w:shd w:val="clear" w:color="auto" w:fill="FFFFFF"/>
        </w:rPr>
        <w:t xml:space="preserve">-Schmidt H, </w:t>
      </w:r>
      <w:proofErr w:type="spellStart"/>
      <w:r>
        <w:rPr>
          <w:rFonts w:ascii="Arial" w:hAnsi="Arial"/>
          <w:color w:val="222222"/>
          <w:shd w:val="clear" w:color="auto" w:fill="FFFFFF"/>
        </w:rPr>
        <w:t>Hultman</w:t>
      </w:r>
      <w:proofErr w:type="spellEnd"/>
      <w:r>
        <w:rPr>
          <w:rFonts w:ascii="Arial" w:hAnsi="Arial"/>
          <w:color w:val="222222"/>
          <w:shd w:val="clear" w:color="auto" w:fill="FFFFFF"/>
        </w:rPr>
        <w:t xml:space="preserve"> K, </w:t>
      </w:r>
      <w:proofErr w:type="spellStart"/>
      <w:r>
        <w:rPr>
          <w:rFonts w:ascii="Arial" w:hAnsi="Arial"/>
          <w:color w:val="222222"/>
          <w:shd w:val="clear" w:color="auto" w:fill="FFFFFF"/>
        </w:rPr>
        <w:t>Galaske</w:t>
      </w:r>
      <w:proofErr w:type="spellEnd"/>
      <w:r>
        <w:rPr>
          <w:rFonts w:ascii="Arial" w:hAnsi="Arial"/>
          <w:color w:val="222222"/>
          <w:shd w:val="clear" w:color="auto" w:fill="FFFFFF"/>
        </w:rPr>
        <w:t xml:space="preserve"> JW, </w:t>
      </w:r>
      <w:proofErr w:type="spellStart"/>
      <w:r>
        <w:rPr>
          <w:rFonts w:ascii="Arial" w:hAnsi="Arial"/>
          <w:color w:val="222222"/>
          <w:shd w:val="clear" w:color="auto" w:fill="FFFFFF"/>
        </w:rPr>
        <w:t>Jørgensen</w:t>
      </w:r>
      <w:proofErr w:type="spellEnd"/>
      <w:r>
        <w:rPr>
          <w:rFonts w:ascii="Arial" w:hAnsi="Arial"/>
          <w:color w:val="222222"/>
          <w:shd w:val="clear" w:color="auto" w:fill="FFFFFF"/>
        </w:rPr>
        <w:t xml:space="preserve"> SB, Myers MG Jr, Seeley RJ. GDF15 acts synergistically with liraglutide but is not necessary for the weight loss induced by bariatric surgery in mice. Mol </w:t>
      </w:r>
      <w:proofErr w:type="spellStart"/>
      <w:r>
        <w:rPr>
          <w:rFonts w:ascii="Arial" w:hAnsi="Arial"/>
          <w:color w:val="222222"/>
          <w:shd w:val="clear" w:color="auto" w:fill="FFFFFF"/>
        </w:rPr>
        <w:t>Metab</w:t>
      </w:r>
      <w:proofErr w:type="spellEnd"/>
      <w:r>
        <w:rPr>
          <w:rFonts w:ascii="Arial" w:hAnsi="Arial"/>
          <w:color w:val="222222"/>
          <w:shd w:val="clear" w:color="auto" w:fill="FFFFFF"/>
        </w:rPr>
        <w:t xml:space="preserve">. 2019 </w:t>
      </w:r>
      <w:proofErr w:type="gramStart"/>
      <w:r>
        <w:rPr>
          <w:rFonts w:ascii="Arial" w:hAnsi="Arial"/>
          <w:color w:val="222222"/>
          <w:shd w:val="clear" w:color="auto" w:fill="FFFFFF"/>
        </w:rPr>
        <w:t>Mar;21:13</w:t>
      </w:r>
      <w:proofErr w:type="gramEnd"/>
      <w:r>
        <w:rPr>
          <w:rFonts w:ascii="Arial" w:hAnsi="Arial"/>
          <w:color w:val="222222"/>
          <w:shd w:val="clear" w:color="auto" w:fill="FFFFFF"/>
        </w:rPr>
        <w:t xml:space="preserve">-21. </w:t>
      </w:r>
      <w:proofErr w:type="spellStart"/>
      <w:r>
        <w:rPr>
          <w:rFonts w:ascii="Arial" w:hAnsi="Arial"/>
          <w:color w:val="222222"/>
          <w:shd w:val="clear" w:color="auto" w:fill="FFFFFF"/>
        </w:rPr>
        <w:t>doi</w:t>
      </w:r>
      <w:proofErr w:type="spellEnd"/>
      <w:r>
        <w:rPr>
          <w:rFonts w:ascii="Arial" w:hAnsi="Arial"/>
          <w:color w:val="222222"/>
          <w:shd w:val="clear" w:color="auto" w:fill="FFFFFF"/>
        </w:rPr>
        <w:t xml:space="preserve">: 10.1016/j.molmet.2019.01.003. </w:t>
      </w:r>
    </w:p>
    <w:p w:rsidR="00BC1D7C" w:rsidRDefault="00232D84">
      <w:pPr>
        <w:pStyle w:val="ListParagraph"/>
        <w:numPr>
          <w:ilvl w:val="0"/>
          <w:numId w:val="2"/>
        </w:numPr>
        <w:autoSpaceDE w:val="0"/>
        <w:autoSpaceDN w:val="0"/>
        <w:adjustRightInd w:val="0"/>
        <w:ind w:left="450"/>
        <w:jc w:val="both"/>
        <w:rPr>
          <w:rFonts w:ascii="Arial" w:hAnsi="Arial" w:cs="Arial"/>
          <w:color w:val="222222"/>
          <w:shd w:val="clear" w:color="auto" w:fill="FFFFFF"/>
        </w:rPr>
      </w:pPr>
      <w:proofErr w:type="spellStart"/>
      <w:r>
        <w:rPr>
          <w:rFonts w:ascii="Arial" w:hAnsi="Arial" w:cs="Arial"/>
          <w:color w:val="222222"/>
          <w:shd w:val="clear" w:color="auto" w:fill="FFFFFF"/>
        </w:rPr>
        <w:t>Mullican</w:t>
      </w:r>
      <w:proofErr w:type="spellEnd"/>
      <w:r>
        <w:rPr>
          <w:rFonts w:ascii="Arial" w:hAnsi="Arial" w:cs="Arial"/>
          <w:color w:val="222222"/>
          <w:shd w:val="clear" w:color="auto" w:fill="FFFFFF"/>
        </w:rPr>
        <w:t xml:space="preserve">, S. E. &amp; </w:t>
      </w:r>
      <w:proofErr w:type="spellStart"/>
      <w:r>
        <w:rPr>
          <w:rFonts w:ascii="Arial" w:hAnsi="Arial" w:cs="Arial"/>
          <w:color w:val="222222"/>
          <w:shd w:val="clear" w:color="auto" w:fill="FFFFFF"/>
        </w:rPr>
        <w:t>Rangwala</w:t>
      </w:r>
      <w:proofErr w:type="spellEnd"/>
      <w:r>
        <w:rPr>
          <w:rFonts w:ascii="Arial" w:hAnsi="Arial" w:cs="Arial"/>
          <w:color w:val="222222"/>
          <w:shd w:val="clear" w:color="auto" w:fill="FFFFFF"/>
        </w:rPr>
        <w:t xml:space="preserve">, S. M (2018). Uniting GDF15 and GFRAL: therapeutic opportunities in obesity and beyond. Trends Endocrinol. </w:t>
      </w:r>
      <w:proofErr w:type="spellStart"/>
      <w:r>
        <w:rPr>
          <w:rFonts w:ascii="Arial" w:hAnsi="Arial" w:cs="Arial"/>
          <w:color w:val="222222"/>
          <w:shd w:val="clear" w:color="auto" w:fill="FFFFFF"/>
        </w:rPr>
        <w:t>Metab</w:t>
      </w:r>
      <w:proofErr w:type="spellEnd"/>
      <w:r>
        <w:rPr>
          <w:rFonts w:ascii="Arial" w:hAnsi="Arial" w:cs="Arial"/>
          <w:color w:val="222222"/>
          <w:shd w:val="clear" w:color="auto" w:fill="FFFFFF"/>
        </w:rPr>
        <w:t>. 29, 560–570.</w:t>
      </w:r>
    </w:p>
    <w:p w:rsidR="00BC1D7C" w:rsidRDefault="00232D84">
      <w:pPr>
        <w:pStyle w:val="ListParagraph"/>
        <w:numPr>
          <w:ilvl w:val="0"/>
          <w:numId w:val="2"/>
        </w:numPr>
        <w:autoSpaceDE w:val="0"/>
        <w:autoSpaceDN w:val="0"/>
        <w:adjustRightInd w:val="0"/>
        <w:ind w:left="450"/>
        <w:jc w:val="both"/>
        <w:rPr>
          <w:rFonts w:ascii="Arial" w:hAnsi="Arial" w:cs="Arial"/>
          <w:color w:val="222222"/>
          <w:shd w:val="clear" w:color="auto" w:fill="FFFFFF"/>
        </w:rPr>
      </w:pPr>
      <w:r>
        <w:rPr>
          <w:rFonts w:ascii="Arial" w:hAnsi="Arial" w:cs="Arial"/>
          <w:color w:val="222222"/>
          <w:shd w:val="clear" w:color="auto" w:fill="FFFFFF"/>
        </w:rPr>
        <w:t>Patel S, Alvarez-</w:t>
      </w:r>
      <w:proofErr w:type="spellStart"/>
      <w:r>
        <w:rPr>
          <w:rFonts w:ascii="Arial" w:hAnsi="Arial" w:cs="Arial"/>
          <w:color w:val="222222"/>
          <w:shd w:val="clear" w:color="auto" w:fill="FFFFFF"/>
        </w:rPr>
        <w:t>Guaita</w:t>
      </w:r>
      <w:proofErr w:type="spellEnd"/>
      <w:r>
        <w:rPr>
          <w:rFonts w:ascii="Arial" w:hAnsi="Arial" w:cs="Arial"/>
          <w:color w:val="222222"/>
          <w:shd w:val="clear" w:color="auto" w:fill="FFFFFF"/>
        </w:rPr>
        <w:t xml:space="preserve"> A, Melvin A, </w:t>
      </w:r>
      <w:proofErr w:type="spellStart"/>
      <w:r>
        <w:rPr>
          <w:rFonts w:ascii="Arial" w:hAnsi="Arial" w:cs="Arial"/>
          <w:color w:val="222222"/>
          <w:shd w:val="clear" w:color="auto" w:fill="FFFFFF"/>
        </w:rPr>
        <w:t>Rimmington</w:t>
      </w:r>
      <w:proofErr w:type="spellEnd"/>
      <w:r>
        <w:rPr>
          <w:rFonts w:ascii="Arial" w:hAnsi="Arial" w:cs="Arial"/>
          <w:color w:val="222222"/>
          <w:shd w:val="clear" w:color="auto" w:fill="FFFFFF"/>
        </w:rPr>
        <w:t xml:space="preserve"> D, Dattilo A, </w:t>
      </w:r>
      <w:proofErr w:type="spellStart"/>
      <w:r>
        <w:rPr>
          <w:rFonts w:ascii="Arial" w:hAnsi="Arial" w:cs="Arial"/>
          <w:color w:val="222222"/>
          <w:shd w:val="clear" w:color="auto" w:fill="FFFFFF"/>
        </w:rPr>
        <w:t>Miedzybrodzka</w:t>
      </w:r>
      <w:proofErr w:type="spellEnd"/>
      <w:r>
        <w:rPr>
          <w:rFonts w:ascii="Arial" w:hAnsi="Arial" w:cs="Arial"/>
          <w:color w:val="222222"/>
          <w:shd w:val="clear" w:color="auto" w:fill="FFFFFF"/>
        </w:rPr>
        <w:t xml:space="preserve"> EL, Cimino I, </w:t>
      </w:r>
      <w:proofErr w:type="spellStart"/>
      <w:r>
        <w:rPr>
          <w:rFonts w:ascii="Arial" w:hAnsi="Arial" w:cs="Arial"/>
          <w:color w:val="222222"/>
          <w:shd w:val="clear" w:color="auto" w:fill="FFFFFF"/>
        </w:rPr>
        <w:t>Maurin</w:t>
      </w:r>
      <w:proofErr w:type="spellEnd"/>
      <w:r>
        <w:rPr>
          <w:rFonts w:ascii="Arial" w:hAnsi="Arial" w:cs="Arial"/>
          <w:color w:val="222222"/>
          <w:shd w:val="clear" w:color="auto" w:fill="FFFFFF"/>
        </w:rPr>
        <w:t xml:space="preserve"> AC, Roberts GP, Meek CL &amp; Virtue S (2019). GDF15 provides an endocrine signal of nutritional stress in mice and humans. Cell metabolism, 29(3):707-18.</w:t>
      </w:r>
    </w:p>
    <w:p w:rsidR="00BC1D7C" w:rsidRDefault="00232D84">
      <w:pPr>
        <w:pStyle w:val="ListParagraph"/>
        <w:numPr>
          <w:ilvl w:val="0"/>
          <w:numId w:val="2"/>
        </w:numPr>
        <w:autoSpaceDE w:val="0"/>
        <w:autoSpaceDN w:val="0"/>
        <w:adjustRightInd w:val="0"/>
        <w:ind w:left="450"/>
        <w:jc w:val="both"/>
        <w:rPr>
          <w:rFonts w:ascii="Arial" w:hAnsi="Arial" w:cs="Arial"/>
          <w:color w:val="222222"/>
          <w:shd w:val="clear" w:color="auto" w:fill="FFFFFF"/>
        </w:rPr>
      </w:pPr>
      <w:r>
        <w:rPr>
          <w:rFonts w:ascii="Arial" w:hAnsi="Arial" w:cs="Arial"/>
          <w:color w:val="000000"/>
          <w:shd w:val="clear" w:color="auto" w:fill="FFFFFF"/>
        </w:rPr>
        <w:t xml:space="preserve">Pérez-Pérez, A., Sánchez-Jiménez, F., </w:t>
      </w:r>
      <w:proofErr w:type="spellStart"/>
      <w:r>
        <w:rPr>
          <w:rFonts w:ascii="Arial" w:hAnsi="Arial" w:cs="Arial"/>
          <w:color w:val="000000"/>
          <w:shd w:val="clear" w:color="auto" w:fill="FFFFFF"/>
        </w:rPr>
        <w:t>Vilariño</w:t>
      </w:r>
      <w:proofErr w:type="spellEnd"/>
      <w:r>
        <w:rPr>
          <w:rFonts w:ascii="Arial" w:hAnsi="Arial" w:cs="Arial"/>
          <w:color w:val="000000"/>
          <w:shd w:val="clear" w:color="auto" w:fill="FFFFFF"/>
        </w:rPr>
        <w:t>-García, T., &amp; Sánchez-</w:t>
      </w:r>
      <w:proofErr w:type="spellStart"/>
      <w:r>
        <w:rPr>
          <w:rFonts w:ascii="Arial" w:hAnsi="Arial" w:cs="Arial"/>
          <w:color w:val="000000"/>
          <w:shd w:val="clear" w:color="auto" w:fill="FFFFFF"/>
        </w:rPr>
        <w:t>Margalet</w:t>
      </w:r>
      <w:proofErr w:type="spellEnd"/>
      <w:r>
        <w:rPr>
          <w:rFonts w:ascii="Arial" w:hAnsi="Arial" w:cs="Arial"/>
          <w:color w:val="000000"/>
          <w:shd w:val="clear" w:color="auto" w:fill="FFFFFF"/>
        </w:rPr>
        <w:t>, V. (2020). Role of Leptin in Inflammation and Vice Versa. </w:t>
      </w:r>
      <w:r>
        <w:rPr>
          <w:rFonts w:ascii="Arial" w:hAnsi="Arial" w:cs="Arial"/>
          <w:i/>
          <w:iCs/>
          <w:color w:val="000000"/>
          <w:shd w:val="clear" w:color="auto" w:fill="FFFFFF"/>
        </w:rPr>
        <w:t>International Journal of Molecular Sciences</w:t>
      </w:r>
      <w:r>
        <w:rPr>
          <w:rFonts w:ascii="Arial" w:hAnsi="Arial" w:cs="Arial"/>
          <w:color w:val="000000"/>
          <w:shd w:val="clear" w:color="auto" w:fill="FFFFFF"/>
        </w:rPr>
        <w:t>, </w:t>
      </w:r>
      <w:r>
        <w:rPr>
          <w:rFonts w:ascii="Arial" w:hAnsi="Arial" w:cs="Arial"/>
          <w:i/>
          <w:iCs/>
          <w:color w:val="000000"/>
          <w:shd w:val="clear" w:color="auto" w:fill="FFFFFF"/>
        </w:rPr>
        <w:t>21</w:t>
      </w:r>
      <w:r>
        <w:rPr>
          <w:rFonts w:ascii="Arial" w:hAnsi="Arial" w:cs="Arial"/>
          <w:color w:val="000000"/>
          <w:shd w:val="clear" w:color="auto" w:fill="FFFFFF"/>
        </w:rPr>
        <w:t xml:space="preserve">(16), 5887. </w:t>
      </w:r>
      <w:hyperlink r:id="rId17" w:history="1">
        <w:r>
          <w:rPr>
            <w:rStyle w:val="Hyperlink"/>
            <w:rFonts w:ascii="Arial" w:hAnsi="Arial" w:cs="Arial"/>
            <w:shd w:val="clear" w:color="auto" w:fill="FFFFFF"/>
          </w:rPr>
          <w:t>https://doi.org/10.3390/ijms21165887</w:t>
        </w:r>
      </w:hyperlink>
      <w:r>
        <w:rPr>
          <w:rStyle w:val="Hyperlink"/>
          <w:rFonts w:ascii="Arial" w:hAnsi="Arial" w:cs="Arial"/>
          <w:shd w:val="clear" w:color="auto" w:fill="FFFFFF"/>
        </w:rPr>
        <w:t>.</w:t>
      </w:r>
    </w:p>
    <w:p w:rsidR="00BC1D7C" w:rsidRDefault="00232D84">
      <w:pPr>
        <w:pStyle w:val="ListParagraph"/>
        <w:numPr>
          <w:ilvl w:val="0"/>
          <w:numId w:val="2"/>
        </w:numPr>
        <w:autoSpaceDE w:val="0"/>
        <w:autoSpaceDN w:val="0"/>
        <w:adjustRightInd w:val="0"/>
        <w:ind w:left="450"/>
        <w:jc w:val="both"/>
        <w:rPr>
          <w:rFonts w:ascii="Arial" w:hAnsi="Arial" w:cs="Arial"/>
          <w:color w:val="222222"/>
          <w:shd w:val="clear" w:color="auto" w:fill="FFFFFF"/>
        </w:rPr>
      </w:pPr>
      <w:r>
        <w:rPr>
          <w:rFonts w:ascii="Arial" w:hAnsi="Arial" w:cs="Arial"/>
          <w:color w:val="303030"/>
          <w:shd w:val="clear" w:color="auto" w:fill="FFFFFF"/>
        </w:rPr>
        <w:t xml:space="preserve">Park HK, </w:t>
      </w:r>
      <w:proofErr w:type="spellStart"/>
      <w:r>
        <w:rPr>
          <w:rFonts w:ascii="Arial" w:hAnsi="Arial" w:cs="Arial"/>
          <w:color w:val="303030"/>
          <w:shd w:val="clear" w:color="auto" w:fill="FFFFFF"/>
        </w:rPr>
        <w:t>Ahima</w:t>
      </w:r>
      <w:proofErr w:type="spellEnd"/>
      <w:r>
        <w:rPr>
          <w:rFonts w:ascii="Arial" w:hAnsi="Arial" w:cs="Arial"/>
          <w:color w:val="303030"/>
          <w:shd w:val="clear" w:color="auto" w:fill="FFFFFF"/>
        </w:rPr>
        <w:t xml:space="preserve"> RS. Physiology of leptin: energy homeostasis, neuroendocrine function and metabolism. Metabolism. 2015 Jan;64(1):24-34. </w:t>
      </w:r>
      <w:proofErr w:type="spellStart"/>
      <w:r>
        <w:rPr>
          <w:rFonts w:ascii="Arial" w:hAnsi="Arial" w:cs="Arial"/>
          <w:color w:val="303030"/>
          <w:shd w:val="clear" w:color="auto" w:fill="FFFFFF"/>
        </w:rPr>
        <w:t>doi</w:t>
      </w:r>
      <w:proofErr w:type="spellEnd"/>
      <w:r>
        <w:rPr>
          <w:rFonts w:ascii="Arial" w:hAnsi="Arial" w:cs="Arial"/>
          <w:color w:val="303030"/>
          <w:shd w:val="clear" w:color="auto" w:fill="FFFFFF"/>
        </w:rPr>
        <w:t xml:space="preserve">: 10.1016/j.metabol.2014.08.004. </w:t>
      </w:r>
      <w:proofErr w:type="spellStart"/>
      <w:r>
        <w:rPr>
          <w:rFonts w:ascii="Arial" w:hAnsi="Arial" w:cs="Arial"/>
          <w:color w:val="303030"/>
          <w:shd w:val="clear" w:color="auto" w:fill="FFFFFF"/>
        </w:rPr>
        <w:t>Epub</w:t>
      </w:r>
      <w:proofErr w:type="spellEnd"/>
      <w:r>
        <w:rPr>
          <w:rFonts w:ascii="Arial" w:hAnsi="Arial" w:cs="Arial"/>
          <w:color w:val="303030"/>
          <w:shd w:val="clear" w:color="auto" w:fill="FFFFFF"/>
        </w:rPr>
        <w:t xml:space="preserve"> 2014 Aug 15. PMID: 25199978; PMCID: PMC4267898.</w:t>
      </w:r>
    </w:p>
    <w:p w:rsidR="00BC1D7C" w:rsidRDefault="00232D84">
      <w:pPr>
        <w:pStyle w:val="ListParagraph"/>
        <w:numPr>
          <w:ilvl w:val="0"/>
          <w:numId w:val="2"/>
        </w:numPr>
        <w:autoSpaceDE w:val="0"/>
        <w:autoSpaceDN w:val="0"/>
        <w:adjustRightInd w:val="0"/>
        <w:ind w:left="450"/>
        <w:jc w:val="both"/>
        <w:rPr>
          <w:rFonts w:ascii="Arial" w:hAnsi="Arial" w:cs="Arial"/>
          <w:color w:val="222222"/>
          <w:shd w:val="clear" w:color="auto" w:fill="FFFFFF"/>
        </w:rPr>
      </w:pPr>
      <w:r>
        <w:rPr>
          <w:rFonts w:ascii="Arial" w:hAnsi="Arial" w:cs="Arial"/>
        </w:rPr>
        <w:t>Shih, Y.-L.; Huang, T.-C.; Shih, C.-C.; Chen, J.-Y. Relationship between Leptin and Insulin Resistance among Community—Dwelling Middle-Aged and Elderly Populations in Taiwan. J. Clin. Med. 2022, 11, 5357. https://doi.org/ 10.3390/jcm11185357.</w:t>
      </w:r>
    </w:p>
    <w:p w:rsidR="00BC1D7C" w:rsidRDefault="00232D84">
      <w:pPr>
        <w:pStyle w:val="ListParagraph"/>
        <w:numPr>
          <w:ilvl w:val="0"/>
          <w:numId w:val="2"/>
        </w:numPr>
        <w:autoSpaceDE w:val="0"/>
        <w:autoSpaceDN w:val="0"/>
        <w:adjustRightInd w:val="0"/>
        <w:ind w:left="450"/>
        <w:jc w:val="both"/>
        <w:rPr>
          <w:rFonts w:ascii="Arial" w:hAnsi="Arial" w:cs="Arial"/>
          <w:color w:val="222222"/>
          <w:shd w:val="clear" w:color="auto" w:fill="FFFFFF"/>
        </w:rPr>
      </w:pPr>
      <w:proofErr w:type="spellStart"/>
      <w:r>
        <w:rPr>
          <w:rFonts w:ascii="Arial" w:hAnsi="Arial" w:cs="Arial"/>
          <w:color w:val="222222"/>
          <w:shd w:val="clear" w:color="auto" w:fill="FFFFFF"/>
        </w:rPr>
        <w:t>Obradovic</w:t>
      </w:r>
      <w:proofErr w:type="spellEnd"/>
      <w:r>
        <w:rPr>
          <w:rFonts w:ascii="Arial" w:hAnsi="Arial" w:cs="Arial"/>
          <w:color w:val="222222"/>
          <w:shd w:val="clear" w:color="auto" w:fill="FFFFFF"/>
        </w:rPr>
        <w:t xml:space="preserve">, Milan, </w:t>
      </w:r>
      <w:proofErr w:type="spellStart"/>
      <w:r>
        <w:rPr>
          <w:rFonts w:ascii="Arial" w:hAnsi="Arial" w:cs="Arial"/>
          <w:color w:val="222222"/>
          <w:shd w:val="clear" w:color="auto" w:fill="FFFFFF"/>
        </w:rPr>
        <w:t>Emina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Sudar</w:t>
      </w:r>
      <w:proofErr w:type="spellEnd"/>
      <w:r>
        <w:rPr>
          <w:rFonts w:ascii="Arial" w:hAnsi="Arial" w:cs="Arial"/>
          <w:color w:val="222222"/>
          <w:shd w:val="clear" w:color="auto" w:fill="FFFFFF"/>
        </w:rPr>
        <w:t xml:space="preserve">-Milovanovic, </w:t>
      </w:r>
      <w:proofErr w:type="spellStart"/>
      <w:r>
        <w:rPr>
          <w:rFonts w:ascii="Arial" w:hAnsi="Arial" w:cs="Arial"/>
          <w:color w:val="222222"/>
          <w:shd w:val="clear" w:color="auto" w:fill="FFFFFF"/>
        </w:rPr>
        <w:t>Sanja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Soskic</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Magbubah</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Essack</w:t>
      </w:r>
      <w:proofErr w:type="spellEnd"/>
      <w:r>
        <w:rPr>
          <w:rFonts w:ascii="Arial" w:hAnsi="Arial" w:cs="Arial"/>
          <w:color w:val="222222"/>
          <w:shd w:val="clear" w:color="auto" w:fill="FFFFFF"/>
        </w:rPr>
        <w:t xml:space="preserve">, Swati Arya, Alan J. Stewart, Takashi </w:t>
      </w:r>
      <w:proofErr w:type="spellStart"/>
      <w:r>
        <w:rPr>
          <w:rFonts w:ascii="Arial" w:hAnsi="Arial" w:cs="Arial"/>
          <w:color w:val="222222"/>
          <w:shd w:val="clear" w:color="auto" w:fill="FFFFFF"/>
        </w:rPr>
        <w:t>Gojobori</w:t>
      </w:r>
      <w:proofErr w:type="spellEnd"/>
      <w:r>
        <w:rPr>
          <w:rFonts w:ascii="Arial" w:hAnsi="Arial" w:cs="Arial"/>
          <w:color w:val="222222"/>
          <w:shd w:val="clear" w:color="auto" w:fill="FFFFFF"/>
        </w:rPr>
        <w:t xml:space="preserve">, &amp; </w:t>
      </w:r>
      <w:proofErr w:type="spellStart"/>
      <w:r>
        <w:rPr>
          <w:rFonts w:ascii="Arial" w:hAnsi="Arial" w:cs="Arial"/>
          <w:color w:val="222222"/>
          <w:shd w:val="clear" w:color="auto" w:fill="FFFFFF"/>
        </w:rPr>
        <w:t>Esma</w:t>
      </w:r>
      <w:proofErr w:type="spellEnd"/>
      <w:r>
        <w:rPr>
          <w:rFonts w:ascii="Arial" w:hAnsi="Arial" w:cs="Arial"/>
          <w:color w:val="222222"/>
          <w:shd w:val="clear" w:color="auto" w:fill="FFFFFF"/>
        </w:rPr>
        <w:t xml:space="preserve"> R. </w:t>
      </w:r>
      <w:proofErr w:type="spellStart"/>
      <w:r>
        <w:rPr>
          <w:rFonts w:ascii="Arial" w:hAnsi="Arial" w:cs="Arial"/>
          <w:color w:val="222222"/>
          <w:shd w:val="clear" w:color="auto" w:fill="FFFFFF"/>
        </w:rPr>
        <w:t>Isenovic</w:t>
      </w:r>
      <w:proofErr w:type="spellEnd"/>
      <w:r>
        <w:rPr>
          <w:rFonts w:ascii="Arial" w:hAnsi="Arial" w:cs="Arial"/>
          <w:color w:val="222222"/>
          <w:shd w:val="clear" w:color="auto" w:fill="FFFFFF"/>
        </w:rPr>
        <w:t xml:space="preserve"> (2021). "Leptin and obesity: role and clinical implication." </w:t>
      </w:r>
      <w:r>
        <w:rPr>
          <w:rFonts w:ascii="Arial" w:hAnsi="Arial" w:cs="Arial"/>
          <w:i/>
          <w:iCs/>
          <w:color w:val="222222"/>
          <w:shd w:val="clear" w:color="auto" w:fill="FFFFFF"/>
        </w:rPr>
        <w:t>Frontiers in endocrinology</w:t>
      </w:r>
      <w:r>
        <w:rPr>
          <w:rFonts w:ascii="Arial" w:hAnsi="Arial" w:cs="Arial"/>
          <w:color w:val="222222"/>
          <w:shd w:val="clear" w:color="auto" w:fill="FFFFFF"/>
        </w:rPr>
        <w:t> 12: 585887.</w:t>
      </w:r>
    </w:p>
    <w:p w:rsidR="00BC1D7C" w:rsidRDefault="00232D84">
      <w:pPr>
        <w:pStyle w:val="ListParagraph"/>
        <w:numPr>
          <w:ilvl w:val="0"/>
          <w:numId w:val="2"/>
        </w:numPr>
        <w:autoSpaceDE w:val="0"/>
        <w:autoSpaceDN w:val="0"/>
        <w:adjustRightInd w:val="0"/>
        <w:ind w:left="450"/>
        <w:jc w:val="both"/>
        <w:rPr>
          <w:rFonts w:ascii="Arial" w:hAnsi="Arial" w:cs="Arial"/>
          <w:color w:val="222222"/>
          <w:shd w:val="clear" w:color="auto" w:fill="FFFFFF"/>
        </w:rPr>
      </w:pPr>
      <w:r>
        <w:rPr>
          <w:rFonts w:ascii="Arial" w:hAnsi="Arial"/>
          <w:color w:val="222222"/>
          <w:shd w:val="clear" w:color="auto" w:fill="FFFFFF"/>
        </w:rPr>
        <w:t>Rehman, K., Akash, M.S.H.</w:t>
      </w:r>
      <w:r>
        <w:rPr>
          <w:rFonts w:ascii="Arial" w:hAnsi="Arial"/>
          <w:color w:val="222222"/>
          <w:shd w:val="clear" w:color="auto" w:fill="FFFFFF"/>
          <w:lang w:val="en-GB"/>
        </w:rPr>
        <w:t xml:space="preserve"> (2016).</w:t>
      </w:r>
      <w:r>
        <w:rPr>
          <w:rFonts w:ascii="Arial" w:hAnsi="Arial"/>
          <w:color w:val="222222"/>
          <w:shd w:val="clear" w:color="auto" w:fill="FFFFFF"/>
        </w:rPr>
        <w:t xml:space="preserve"> Mechanisms of inflammatory responses and development of insulin resistance: how are they </w:t>
      </w:r>
      <w:proofErr w:type="gramStart"/>
      <w:r>
        <w:rPr>
          <w:rFonts w:ascii="Arial" w:hAnsi="Arial"/>
          <w:color w:val="222222"/>
          <w:shd w:val="clear" w:color="auto" w:fill="FFFFFF"/>
        </w:rPr>
        <w:t>interlinked?.</w:t>
      </w:r>
      <w:proofErr w:type="gramEnd"/>
      <w:r>
        <w:rPr>
          <w:rFonts w:ascii="Arial" w:hAnsi="Arial"/>
          <w:color w:val="222222"/>
          <w:shd w:val="clear" w:color="auto" w:fill="FFFFFF"/>
        </w:rPr>
        <w:t xml:space="preserve"> J Biomed Sci 23, 87. https://doi.org/10.1186/s12929-016-0303-y</w:t>
      </w:r>
    </w:p>
    <w:p w:rsidR="00BC1D7C" w:rsidRDefault="00232D84">
      <w:pPr>
        <w:pStyle w:val="ListParagraph"/>
        <w:numPr>
          <w:ilvl w:val="0"/>
          <w:numId w:val="2"/>
        </w:numPr>
        <w:autoSpaceDE w:val="0"/>
        <w:autoSpaceDN w:val="0"/>
        <w:adjustRightInd w:val="0"/>
        <w:ind w:left="450"/>
        <w:jc w:val="both"/>
        <w:rPr>
          <w:rFonts w:ascii="Arial" w:hAnsi="Arial" w:cs="Arial"/>
        </w:rPr>
      </w:pPr>
      <w:proofErr w:type="spellStart"/>
      <w:r>
        <w:rPr>
          <w:rFonts w:ascii="Arial" w:hAnsi="Arial" w:cs="Arial"/>
        </w:rPr>
        <w:t>Orabi</w:t>
      </w:r>
      <w:proofErr w:type="spellEnd"/>
      <w:r>
        <w:rPr>
          <w:rFonts w:ascii="Arial" w:hAnsi="Arial" w:cs="Arial"/>
        </w:rPr>
        <w:t xml:space="preserve"> HAHE, Sabry IM, Allah AMA, </w:t>
      </w:r>
      <w:proofErr w:type="spellStart"/>
      <w:r>
        <w:rPr>
          <w:rFonts w:ascii="Arial" w:hAnsi="Arial" w:cs="Arial"/>
        </w:rPr>
        <w:t>Alkhalek</w:t>
      </w:r>
      <w:proofErr w:type="spellEnd"/>
      <w:r>
        <w:rPr>
          <w:rFonts w:ascii="Arial" w:hAnsi="Arial" w:cs="Arial"/>
        </w:rPr>
        <w:t xml:space="preserve"> AAA. Assessment of Thyroid Function and Leptin Hormone in Women with Hyperemesis Gravidarum. Thyroid Science.2010: 5(4):1-7.</w:t>
      </w:r>
    </w:p>
    <w:p w:rsidR="00BC1D7C" w:rsidRDefault="00232D84">
      <w:pPr>
        <w:pStyle w:val="ListParagraph"/>
        <w:numPr>
          <w:ilvl w:val="0"/>
          <w:numId w:val="2"/>
        </w:numPr>
        <w:ind w:left="360"/>
        <w:jc w:val="both"/>
        <w:rPr>
          <w:rStyle w:val="mixed-citation"/>
          <w:rFonts w:ascii="Arial" w:hAnsi="Arial" w:cs="Arial"/>
          <w:color w:val="212121"/>
          <w:shd w:val="clear" w:color="auto" w:fill="FFFFFF"/>
        </w:rPr>
      </w:pPr>
      <w:proofErr w:type="spellStart"/>
      <w:r>
        <w:rPr>
          <w:rFonts w:ascii="Arial" w:hAnsi="Arial" w:cs="Arial"/>
          <w:color w:val="222222"/>
          <w:shd w:val="clear" w:color="auto" w:fill="FFFFFF"/>
        </w:rPr>
        <w:t>Kleinridders</w:t>
      </w:r>
      <w:proofErr w:type="spellEnd"/>
      <w:r>
        <w:rPr>
          <w:rFonts w:ascii="Arial" w:hAnsi="Arial" w:cs="Arial"/>
          <w:color w:val="222222"/>
          <w:shd w:val="clear" w:color="auto" w:fill="FFFFFF"/>
        </w:rPr>
        <w:t xml:space="preserve">, André, Hans PMM Lauritzen, Siegfried </w:t>
      </w:r>
      <w:proofErr w:type="spellStart"/>
      <w:r>
        <w:rPr>
          <w:rFonts w:ascii="Arial" w:hAnsi="Arial" w:cs="Arial"/>
          <w:color w:val="222222"/>
          <w:shd w:val="clear" w:color="auto" w:fill="FFFFFF"/>
        </w:rPr>
        <w:t>Ussar</w:t>
      </w:r>
      <w:proofErr w:type="spellEnd"/>
      <w:r>
        <w:rPr>
          <w:rFonts w:ascii="Arial" w:hAnsi="Arial" w:cs="Arial"/>
          <w:color w:val="222222"/>
          <w:shd w:val="clear" w:color="auto" w:fill="FFFFFF"/>
        </w:rPr>
        <w:t xml:space="preserve">, Jane H. Christensen, Marcelo A. Mori, Peter </w:t>
      </w:r>
      <w:proofErr w:type="spellStart"/>
      <w:r>
        <w:rPr>
          <w:rFonts w:ascii="Arial" w:hAnsi="Arial" w:cs="Arial"/>
          <w:color w:val="222222"/>
          <w:shd w:val="clear" w:color="auto" w:fill="FFFFFF"/>
        </w:rPr>
        <w:t>Bross</w:t>
      </w:r>
      <w:proofErr w:type="spellEnd"/>
      <w:r>
        <w:rPr>
          <w:rFonts w:ascii="Arial" w:hAnsi="Arial" w:cs="Arial"/>
          <w:color w:val="222222"/>
          <w:shd w:val="clear" w:color="auto" w:fill="FFFFFF"/>
        </w:rPr>
        <w:t>, &amp; C. Ronald Kahn (2013)</w:t>
      </w:r>
      <w:r>
        <w:rPr>
          <w:rStyle w:val="ref-title"/>
          <w:rFonts w:ascii="Arial" w:hAnsi="Arial" w:cs="Arial"/>
          <w:color w:val="212121"/>
          <w:shd w:val="clear" w:color="auto" w:fill="FFFFFF"/>
        </w:rPr>
        <w:t>. Leptin regulation of Hsp60 impacts hypothalamic insulin signaling</w:t>
      </w:r>
      <w:r>
        <w:rPr>
          <w:rStyle w:val="mixed-citation"/>
          <w:rFonts w:ascii="Arial" w:hAnsi="Arial" w:cs="Arial"/>
          <w:color w:val="212121"/>
          <w:shd w:val="clear" w:color="auto" w:fill="FFFFFF"/>
        </w:rPr>
        <w:t>. </w:t>
      </w:r>
      <w:r>
        <w:rPr>
          <w:rStyle w:val="ref-journal"/>
          <w:rFonts w:ascii="Arial" w:hAnsi="Arial" w:cs="Arial"/>
          <w:i/>
          <w:iCs/>
          <w:color w:val="212121"/>
          <w:shd w:val="clear" w:color="auto" w:fill="FFFFFF"/>
        </w:rPr>
        <w:t>J Clin Invest.</w:t>
      </w:r>
      <w:r>
        <w:rPr>
          <w:rStyle w:val="mixed-citation"/>
          <w:rFonts w:ascii="Arial" w:hAnsi="Arial" w:cs="Arial"/>
          <w:color w:val="212121"/>
          <w:shd w:val="clear" w:color="auto" w:fill="FFFFFF"/>
        </w:rPr>
        <w:t xml:space="preserve"> </w:t>
      </w:r>
      <w:r>
        <w:rPr>
          <w:rStyle w:val="ref-vol"/>
          <w:rFonts w:ascii="Arial" w:hAnsi="Arial" w:cs="Arial"/>
          <w:color w:val="212121"/>
          <w:shd w:val="clear" w:color="auto" w:fill="FFFFFF"/>
        </w:rPr>
        <w:t>123</w:t>
      </w:r>
      <w:r>
        <w:rPr>
          <w:rStyle w:val="mixed-citation"/>
          <w:rFonts w:ascii="Arial" w:hAnsi="Arial" w:cs="Arial"/>
          <w:color w:val="212121"/>
          <w:shd w:val="clear" w:color="auto" w:fill="FFFFFF"/>
        </w:rPr>
        <w:t>:4667–80. 10.1172/JCI67615.</w:t>
      </w:r>
    </w:p>
    <w:p w:rsidR="00BC1D7C" w:rsidRDefault="00232D84">
      <w:pPr>
        <w:pStyle w:val="ListParagraph"/>
        <w:numPr>
          <w:ilvl w:val="0"/>
          <w:numId w:val="2"/>
        </w:numPr>
        <w:ind w:left="360"/>
        <w:jc w:val="both"/>
        <w:rPr>
          <w:rFonts w:ascii="Arial" w:hAnsi="Arial" w:cs="Arial"/>
          <w:color w:val="222222"/>
          <w:shd w:val="clear" w:color="auto" w:fill="FFFFFF"/>
        </w:rPr>
      </w:pPr>
      <w:proofErr w:type="spellStart"/>
      <w:r>
        <w:rPr>
          <w:rFonts w:ascii="Arial" w:hAnsi="Arial" w:cs="Arial"/>
          <w:color w:val="222222"/>
          <w:shd w:val="clear" w:color="auto" w:fill="FFFFFF"/>
        </w:rPr>
        <w:t>Kleinridders</w:t>
      </w:r>
      <w:proofErr w:type="spellEnd"/>
      <w:r>
        <w:rPr>
          <w:rFonts w:ascii="Arial" w:hAnsi="Arial" w:cs="Arial"/>
          <w:color w:val="222222"/>
          <w:shd w:val="clear" w:color="auto" w:fill="FFFFFF"/>
        </w:rPr>
        <w:t>, A., Ferris, H. A., &amp; Tovar, S. (2018). Crosstalk of mitochondria with brain insulin and leptin signaling. </w:t>
      </w:r>
      <w:r>
        <w:rPr>
          <w:rFonts w:ascii="Arial" w:hAnsi="Arial" w:cs="Arial"/>
          <w:i/>
          <w:iCs/>
          <w:color w:val="222222"/>
          <w:shd w:val="clear" w:color="auto" w:fill="FFFFFF"/>
        </w:rPr>
        <w:t>Frontiers in Endocrinology</w:t>
      </w:r>
      <w:r>
        <w:rPr>
          <w:rFonts w:ascii="Arial" w:hAnsi="Arial" w:cs="Arial"/>
          <w:color w:val="222222"/>
          <w:shd w:val="clear" w:color="auto" w:fill="FFFFFF"/>
        </w:rPr>
        <w:t>, </w:t>
      </w:r>
      <w:r>
        <w:rPr>
          <w:rFonts w:ascii="Arial" w:hAnsi="Arial" w:cs="Arial"/>
          <w:i/>
          <w:iCs/>
          <w:color w:val="222222"/>
          <w:shd w:val="clear" w:color="auto" w:fill="FFFFFF"/>
        </w:rPr>
        <w:t>9</w:t>
      </w:r>
      <w:r>
        <w:rPr>
          <w:rFonts w:ascii="Arial" w:hAnsi="Arial" w:cs="Arial"/>
          <w:color w:val="222222"/>
          <w:shd w:val="clear" w:color="auto" w:fill="FFFFFF"/>
        </w:rPr>
        <w:t>, 761.</w:t>
      </w:r>
    </w:p>
    <w:p w:rsidR="00BC1D7C" w:rsidRDefault="00232D84">
      <w:pPr>
        <w:pStyle w:val="ListParagraph"/>
        <w:numPr>
          <w:ilvl w:val="0"/>
          <w:numId w:val="2"/>
        </w:numPr>
        <w:autoSpaceDE w:val="0"/>
        <w:autoSpaceDN w:val="0"/>
        <w:adjustRightInd w:val="0"/>
        <w:ind w:left="450"/>
        <w:jc w:val="both"/>
        <w:rPr>
          <w:rFonts w:ascii="Arial" w:hAnsi="Arial" w:cs="Arial"/>
          <w:color w:val="222222"/>
          <w:shd w:val="clear" w:color="auto" w:fill="FFFFFF"/>
        </w:rPr>
      </w:pPr>
      <w:proofErr w:type="spellStart"/>
      <w:r>
        <w:rPr>
          <w:rFonts w:ascii="Arial" w:eastAsiaTheme="minorHAnsi" w:hAnsi="Arial" w:cs="Arial"/>
          <w:iCs/>
          <w:color w:val="000000"/>
        </w:rPr>
        <w:t>Adediji</w:t>
      </w:r>
      <w:proofErr w:type="spellEnd"/>
      <w:r>
        <w:rPr>
          <w:rFonts w:ascii="Arial" w:eastAsiaTheme="minorHAnsi" w:hAnsi="Arial" w:cs="Arial"/>
          <w:iCs/>
          <w:color w:val="000000"/>
        </w:rPr>
        <w:t xml:space="preserve"> IO, </w:t>
      </w:r>
      <w:proofErr w:type="spellStart"/>
      <w:r>
        <w:rPr>
          <w:rFonts w:ascii="Arial" w:eastAsiaTheme="minorHAnsi" w:hAnsi="Arial" w:cs="Arial"/>
          <w:iCs/>
          <w:color w:val="000000"/>
        </w:rPr>
        <w:t>Adelakun</w:t>
      </w:r>
      <w:proofErr w:type="spellEnd"/>
      <w:r>
        <w:rPr>
          <w:rFonts w:ascii="Arial" w:eastAsiaTheme="minorHAnsi" w:hAnsi="Arial" w:cs="Arial"/>
          <w:iCs/>
          <w:color w:val="000000"/>
        </w:rPr>
        <w:t xml:space="preserve"> AA, </w:t>
      </w:r>
      <w:proofErr w:type="spellStart"/>
      <w:r>
        <w:rPr>
          <w:rFonts w:ascii="Arial" w:eastAsiaTheme="minorHAnsi" w:hAnsi="Arial" w:cs="Arial"/>
          <w:iCs/>
          <w:color w:val="000000"/>
        </w:rPr>
        <w:t>Adejumo</w:t>
      </w:r>
      <w:proofErr w:type="spellEnd"/>
      <w:r>
        <w:rPr>
          <w:rFonts w:ascii="Arial" w:eastAsiaTheme="minorHAnsi" w:hAnsi="Arial" w:cs="Arial"/>
          <w:iCs/>
          <w:color w:val="000000"/>
        </w:rPr>
        <w:t xml:space="preserve"> EN, </w:t>
      </w:r>
      <w:proofErr w:type="spellStart"/>
      <w:r>
        <w:rPr>
          <w:rFonts w:ascii="Arial" w:eastAsiaTheme="minorHAnsi" w:hAnsi="Arial" w:cs="Arial"/>
          <w:iCs/>
          <w:color w:val="000000"/>
        </w:rPr>
        <w:t>Olaniyi</w:t>
      </w:r>
      <w:proofErr w:type="spellEnd"/>
      <w:r>
        <w:rPr>
          <w:rFonts w:ascii="Arial" w:eastAsiaTheme="minorHAnsi" w:hAnsi="Arial" w:cs="Arial"/>
          <w:iCs/>
          <w:color w:val="000000"/>
        </w:rPr>
        <w:t xml:space="preserve"> TM, </w:t>
      </w:r>
      <w:proofErr w:type="spellStart"/>
      <w:r>
        <w:rPr>
          <w:rFonts w:ascii="Arial" w:eastAsiaTheme="minorHAnsi" w:hAnsi="Arial" w:cs="Arial"/>
          <w:iCs/>
          <w:color w:val="000000"/>
        </w:rPr>
        <w:t>Imaralu</w:t>
      </w:r>
      <w:proofErr w:type="spellEnd"/>
      <w:r>
        <w:rPr>
          <w:rFonts w:ascii="Arial" w:eastAsiaTheme="minorHAnsi" w:hAnsi="Arial" w:cs="Arial"/>
          <w:iCs/>
          <w:color w:val="000000"/>
        </w:rPr>
        <w:t xml:space="preserve"> J, </w:t>
      </w:r>
      <w:proofErr w:type="spellStart"/>
      <w:r>
        <w:rPr>
          <w:rFonts w:ascii="Arial" w:eastAsiaTheme="minorHAnsi" w:hAnsi="Arial" w:cs="Arial"/>
          <w:iCs/>
          <w:color w:val="000000"/>
        </w:rPr>
        <w:t>Adepoju</w:t>
      </w:r>
      <w:proofErr w:type="spellEnd"/>
      <w:r>
        <w:rPr>
          <w:rFonts w:ascii="Arial" w:eastAsiaTheme="minorHAnsi" w:hAnsi="Arial" w:cs="Arial"/>
          <w:iCs/>
          <w:color w:val="000000"/>
        </w:rPr>
        <w:t xml:space="preserve"> PO, </w:t>
      </w:r>
      <w:proofErr w:type="spellStart"/>
      <w:r>
        <w:rPr>
          <w:rFonts w:ascii="Arial" w:eastAsiaTheme="minorHAnsi" w:hAnsi="Arial" w:cs="Arial"/>
          <w:iCs/>
          <w:color w:val="000000"/>
        </w:rPr>
        <w:t>Adepoju</w:t>
      </w:r>
      <w:proofErr w:type="spellEnd"/>
      <w:r>
        <w:rPr>
          <w:rFonts w:ascii="Arial" w:eastAsiaTheme="minorHAnsi" w:hAnsi="Arial" w:cs="Arial"/>
          <w:iCs/>
          <w:color w:val="000000"/>
        </w:rPr>
        <w:t xml:space="preserve"> VF (2017). Inflammation rather than Oxidative Stress is a Better Marker for Preeclampsia. </w:t>
      </w:r>
      <w:r>
        <w:rPr>
          <w:rFonts w:ascii="Arial" w:eastAsiaTheme="minorHAnsi" w:hAnsi="Arial" w:cs="Arial"/>
          <w:i/>
          <w:iCs/>
          <w:color w:val="000000"/>
        </w:rPr>
        <w:t xml:space="preserve">Med J </w:t>
      </w:r>
      <w:proofErr w:type="spellStart"/>
      <w:r>
        <w:rPr>
          <w:rFonts w:ascii="Arial" w:eastAsiaTheme="minorHAnsi" w:hAnsi="Arial" w:cs="Arial"/>
          <w:i/>
          <w:iCs/>
          <w:color w:val="000000"/>
        </w:rPr>
        <w:t>Obstet</w:t>
      </w:r>
      <w:proofErr w:type="spellEnd"/>
      <w:r>
        <w:rPr>
          <w:rFonts w:ascii="Arial" w:eastAsiaTheme="minorHAnsi" w:hAnsi="Arial" w:cs="Arial"/>
          <w:i/>
          <w:iCs/>
          <w:color w:val="000000"/>
        </w:rPr>
        <w:t xml:space="preserve"> </w:t>
      </w:r>
      <w:proofErr w:type="spellStart"/>
      <w:r>
        <w:rPr>
          <w:rFonts w:ascii="Arial" w:eastAsiaTheme="minorHAnsi" w:hAnsi="Arial" w:cs="Arial"/>
          <w:i/>
          <w:iCs/>
          <w:color w:val="000000"/>
        </w:rPr>
        <w:t>Gynecol</w:t>
      </w:r>
      <w:proofErr w:type="spellEnd"/>
      <w:r>
        <w:rPr>
          <w:rFonts w:ascii="Arial" w:eastAsiaTheme="minorHAnsi" w:hAnsi="Arial" w:cs="Arial"/>
          <w:iCs/>
          <w:color w:val="000000"/>
        </w:rPr>
        <w:t xml:space="preserve"> 5(1): 1094.</w:t>
      </w:r>
    </w:p>
    <w:p w:rsidR="00BC1D7C" w:rsidRDefault="00232D84">
      <w:pPr>
        <w:pStyle w:val="ListParagraph"/>
        <w:numPr>
          <w:ilvl w:val="0"/>
          <w:numId w:val="2"/>
        </w:numPr>
        <w:autoSpaceDE w:val="0"/>
        <w:autoSpaceDN w:val="0"/>
        <w:adjustRightInd w:val="0"/>
        <w:ind w:left="450"/>
        <w:jc w:val="both"/>
        <w:rPr>
          <w:rFonts w:ascii="Arial" w:hAnsi="Arial" w:cs="Arial"/>
          <w:color w:val="222222"/>
          <w:shd w:val="clear" w:color="auto" w:fill="FFFFFF"/>
        </w:rPr>
      </w:pPr>
      <w:r>
        <w:rPr>
          <w:rFonts w:ascii="Arial" w:hAnsi="Arial" w:cs="Arial"/>
          <w:color w:val="222222"/>
          <w:shd w:val="clear" w:color="auto" w:fill="FFFFFF"/>
        </w:rPr>
        <w:t>London, V., Grube, S., Sherer, D. M., &amp; Abulafia, O. (2017). Hyperemesis gravidarum: a review of recent literature. </w:t>
      </w:r>
      <w:r>
        <w:rPr>
          <w:rFonts w:ascii="Arial" w:hAnsi="Arial" w:cs="Arial"/>
          <w:i/>
          <w:iCs/>
          <w:color w:val="222222"/>
          <w:shd w:val="clear" w:color="auto" w:fill="FFFFFF"/>
        </w:rPr>
        <w:t>Pharmacology</w:t>
      </w:r>
      <w:r>
        <w:rPr>
          <w:rFonts w:ascii="Arial" w:hAnsi="Arial" w:cs="Arial"/>
          <w:color w:val="222222"/>
          <w:shd w:val="clear" w:color="auto" w:fill="FFFFFF"/>
        </w:rPr>
        <w:t>, </w:t>
      </w:r>
      <w:r>
        <w:rPr>
          <w:rFonts w:ascii="Arial" w:hAnsi="Arial" w:cs="Arial"/>
          <w:i/>
          <w:iCs/>
          <w:color w:val="222222"/>
          <w:shd w:val="clear" w:color="auto" w:fill="FFFFFF"/>
        </w:rPr>
        <w:t>100</w:t>
      </w:r>
      <w:r>
        <w:rPr>
          <w:rFonts w:ascii="Arial" w:hAnsi="Arial" w:cs="Arial"/>
          <w:color w:val="222222"/>
          <w:shd w:val="clear" w:color="auto" w:fill="FFFFFF"/>
        </w:rPr>
        <w:t>(3-4), 161-171.</w:t>
      </w:r>
    </w:p>
    <w:p w:rsidR="00BC1D7C" w:rsidRDefault="00232D84">
      <w:pPr>
        <w:pStyle w:val="ListParagraph"/>
        <w:numPr>
          <w:ilvl w:val="0"/>
          <w:numId w:val="2"/>
        </w:numPr>
        <w:autoSpaceDE w:val="0"/>
        <w:autoSpaceDN w:val="0"/>
        <w:adjustRightInd w:val="0"/>
        <w:ind w:left="450"/>
        <w:jc w:val="both"/>
        <w:rPr>
          <w:rFonts w:ascii="Arial" w:hAnsi="Arial" w:cs="Arial"/>
          <w:color w:val="222222"/>
          <w:shd w:val="clear" w:color="auto" w:fill="FFFFFF"/>
        </w:rPr>
      </w:pPr>
      <w:r>
        <w:rPr>
          <w:rFonts w:ascii="Arial" w:hAnsi="Arial" w:cs="Arial"/>
        </w:rPr>
        <w:t xml:space="preserve">Jennings, L. K., &amp; </w:t>
      </w:r>
      <w:proofErr w:type="spellStart"/>
      <w:r>
        <w:rPr>
          <w:rFonts w:ascii="Arial" w:hAnsi="Arial" w:cs="Arial"/>
        </w:rPr>
        <w:t>Krywko</w:t>
      </w:r>
      <w:proofErr w:type="spellEnd"/>
      <w:r>
        <w:rPr>
          <w:rFonts w:ascii="Arial" w:hAnsi="Arial" w:cs="Arial"/>
        </w:rPr>
        <w:t>, D. M. (2018). Hyperemesis Gravidarum</w:t>
      </w:r>
    </w:p>
    <w:p w:rsidR="00BC1D7C" w:rsidRDefault="00232D84">
      <w:pPr>
        <w:pStyle w:val="ListParagraph"/>
        <w:numPr>
          <w:ilvl w:val="0"/>
          <w:numId w:val="2"/>
        </w:numPr>
        <w:ind w:left="450"/>
        <w:jc w:val="both"/>
        <w:rPr>
          <w:rFonts w:ascii="Arial" w:hAnsi="Arial" w:cs="Arial"/>
        </w:rPr>
      </w:pPr>
      <w:proofErr w:type="spellStart"/>
      <w:r>
        <w:rPr>
          <w:rFonts w:ascii="Arial" w:hAnsi="Arial" w:cs="Arial"/>
        </w:rPr>
        <w:t>Biberoglu</w:t>
      </w:r>
      <w:proofErr w:type="spellEnd"/>
      <w:r>
        <w:rPr>
          <w:rFonts w:ascii="Arial" w:hAnsi="Arial" w:cs="Arial"/>
        </w:rPr>
        <w:t xml:space="preserve">, E. H., </w:t>
      </w:r>
      <w:proofErr w:type="spellStart"/>
      <w:r>
        <w:rPr>
          <w:rFonts w:ascii="Arial" w:hAnsi="Arial" w:cs="Arial"/>
        </w:rPr>
        <w:t>Kirbas</w:t>
      </w:r>
      <w:proofErr w:type="spellEnd"/>
      <w:r>
        <w:rPr>
          <w:rFonts w:ascii="Arial" w:hAnsi="Arial" w:cs="Arial"/>
        </w:rPr>
        <w:t xml:space="preserve">, A., </w:t>
      </w:r>
      <w:proofErr w:type="spellStart"/>
      <w:r>
        <w:rPr>
          <w:rFonts w:ascii="Arial" w:hAnsi="Arial" w:cs="Arial"/>
        </w:rPr>
        <w:t>Dirican</w:t>
      </w:r>
      <w:proofErr w:type="spellEnd"/>
      <w:r>
        <w:rPr>
          <w:rFonts w:ascii="Arial" w:hAnsi="Arial" w:cs="Arial"/>
        </w:rPr>
        <w:t xml:space="preserve">, A. Ö., </w:t>
      </w:r>
      <w:proofErr w:type="spellStart"/>
      <w:r>
        <w:rPr>
          <w:rFonts w:ascii="Arial" w:hAnsi="Arial" w:cs="Arial"/>
        </w:rPr>
        <w:t>Genc</w:t>
      </w:r>
      <w:proofErr w:type="spellEnd"/>
      <w:r>
        <w:rPr>
          <w:rFonts w:ascii="Arial" w:hAnsi="Arial" w:cs="Arial"/>
        </w:rPr>
        <w:t xml:space="preserve">, M., </w:t>
      </w:r>
      <w:proofErr w:type="spellStart"/>
      <w:r>
        <w:rPr>
          <w:rFonts w:ascii="Arial" w:hAnsi="Arial" w:cs="Arial"/>
        </w:rPr>
        <w:t>Avci</w:t>
      </w:r>
      <w:proofErr w:type="spellEnd"/>
      <w:r>
        <w:rPr>
          <w:rFonts w:ascii="Arial" w:hAnsi="Arial" w:cs="Arial"/>
        </w:rPr>
        <w:t xml:space="preserve">, A., </w:t>
      </w:r>
      <w:proofErr w:type="spellStart"/>
      <w:r>
        <w:rPr>
          <w:rFonts w:ascii="Arial" w:hAnsi="Arial" w:cs="Arial"/>
        </w:rPr>
        <w:t>Doganay</w:t>
      </w:r>
      <w:proofErr w:type="spellEnd"/>
      <w:r>
        <w:rPr>
          <w:rFonts w:ascii="Arial" w:hAnsi="Arial" w:cs="Arial"/>
        </w:rPr>
        <w:t xml:space="preserve">, B., Uygur, D., &amp; </w:t>
      </w:r>
      <w:proofErr w:type="spellStart"/>
      <w:r>
        <w:rPr>
          <w:rFonts w:ascii="Arial" w:hAnsi="Arial" w:cs="Arial"/>
        </w:rPr>
        <w:t>Biberoglu</w:t>
      </w:r>
      <w:proofErr w:type="spellEnd"/>
      <w:r>
        <w:rPr>
          <w:rFonts w:ascii="Arial" w:hAnsi="Arial" w:cs="Arial"/>
        </w:rPr>
        <w:t xml:space="preserve">, K. (2016). Alterations in lipid peroxidation and T-cell function in women with hyperemesis gravidarum. Journal of obstetrics and </w:t>
      </w:r>
      <w:proofErr w:type="spellStart"/>
      <w:proofErr w:type="gramStart"/>
      <w:r>
        <w:rPr>
          <w:rFonts w:ascii="Arial" w:hAnsi="Arial" w:cs="Arial"/>
        </w:rPr>
        <w:t>gynaecology</w:t>
      </w:r>
      <w:proofErr w:type="spellEnd"/>
      <w:r>
        <w:rPr>
          <w:rFonts w:ascii="Arial" w:hAnsi="Arial" w:cs="Arial"/>
        </w:rPr>
        <w:t xml:space="preserve"> :</w:t>
      </w:r>
      <w:proofErr w:type="gramEnd"/>
      <w:r>
        <w:rPr>
          <w:rFonts w:ascii="Arial" w:hAnsi="Arial" w:cs="Arial"/>
        </w:rPr>
        <w:t xml:space="preserve"> the journal of the Institute of Obstetrics and </w:t>
      </w:r>
      <w:proofErr w:type="spellStart"/>
      <w:r>
        <w:rPr>
          <w:rFonts w:ascii="Arial" w:hAnsi="Arial" w:cs="Arial"/>
        </w:rPr>
        <w:t>Gynaecology</w:t>
      </w:r>
      <w:proofErr w:type="spellEnd"/>
      <w:r>
        <w:rPr>
          <w:rFonts w:ascii="Arial" w:hAnsi="Arial" w:cs="Arial"/>
        </w:rPr>
        <w:t>, 36(1), 93–96. https://doi.org/10.3109/01443615.2015.1030604</w:t>
      </w:r>
    </w:p>
    <w:p w:rsidR="00BC1D7C" w:rsidRDefault="00232D84">
      <w:pPr>
        <w:pStyle w:val="ListParagraph"/>
        <w:numPr>
          <w:ilvl w:val="0"/>
          <w:numId w:val="2"/>
        </w:numPr>
        <w:autoSpaceDE w:val="0"/>
        <w:autoSpaceDN w:val="0"/>
        <w:adjustRightInd w:val="0"/>
        <w:ind w:left="450"/>
        <w:jc w:val="both"/>
        <w:rPr>
          <w:rFonts w:ascii="Arial" w:hAnsi="Arial" w:cs="Arial"/>
          <w:color w:val="222222"/>
          <w:shd w:val="clear" w:color="auto" w:fill="FFFFFF"/>
        </w:rPr>
      </w:pPr>
      <w:proofErr w:type="spellStart"/>
      <w:r>
        <w:rPr>
          <w:rFonts w:ascii="Arial" w:hAnsi="Arial" w:cs="Arial"/>
          <w:color w:val="222222"/>
          <w:shd w:val="clear" w:color="auto" w:fill="FFFFFF"/>
        </w:rPr>
        <w:t>Biri</w:t>
      </w:r>
      <w:proofErr w:type="spellEnd"/>
      <w:r>
        <w:rPr>
          <w:rFonts w:ascii="Arial" w:hAnsi="Arial" w:cs="Arial"/>
          <w:color w:val="222222"/>
          <w:shd w:val="clear" w:color="auto" w:fill="FFFFFF"/>
        </w:rPr>
        <w:t xml:space="preserve">, A., Bozkurt, N., </w:t>
      </w:r>
      <w:proofErr w:type="spellStart"/>
      <w:r>
        <w:rPr>
          <w:rFonts w:ascii="Arial" w:hAnsi="Arial" w:cs="Arial"/>
          <w:color w:val="222222"/>
          <w:shd w:val="clear" w:color="auto" w:fill="FFFFFF"/>
        </w:rPr>
        <w:t>Turp</w:t>
      </w:r>
      <w:proofErr w:type="spellEnd"/>
      <w:r>
        <w:rPr>
          <w:rFonts w:ascii="Arial" w:hAnsi="Arial" w:cs="Arial"/>
          <w:color w:val="222222"/>
          <w:shd w:val="clear" w:color="auto" w:fill="FFFFFF"/>
        </w:rPr>
        <w:t xml:space="preserve">, A., </w:t>
      </w:r>
      <w:proofErr w:type="spellStart"/>
      <w:r>
        <w:rPr>
          <w:rFonts w:ascii="Arial" w:hAnsi="Arial" w:cs="Arial"/>
          <w:color w:val="222222"/>
          <w:shd w:val="clear" w:color="auto" w:fill="FFFFFF"/>
        </w:rPr>
        <w:t>Kavutcu</w:t>
      </w:r>
      <w:proofErr w:type="spellEnd"/>
      <w:r>
        <w:rPr>
          <w:rFonts w:ascii="Arial" w:hAnsi="Arial" w:cs="Arial"/>
          <w:color w:val="222222"/>
          <w:shd w:val="clear" w:color="auto" w:fill="FFFFFF"/>
        </w:rPr>
        <w:t xml:space="preserve">, M., </w:t>
      </w:r>
      <w:proofErr w:type="spellStart"/>
      <w:r>
        <w:rPr>
          <w:rFonts w:ascii="Arial" w:hAnsi="Arial" w:cs="Arial"/>
          <w:color w:val="222222"/>
          <w:shd w:val="clear" w:color="auto" w:fill="FFFFFF"/>
        </w:rPr>
        <w:t>Himmetoglu</w:t>
      </w:r>
      <w:proofErr w:type="spellEnd"/>
      <w:r>
        <w:rPr>
          <w:rFonts w:ascii="Arial" w:hAnsi="Arial" w:cs="Arial"/>
          <w:color w:val="222222"/>
          <w:shd w:val="clear" w:color="auto" w:fill="FFFFFF"/>
        </w:rPr>
        <w:t xml:space="preserve">, Ö., &amp; </w:t>
      </w:r>
      <w:proofErr w:type="spellStart"/>
      <w:r>
        <w:rPr>
          <w:rFonts w:ascii="Arial" w:hAnsi="Arial" w:cs="Arial"/>
          <w:color w:val="222222"/>
          <w:shd w:val="clear" w:color="auto" w:fill="FFFFFF"/>
        </w:rPr>
        <w:t>Durak</w:t>
      </w:r>
      <w:proofErr w:type="spellEnd"/>
      <w:r>
        <w:rPr>
          <w:rFonts w:ascii="Arial" w:hAnsi="Arial" w:cs="Arial"/>
          <w:color w:val="222222"/>
          <w:shd w:val="clear" w:color="auto" w:fill="FFFFFF"/>
        </w:rPr>
        <w:t>, I. (2007). Role of oxidative stress in intrauterine growth restriction. </w:t>
      </w:r>
      <w:r>
        <w:rPr>
          <w:rFonts w:ascii="Arial" w:hAnsi="Arial" w:cs="Arial"/>
          <w:i/>
          <w:iCs/>
          <w:color w:val="222222"/>
          <w:shd w:val="clear" w:color="auto" w:fill="FFFFFF"/>
        </w:rPr>
        <w:t>Gynecologic and obstetric investigation</w:t>
      </w:r>
      <w:r>
        <w:rPr>
          <w:rFonts w:ascii="Arial" w:hAnsi="Arial" w:cs="Arial"/>
          <w:color w:val="222222"/>
          <w:shd w:val="clear" w:color="auto" w:fill="FFFFFF"/>
        </w:rPr>
        <w:t>, </w:t>
      </w:r>
      <w:r>
        <w:rPr>
          <w:rFonts w:ascii="Arial" w:hAnsi="Arial" w:cs="Arial"/>
          <w:i/>
          <w:iCs/>
          <w:color w:val="222222"/>
          <w:shd w:val="clear" w:color="auto" w:fill="FFFFFF"/>
        </w:rPr>
        <w:t>64</w:t>
      </w:r>
      <w:r>
        <w:rPr>
          <w:rFonts w:ascii="Arial" w:hAnsi="Arial" w:cs="Arial"/>
          <w:color w:val="222222"/>
          <w:shd w:val="clear" w:color="auto" w:fill="FFFFFF"/>
        </w:rPr>
        <w:t>(4), 187-192.</w:t>
      </w:r>
    </w:p>
    <w:p w:rsidR="00BC1D7C" w:rsidRDefault="00232D84">
      <w:pPr>
        <w:pStyle w:val="ListParagraph"/>
        <w:numPr>
          <w:ilvl w:val="0"/>
          <w:numId w:val="2"/>
        </w:numPr>
        <w:autoSpaceDE w:val="0"/>
        <w:autoSpaceDN w:val="0"/>
        <w:adjustRightInd w:val="0"/>
        <w:ind w:left="450"/>
        <w:jc w:val="both"/>
        <w:rPr>
          <w:rFonts w:ascii="Arial" w:hAnsi="Arial" w:cs="Arial"/>
          <w:color w:val="222222"/>
          <w:shd w:val="clear" w:color="auto" w:fill="FFFFFF"/>
        </w:rPr>
      </w:pPr>
      <w:proofErr w:type="spellStart"/>
      <w:r>
        <w:rPr>
          <w:rFonts w:ascii="Arial" w:hAnsi="Arial" w:cs="Arial"/>
          <w:color w:val="303030"/>
          <w:shd w:val="clear" w:color="auto" w:fill="FFFFFF"/>
        </w:rPr>
        <w:lastRenderedPageBreak/>
        <w:t>Ciragil</w:t>
      </w:r>
      <w:proofErr w:type="spellEnd"/>
      <w:r>
        <w:rPr>
          <w:rFonts w:ascii="Arial" w:hAnsi="Arial" w:cs="Arial"/>
          <w:color w:val="303030"/>
          <w:shd w:val="clear" w:color="auto" w:fill="FFFFFF"/>
        </w:rPr>
        <w:t xml:space="preserve">, P., </w:t>
      </w:r>
      <w:proofErr w:type="spellStart"/>
      <w:r>
        <w:rPr>
          <w:rFonts w:ascii="Arial" w:hAnsi="Arial" w:cs="Arial"/>
          <w:color w:val="303030"/>
          <w:shd w:val="clear" w:color="auto" w:fill="FFFFFF"/>
        </w:rPr>
        <w:t>Kurutas</w:t>
      </w:r>
      <w:proofErr w:type="spellEnd"/>
      <w:r>
        <w:rPr>
          <w:rFonts w:ascii="Arial" w:hAnsi="Arial" w:cs="Arial"/>
          <w:color w:val="303030"/>
          <w:shd w:val="clear" w:color="auto" w:fill="FFFFFF"/>
        </w:rPr>
        <w:t xml:space="preserve">, E. B., Gul, M., </w:t>
      </w:r>
      <w:proofErr w:type="spellStart"/>
      <w:r>
        <w:rPr>
          <w:rFonts w:ascii="Arial" w:hAnsi="Arial" w:cs="Arial"/>
          <w:color w:val="303030"/>
          <w:shd w:val="clear" w:color="auto" w:fill="FFFFFF"/>
        </w:rPr>
        <w:t>Kilinc</w:t>
      </w:r>
      <w:proofErr w:type="spellEnd"/>
      <w:r>
        <w:rPr>
          <w:rFonts w:ascii="Arial" w:hAnsi="Arial" w:cs="Arial"/>
          <w:color w:val="303030"/>
          <w:shd w:val="clear" w:color="auto" w:fill="FFFFFF"/>
        </w:rPr>
        <w:t xml:space="preserve">, M., Aral, M., &amp; </w:t>
      </w:r>
      <w:proofErr w:type="spellStart"/>
      <w:r>
        <w:rPr>
          <w:rFonts w:ascii="Arial" w:hAnsi="Arial" w:cs="Arial"/>
          <w:color w:val="303030"/>
          <w:shd w:val="clear" w:color="auto" w:fill="FFFFFF"/>
        </w:rPr>
        <w:t>Guven</w:t>
      </w:r>
      <w:proofErr w:type="spellEnd"/>
      <w:r>
        <w:rPr>
          <w:rFonts w:ascii="Arial" w:hAnsi="Arial" w:cs="Arial"/>
          <w:color w:val="303030"/>
          <w:shd w:val="clear" w:color="auto" w:fill="FFFFFF"/>
        </w:rPr>
        <w:t>, A. (2005). The effects of oxidative stress in urinary tract infection during pregnancy. </w:t>
      </w:r>
      <w:r>
        <w:rPr>
          <w:rFonts w:ascii="Arial" w:hAnsi="Arial" w:cs="Arial"/>
          <w:i/>
          <w:iCs/>
          <w:color w:val="303030"/>
          <w:shd w:val="clear" w:color="auto" w:fill="FFFFFF"/>
        </w:rPr>
        <w:t>Mediators of inflammation</w:t>
      </w:r>
      <w:r>
        <w:rPr>
          <w:rFonts w:ascii="Arial" w:hAnsi="Arial" w:cs="Arial"/>
          <w:color w:val="303030"/>
          <w:shd w:val="clear" w:color="auto" w:fill="FFFFFF"/>
        </w:rPr>
        <w:t>, </w:t>
      </w:r>
      <w:r>
        <w:rPr>
          <w:rFonts w:ascii="Arial" w:hAnsi="Arial" w:cs="Arial"/>
          <w:i/>
          <w:iCs/>
          <w:color w:val="303030"/>
          <w:shd w:val="clear" w:color="auto" w:fill="FFFFFF"/>
        </w:rPr>
        <w:t>2005</w:t>
      </w:r>
      <w:r>
        <w:rPr>
          <w:rFonts w:ascii="Arial" w:hAnsi="Arial" w:cs="Arial"/>
          <w:color w:val="303030"/>
          <w:shd w:val="clear" w:color="auto" w:fill="FFFFFF"/>
        </w:rPr>
        <w:t xml:space="preserve">(5), 309–311. </w:t>
      </w:r>
      <w:hyperlink r:id="rId18" w:history="1">
        <w:r>
          <w:rPr>
            <w:rStyle w:val="Hyperlink"/>
            <w:rFonts w:ascii="Arial" w:hAnsi="Arial" w:cs="Arial"/>
            <w:shd w:val="clear" w:color="auto" w:fill="FFFFFF"/>
          </w:rPr>
          <w:t>https://doi.org/10.1155/MI.2005.309</w:t>
        </w:r>
      </w:hyperlink>
    </w:p>
    <w:p w:rsidR="00BC1D7C" w:rsidRDefault="00232D84">
      <w:pPr>
        <w:pStyle w:val="ListParagraph"/>
        <w:numPr>
          <w:ilvl w:val="0"/>
          <w:numId w:val="2"/>
        </w:numPr>
        <w:ind w:left="450"/>
        <w:jc w:val="both"/>
        <w:rPr>
          <w:rFonts w:ascii="Arial" w:hAnsi="Arial" w:cs="Arial"/>
        </w:rPr>
      </w:pPr>
      <w:r>
        <w:rPr>
          <w:rFonts w:ascii="Arial" w:hAnsi="Arial" w:cs="Arial"/>
        </w:rPr>
        <w:t>Committee on Practice Bulletins-Obstetrics (2018). ACOG Practice Bulletin No. 189: Nausea and Vomiting of Pregnancy. Obstetrics and gynecology, 131(1), e15–e30. https://doi.org/10.1097/AOG.0000000000002456</w:t>
      </w:r>
    </w:p>
    <w:p w:rsidR="00BC1D7C" w:rsidRDefault="00232D84">
      <w:pPr>
        <w:pStyle w:val="ListParagraph"/>
        <w:numPr>
          <w:ilvl w:val="0"/>
          <w:numId w:val="2"/>
        </w:numPr>
        <w:ind w:left="450"/>
        <w:jc w:val="both"/>
        <w:rPr>
          <w:rFonts w:ascii="Arial" w:hAnsi="Arial" w:cs="Arial"/>
        </w:rPr>
      </w:pPr>
      <w:proofErr w:type="spellStart"/>
      <w:r>
        <w:rPr>
          <w:rFonts w:ascii="Arial" w:hAnsi="Arial" w:cs="Arial"/>
        </w:rPr>
        <w:t>Davidge</w:t>
      </w:r>
      <w:proofErr w:type="spellEnd"/>
      <w:r>
        <w:rPr>
          <w:rFonts w:ascii="Arial" w:hAnsi="Arial" w:cs="Arial"/>
        </w:rPr>
        <w:t xml:space="preserve">, S. T., Hubel, C. A., Brayden, R. D., </w:t>
      </w:r>
      <w:proofErr w:type="spellStart"/>
      <w:r>
        <w:rPr>
          <w:rFonts w:ascii="Arial" w:hAnsi="Arial" w:cs="Arial"/>
        </w:rPr>
        <w:t>Capeless</w:t>
      </w:r>
      <w:proofErr w:type="spellEnd"/>
      <w:r>
        <w:rPr>
          <w:rFonts w:ascii="Arial" w:hAnsi="Arial" w:cs="Arial"/>
        </w:rPr>
        <w:t>, E. C., &amp; McLaughlin, M. K. (1992). Sera antioxidant activity in uncomplicated and preeclamptic pregnancies. Obstetrics and gynecology, 79(6), 897–901.,</w:t>
      </w:r>
    </w:p>
    <w:p w:rsidR="00BC1D7C" w:rsidRDefault="00232D84">
      <w:pPr>
        <w:pStyle w:val="ListParagraph"/>
        <w:numPr>
          <w:ilvl w:val="0"/>
          <w:numId w:val="2"/>
        </w:numPr>
        <w:ind w:left="450"/>
        <w:jc w:val="both"/>
        <w:rPr>
          <w:rFonts w:ascii="Arial" w:eastAsia="SimSun" w:hAnsi="Arial" w:cs="Arial"/>
        </w:rPr>
      </w:pPr>
      <w:proofErr w:type="spellStart"/>
      <w:r>
        <w:rPr>
          <w:rFonts w:ascii="Arial" w:hAnsi="Arial" w:cs="Arial"/>
        </w:rPr>
        <w:t>Bjelland</w:t>
      </w:r>
      <w:proofErr w:type="spellEnd"/>
      <w:r>
        <w:rPr>
          <w:rFonts w:ascii="Arial" w:hAnsi="Arial" w:cs="Arial"/>
        </w:rPr>
        <w:t xml:space="preserve">, E. K., Magnus, P., &amp; </w:t>
      </w:r>
      <w:proofErr w:type="spellStart"/>
      <w:r>
        <w:rPr>
          <w:rFonts w:ascii="Arial" w:hAnsi="Arial" w:cs="Arial"/>
        </w:rPr>
        <w:t>Veierød</w:t>
      </w:r>
      <w:proofErr w:type="spellEnd"/>
      <w:r>
        <w:rPr>
          <w:rFonts w:ascii="Arial" w:hAnsi="Arial" w:cs="Arial"/>
        </w:rPr>
        <w:t>, M. B. (2015). Pregnancy complications and birth outcomes among women experiencing nausea only or nausea and vomiting during pregnancy in the Norwegian Mother and Child Cohort Study. BMC pregnancy and childbirth, 15, 138. https://doi.org/10.1186/s12884-015-0580-6</w:t>
      </w:r>
    </w:p>
    <w:p w:rsidR="00BC1D7C" w:rsidRDefault="00232D84">
      <w:pPr>
        <w:pStyle w:val="ListParagraph"/>
        <w:numPr>
          <w:ilvl w:val="0"/>
          <w:numId w:val="2"/>
        </w:numPr>
        <w:autoSpaceDE w:val="0"/>
        <w:autoSpaceDN w:val="0"/>
        <w:adjustRightInd w:val="0"/>
        <w:ind w:left="450"/>
        <w:jc w:val="both"/>
        <w:rPr>
          <w:rFonts w:ascii="Arial" w:hAnsi="Arial" w:cs="Arial"/>
          <w:color w:val="222222"/>
          <w:shd w:val="clear" w:color="auto" w:fill="FFFFFF"/>
        </w:rPr>
      </w:pPr>
      <w:r>
        <w:rPr>
          <w:rFonts w:ascii="Arial" w:hAnsi="Arial" w:cs="Arial"/>
        </w:rPr>
        <w:t xml:space="preserve">Demir B, </w:t>
      </w:r>
      <w:proofErr w:type="spellStart"/>
      <w:r>
        <w:rPr>
          <w:rFonts w:ascii="Arial" w:hAnsi="Arial" w:cs="Arial"/>
        </w:rPr>
        <w:t>Erel</w:t>
      </w:r>
      <w:proofErr w:type="spellEnd"/>
      <w:r>
        <w:rPr>
          <w:rFonts w:ascii="Arial" w:hAnsi="Arial" w:cs="Arial"/>
        </w:rPr>
        <w:t xml:space="preserve"> C, </w:t>
      </w:r>
      <w:proofErr w:type="spellStart"/>
      <w:r>
        <w:rPr>
          <w:rFonts w:ascii="Arial" w:hAnsi="Arial" w:cs="Arial"/>
        </w:rPr>
        <w:t>Haberal</w:t>
      </w:r>
      <w:proofErr w:type="spellEnd"/>
      <w:r>
        <w:rPr>
          <w:rFonts w:ascii="Arial" w:hAnsi="Arial" w:cs="Arial"/>
        </w:rPr>
        <w:t xml:space="preserve"> A, et al. Adjusted leptin level (ALL) is a predictor for hyperemesis gravidarum. Eur J </w:t>
      </w:r>
      <w:proofErr w:type="spellStart"/>
      <w:r>
        <w:rPr>
          <w:rFonts w:ascii="Arial" w:hAnsi="Arial" w:cs="Arial"/>
        </w:rPr>
        <w:t>Obstet</w:t>
      </w:r>
      <w:proofErr w:type="spellEnd"/>
      <w:r>
        <w:rPr>
          <w:rFonts w:ascii="Arial" w:hAnsi="Arial" w:cs="Arial"/>
        </w:rPr>
        <w:t xml:space="preserve"> </w:t>
      </w:r>
      <w:proofErr w:type="spellStart"/>
      <w:r>
        <w:rPr>
          <w:rFonts w:ascii="Arial" w:hAnsi="Arial" w:cs="Arial"/>
        </w:rPr>
        <w:t>Gynecol</w:t>
      </w:r>
      <w:proofErr w:type="spellEnd"/>
      <w:r>
        <w:rPr>
          <w:rFonts w:ascii="Arial" w:hAnsi="Arial" w:cs="Arial"/>
        </w:rPr>
        <w:t xml:space="preserve"> </w:t>
      </w:r>
      <w:proofErr w:type="spellStart"/>
      <w:r>
        <w:rPr>
          <w:rFonts w:ascii="Arial" w:hAnsi="Arial" w:cs="Arial"/>
        </w:rPr>
        <w:t>Reprod</w:t>
      </w:r>
      <w:proofErr w:type="spellEnd"/>
      <w:r>
        <w:rPr>
          <w:rFonts w:ascii="Arial" w:hAnsi="Arial" w:cs="Arial"/>
        </w:rPr>
        <w:t xml:space="preserve"> Biol. 2006; 124(2): 193-6.</w:t>
      </w:r>
    </w:p>
    <w:p w:rsidR="00BC1D7C" w:rsidRDefault="00232D84">
      <w:pPr>
        <w:pStyle w:val="ListParagraph"/>
        <w:numPr>
          <w:ilvl w:val="0"/>
          <w:numId w:val="2"/>
        </w:numPr>
        <w:ind w:left="450"/>
        <w:jc w:val="both"/>
        <w:rPr>
          <w:rFonts w:ascii="Arial" w:hAnsi="Arial" w:cs="Arial"/>
        </w:rPr>
      </w:pPr>
      <w:proofErr w:type="spellStart"/>
      <w:r>
        <w:rPr>
          <w:rFonts w:ascii="Arial" w:hAnsi="Arial" w:cs="Arial"/>
        </w:rPr>
        <w:t>Engin-Ustun</w:t>
      </w:r>
      <w:proofErr w:type="spellEnd"/>
      <w:r>
        <w:rPr>
          <w:rFonts w:ascii="Arial" w:hAnsi="Arial" w:cs="Arial"/>
        </w:rPr>
        <w:t xml:space="preserve">, Y., </w:t>
      </w:r>
      <w:proofErr w:type="spellStart"/>
      <w:r>
        <w:rPr>
          <w:rFonts w:ascii="Arial" w:hAnsi="Arial" w:cs="Arial"/>
        </w:rPr>
        <w:t>Tonguç</w:t>
      </w:r>
      <w:proofErr w:type="spellEnd"/>
      <w:r>
        <w:rPr>
          <w:rFonts w:ascii="Arial" w:hAnsi="Arial" w:cs="Arial"/>
        </w:rPr>
        <w:t xml:space="preserve">, E., Var, T., </w:t>
      </w:r>
      <w:proofErr w:type="spellStart"/>
      <w:r>
        <w:rPr>
          <w:rFonts w:ascii="Arial" w:hAnsi="Arial" w:cs="Arial"/>
        </w:rPr>
        <w:t>Deveer</w:t>
      </w:r>
      <w:proofErr w:type="spellEnd"/>
      <w:r>
        <w:rPr>
          <w:rFonts w:ascii="Arial" w:hAnsi="Arial" w:cs="Arial"/>
        </w:rPr>
        <w:t xml:space="preserve">, R., Yilmaz, N., </w:t>
      </w:r>
      <w:proofErr w:type="spellStart"/>
      <w:r>
        <w:rPr>
          <w:rFonts w:ascii="Arial" w:hAnsi="Arial" w:cs="Arial"/>
        </w:rPr>
        <w:t>Danisman</w:t>
      </w:r>
      <w:proofErr w:type="spellEnd"/>
      <w:r>
        <w:rPr>
          <w:rFonts w:ascii="Arial" w:hAnsi="Arial" w:cs="Arial"/>
        </w:rPr>
        <w:t xml:space="preserve">, N., </w:t>
      </w:r>
      <w:proofErr w:type="spellStart"/>
      <w:r>
        <w:rPr>
          <w:rFonts w:ascii="Arial" w:hAnsi="Arial" w:cs="Arial"/>
        </w:rPr>
        <w:t>Besli</w:t>
      </w:r>
      <w:proofErr w:type="spellEnd"/>
      <w:r>
        <w:rPr>
          <w:rFonts w:ascii="Arial" w:hAnsi="Arial" w:cs="Arial"/>
        </w:rPr>
        <w:t xml:space="preserve">, M., &amp; </w:t>
      </w:r>
      <w:proofErr w:type="spellStart"/>
      <w:r>
        <w:rPr>
          <w:rFonts w:ascii="Arial" w:hAnsi="Arial" w:cs="Arial"/>
        </w:rPr>
        <w:t>Mollamahmutoglu</w:t>
      </w:r>
      <w:proofErr w:type="spellEnd"/>
      <w:r>
        <w:rPr>
          <w:rFonts w:ascii="Arial" w:hAnsi="Arial" w:cs="Arial"/>
        </w:rPr>
        <w:t xml:space="preserve">, L. (2013). </w:t>
      </w:r>
      <w:proofErr w:type="spellStart"/>
      <w:r>
        <w:rPr>
          <w:rFonts w:ascii="Arial" w:hAnsi="Arial" w:cs="Arial"/>
        </w:rPr>
        <w:t>Vaspin</w:t>
      </w:r>
      <w:proofErr w:type="spellEnd"/>
      <w:r>
        <w:rPr>
          <w:rFonts w:ascii="Arial" w:hAnsi="Arial" w:cs="Arial"/>
        </w:rPr>
        <w:t xml:space="preserve"> and C-reactive protein levels in hyperemesis gravidarum. European review for medical and pharmacological sciences, 17(1), 138–140.</w:t>
      </w:r>
    </w:p>
    <w:p w:rsidR="00BC1D7C" w:rsidRDefault="00232D84">
      <w:pPr>
        <w:pStyle w:val="ListParagraph"/>
        <w:numPr>
          <w:ilvl w:val="0"/>
          <w:numId w:val="2"/>
        </w:numPr>
        <w:autoSpaceDE w:val="0"/>
        <w:autoSpaceDN w:val="0"/>
        <w:adjustRightInd w:val="0"/>
        <w:ind w:left="450"/>
        <w:jc w:val="both"/>
        <w:rPr>
          <w:rFonts w:ascii="Arial" w:hAnsi="Arial" w:cs="Arial"/>
          <w:color w:val="222222"/>
          <w:shd w:val="clear" w:color="auto" w:fill="FFFFFF"/>
        </w:rPr>
      </w:pPr>
      <w:proofErr w:type="spellStart"/>
      <w:r>
        <w:rPr>
          <w:rFonts w:ascii="Arial" w:hAnsi="Arial" w:cs="Arial"/>
        </w:rPr>
        <w:t>Gabra</w:t>
      </w:r>
      <w:proofErr w:type="spellEnd"/>
      <w:r>
        <w:rPr>
          <w:rFonts w:ascii="Arial" w:hAnsi="Arial" w:cs="Arial"/>
        </w:rPr>
        <w:t xml:space="preserve"> A (2018) Complications of Hyperemesis Gravidarum; A Disease of Both Mother and Fetus, Review Article. </w:t>
      </w:r>
      <w:proofErr w:type="spellStart"/>
      <w:r>
        <w:rPr>
          <w:rFonts w:ascii="Arial" w:hAnsi="Arial" w:cs="Arial"/>
        </w:rPr>
        <w:t>Crit</w:t>
      </w:r>
      <w:proofErr w:type="spellEnd"/>
      <w:r>
        <w:rPr>
          <w:rFonts w:ascii="Arial" w:hAnsi="Arial" w:cs="Arial"/>
        </w:rPr>
        <w:t xml:space="preserve"> Care </w:t>
      </w:r>
      <w:proofErr w:type="spellStart"/>
      <w:r>
        <w:rPr>
          <w:rFonts w:ascii="Arial" w:hAnsi="Arial" w:cs="Arial"/>
        </w:rPr>
        <w:t>Obst</w:t>
      </w:r>
      <w:proofErr w:type="spellEnd"/>
      <w:r>
        <w:rPr>
          <w:rFonts w:ascii="Arial" w:hAnsi="Arial" w:cs="Arial"/>
        </w:rPr>
        <w:t xml:space="preserve"> </w:t>
      </w:r>
      <w:proofErr w:type="spellStart"/>
      <w:r>
        <w:rPr>
          <w:rFonts w:ascii="Arial" w:hAnsi="Arial" w:cs="Arial"/>
        </w:rPr>
        <w:t>Gyne</w:t>
      </w:r>
      <w:proofErr w:type="spellEnd"/>
      <w:r>
        <w:rPr>
          <w:rFonts w:ascii="Arial" w:hAnsi="Arial" w:cs="Arial"/>
        </w:rPr>
        <w:t>. Vol.5 No.1:1.</w:t>
      </w:r>
    </w:p>
    <w:p w:rsidR="00BC1D7C" w:rsidRDefault="00232D84">
      <w:pPr>
        <w:pStyle w:val="ListParagraph"/>
        <w:numPr>
          <w:ilvl w:val="0"/>
          <w:numId w:val="2"/>
        </w:numPr>
        <w:autoSpaceDE w:val="0"/>
        <w:autoSpaceDN w:val="0"/>
        <w:adjustRightInd w:val="0"/>
        <w:ind w:left="426"/>
        <w:jc w:val="both"/>
        <w:rPr>
          <w:rFonts w:ascii="Arial" w:hAnsi="Arial" w:cs="Arial"/>
          <w:color w:val="222222"/>
          <w:shd w:val="clear" w:color="auto" w:fill="FFFFFF"/>
        </w:rPr>
      </w:pPr>
      <w:r>
        <w:rPr>
          <w:rFonts w:ascii="Arial" w:hAnsi="Arial" w:cs="Arial"/>
          <w:color w:val="222222"/>
          <w:shd w:val="clear" w:color="auto" w:fill="FFFFFF"/>
        </w:rPr>
        <w:t xml:space="preserve">Harris RBS (2014) Direct and indirect effects of leptin on adipocyte metabolism, </w:t>
      </w:r>
      <w:proofErr w:type="spellStart"/>
      <w:r>
        <w:rPr>
          <w:rFonts w:ascii="Arial" w:hAnsi="Arial" w:cs="Arial"/>
          <w:color w:val="222222"/>
          <w:shd w:val="clear" w:color="auto" w:fill="FFFFFF"/>
        </w:rPr>
        <w:t>Biochimica</w:t>
      </w:r>
      <w:proofErr w:type="spellEnd"/>
      <w:r>
        <w:rPr>
          <w:rFonts w:ascii="Arial" w:hAnsi="Arial" w:cs="Arial"/>
          <w:color w:val="222222"/>
          <w:shd w:val="clear" w:color="auto" w:fill="FFFFFF"/>
        </w:rPr>
        <w:t xml:space="preserve"> et </w:t>
      </w:r>
      <w:proofErr w:type="spellStart"/>
      <w:r>
        <w:rPr>
          <w:rFonts w:ascii="Arial" w:hAnsi="Arial" w:cs="Arial"/>
          <w:color w:val="222222"/>
          <w:shd w:val="clear" w:color="auto" w:fill="FFFFFF"/>
        </w:rPr>
        <w:t>Biophysica</w:t>
      </w:r>
      <w:proofErr w:type="spellEnd"/>
      <w:r>
        <w:rPr>
          <w:rFonts w:ascii="Arial" w:hAnsi="Arial" w:cs="Arial"/>
          <w:color w:val="222222"/>
          <w:shd w:val="clear" w:color="auto" w:fill="FFFFFF"/>
        </w:rPr>
        <w:t xml:space="preserve"> Acta (BBA) - Molecular Basis of Disease, Volume 1842, Issue 3; Pages 414-423,</w:t>
      </w:r>
    </w:p>
    <w:p w:rsidR="00BC1D7C" w:rsidRDefault="00232D84">
      <w:pPr>
        <w:pStyle w:val="ListParagraph"/>
        <w:numPr>
          <w:ilvl w:val="0"/>
          <w:numId w:val="2"/>
        </w:numPr>
        <w:ind w:left="450"/>
        <w:jc w:val="both"/>
        <w:rPr>
          <w:rFonts w:ascii="Arial" w:hAnsi="Arial" w:cs="Arial"/>
        </w:rPr>
      </w:pPr>
      <w:r>
        <w:rPr>
          <w:rFonts w:ascii="Arial" w:hAnsi="Arial" w:cs="Arial"/>
        </w:rPr>
        <w:t xml:space="preserve">Hu, R., Chen, Y., Zhang, Y., Qian, Z., Liu, Y., Vaughn, M. G., Xu, S., Zheng, T., Liu, M., &amp; Zhang, B. (2017). Association between vomiting in the first trimester and preterm birth: a retrospective birth cohort study in Wuhan, China. BMJ open, 7(9), e017309. </w:t>
      </w:r>
      <w:hyperlink r:id="rId19" w:history="1">
        <w:r>
          <w:rPr>
            <w:rStyle w:val="Hyperlink"/>
            <w:rFonts w:ascii="Arial" w:hAnsi="Arial" w:cs="Arial"/>
          </w:rPr>
          <w:t>https://doi.org/10.1136/bmjopen-2017-017309</w:t>
        </w:r>
      </w:hyperlink>
    </w:p>
    <w:p w:rsidR="00BC1D7C" w:rsidRDefault="00232D84">
      <w:pPr>
        <w:pStyle w:val="ListParagraph"/>
        <w:numPr>
          <w:ilvl w:val="0"/>
          <w:numId w:val="2"/>
        </w:numPr>
        <w:ind w:left="450"/>
        <w:jc w:val="both"/>
        <w:rPr>
          <w:rFonts w:ascii="Arial" w:hAnsi="Arial"/>
        </w:rPr>
      </w:pPr>
      <w:proofErr w:type="spellStart"/>
      <w:r>
        <w:rPr>
          <w:rFonts w:ascii="Arial" w:hAnsi="Arial"/>
        </w:rPr>
        <w:t>Nesma</w:t>
      </w:r>
      <w:proofErr w:type="spellEnd"/>
      <w:r>
        <w:rPr>
          <w:rFonts w:ascii="Arial" w:hAnsi="Arial"/>
        </w:rPr>
        <w:t xml:space="preserve"> A.M. </w:t>
      </w:r>
      <w:proofErr w:type="spellStart"/>
      <w:r>
        <w:rPr>
          <w:rFonts w:ascii="Arial" w:hAnsi="Arial"/>
        </w:rPr>
        <w:t>Ghonimi</w:t>
      </w:r>
      <w:proofErr w:type="spellEnd"/>
      <w:r>
        <w:rPr>
          <w:rFonts w:ascii="Arial" w:hAnsi="Arial"/>
        </w:rPr>
        <w:t xml:space="preserve">, Khaled A. </w:t>
      </w:r>
      <w:proofErr w:type="spellStart"/>
      <w:r>
        <w:rPr>
          <w:rFonts w:ascii="Arial" w:hAnsi="Arial"/>
        </w:rPr>
        <w:t>Elsharkawi</w:t>
      </w:r>
      <w:proofErr w:type="spellEnd"/>
      <w:r>
        <w:rPr>
          <w:rFonts w:ascii="Arial" w:hAnsi="Arial"/>
        </w:rPr>
        <w:t xml:space="preserve">, </w:t>
      </w:r>
      <w:proofErr w:type="spellStart"/>
      <w:r>
        <w:rPr>
          <w:rFonts w:ascii="Arial" w:hAnsi="Arial"/>
        </w:rPr>
        <w:t>Doaa</w:t>
      </w:r>
      <w:proofErr w:type="spellEnd"/>
      <w:r>
        <w:rPr>
          <w:rFonts w:ascii="Arial" w:hAnsi="Arial"/>
        </w:rPr>
        <w:t xml:space="preserve"> S.M. </w:t>
      </w:r>
      <w:proofErr w:type="spellStart"/>
      <w:r>
        <w:rPr>
          <w:rFonts w:ascii="Arial" w:hAnsi="Arial"/>
        </w:rPr>
        <w:t>Khyal</w:t>
      </w:r>
      <w:proofErr w:type="spellEnd"/>
      <w:r>
        <w:rPr>
          <w:rFonts w:ascii="Arial" w:hAnsi="Arial"/>
        </w:rPr>
        <w:t xml:space="preserve">, </w:t>
      </w:r>
      <w:proofErr w:type="spellStart"/>
      <w:r>
        <w:rPr>
          <w:rFonts w:ascii="Arial" w:hAnsi="Arial"/>
        </w:rPr>
        <w:t>Alaa</w:t>
      </w:r>
      <w:proofErr w:type="spellEnd"/>
      <w:r>
        <w:rPr>
          <w:rFonts w:ascii="Arial" w:hAnsi="Arial"/>
        </w:rPr>
        <w:t xml:space="preserve"> A. Abdelghani</w:t>
      </w:r>
      <w:r>
        <w:rPr>
          <w:rFonts w:ascii="Arial" w:hAnsi="Arial"/>
          <w:lang w:val="en-GB"/>
        </w:rPr>
        <w:t xml:space="preserve">. (2021). </w:t>
      </w:r>
      <w:r>
        <w:rPr>
          <w:rFonts w:ascii="Arial" w:hAnsi="Arial"/>
        </w:rPr>
        <w:t>Serum malondialdehyde as a lipid peroxidation marker in multiple sclerosis patients and its relation to disease characteristics</w:t>
      </w:r>
      <w:r>
        <w:rPr>
          <w:rFonts w:ascii="Arial" w:hAnsi="Arial"/>
          <w:lang w:val="en-GB"/>
        </w:rPr>
        <w:t xml:space="preserve">. </w:t>
      </w:r>
      <w:r>
        <w:rPr>
          <w:rFonts w:ascii="Arial" w:hAnsi="Arial"/>
        </w:rPr>
        <w:t>Multiple Sclerosis and Related Disorders</w:t>
      </w:r>
      <w:r>
        <w:rPr>
          <w:rFonts w:ascii="Arial" w:hAnsi="Arial"/>
          <w:lang w:val="en-GB"/>
        </w:rPr>
        <w:t xml:space="preserve">. </w:t>
      </w:r>
      <w:r>
        <w:rPr>
          <w:rFonts w:ascii="Arial" w:hAnsi="Arial"/>
        </w:rPr>
        <w:t>51</w:t>
      </w:r>
      <w:r>
        <w:rPr>
          <w:rFonts w:ascii="Arial" w:hAnsi="Arial"/>
          <w:lang w:val="en-GB"/>
        </w:rPr>
        <w:t>:</w:t>
      </w:r>
      <w:r>
        <w:rPr>
          <w:rFonts w:ascii="Arial" w:hAnsi="Arial"/>
        </w:rPr>
        <w:t>102941,</w:t>
      </w:r>
    </w:p>
    <w:p w:rsidR="00BC1D7C" w:rsidRDefault="00232D84">
      <w:pPr>
        <w:pStyle w:val="ListParagraph"/>
        <w:numPr>
          <w:ilvl w:val="0"/>
          <w:numId w:val="2"/>
        </w:numPr>
        <w:ind w:left="450"/>
        <w:jc w:val="both"/>
        <w:rPr>
          <w:rFonts w:ascii="Arial" w:hAnsi="Arial" w:cs="Arial"/>
        </w:rPr>
      </w:pPr>
      <w:r>
        <w:rPr>
          <w:rFonts w:ascii="Arial" w:hAnsi="Arial" w:cs="Arial"/>
        </w:rPr>
        <w:t xml:space="preserve">Hubel, C. A., Roberts, J. M., Taylor, R. N., </w:t>
      </w:r>
      <w:proofErr w:type="spellStart"/>
      <w:r>
        <w:rPr>
          <w:rFonts w:ascii="Arial" w:hAnsi="Arial" w:cs="Arial"/>
        </w:rPr>
        <w:t>Musci</w:t>
      </w:r>
      <w:proofErr w:type="spellEnd"/>
      <w:r>
        <w:rPr>
          <w:rFonts w:ascii="Arial" w:hAnsi="Arial" w:cs="Arial"/>
        </w:rPr>
        <w:t>, T. J., Rogers, G. M., &amp; McLaughlin, M. K. (1989). Lipid peroxidation in pregnancy: new perspectives on preeclampsia. American journal of obstetrics and gynecology, 161(4), 1025–1034. https://doi.org/10.1016/0002-9378(89)90778-3</w:t>
      </w:r>
    </w:p>
    <w:p w:rsidR="00BC1D7C" w:rsidRDefault="00232D84">
      <w:pPr>
        <w:pStyle w:val="ListParagraph"/>
        <w:numPr>
          <w:ilvl w:val="0"/>
          <w:numId w:val="2"/>
        </w:numPr>
        <w:autoSpaceDE w:val="0"/>
        <w:autoSpaceDN w:val="0"/>
        <w:adjustRightInd w:val="0"/>
        <w:ind w:left="450"/>
        <w:jc w:val="both"/>
        <w:rPr>
          <w:rFonts w:ascii="Arial" w:hAnsi="Arial" w:cs="Arial"/>
          <w:color w:val="222222"/>
          <w:shd w:val="clear" w:color="auto" w:fill="FFFFFF"/>
        </w:rPr>
      </w:pPr>
      <w:r>
        <w:rPr>
          <w:rFonts w:ascii="Arial" w:hAnsi="Arial" w:cs="Arial"/>
          <w:color w:val="222222"/>
          <w:shd w:val="clear" w:color="auto" w:fill="FFFFFF"/>
        </w:rPr>
        <w:t xml:space="preserve">Lacroix, R., Eason, E., &amp; </w:t>
      </w:r>
      <w:proofErr w:type="spellStart"/>
      <w:r>
        <w:rPr>
          <w:rFonts w:ascii="Arial" w:hAnsi="Arial" w:cs="Arial"/>
          <w:color w:val="222222"/>
          <w:shd w:val="clear" w:color="auto" w:fill="FFFFFF"/>
        </w:rPr>
        <w:t>Melzack</w:t>
      </w:r>
      <w:proofErr w:type="spellEnd"/>
      <w:r>
        <w:rPr>
          <w:rFonts w:ascii="Arial" w:hAnsi="Arial" w:cs="Arial"/>
          <w:color w:val="222222"/>
          <w:shd w:val="clear" w:color="auto" w:fill="FFFFFF"/>
        </w:rPr>
        <w:t>, R. (2000). Nausea and vomiting during pregnancy: a prospective study of its frequency, intensity, and patterns of change. </w:t>
      </w:r>
      <w:r>
        <w:rPr>
          <w:rFonts w:ascii="Arial" w:hAnsi="Arial" w:cs="Arial"/>
          <w:i/>
          <w:iCs/>
          <w:color w:val="222222"/>
          <w:shd w:val="clear" w:color="auto" w:fill="FFFFFF"/>
        </w:rPr>
        <w:t>American Journal of Obstetrics and Gynecology</w:t>
      </w:r>
      <w:r>
        <w:rPr>
          <w:rFonts w:ascii="Arial" w:hAnsi="Arial" w:cs="Arial"/>
          <w:color w:val="222222"/>
          <w:shd w:val="clear" w:color="auto" w:fill="FFFFFF"/>
        </w:rPr>
        <w:t>, </w:t>
      </w:r>
      <w:r>
        <w:rPr>
          <w:rFonts w:ascii="Arial" w:hAnsi="Arial" w:cs="Arial"/>
          <w:i/>
          <w:iCs/>
          <w:color w:val="222222"/>
          <w:shd w:val="clear" w:color="auto" w:fill="FFFFFF"/>
        </w:rPr>
        <w:t>182</w:t>
      </w:r>
      <w:r>
        <w:rPr>
          <w:rFonts w:ascii="Arial" w:hAnsi="Arial" w:cs="Arial"/>
          <w:color w:val="222222"/>
          <w:shd w:val="clear" w:color="auto" w:fill="FFFFFF"/>
        </w:rPr>
        <w:t>(4), 931-937.</w:t>
      </w:r>
    </w:p>
    <w:p w:rsidR="00BC1D7C" w:rsidRDefault="00232D84">
      <w:pPr>
        <w:pStyle w:val="ListParagraph"/>
        <w:numPr>
          <w:ilvl w:val="0"/>
          <w:numId w:val="2"/>
        </w:numPr>
        <w:autoSpaceDE w:val="0"/>
        <w:autoSpaceDN w:val="0"/>
        <w:adjustRightInd w:val="0"/>
        <w:ind w:left="450"/>
        <w:jc w:val="both"/>
        <w:rPr>
          <w:rFonts w:ascii="Arial" w:hAnsi="Arial" w:cs="Arial"/>
          <w:color w:val="333333"/>
          <w:shd w:val="clear" w:color="auto" w:fill="FFFFFF"/>
        </w:rPr>
      </w:pPr>
      <w:r>
        <w:rPr>
          <w:rFonts w:ascii="Arial" w:hAnsi="Arial" w:cs="Arial"/>
          <w:color w:val="333333"/>
          <w:shd w:val="clear" w:color="auto" w:fill="FFFFFF"/>
        </w:rPr>
        <w:t xml:space="preserve">Mantel Ä, Hirschberg AL, </w:t>
      </w:r>
      <w:proofErr w:type="spellStart"/>
      <w:r>
        <w:rPr>
          <w:rFonts w:ascii="Arial" w:hAnsi="Arial" w:cs="Arial"/>
          <w:color w:val="333333"/>
          <w:shd w:val="clear" w:color="auto" w:fill="FFFFFF"/>
        </w:rPr>
        <w:t>Stephansson</w:t>
      </w:r>
      <w:proofErr w:type="spellEnd"/>
      <w:r>
        <w:rPr>
          <w:rFonts w:ascii="Arial" w:hAnsi="Arial" w:cs="Arial"/>
          <w:color w:val="333333"/>
          <w:shd w:val="clear" w:color="auto" w:fill="FFFFFF"/>
        </w:rPr>
        <w:t xml:space="preserve"> O. Association of Maternal Eating Disorders </w:t>
      </w:r>
      <w:proofErr w:type="gramStart"/>
      <w:r>
        <w:rPr>
          <w:rFonts w:ascii="Arial" w:hAnsi="Arial" w:cs="Arial"/>
          <w:color w:val="333333"/>
          <w:shd w:val="clear" w:color="auto" w:fill="FFFFFF"/>
        </w:rPr>
        <w:t>With</w:t>
      </w:r>
      <w:proofErr w:type="gramEnd"/>
      <w:r>
        <w:rPr>
          <w:rFonts w:ascii="Arial" w:hAnsi="Arial" w:cs="Arial"/>
          <w:color w:val="333333"/>
          <w:shd w:val="clear" w:color="auto" w:fill="FFFFFF"/>
        </w:rPr>
        <w:t xml:space="preserve"> Pregnancy and Neonatal Outcomes. </w:t>
      </w:r>
      <w:r>
        <w:rPr>
          <w:rStyle w:val="Emphasis"/>
          <w:rFonts w:ascii="Arial" w:hAnsi="Arial" w:cs="Arial"/>
          <w:color w:val="333333"/>
          <w:shd w:val="clear" w:color="auto" w:fill="FFFFFF"/>
        </w:rPr>
        <w:t>JAMA Psychiatry.</w:t>
      </w:r>
      <w:r>
        <w:rPr>
          <w:rFonts w:ascii="Arial" w:hAnsi="Arial" w:cs="Arial"/>
          <w:color w:val="333333"/>
          <w:shd w:val="clear" w:color="auto" w:fill="FFFFFF"/>
        </w:rPr>
        <w:t> 2020;77(3):285–293. doi:10.1001/jamapsychiatry.2019.3664</w:t>
      </w:r>
    </w:p>
    <w:p w:rsidR="00BC1D7C" w:rsidRDefault="00232D84">
      <w:pPr>
        <w:pStyle w:val="ListParagraph"/>
        <w:numPr>
          <w:ilvl w:val="0"/>
          <w:numId w:val="2"/>
        </w:numPr>
        <w:ind w:left="450"/>
        <w:jc w:val="both"/>
        <w:rPr>
          <w:rFonts w:ascii="Arial" w:hAnsi="Arial" w:cs="Arial"/>
        </w:rPr>
      </w:pPr>
      <w:r>
        <w:rPr>
          <w:rFonts w:ascii="Arial" w:hAnsi="Arial" w:cs="Arial"/>
        </w:rPr>
        <w:t xml:space="preserve">McCarthy, F. P., </w:t>
      </w:r>
      <w:proofErr w:type="spellStart"/>
      <w:r>
        <w:rPr>
          <w:rFonts w:ascii="Arial" w:hAnsi="Arial" w:cs="Arial"/>
        </w:rPr>
        <w:t>Lutomski</w:t>
      </w:r>
      <w:proofErr w:type="spellEnd"/>
      <w:r>
        <w:rPr>
          <w:rFonts w:ascii="Arial" w:hAnsi="Arial" w:cs="Arial"/>
        </w:rPr>
        <w:t xml:space="preserve">, J. E., &amp; Greene, R. A. (2014). Hyperemesis gravidarum: current perspectives. International journal of women's health, 6, 719–725. </w:t>
      </w:r>
      <w:hyperlink r:id="rId20" w:history="1">
        <w:r>
          <w:rPr>
            <w:rStyle w:val="Hyperlink"/>
            <w:rFonts w:ascii="Arial" w:hAnsi="Arial" w:cs="Arial"/>
          </w:rPr>
          <w:t>https://doi.org/10.2147/IJWH.S37685</w:t>
        </w:r>
      </w:hyperlink>
      <w:r>
        <w:rPr>
          <w:rFonts w:ascii="Arial" w:hAnsi="Arial" w:cs="Arial"/>
        </w:rPr>
        <w:t>.</w:t>
      </w:r>
    </w:p>
    <w:p w:rsidR="00BC1D7C" w:rsidRDefault="00232D84">
      <w:pPr>
        <w:pStyle w:val="ListParagraph"/>
        <w:numPr>
          <w:ilvl w:val="0"/>
          <w:numId w:val="2"/>
        </w:numPr>
        <w:ind w:left="450"/>
        <w:jc w:val="both"/>
        <w:rPr>
          <w:rFonts w:ascii="Arial" w:hAnsi="Arial" w:cs="Arial"/>
        </w:rPr>
      </w:pPr>
      <w:proofErr w:type="spellStart"/>
      <w:r>
        <w:rPr>
          <w:rFonts w:ascii="Arial" w:hAnsi="Arial" w:cs="Arial"/>
        </w:rPr>
        <w:t>Mullican</w:t>
      </w:r>
      <w:proofErr w:type="spellEnd"/>
      <w:r>
        <w:rPr>
          <w:rFonts w:ascii="Arial" w:hAnsi="Arial" w:cs="Arial"/>
        </w:rPr>
        <w:t xml:space="preserve">, S. E. &amp; </w:t>
      </w:r>
      <w:proofErr w:type="spellStart"/>
      <w:r>
        <w:rPr>
          <w:rFonts w:ascii="Arial" w:hAnsi="Arial" w:cs="Arial"/>
        </w:rPr>
        <w:t>Rangwala</w:t>
      </w:r>
      <w:proofErr w:type="spellEnd"/>
      <w:r>
        <w:rPr>
          <w:rFonts w:ascii="Arial" w:hAnsi="Arial" w:cs="Arial"/>
        </w:rPr>
        <w:t xml:space="preserve">, S. M (2018). Uniting GDF15 and GFRAL: therapeutic opportunities in obesity and beyond. </w:t>
      </w:r>
      <w:r>
        <w:rPr>
          <w:rFonts w:ascii="Arial" w:hAnsi="Arial" w:cs="Arial"/>
          <w:i/>
          <w:iCs/>
        </w:rPr>
        <w:t xml:space="preserve">Trends Endocrinol. </w:t>
      </w:r>
      <w:proofErr w:type="spellStart"/>
      <w:r>
        <w:rPr>
          <w:rFonts w:ascii="Arial" w:hAnsi="Arial" w:cs="Arial"/>
          <w:i/>
          <w:iCs/>
        </w:rPr>
        <w:t>Metab</w:t>
      </w:r>
      <w:proofErr w:type="spellEnd"/>
      <w:r>
        <w:rPr>
          <w:rFonts w:ascii="Arial" w:hAnsi="Arial" w:cs="Arial"/>
          <w:i/>
          <w:iCs/>
        </w:rPr>
        <w:t xml:space="preserve">. </w:t>
      </w:r>
      <w:r>
        <w:rPr>
          <w:rFonts w:ascii="Arial" w:hAnsi="Arial" w:cs="Arial"/>
        </w:rPr>
        <w:t>29, 560–570.</w:t>
      </w:r>
    </w:p>
    <w:p w:rsidR="00BC1D7C" w:rsidRDefault="00232D84">
      <w:pPr>
        <w:pStyle w:val="ListParagraph"/>
        <w:numPr>
          <w:ilvl w:val="0"/>
          <w:numId w:val="2"/>
        </w:numPr>
        <w:autoSpaceDE w:val="0"/>
        <w:autoSpaceDN w:val="0"/>
        <w:adjustRightInd w:val="0"/>
        <w:ind w:left="450"/>
        <w:jc w:val="both"/>
        <w:rPr>
          <w:rFonts w:ascii="Arial" w:hAnsi="Arial" w:cs="Arial"/>
          <w:color w:val="222222"/>
          <w:shd w:val="clear" w:color="auto" w:fill="FFFFFF"/>
        </w:rPr>
      </w:pPr>
      <w:proofErr w:type="spellStart"/>
      <w:r>
        <w:rPr>
          <w:rFonts w:ascii="Arial" w:hAnsi="Arial" w:cs="Arial"/>
          <w:color w:val="222222"/>
          <w:shd w:val="clear" w:color="auto" w:fill="FFFFFF"/>
        </w:rPr>
        <w:t>Onaran</w:t>
      </w:r>
      <w:proofErr w:type="spellEnd"/>
      <w:r>
        <w:rPr>
          <w:rFonts w:ascii="Arial" w:hAnsi="Arial" w:cs="Arial"/>
          <w:color w:val="222222"/>
          <w:shd w:val="clear" w:color="auto" w:fill="FFFFFF"/>
        </w:rPr>
        <w:t xml:space="preserve">, Y., </w:t>
      </w:r>
      <w:proofErr w:type="spellStart"/>
      <w:r>
        <w:rPr>
          <w:rFonts w:ascii="Arial" w:hAnsi="Arial" w:cs="Arial"/>
          <w:color w:val="222222"/>
          <w:shd w:val="clear" w:color="auto" w:fill="FFFFFF"/>
        </w:rPr>
        <w:t>Kafali</w:t>
      </w:r>
      <w:proofErr w:type="spellEnd"/>
      <w:r>
        <w:rPr>
          <w:rFonts w:ascii="Arial" w:hAnsi="Arial" w:cs="Arial"/>
          <w:color w:val="222222"/>
          <w:shd w:val="clear" w:color="auto" w:fill="FFFFFF"/>
        </w:rPr>
        <w:t xml:space="preserve">, H., </w:t>
      </w:r>
      <w:proofErr w:type="spellStart"/>
      <w:r>
        <w:rPr>
          <w:rFonts w:ascii="Arial" w:hAnsi="Arial" w:cs="Arial"/>
          <w:color w:val="222222"/>
          <w:shd w:val="clear" w:color="auto" w:fill="FFFFFF"/>
        </w:rPr>
        <w:t>Duvan</w:t>
      </w:r>
      <w:proofErr w:type="spellEnd"/>
      <w:r>
        <w:rPr>
          <w:rFonts w:ascii="Arial" w:hAnsi="Arial" w:cs="Arial"/>
          <w:color w:val="222222"/>
          <w:shd w:val="clear" w:color="auto" w:fill="FFFFFF"/>
        </w:rPr>
        <w:t xml:space="preserve">, C. İ., </w:t>
      </w:r>
      <w:proofErr w:type="spellStart"/>
      <w:r>
        <w:rPr>
          <w:rFonts w:ascii="Arial" w:hAnsi="Arial" w:cs="Arial"/>
          <w:color w:val="222222"/>
          <w:shd w:val="clear" w:color="auto" w:fill="FFFFFF"/>
        </w:rPr>
        <w:t>Keskin</w:t>
      </w:r>
      <w:proofErr w:type="spellEnd"/>
      <w:r>
        <w:rPr>
          <w:rFonts w:ascii="Arial" w:hAnsi="Arial" w:cs="Arial"/>
          <w:color w:val="222222"/>
          <w:shd w:val="clear" w:color="auto" w:fill="FFFFFF"/>
        </w:rPr>
        <w:t xml:space="preserve">, E., </w:t>
      </w:r>
      <w:proofErr w:type="spellStart"/>
      <w:r>
        <w:rPr>
          <w:rFonts w:ascii="Arial" w:hAnsi="Arial" w:cs="Arial"/>
          <w:color w:val="222222"/>
          <w:shd w:val="clear" w:color="auto" w:fill="FFFFFF"/>
        </w:rPr>
        <w:t>Çelik</w:t>
      </w:r>
      <w:proofErr w:type="spellEnd"/>
      <w:r>
        <w:rPr>
          <w:rFonts w:ascii="Arial" w:hAnsi="Arial" w:cs="Arial"/>
          <w:color w:val="222222"/>
          <w:shd w:val="clear" w:color="auto" w:fill="FFFFFF"/>
        </w:rPr>
        <w:t xml:space="preserve">, H., &amp; </w:t>
      </w:r>
      <w:proofErr w:type="spellStart"/>
      <w:r>
        <w:rPr>
          <w:rFonts w:ascii="Arial" w:hAnsi="Arial" w:cs="Arial"/>
          <w:color w:val="222222"/>
          <w:shd w:val="clear" w:color="auto" w:fill="FFFFFF"/>
        </w:rPr>
        <w:t>Erel</w:t>
      </w:r>
      <w:proofErr w:type="spellEnd"/>
      <w:r>
        <w:rPr>
          <w:rFonts w:ascii="Arial" w:hAnsi="Arial" w:cs="Arial"/>
          <w:color w:val="222222"/>
          <w:shd w:val="clear" w:color="auto" w:fill="FFFFFF"/>
        </w:rPr>
        <w:t>, O. (2014). Relationship between oxidant and antioxidant activity in hyperemesis gravidarum. </w:t>
      </w:r>
      <w:r>
        <w:rPr>
          <w:rFonts w:ascii="Arial" w:hAnsi="Arial" w:cs="Arial"/>
          <w:i/>
          <w:iCs/>
          <w:color w:val="222222"/>
          <w:shd w:val="clear" w:color="auto" w:fill="FFFFFF"/>
        </w:rPr>
        <w:t>The Journal of Maternal-Fetal &amp; Neonatal Medicine</w:t>
      </w:r>
      <w:r>
        <w:rPr>
          <w:rFonts w:ascii="Arial" w:hAnsi="Arial" w:cs="Arial"/>
          <w:color w:val="222222"/>
          <w:shd w:val="clear" w:color="auto" w:fill="FFFFFF"/>
        </w:rPr>
        <w:t>, </w:t>
      </w:r>
      <w:r>
        <w:rPr>
          <w:rFonts w:ascii="Arial" w:hAnsi="Arial" w:cs="Arial"/>
          <w:i/>
          <w:iCs/>
          <w:color w:val="222222"/>
          <w:shd w:val="clear" w:color="auto" w:fill="FFFFFF"/>
        </w:rPr>
        <w:t>27</w:t>
      </w:r>
      <w:r>
        <w:rPr>
          <w:rFonts w:ascii="Arial" w:hAnsi="Arial" w:cs="Arial"/>
          <w:color w:val="222222"/>
          <w:shd w:val="clear" w:color="auto" w:fill="FFFFFF"/>
        </w:rPr>
        <w:t>(8), 825-828.</w:t>
      </w:r>
    </w:p>
    <w:p w:rsidR="00BC1D7C" w:rsidRDefault="00232D84">
      <w:pPr>
        <w:pStyle w:val="ListParagraph"/>
        <w:numPr>
          <w:ilvl w:val="0"/>
          <w:numId w:val="2"/>
        </w:numPr>
        <w:autoSpaceDE w:val="0"/>
        <w:autoSpaceDN w:val="0"/>
        <w:adjustRightInd w:val="0"/>
        <w:ind w:left="450"/>
        <w:jc w:val="both"/>
        <w:rPr>
          <w:rFonts w:ascii="Arial" w:hAnsi="Arial" w:cs="Arial"/>
        </w:rPr>
      </w:pPr>
      <w:r>
        <w:rPr>
          <w:rFonts w:ascii="Arial" w:hAnsi="Arial" w:cs="Arial"/>
          <w:color w:val="222222"/>
          <w:shd w:val="clear" w:color="auto" w:fill="FFFFFF"/>
        </w:rPr>
        <w:t>Patel S, Alvarez-</w:t>
      </w:r>
      <w:proofErr w:type="spellStart"/>
      <w:r>
        <w:rPr>
          <w:rFonts w:ascii="Arial" w:hAnsi="Arial" w:cs="Arial"/>
          <w:color w:val="222222"/>
          <w:shd w:val="clear" w:color="auto" w:fill="FFFFFF"/>
        </w:rPr>
        <w:t>Guaita</w:t>
      </w:r>
      <w:proofErr w:type="spellEnd"/>
      <w:r>
        <w:rPr>
          <w:rFonts w:ascii="Arial" w:hAnsi="Arial" w:cs="Arial"/>
          <w:color w:val="222222"/>
          <w:shd w:val="clear" w:color="auto" w:fill="FFFFFF"/>
        </w:rPr>
        <w:t xml:space="preserve"> A, Melvin A, </w:t>
      </w:r>
      <w:proofErr w:type="spellStart"/>
      <w:r>
        <w:rPr>
          <w:rFonts w:ascii="Arial" w:hAnsi="Arial" w:cs="Arial"/>
          <w:color w:val="222222"/>
          <w:shd w:val="clear" w:color="auto" w:fill="FFFFFF"/>
        </w:rPr>
        <w:t>Rimmington</w:t>
      </w:r>
      <w:proofErr w:type="spellEnd"/>
      <w:r>
        <w:rPr>
          <w:rFonts w:ascii="Arial" w:hAnsi="Arial" w:cs="Arial"/>
          <w:color w:val="222222"/>
          <w:shd w:val="clear" w:color="auto" w:fill="FFFFFF"/>
        </w:rPr>
        <w:t xml:space="preserve"> D, Dattilo A, </w:t>
      </w:r>
      <w:proofErr w:type="spellStart"/>
      <w:r>
        <w:rPr>
          <w:rFonts w:ascii="Arial" w:hAnsi="Arial" w:cs="Arial"/>
          <w:color w:val="222222"/>
          <w:shd w:val="clear" w:color="auto" w:fill="FFFFFF"/>
        </w:rPr>
        <w:t>Miedzybrodzka</w:t>
      </w:r>
      <w:proofErr w:type="spellEnd"/>
      <w:r>
        <w:rPr>
          <w:rFonts w:ascii="Arial" w:hAnsi="Arial" w:cs="Arial"/>
          <w:color w:val="222222"/>
          <w:shd w:val="clear" w:color="auto" w:fill="FFFFFF"/>
        </w:rPr>
        <w:t xml:space="preserve"> EL, Cimino I, </w:t>
      </w:r>
      <w:proofErr w:type="spellStart"/>
      <w:r>
        <w:rPr>
          <w:rFonts w:ascii="Arial" w:hAnsi="Arial" w:cs="Arial"/>
          <w:color w:val="222222"/>
          <w:shd w:val="clear" w:color="auto" w:fill="FFFFFF"/>
        </w:rPr>
        <w:t>Maurin</w:t>
      </w:r>
      <w:proofErr w:type="spellEnd"/>
      <w:r>
        <w:rPr>
          <w:rFonts w:ascii="Arial" w:hAnsi="Arial" w:cs="Arial"/>
          <w:color w:val="222222"/>
          <w:shd w:val="clear" w:color="auto" w:fill="FFFFFF"/>
        </w:rPr>
        <w:t xml:space="preserve"> AC, Roberts GP, Meek CL &amp; Virtue S (2019). GDF15 provides an endocrine signal of nutritional stress in mice and humans. </w:t>
      </w:r>
      <w:r>
        <w:rPr>
          <w:rFonts w:ascii="Arial" w:hAnsi="Arial" w:cs="Arial"/>
          <w:i/>
          <w:iCs/>
          <w:color w:val="222222"/>
          <w:shd w:val="clear" w:color="auto" w:fill="FFFFFF"/>
        </w:rPr>
        <w:t>Cell metabolism</w:t>
      </w:r>
      <w:r>
        <w:rPr>
          <w:rFonts w:ascii="Arial" w:hAnsi="Arial" w:cs="Arial"/>
          <w:color w:val="222222"/>
          <w:shd w:val="clear" w:color="auto" w:fill="FFFFFF"/>
        </w:rPr>
        <w:t>, 29(3):707-18.</w:t>
      </w:r>
    </w:p>
    <w:p w:rsidR="00BC1D7C" w:rsidRDefault="00232D84">
      <w:pPr>
        <w:pStyle w:val="ListParagraph"/>
        <w:numPr>
          <w:ilvl w:val="0"/>
          <w:numId w:val="2"/>
        </w:numPr>
        <w:autoSpaceDE w:val="0"/>
        <w:autoSpaceDN w:val="0"/>
        <w:adjustRightInd w:val="0"/>
        <w:ind w:left="450"/>
        <w:jc w:val="both"/>
        <w:rPr>
          <w:rFonts w:ascii="Arial" w:hAnsi="Arial" w:cs="Arial"/>
          <w:color w:val="222222"/>
          <w:shd w:val="clear" w:color="auto" w:fill="FFFFFF"/>
        </w:rPr>
      </w:pPr>
      <w:r>
        <w:rPr>
          <w:rFonts w:ascii="Arial" w:hAnsi="Arial" w:cs="Arial"/>
        </w:rPr>
        <w:t xml:space="preserve">Van </w:t>
      </w:r>
      <w:proofErr w:type="spellStart"/>
      <w:r>
        <w:rPr>
          <w:rFonts w:ascii="Arial" w:hAnsi="Arial" w:cs="Arial"/>
        </w:rPr>
        <w:t>Stuijvenberg</w:t>
      </w:r>
      <w:proofErr w:type="spellEnd"/>
      <w:r>
        <w:rPr>
          <w:rFonts w:ascii="Arial" w:hAnsi="Arial" w:cs="Arial"/>
        </w:rPr>
        <w:t xml:space="preserve"> ME, </w:t>
      </w:r>
      <w:proofErr w:type="spellStart"/>
      <w:r>
        <w:rPr>
          <w:rFonts w:ascii="Arial" w:hAnsi="Arial" w:cs="Arial"/>
        </w:rPr>
        <w:t>Schabort</w:t>
      </w:r>
      <w:proofErr w:type="spellEnd"/>
      <w:r>
        <w:rPr>
          <w:rFonts w:ascii="Arial" w:hAnsi="Arial" w:cs="Arial"/>
        </w:rPr>
        <w:t xml:space="preserve"> I, </w:t>
      </w:r>
      <w:proofErr w:type="spellStart"/>
      <w:r>
        <w:rPr>
          <w:rFonts w:ascii="Arial" w:hAnsi="Arial" w:cs="Arial"/>
        </w:rPr>
        <w:t>Labadarios</w:t>
      </w:r>
      <w:proofErr w:type="spellEnd"/>
      <w:r>
        <w:rPr>
          <w:rFonts w:ascii="Arial" w:hAnsi="Arial" w:cs="Arial"/>
        </w:rPr>
        <w:t xml:space="preserve"> D, Nel JT. The nutritional status and treatment of patients with hyperemesis gravidarum. Am J </w:t>
      </w:r>
      <w:proofErr w:type="spellStart"/>
      <w:r>
        <w:rPr>
          <w:rFonts w:ascii="Arial" w:hAnsi="Arial" w:cs="Arial"/>
        </w:rPr>
        <w:t>Obstet</w:t>
      </w:r>
      <w:proofErr w:type="spellEnd"/>
      <w:r>
        <w:rPr>
          <w:rFonts w:ascii="Arial" w:hAnsi="Arial" w:cs="Arial"/>
        </w:rPr>
        <w:t xml:space="preserve"> </w:t>
      </w:r>
      <w:proofErr w:type="spellStart"/>
      <w:r>
        <w:rPr>
          <w:rFonts w:ascii="Arial" w:hAnsi="Arial" w:cs="Arial"/>
        </w:rPr>
        <w:t>Gynecol</w:t>
      </w:r>
      <w:proofErr w:type="spellEnd"/>
      <w:r>
        <w:rPr>
          <w:rFonts w:ascii="Arial" w:hAnsi="Arial" w:cs="Arial"/>
        </w:rPr>
        <w:t xml:space="preserve"> 1995;172: 1585–1591</w:t>
      </w:r>
    </w:p>
    <w:p w:rsidR="00BC1D7C" w:rsidRDefault="00232D84">
      <w:pPr>
        <w:pStyle w:val="ListParagraph"/>
        <w:numPr>
          <w:ilvl w:val="0"/>
          <w:numId w:val="2"/>
        </w:numPr>
        <w:autoSpaceDE w:val="0"/>
        <w:autoSpaceDN w:val="0"/>
        <w:adjustRightInd w:val="0"/>
        <w:ind w:left="450"/>
        <w:jc w:val="both"/>
        <w:rPr>
          <w:rFonts w:ascii="Arial" w:hAnsi="Arial" w:cs="Arial"/>
          <w:color w:val="222222"/>
          <w:shd w:val="clear" w:color="auto" w:fill="FFFFFF"/>
        </w:rPr>
      </w:pPr>
      <w:r>
        <w:rPr>
          <w:rFonts w:ascii="Arial" w:hAnsi="Arial" w:cs="Arial"/>
          <w:color w:val="222222"/>
          <w:shd w:val="clear" w:color="auto" w:fill="FFFFFF"/>
        </w:rPr>
        <w:t xml:space="preserve">Vidal, Z. E. O., Rufino, S. C., </w:t>
      </w:r>
      <w:proofErr w:type="spellStart"/>
      <w:r>
        <w:rPr>
          <w:rFonts w:ascii="Arial" w:hAnsi="Arial" w:cs="Arial"/>
          <w:color w:val="222222"/>
          <w:shd w:val="clear" w:color="auto" w:fill="FFFFFF"/>
        </w:rPr>
        <w:t>Tlaxcalteco</w:t>
      </w:r>
      <w:proofErr w:type="spellEnd"/>
      <w:r>
        <w:rPr>
          <w:rFonts w:ascii="Arial" w:hAnsi="Arial" w:cs="Arial"/>
          <w:color w:val="222222"/>
          <w:shd w:val="clear" w:color="auto" w:fill="FFFFFF"/>
        </w:rPr>
        <w:t>, E. H., Trejo, C. H., Campos, R. M., Meza, M. N., ... &amp; Arroyo-</w:t>
      </w:r>
      <w:proofErr w:type="spellStart"/>
      <w:r>
        <w:rPr>
          <w:rFonts w:ascii="Arial" w:hAnsi="Arial" w:cs="Arial"/>
          <w:color w:val="222222"/>
          <w:shd w:val="clear" w:color="auto" w:fill="FFFFFF"/>
        </w:rPr>
        <w:t>Helguera</w:t>
      </w:r>
      <w:proofErr w:type="spellEnd"/>
      <w:r>
        <w:rPr>
          <w:rFonts w:ascii="Arial" w:hAnsi="Arial" w:cs="Arial"/>
          <w:color w:val="222222"/>
          <w:shd w:val="clear" w:color="auto" w:fill="FFFFFF"/>
        </w:rPr>
        <w:t>, O. (2014). Oxidative stress increased in pregnant women with iodine deficiency. </w:t>
      </w:r>
      <w:r>
        <w:rPr>
          <w:rFonts w:ascii="Arial" w:hAnsi="Arial" w:cs="Arial"/>
          <w:i/>
          <w:iCs/>
          <w:color w:val="222222"/>
          <w:shd w:val="clear" w:color="auto" w:fill="FFFFFF"/>
        </w:rPr>
        <w:t>Biological Trace Element Research</w:t>
      </w:r>
      <w:r>
        <w:rPr>
          <w:rFonts w:ascii="Arial" w:hAnsi="Arial" w:cs="Arial"/>
          <w:color w:val="222222"/>
          <w:shd w:val="clear" w:color="auto" w:fill="FFFFFF"/>
        </w:rPr>
        <w:t>, </w:t>
      </w:r>
      <w:r>
        <w:rPr>
          <w:rFonts w:ascii="Arial" w:hAnsi="Arial" w:cs="Arial"/>
          <w:i/>
          <w:iCs/>
          <w:color w:val="222222"/>
          <w:shd w:val="clear" w:color="auto" w:fill="FFFFFF"/>
        </w:rPr>
        <w:t>157</w:t>
      </w:r>
      <w:r>
        <w:rPr>
          <w:rFonts w:ascii="Arial" w:hAnsi="Arial" w:cs="Arial"/>
          <w:color w:val="222222"/>
          <w:shd w:val="clear" w:color="auto" w:fill="FFFFFF"/>
        </w:rPr>
        <w:t>(3), 211-217.</w:t>
      </w:r>
    </w:p>
    <w:p w:rsidR="00BC1D7C" w:rsidRDefault="00232D84">
      <w:pPr>
        <w:pStyle w:val="ListParagraph"/>
        <w:numPr>
          <w:ilvl w:val="0"/>
          <w:numId w:val="2"/>
        </w:numPr>
        <w:autoSpaceDE w:val="0"/>
        <w:autoSpaceDN w:val="0"/>
        <w:adjustRightInd w:val="0"/>
        <w:ind w:left="450"/>
        <w:jc w:val="both"/>
        <w:rPr>
          <w:rFonts w:ascii="Arial" w:hAnsi="Arial" w:cs="Arial"/>
          <w:color w:val="222222"/>
          <w:shd w:val="clear" w:color="auto" w:fill="FFFFFF"/>
        </w:rPr>
      </w:pPr>
      <w:proofErr w:type="spellStart"/>
      <w:r>
        <w:rPr>
          <w:rFonts w:ascii="Arial" w:hAnsi="Arial" w:cs="Arial"/>
          <w:color w:val="333333"/>
          <w:shd w:val="clear" w:color="auto" w:fill="FFFFFF"/>
        </w:rPr>
        <w:t>Vikanes</w:t>
      </w:r>
      <w:proofErr w:type="spellEnd"/>
      <w:r>
        <w:rPr>
          <w:rFonts w:ascii="Arial" w:hAnsi="Arial" w:cs="Arial"/>
          <w:color w:val="333333"/>
          <w:shd w:val="clear" w:color="auto" w:fill="FFFFFF"/>
        </w:rPr>
        <w:t xml:space="preserve"> ÅV, </w:t>
      </w:r>
      <w:proofErr w:type="spellStart"/>
      <w:r>
        <w:rPr>
          <w:rFonts w:ascii="Arial" w:hAnsi="Arial" w:cs="Arial"/>
          <w:color w:val="333333"/>
          <w:shd w:val="clear" w:color="auto" w:fill="FFFFFF"/>
        </w:rPr>
        <w:t>Støer</w:t>
      </w:r>
      <w:proofErr w:type="spellEnd"/>
      <w:r>
        <w:rPr>
          <w:rFonts w:ascii="Arial" w:hAnsi="Arial" w:cs="Arial"/>
          <w:color w:val="333333"/>
          <w:shd w:val="clear" w:color="auto" w:fill="FFFFFF"/>
        </w:rPr>
        <w:t xml:space="preserve"> NC, Magnus P, </w:t>
      </w:r>
      <w:proofErr w:type="spellStart"/>
      <w:r>
        <w:rPr>
          <w:rFonts w:ascii="Arial" w:hAnsi="Arial" w:cs="Arial"/>
          <w:color w:val="333333"/>
          <w:shd w:val="clear" w:color="auto" w:fill="FFFFFF"/>
        </w:rPr>
        <w:t>Grjibovski</w:t>
      </w:r>
      <w:proofErr w:type="spellEnd"/>
      <w:r>
        <w:rPr>
          <w:rFonts w:ascii="Arial" w:hAnsi="Arial" w:cs="Arial"/>
          <w:color w:val="333333"/>
          <w:shd w:val="clear" w:color="auto" w:fill="FFFFFF"/>
        </w:rPr>
        <w:t xml:space="preserve"> AM</w:t>
      </w:r>
      <w:r>
        <w:rPr>
          <w:rFonts w:ascii="Arial" w:hAnsi="Arial" w:cs="Arial"/>
          <w:i/>
          <w:iCs/>
          <w:color w:val="333333"/>
          <w:shd w:val="clear" w:color="auto" w:fill="FFFFFF"/>
        </w:rPr>
        <w:t>.</w:t>
      </w:r>
      <w:r>
        <w:rPr>
          <w:rFonts w:ascii="Arial" w:hAnsi="Arial" w:cs="Arial"/>
          <w:color w:val="333333"/>
          <w:shd w:val="clear" w:color="auto" w:fill="FFFFFF"/>
        </w:rPr>
        <w:t> Hyperemesis gravidarum and pregnancy outcomes in the Norwegian mother and child cohort – a cohort study. </w:t>
      </w:r>
      <w:r>
        <w:rPr>
          <w:rFonts w:ascii="Arial" w:hAnsi="Arial" w:cs="Arial"/>
          <w:i/>
          <w:iCs/>
          <w:color w:val="333333"/>
          <w:shd w:val="clear" w:color="auto" w:fill="FFFFFF"/>
        </w:rPr>
        <w:t>BMC Pregnancy Childbirth</w:t>
      </w:r>
      <w:r>
        <w:rPr>
          <w:rFonts w:ascii="Arial" w:hAnsi="Arial" w:cs="Arial"/>
          <w:color w:val="333333"/>
          <w:shd w:val="clear" w:color="auto" w:fill="FFFFFF"/>
        </w:rPr>
        <w:t> </w:t>
      </w:r>
      <w:r>
        <w:rPr>
          <w:rFonts w:ascii="Arial" w:hAnsi="Arial" w:cs="Arial"/>
          <w:b/>
          <w:bCs/>
          <w:color w:val="333333"/>
          <w:shd w:val="clear" w:color="auto" w:fill="FFFFFF"/>
        </w:rPr>
        <w:t>13</w:t>
      </w:r>
      <w:r>
        <w:rPr>
          <w:rFonts w:ascii="Arial" w:hAnsi="Arial" w:cs="Arial"/>
          <w:color w:val="333333"/>
          <w:shd w:val="clear" w:color="auto" w:fill="FFFFFF"/>
        </w:rPr>
        <w:t>, 169 (2013).</w:t>
      </w:r>
    </w:p>
    <w:p w:rsidR="00BC1D7C" w:rsidRDefault="00232D84">
      <w:pPr>
        <w:pStyle w:val="ListParagraph"/>
        <w:numPr>
          <w:ilvl w:val="0"/>
          <w:numId w:val="2"/>
        </w:numPr>
        <w:autoSpaceDE w:val="0"/>
        <w:autoSpaceDN w:val="0"/>
        <w:adjustRightInd w:val="0"/>
        <w:ind w:left="450"/>
        <w:jc w:val="both"/>
        <w:rPr>
          <w:rFonts w:ascii="Arial" w:hAnsi="Arial" w:cs="Arial"/>
          <w:color w:val="222222"/>
          <w:shd w:val="clear" w:color="auto" w:fill="FFFFFF"/>
        </w:rPr>
      </w:pPr>
      <w:r>
        <w:rPr>
          <w:rFonts w:ascii="Arial" w:hAnsi="Arial" w:cs="Arial"/>
          <w:color w:val="222222"/>
          <w:shd w:val="clear" w:color="auto" w:fill="FFFFFF"/>
        </w:rPr>
        <w:t xml:space="preserve">Yilmaz S, </w:t>
      </w:r>
      <w:proofErr w:type="spellStart"/>
      <w:r>
        <w:rPr>
          <w:rFonts w:ascii="Arial" w:hAnsi="Arial" w:cs="Arial"/>
        </w:rPr>
        <w:t>Ozgu-Erdinc</w:t>
      </w:r>
      <w:proofErr w:type="spellEnd"/>
      <w:r>
        <w:rPr>
          <w:rFonts w:ascii="Arial" w:hAnsi="Arial" w:cs="Arial"/>
        </w:rPr>
        <w:t xml:space="preserve"> AS, </w:t>
      </w:r>
      <w:proofErr w:type="spellStart"/>
      <w:r>
        <w:rPr>
          <w:rFonts w:ascii="Arial" w:hAnsi="Arial" w:cs="Arial"/>
        </w:rPr>
        <w:t>Demirtas</w:t>
      </w:r>
      <w:proofErr w:type="spellEnd"/>
      <w:r>
        <w:rPr>
          <w:rFonts w:ascii="Arial" w:hAnsi="Arial" w:cs="Arial"/>
        </w:rPr>
        <w:t xml:space="preserve"> C, Ozturk G, </w:t>
      </w:r>
      <w:proofErr w:type="spellStart"/>
      <w:r>
        <w:rPr>
          <w:rFonts w:ascii="Arial" w:hAnsi="Arial" w:cs="Arial"/>
        </w:rPr>
        <w:t>Erkaya</w:t>
      </w:r>
      <w:proofErr w:type="spellEnd"/>
      <w:r>
        <w:rPr>
          <w:rFonts w:ascii="Arial" w:hAnsi="Arial" w:cs="Arial"/>
        </w:rPr>
        <w:t xml:space="preserve"> S, Uygur D. (2015) The oxidative stress index increases among patients with hyperemesis gravidarum but not in normal pregnancies. </w:t>
      </w:r>
      <w:r>
        <w:rPr>
          <w:rFonts w:ascii="Arial" w:hAnsi="Arial" w:cs="Arial"/>
          <w:i/>
        </w:rPr>
        <w:t xml:space="preserve">Redox Report </w:t>
      </w:r>
      <w:r>
        <w:rPr>
          <w:rFonts w:ascii="Arial" w:hAnsi="Arial" w:cs="Arial"/>
        </w:rPr>
        <w:t>20(3): 97-102</w:t>
      </w:r>
    </w:p>
    <w:p w:rsidR="00BC1D7C" w:rsidRDefault="00232D84">
      <w:pPr>
        <w:pStyle w:val="ListParagraph"/>
        <w:numPr>
          <w:ilvl w:val="0"/>
          <w:numId w:val="2"/>
        </w:numPr>
        <w:ind w:left="450"/>
        <w:jc w:val="both"/>
        <w:rPr>
          <w:rFonts w:ascii="Arial" w:hAnsi="Arial" w:cs="Arial"/>
        </w:rPr>
      </w:pPr>
      <w:proofErr w:type="spellStart"/>
      <w:r>
        <w:rPr>
          <w:rFonts w:ascii="Arial" w:hAnsi="Arial" w:cs="Arial"/>
        </w:rPr>
        <w:t>Yılmaz</w:t>
      </w:r>
      <w:proofErr w:type="spellEnd"/>
      <w:r>
        <w:rPr>
          <w:rFonts w:ascii="Arial" w:hAnsi="Arial" w:cs="Arial"/>
        </w:rPr>
        <w:t xml:space="preserve">, S., </w:t>
      </w:r>
      <w:proofErr w:type="spellStart"/>
      <w:r>
        <w:rPr>
          <w:rFonts w:ascii="Arial" w:hAnsi="Arial" w:cs="Arial"/>
        </w:rPr>
        <w:t>Akdağ</w:t>
      </w:r>
      <w:proofErr w:type="spellEnd"/>
      <w:r>
        <w:rPr>
          <w:rFonts w:ascii="Arial" w:hAnsi="Arial" w:cs="Arial"/>
        </w:rPr>
        <w:t xml:space="preserve"> </w:t>
      </w:r>
      <w:proofErr w:type="spellStart"/>
      <w:r>
        <w:rPr>
          <w:rFonts w:ascii="Arial" w:hAnsi="Arial" w:cs="Arial"/>
        </w:rPr>
        <w:t>Cırık</w:t>
      </w:r>
      <w:proofErr w:type="spellEnd"/>
      <w:r>
        <w:rPr>
          <w:rFonts w:ascii="Arial" w:hAnsi="Arial" w:cs="Arial"/>
        </w:rPr>
        <w:t xml:space="preserve">, D., </w:t>
      </w:r>
      <w:proofErr w:type="spellStart"/>
      <w:r>
        <w:rPr>
          <w:rFonts w:ascii="Arial" w:hAnsi="Arial" w:cs="Arial"/>
        </w:rPr>
        <w:t>Demirtaş</w:t>
      </w:r>
      <w:proofErr w:type="spellEnd"/>
      <w:r>
        <w:rPr>
          <w:rFonts w:ascii="Arial" w:hAnsi="Arial" w:cs="Arial"/>
        </w:rPr>
        <w:t xml:space="preserve">, C., Timur, H., </w:t>
      </w:r>
      <w:proofErr w:type="spellStart"/>
      <w:r>
        <w:rPr>
          <w:rFonts w:ascii="Arial" w:hAnsi="Arial" w:cs="Arial"/>
        </w:rPr>
        <w:t>Şahin</w:t>
      </w:r>
      <w:proofErr w:type="spellEnd"/>
      <w:r>
        <w:rPr>
          <w:rFonts w:ascii="Arial" w:hAnsi="Arial" w:cs="Arial"/>
        </w:rPr>
        <w:t xml:space="preserve">, A., </w:t>
      </w:r>
      <w:proofErr w:type="spellStart"/>
      <w:r>
        <w:rPr>
          <w:rFonts w:ascii="Arial" w:hAnsi="Arial" w:cs="Arial"/>
        </w:rPr>
        <w:t>Danışman</w:t>
      </w:r>
      <w:proofErr w:type="spellEnd"/>
      <w:r>
        <w:rPr>
          <w:rFonts w:ascii="Arial" w:hAnsi="Arial" w:cs="Arial"/>
        </w:rPr>
        <w:t>, N., &amp; Uygur, D. (2016). Do vitamin D and high-sensitivity-C reactive protein levels differ in patients with hyperemesis gravidarum? A preliminary study. Turkish journal of obstetrics and gynecology, 13(3), 123–126.</w:t>
      </w:r>
    </w:p>
    <w:p w:rsidR="00BC1D7C" w:rsidRDefault="00232D84">
      <w:pPr>
        <w:pStyle w:val="ListParagraph"/>
        <w:numPr>
          <w:ilvl w:val="0"/>
          <w:numId w:val="2"/>
        </w:numPr>
        <w:ind w:left="450"/>
        <w:jc w:val="both"/>
        <w:rPr>
          <w:rFonts w:ascii="Arial" w:hAnsi="Arial" w:cs="Arial"/>
        </w:rPr>
      </w:pPr>
      <w:proofErr w:type="spellStart"/>
      <w:r>
        <w:rPr>
          <w:rFonts w:ascii="Arial" w:hAnsi="Arial" w:cs="Arial"/>
        </w:rPr>
        <w:t>Yoneyama</w:t>
      </w:r>
      <w:proofErr w:type="spellEnd"/>
      <w:r>
        <w:rPr>
          <w:rFonts w:ascii="Arial" w:hAnsi="Arial" w:cs="Arial"/>
        </w:rPr>
        <w:t xml:space="preserve">, Y., Suzuki, S., </w:t>
      </w:r>
      <w:proofErr w:type="spellStart"/>
      <w:r>
        <w:rPr>
          <w:rFonts w:ascii="Arial" w:hAnsi="Arial" w:cs="Arial"/>
        </w:rPr>
        <w:t>Sawa</w:t>
      </w:r>
      <w:proofErr w:type="spellEnd"/>
      <w:r>
        <w:rPr>
          <w:rFonts w:ascii="Arial" w:hAnsi="Arial" w:cs="Arial"/>
        </w:rPr>
        <w:t xml:space="preserve">, R., </w:t>
      </w:r>
      <w:proofErr w:type="spellStart"/>
      <w:r>
        <w:rPr>
          <w:rFonts w:ascii="Arial" w:hAnsi="Arial" w:cs="Arial"/>
        </w:rPr>
        <w:t>Yoneyama</w:t>
      </w:r>
      <w:proofErr w:type="spellEnd"/>
      <w:r>
        <w:rPr>
          <w:rFonts w:ascii="Arial" w:hAnsi="Arial" w:cs="Arial"/>
        </w:rPr>
        <w:t xml:space="preserve">, K., Doi, D., </w:t>
      </w:r>
      <w:proofErr w:type="spellStart"/>
      <w:r>
        <w:rPr>
          <w:rFonts w:ascii="Arial" w:hAnsi="Arial" w:cs="Arial"/>
        </w:rPr>
        <w:t>Otsubo</w:t>
      </w:r>
      <w:proofErr w:type="spellEnd"/>
      <w:r>
        <w:rPr>
          <w:rFonts w:ascii="Arial" w:hAnsi="Arial" w:cs="Arial"/>
        </w:rPr>
        <w:t xml:space="preserve">, Y., &amp; Araki, T. (2002). The T-helper 1/T-helper 2 balance in peripheral blood of women with hyperemesis gravidarum. American journal of obstetrics and gynecology, 187(6), 1631–1635. </w:t>
      </w:r>
      <w:hyperlink r:id="rId21" w:history="1">
        <w:r>
          <w:rPr>
            <w:rStyle w:val="Hyperlink"/>
            <w:rFonts w:ascii="Arial" w:hAnsi="Arial" w:cs="Arial"/>
          </w:rPr>
          <w:t>https://doi.org/10.1067/mob.2002.127373</w:t>
        </w:r>
      </w:hyperlink>
      <w:r>
        <w:rPr>
          <w:rFonts w:ascii="Arial" w:hAnsi="Arial" w:cs="Arial"/>
        </w:rPr>
        <w:t>.</w:t>
      </w:r>
    </w:p>
    <w:sectPr w:rsidR="00BC1D7C">
      <w:headerReference w:type="even" r:id="rId22"/>
      <w:headerReference w:type="default" r:id="rId23"/>
      <w:footerReference w:type="default" r:id="rId24"/>
      <w:headerReference w:type="first" r:id="rId2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D84" w:rsidRDefault="00232D84">
      <w:r>
        <w:separator/>
      </w:r>
    </w:p>
  </w:endnote>
  <w:endnote w:type="continuationSeparator" w:id="0">
    <w:p w:rsidR="00232D84" w:rsidRDefault="00232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D7C" w:rsidRDefault="00BC1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D7C" w:rsidRDefault="00BC1D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D7C" w:rsidRDefault="00BC1D7C">
    <w:pPr>
      <w:pStyle w:val="Footer"/>
      <w:rPr>
        <w:rFonts w:ascii="Arial" w:hAnsi="Arial" w:cs="Arial"/>
        <w:sz w:val="16"/>
      </w:rPr>
    </w:pPr>
  </w:p>
  <w:p w:rsidR="00BC1D7C" w:rsidRDefault="00232D84">
    <w:pPr>
      <w:pStyle w:val="Footer"/>
      <w:jc w:val="center"/>
      <w:rPr>
        <w:rFonts w:ascii="Arial" w:hAnsi="Arial" w:cs="Arial"/>
        <w:sz w:val="16"/>
      </w:rPr>
    </w:pPr>
    <w:r>
      <w:rPr>
        <w:rFonts w:ascii="Arial" w:hAnsi="Arial" w:cs="Arial"/>
        <w:sz w:val="16"/>
      </w:rPr>
      <w:t>____________________________________________________________________________________________</w:t>
    </w:r>
  </w:p>
  <w:p w:rsidR="00BC1D7C" w:rsidRDefault="00BC1D7C">
    <w:pPr>
      <w:pStyle w:val="Footer"/>
      <w:rPr>
        <w:rFonts w:ascii="Arial" w:hAnsi="Arial" w:cs="Arial"/>
        <w:sz w:val="16"/>
      </w:rPr>
    </w:pPr>
  </w:p>
  <w:p w:rsidR="00BC1D7C" w:rsidRDefault="00232D84">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D7C" w:rsidRDefault="00BC1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D84" w:rsidRDefault="00232D84">
      <w:r>
        <w:separator/>
      </w:r>
    </w:p>
  </w:footnote>
  <w:footnote w:type="continuationSeparator" w:id="0">
    <w:p w:rsidR="00232D84" w:rsidRDefault="00232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D7C" w:rsidRDefault="002437BB">
    <w:pPr>
      <w:pStyle w:val="Header"/>
    </w:pPr>
    <w:r>
      <w:pict w14:anchorId="379D5B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964501" o:spid="_x0000_s2050" type="#_x0000_t136" style="position:absolute;margin-left:0;margin-top:0;width:685.25pt;height:76.1pt;rotation:315;z-index:-251655168;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D7C" w:rsidRDefault="002437BB">
    <w:pPr>
      <w:pStyle w:val="Header"/>
    </w:pPr>
    <w:r>
      <w:pict w14:anchorId="576067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964502" o:spid="_x0000_s2051" type="#_x0000_t136" style="position:absolute;margin-left:0;margin-top:0;width:685.25pt;height:76.1pt;rotation:315;z-index:-251654144;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D7C" w:rsidRDefault="002437BB">
    <w:pPr>
      <w:ind w:left="2160"/>
      <w:jc w:val="center"/>
      <w:rPr>
        <w:rFonts w:ascii="Times New Roman" w:eastAsia="Calibri" w:hAnsi="Times New Roman"/>
        <w:i/>
        <w:sz w:val="18"/>
        <w:szCs w:val="22"/>
      </w:rPr>
    </w:pPr>
    <w:r>
      <w:pict w14:anchorId="7DE7BB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964500" o:spid="_x0000_s2049" type="#_x0000_t136" style="position:absolute;left:0;text-align:left;margin-left:0;margin-top:0;width:685.25pt;height:76.1pt;rotation:315;z-index:-25165619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p w:rsidR="00BC1D7C" w:rsidRDefault="00232D84">
    <w:pPr>
      <w:ind w:left="4320"/>
      <w:rPr>
        <w:rFonts w:ascii="Times New Roman" w:eastAsia="Calibri" w:hAnsi="Times New Roman"/>
        <w:i/>
        <w:sz w:val="18"/>
        <w:szCs w:val="22"/>
      </w:rPr>
    </w:pPr>
    <w:r>
      <w:rPr>
        <w:rFonts w:ascii="Times New Roman" w:eastAsia="Calibri" w:hAnsi="Times New Roman"/>
        <w:i/>
        <w:sz w:val="18"/>
        <w:szCs w:val="22"/>
      </w:rPr>
      <w:t xml:space="preserve">.     </w:t>
    </w:r>
  </w:p>
  <w:p w:rsidR="00BC1D7C" w:rsidRDefault="00232D84">
    <w:pPr>
      <w:jc w:val="center"/>
      <w:rPr>
        <w:rFonts w:ascii="Times New Roman" w:eastAsia="Calibri" w:hAnsi="Times New Roman"/>
        <w:i/>
        <w:sz w:val="18"/>
        <w:szCs w:val="22"/>
      </w:rPr>
    </w:pPr>
    <w:r>
      <w:rPr>
        <w:rFonts w:ascii="Times New Roman" w:eastAsia="Calibri" w:hAnsi="Times New Roman"/>
        <w:i/>
        <w:sz w:val="18"/>
        <w:szCs w:val="22"/>
      </w:rPr>
      <w:t>.</w:t>
    </w:r>
  </w:p>
  <w:p w:rsidR="00BC1D7C" w:rsidRDefault="00232D84">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rsidR="00BC1D7C" w:rsidRDefault="00232D84">
    <w:pPr>
      <w:jc w:val="center"/>
      <w:rPr>
        <w:rFonts w:ascii="Times New Roman" w:eastAsia="Calibri" w:hAnsi="Times New Roman"/>
        <w:i/>
        <w:sz w:val="18"/>
        <w:szCs w:val="22"/>
      </w:rPr>
    </w:pPr>
    <w:r>
      <w:rPr>
        <w:rFonts w:ascii="Times New Roman" w:eastAsia="Calibri" w:hAnsi="Times New Roman"/>
        <w:i/>
        <w:sz w:val="18"/>
        <w:szCs w:val="22"/>
      </w:rPr>
      <w:t xml:space="preserve">                     </w:t>
    </w:r>
  </w:p>
  <w:p w:rsidR="00BC1D7C" w:rsidRDefault="00232D84">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BC1D7C" w:rsidRDefault="00232D84">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D7C" w:rsidRDefault="002437BB">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964504" o:spid="_x0000_s2053" type="#_x0000_t136" style="position:absolute;margin-left:0;margin-top:0;width:685.25pt;height:76.1pt;rotation:315;z-index:-251652096;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D7C" w:rsidRDefault="002437BB">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964505" o:spid="_x0000_s2054" type="#_x0000_t136" style="position:absolute;margin-left:0;margin-top:0;width:685.25pt;height:76.1pt;rotation:315;z-index:-25165107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D7C" w:rsidRDefault="002437BB">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964503" o:spid="_x0000_s2052" type="#_x0000_t136" style="position:absolute;margin-left:0;margin-top:0;width:685.25pt;height:76.1pt;rotation:315;z-index:-251653120;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D1F67"/>
    <w:multiLevelType w:val="multilevel"/>
    <w:tmpl w:val="371D1F67"/>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3MDU2tLAwtzQxtjBS0lEKTi0uzszPAykwrAUA+UTnQywAAAA="/>
  </w:docVars>
  <w:rsids>
    <w:rsidRoot w:val="00AA6219"/>
    <w:rsid w:val="00000F8F"/>
    <w:rsid w:val="00030174"/>
    <w:rsid w:val="0004579C"/>
    <w:rsid w:val="000A47FA"/>
    <w:rsid w:val="000A65D3"/>
    <w:rsid w:val="000B1E33"/>
    <w:rsid w:val="000D689F"/>
    <w:rsid w:val="000E7B7B"/>
    <w:rsid w:val="000E7D62"/>
    <w:rsid w:val="00103357"/>
    <w:rsid w:val="001121A8"/>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14B19"/>
    <w:rsid w:val="00231920"/>
    <w:rsid w:val="0023195C"/>
    <w:rsid w:val="00232D84"/>
    <w:rsid w:val="0024282C"/>
    <w:rsid w:val="002437BB"/>
    <w:rsid w:val="002460DC"/>
    <w:rsid w:val="00250985"/>
    <w:rsid w:val="002556F6"/>
    <w:rsid w:val="00283105"/>
    <w:rsid w:val="00284C4C"/>
    <w:rsid w:val="00287E68"/>
    <w:rsid w:val="00296529"/>
    <w:rsid w:val="002B27FB"/>
    <w:rsid w:val="002B685A"/>
    <w:rsid w:val="002C57D2"/>
    <w:rsid w:val="002E0D56"/>
    <w:rsid w:val="002E3194"/>
    <w:rsid w:val="00315186"/>
    <w:rsid w:val="0033343E"/>
    <w:rsid w:val="003512C2"/>
    <w:rsid w:val="00371FB6"/>
    <w:rsid w:val="003763C1"/>
    <w:rsid w:val="00376BBE"/>
    <w:rsid w:val="00383A2D"/>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4D68BC"/>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52421"/>
    <w:rsid w:val="0066510A"/>
    <w:rsid w:val="00673F9F"/>
    <w:rsid w:val="00686953"/>
    <w:rsid w:val="00687DEA"/>
    <w:rsid w:val="00687E67"/>
    <w:rsid w:val="006967F7"/>
    <w:rsid w:val="006A250C"/>
    <w:rsid w:val="006B21D3"/>
    <w:rsid w:val="006B57D0"/>
    <w:rsid w:val="006D30FF"/>
    <w:rsid w:val="006D6940"/>
    <w:rsid w:val="006F11EC"/>
    <w:rsid w:val="0070082C"/>
    <w:rsid w:val="00716DBF"/>
    <w:rsid w:val="007369E6"/>
    <w:rsid w:val="00746E59"/>
    <w:rsid w:val="00754C9A"/>
    <w:rsid w:val="0075599A"/>
    <w:rsid w:val="00761D52"/>
    <w:rsid w:val="0077749E"/>
    <w:rsid w:val="00790ADA"/>
    <w:rsid w:val="007D019D"/>
    <w:rsid w:val="007D2288"/>
    <w:rsid w:val="007E088F"/>
    <w:rsid w:val="007E6D40"/>
    <w:rsid w:val="007F7B32"/>
    <w:rsid w:val="00804BC2"/>
    <w:rsid w:val="008108A5"/>
    <w:rsid w:val="0081431A"/>
    <w:rsid w:val="0083216F"/>
    <w:rsid w:val="00860000"/>
    <w:rsid w:val="00863BD3"/>
    <w:rsid w:val="008641ED"/>
    <w:rsid w:val="00866D66"/>
    <w:rsid w:val="008671C6"/>
    <w:rsid w:val="00867371"/>
    <w:rsid w:val="00875803"/>
    <w:rsid w:val="008A1F40"/>
    <w:rsid w:val="008B459E"/>
    <w:rsid w:val="008E13AE"/>
    <w:rsid w:val="008E1506"/>
    <w:rsid w:val="008E710C"/>
    <w:rsid w:val="008F69D6"/>
    <w:rsid w:val="00902823"/>
    <w:rsid w:val="00915CA6"/>
    <w:rsid w:val="00927834"/>
    <w:rsid w:val="009500A6"/>
    <w:rsid w:val="00957C18"/>
    <w:rsid w:val="009659BA"/>
    <w:rsid w:val="00983040"/>
    <w:rsid w:val="009B1627"/>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1D7C"/>
    <w:rsid w:val="00BC53A0"/>
    <w:rsid w:val="00BE62AD"/>
    <w:rsid w:val="00BF121F"/>
    <w:rsid w:val="00BF1F80"/>
    <w:rsid w:val="00C166EF"/>
    <w:rsid w:val="00C17EB0"/>
    <w:rsid w:val="00C2202D"/>
    <w:rsid w:val="00C27F5F"/>
    <w:rsid w:val="00C30A0F"/>
    <w:rsid w:val="00C37E61"/>
    <w:rsid w:val="00C70F1B"/>
    <w:rsid w:val="00C71A47"/>
    <w:rsid w:val="00C7464C"/>
    <w:rsid w:val="00C85588"/>
    <w:rsid w:val="00CD6755"/>
    <w:rsid w:val="00CD6856"/>
    <w:rsid w:val="00CE0089"/>
    <w:rsid w:val="00CE793C"/>
    <w:rsid w:val="00CF193C"/>
    <w:rsid w:val="00D173F1"/>
    <w:rsid w:val="00D31873"/>
    <w:rsid w:val="00D74CB0"/>
    <w:rsid w:val="00D8295D"/>
    <w:rsid w:val="00DC2A65"/>
    <w:rsid w:val="00DD6BAA"/>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158C"/>
    <w:rsid w:val="00EC6A55"/>
    <w:rsid w:val="00ED0288"/>
    <w:rsid w:val="00EE52CB"/>
    <w:rsid w:val="00EF581D"/>
    <w:rsid w:val="00EF7FD8"/>
    <w:rsid w:val="00F06F59"/>
    <w:rsid w:val="00F17988"/>
    <w:rsid w:val="00F469F0"/>
    <w:rsid w:val="00F53273"/>
    <w:rsid w:val="00F755E4"/>
    <w:rsid w:val="00F77D02"/>
    <w:rsid w:val="00F84D28"/>
    <w:rsid w:val="00FB3A86"/>
    <w:rsid w:val="00FD36C8"/>
    <w:rsid w:val="02C7409E"/>
    <w:rsid w:val="03640B4E"/>
    <w:rsid w:val="0754153B"/>
    <w:rsid w:val="0FFC3E56"/>
    <w:rsid w:val="39025FFC"/>
    <w:rsid w:val="3C4770F4"/>
    <w:rsid w:val="431D5C9C"/>
    <w:rsid w:val="49834382"/>
    <w:rsid w:val="59532080"/>
    <w:rsid w:val="65E21424"/>
    <w:rsid w:val="680A710F"/>
    <w:rsid w:val="6A385E52"/>
    <w:rsid w:val="71301B00"/>
    <w:rsid w:val="73727874"/>
    <w:rsid w:val="796A5903"/>
    <w:rsid w:val="7B3A4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2A379345"/>
  <w15:docId w15:val="{E04FFD9E-032E-41BF-89D4-28D7F731E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next w:val="Normal"/>
    <w:semiHidden/>
    <w:unhideWhenUsed/>
    <w:qFormat/>
    <w:pPr>
      <w:spacing w:beforeAutospacing="1" w:afterAutospacing="1"/>
      <w:outlineLvl w:val="2"/>
    </w:pPr>
    <w:rPr>
      <w:rFonts w:ascii="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paragraph" w:styleId="HTMLPreformatted">
    <w:name w:val="HTML Preformatted"/>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pPr>
    <w:rPr>
      <w:rFonts w:ascii="SimSun" w:hAnsi="SimSun" w:hint="eastAsia"/>
      <w:sz w:val="24"/>
      <w:szCs w:val="24"/>
      <w:lang w:eastAsia="zh-CN"/>
    </w:r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semiHidden/>
    <w:unhideWhenUsed/>
    <w:qFormat/>
    <w:pPr>
      <w:spacing w:beforeAutospacing="1" w:afterAutospacing="1"/>
    </w:pPr>
    <w:rPr>
      <w:sz w:val="24"/>
      <w:szCs w:val="24"/>
      <w:lang w:eastAsia="zh-CN"/>
    </w:rPr>
  </w:style>
  <w:style w:type="paragraph" w:styleId="Signature">
    <w:name w:val="Signature"/>
    <w:basedOn w:val="Normal"/>
    <w:qFormat/>
    <w:pPr>
      <w:ind w:left="4320"/>
    </w:pPr>
  </w:style>
  <w:style w:type="character" w:styleId="Strong">
    <w:name w:val="Strong"/>
    <w:basedOn w:val="DefaultParagraphFont"/>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bkciteavail">
    <w:name w:val="bk_cite_avail"/>
    <w:basedOn w:val="DefaultParagraphFont"/>
    <w:qFormat/>
  </w:style>
  <w:style w:type="character" w:customStyle="1" w:styleId="ref-title">
    <w:name w:val="ref-title"/>
    <w:basedOn w:val="DefaultParagraphFont"/>
    <w:qFormat/>
  </w:style>
  <w:style w:type="character" w:customStyle="1" w:styleId="mixed-citation">
    <w:name w:val="mixed-citation"/>
    <w:basedOn w:val="DefaultParagraphFont"/>
    <w:qFormat/>
  </w:style>
  <w:style w:type="character" w:customStyle="1" w:styleId="ref-journal">
    <w:name w:val="ref-journal"/>
    <w:basedOn w:val="DefaultParagraphFont"/>
    <w:qFormat/>
  </w:style>
  <w:style w:type="character" w:customStyle="1" w:styleId="ref-vol">
    <w:name w:val="ref-vol"/>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doi.org/10.1155/MI.2005.309"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doi.org/10.1067/mob.2002.127373"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doi.org/10.3390/ijms21165887"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s://doi.org/10.1038/s41586-023-06921-9" TargetMode="External"/><Relationship Id="rId20" Type="http://schemas.openxmlformats.org/officeDocument/2006/relationships/hyperlink" Target="https://doi.org/10.2147/IJWH.S3768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s://www.ncbi.nlm.nih.gov/books/NBK532917/" TargetMode="External"/><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s://doi.org/10.1136/bmjopen-2017-017309"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2054"/>
    <customShpInfo spid="_x0000_s2053"/>
    <customShpInfo spid="_x0000_s2052"/>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95C705-CE1F-49F7-9F2D-FF3E7F80C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41</TotalTime>
  <Pages>8</Pages>
  <Words>4973</Words>
  <Characters>28347</Characters>
  <Application>Microsoft Office Word</Application>
  <DocSecurity>0</DocSecurity>
  <Lines>236</Lines>
  <Paragraphs>66</Paragraphs>
  <ScaleCrop>false</ScaleCrop>
  <Company>aaaa</Company>
  <LinksUpToDate>false</LinksUpToDate>
  <CharactersWithSpaces>33254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21</cp:revision>
  <cp:lastPrinted>1999-07-06T11:00:00Z</cp:lastPrinted>
  <dcterms:created xsi:type="dcterms:W3CDTF">2014-10-25T14:34:00Z</dcterms:created>
  <dcterms:modified xsi:type="dcterms:W3CDTF">2025-07-11T11:02:00Z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2057-12.2.0.21546</vt:lpwstr>
  </property>
  <property fmtid="{D5CDD505-2E9C-101B-9397-08002B2CF9AE}" pid="3" name="ICV">
    <vt:lpwstr>E2685E95D8C54DCE88F5ED752193DFE2_13</vt:lpwstr>
  </property>
</Properties>
</file>