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5B0D4" w14:textId="096F40D8" w:rsidR="00BC7AE5" w:rsidRDefault="00BC7AE5" w:rsidP="00BC7AE5">
      <w:pPr>
        <w:spacing w:line="240" w:lineRule="auto"/>
        <w:jc w:val="center"/>
        <w:rPr>
          <w:rFonts w:ascii="Times New Roman" w:eastAsia="Times New Roman" w:hAnsi="Times New Roman" w:cs="Times New Roman"/>
          <w:b/>
          <w:bCs/>
          <w:sz w:val="24"/>
          <w:szCs w:val="24"/>
          <w:lang w:eastAsia="en-IN"/>
        </w:rPr>
      </w:pPr>
      <w:r w:rsidRPr="00BC7AE5">
        <w:rPr>
          <w:rFonts w:ascii="Times New Roman" w:eastAsia="Times New Roman" w:hAnsi="Times New Roman" w:cs="Times New Roman"/>
          <w:b/>
          <w:bCs/>
          <w:sz w:val="24"/>
          <w:szCs w:val="24"/>
          <w:lang w:eastAsia="en-IN"/>
        </w:rPr>
        <w:t xml:space="preserve">Enhancing Germination and Storability in </w:t>
      </w:r>
      <w:r w:rsidRPr="00BC7AE5">
        <w:rPr>
          <w:rFonts w:ascii="Times New Roman" w:eastAsia="Times New Roman" w:hAnsi="Times New Roman" w:cs="Times New Roman"/>
          <w:b/>
          <w:bCs/>
          <w:i/>
          <w:iCs/>
          <w:sz w:val="24"/>
          <w:szCs w:val="24"/>
          <w:lang w:eastAsia="en-IN"/>
        </w:rPr>
        <w:t>Cordia myxa</w:t>
      </w:r>
      <w:r w:rsidRPr="00BC7AE5">
        <w:rPr>
          <w:rFonts w:ascii="Times New Roman" w:eastAsia="Times New Roman" w:hAnsi="Times New Roman" w:cs="Times New Roman"/>
          <w:b/>
          <w:bCs/>
          <w:sz w:val="24"/>
          <w:szCs w:val="24"/>
          <w:lang w:eastAsia="en-IN"/>
        </w:rPr>
        <w:t xml:space="preserve"> Linn.: Insights from Seed Carpology, Viability, Imbibition, Pre-treatment and Storage Behaviour</w:t>
      </w:r>
    </w:p>
    <w:p w14:paraId="683910F9" w14:textId="77777777" w:rsidR="00821A1E" w:rsidRDefault="00821A1E" w:rsidP="00442F1E">
      <w:pPr>
        <w:spacing w:before="100" w:beforeAutospacing="1" w:after="100" w:afterAutospacing="1" w:line="240" w:lineRule="auto"/>
        <w:rPr>
          <w:rFonts w:ascii="Times New Roman" w:eastAsia="Times New Roman" w:hAnsi="Times New Roman" w:cs="Times New Roman"/>
          <w:b/>
          <w:bCs/>
          <w:sz w:val="24"/>
          <w:szCs w:val="24"/>
          <w:lang w:eastAsia="en-IN"/>
        </w:rPr>
      </w:pPr>
    </w:p>
    <w:p w14:paraId="5FDF459A" w14:textId="030EC21A" w:rsidR="00442F1E" w:rsidRPr="006C42BB" w:rsidRDefault="00442F1E" w:rsidP="00442F1E">
      <w:pPr>
        <w:spacing w:before="100" w:beforeAutospacing="1" w:after="100" w:afterAutospacing="1" w:line="240" w:lineRule="auto"/>
        <w:rPr>
          <w:rFonts w:ascii="Times New Roman" w:eastAsia="Times New Roman" w:hAnsi="Times New Roman" w:cs="Times New Roman"/>
          <w:sz w:val="24"/>
          <w:szCs w:val="24"/>
          <w:lang w:eastAsia="en-IN"/>
        </w:rPr>
      </w:pPr>
      <w:r w:rsidRPr="006C42BB">
        <w:rPr>
          <w:rFonts w:ascii="Times New Roman" w:eastAsia="Times New Roman" w:hAnsi="Times New Roman" w:cs="Times New Roman"/>
          <w:b/>
          <w:bCs/>
          <w:sz w:val="24"/>
          <w:szCs w:val="24"/>
          <w:lang w:eastAsia="en-IN"/>
        </w:rPr>
        <w:t>Abstract</w:t>
      </w:r>
    </w:p>
    <w:p w14:paraId="410F41B2" w14:textId="50246AF7" w:rsidR="00BC7AE5" w:rsidRDefault="005478C6" w:rsidP="00BC7AE5">
      <w:pPr>
        <w:pStyle w:val="Heading3"/>
        <w:jc w:val="both"/>
        <w:rPr>
          <w:rFonts w:ascii="Times New Roman" w:eastAsia="Times New Roman" w:hAnsi="Times New Roman" w:cs="Times New Roman"/>
          <w:b w:val="0"/>
          <w:bCs w:val="0"/>
          <w:color w:val="auto"/>
          <w:sz w:val="24"/>
          <w:szCs w:val="24"/>
          <w:lang w:eastAsia="en-IN"/>
        </w:rPr>
      </w:pPr>
      <w:r w:rsidRPr="005478C6">
        <w:rPr>
          <w:rFonts w:ascii="Times New Roman" w:eastAsia="Times New Roman" w:hAnsi="Times New Roman" w:cs="Times New Roman"/>
          <w:b w:val="0"/>
          <w:bCs w:val="0"/>
          <w:color w:val="auto"/>
          <w:sz w:val="24"/>
          <w:szCs w:val="24"/>
          <w:lang w:eastAsia="en-IN"/>
        </w:rPr>
        <w:t xml:space="preserve">A comprehensive investigation was carried out on the seed biology, viability, and storability of </w:t>
      </w:r>
      <w:r w:rsidRPr="005478C6">
        <w:rPr>
          <w:rFonts w:ascii="Times New Roman" w:eastAsia="Times New Roman" w:hAnsi="Times New Roman" w:cs="Times New Roman"/>
          <w:b w:val="0"/>
          <w:bCs w:val="0"/>
          <w:i/>
          <w:iCs/>
          <w:color w:val="auto"/>
          <w:sz w:val="24"/>
          <w:szCs w:val="24"/>
          <w:lang w:eastAsia="en-IN"/>
        </w:rPr>
        <w:t>Cordia myxa</w:t>
      </w:r>
      <w:r w:rsidRPr="005478C6">
        <w:rPr>
          <w:rFonts w:ascii="Times New Roman" w:eastAsia="Times New Roman" w:hAnsi="Times New Roman" w:cs="Times New Roman"/>
          <w:b w:val="0"/>
          <w:bCs w:val="0"/>
          <w:color w:val="auto"/>
          <w:sz w:val="24"/>
          <w:szCs w:val="24"/>
          <w:lang w:eastAsia="en-IN"/>
        </w:rPr>
        <w:t xml:space="preserve"> Linn., a valuable wild fruit species of central India. Carpological analysis revealed globular to ovoid drupes containing wrinkled, ellipsoid seeds. Tetrazolium (TZ) viability testing highlighted that staining duration, particularly 24 hours, significantly influenced viability results (p &lt; 0.001), while TZ concentration had negligible effect. Water imbibition studies demonstrated a slow and steady hydration process, with maximum water uptake (25.35%) observed at 27 hours. Among various pre-sowing treatments tested, hot water soaking (5 min) followed by 500 ppm GA₃ for 48 hours proved most effective, achieving the highest germination (70.70%), vigour index (1043.43), and a lower mean germination time (19.12 days). Acid scarification treatments, however, adversely affected germination. Seed storability trials confirmed the orthodox nature of </w:t>
      </w:r>
      <w:r w:rsidRPr="005478C6">
        <w:rPr>
          <w:rFonts w:ascii="Times New Roman" w:eastAsia="Times New Roman" w:hAnsi="Times New Roman" w:cs="Times New Roman"/>
          <w:b w:val="0"/>
          <w:bCs w:val="0"/>
          <w:i/>
          <w:iCs/>
          <w:color w:val="auto"/>
          <w:sz w:val="24"/>
          <w:szCs w:val="24"/>
          <w:lang w:eastAsia="en-IN"/>
        </w:rPr>
        <w:t>C. myxa</w:t>
      </w:r>
      <w:r w:rsidRPr="005478C6">
        <w:rPr>
          <w:rFonts w:ascii="Times New Roman" w:eastAsia="Times New Roman" w:hAnsi="Times New Roman" w:cs="Times New Roman"/>
          <w:b w:val="0"/>
          <w:bCs w:val="0"/>
          <w:color w:val="auto"/>
          <w:sz w:val="24"/>
          <w:szCs w:val="24"/>
          <w:lang w:eastAsia="en-IN"/>
        </w:rPr>
        <w:t xml:space="preserve"> seeds, with enhanced germination after desiccation (5.05% moisture) and sustained viability (35.44%) following three months at –20°C. These findings provide vital inputs for improving seed viability testing, germination efficiency, and storage strategies for the propagation and conservation of </w:t>
      </w:r>
      <w:r w:rsidRPr="005478C6">
        <w:rPr>
          <w:rFonts w:ascii="Times New Roman" w:eastAsia="Times New Roman" w:hAnsi="Times New Roman" w:cs="Times New Roman"/>
          <w:b w:val="0"/>
          <w:bCs w:val="0"/>
          <w:i/>
          <w:iCs/>
          <w:color w:val="auto"/>
          <w:sz w:val="24"/>
          <w:szCs w:val="24"/>
          <w:lang w:eastAsia="en-IN"/>
        </w:rPr>
        <w:t>Cordia myxa</w:t>
      </w:r>
      <w:r w:rsidR="00BC7AE5" w:rsidRPr="00BC7AE5">
        <w:rPr>
          <w:rFonts w:ascii="Times New Roman" w:eastAsia="Times New Roman" w:hAnsi="Times New Roman" w:cs="Times New Roman"/>
          <w:b w:val="0"/>
          <w:bCs w:val="0"/>
          <w:color w:val="auto"/>
          <w:sz w:val="24"/>
          <w:szCs w:val="24"/>
          <w:lang w:eastAsia="en-IN"/>
        </w:rPr>
        <w:t>, thereby contributing to its effective propagation, conservation, and future utilization in afforestation and agroforestry programs.</w:t>
      </w:r>
    </w:p>
    <w:p w14:paraId="4F7CE0A3" w14:textId="19EF2E85" w:rsidR="008C0CC8" w:rsidRPr="00BC7AE5" w:rsidRDefault="008C0CC8" w:rsidP="00BC7AE5">
      <w:pPr>
        <w:pStyle w:val="Heading3"/>
        <w:rPr>
          <w:rFonts w:ascii="Times New Roman" w:eastAsia="Times New Roman" w:hAnsi="Times New Roman" w:cs="Times New Roman"/>
          <w:b w:val="0"/>
          <w:bCs w:val="0"/>
          <w:color w:val="auto"/>
          <w:sz w:val="24"/>
          <w:szCs w:val="24"/>
          <w:lang w:eastAsia="en-IN"/>
        </w:rPr>
      </w:pPr>
      <w:r w:rsidRPr="006C42BB">
        <w:rPr>
          <w:rStyle w:val="Strong"/>
          <w:rFonts w:ascii="Times New Roman" w:hAnsi="Times New Roman" w:cs="Times New Roman"/>
          <w:b/>
          <w:bCs/>
          <w:color w:val="auto"/>
          <w:sz w:val="24"/>
          <w:szCs w:val="24"/>
        </w:rPr>
        <w:t>Keywords:</w:t>
      </w:r>
      <w:r w:rsidRPr="006C42BB">
        <w:rPr>
          <w:rStyle w:val="Strong"/>
          <w:rFonts w:ascii="Times New Roman" w:hAnsi="Times New Roman" w:cs="Times New Roman"/>
          <w:color w:val="auto"/>
          <w:sz w:val="24"/>
          <w:szCs w:val="24"/>
        </w:rPr>
        <w:t xml:space="preserve"> </w:t>
      </w:r>
      <w:r w:rsidRPr="006C42BB">
        <w:rPr>
          <w:rFonts w:ascii="Times New Roman" w:hAnsi="Times New Roman" w:cs="Times New Roman"/>
          <w:b w:val="0"/>
          <w:bCs w:val="0"/>
          <w:color w:val="auto"/>
          <w:sz w:val="24"/>
          <w:szCs w:val="24"/>
        </w:rPr>
        <w:t>Seed germination, seed viability, tetrazolium test, seed storage, water imbibition, orthodox seeds, seed physiology, propagation techniques</w:t>
      </w:r>
    </w:p>
    <w:p w14:paraId="1790F0D1" w14:textId="77777777" w:rsidR="006E595D" w:rsidRPr="006C42BB" w:rsidRDefault="006E595D" w:rsidP="006E595D">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C42BB">
        <w:rPr>
          <w:rFonts w:ascii="Times New Roman" w:eastAsia="Times New Roman" w:hAnsi="Times New Roman" w:cs="Times New Roman"/>
          <w:b/>
          <w:bCs/>
          <w:sz w:val="24"/>
          <w:szCs w:val="24"/>
          <w:lang w:eastAsia="en-IN"/>
        </w:rPr>
        <w:t>Introduction</w:t>
      </w:r>
    </w:p>
    <w:p w14:paraId="3EE1892E" w14:textId="0865AD36" w:rsidR="00B92F18" w:rsidRPr="00B92F18" w:rsidRDefault="00B92F18" w:rsidP="00B92F18">
      <w:pPr>
        <w:jc w:val="both"/>
        <w:rPr>
          <w:rFonts w:ascii="Times New Roman" w:eastAsia="Times New Roman" w:hAnsi="Times New Roman" w:cs="Times New Roman"/>
          <w:sz w:val="24"/>
          <w:szCs w:val="24"/>
          <w:lang w:eastAsia="en-IN"/>
        </w:rPr>
      </w:pPr>
      <w:r w:rsidRPr="00B92F18">
        <w:rPr>
          <w:rFonts w:ascii="Times New Roman" w:eastAsia="Times New Roman" w:hAnsi="Times New Roman" w:cs="Times New Roman"/>
          <w:sz w:val="24"/>
          <w:szCs w:val="24"/>
          <w:lang w:eastAsia="en-IN"/>
        </w:rPr>
        <w:t>Underutilized fruit species native to the arid and semi-arid regions of India play a crucial role in sustaining local communities by providing nutritional support, traditional medicine, and ecological services. Species such as karonda (</w:t>
      </w:r>
      <w:r w:rsidRPr="00B92F18">
        <w:rPr>
          <w:rFonts w:ascii="Times New Roman" w:eastAsia="Times New Roman" w:hAnsi="Times New Roman" w:cs="Times New Roman"/>
          <w:i/>
          <w:iCs/>
          <w:sz w:val="24"/>
          <w:szCs w:val="24"/>
          <w:lang w:eastAsia="en-IN"/>
        </w:rPr>
        <w:t>Carissa carandas</w:t>
      </w:r>
      <w:r w:rsidRPr="00B92F18">
        <w:rPr>
          <w:rFonts w:ascii="Times New Roman" w:eastAsia="Times New Roman" w:hAnsi="Times New Roman" w:cs="Times New Roman"/>
          <w:sz w:val="24"/>
          <w:szCs w:val="24"/>
          <w:lang w:eastAsia="en-IN"/>
        </w:rPr>
        <w:t xml:space="preserve">), </w:t>
      </w:r>
      <w:proofErr w:type="spellStart"/>
      <w:r w:rsidRPr="00B92F18">
        <w:rPr>
          <w:rFonts w:ascii="Times New Roman" w:eastAsia="Times New Roman" w:hAnsi="Times New Roman" w:cs="Times New Roman"/>
          <w:sz w:val="24"/>
          <w:szCs w:val="24"/>
          <w:lang w:eastAsia="en-IN"/>
        </w:rPr>
        <w:t>ker</w:t>
      </w:r>
      <w:proofErr w:type="spellEnd"/>
      <w:r w:rsidRPr="00B92F18">
        <w:rPr>
          <w:rFonts w:ascii="Times New Roman" w:eastAsia="Times New Roman" w:hAnsi="Times New Roman" w:cs="Times New Roman"/>
          <w:sz w:val="24"/>
          <w:szCs w:val="24"/>
          <w:lang w:eastAsia="en-IN"/>
        </w:rPr>
        <w:t xml:space="preserve"> (</w:t>
      </w:r>
      <w:r w:rsidRPr="00B92F18">
        <w:rPr>
          <w:rFonts w:ascii="Times New Roman" w:eastAsia="Times New Roman" w:hAnsi="Times New Roman" w:cs="Times New Roman"/>
          <w:i/>
          <w:iCs/>
          <w:sz w:val="24"/>
          <w:szCs w:val="24"/>
          <w:lang w:eastAsia="en-IN"/>
        </w:rPr>
        <w:t>Capparis decidua</w:t>
      </w:r>
      <w:r w:rsidRPr="00B92F18">
        <w:rPr>
          <w:rFonts w:ascii="Times New Roman" w:eastAsia="Times New Roman" w:hAnsi="Times New Roman" w:cs="Times New Roman"/>
          <w:sz w:val="24"/>
          <w:szCs w:val="24"/>
          <w:lang w:eastAsia="en-IN"/>
        </w:rPr>
        <w:t xml:space="preserve">), </w:t>
      </w:r>
      <w:proofErr w:type="spellStart"/>
      <w:r w:rsidRPr="00B92F18">
        <w:rPr>
          <w:rFonts w:ascii="Times New Roman" w:eastAsia="Times New Roman" w:hAnsi="Times New Roman" w:cs="Times New Roman"/>
          <w:sz w:val="24"/>
          <w:szCs w:val="24"/>
          <w:lang w:eastAsia="en-IN"/>
        </w:rPr>
        <w:t>pilu</w:t>
      </w:r>
      <w:proofErr w:type="spellEnd"/>
      <w:r w:rsidRPr="00B92F18">
        <w:rPr>
          <w:rFonts w:ascii="Times New Roman" w:eastAsia="Times New Roman" w:hAnsi="Times New Roman" w:cs="Times New Roman"/>
          <w:sz w:val="24"/>
          <w:szCs w:val="24"/>
          <w:lang w:eastAsia="en-IN"/>
        </w:rPr>
        <w:t xml:space="preserve"> (</w:t>
      </w:r>
      <w:proofErr w:type="spellStart"/>
      <w:r w:rsidRPr="00B92F18">
        <w:rPr>
          <w:rFonts w:ascii="Times New Roman" w:eastAsia="Times New Roman" w:hAnsi="Times New Roman" w:cs="Times New Roman"/>
          <w:i/>
          <w:iCs/>
          <w:sz w:val="24"/>
          <w:szCs w:val="24"/>
          <w:lang w:eastAsia="en-IN"/>
        </w:rPr>
        <w:t>Salvadora</w:t>
      </w:r>
      <w:proofErr w:type="spellEnd"/>
      <w:r w:rsidRPr="00B92F18">
        <w:rPr>
          <w:rFonts w:ascii="Times New Roman" w:eastAsia="Times New Roman" w:hAnsi="Times New Roman" w:cs="Times New Roman"/>
          <w:i/>
          <w:iCs/>
          <w:sz w:val="24"/>
          <w:szCs w:val="24"/>
          <w:lang w:eastAsia="en-IN"/>
        </w:rPr>
        <w:t xml:space="preserve"> </w:t>
      </w:r>
      <w:proofErr w:type="spellStart"/>
      <w:r w:rsidRPr="00B92F18">
        <w:rPr>
          <w:rFonts w:ascii="Times New Roman" w:eastAsia="Times New Roman" w:hAnsi="Times New Roman" w:cs="Times New Roman"/>
          <w:i/>
          <w:iCs/>
          <w:sz w:val="24"/>
          <w:szCs w:val="24"/>
          <w:lang w:eastAsia="en-IN"/>
        </w:rPr>
        <w:t>oleoides</w:t>
      </w:r>
      <w:proofErr w:type="spellEnd"/>
      <w:r w:rsidRPr="00B92F18">
        <w:rPr>
          <w:rFonts w:ascii="Times New Roman" w:eastAsia="Times New Roman" w:hAnsi="Times New Roman" w:cs="Times New Roman"/>
          <w:sz w:val="24"/>
          <w:szCs w:val="24"/>
          <w:lang w:eastAsia="en-IN"/>
        </w:rPr>
        <w:t>), phalsa (</w:t>
      </w:r>
      <w:proofErr w:type="spellStart"/>
      <w:r w:rsidRPr="00B92F18">
        <w:rPr>
          <w:rFonts w:ascii="Times New Roman" w:eastAsia="Times New Roman" w:hAnsi="Times New Roman" w:cs="Times New Roman"/>
          <w:i/>
          <w:iCs/>
          <w:sz w:val="24"/>
          <w:szCs w:val="24"/>
          <w:lang w:eastAsia="en-IN"/>
        </w:rPr>
        <w:t>Grewia</w:t>
      </w:r>
      <w:proofErr w:type="spellEnd"/>
      <w:r w:rsidRPr="00B92F18">
        <w:rPr>
          <w:rFonts w:ascii="Times New Roman" w:eastAsia="Times New Roman" w:hAnsi="Times New Roman" w:cs="Times New Roman"/>
          <w:i/>
          <w:iCs/>
          <w:sz w:val="24"/>
          <w:szCs w:val="24"/>
          <w:lang w:eastAsia="en-IN"/>
        </w:rPr>
        <w:t xml:space="preserve"> </w:t>
      </w:r>
      <w:proofErr w:type="spellStart"/>
      <w:r w:rsidRPr="00B92F18">
        <w:rPr>
          <w:rFonts w:ascii="Times New Roman" w:eastAsia="Times New Roman" w:hAnsi="Times New Roman" w:cs="Times New Roman"/>
          <w:i/>
          <w:iCs/>
          <w:sz w:val="24"/>
          <w:szCs w:val="24"/>
          <w:lang w:eastAsia="en-IN"/>
        </w:rPr>
        <w:t>subinaequalis</w:t>
      </w:r>
      <w:proofErr w:type="spellEnd"/>
      <w:r w:rsidRPr="00B92F18">
        <w:rPr>
          <w:rFonts w:ascii="Times New Roman" w:eastAsia="Times New Roman" w:hAnsi="Times New Roman" w:cs="Times New Roman"/>
          <w:sz w:val="24"/>
          <w:szCs w:val="24"/>
          <w:lang w:eastAsia="en-IN"/>
        </w:rPr>
        <w:t xml:space="preserve">), </w:t>
      </w:r>
      <w:proofErr w:type="spellStart"/>
      <w:r w:rsidRPr="00B92F18">
        <w:rPr>
          <w:rFonts w:ascii="Times New Roman" w:eastAsia="Times New Roman" w:hAnsi="Times New Roman" w:cs="Times New Roman"/>
          <w:sz w:val="24"/>
          <w:szCs w:val="24"/>
          <w:lang w:eastAsia="en-IN"/>
        </w:rPr>
        <w:t>lasoda</w:t>
      </w:r>
      <w:proofErr w:type="spellEnd"/>
      <w:r w:rsidRPr="00B92F18">
        <w:rPr>
          <w:rFonts w:ascii="Times New Roman" w:eastAsia="Times New Roman" w:hAnsi="Times New Roman" w:cs="Times New Roman"/>
          <w:sz w:val="24"/>
          <w:szCs w:val="24"/>
          <w:lang w:eastAsia="en-IN"/>
        </w:rPr>
        <w:t xml:space="preserve"> (</w:t>
      </w:r>
      <w:r w:rsidRPr="00B92F18">
        <w:rPr>
          <w:rFonts w:ascii="Times New Roman" w:eastAsia="Times New Roman" w:hAnsi="Times New Roman" w:cs="Times New Roman"/>
          <w:i/>
          <w:iCs/>
          <w:sz w:val="24"/>
          <w:szCs w:val="24"/>
          <w:lang w:eastAsia="en-IN"/>
        </w:rPr>
        <w:t xml:space="preserve">Cordia </w:t>
      </w:r>
      <w:proofErr w:type="spellStart"/>
      <w:r w:rsidRPr="00B92F18">
        <w:rPr>
          <w:rFonts w:ascii="Times New Roman" w:eastAsia="Times New Roman" w:hAnsi="Times New Roman" w:cs="Times New Roman"/>
          <w:i/>
          <w:iCs/>
          <w:sz w:val="24"/>
          <w:szCs w:val="24"/>
          <w:lang w:eastAsia="en-IN"/>
        </w:rPr>
        <w:t>myxa</w:t>
      </w:r>
      <w:proofErr w:type="spellEnd"/>
      <w:r w:rsidRPr="00B92F18">
        <w:rPr>
          <w:rFonts w:ascii="Times New Roman" w:eastAsia="Times New Roman" w:hAnsi="Times New Roman" w:cs="Times New Roman"/>
          <w:sz w:val="24"/>
          <w:szCs w:val="24"/>
          <w:lang w:eastAsia="en-IN"/>
        </w:rPr>
        <w:t xml:space="preserve">), and </w:t>
      </w:r>
      <w:proofErr w:type="spellStart"/>
      <w:r w:rsidRPr="00B92F18">
        <w:rPr>
          <w:rFonts w:ascii="Times New Roman" w:eastAsia="Times New Roman" w:hAnsi="Times New Roman" w:cs="Times New Roman"/>
          <w:sz w:val="24"/>
          <w:szCs w:val="24"/>
          <w:lang w:eastAsia="en-IN"/>
        </w:rPr>
        <w:t>jhar</w:t>
      </w:r>
      <w:proofErr w:type="spellEnd"/>
      <w:r w:rsidRPr="00B92F18">
        <w:rPr>
          <w:rFonts w:ascii="Times New Roman" w:eastAsia="Times New Roman" w:hAnsi="Times New Roman" w:cs="Times New Roman"/>
          <w:sz w:val="24"/>
          <w:szCs w:val="24"/>
          <w:lang w:eastAsia="en-IN"/>
        </w:rPr>
        <w:t xml:space="preserve"> </w:t>
      </w:r>
      <w:proofErr w:type="spellStart"/>
      <w:r w:rsidRPr="00B92F18">
        <w:rPr>
          <w:rFonts w:ascii="Times New Roman" w:eastAsia="Times New Roman" w:hAnsi="Times New Roman" w:cs="Times New Roman"/>
          <w:sz w:val="24"/>
          <w:szCs w:val="24"/>
          <w:lang w:eastAsia="en-IN"/>
        </w:rPr>
        <w:t>ber</w:t>
      </w:r>
      <w:proofErr w:type="spellEnd"/>
      <w:r w:rsidRPr="00B92F18">
        <w:rPr>
          <w:rFonts w:ascii="Times New Roman" w:eastAsia="Times New Roman" w:hAnsi="Times New Roman" w:cs="Times New Roman"/>
          <w:sz w:val="24"/>
          <w:szCs w:val="24"/>
          <w:lang w:eastAsia="en-IN"/>
        </w:rPr>
        <w:t xml:space="preserve"> (</w:t>
      </w:r>
      <w:proofErr w:type="spellStart"/>
      <w:r w:rsidRPr="00B92F18">
        <w:rPr>
          <w:rFonts w:ascii="Times New Roman" w:eastAsia="Times New Roman" w:hAnsi="Times New Roman" w:cs="Times New Roman"/>
          <w:i/>
          <w:iCs/>
          <w:sz w:val="24"/>
          <w:szCs w:val="24"/>
          <w:lang w:eastAsia="en-IN"/>
        </w:rPr>
        <w:t>Ziziphus</w:t>
      </w:r>
      <w:proofErr w:type="spellEnd"/>
      <w:r w:rsidRPr="00B92F18">
        <w:rPr>
          <w:rFonts w:ascii="Times New Roman" w:eastAsia="Times New Roman" w:hAnsi="Times New Roman" w:cs="Times New Roman"/>
          <w:i/>
          <w:iCs/>
          <w:sz w:val="24"/>
          <w:szCs w:val="24"/>
          <w:lang w:eastAsia="en-IN"/>
        </w:rPr>
        <w:t xml:space="preserve"> </w:t>
      </w:r>
      <w:proofErr w:type="spellStart"/>
      <w:r w:rsidRPr="00B92F18">
        <w:rPr>
          <w:rFonts w:ascii="Times New Roman" w:eastAsia="Times New Roman" w:hAnsi="Times New Roman" w:cs="Times New Roman"/>
          <w:i/>
          <w:iCs/>
          <w:sz w:val="24"/>
          <w:szCs w:val="24"/>
          <w:lang w:eastAsia="en-IN"/>
        </w:rPr>
        <w:t>nummularia</w:t>
      </w:r>
      <w:proofErr w:type="spellEnd"/>
      <w:r w:rsidRPr="00B92F18">
        <w:rPr>
          <w:rFonts w:ascii="Times New Roman" w:eastAsia="Times New Roman" w:hAnsi="Times New Roman" w:cs="Times New Roman"/>
          <w:sz w:val="24"/>
          <w:szCs w:val="24"/>
          <w:lang w:eastAsia="en-IN"/>
        </w:rPr>
        <w:t>) have long been valued for their drought tolerance, nutritional richness, and adaptability to marginal environments (Bhatnagar et al., 2016). Despite their significance, these species remain neglected in mainstream horticulture due to limited scientific attention, absence of standardized cultivation protocols, and poor availability of improved varieties and quality planting materials.</w:t>
      </w:r>
    </w:p>
    <w:p w14:paraId="6D5881AD" w14:textId="7B2D2033" w:rsidR="00B92F18" w:rsidRPr="00B92F18" w:rsidRDefault="00B92F18" w:rsidP="00B92F18">
      <w:pPr>
        <w:jc w:val="both"/>
        <w:rPr>
          <w:rFonts w:ascii="Times New Roman" w:eastAsia="Times New Roman" w:hAnsi="Times New Roman" w:cs="Times New Roman"/>
          <w:sz w:val="24"/>
          <w:szCs w:val="24"/>
          <w:lang w:eastAsia="en-IN"/>
        </w:rPr>
      </w:pPr>
      <w:r w:rsidRPr="00B92F18">
        <w:rPr>
          <w:rFonts w:ascii="Times New Roman" w:eastAsia="Times New Roman" w:hAnsi="Times New Roman" w:cs="Times New Roman"/>
          <w:sz w:val="24"/>
          <w:szCs w:val="24"/>
          <w:lang w:eastAsia="en-IN"/>
        </w:rPr>
        <w:t xml:space="preserve">Among these, </w:t>
      </w:r>
      <w:r w:rsidRPr="00B92F18">
        <w:rPr>
          <w:rFonts w:ascii="Times New Roman" w:eastAsia="Times New Roman" w:hAnsi="Times New Roman" w:cs="Times New Roman"/>
          <w:i/>
          <w:iCs/>
          <w:sz w:val="24"/>
          <w:szCs w:val="24"/>
          <w:lang w:eastAsia="en-IN"/>
        </w:rPr>
        <w:t>Cordia myxa</w:t>
      </w:r>
      <w:r w:rsidRPr="00B92F18">
        <w:rPr>
          <w:rFonts w:ascii="Times New Roman" w:eastAsia="Times New Roman" w:hAnsi="Times New Roman" w:cs="Times New Roman"/>
          <w:sz w:val="24"/>
          <w:szCs w:val="24"/>
          <w:lang w:eastAsia="en-IN"/>
        </w:rPr>
        <w:t xml:space="preserve"> L.—commonly known as </w:t>
      </w:r>
      <w:proofErr w:type="spellStart"/>
      <w:r w:rsidRPr="00B92F18">
        <w:rPr>
          <w:rFonts w:ascii="Times New Roman" w:eastAsia="Times New Roman" w:hAnsi="Times New Roman" w:cs="Times New Roman"/>
          <w:sz w:val="24"/>
          <w:szCs w:val="24"/>
          <w:lang w:eastAsia="en-IN"/>
        </w:rPr>
        <w:t>lasoda</w:t>
      </w:r>
      <w:proofErr w:type="spellEnd"/>
      <w:r w:rsidRPr="00B92F18">
        <w:rPr>
          <w:rFonts w:ascii="Times New Roman" w:eastAsia="Times New Roman" w:hAnsi="Times New Roman" w:cs="Times New Roman"/>
          <w:sz w:val="24"/>
          <w:szCs w:val="24"/>
          <w:lang w:eastAsia="en-IN"/>
        </w:rPr>
        <w:t xml:space="preserve">, </w:t>
      </w:r>
      <w:proofErr w:type="spellStart"/>
      <w:r w:rsidRPr="00B92F18">
        <w:rPr>
          <w:rFonts w:ascii="Times New Roman" w:eastAsia="Times New Roman" w:hAnsi="Times New Roman" w:cs="Times New Roman"/>
          <w:sz w:val="24"/>
          <w:szCs w:val="24"/>
          <w:lang w:eastAsia="en-IN"/>
        </w:rPr>
        <w:t>lehsua</w:t>
      </w:r>
      <w:proofErr w:type="spellEnd"/>
      <w:r w:rsidRPr="00B92F18">
        <w:rPr>
          <w:rFonts w:ascii="Times New Roman" w:eastAsia="Times New Roman" w:hAnsi="Times New Roman" w:cs="Times New Roman"/>
          <w:sz w:val="24"/>
          <w:szCs w:val="24"/>
          <w:lang w:eastAsia="en-IN"/>
        </w:rPr>
        <w:t>, or Indian cherry—is a multipurpose, drought-hardy deciduous tree of the family Boraginaceae. It thrives in degraded soils and arid to semi-arid climates (</w:t>
      </w:r>
      <w:proofErr w:type="spellStart"/>
      <w:r w:rsidRPr="00B92F18">
        <w:rPr>
          <w:rFonts w:ascii="Times New Roman" w:eastAsia="Times New Roman" w:hAnsi="Times New Roman" w:cs="Times New Roman"/>
          <w:sz w:val="24"/>
          <w:szCs w:val="24"/>
          <w:lang w:eastAsia="en-IN"/>
        </w:rPr>
        <w:t>Arbonnier</w:t>
      </w:r>
      <w:proofErr w:type="spellEnd"/>
      <w:r w:rsidRPr="00B92F18">
        <w:rPr>
          <w:rFonts w:ascii="Times New Roman" w:eastAsia="Times New Roman" w:hAnsi="Times New Roman" w:cs="Times New Roman"/>
          <w:sz w:val="24"/>
          <w:szCs w:val="24"/>
          <w:lang w:eastAsia="en-IN"/>
        </w:rPr>
        <w:t>, 2002), and is native or naturalized across India, Sri Lanka, Myanmar, Egypt, Iraq, and parts of tropical Australia. Its wide ecological amplitude underscores its potential for climate-resilient agriculture.</w:t>
      </w:r>
    </w:p>
    <w:p w14:paraId="7773AD20" w14:textId="03A73156" w:rsidR="00B92F18" w:rsidRPr="00B92F18" w:rsidRDefault="00B92F18" w:rsidP="00B92F18">
      <w:pPr>
        <w:jc w:val="both"/>
        <w:rPr>
          <w:rFonts w:ascii="Times New Roman" w:eastAsia="Times New Roman" w:hAnsi="Times New Roman" w:cs="Times New Roman"/>
          <w:sz w:val="24"/>
          <w:szCs w:val="24"/>
          <w:lang w:eastAsia="en-IN"/>
        </w:rPr>
      </w:pPr>
      <w:r w:rsidRPr="00B92F18">
        <w:rPr>
          <w:rFonts w:ascii="Times New Roman" w:eastAsia="Times New Roman" w:hAnsi="Times New Roman" w:cs="Times New Roman"/>
          <w:sz w:val="24"/>
          <w:szCs w:val="24"/>
          <w:lang w:eastAsia="en-IN"/>
        </w:rPr>
        <w:lastRenderedPageBreak/>
        <w:t xml:space="preserve">Taxonomically, the genus </w:t>
      </w:r>
      <w:r w:rsidRPr="00B92F18">
        <w:rPr>
          <w:rFonts w:ascii="Times New Roman" w:eastAsia="Times New Roman" w:hAnsi="Times New Roman" w:cs="Times New Roman"/>
          <w:i/>
          <w:iCs/>
          <w:sz w:val="24"/>
          <w:szCs w:val="24"/>
          <w:lang w:eastAsia="en-IN"/>
        </w:rPr>
        <w:t>Cordia</w:t>
      </w:r>
      <w:r w:rsidRPr="00B92F18">
        <w:rPr>
          <w:rFonts w:ascii="Times New Roman" w:eastAsia="Times New Roman" w:hAnsi="Times New Roman" w:cs="Times New Roman"/>
          <w:sz w:val="24"/>
          <w:szCs w:val="24"/>
          <w:lang w:eastAsia="en-IN"/>
        </w:rPr>
        <w:t xml:space="preserve"> comprises over 300 species distributed across tropical and subtropical regions of the Americas, Asia, and Oceania. While </w:t>
      </w:r>
      <w:r w:rsidRPr="00B92F18">
        <w:rPr>
          <w:rFonts w:ascii="Times New Roman" w:eastAsia="Times New Roman" w:hAnsi="Times New Roman" w:cs="Times New Roman"/>
          <w:i/>
          <w:iCs/>
          <w:sz w:val="24"/>
          <w:szCs w:val="24"/>
          <w:lang w:eastAsia="en-IN"/>
        </w:rPr>
        <w:t>C. sinensis</w:t>
      </w:r>
      <w:r w:rsidRPr="00B92F18">
        <w:rPr>
          <w:rFonts w:ascii="Times New Roman" w:eastAsia="Times New Roman" w:hAnsi="Times New Roman" w:cs="Times New Roman"/>
          <w:sz w:val="24"/>
          <w:szCs w:val="24"/>
          <w:lang w:eastAsia="en-IN"/>
        </w:rPr>
        <w:t xml:space="preserve"> is native to Egypt and the Arabian Peninsula, </w:t>
      </w:r>
      <w:r w:rsidRPr="00B92F18">
        <w:rPr>
          <w:rFonts w:ascii="Times New Roman" w:eastAsia="Times New Roman" w:hAnsi="Times New Roman" w:cs="Times New Roman"/>
          <w:i/>
          <w:iCs/>
          <w:sz w:val="24"/>
          <w:szCs w:val="24"/>
          <w:lang w:eastAsia="en-IN"/>
        </w:rPr>
        <w:t>C. myxa</w:t>
      </w:r>
      <w:r w:rsidRPr="00B92F18">
        <w:rPr>
          <w:rFonts w:ascii="Times New Roman" w:eastAsia="Times New Roman" w:hAnsi="Times New Roman" w:cs="Times New Roman"/>
          <w:sz w:val="24"/>
          <w:szCs w:val="24"/>
          <w:lang w:eastAsia="en-IN"/>
        </w:rPr>
        <w:t xml:space="preserve"> likely originated in tropical Asia or the Near East and has become naturalized from Kislev, 2008). Historically, it has served as a windbreak species in agroforestry systems, used to moderate microclimates and reduce soil erosion. Once established, it can survive on residual moisture and requires irrigation only during the initial three years (Meghwal et al., 2014a; Meghwal et al., 2014b).</w:t>
      </w:r>
    </w:p>
    <w:p w14:paraId="2BC59864" w14:textId="2E101131" w:rsidR="00B92F18" w:rsidRPr="00B92F18" w:rsidRDefault="00B92F18" w:rsidP="00B92F18">
      <w:pPr>
        <w:jc w:val="both"/>
        <w:rPr>
          <w:rFonts w:ascii="Times New Roman" w:eastAsia="Times New Roman" w:hAnsi="Times New Roman" w:cs="Times New Roman"/>
          <w:sz w:val="24"/>
          <w:szCs w:val="24"/>
          <w:lang w:eastAsia="en-IN"/>
        </w:rPr>
      </w:pPr>
      <w:r w:rsidRPr="00B92F18">
        <w:rPr>
          <w:rFonts w:ascii="Times New Roman" w:eastAsia="Times New Roman" w:hAnsi="Times New Roman" w:cs="Times New Roman"/>
          <w:sz w:val="24"/>
          <w:szCs w:val="24"/>
          <w:lang w:eastAsia="en-IN"/>
        </w:rPr>
        <w:t xml:space="preserve">Economically, </w:t>
      </w:r>
      <w:r w:rsidRPr="00B92F18">
        <w:rPr>
          <w:rFonts w:ascii="Times New Roman" w:eastAsia="Times New Roman" w:hAnsi="Times New Roman" w:cs="Times New Roman"/>
          <w:i/>
          <w:iCs/>
          <w:sz w:val="24"/>
          <w:szCs w:val="24"/>
          <w:lang w:eastAsia="en-IN"/>
        </w:rPr>
        <w:t>C. myxa</w:t>
      </w:r>
      <w:r w:rsidRPr="00B92F18">
        <w:rPr>
          <w:rFonts w:ascii="Times New Roman" w:eastAsia="Times New Roman" w:hAnsi="Times New Roman" w:cs="Times New Roman"/>
          <w:sz w:val="24"/>
          <w:szCs w:val="24"/>
          <w:lang w:eastAsia="en-IN"/>
        </w:rPr>
        <w:t xml:space="preserve"> contributes to food and nutritional security through its green, immature fruits, which are consumed as vegetables or pickled—especially during lean seasons when conventional vegetables are scarce (Bhatnagar et al., 2016). Though the ripe fruits are mucilaginous, they are sweet and rich in carbohydrates and ascorbic acid, and have traditional uses in folk liquors and remedies (Pareek &amp; Sharma, 1993). The fruits are also nutritionally valuable, containing significant levels of dietary fiber, glucose, fructose, sucrose, proteins, fats, and essential minerals such as potassium, calcium, and iron (Karami et al., 2015).</w:t>
      </w:r>
    </w:p>
    <w:p w14:paraId="5674003B" w14:textId="77777777" w:rsidR="00B92F18" w:rsidRPr="00B92F18" w:rsidRDefault="00B92F18" w:rsidP="00B92F18">
      <w:pPr>
        <w:jc w:val="both"/>
        <w:rPr>
          <w:rFonts w:ascii="Times New Roman" w:eastAsia="Times New Roman" w:hAnsi="Times New Roman" w:cs="Times New Roman"/>
          <w:sz w:val="24"/>
          <w:szCs w:val="24"/>
          <w:lang w:eastAsia="en-IN"/>
        </w:rPr>
      </w:pPr>
      <w:r w:rsidRPr="00B92F18">
        <w:rPr>
          <w:rFonts w:ascii="Times New Roman" w:eastAsia="Times New Roman" w:hAnsi="Times New Roman" w:cs="Times New Roman"/>
          <w:sz w:val="24"/>
          <w:szCs w:val="24"/>
          <w:lang w:eastAsia="en-IN"/>
        </w:rPr>
        <w:t xml:space="preserve">Pharmacologically, various parts of the plant have demonstrated medicinal potential. They are traditionally used as astringents, expectorants, anthelmintics, diuretics, and demulcents in the treatment of wounds, stomach pain, urinary tract infections, and respiratory ailments (Abdallah et al., 2011; </w:t>
      </w:r>
      <w:proofErr w:type="spellStart"/>
      <w:r w:rsidRPr="00B92F18">
        <w:rPr>
          <w:rFonts w:ascii="Times New Roman" w:eastAsia="Times New Roman" w:hAnsi="Times New Roman" w:cs="Times New Roman"/>
          <w:sz w:val="24"/>
          <w:szCs w:val="24"/>
          <w:lang w:eastAsia="en-IN"/>
        </w:rPr>
        <w:t>Kuppast</w:t>
      </w:r>
      <w:proofErr w:type="spellEnd"/>
      <w:r w:rsidRPr="00B92F18">
        <w:rPr>
          <w:rFonts w:ascii="Times New Roman" w:eastAsia="Times New Roman" w:hAnsi="Times New Roman" w:cs="Times New Roman"/>
          <w:sz w:val="24"/>
          <w:szCs w:val="24"/>
          <w:lang w:eastAsia="en-IN"/>
        </w:rPr>
        <w:t xml:space="preserve"> &amp; Vasudeva, 2006; </w:t>
      </w:r>
      <w:proofErr w:type="spellStart"/>
      <w:r w:rsidRPr="00B92F18">
        <w:rPr>
          <w:rFonts w:ascii="Times New Roman" w:eastAsia="Times New Roman" w:hAnsi="Times New Roman" w:cs="Times New Roman"/>
          <w:sz w:val="24"/>
          <w:szCs w:val="24"/>
          <w:lang w:eastAsia="en-IN"/>
        </w:rPr>
        <w:t>Jamkhande</w:t>
      </w:r>
      <w:proofErr w:type="spellEnd"/>
      <w:r w:rsidRPr="00B92F18">
        <w:rPr>
          <w:rFonts w:ascii="Times New Roman" w:eastAsia="Times New Roman" w:hAnsi="Times New Roman" w:cs="Times New Roman"/>
          <w:sz w:val="24"/>
          <w:szCs w:val="24"/>
          <w:lang w:eastAsia="en-IN"/>
        </w:rPr>
        <w:t xml:space="preserve"> et al., 2013). In recent years, attention has also turned toward the industrial applications of </w:t>
      </w:r>
      <w:r w:rsidRPr="00B92F18">
        <w:rPr>
          <w:rFonts w:ascii="Times New Roman" w:eastAsia="Times New Roman" w:hAnsi="Times New Roman" w:cs="Times New Roman"/>
          <w:i/>
          <w:iCs/>
          <w:sz w:val="24"/>
          <w:szCs w:val="24"/>
          <w:lang w:eastAsia="en-IN"/>
        </w:rPr>
        <w:t>C. myxa</w:t>
      </w:r>
      <w:r w:rsidRPr="00B92F18">
        <w:rPr>
          <w:rFonts w:ascii="Times New Roman" w:eastAsia="Times New Roman" w:hAnsi="Times New Roman" w:cs="Times New Roman"/>
          <w:sz w:val="24"/>
          <w:szCs w:val="24"/>
          <w:lang w:eastAsia="en-IN"/>
        </w:rPr>
        <w:t xml:space="preserve">, particularly its fruit mucilage. Using response surface methodology, </w:t>
      </w:r>
      <w:proofErr w:type="spellStart"/>
      <w:r w:rsidRPr="00B92F18">
        <w:rPr>
          <w:rFonts w:ascii="Times New Roman" w:eastAsia="Times New Roman" w:hAnsi="Times New Roman" w:cs="Times New Roman"/>
          <w:sz w:val="24"/>
          <w:szCs w:val="24"/>
          <w:lang w:eastAsia="en-IN"/>
        </w:rPr>
        <w:t>Keshani-Dokht</w:t>
      </w:r>
      <w:proofErr w:type="spellEnd"/>
      <w:r w:rsidRPr="00B92F18">
        <w:rPr>
          <w:rFonts w:ascii="Times New Roman" w:eastAsia="Times New Roman" w:hAnsi="Times New Roman" w:cs="Times New Roman"/>
          <w:sz w:val="24"/>
          <w:szCs w:val="24"/>
          <w:lang w:eastAsia="en-IN"/>
        </w:rPr>
        <w:t xml:space="preserve"> et al. (2018) optimized mucilage extraction conditions and reported a composition dominated by carbohydrates (77.51%), with additional protein (8.90%), ash (5.86%), moisture (6.90%), and fat (1.00%). The mucilage exhibited favorable functional properties, including high-temperature stability, excellent water and oil holding capacity, and notable antioxidant activity—highlighting its potential as a natural hydrocolloid in food and pharmaceutical applications.</w:t>
      </w:r>
    </w:p>
    <w:p w14:paraId="3B39B159" w14:textId="5B63990A" w:rsidR="00B92F18" w:rsidRPr="00B92F18" w:rsidRDefault="00B92F18" w:rsidP="00B92F18">
      <w:pPr>
        <w:jc w:val="both"/>
        <w:rPr>
          <w:rFonts w:ascii="Times New Roman" w:eastAsia="Times New Roman" w:hAnsi="Times New Roman" w:cs="Times New Roman"/>
          <w:sz w:val="24"/>
          <w:szCs w:val="24"/>
          <w:lang w:eastAsia="en-IN"/>
        </w:rPr>
      </w:pPr>
      <w:r w:rsidRPr="00B92F18">
        <w:rPr>
          <w:rFonts w:ascii="Times New Roman" w:eastAsia="Times New Roman" w:hAnsi="Times New Roman" w:cs="Times New Roman"/>
          <w:sz w:val="24"/>
          <w:szCs w:val="24"/>
          <w:lang w:eastAsia="en-IN"/>
        </w:rPr>
        <w:t xml:space="preserve">Despite these valuable attributes, the species remains largely underutilized due to constraints in propagation. </w:t>
      </w:r>
      <w:r w:rsidRPr="00B92F18">
        <w:rPr>
          <w:rFonts w:ascii="Times New Roman" w:eastAsia="Times New Roman" w:hAnsi="Times New Roman" w:cs="Times New Roman"/>
          <w:i/>
          <w:iCs/>
          <w:sz w:val="24"/>
          <w:szCs w:val="24"/>
          <w:lang w:eastAsia="en-IN"/>
        </w:rPr>
        <w:t>C. myxa</w:t>
      </w:r>
      <w:r w:rsidRPr="00B92F18">
        <w:rPr>
          <w:rFonts w:ascii="Times New Roman" w:eastAsia="Times New Roman" w:hAnsi="Times New Roman" w:cs="Times New Roman"/>
          <w:sz w:val="24"/>
          <w:szCs w:val="24"/>
          <w:lang w:eastAsia="en-IN"/>
        </w:rPr>
        <w:t xml:space="preserve"> seeds exhibit physical dormancy caused by a hard seed coat, leading to delayed and erratic germination—often requiring 40 to 60 days under natural conditions (Salami &amp; Lawal, 2018). To address this, several studies have evaluated pre-sowing treatments such as mechanical scarification, soaking in acid or water, and hormonal treatments like gibberellic acid (</w:t>
      </w:r>
      <w:proofErr w:type="spellStart"/>
      <w:r w:rsidRPr="00B92F18">
        <w:rPr>
          <w:rFonts w:ascii="Times New Roman" w:eastAsia="Times New Roman" w:hAnsi="Times New Roman" w:cs="Times New Roman"/>
          <w:sz w:val="24"/>
          <w:szCs w:val="24"/>
          <w:lang w:eastAsia="en-IN"/>
        </w:rPr>
        <w:t>Meghwal</w:t>
      </w:r>
      <w:proofErr w:type="spellEnd"/>
      <w:r w:rsidRPr="00B92F18">
        <w:rPr>
          <w:rFonts w:ascii="Times New Roman" w:eastAsia="Times New Roman" w:hAnsi="Times New Roman" w:cs="Times New Roman"/>
          <w:sz w:val="24"/>
          <w:szCs w:val="24"/>
          <w:lang w:eastAsia="en-IN"/>
        </w:rPr>
        <w:t xml:space="preserve">, 2007; </w:t>
      </w:r>
      <w:proofErr w:type="spellStart"/>
      <w:r w:rsidRPr="00B92F18">
        <w:rPr>
          <w:rFonts w:ascii="Times New Roman" w:eastAsia="Times New Roman" w:hAnsi="Times New Roman" w:cs="Times New Roman"/>
          <w:sz w:val="24"/>
          <w:szCs w:val="24"/>
          <w:lang w:eastAsia="en-IN"/>
        </w:rPr>
        <w:t>Ghaba</w:t>
      </w:r>
      <w:proofErr w:type="spellEnd"/>
      <w:r w:rsidRPr="00B92F18">
        <w:rPr>
          <w:rFonts w:ascii="Times New Roman" w:eastAsia="Times New Roman" w:hAnsi="Times New Roman" w:cs="Times New Roman"/>
          <w:sz w:val="24"/>
          <w:szCs w:val="24"/>
          <w:lang w:eastAsia="en-IN"/>
        </w:rPr>
        <w:t xml:space="preserve"> et al., 2024), all of which have shown potential to enhance seed viability and reduce germination time.</w:t>
      </w:r>
    </w:p>
    <w:p w14:paraId="2F557BF9" w14:textId="68214DB5" w:rsidR="00B92F18" w:rsidRPr="00B92F18" w:rsidRDefault="00B92F18" w:rsidP="00B92F18">
      <w:pPr>
        <w:jc w:val="both"/>
        <w:rPr>
          <w:rFonts w:ascii="Times New Roman" w:eastAsia="Times New Roman" w:hAnsi="Times New Roman" w:cs="Times New Roman"/>
          <w:sz w:val="24"/>
          <w:szCs w:val="24"/>
          <w:lang w:eastAsia="en-IN"/>
        </w:rPr>
      </w:pPr>
      <w:r w:rsidRPr="00B92F18">
        <w:rPr>
          <w:rFonts w:ascii="Times New Roman" w:eastAsia="Times New Roman" w:hAnsi="Times New Roman" w:cs="Times New Roman"/>
          <w:sz w:val="24"/>
          <w:szCs w:val="24"/>
          <w:lang w:eastAsia="en-IN"/>
        </w:rPr>
        <w:t xml:space="preserve">Parallel to propagation research, breeding programs have focused on evaluating genetic variability and selecting elite genotypes. Studies across 15 provenances in Rajasthan revealed significant heritability and genetic gain for traits like fruit weight, pulp-to-seed ratio, total soluble solids (TSS), and fruit diameter—indicating high potential for genetic improvement (Nagar, </w:t>
      </w:r>
      <w:proofErr w:type="spellStart"/>
      <w:r w:rsidRPr="00B92F18">
        <w:rPr>
          <w:rFonts w:ascii="Times New Roman" w:eastAsia="Times New Roman" w:hAnsi="Times New Roman" w:cs="Times New Roman"/>
          <w:sz w:val="24"/>
          <w:szCs w:val="24"/>
          <w:lang w:eastAsia="en-IN"/>
        </w:rPr>
        <w:t>Fageria</w:t>
      </w:r>
      <w:proofErr w:type="spellEnd"/>
      <w:r w:rsidRPr="00B92F18">
        <w:rPr>
          <w:rFonts w:ascii="Times New Roman" w:eastAsia="Times New Roman" w:hAnsi="Times New Roman" w:cs="Times New Roman"/>
          <w:sz w:val="24"/>
          <w:szCs w:val="24"/>
          <w:lang w:eastAsia="en-IN"/>
        </w:rPr>
        <w:t xml:space="preserve">, &amp; </w:t>
      </w:r>
      <w:proofErr w:type="spellStart"/>
      <w:r w:rsidRPr="00B92F18">
        <w:rPr>
          <w:rFonts w:ascii="Times New Roman" w:eastAsia="Times New Roman" w:hAnsi="Times New Roman" w:cs="Times New Roman"/>
          <w:sz w:val="24"/>
          <w:szCs w:val="24"/>
          <w:lang w:eastAsia="en-IN"/>
        </w:rPr>
        <w:t>Pareek</w:t>
      </w:r>
      <w:proofErr w:type="spellEnd"/>
      <w:r w:rsidRPr="00B92F18">
        <w:rPr>
          <w:rFonts w:ascii="Times New Roman" w:eastAsia="Times New Roman" w:hAnsi="Times New Roman" w:cs="Times New Roman"/>
          <w:sz w:val="24"/>
          <w:szCs w:val="24"/>
          <w:lang w:eastAsia="en-IN"/>
        </w:rPr>
        <w:t xml:space="preserve">, 2013). These efforts led to the development and release of improved cultivars such as </w:t>
      </w:r>
      <w:r w:rsidRPr="00B92F18">
        <w:rPr>
          <w:rFonts w:ascii="Times New Roman" w:eastAsia="Times New Roman" w:hAnsi="Times New Roman" w:cs="Times New Roman"/>
          <w:i/>
          <w:iCs/>
          <w:sz w:val="24"/>
          <w:szCs w:val="24"/>
          <w:lang w:eastAsia="en-IN"/>
        </w:rPr>
        <w:t xml:space="preserve">Maru </w:t>
      </w:r>
      <w:proofErr w:type="spellStart"/>
      <w:r w:rsidRPr="00B92F18">
        <w:rPr>
          <w:rFonts w:ascii="Times New Roman" w:eastAsia="Times New Roman" w:hAnsi="Times New Roman" w:cs="Times New Roman"/>
          <w:i/>
          <w:iCs/>
          <w:sz w:val="24"/>
          <w:szCs w:val="24"/>
          <w:lang w:eastAsia="en-IN"/>
        </w:rPr>
        <w:t>Samridhi</w:t>
      </w:r>
      <w:proofErr w:type="spellEnd"/>
      <w:r w:rsidRPr="00B92F18">
        <w:rPr>
          <w:rFonts w:ascii="Times New Roman" w:eastAsia="Times New Roman" w:hAnsi="Times New Roman" w:cs="Times New Roman"/>
          <w:sz w:val="24"/>
          <w:szCs w:val="24"/>
          <w:lang w:eastAsia="en-IN"/>
        </w:rPr>
        <w:t xml:space="preserve">, </w:t>
      </w:r>
      <w:r w:rsidRPr="00B92F18">
        <w:rPr>
          <w:rFonts w:ascii="Times New Roman" w:eastAsia="Times New Roman" w:hAnsi="Times New Roman" w:cs="Times New Roman"/>
          <w:i/>
          <w:iCs/>
          <w:sz w:val="24"/>
          <w:szCs w:val="24"/>
          <w:lang w:eastAsia="en-IN"/>
        </w:rPr>
        <w:t xml:space="preserve">Karan </w:t>
      </w:r>
      <w:proofErr w:type="spellStart"/>
      <w:r w:rsidRPr="00B92F18">
        <w:rPr>
          <w:rFonts w:ascii="Times New Roman" w:eastAsia="Times New Roman" w:hAnsi="Times New Roman" w:cs="Times New Roman"/>
          <w:i/>
          <w:iCs/>
          <w:sz w:val="24"/>
          <w:szCs w:val="24"/>
          <w:lang w:eastAsia="en-IN"/>
        </w:rPr>
        <w:t>Lasoda</w:t>
      </w:r>
      <w:proofErr w:type="spellEnd"/>
      <w:r w:rsidRPr="00B92F18">
        <w:rPr>
          <w:rFonts w:ascii="Times New Roman" w:eastAsia="Times New Roman" w:hAnsi="Times New Roman" w:cs="Times New Roman"/>
          <w:sz w:val="24"/>
          <w:szCs w:val="24"/>
          <w:lang w:eastAsia="en-IN"/>
        </w:rPr>
        <w:t xml:space="preserve">, and </w:t>
      </w:r>
      <w:r w:rsidRPr="00B92F18">
        <w:rPr>
          <w:rFonts w:ascii="Times New Roman" w:eastAsia="Times New Roman" w:hAnsi="Times New Roman" w:cs="Times New Roman"/>
          <w:i/>
          <w:iCs/>
          <w:sz w:val="24"/>
          <w:szCs w:val="24"/>
          <w:lang w:eastAsia="en-IN"/>
        </w:rPr>
        <w:t>Thar Bold</w:t>
      </w:r>
      <w:r w:rsidRPr="00B92F18">
        <w:rPr>
          <w:rFonts w:ascii="Times New Roman" w:eastAsia="Times New Roman" w:hAnsi="Times New Roman" w:cs="Times New Roman"/>
          <w:sz w:val="24"/>
          <w:szCs w:val="24"/>
          <w:lang w:eastAsia="en-IN"/>
        </w:rPr>
        <w:t xml:space="preserve"> by institutions like CAZRI (Meghwal et al., 2021, 2022</w:t>
      </w:r>
      <w:r w:rsidR="006A2CBD">
        <w:rPr>
          <w:rFonts w:ascii="Times New Roman" w:eastAsia="Times New Roman" w:hAnsi="Times New Roman" w:cs="Times New Roman"/>
          <w:sz w:val="24"/>
          <w:szCs w:val="24"/>
          <w:lang w:eastAsia="en-IN"/>
        </w:rPr>
        <w:t>, 2024</w:t>
      </w:r>
      <w:r w:rsidRPr="00B92F18">
        <w:rPr>
          <w:rFonts w:ascii="Times New Roman" w:eastAsia="Times New Roman" w:hAnsi="Times New Roman" w:cs="Times New Roman"/>
          <w:sz w:val="24"/>
          <w:szCs w:val="24"/>
          <w:lang w:eastAsia="en-IN"/>
        </w:rPr>
        <w:t>). However, large-scale multiplication and commercialization of these varieties remain constrained by the absence of robust nursery propagation technologies and limited access to vegetatively propagated planting material.</w:t>
      </w:r>
    </w:p>
    <w:p w14:paraId="3811E1FE" w14:textId="1BF4C414" w:rsidR="00B92F18" w:rsidRPr="00B92F18" w:rsidRDefault="00B92F18" w:rsidP="008C0CC8">
      <w:pPr>
        <w:jc w:val="both"/>
        <w:rPr>
          <w:rFonts w:ascii="Times New Roman" w:eastAsia="Times New Roman" w:hAnsi="Times New Roman" w:cs="Times New Roman"/>
          <w:sz w:val="24"/>
          <w:szCs w:val="24"/>
          <w:lang w:eastAsia="en-IN"/>
        </w:rPr>
      </w:pPr>
      <w:r w:rsidRPr="00B92F18">
        <w:rPr>
          <w:rFonts w:ascii="Times New Roman" w:eastAsia="Times New Roman" w:hAnsi="Times New Roman" w:cs="Times New Roman"/>
          <w:sz w:val="24"/>
          <w:szCs w:val="24"/>
          <w:lang w:eastAsia="en-IN"/>
        </w:rPr>
        <w:lastRenderedPageBreak/>
        <w:t xml:space="preserve">Given the ecological, nutritional, pharmacological, and industrial importance of </w:t>
      </w:r>
      <w:r w:rsidRPr="00B92F18">
        <w:rPr>
          <w:rFonts w:ascii="Times New Roman" w:eastAsia="Times New Roman" w:hAnsi="Times New Roman" w:cs="Times New Roman"/>
          <w:i/>
          <w:iCs/>
          <w:sz w:val="24"/>
          <w:szCs w:val="24"/>
          <w:lang w:eastAsia="en-IN"/>
        </w:rPr>
        <w:t>Cordia myxa</w:t>
      </w:r>
      <w:r w:rsidRPr="00B92F18">
        <w:rPr>
          <w:rFonts w:ascii="Times New Roman" w:eastAsia="Times New Roman" w:hAnsi="Times New Roman" w:cs="Times New Roman"/>
          <w:sz w:val="24"/>
          <w:szCs w:val="24"/>
          <w:lang w:eastAsia="en-IN"/>
        </w:rPr>
        <w:t xml:space="preserve">, there is an urgent need to develop integrated strategies for its propagation and conservation. A deeper understanding of its seed carpology, viability, imbibition capacity, dormancy-breaking treatments, and storage </w:t>
      </w:r>
      <w:proofErr w:type="spellStart"/>
      <w:r w:rsidRPr="00B92F18">
        <w:rPr>
          <w:rFonts w:ascii="Times New Roman" w:eastAsia="Times New Roman" w:hAnsi="Times New Roman" w:cs="Times New Roman"/>
          <w:sz w:val="24"/>
          <w:szCs w:val="24"/>
          <w:lang w:eastAsia="en-IN"/>
        </w:rPr>
        <w:t>behavior</w:t>
      </w:r>
      <w:proofErr w:type="spellEnd"/>
      <w:r w:rsidRPr="00B92F18">
        <w:rPr>
          <w:rFonts w:ascii="Times New Roman" w:eastAsia="Times New Roman" w:hAnsi="Times New Roman" w:cs="Times New Roman"/>
          <w:sz w:val="24"/>
          <w:szCs w:val="24"/>
          <w:lang w:eastAsia="en-IN"/>
        </w:rPr>
        <w:t xml:space="preserve"> is crucial for establishing effective protocols for ex-situ conservation and sustainable cultivation. The present study, therefore, aims to evaluate the influence of various pre-sowing treatments and storage conditions on the germination, seedling vigor, and propagation success of </w:t>
      </w:r>
      <w:r w:rsidRPr="00B92F18">
        <w:rPr>
          <w:rFonts w:ascii="Times New Roman" w:eastAsia="Times New Roman" w:hAnsi="Times New Roman" w:cs="Times New Roman"/>
          <w:i/>
          <w:iCs/>
          <w:sz w:val="24"/>
          <w:szCs w:val="24"/>
          <w:lang w:eastAsia="en-IN"/>
        </w:rPr>
        <w:t>Cordia myxa</w:t>
      </w:r>
      <w:r w:rsidRPr="00B92F18">
        <w:rPr>
          <w:rFonts w:ascii="Times New Roman" w:eastAsia="Times New Roman" w:hAnsi="Times New Roman" w:cs="Times New Roman"/>
          <w:sz w:val="24"/>
          <w:szCs w:val="24"/>
          <w:lang w:eastAsia="en-IN"/>
        </w:rPr>
        <w:t xml:space="preserve"> L., contributing to its wider adoption and commercialization as a climate-resilient and economically valuable fruit species.</w:t>
      </w:r>
    </w:p>
    <w:p w14:paraId="0B53F6FB" w14:textId="4CF397C3" w:rsidR="008C0CC8" w:rsidRPr="006C42BB" w:rsidRDefault="008C0CC8" w:rsidP="008C0CC8">
      <w:pPr>
        <w:jc w:val="both"/>
        <w:rPr>
          <w:rFonts w:ascii="Times New Roman" w:hAnsi="Times New Roman" w:cs="Times New Roman"/>
          <w:b/>
          <w:sz w:val="24"/>
          <w:szCs w:val="24"/>
        </w:rPr>
      </w:pPr>
      <w:r w:rsidRPr="006C42BB">
        <w:rPr>
          <w:rFonts w:ascii="Times New Roman" w:eastAsia="Times New Roman" w:hAnsi="Times New Roman" w:cs="Times New Roman"/>
          <w:b/>
          <w:bCs/>
          <w:sz w:val="24"/>
          <w:szCs w:val="24"/>
        </w:rPr>
        <w:t>Material and Methodology:</w:t>
      </w:r>
    </w:p>
    <w:p w14:paraId="2F369FD3" w14:textId="6E091C4B" w:rsidR="008C0CC8" w:rsidRPr="006C42BB" w:rsidRDefault="008C0CC8" w:rsidP="008C0CC8">
      <w:pPr>
        <w:spacing w:before="100" w:beforeAutospacing="1" w:after="100" w:afterAutospacing="1"/>
        <w:jc w:val="both"/>
        <w:rPr>
          <w:rFonts w:ascii="Times New Roman" w:eastAsia="Times New Roman" w:hAnsi="Times New Roman" w:cs="Times New Roman"/>
          <w:sz w:val="24"/>
          <w:szCs w:val="24"/>
          <w:lang w:val="en-US"/>
        </w:rPr>
      </w:pPr>
      <w:r w:rsidRPr="006C42BB">
        <w:rPr>
          <w:rFonts w:ascii="Times New Roman" w:eastAsia="Times New Roman" w:hAnsi="Times New Roman" w:cs="Times New Roman"/>
          <w:b/>
          <w:bCs/>
          <w:sz w:val="24"/>
          <w:szCs w:val="24"/>
        </w:rPr>
        <w:t xml:space="preserve">Study Area: </w:t>
      </w:r>
      <w:r w:rsidRPr="006C42BB">
        <w:rPr>
          <w:rFonts w:ascii="Times New Roman" w:eastAsia="Times New Roman" w:hAnsi="Times New Roman" w:cs="Times New Roman"/>
          <w:sz w:val="24"/>
          <w:szCs w:val="24"/>
        </w:rPr>
        <w:t>The research was conducted at Jabalpur, Madhya Pradesh, India (21°17′ to 26°52′ N latitude; 74°08′ to 82°49′ E longitude), characterized by a subtropical climate with distinct seasons: hot summers (April–June), monsoon rains (July–September), and cool winters (October–February). The region receives an average annual rainfall of ~1370 mm, with temperatures ranging from 10°C in winter to 48°C in summer</w:t>
      </w:r>
      <w:r w:rsidRPr="006C42BB">
        <w:rPr>
          <w:rFonts w:ascii="Times New Roman" w:eastAsia="Times New Roman" w:hAnsi="Times New Roman" w:cs="Times New Roman"/>
          <w:i/>
          <w:iCs/>
          <w:sz w:val="24"/>
          <w:szCs w:val="24"/>
        </w:rPr>
        <w:t xml:space="preserve">. </w:t>
      </w:r>
    </w:p>
    <w:p w14:paraId="5D9E34AC" w14:textId="5F749C78" w:rsidR="008C0CC8" w:rsidRPr="006C42BB" w:rsidRDefault="008C0CC8" w:rsidP="008C0CC8">
      <w:pPr>
        <w:jc w:val="both"/>
        <w:rPr>
          <w:rFonts w:ascii="Times New Roman" w:eastAsia="Times New Roman" w:hAnsi="Times New Roman" w:cs="Times New Roman"/>
          <w:sz w:val="24"/>
          <w:szCs w:val="24"/>
          <w:lang w:val="en-US" w:eastAsia="en-IN"/>
        </w:rPr>
      </w:pPr>
      <w:r w:rsidRPr="006C42BB">
        <w:rPr>
          <w:rFonts w:ascii="Times New Roman" w:eastAsia="Times New Roman" w:hAnsi="Times New Roman" w:cs="Times New Roman"/>
          <w:b/>
          <w:bCs/>
          <w:sz w:val="24"/>
          <w:szCs w:val="24"/>
        </w:rPr>
        <w:t xml:space="preserve">Seed Extraction and Processing: </w:t>
      </w:r>
      <w:r w:rsidR="00A7412E" w:rsidRPr="006C42BB">
        <w:rPr>
          <w:rFonts w:ascii="Times New Roman" w:eastAsia="Times New Roman" w:hAnsi="Times New Roman" w:cs="Times New Roman"/>
          <w:i/>
          <w:iCs/>
          <w:sz w:val="24"/>
          <w:szCs w:val="24"/>
        </w:rPr>
        <w:t>Cordia myxa</w:t>
      </w:r>
      <w:r w:rsidR="00A7412E" w:rsidRPr="006C42BB">
        <w:rPr>
          <w:rFonts w:ascii="Times New Roman" w:eastAsia="Times New Roman" w:hAnsi="Times New Roman" w:cs="Times New Roman"/>
          <w:sz w:val="24"/>
          <w:szCs w:val="24"/>
        </w:rPr>
        <w:t>, a perennial deciduous tree, fruits during summer and produces drupes ranging from small (2–8 g) to large (12–20 g). Fruits are harvested when fully ripe—identified by their color change</w:t>
      </w:r>
      <w:r w:rsidR="00801000">
        <w:rPr>
          <w:rFonts w:ascii="Times New Roman" w:eastAsia="Times New Roman" w:hAnsi="Times New Roman" w:cs="Times New Roman"/>
          <w:sz w:val="24"/>
          <w:szCs w:val="24"/>
        </w:rPr>
        <w:t xml:space="preserve"> to</w:t>
      </w:r>
      <w:r w:rsidR="00801000" w:rsidRPr="00801000">
        <w:rPr>
          <w:rFonts w:ascii="Times New Roman" w:eastAsia="Times New Roman" w:hAnsi="Times New Roman" w:cs="Times New Roman"/>
          <w:sz w:val="24"/>
          <w:szCs w:val="24"/>
        </w:rPr>
        <w:t xml:space="preserve"> light yellowish pink color, while the seeds attain a moderate yellow shade</w:t>
      </w:r>
      <w:r w:rsidR="00A7412E" w:rsidRPr="006C42BB">
        <w:rPr>
          <w:rFonts w:ascii="Times New Roman" w:eastAsia="Times New Roman" w:hAnsi="Times New Roman" w:cs="Times New Roman"/>
          <w:sz w:val="24"/>
          <w:szCs w:val="24"/>
        </w:rPr>
        <w:t xml:space="preserve">. </w:t>
      </w:r>
      <w:r w:rsidR="00D804B7" w:rsidRPr="00D804B7">
        <w:rPr>
          <w:rFonts w:ascii="Times New Roman" w:eastAsia="Times New Roman" w:hAnsi="Times New Roman" w:cs="Times New Roman"/>
          <w:sz w:val="24"/>
          <w:szCs w:val="24"/>
        </w:rPr>
        <w:t xml:space="preserve">Seeds of </w:t>
      </w:r>
      <w:r w:rsidR="00D804B7" w:rsidRPr="00C75C0F">
        <w:rPr>
          <w:rFonts w:ascii="Times New Roman" w:eastAsia="Times New Roman" w:hAnsi="Times New Roman" w:cs="Times New Roman"/>
          <w:i/>
          <w:iCs/>
          <w:sz w:val="24"/>
          <w:szCs w:val="24"/>
        </w:rPr>
        <w:t>Cordia myxa</w:t>
      </w:r>
      <w:r w:rsidR="00D804B7" w:rsidRPr="00D804B7">
        <w:rPr>
          <w:rFonts w:ascii="Times New Roman" w:eastAsia="Times New Roman" w:hAnsi="Times New Roman" w:cs="Times New Roman"/>
          <w:sz w:val="24"/>
          <w:szCs w:val="24"/>
        </w:rPr>
        <w:t xml:space="preserve"> are extracted by soaking ripe fruits in water for 48 hours to loosen the mucilage, followed by manual depulping and thorough washing. The cleaned seeds are then shade-dried and stored in cool, dry conditions for further use.</w:t>
      </w:r>
    </w:p>
    <w:p w14:paraId="19578E37" w14:textId="2D72DF32" w:rsidR="008C0CC8" w:rsidRPr="006C42BB" w:rsidRDefault="008C0CC8" w:rsidP="008C0CC8">
      <w:pPr>
        <w:jc w:val="both"/>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 xml:space="preserve">Seed Viability Testing: </w:t>
      </w:r>
      <w:r w:rsidRPr="006C42BB">
        <w:rPr>
          <w:rFonts w:ascii="Times New Roman" w:eastAsia="Times New Roman" w:hAnsi="Times New Roman" w:cs="Times New Roman"/>
          <w:sz w:val="24"/>
          <w:szCs w:val="24"/>
          <w:lang w:eastAsia="en-IN"/>
        </w:rPr>
        <w:t>Seed viability was assessed using the tetrazolium (TZ) test following ISTA</w:t>
      </w:r>
      <w:r w:rsidR="00B92F18">
        <w:rPr>
          <w:rFonts w:ascii="Times New Roman" w:eastAsia="Times New Roman" w:hAnsi="Times New Roman" w:cs="Times New Roman"/>
          <w:sz w:val="24"/>
          <w:szCs w:val="24"/>
          <w:lang w:eastAsia="en-IN"/>
        </w:rPr>
        <w:t xml:space="preserve"> (2023)</w:t>
      </w:r>
      <w:r w:rsidRPr="006C42BB">
        <w:rPr>
          <w:rFonts w:ascii="Times New Roman" w:eastAsia="Times New Roman" w:hAnsi="Times New Roman" w:cs="Times New Roman"/>
          <w:sz w:val="24"/>
          <w:szCs w:val="24"/>
          <w:lang w:eastAsia="en-IN"/>
        </w:rPr>
        <w:t xml:space="preserve"> protocols. Three concentrations of 2,3,5-triphenyl tetrazolium chloride solution (1.0%, 0.5%, and 0.25%) were </w:t>
      </w:r>
      <w:r w:rsidR="00BC7AE5">
        <w:rPr>
          <w:rFonts w:ascii="Times New Roman" w:eastAsia="Times New Roman" w:hAnsi="Times New Roman" w:cs="Times New Roman"/>
          <w:sz w:val="24"/>
          <w:szCs w:val="24"/>
          <w:lang w:eastAsia="en-IN"/>
        </w:rPr>
        <w:t>prepared</w:t>
      </w:r>
      <w:r w:rsidRPr="006C42BB">
        <w:rPr>
          <w:rFonts w:ascii="Times New Roman" w:eastAsia="Times New Roman" w:hAnsi="Times New Roman" w:cs="Times New Roman"/>
          <w:sz w:val="24"/>
          <w:szCs w:val="24"/>
          <w:lang w:eastAsia="en-IN"/>
        </w:rPr>
        <w:t xml:space="preserve">. A random sample of 100 seeds per replication was soaked in water for hydration, and </w:t>
      </w:r>
      <w:r w:rsidR="00BC7AE5">
        <w:rPr>
          <w:rFonts w:ascii="Times New Roman" w:eastAsia="Times New Roman" w:hAnsi="Times New Roman" w:cs="Times New Roman"/>
          <w:sz w:val="24"/>
          <w:szCs w:val="24"/>
          <w:lang w:eastAsia="en-IN"/>
        </w:rPr>
        <w:t xml:space="preserve">transverse cut were made </w:t>
      </w:r>
      <w:r w:rsidRPr="006C42BB">
        <w:rPr>
          <w:rFonts w:ascii="Times New Roman" w:eastAsia="Times New Roman" w:hAnsi="Times New Roman" w:cs="Times New Roman"/>
          <w:sz w:val="24"/>
          <w:szCs w:val="24"/>
          <w:lang w:eastAsia="en-IN"/>
        </w:rPr>
        <w:t>to facilitate TZ solution penetration. Seeds were incubated in the TZ solution in the dark for up to 24 hours, with observations recorded at 1, 2, 4, and 24 hours. Viability was expressed as the percentage of viable seeds.</w:t>
      </w:r>
    </w:p>
    <w:p w14:paraId="7FAE67FF" w14:textId="10239839" w:rsidR="00D71C62" w:rsidRPr="006C42BB" w:rsidRDefault="008C0CC8" w:rsidP="00A7412E">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 xml:space="preserve">Water Imbibition Test: </w:t>
      </w:r>
      <w:r w:rsidRPr="006C42BB">
        <w:rPr>
          <w:rFonts w:ascii="Times New Roman" w:eastAsia="Times New Roman" w:hAnsi="Times New Roman" w:cs="Times New Roman"/>
          <w:sz w:val="24"/>
          <w:szCs w:val="24"/>
          <w:lang w:eastAsia="en-IN"/>
        </w:rPr>
        <w:t>Fresh seeds were weighed and soaked in distilled water at room temperature</w:t>
      </w:r>
      <w:r w:rsidR="00AA392B">
        <w:rPr>
          <w:rFonts w:ascii="Times New Roman" w:eastAsia="Times New Roman" w:hAnsi="Times New Roman" w:cs="Times New Roman"/>
          <w:sz w:val="24"/>
          <w:szCs w:val="24"/>
          <w:lang w:eastAsia="en-IN"/>
        </w:rPr>
        <w:t xml:space="preserve"> for 30 hrs</w:t>
      </w:r>
      <w:r w:rsidRPr="006C42BB">
        <w:rPr>
          <w:rFonts w:ascii="Times New Roman" w:eastAsia="Times New Roman" w:hAnsi="Times New Roman" w:cs="Times New Roman"/>
          <w:sz w:val="24"/>
          <w:szCs w:val="24"/>
          <w:lang w:eastAsia="en-IN"/>
        </w:rPr>
        <w:t>. At specific intervals, seeds were removed, surface moisture was blotted off, and seeds were reweighed. The increase in fresh weight over time was used to analyse seed water uptake patterns.</w:t>
      </w:r>
    </w:p>
    <w:p w14:paraId="60D88EA8" w14:textId="77777777" w:rsidR="00D71C62" w:rsidRPr="006C42BB" w:rsidRDefault="00D71C62" w:rsidP="00D71C62">
      <w:pPr>
        <w:spacing w:before="100" w:beforeAutospacing="1" w:after="100" w:afterAutospacing="1"/>
        <w:jc w:val="both"/>
        <w:rPr>
          <w:rFonts w:ascii="Times New Roman" w:eastAsia="Times New Roman" w:hAnsi="Times New Roman" w:cs="Times New Roman"/>
          <w:sz w:val="24"/>
          <w:szCs w:val="24"/>
        </w:rPr>
      </w:pPr>
      <w:r w:rsidRPr="006C42BB">
        <w:rPr>
          <w:rFonts w:ascii="Times New Roman" w:eastAsia="Times New Roman" w:hAnsi="Times New Roman" w:cs="Times New Roman"/>
          <w:b/>
          <w:bCs/>
          <w:sz w:val="24"/>
          <w:szCs w:val="24"/>
        </w:rPr>
        <w:t>Pre-treatment Methods:</w:t>
      </w:r>
      <w:r w:rsidRPr="006C42BB">
        <w:rPr>
          <w:rFonts w:ascii="Times New Roman" w:eastAsia="Times New Roman" w:hAnsi="Times New Roman" w:cs="Times New Roman"/>
          <w:sz w:val="24"/>
          <w:szCs w:val="24"/>
        </w:rPr>
        <w:t xml:space="preserve"> Six different pre-treatment methods were applied to break physical dormancy in </w:t>
      </w:r>
      <w:r w:rsidRPr="006C42BB">
        <w:rPr>
          <w:rFonts w:ascii="Times New Roman" w:eastAsia="Times New Roman" w:hAnsi="Times New Roman" w:cs="Times New Roman"/>
          <w:i/>
          <w:iCs/>
          <w:sz w:val="24"/>
          <w:szCs w:val="24"/>
        </w:rPr>
        <w:t>Cordia myxa</w:t>
      </w:r>
      <w:r w:rsidRPr="006C42BB">
        <w:rPr>
          <w:rFonts w:ascii="Times New Roman" w:eastAsia="Times New Roman" w:hAnsi="Times New Roman" w:cs="Times New Roman"/>
          <w:sz w:val="24"/>
          <w:szCs w:val="24"/>
        </w:rPr>
        <w:t xml:space="preserve"> Linn.</w:t>
      </w:r>
      <w:r w:rsidRPr="006C42BB">
        <w:rPr>
          <w:rFonts w:ascii="Times New Roman" w:eastAsia="Times New Roman" w:hAnsi="Times New Roman" w:cs="Times New Roman"/>
          <w:b/>
          <w:bCs/>
          <w:sz w:val="24"/>
          <w:szCs w:val="24"/>
        </w:rPr>
        <w:t xml:space="preserve"> </w:t>
      </w:r>
      <w:r w:rsidRPr="006C42BB">
        <w:rPr>
          <w:rFonts w:ascii="Times New Roman" w:eastAsia="Times New Roman" w:hAnsi="Times New Roman" w:cs="Times New Roman"/>
          <w:sz w:val="24"/>
          <w:szCs w:val="24"/>
        </w:rPr>
        <w:t>seeds:</w:t>
      </w:r>
    </w:p>
    <w:p w14:paraId="6EE5A7F5" w14:textId="77777777" w:rsidR="00D71C62" w:rsidRPr="006C42BB" w:rsidRDefault="00D71C62" w:rsidP="00D71C62">
      <w:pPr>
        <w:numPr>
          <w:ilvl w:val="0"/>
          <w:numId w:val="7"/>
        </w:numPr>
        <w:spacing w:before="100" w:beforeAutospacing="1" w:after="100" w:afterAutospacing="1"/>
        <w:jc w:val="both"/>
        <w:rPr>
          <w:rFonts w:ascii="Times New Roman" w:eastAsia="Times New Roman" w:hAnsi="Times New Roman" w:cs="Times New Roman"/>
          <w:sz w:val="24"/>
          <w:szCs w:val="24"/>
        </w:rPr>
      </w:pPr>
      <w:r w:rsidRPr="006C42BB">
        <w:rPr>
          <w:rFonts w:ascii="Times New Roman" w:eastAsia="Times New Roman" w:hAnsi="Times New Roman" w:cs="Times New Roman"/>
          <w:sz w:val="24"/>
          <w:szCs w:val="24"/>
        </w:rPr>
        <w:t>Control (no treatment)</w:t>
      </w:r>
    </w:p>
    <w:p w14:paraId="7B69558A" w14:textId="77777777" w:rsidR="00D71C62" w:rsidRPr="006C42BB" w:rsidRDefault="00D71C62" w:rsidP="00D71C62">
      <w:pPr>
        <w:numPr>
          <w:ilvl w:val="0"/>
          <w:numId w:val="7"/>
        </w:numPr>
        <w:spacing w:before="100" w:beforeAutospacing="1" w:after="100" w:afterAutospacing="1"/>
        <w:jc w:val="both"/>
        <w:rPr>
          <w:rFonts w:ascii="Times New Roman" w:eastAsia="Times New Roman" w:hAnsi="Times New Roman" w:cs="Times New Roman"/>
          <w:sz w:val="24"/>
          <w:szCs w:val="24"/>
        </w:rPr>
      </w:pPr>
      <w:r w:rsidRPr="006C42BB">
        <w:rPr>
          <w:rFonts w:ascii="Times New Roman" w:eastAsia="Times New Roman" w:hAnsi="Times New Roman" w:cs="Times New Roman"/>
          <w:sz w:val="24"/>
          <w:szCs w:val="24"/>
        </w:rPr>
        <w:t>Soaking in distilled water at room temperature for 48 hours</w:t>
      </w:r>
    </w:p>
    <w:p w14:paraId="130392EF" w14:textId="77777777" w:rsidR="00D71C62" w:rsidRPr="006C42BB" w:rsidRDefault="00D71C62" w:rsidP="00D71C62">
      <w:pPr>
        <w:numPr>
          <w:ilvl w:val="0"/>
          <w:numId w:val="7"/>
        </w:numPr>
        <w:spacing w:before="100" w:beforeAutospacing="1" w:after="100" w:afterAutospacing="1"/>
        <w:jc w:val="both"/>
        <w:rPr>
          <w:rFonts w:ascii="Times New Roman" w:eastAsia="Times New Roman" w:hAnsi="Times New Roman" w:cs="Times New Roman"/>
          <w:sz w:val="24"/>
          <w:szCs w:val="24"/>
        </w:rPr>
      </w:pPr>
      <w:r w:rsidRPr="006C42BB">
        <w:rPr>
          <w:rFonts w:ascii="Times New Roman" w:eastAsia="Times New Roman" w:hAnsi="Times New Roman" w:cs="Times New Roman"/>
          <w:sz w:val="24"/>
          <w:szCs w:val="24"/>
        </w:rPr>
        <w:t>Acid scarification using concentrated sulfuric acid (H₂SO₄) for 10 minutes, followed by water soaking for 48 hours</w:t>
      </w:r>
    </w:p>
    <w:p w14:paraId="0B28A1C9" w14:textId="5FB8192B" w:rsidR="00D71C62" w:rsidRPr="006C42BB" w:rsidRDefault="00D71C62" w:rsidP="00D71C62">
      <w:pPr>
        <w:numPr>
          <w:ilvl w:val="0"/>
          <w:numId w:val="7"/>
        </w:numPr>
        <w:spacing w:before="100" w:beforeAutospacing="1" w:after="100" w:afterAutospacing="1"/>
        <w:jc w:val="both"/>
        <w:rPr>
          <w:rFonts w:ascii="Times New Roman" w:eastAsia="Times New Roman" w:hAnsi="Times New Roman" w:cs="Times New Roman"/>
          <w:sz w:val="24"/>
          <w:szCs w:val="24"/>
        </w:rPr>
      </w:pPr>
      <w:r w:rsidRPr="006C42BB">
        <w:rPr>
          <w:rFonts w:ascii="Times New Roman" w:eastAsia="Times New Roman" w:hAnsi="Times New Roman" w:cs="Times New Roman"/>
          <w:sz w:val="24"/>
          <w:szCs w:val="24"/>
          <w:lang w:eastAsia="en-IN"/>
        </w:rPr>
        <w:lastRenderedPageBreak/>
        <w:t>Hot water (80°C) for 5 minutes</w:t>
      </w:r>
      <w:r w:rsidRPr="006C42BB">
        <w:rPr>
          <w:rFonts w:ascii="Times New Roman" w:eastAsia="Times New Roman" w:hAnsi="Times New Roman" w:cs="Times New Roman"/>
          <w:sz w:val="24"/>
          <w:szCs w:val="24"/>
        </w:rPr>
        <w:t xml:space="preserve"> followed by soaking in water for 48 hours</w:t>
      </w:r>
    </w:p>
    <w:p w14:paraId="30D35005" w14:textId="01C8DC95" w:rsidR="00D71C62" w:rsidRPr="006C42BB" w:rsidRDefault="00D71C62" w:rsidP="00D71C62">
      <w:pPr>
        <w:numPr>
          <w:ilvl w:val="0"/>
          <w:numId w:val="7"/>
        </w:numPr>
        <w:spacing w:before="100" w:beforeAutospacing="1" w:after="100" w:afterAutospacing="1"/>
        <w:jc w:val="both"/>
        <w:rPr>
          <w:rFonts w:ascii="Times New Roman" w:eastAsia="Times New Roman" w:hAnsi="Times New Roman" w:cs="Times New Roman"/>
          <w:sz w:val="24"/>
          <w:szCs w:val="24"/>
        </w:rPr>
      </w:pPr>
      <w:r w:rsidRPr="006C42BB">
        <w:rPr>
          <w:rFonts w:ascii="Times New Roman" w:eastAsia="Times New Roman" w:hAnsi="Times New Roman" w:cs="Times New Roman"/>
          <w:sz w:val="24"/>
          <w:szCs w:val="24"/>
          <w:lang w:eastAsia="en-IN"/>
        </w:rPr>
        <w:t xml:space="preserve">Hot water (80°C) for 5 minutes </w:t>
      </w:r>
      <w:r w:rsidRPr="006C42BB">
        <w:rPr>
          <w:rFonts w:ascii="Times New Roman" w:eastAsia="Times New Roman" w:hAnsi="Times New Roman" w:cs="Times New Roman"/>
          <w:sz w:val="24"/>
          <w:szCs w:val="24"/>
        </w:rPr>
        <w:t>followed by soaking in 500 ppm GA₃ solution for 48 hours</w:t>
      </w:r>
    </w:p>
    <w:p w14:paraId="35B1ABE7" w14:textId="77777777" w:rsidR="00D71C62" w:rsidRPr="006C42BB" w:rsidRDefault="00D71C62" w:rsidP="00D71C62">
      <w:pPr>
        <w:numPr>
          <w:ilvl w:val="0"/>
          <w:numId w:val="7"/>
        </w:numPr>
        <w:spacing w:before="100" w:beforeAutospacing="1" w:after="100" w:afterAutospacing="1"/>
        <w:jc w:val="both"/>
        <w:rPr>
          <w:rFonts w:ascii="Times New Roman" w:eastAsia="Times New Roman" w:hAnsi="Times New Roman" w:cs="Times New Roman"/>
          <w:sz w:val="24"/>
          <w:szCs w:val="24"/>
        </w:rPr>
      </w:pPr>
      <w:r w:rsidRPr="006C42BB">
        <w:rPr>
          <w:rFonts w:ascii="Times New Roman" w:eastAsia="Times New Roman" w:hAnsi="Times New Roman" w:cs="Times New Roman"/>
          <w:sz w:val="24"/>
          <w:szCs w:val="24"/>
        </w:rPr>
        <w:t>Acid scarification with H₂SO₄ for 10 minutes, followed by soaking in 500 ppm GA₃ solution for 48 hours</w:t>
      </w:r>
    </w:p>
    <w:p w14:paraId="7C1C9FD2" w14:textId="46030A13" w:rsidR="00D71C62" w:rsidRPr="006C42BB" w:rsidRDefault="00986DC9" w:rsidP="00D71C62">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Prior to</w:t>
      </w:r>
      <w:r w:rsidR="00D71C62" w:rsidRPr="006C42BB">
        <w:rPr>
          <w:rFonts w:ascii="Times New Roman" w:eastAsia="Times New Roman" w:hAnsi="Times New Roman" w:cs="Times New Roman"/>
          <w:sz w:val="24"/>
          <w:szCs w:val="24"/>
        </w:rPr>
        <w:t xml:space="preserve"> each treatment, </w:t>
      </w:r>
      <w:r>
        <w:rPr>
          <w:rFonts w:ascii="Times New Roman" w:hAnsi="Times New Roman" w:cs="Times New Roman"/>
          <w:sz w:val="24"/>
          <w:szCs w:val="24"/>
        </w:rPr>
        <w:t>s</w:t>
      </w:r>
      <w:r w:rsidR="00D71C62" w:rsidRPr="006C42BB">
        <w:rPr>
          <w:rFonts w:ascii="Times New Roman" w:hAnsi="Times New Roman" w:cs="Times New Roman"/>
          <w:sz w:val="24"/>
          <w:szCs w:val="24"/>
        </w:rPr>
        <w:t>eeds were first surf</w:t>
      </w:r>
      <w:r w:rsidR="00D71C62" w:rsidRPr="00F60F32">
        <w:rPr>
          <w:rFonts w:ascii="Times New Roman" w:hAnsi="Times New Roman" w:cs="Times New Roman"/>
          <w:sz w:val="24"/>
          <w:szCs w:val="24"/>
        </w:rPr>
        <w:t xml:space="preserve">ace-sterilized by immersion in a 5% </w:t>
      </w:r>
      <w:proofErr w:type="spellStart"/>
      <w:r w:rsidR="00D71C62" w:rsidRPr="00F60F32">
        <w:rPr>
          <w:rFonts w:ascii="Times New Roman" w:hAnsi="Times New Roman" w:cs="Times New Roman"/>
          <w:sz w:val="24"/>
          <w:szCs w:val="24"/>
        </w:rPr>
        <w:t>Captan</w:t>
      </w:r>
      <w:proofErr w:type="spellEnd"/>
      <w:r w:rsidR="00D71C62" w:rsidRPr="00F60F32">
        <w:rPr>
          <w:rFonts w:ascii="Times New Roman" w:hAnsi="Times New Roman" w:cs="Times New Roman"/>
          <w:sz w:val="24"/>
          <w:szCs w:val="24"/>
        </w:rPr>
        <w:t xml:space="preserve"> solution for </w:t>
      </w:r>
      <w:r>
        <w:rPr>
          <w:rFonts w:ascii="Times New Roman" w:hAnsi="Times New Roman" w:cs="Times New Roman"/>
          <w:sz w:val="24"/>
          <w:szCs w:val="24"/>
        </w:rPr>
        <w:t>5</w:t>
      </w:r>
      <w:r w:rsidR="00D71C62" w:rsidRPr="00F60F32">
        <w:rPr>
          <w:rFonts w:ascii="Times New Roman" w:hAnsi="Times New Roman" w:cs="Times New Roman"/>
          <w:sz w:val="24"/>
          <w:szCs w:val="24"/>
        </w:rPr>
        <w:t xml:space="preserve"> minutes. Following sterilization, three replicates of 25 seeds each were placed in </w:t>
      </w:r>
      <w:r w:rsidR="00D71C62" w:rsidRPr="00F60F32">
        <w:rPr>
          <w:rFonts w:ascii="Times New Roman" w:eastAsia="Times New Roman" w:hAnsi="Times New Roman" w:cs="Times New Roman"/>
          <w:sz w:val="24"/>
          <w:szCs w:val="24"/>
        </w:rPr>
        <w:t xml:space="preserve">sterilized sand trays </w:t>
      </w:r>
      <w:r w:rsidR="00D71C62" w:rsidRPr="00F60F32">
        <w:rPr>
          <w:rFonts w:ascii="Times New Roman" w:hAnsi="Times New Roman" w:cs="Times New Roman"/>
          <w:sz w:val="24"/>
          <w:szCs w:val="24"/>
        </w:rPr>
        <w:t>lined with moistened filter paper using deionized water. The trays were incubated in a seed germinator at 25°C under a 16/8 h light/dark cycle (Silva et al., 200</w:t>
      </w:r>
      <w:r w:rsidR="00C87169">
        <w:rPr>
          <w:rFonts w:ascii="Times New Roman" w:hAnsi="Times New Roman" w:cs="Times New Roman"/>
          <w:sz w:val="24"/>
          <w:szCs w:val="24"/>
        </w:rPr>
        <w:t>4</w:t>
      </w:r>
      <w:r w:rsidR="00D71C62" w:rsidRPr="00F60F32">
        <w:rPr>
          <w:rFonts w:ascii="Times New Roman" w:hAnsi="Times New Roman" w:cs="Times New Roman"/>
          <w:sz w:val="24"/>
          <w:szCs w:val="24"/>
        </w:rPr>
        <w:t xml:space="preserve">). Germination was monitored daily for four weeks, with radicle protrusion of 1cm as the germination criterion. </w:t>
      </w:r>
      <w:r w:rsidR="00D71C62" w:rsidRPr="00F60F32">
        <w:rPr>
          <w:rFonts w:ascii="Times New Roman" w:eastAsia="Times New Roman" w:hAnsi="Times New Roman" w:cs="Times New Roman"/>
          <w:sz w:val="24"/>
          <w:szCs w:val="24"/>
        </w:rPr>
        <w:t xml:space="preserve">The following </w:t>
      </w:r>
      <w:r w:rsidR="00D71C62" w:rsidRPr="00F60F32">
        <w:rPr>
          <w:rFonts w:ascii="Times New Roman" w:hAnsi="Times New Roman" w:cs="Times New Roman"/>
          <w:sz w:val="24"/>
          <w:szCs w:val="24"/>
        </w:rPr>
        <w:t>germination-related parameters were determined:</w:t>
      </w:r>
    </w:p>
    <w:p w14:paraId="712C327F" w14:textId="7DA65A5C" w:rsidR="00D71C62" w:rsidRPr="006C42BB" w:rsidRDefault="00D71C62" w:rsidP="00D71C62">
      <w:pPr>
        <w:pStyle w:val="ListParagraph"/>
        <w:numPr>
          <w:ilvl w:val="0"/>
          <w:numId w:val="8"/>
        </w:numPr>
        <w:spacing w:after="160" w:line="240" w:lineRule="auto"/>
        <w:rPr>
          <w:rFonts w:ascii="Times New Roman" w:hAnsi="Times New Roman" w:cs="Times New Roman"/>
          <w:sz w:val="24"/>
          <w:szCs w:val="24"/>
        </w:rPr>
      </w:pPr>
      <w:r w:rsidRPr="006C42BB">
        <w:rPr>
          <w:rFonts w:ascii="Times New Roman" w:hAnsi="Times New Roman" w:cs="Times New Roman"/>
          <w:sz w:val="24"/>
          <w:szCs w:val="24"/>
        </w:rPr>
        <w:t xml:space="preserve">Final Germination Percentage (FGP) (Scott </w:t>
      </w:r>
      <w:r w:rsidRPr="006C42BB">
        <w:rPr>
          <w:rFonts w:ascii="Times New Roman" w:hAnsi="Times New Roman" w:cs="Times New Roman"/>
          <w:iCs/>
          <w:sz w:val="24"/>
          <w:szCs w:val="24"/>
        </w:rPr>
        <w:t>et al</w:t>
      </w:r>
      <w:r w:rsidRPr="006C42BB">
        <w:rPr>
          <w:rFonts w:ascii="Times New Roman" w:hAnsi="Times New Roman" w:cs="Times New Roman"/>
          <w:i/>
          <w:sz w:val="24"/>
          <w:szCs w:val="24"/>
        </w:rPr>
        <w:t>.,</w:t>
      </w:r>
      <w:r w:rsidRPr="006C42BB">
        <w:rPr>
          <w:rFonts w:ascii="Times New Roman" w:hAnsi="Times New Roman" w:cs="Times New Roman"/>
          <w:sz w:val="24"/>
          <w:szCs w:val="24"/>
        </w:rPr>
        <w:t>1984)</w:t>
      </w:r>
    </w:p>
    <w:p w14:paraId="479A320A" w14:textId="77777777" w:rsidR="00D71C62" w:rsidRPr="006C42BB" w:rsidRDefault="00D71C62" w:rsidP="00D71C62">
      <w:pPr>
        <w:pStyle w:val="ListParagraph"/>
        <w:spacing w:line="240" w:lineRule="auto"/>
        <w:ind w:left="1440"/>
        <w:rPr>
          <w:rFonts w:ascii="Times New Roman" w:hAnsi="Times New Roman" w:cs="Times New Roman"/>
          <w:sz w:val="24"/>
          <w:szCs w:val="24"/>
        </w:rPr>
      </w:pPr>
      <w:r w:rsidRPr="006C42BB">
        <w:rPr>
          <w:rFonts w:ascii="Times New Roman" w:hAnsi="Times New Roman" w:cs="Times New Roman"/>
          <w:sz w:val="24"/>
          <w:szCs w:val="24"/>
        </w:rPr>
        <w:t>FGP= G / T × 100</w:t>
      </w:r>
    </w:p>
    <w:p w14:paraId="017E85E0" w14:textId="77777777" w:rsidR="00D71C62" w:rsidRPr="006C42BB" w:rsidRDefault="00D71C62" w:rsidP="00D71C62">
      <w:pPr>
        <w:pStyle w:val="ListParagraph"/>
        <w:spacing w:line="240" w:lineRule="auto"/>
        <w:ind w:left="1440"/>
        <w:rPr>
          <w:rFonts w:ascii="Times New Roman" w:hAnsi="Times New Roman" w:cs="Times New Roman"/>
          <w:sz w:val="24"/>
          <w:szCs w:val="24"/>
        </w:rPr>
      </w:pPr>
      <w:r w:rsidRPr="006C42BB">
        <w:rPr>
          <w:rFonts w:ascii="Times New Roman" w:hAnsi="Times New Roman" w:cs="Times New Roman"/>
          <w:sz w:val="24"/>
          <w:szCs w:val="24"/>
        </w:rPr>
        <w:t>Where G = No. of germinated seeds and T = No. of seeds sown</w:t>
      </w:r>
    </w:p>
    <w:p w14:paraId="6DE2867D" w14:textId="77777777" w:rsidR="00D71C62" w:rsidRPr="006C42BB" w:rsidRDefault="00D71C62" w:rsidP="00D71C62">
      <w:pPr>
        <w:pStyle w:val="ListParagraph"/>
        <w:numPr>
          <w:ilvl w:val="0"/>
          <w:numId w:val="8"/>
        </w:numPr>
        <w:spacing w:after="160" w:line="240" w:lineRule="auto"/>
        <w:jc w:val="both"/>
        <w:rPr>
          <w:rFonts w:ascii="Times New Roman" w:hAnsi="Times New Roman" w:cs="Times New Roman"/>
          <w:sz w:val="24"/>
          <w:szCs w:val="24"/>
        </w:rPr>
      </w:pPr>
      <w:r w:rsidRPr="006C42BB">
        <w:rPr>
          <w:rFonts w:ascii="Times New Roman" w:hAnsi="Times New Roman" w:cs="Times New Roman"/>
          <w:sz w:val="24"/>
          <w:szCs w:val="24"/>
        </w:rPr>
        <w:t>Mean germination time (MGT) (Orchard, 1977)</w:t>
      </w:r>
    </w:p>
    <w:p w14:paraId="264E5862" w14:textId="77777777" w:rsidR="00D71C62" w:rsidRPr="006C42BB" w:rsidRDefault="00D71C62" w:rsidP="00D71C62">
      <w:pPr>
        <w:pStyle w:val="ListParagraph"/>
        <w:spacing w:line="240" w:lineRule="auto"/>
        <w:ind w:left="1440"/>
        <w:rPr>
          <w:rFonts w:ascii="Times New Roman" w:hAnsi="Times New Roman" w:cs="Times New Roman"/>
          <w:sz w:val="24"/>
          <w:szCs w:val="24"/>
        </w:rPr>
      </w:pPr>
      <w:r w:rsidRPr="006C42BB">
        <w:rPr>
          <w:rFonts w:ascii="Times New Roman" w:hAnsi="Times New Roman" w:cs="Times New Roman"/>
          <w:sz w:val="24"/>
          <w:szCs w:val="24"/>
        </w:rPr>
        <w:t>MGT = Gt × Dt / G</w:t>
      </w:r>
    </w:p>
    <w:p w14:paraId="26A16711" w14:textId="77777777" w:rsidR="00D71C62" w:rsidRPr="006C42BB" w:rsidRDefault="00D71C62" w:rsidP="00D71C62">
      <w:pPr>
        <w:pStyle w:val="ListParagraph"/>
        <w:spacing w:line="240" w:lineRule="auto"/>
        <w:ind w:left="1440"/>
        <w:rPr>
          <w:rFonts w:ascii="Times New Roman" w:hAnsi="Times New Roman" w:cs="Times New Roman"/>
          <w:sz w:val="24"/>
          <w:szCs w:val="24"/>
        </w:rPr>
      </w:pPr>
      <w:r w:rsidRPr="006C42BB">
        <w:rPr>
          <w:rFonts w:ascii="Times New Roman" w:hAnsi="Times New Roman" w:cs="Times New Roman"/>
          <w:sz w:val="24"/>
          <w:szCs w:val="24"/>
        </w:rPr>
        <w:t>Where Gt = No. of germinated seeds at day-t, Dt = No. of days at “t” from the day of sowing and G = Total no. of germinated seeds.</w:t>
      </w:r>
    </w:p>
    <w:p w14:paraId="18FBCB3F" w14:textId="77777777" w:rsidR="00D71C62" w:rsidRPr="006C42BB" w:rsidRDefault="00D71C62" w:rsidP="00D71C62">
      <w:pPr>
        <w:numPr>
          <w:ilvl w:val="0"/>
          <w:numId w:val="8"/>
        </w:numPr>
        <w:spacing w:before="100" w:beforeAutospacing="1" w:after="100" w:afterAutospacing="1"/>
        <w:jc w:val="both"/>
        <w:rPr>
          <w:rFonts w:ascii="Times New Roman" w:eastAsia="Times New Roman" w:hAnsi="Times New Roman" w:cs="Times New Roman"/>
          <w:sz w:val="24"/>
          <w:szCs w:val="24"/>
        </w:rPr>
      </w:pPr>
      <w:r w:rsidRPr="006C42BB">
        <w:rPr>
          <w:rFonts w:ascii="Times New Roman" w:eastAsia="Times New Roman" w:hAnsi="Times New Roman" w:cs="Times New Roman"/>
          <w:sz w:val="24"/>
          <w:szCs w:val="24"/>
        </w:rPr>
        <w:t>Root Length (cm): Measured as the average length of 10 primary roots.</w:t>
      </w:r>
    </w:p>
    <w:p w14:paraId="0EB10216" w14:textId="77777777" w:rsidR="00D71C62" w:rsidRPr="006C42BB" w:rsidRDefault="00D71C62" w:rsidP="00D71C62">
      <w:pPr>
        <w:numPr>
          <w:ilvl w:val="0"/>
          <w:numId w:val="8"/>
        </w:numPr>
        <w:spacing w:before="100" w:beforeAutospacing="1" w:after="100" w:afterAutospacing="1"/>
        <w:jc w:val="both"/>
        <w:rPr>
          <w:rFonts w:ascii="Times New Roman" w:eastAsia="Times New Roman" w:hAnsi="Times New Roman" w:cs="Times New Roman"/>
          <w:sz w:val="24"/>
          <w:szCs w:val="24"/>
        </w:rPr>
      </w:pPr>
      <w:r w:rsidRPr="006C42BB">
        <w:rPr>
          <w:rFonts w:ascii="Times New Roman" w:eastAsia="Times New Roman" w:hAnsi="Times New Roman" w:cs="Times New Roman"/>
          <w:sz w:val="24"/>
          <w:szCs w:val="24"/>
        </w:rPr>
        <w:t>Shoot Length (cm): Measured as the average height of the 10-seedling shoot.</w:t>
      </w:r>
    </w:p>
    <w:p w14:paraId="37A9C36F" w14:textId="2EA4F7EA" w:rsidR="00D71C62" w:rsidRPr="006C42BB" w:rsidRDefault="00D71C62" w:rsidP="00D71C62">
      <w:pPr>
        <w:pStyle w:val="ListParagraph"/>
        <w:numPr>
          <w:ilvl w:val="0"/>
          <w:numId w:val="8"/>
        </w:numPr>
        <w:spacing w:after="160" w:line="240" w:lineRule="auto"/>
        <w:jc w:val="both"/>
        <w:rPr>
          <w:rFonts w:ascii="Times New Roman" w:hAnsi="Times New Roman" w:cs="Times New Roman"/>
          <w:sz w:val="24"/>
          <w:szCs w:val="24"/>
        </w:rPr>
      </w:pPr>
      <w:r w:rsidRPr="006C42BB">
        <w:rPr>
          <w:rFonts w:ascii="Times New Roman" w:hAnsi="Times New Roman" w:cs="Times New Roman"/>
          <w:sz w:val="24"/>
          <w:szCs w:val="24"/>
        </w:rPr>
        <w:t>Seedling vigour index</w:t>
      </w:r>
      <w:r w:rsidR="00616CED">
        <w:rPr>
          <w:rFonts w:ascii="Times New Roman" w:hAnsi="Times New Roman" w:cs="Times New Roman"/>
          <w:sz w:val="24"/>
          <w:szCs w:val="24"/>
        </w:rPr>
        <w:t xml:space="preserve"> </w:t>
      </w:r>
      <w:r w:rsidRPr="006C42BB">
        <w:rPr>
          <w:rFonts w:ascii="Times New Roman" w:hAnsi="Times New Roman" w:cs="Times New Roman"/>
          <w:sz w:val="24"/>
          <w:szCs w:val="24"/>
        </w:rPr>
        <w:t>I</w:t>
      </w:r>
      <w:r w:rsidR="00616CED">
        <w:rPr>
          <w:rFonts w:ascii="Times New Roman" w:hAnsi="Times New Roman" w:cs="Times New Roman"/>
          <w:sz w:val="24"/>
          <w:szCs w:val="24"/>
        </w:rPr>
        <w:t xml:space="preserve"> </w:t>
      </w:r>
      <w:r w:rsidRPr="006C42BB">
        <w:rPr>
          <w:rFonts w:ascii="Times New Roman" w:hAnsi="Times New Roman" w:cs="Times New Roman"/>
          <w:sz w:val="24"/>
          <w:szCs w:val="24"/>
        </w:rPr>
        <w:t>= G% X Seedling length (cm) (Abdul-Baki, and Anderson 1973).</w:t>
      </w:r>
    </w:p>
    <w:p w14:paraId="06BB5112" w14:textId="77777777" w:rsidR="00D71C62" w:rsidRPr="006C42BB" w:rsidRDefault="00D71C62" w:rsidP="00D71C62">
      <w:pPr>
        <w:pStyle w:val="Default"/>
        <w:spacing w:line="276" w:lineRule="auto"/>
        <w:jc w:val="both"/>
        <w:rPr>
          <w:b/>
          <w:bCs/>
          <w:color w:val="auto"/>
        </w:rPr>
      </w:pPr>
      <w:r w:rsidRPr="006C42BB">
        <w:rPr>
          <w:b/>
          <w:bCs/>
          <w:color w:val="auto"/>
        </w:rPr>
        <w:t xml:space="preserve">Seed Desiccation trails: </w:t>
      </w:r>
      <w:r w:rsidRPr="006C42BB">
        <w:rPr>
          <w:color w:val="auto"/>
        </w:rPr>
        <w:t>Seeds were dried using silica gel at a 1:1 weight ratio (silica gel to seeds). At regular intervals, the seeds were removed to measure their moisture content. Once the moisture content dropped below 5%, the seeds were vacuum-packed for storage trials, with a portion set aside for seed germination assessments.</w:t>
      </w:r>
    </w:p>
    <w:p w14:paraId="5B21C78D" w14:textId="77777777" w:rsidR="00D71C62" w:rsidRPr="006C42BB" w:rsidRDefault="00D71C62" w:rsidP="00D71C62">
      <w:pPr>
        <w:pStyle w:val="Default"/>
        <w:spacing w:line="276" w:lineRule="auto"/>
        <w:jc w:val="both"/>
        <w:rPr>
          <w:b/>
          <w:bCs/>
          <w:color w:val="auto"/>
        </w:rPr>
      </w:pPr>
    </w:p>
    <w:p w14:paraId="39F145EA" w14:textId="228F768F" w:rsidR="00D71C62" w:rsidRPr="00B92F18" w:rsidRDefault="00D71C62" w:rsidP="00D71C62">
      <w:pPr>
        <w:pStyle w:val="Default"/>
        <w:spacing w:line="276" w:lineRule="auto"/>
        <w:jc w:val="both"/>
        <w:rPr>
          <w:color w:val="auto"/>
        </w:rPr>
      </w:pPr>
      <w:r w:rsidRPr="006C42BB">
        <w:rPr>
          <w:b/>
          <w:bCs/>
          <w:color w:val="auto"/>
        </w:rPr>
        <w:t xml:space="preserve">Moisture Content Determination: </w:t>
      </w:r>
      <w:r w:rsidRPr="006C42BB">
        <w:rPr>
          <w:color w:val="auto"/>
        </w:rPr>
        <w:t xml:space="preserve">Seed moisture content was determined using the oven-drying method at </w:t>
      </w:r>
      <w:r w:rsidRPr="00801000">
        <w:rPr>
          <w:color w:val="auto"/>
        </w:rPr>
        <w:t>103 ±2°C for 17 ±1 hours,</w:t>
      </w:r>
      <w:r w:rsidRPr="006C42BB">
        <w:rPr>
          <w:color w:val="auto"/>
        </w:rPr>
        <w:t xml:space="preserve"> following the International Seed Testing Association (ISTA, 20</w:t>
      </w:r>
      <w:r w:rsidR="00B92F18">
        <w:rPr>
          <w:color w:val="auto"/>
        </w:rPr>
        <w:t>23</w:t>
      </w:r>
      <w:r w:rsidRPr="006C42BB">
        <w:rPr>
          <w:color w:val="auto"/>
        </w:rPr>
        <w:t>) guidelines. Four replicates were used, and the calculation was performed on a fresh weight basis. Moisture content was expressed as a percentage.</w:t>
      </w:r>
    </w:p>
    <w:p w14:paraId="7813E5BD" w14:textId="20B4FAF5" w:rsidR="00D71C62" w:rsidRPr="006C42BB" w:rsidRDefault="00D71C62" w:rsidP="00D71C62">
      <w:pPr>
        <w:spacing w:before="100" w:beforeAutospacing="1" w:after="100" w:afterAutospacing="1"/>
        <w:jc w:val="both"/>
        <w:rPr>
          <w:rFonts w:ascii="Times New Roman" w:eastAsia="Times New Roman" w:hAnsi="Times New Roman" w:cs="Times New Roman"/>
          <w:sz w:val="24"/>
          <w:szCs w:val="24"/>
        </w:rPr>
      </w:pPr>
      <w:r w:rsidRPr="006C42BB">
        <w:rPr>
          <w:rFonts w:ascii="Times New Roman" w:eastAsia="Times New Roman" w:hAnsi="Times New Roman" w:cs="Times New Roman"/>
          <w:b/>
          <w:bCs/>
          <w:sz w:val="24"/>
          <w:szCs w:val="24"/>
        </w:rPr>
        <w:t>Seed Storage Behaviour:</w:t>
      </w:r>
      <w:r w:rsidRPr="006C42BB">
        <w:rPr>
          <w:rFonts w:ascii="Times New Roman" w:eastAsia="Times New Roman" w:hAnsi="Times New Roman" w:cs="Times New Roman"/>
          <w:sz w:val="24"/>
          <w:szCs w:val="24"/>
        </w:rPr>
        <w:t xml:space="preserve"> The seed storage behavior was evaluated based on the simplified screening scheme for seed storage developed by Hong and Ellis (1996). Seeds were packaged in vacuum-sealed, three-layered </w:t>
      </w:r>
      <w:r w:rsidR="00A7412E" w:rsidRPr="006C42BB">
        <w:rPr>
          <w:rFonts w:ascii="Times New Roman" w:eastAsia="Times New Roman" w:hAnsi="Times New Roman" w:cs="Times New Roman"/>
          <w:sz w:val="24"/>
          <w:szCs w:val="24"/>
        </w:rPr>
        <w:t>aluminium</w:t>
      </w:r>
      <w:r w:rsidRPr="006C42BB">
        <w:rPr>
          <w:rFonts w:ascii="Times New Roman" w:eastAsia="Times New Roman" w:hAnsi="Times New Roman" w:cs="Times New Roman"/>
          <w:sz w:val="24"/>
          <w:szCs w:val="24"/>
        </w:rPr>
        <w:t xml:space="preserve"> foil pouches and stored at -20°C in a cold storage facility. A subset of seeds was also stored at +8°C for comparison. The moisture content of seeds was measured using the oven-drying method as per ISTA</w:t>
      </w:r>
      <w:r w:rsidR="00B92F18">
        <w:rPr>
          <w:rFonts w:ascii="Times New Roman" w:eastAsia="Times New Roman" w:hAnsi="Times New Roman" w:cs="Times New Roman"/>
          <w:sz w:val="24"/>
          <w:szCs w:val="24"/>
        </w:rPr>
        <w:t xml:space="preserve"> (2023) </w:t>
      </w:r>
      <w:r w:rsidRPr="006C42BB">
        <w:rPr>
          <w:rFonts w:ascii="Times New Roman" w:eastAsia="Times New Roman" w:hAnsi="Times New Roman" w:cs="Times New Roman"/>
          <w:sz w:val="24"/>
          <w:szCs w:val="24"/>
        </w:rPr>
        <w:t>guidelines.</w:t>
      </w:r>
    </w:p>
    <w:p w14:paraId="2E618BA8" w14:textId="5F8FF9AE" w:rsidR="00D71C62" w:rsidRPr="006C42BB" w:rsidRDefault="00D71C62" w:rsidP="00D71C62">
      <w:pPr>
        <w:spacing w:before="100" w:beforeAutospacing="1" w:after="100" w:afterAutospacing="1"/>
        <w:jc w:val="both"/>
        <w:rPr>
          <w:rFonts w:ascii="Times New Roman" w:eastAsia="Times New Roman" w:hAnsi="Times New Roman" w:cs="Times New Roman"/>
          <w:sz w:val="24"/>
          <w:szCs w:val="24"/>
        </w:rPr>
      </w:pPr>
      <w:r w:rsidRPr="006C42BB">
        <w:rPr>
          <w:rFonts w:ascii="Times New Roman" w:eastAsia="Times New Roman" w:hAnsi="Times New Roman" w:cs="Times New Roman"/>
          <w:b/>
          <w:bCs/>
          <w:sz w:val="24"/>
          <w:szCs w:val="24"/>
        </w:rPr>
        <w:t>Statistical Analysis:</w:t>
      </w:r>
      <w:r w:rsidRPr="006C42BB">
        <w:rPr>
          <w:rFonts w:ascii="Times New Roman" w:eastAsia="Times New Roman" w:hAnsi="Times New Roman" w:cs="Times New Roman"/>
          <w:sz w:val="24"/>
          <w:szCs w:val="24"/>
        </w:rPr>
        <w:t xml:space="preserve"> Data were </w:t>
      </w:r>
      <w:r w:rsidR="00A7412E" w:rsidRPr="006C42BB">
        <w:rPr>
          <w:rFonts w:ascii="Times New Roman" w:eastAsia="Times New Roman" w:hAnsi="Times New Roman" w:cs="Times New Roman"/>
          <w:sz w:val="24"/>
          <w:szCs w:val="24"/>
        </w:rPr>
        <w:t>analysed</w:t>
      </w:r>
      <w:r w:rsidRPr="006C42BB">
        <w:rPr>
          <w:rFonts w:ascii="Times New Roman" w:eastAsia="Times New Roman" w:hAnsi="Times New Roman" w:cs="Times New Roman"/>
          <w:sz w:val="24"/>
          <w:szCs w:val="24"/>
        </w:rPr>
        <w:t xml:space="preserve"> using ANOVA to determine significant differences among treatments, with the critical difference (C.D.) set at a 5% significance level. Standard error (SEm) and coefficient of variation (C.V.) were calculated to assess variability in the data.</w:t>
      </w:r>
    </w:p>
    <w:p w14:paraId="6F377994" w14:textId="017F177E" w:rsidR="00D5562F" w:rsidRPr="006C42BB" w:rsidRDefault="00D5562F" w:rsidP="00D5562F">
      <w:pPr>
        <w:spacing w:before="100" w:beforeAutospacing="1" w:after="100" w:afterAutospacing="1"/>
        <w:jc w:val="both"/>
        <w:rPr>
          <w:rFonts w:ascii="Times New Roman" w:eastAsia="Times New Roman" w:hAnsi="Times New Roman" w:cs="Times New Roman"/>
          <w:b/>
          <w:bCs/>
          <w:sz w:val="24"/>
          <w:szCs w:val="24"/>
          <w:lang w:eastAsia="en-IN"/>
        </w:rPr>
      </w:pPr>
      <w:bookmarkStart w:id="0" w:name="_GoBack"/>
      <w:r w:rsidRPr="006C42BB">
        <w:rPr>
          <w:rFonts w:ascii="Times New Roman" w:eastAsia="Times New Roman" w:hAnsi="Times New Roman" w:cs="Times New Roman"/>
          <w:b/>
          <w:bCs/>
          <w:sz w:val="24"/>
          <w:szCs w:val="24"/>
          <w:lang w:eastAsia="en-IN"/>
        </w:rPr>
        <w:lastRenderedPageBreak/>
        <w:t>Result</w:t>
      </w:r>
      <w:bookmarkEnd w:id="0"/>
      <w:r w:rsidR="00D62CCC">
        <w:rPr>
          <w:rFonts w:ascii="Times New Roman" w:eastAsia="Times New Roman" w:hAnsi="Times New Roman" w:cs="Times New Roman"/>
          <w:b/>
          <w:bCs/>
          <w:sz w:val="24"/>
          <w:szCs w:val="24"/>
          <w:lang w:eastAsia="en-IN"/>
        </w:rPr>
        <w:t>s</w:t>
      </w:r>
    </w:p>
    <w:p w14:paraId="092EFDF4" w14:textId="77050F29" w:rsidR="00A7412E" w:rsidRPr="006C42BB" w:rsidRDefault="00A7412E" w:rsidP="00D5562F">
      <w:pPr>
        <w:spacing w:before="100" w:beforeAutospacing="1" w:after="100" w:afterAutospacing="1"/>
        <w:jc w:val="both"/>
        <w:rPr>
          <w:rFonts w:ascii="Times New Roman" w:eastAsia="Times New Roman" w:hAnsi="Times New Roman" w:cs="Times New Roman"/>
          <w:sz w:val="24"/>
          <w:szCs w:val="24"/>
          <w:lang w:eastAsia="en-IN"/>
        </w:rPr>
      </w:pPr>
      <w:r w:rsidRPr="006C42BB">
        <w:rPr>
          <w:rFonts w:ascii="Times New Roman" w:eastAsia="Times New Roman" w:hAnsi="Times New Roman" w:cs="Times New Roman"/>
          <w:b/>
          <w:bCs/>
          <w:sz w:val="24"/>
          <w:szCs w:val="24"/>
          <w:lang w:eastAsia="en-IN"/>
        </w:rPr>
        <w:t>Seed Carpology:</w:t>
      </w:r>
      <w:r w:rsidRPr="006C42BB">
        <w:rPr>
          <w:rFonts w:ascii="Times New Roman" w:hAnsi="Times New Roman" w:cs="Times New Roman"/>
          <w:sz w:val="24"/>
          <w:szCs w:val="24"/>
        </w:rPr>
        <w:t xml:space="preserve"> </w:t>
      </w:r>
      <w:r w:rsidRPr="006C42BB">
        <w:rPr>
          <w:rFonts w:ascii="Times New Roman" w:eastAsia="Times New Roman" w:hAnsi="Times New Roman" w:cs="Times New Roman"/>
          <w:sz w:val="24"/>
          <w:szCs w:val="24"/>
          <w:lang w:eastAsia="en-IN"/>
        </w:rPr>
        <w:t xml:space="preserve">The fruit of </w:t>
      </w:r>
      <w:r w:rsidRPr="006C42BB">
        <w:rPr>
          <w:rFonts w:ascii="Times New Roman" w:eastAsia="Times New Roman" w:hAnsi="Times New Roman" w:cs="Times New Roman"/>
          <w:i/>
          <w:iCs/>
          <w:sz w:val="24"/>
          <w:szCs w:val="24"/>
          <w:lang w:eastAsia="en-IN"/>
        </w:rPr>
        <w:t>Cordia myxa</w:t>
      </w:r>
      <w:r w:rsidRPr="006C42BB">
        <w:rPr>
          <w:rFonts w:ascii="Times New Roman" w:eastAsia="Times New Roman" w:hAnsi="Times New Roman" w:cs="Times New Roman"/>
          <w:sz w:val="24"/>
          <w:szCs w:val="24"/>
          <w:lang w:eastAsia="en-IN"/>
        </w:rPr>
        <w:t xml:space="preserve"> is a globular to ovoid drupe</w:t>
      </w:r>
      <w:r w:rsidR="0052208B" w:rsidRPr="006C42BB">
        <w:rPr>
          <w:rFonts w:ascii="Times New Roman" w:eastAsia="Times New Roman" w:hAnsi="Times New Roman" w:cs="Times New Roman"/>
          <w:sz w:val="24"/>
          <w:szCs w:val="24"/>
          <w:lang w:eastAsia="en-IN"/>
        </w:rPr>
        <w:t xml:space="preserve"> (Fig 1)</w:t>
      </w:r>
      <w:r w:rsidRPr="006C42BB">
        <w:rPr>
          <w:rFonts w:ascii="Times New Roman" w:eastAsia="Times New Roman" w:hAnsi="Times New Roman" w:cs="Times New Roman"/>
          <w:sz w:val="24"/>
          <w:szCs w:val="24"/>
          <w:lang w:eastAsia="en-IN"/>
        </w:rPr>
        <w:t xml:space="preserve"> measuring approximately 2–3.5 cm in length. It begins as a pale brown or pink fruit and darkens as it ripens. The pulp is transparent, mucilaginous, and sweet in taste. The seed, or pit, is broadly ellipsoid to globose in shape, deeply wrinkled, and typically contains one to two seeds. Each kilogram contains approximately 3,500 to 4,500 seeds. The seed length ranges from 1.083 to 1.229 cm, while the width varies between 0.9632 and 1.014 cm.</w:t>
      </w:r>
    </w:p>
    <w:p w14:paraId="36E49606" w14:textId="6C49B828" w:rsidR="00A7412E" w:rsidRPr="006C42BB" w:rsidRDefault="00927013" w:rsidP="00A7412E">
      <w:pPr>
        <w:pStyle w:val="ListParagraph"/>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BDBA2EA" wp14:editId="14CF4F23">
            <wp:extent cx="3288898" cy="3957955"/>
            <wp:effectExtent l="0" t="0" r="6985" b="0"/>
            <wp:docPr id="213020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4308" cy="3964466"/>
                    </a:xfrm>
                    <a:prstGeom prst="rect">
                      <a:avLst/>
                    </a:prstGeom>
                    <a:noFill/>
                  </pic:spPr>
                </pic:pic>
              </a:graphicData>
            </a:graphic>
          </wp:inline>
        </w:drawing>
      </w:r>
    </w:p>
    <w:p w14:paraId="7CD29D2C" w14:textId="746EF456" w:rsidR="00A7412E" w:rsidRPr="006C42BB" w:rsidRDefault="00A7412E" w:rsidP="00A7412E">
      <w:pPr>
        <w:pStyle w:val="ListParagraph"/>
        <w:spacing w:before="100" w:beforeAutospacing="1" w:after="100" w:afterAutospacing="1"/>
        <w:jc w:val="center"/>
        <w:rPr>
          <w:rFonts w:ascii="Times New Roman" w:hAnsi="Times New Roman" w:cs="Times New Roman"/>
          <w:b/>
          <w:bCs/>
          <w:sz w:val="24"/>
          <w:szCs w:val="24"/>
          <w:lang w:val="en-IN"/>
        </w:rPr>
      </w:pPr>
      <w:r w:rsidRPr="006C42BB">
        <w:rPr>
          <w:rFonts w:ascii="Times New Roman" w:hAnsi="Times New Roman" w:cs="Times New Roman"/>
          <w:b/>
          <w:bCs/>
          <w:sz w:val="24"/>
          <w:szCs w:val="24"/>
          <w:lang w:val="en-IN"/>
        </w:rPr>
        <w:t xml:space="preserve">Fig 1. </w:t>
      </w:r>
      <w:r w:rsidRPr="006C42BB">
        <w:rPr>
          <w:rFonts w:ascii="Times New Roman" w:hAnsi="Times New Roman" w:cs="Times New Roman"/>
          <w:sz w:val="24"/>
          <w:szCs w:val="24"/>
          <w:lang w:val="en-IN"/>
        </w:rPr>
        <w:t xml:space="preserve">Fruit and seed carpology of </w:t>
      </w:r>
      <w:r w:rsidRPr="006C42BB">
        <w:rPr>
          <w:rFonts w:ascii="Times New Roman" w:hAnsi="Times New Roman" w:cs="Times New Roman"/>
          <w:i/>
          <w:iCs/>
          <w:sz w:val="24"/>
          <w:szCs w:val="24"/>
        </w:rPr>
        <w:t xml:space="preserve">Cordia myxa </w:t>
      </w:r>
      <w:r w:rsidRPr="006C42BB">
        <w:rPr>
          <w:rFonts w:ascii="Times New Roman" w:hAnsi="Times New Roman" w:cs="Times New Roman"/>
          <w:sz w:val="24"/>
          <w:szCs w:val="24"/>
          <w:lang w:val="en-IN"/>
        </w:rPr>
        <w:t>(A) Follicles (B) Seed with silky hairs (C)Microscopic Seed Image (Scale 2900.00 µm)</w:t>
      </w:r>
    </w:p>
    <w:p w14:paraId="3E4022E5" w14:textId="2607250C" w:rsidR="0073534F" w:rsidRPr="006C42BB" w:rsidRDefault="0073534F" w:rsidP="00D71C62">
      <w:pPr>
        <w:pStyle w:val="Normal1"/>
        <w:spacing w:after="0"/>
        <w:jc w:val="both"/>
        <w:rPr>
          <w:rFonts w:ascii="Times New Roman" w:hAnsi="Times New Roman" w:cs="Times New Roman"/>
          <w:sz w:val="24"/>
          <w:szCs w:val="24"/>
        </w:rPr>
      </w:pPr>
      <w:r w:rsidRPr="006C42BB">
        <w:rPr>
          <w:rFonts w:ascii="Times New Roman" w:eastAsiaTheme="minorHAnsi" w:hAnsi="Times New Roman" w:cs="Times New Roman"/>
          <w:b/>
          <w:bCs/>
          <w:sz w:val="24"/>
          <w:szCs w:val="24"/>
          <w:lang w:val="en-IN"/>
        </w:rPr>
        <w:t>Seed viability</w:t>
      </w:r>
      <w:r w:rsidR="00D71C62" w:rsidRPr="006C42BB">
        <w:rPr>
          <w:rFonts w:ascii="Times New Roman" w:eastAsiaTheme="minorHAnsi" w:hAnsi="Times New Roman" w:cs="Times New Roman"/>
          <w:b/>
          <w:bCs/>
          <w:sz w:val="24"/>
          <w:szCs w:val="24"/>
          <w:lang w:val="en-IN"/>
        </w:rPr>
        <w:t xml:space="preserve">: </w:t>
      </w:r>
      <w:r w:rsidR="00D62CCC" w:rsidRPr="00D62CCC">
        <w:rPr>
          <w:rFonts w:ascii="Times New Roman" w:hAnsi="Times New Roman" w:cs="Times New Roman"/>
          <w:sz w:val="24"/>
          <w:szCs w:val="24"/>
          <w:lang w:val="en-IN"/>
        </w:rPr>
        <w:t xml:space="preserve">Table 1 illustrates the impact of different tetrazolium (TZ) concentrations (1%, 0.5%, and 0.25%) and staining durations (1, 2, 4, and 24 hours) on the viability percentage of </w:t>
      </w:r>
      <w:r w:rsidR="00D62CCC" w:rsidRPr="00D62CCC">
        <w:rPr>
          <w:rFonts w:ascii="Times New Roman" w:hAnsi="Times New Roman" w:cs="Times New Roman"/>
          <w:i/>
          <w:iCs/>
          <w:sz w:val="24"/>
          <w:szCs w:val="24"/>
          <w:lang w:val="en-IN"/>
        </w:rPr>
        <w:t>Cordia myxa</w:t>
      </w:r>
      <w:r w:rsidR="00D62CCC" w:rsidRPr="00D62CCC">
        <w:rPr>
          <w:rFonts w:ascii="Times New Roman" w:hAnsi="Times New Roman" w:cs="Times New Roman"/>
          <w:sz w:val="24"/>
          <w:szCs w:val="24"/>
          <w:lang w:val="en-IN"/>
        </w:rPr>
        <w:t xml:space="preserve"> seeds. The results indicate that staining duration significantly influences viability, with no staining observed at 1 hour across all concentrations, moderate viability at 2 hours (around 54–60%), and a marked increase at 4 and 24 hours, reaching up to 98.33%. While TZ concentration showed some variation, particularly with 0.25% performing slightly lower than 0.5% and 1%, statistical analysis revealed that staining duration was the most critical factor (F = 5.45, p &lt; 0.001), whereas TZ concentration (F = 231.55) and the interaction between concentration and duration (F = 2.05) were not significant. Table 2 further supports these findings through topographic staining patterns: viable seeds exhibited dark staining in the embryonal axis and cotyledons, partially viable seeds showed light staining, and non-viable </w:t>
      </w:r>
      <w:r w:rsidR="00D62CCC" w:rsidRPr="00D62CCC">
        <w:rPr>
          <w:rFonts w:ascii="Times New Roman" w:hAnsi="Times New Roman" w:cs="Times New Roman"/>
          <w:sz w:val="24"/>
          <w:szCs w:val="24"/>
          <w:lang w:val="en-IN"/>
        </w:rPr>
        <w:lastRenderedPageBreak/>
        <w:t>seeds were completely unstained. These visual staining patterns offer a reliable diagnostic tool to differentiate between viable and non-viable seeds.</w:t>
      </w:r>
    </w:p>
    <w:p w14:paraId="3D87760C" w14:textId="77777777" w:rsidR="00D71C62" w:rsidRPr="006C42BB" w:rsidRDefault="00D71C62" w:rsidP="00D71C62">
      <w:pPr>
        <w:pStyle w:val="Normal1"/>
        <w:spacing w:after="0"/>
        <w:jc w:val="both"/>
        <w:rPr>
          <w:rFonts w:ascii="Times New Roman" w:eastAsiaTheme="minorHAnsi" w:hAnsi="Times New Roman" w:cs="Times New Roman"/>
          <w:b/>
          <w:bCs/>
          <w:sz w:val="24"/>
          <w:szCs w:val="24"/>
          <w:lang w:val="en-IN"/>
        </w:rPr>
      </w:pPr>
    </w:p>
    <w:p w14:paraId="10C86F72" w14:textId="2150BD04" w:rsidR="0073534F" w:rsidRPr="006C42BB" w:rsidRDefault="00D71C62" w:rsidP="00A7412E">
      <w:pPr>
        <w:pStyle w:val="Normal1"/>
        <w:spacing w:after="0"/>
        <w:jc w:val="center"/>
        <w:rPr>
          <w:rFonts w:ascii="Times New Roman" w:eastAsiaTheme="minorHAnsi" w:hAnsi="Times New Roman" w:cs="Times New Roman"/>
          <w:sz w:val="24"/>
          <w:szCs w:val="24"/>
          <w:lang w:val="en-IN"/>
        </w:rPr>
      </w:pPr>
      <w:r w:rsidRPr="006C42BB">
        <w:rPr>
          <w:rFonts w:ascii="Times New Roman" w:hAnsi="Times New Roman" w:cs="Times New Roman"/>
          <w:b/>
          <w:bCs/>
          <w:sz w:val="24"/>
          <w:szCs w:val="24"/>
        </w:rPr>
        <w:t>Table</w:t>
      </w:r>
      <w:r w:rsidR="00A7412E" w:rsidRPr="006C42BB">
        <w:rPr>
          <w:rFonts w:ascii="Times New Roman" w:hAnsi="Times New Roman" w:cs="Times New Roman"/>
          <w:b/>
          <w:bCs/>
          <w:sz w:val="24"/>
          <w:szCs w:val="24"/>
        </w:rPr>
        <w:t xml:space="preserve"> 1.</w:t>
      </w:r>
      <w:r w:rsidR="0073534F" w:rsidRPr="006C42BB">
        <w:rPr>
          <w:rFonts w:ascii="Times New Roman" w:hAnsi="Times New Roman" w:cs="Times New Roman"/>
          <w:sz w:val="24"/>
          <w:szCs w:val="24"/>
        </w:rPr>
        <w:t xml:space="preserve"> Impact of TZ Concentration and Staining Duration on Viability Percentage of </w:t>
      </w:r>
      <w:r w:rsidR="0073534F" w:rsidRPr="006C42BB">
        <w:rPr>
          <w:rFonts w:ascii="Times New Roman" w:eastAsia="Times New Roman" w:hAnsi="Times New Roman" w:cs="Times New Roman"/>
          <w:i/>
          <w:sz w:val="24"/>
          <w:szCs w:val="24"/>
        </w:rPr>
        <w:t>Cordia myxa</w:t>
      </w:r>
    </w:p>
    <w:p w14:paraId="74682E05" w14:textId="77777777" w:rsidR="0073534F" w:rsidRPr="006C42BB" w:rsidRDefault="0073534F" w:rsidP="00EE155D">
      <w:pPr>
        <w:pStyle w:val="Normal1"/>
        <w:spacing w:after="0"/>
        <w:jc w:val="both"/>
        <w:rPr>
          <w:rFonts w:ascii="Times New Roman" w:eastAsia="Times New Roman" w:hAnsi="Times New Roman" w:cs="Times New Roman"/>
          <w:i/>
          <w:sz w:val="24"/>
          <w:szCs w:val="24"/>
        </w:rPr>
      </w:pPr>
    </w:p>
    <w:tbl>
      <w:tblPr>
        <w:tblStyle w:val="ListTable2-Accent11"/>
        <w:tblW w:w="5000" w:type="pct"/>
        <w:tblLook w:val="04A0" w:firstRow="1" w:lastRow="0" w:firstColumn="1" w:lastColumn="0" w:noHBand="0" w:noVBand="1"/>
      </w:tblPr>
      <w:tblGrid>
        <w:gridCol w:w="2458"/>
        <w:gridCol w:w="1020"/>
        <w:gridCol w:w="1690"/>
        <w:gridCol w:w="1717"/>
        <w:gridCol w:w="2141"/>
      </w:tblGrid>
      <w:tr w:rsidR="006C42BB" w:rsidRPr="006C42BB" w14:paraId="1F176723" w14:textId="77777777" w:rsidTr="00A7412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2" w:type="pct"/>
            <w:vMerge w:val="restart"/>
            <w:hideMark/>
          </w:tcPr>
          <w:p w14:paraId="5BBA6C34" w14:textId="77777777" w:rsidR="008D2AE7" w:rsidRPr="006C42BB" w:rsidRDefault="008D2AE7" w:rsidP="008D2AE7">
            <w:pPr>
              <w:jc w:val="center"/>
              <w:rPr>
                <w:rFonts w:ascii="Times New Roman" w:eastAsia="Times New Roman" w:hAnsi="Times New Roman" w:cs="Times New Roman"/>
                <w:b w:val="0"/>
                <w:bCs w:val="0"/>
                <w:sz w:val="24"/>
                <w:szCs w:val="24"/>
                <w:lang w:eastAsia="en-IN"/>
              </w:rPr>
            </w:pPr>
            <w:r w:rsidRPr="006C42BB">
              <w:rPr>
                <w:rFonts w:ascii="Times New Roman" w:eastAsia="Times New Roman" w:hAnsi="Times New Roman" w:cs="Times New Roman"/>
                <w:sz w:val="24"/>
                <w:szCs w:val="24"/>
                <w:lang w:eastAsia="en-IN"/>
              </w:rPr>
              <w:t>Staining duration (hrs.)</w:t>
            </w:r>
          </w:p>
        </w:tc>
        <w:tc>
          <w:tcPr>
            <w:tcW w:w="2452" w:type="pct"/>
            <w:gridSpan w:val="3"/>
            <w:hideMark/>
          </w:tcPr>
          <w:p w14:paraId="19D5E06F" w14:textId="77777777" w:rsidR="008D2AE7" w:rsidRPr="006C42BB" w:rsidRDefault="008D2AE7" w:rsidP="008D2AE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en-IN"/>
              </w:rPr>
            </w:pPr>
            <w:r w:rsidRPr="006C42BB">
              <w:rPr>
                <w:rFonts w:ascii="Times New Roman" w:eastAsia="Times New Roman" w:hAnsi="Times New Roman" w:cs="Times New Roman"/>
                <w:sz w:val="24"/>
                <w:szCs w:val="24"/>
                <w:lang w:eastAsia="en-IN"/>
              </w:rPr>
              <w:t>TZ Conc. (%)</w:t>
            </w:r>
          </w:p>
        </w:tc>
        <w:tc>
          <w:tcPr>
            <w:tcW w:w="1186" w:type="pct"/>
            <w:noWrap/>
            <w:hideMark/>
          </w:tcPr>
          <w:p w14:paraId="3D0FB820" w14:textId="77777777" w:rsidR="008D2AE7" w:rsidRPr="006C42BB" w:rsidRDefault="008D2AE7" w:rsidP="008D2AE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 </w:t>
            </w:r>
          </w:p>
        </w:tc>
      </w:tr>
      <w:tr w:rsidR="006C42BB" w:rsidRPr="006C42BB" w14:paraId="07BD2AB6" w14:textId="77777777" w:rsidTr="00A741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2" w:type="pct"/>
            <w:vMerge/>
            <w:hideMark/>
          </w:tcPr>
          <w:p w14:paraId="5FDC7671" w14:textId="77777777" w:rsidR="008D2AE7" w:rsidRPr="006C42BB" w:rsidRDefault="008D2AE7" w:rsidP="008D2AE7">
            <w:pPr>
              <w:rPr>
                <w:rFonts w:ascii="Times New Roman" w:eastAsia="Times New Roman" w:hAnsi="Times New Roman" w:cs="Times New Roman"/>
                <w:b w:val="0"/>
                <w:bCs w:val="0"/>
                <w:sz w:val="24"/>
                <w:szCs w:val="24"/>
                <w:lang w:eastAsia="en-IN"/>
              </w:rPr>
            </w:pPr>
          </w:p>
        </w:tc>
        <w:tc>
          <w:tcPr>
            <w:tcW w:w="565" w:type="pct"/>
            <w:hideMark/>
          </w:tcPr>
          <w:p w14:paraId="27B8A6E4"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1</w:t>
            </w:r>
          </w:p>
        </w:tc>
        <w:tc>
          <w:tcPr>
            <w:tcW w:w="936" w:type="pct"/>
            <w:hideMark/>
          </w:tcPr>
          <w:p w14:paraId="71E74A7F"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0.5</w:t>
            </w:r>
          </w:p>
        </w:tc>
        <w:tc>
          <w:tcPr>
            <w:tcW w:w="951" w:type="pct"/>
            <w:hideMark/>
          </w:tcPr>
          <w:p w14:paraId="5121E9E4"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0.25</w:t>
            </w:r>
          </w:p>
        </w:tc>
        <w:tc>
          <w:tcPr>
            <w:tcW w:w="1186" w:type="pct"/>
            <w:hideMark/>
          </w:tcPr>
          <w:p w14:paraId="1D169E21"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 xml:space="preserve">Mean </w:t>
            </w:r>
          </w:p>
        </w:tc>
      </w:tr>
      <w:tr w:rsidR="006C42BB" w:rsidRPr="006C42BB" w14:paraId="4118E192" w14:textId="77777777" w:rsidTr="00A7412E">
        <w:trPr>
          <w:trHeight w:val="20"/>
        </w:trPr>
        <w:tc>
          <w:tcPr>
            <w:cnfStyle w:val="001000000000" w:firstRow="0" w:lastRow="0" w:firstColumn="1" w:lastColumn="0" w:oddVBand="0" w:evenVBand="0" w:oddHBand="0" w:evenHBand="0" w:firstRowFirstColumn="0" w:firstRowLastColumn="0" w:lastRowFirstColumn="0" w:lastRowLastColumn="0"/>
            <w:tcW w:w="1362" w:type="pct"/>
            <w:hideMark/>
          </w:tcPr>
          <w:p w14:paraId="7F1C4FF8" w14:textId="77777777" w:rsidR="008D2AE7" w:rsidRPr="006C42BB" w:rsidRDefault="008D2AE7" w:rsidP="008D2AE7">
            <w:pPr>
              <w:jc w:val="center"/>
              <w:rPr>
                <w:rFonts w:ascii="Times New Roman" w:eastAsia="Times New Roman" w:hAnsi="Times New Roman" w:cs="Times New Roman"/>
                <w:b w:val="0"/>
                <w:bCs w:val="0"/>
                <w:sz w:val="24"/>
                <w:szCs w:val="24"/>
                <w:lang w:eastAsia="en-IN"/>
              </w:rPr>
            </w:pPr>
            <w:r w:rsidRPr="006C42BB">
              <w:rPr>
                <w:rFonts w:ascii="Times New Roman" w:eastAsia="Times New Roman" w:hAnsi="Times New Roman" w:cs="Times New Roman"/>
                <w:sz w:val="24"/>
                <w:szCs w:val="24"/>
                <w:lang w:eastAsia="en-IN"/>
              </w:rPr>
              <w:t>1</w:t>
            </w:r>
          </w:p>
        </w:tc>
        <w:tc>
          <w:tcPr>
            <w:tcW w:w="565" w:type="pct"/>
            <w:hideMark/>
          </w:tcPr>
          <w:p w14:paraId="7C34E4B6" w14:textId="77777777"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0.00</w:t>
            </w:r>
          </w:p>
        </w:tc>
        <w:tc>
          <w:tcPr>
            <w:tcW w:w="936" w:type="pct"/>
            <w:hideMark/>
          </w:tcPr>
          <w:p w14:paraId="143711A1" w14:textId="77777777"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0.00</w:t>
            </w:r>
          </w:p>
        </w:tc>
        <w:tc>
          <w:tcPr>
            <w:tcW w:w="951" w:type="pct"/>
            <w:hideMark/>
          </w:tcPr>
          <w:p w14:paraId="1FAC1C8A" w14:textId="77777777"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0.00</w:t>
            </w:r>
          </w:p>
        </w:tc>
        <w:tc>
          <w:tcPr>
            <w:tcW w:w="1186" w:type="pct"/>
            <w:hideMark/>
          </w:tcPr>
          <w:p w14:paraId="28CFA5D0" w14:textId="5EEF8995"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0.00</w:t>
            </w:r>
            <w:r w:rsidR="00700F5C">
              <w:rPr>
                <w:rFonts w:ascii="Times New Roman" w:eastAsia="Times New Roman" w:hAnsi="Times New Roman" w:cs="Times New Roman"/>
                <w:sz w:val="24"/>
                <w:szCs w:val="24"/>
                <w:lang w:eastAsia="en-IN"/>
              </w:rPr>
              <w:t>d</w:t>
            </w:r>
          </w:p>
        </w:tc>
      </w:tr>
      <w:tr w:rsidR="006C42BB" w:rsidRPr="006C42BB" w14:paraId="3006B755" w14:textId="77777777" w:rsidTr="00A741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2" w:type="pct"/>
            <w:hideMark/>
          </w:tcPr>
          <w:p w14:paraId="7292830A" w14:textId="77777777" w:rsidR="008D2AE7" w:rsidRPr="006C42BB" w:rsidRDefault="008D2AE7" w:rsidP="008D2AE7">
            <w:pPr>
              <w:jc w:val="center"/>
              <w:rPr>
                <w:rFonts w:ascii="Times New Roman" w:eastAsia="Times New Roman" w:hAnsi="Times New Roman" w:cs="Times New Roman"/>
                <w:b w:val="0"/>
                <w:bCs w:val="0"/>
                <w:sz w:val="24"/>
                <w:szCs w:val="24"/>
                <w:lang w:eastAsia="en-IN"/>
              </w:rPr>
            </w:pPr>
            <w:r w:rsidRPr="006C42BB">
              <w:rPr>
                <w:rFonts w:ascii="Times New Roman" w:eastAsia="Times New Roman" w:hAnsi="Times New Roman" w:cs="Times New Roman"/>
                <w:sz w:val="24"/>
                <w:szCs w:val="24"/>
                <w:lang w:eastAsia="en-IN"/>
              </w:rPr>
              <w:t>2</w:t>
            </w:r>
          </w:p>
        </w:tc>
        <w:tc>
          <w:tcPr>
            <w:tcW w:w="565" w:type="pct"/>
            <w:hideMark/>
          </w:tcPr>
          <w:p w14:paraId="79BA1123"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60.00</w:t>
            </w:r>
          </w:p>
        </w:tc>
        <w:tc>
          <w:tcPr>
            <w:tcW w:w="936" w:type="pct"/>
            <w:hideMark/>
          </w:tcPr>
          <w:p w14:paraId="72306B51"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54.33</w:t>
            </w:r>
          </w:p>
        </w:tc>
        <w:tc>
          <w:tcPr>
            <w:tcW w:w="951" w:type="pct"/>
            <w:hideMark/>
          </w:tcPr>
          <w:p w14:paraId="4691E927"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55.67</w:t>
            </w:r>
          </w:p>
        </w:tc>
        <w:tc>
          <w:tcPr>
            <w:tcW w:w="1186" w:type="pct"/>
            <w:hideMark/>
          </w:tcPr>
          <w:p w14:paraId="66AA5834" w14:textId="48903289"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56.67</w:t>
            </w:r>
            <w:r w:rsidR="00700F5C">
              <w:rPr>
                <w:rFonts w:ascii="Times New Roman" w:eastAsia="Times New Roman" w:hAnsi="Times New Roman" w:cs="Times New Roman"/>
                <w:sz w:val="24"/>
                <w:szCs w:val="24"/>
                <w:lang w:eastAsia="en-IN"/>
              </w:rPr>
              <w:t>c</w:t>
            </w:r>
          </w:p>
        </w:tc>
      </w:tr>
      <w:tr w:rsidR="006C42BB" w:rsidRPr="006C42BB" w14:paraId="4907071A" w14:textId="77777777" w:rsidTr="00A7412E">
        <w:trPr>
          <w:trHeight w:val="20"/>
        </w:trPr>
        <w:tc>
          <w:tcPr>
            <w:cnfStyle w:val="001000000000" w:firstRow="0" w:lastRow="0" w:firstColumn="1" w:lastColumn="0" w:oddVBand="0" w:evenVBand="0" w:oddHBand="0" w:evenHBand="0" w:firstRowFirstColumn="0" w:firstRowLastColumn="0" w:lastRowFirstColumn="0" w:lastRowLastColumn="0"/>
            <w:tcW w:w="1362" w:type="pct"/>
            <w:hideMark/>
          </w:tcPr>
          <w:p w14:paraId="0CB3F5B3" w14:textId="77777777" w:rsidR="008D2AE7" w:rsidRPr="006C42BB" w:rsidRDefault="008D2AE7" w:rsidP="008D2AE7">
            <w:pPr>
              <w:jc w:val="center"/>
              <w:rPr>
                <w:rFonts w:ascii="Times New Roman" w:eastAsia="Times New Roman" w:hAnsi="Times New Roman" w:cs="Times New Roman"/>
                <w:b w:val="0"/>
                <w:bCs w:val="0"/>
                <w:sz w:val="24"/>
                <w:szCs w:val="24"/>
                <w:lang w:eastAsia="en-IN"/>
              </w:rPr>
            </w:pPr>
            <w:r w:rsidRPr="006C42BB">
              <w:rPr>
                <w:rFonts w:ascii="Times New Roman" w:eastAsia="Times New Roman" w:hAnsi="Times New Roman" w:cs="Times New Roman"/>
                <w:sz w:val="24"/>
                <w:szCs w:val="24"/>
                <w:lang w:eastAsia="en-IN"/>
              </w:rPr>
              <w:t>4</w:t>
            </w:r>
          </w:p>
        </w:tc>
        <w:tc>
          <w:tcPr>
            <w:tcW w:w="565" w:type="pct"/>
            <w:hideMark/>
          </w:tcPr>
          <w:p w14:paraId="6EE581E2" w14:textId="77777777"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90.00</w:t>
            </w:r>
          </w:p>
        </w:tc>
        <w:tc>
          <w:tcPr>
            <w:tcW w:w="936" w:type="pct"/>
            <w:hideMark/>
          </w:tcPr>
          <w:p w14:paraId="75B49B3B" w14:textId="77777777"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98.33</w:t>
            </w:r>
          </w:p>
        </w:tc>
        <w:tc>
          <w:tcPr>
            <w:tcW w:w="951" w:type="pct"/>
            <w:hideMark/>
          </w:tcPr>
          <w:p w14:paraId="2CB42870" w14:textId="77777777"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71.67</w:t>
            </w:r>
          </w:p>
        </w:tc>
        <w:tc>
          <w:tcPr>
            <w:tcW w:w="1186" w:type="pct"/>
            <w:hideMark/>
          </w:tcPr>
          <w:p w14:paraId="168009DC" w14:textId="6026B8E6"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86.67</w:t>
            </w:r>
            <w:r w:rsidR="00700F5C">
              <w:rPr>
                <w:rFonts w:ascii="Times New Roman" w:eastAsia="Times New Roman" w:hAnsi="Times New Roman" w:cs="Times New Roman"/>
                <w:sz w:val="24"/>
                <w:szCs w:val="24"/>
                <w:lang w:eastAsia="en-IN"/>
              </w:rPr>
              <w:t>b</w:t>
            </w:r>
          </w:p>
        </w:tc>
      </w:tr>
      <w:tr w:rsidR="006C42BB" w:rsidRPr="006C42BB" w14:paraId="4B60E802" w14:textId="77777777" w:rsidTr="00A741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2" w:type="pct"/>
            <w:hideMark/>
          </w:tcPr>
          <w:p w14:paraId="2DA8438B" w14:textId="77777777" w:rsidR="008D2AE7" w:rsidRPr="006C42BB" w:rsidRDefault="008D2AE7" w:rsidP="008D2AE7">
            <w:pPr>
              <w:jc w:val="center"/>
              <w:rPr>
                <w:rFonts w:ascii="Times New Roman" w:eastAsia="Times New Roman" w:hAnsi="Times New Roman" w:cs="Times New Roman"/>
                <w:b w:val="0"/>
                <w:bCs w:val="0"/>
                <w:sz w:val="24"/>
                <w:szCs w:val="24"/>
                <w:lang w:eastAsia="en-IN"/>
              </w:rPr>
            </w:pPr>
            <w:r w:rsidRPr="006C42BB">
              <w:rPr>
                <w:rFonts w:ascii="Times New Roman" w:eastAsia="Times New Roman" w:hAnsi="Times New Roman" w:cs="Times New Roman"/>
                <w:sz w:val="24"/>
                <w:szCs w:val="24"/>
                <w:lang w:eastAsia="en-IN"/>
              </w:rPr>
              <w:t>24</w:t>
            </w:r>
          </w:p>
        </w:tc>
        <w:tc>
          <w:tcPr>
            <w:tcW w:w="565" w:type="pct"/>
            <w:hideMark/>
          </w:tcPr>
          <w:p w14:paraId="2B33EFD5"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95.33</w:t>
            </w:r>
          </w:p>
        </w:tc>
        <w:tc>
          <w:tcPr>
            <w:tcW w:w="936" w:type="pct"/>
            <w:hideMark/>
          </w:tcPr>
          <w:p w14:paraId="02848B09"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98.33</w:t>
            </w:r>
          </w:p>
        </w:tc>
        <w:tc>
          <w:tcPr>
            <w:tcW w:w="951" w:type="pct"/>
            <w:hideMark/>
          </w:tcPr>
          <w:p w14:paraId="31D684C7"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82.30</w:t>
            </w:r>
          </w:p>
        </w:tc>
        <w:tc>
          <w:tcPr>
            <w:tcW w:w="1186" w:type="pct"/>
            <w:hideMark/>
          </w:tcPr>
          <w:p w14:paraId="0DB09C17" w14:textId="782FE30F"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91.99</w:t>
            </w:r>
            <w:r w:rsidR="00700F5C">
              <w:rPr>
                <w:rFonts w:ascii="Times New Roman" w:eastAsia="Times New Roman" w:hAnsi="Times New Roman" w:cs="Times New Roman"/>
                <w:sz w:val="24"/>
                <w:szCs w:val="24"/>
                <w:lang w:eastAsia="en-IN"/>
              </w:rPr>
              <w:t>a</w:t>
            </w:r>
          </w:p>
        </w:tc>
      </w:tr>
      <w:tr w:rsidR="006C42BB" w:rsidRPr="006C42BB" w14:paraId="426BC3C4" w14:textId="77777777" w:rsidTr="00A7412E">
        <w:trPr>
          <w:trHeight w:val="20"/>
        </w:trPr>
        <w:tc>
          <w:tcPr>
            <w:cnfStyle w:val="001000000000" w:firstRow="0" w:lastRow="0" w:firstColumn="1" w:lastColumn="0" w:oddVBand="0" w:evenVBand="0" w:oddHBand="0" w:evenHBand="0" w:firstRowFirstColumn="0" w:firstRowLastColumn="0" w:lastRowFirstColumn="0" w:lastRowLastColumn="0"/>
            <w:tcW w:w="1362" w:type="pct"/>
            <w:hideMark/>
          </w:tcPr>
          <w:p w14:paraId="5FB183C5" w14:textId="77777777" w:rsidR="008D2AE7" w:rsidRPr="006C42BB" w:rsidRDefault="008D2AE7" w:rsidP="008D2AE7">
            <w:pPr>
              <w:jc w:val="center"/>
              <w:rPr>
                <w:rFonts w:ascii="Times New Roman" w:eastAsia="Times New Roman" w:hAnsi="Times New Roman" w:cs="Times New Roman"/>
                <w:b w:val="0"/>
                <w:bCs w:val="0"/>
                <w:sz w:val="24"/>
                <w:szCs w:val="24"/>
                <w:lang w:eastAsia="en-IN"/>
              </w:rPr>
            </w:pPr>
            <w:r w:rsidRPr="006C42BB">
              <w:rPr>
                <w:rFonts w:ascii="Times New Roman" w:eastAsia="Times New Roman" w:hAnsi="Times New Roman" w:cs="Times New Roman"/>
                <w:sz w:val="24"/>
                <w:szCs w:val="24"/>
                <w:lang w:eastAsia="en-IN"/>
              </w:rPr>
              <w:t xml:space="preserve">Mean </w:t>
            </w:r>
          </w:p>
        </w:tc>
        <w:tc>
          <w:tcPr>
            <w:tcW w:w="565" w:type="pct"/>
            <w:hideMark/>
          </w:tcPr>
          <w:p w14:paraId="3818FDC0" w14:textId="192DCE2C"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61.33</w:t>
            </w:r>
            <w:r w:rsidR="00364AF7">
              <w:rPr>
                <w:rFonts w:ascii="Times New Roman" w:eastAsia="Times New Roman" w:hAnsi="Times New Roman" w:cs="Times New Roman"/>
                <w:sz w:val="24"/>
                <w:szCs w:val="24"/>
                <w:lang w:eastAsia="en-IN"/>
              </w:rPr>
              <w:t>a</w:t>
            </w:r>
          </w:p>
        </w:tc>
        <w:tc>
          <w:tcPr>
            <w:tcW w:w="936" w:type="pct"/>
            <w:hideMark/>
          </w:tcPr>
          <w:p w14:paraId="31CB78C8" w14:textId="0D4B21D7"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62.75</w:t>
            </w:r>
            <w:r w:rsidR="00364AF7">
              <w:rPr>
                <w:rFonts w:ascii="Times New Roman" w:eastAsia="Times New Roman" w:hAnsi="Times New Roman" w:cs="Times New Roman"/>
                <w:sz w:val="24"/>
                <w:szCs w:val="24"/>
                <w:lang w:eastAsia="en-IN"/>
              </w:rPr>
              <w:t>a</w:t>
            </w:r>
          </w:p>
        </w:tc>
        <w:tc>
          <w:tcPr>
            <w:tcW w:w="951" w:type="pct"/>
            <w:hideMark/>
          </w:tcPr>
          <w:p w14:paraId="65E555D0" w14:textId="29F001FA"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52.4</w:t>
            </w:r>
            <w:r w:rsidR="00364AF7">
              <w:rPr>
                <w:rFonts w:ascii="Times New Roman" w:eastAsia="Times New Roman" w:hAnsi="Times New Roman" w:cs="Times New Roman"/>
                <w:sz w:val="24"/>
                <w:szCs w:val="24"/>
                <w:lang w:eastAsia="en-IN"/>
              </w:rPr>
              <w:t>b</w:t>
            </w:r>
          </w:p>
        </w:tc>
        <w:tc>
          <w:tcPr>
            <w:tcW w:w="1186" w:type="pct"/>
            <w:noWrap/>
            <w:hideMark/>
          </w:tcPr>
          <w:p w14:paraId="2A19FF81" w14:textId="77777777"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 </w:t>
            </w:r>
          </w:p>
        </w:tc>
      </w:tr>
      <w:tr w:rsidR="006C42BB" w:rsidRPr="006C42BB" w14:paraId="14B9F9E1" w14:textId="77777777" w:rsidTr="00A741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2" w:type="pct"/>
            <w:hideMark/>
          </w:tcPr>
          <w:p w14:paraId="3B42101E" w14:textId="77777777" w:rsidR="008D2AE7" w:rsidRPr="006C42BB" w:rsidRDefault="008D2AE7" w:rsidP="008D2AE7">
            <w:pPr>
              <w:jc w:val="center"/>
              <w:rPr>
                <w:rFonts w:ascii="Times New Roman" w:eastAsia="Times New Roman" w:hAnsi="Times New Roman" w:cs="Times New Roman"/>
                <w:b w:val="0"/>
                <w:bCs w:val="0"/>
                <w:sz w:val="24"/>
                <w:szCs w:val="24"/>
                <w:lang w:eastAsia="en-IN"/>
              </w:rPr>
            </w:pPr>
            <w:r w:rsidRPr="006C42BB">
              <w:rPr>
                <w:rFonts w:ascii="Times New Roman" w:eastAsia="Times New Roman" w:hAnsi="Times New Roman" w:cs="Times New Roman"/>
                <w:sz w:val="24"/>
                <w:szCs w:val="24"/>
                <w:lang w:eastAsia="en-IN"/>
              </w:rPr>
              <w:t>Factors</w:t>
            </w:r>
          </w:p>
        </w:tc>
        <w:tc>
          <w:tcPr>
            <w:tcW w:w="565" w:type="pct"/>
            <w:hideMark/>
          </w:tcPr>
          <w:p w14:paraId="70712789"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C.D.</w:t>
            </w:r>
          </w:p>
        </w:tc>
        <w:tc>
          <w:tcPr>
            <w:tcW w:w="936" w:type="pct"/>
            <w:hideMark/>
          </w:tcPr>
          <w:p w14:paraId="4006AE67"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SE(d)</w:t>
            </w:r>
          </w:p>
        </w:tc>
        <w:tc>
          <w:tcPr>
            <w:tcW w:w="951" w:type="pct"/>
            <w:hideMark/>
          </w:tcPr>
          <w:p w14:paraId="5B5D742B"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SE(m)</w:t>
            </w:r>
          </w:p>
        </w:tc>
        <w:tc>
          <w:tcPr>
            <w:tcW w:w="1186" w:type="pct"/>
            <w:hideMark/>
          </w:tcPr>
          <w:p w14:paraId="2B3E6BCA"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F-Calculated</w:t>
            </w:r>
          </w:p>
        </w:tc>
      </w:tr>
      <w:tr w:rsidR="006C42BB" w:rsidRPr="006C42BB" w14:paraId="6D74B9DB" w14:textId="77777777" w:rsidTr="00A7412E">
        <w:trPr>
          <w:trHeight w:val="20"/>
        </w:trPr>
        <w:tc>
          <w:tcPr>
            <w:cnfStyle w:val="001000000000" w:firstRow="0" w:lastRow="0" w:firstColumn="1" w:lastColumn="0" w:oddVBand="0" w:evenVBand="0" w:oddHBand="0" w:evenHBand="0" w:firstRowFirstColumn="0" w:firstRowLastColumn="0" w:lastRowFirstColumn="0" w:lastRowLastColumn="0"/>
            <w:tcW w:w="1362" w:type="pct"/>
            <w:hideMark/>
          </w:tcPr>
          <w:p w14:paraId="3DB3E9E1" w14:textId="77777777" w:rsidR="008D2AE7" w:rsidRPr="006C42BB" w:rsidRDefault="008D2AE7" w:rsidP="008D2AE7">
            <w:pPr>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TZ Conc.</w:t>
            </w:r>
          </w:p>
        </w:tc>
        <w:tc>
          <w:tcPr>
            <w:tcW w:w="565" w:type="pct"/>
            <w:hideMark/>
          </w:tcPr>
          <w:p w14:paraId="3A203EF8" w14:textId="77777777"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8.14</w:t>
            </w:r>
          </w:p>
        </w:tc>
        <w:tc>
          <w:tcPr>
            <w:tcW w:w="936" w:type="pct"/>
            <w:hideMark/>
          </w:tcPr>
          <w:p w14:paraId="021C8EF5" w14:textId="77777777"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3.92</w:t>
            </w:r>
          </w:p>
        </w:tc>
        <w:tc>
          <w:tcPr>
            <w:tcW w:w="951" w:type="pct"/>
            <w:hideMark/>
          </w:tcPr>
          <w:p w14:paraId="1CA4FED5" w14:textId="77777777"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2.77</w:t>
            </w:r>
          </w:p>
        </w:tc>
        <w:tc>
          <w:tcPr>
            <w:tcW w:w="1186" w:type="pct"/>
            <w:hideMark/>
          </w:tcPr>
          <w:p w14:paraId="00D10335" w14:textId="77777777"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231.55</w:t>
            </w:r>
          </w:p>
        </w:tc>
      </w:tr>
      <w:tr w:rsidR="006C42BB" w:rsidRPr="006C42BB" w14:paraId="3F43EFD7" w14:textId="77777777" w:rsidTr="00A741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2" w:type="pct"/>
            <w:hideMark/>
          </w:tcPr>
          <w:p w14:paraId="320AE9D7" w14:textId="25E3E2C1" w:rsidR="008D2AE7" w:rsidRPr="006C42BB" w:rsidRDefault="008D2AE7" w:rsidP="008D2AE7">
            <w:pPr>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 xml:space="preserve">Staining </w:t>
            </w:r>
            <w:r w:rsidR="00A7412E" w:rsidRPr="006C42BB">
              <w:rPr>
                <w:rFonts w:ascii="Times New Roman" w:eastAsia="Times New Roman" w:hAnsi="Times New Roman" w:cs="Times New Roman"/>
                <w:sz w:val="24"/>
                <w:szCs w:val="24"/>
                <w:lang w:eastAsia="en-IN"/>
              </w:rPr>
              <w:t>D</w:t>
            </w:r>
            <w:r w:rsidRPr="006C42BB">
              <w:rPr>
                <w:rFonts w:ascii="Times New Roman" w:eastAsia="Times New Roman" w:hAnsi="Times New Roman" w:cs="Times New Roman"/>
                <w:sz w:val="24"/>
                <w:szCs w:val="24"/>
                <w:lang w:eastAsia="en-IN"/>
              </w:rPr>
              <w:t>uration</w:t>
            </w:r>
          </w:p>
        </w:tc>
        <w:tc>
          <w:tcPr>
            <w:tcW w:w="565" w:type="pct"/>
            <w:hideMark/>
          </w:tcPr>
          <w:p w14:paraId="67B9B60B"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7.05</w:t>
            </w:r>
          </w:p>
        </w:tc>
        <w:tc>
          <w:tcPr>
            <w:tcW w:w="936" w:type="pct"/>
            <w:hideMark/>
          </w:tcPr>
          <w:p w14:paraId="5A89B523"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3.40</w:t>
            </w:r>
          </w:p>
        </w:tc>
        <w:tc>
          <w:tcPr>
            <w:tcW w:w="951" w:type="pct"/>
            <w:hideMark/>
          </w:tcPr>
          <w:p w14:paraId="6FF6E431"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2.40</w:t>
            </w:r>
          </w:p>
        </w:tc>
        <w:tc>
          <w:tcPr>
            <w:tcW w:w="1186" w:type="pct"/>
            <w:hideMark/>
          </w:tcPr>
          <w:p w14:paraId="6D9D1BE4" w14:textId="77777777" w:rsidR="008D2AE7" w:rsidRPr="006C42BB" w:rsidRDefault="008D2AE7" w:rsidP="008D2A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5.45</w:t>
            </w:r>
          </w:p>
        </w:tc>
      </w:tr>
      <w:tr w:rsidR="006C42BB" w:rsidRPr="006C42BB" w14:paraId="402520ED" w14:textId="77777777" w:rsidTr="00A7412E">
        <w:trPr>
          <w:trHeight w:val="20"/>
        </w:trPr>
        <w:tc>
          <w:tcPr>
            <w:cnfStyle w:val="001000000000" w:firstRow="0" w:lastRow="0" w:firstColumn="1" w:lastColumn="0" w:oddVBand="0" w:evenVBand="0" w:oddHBand="0" w:evenHBand="0" w:firstRowFirstColumn="0" w:firstRowLastColumn="0" w:lastRowFirstColumn="0" w:lastRowLastColumn="0"/>
            <w:tcW w:w="1362" w:type="pct"/>
            <w:hideMark/>
          </w:tcPr>
          <w:p w14:paraId="2C54E83E" w14:textId="096940B4" w:rsidR="008D2AE7" w:rsidRPr="006C42BB" w:rsidRDefault="008D2AE7" w:rsidP="008D2AE7">
            <w:pPr>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 xml:space="preserve">TZ Conc. X </w:t>
            </w:r>
            <w:r w:rsidR="00A7412E" w:rsidRPr="006C42BB">
              <w:rPr>
                <w:rFonts w:ascii="Times New Roman" w:eastAsia="Times New Roman" w:hAnsi="Times New Roman" w:cs="Times New Roman"/>
                <w:sz w:val="24"/>
                <w:szCs w:val="24"/>
                <w:lang w:eastAsia="en-IN"/>
              </w:rPr>
              <w:t>Staining Duration</w:t>
            </w:r>
          </w:p>
        </w:tc>
        <w:tc>
          <w:tcPr>
            <w:tcW w:w="565" w:type="pct"/>
            <w:hideMark/>
          </w:tcPr>
          <w:p w14:paraId="505E63E5" w14:textId="77777777"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N/A</w:t>
            </w:r>
          </w:p>
        </w:tc>
        <w:tc>
          <w:tcPr>
            <w:tcW w:w="936" w:type="pct"/>
            <w:hideMark/>
          </w:tcPr>
          <w:p w14:paraId="502B2C12" w14:textId="77777777"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6.79</w:t>
            </w:r>
          </w:p>
        </w:tc>
        <w:tc>
          <w:tcPr>
            <w:tcW w:w="951" w:type="pct"/>
            <w:hideMark/>
          </w:tcPr>
          <w:p w14:paraId="23468D40" w14:textId="77777777"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4.80</w:t>
            </w:r>
          </w:p>
        </w:tc>
        <w:tc>
          <w:tcPr>
            <w:tcW w:w="1186" w:type="pct"/>
            <w:hideMark/>
          </w:tcPr>
          <w:p w14:paraId="64A59A81" w14:textId="77777777" w:rsidR="008D2AE7" w:rsidRPr="006C42BB" w:rsidRDefault="008D2AE7" w:rsidP="008D2A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2.05</w:t>
            </w:r>
          </w:p>
        </w:tc>
      </w:tr>
    </w:tbl>
    <w:p w14:paraId="6B6D0AAC" w14:textId="77777777" w:rsidR="00442F1E" w:rsidRPr="006C42BB" w:rsidRDefault="00442F1E" w:rsidP="00442F1E">
      <w:pPr>
        <w:jc w:val="both"/>
        <w:rPr>
          <w:rFonts w:ascii="Times New Roman" w:hAnsi="Times New Roman" w:cs="Times New Roman"/>
          <w:b/>
          <w:bCs/>
          <w:sz w:val="24"/>
          <w:szCs w:val="24"/>
        </w:rPr>
      </w:pPr>
    </w:p>
    <w:p w14:paraId="0EC34461" w14:textId="63985FD4" w:rsidR="00DD46E0" w:rsidRPr="006C42BB" w:rsidRDefault="00DD46E0" w:rsidP="00DD46E0">
      <w:pPr>
        <w:spacing w:before="240"/>
        <w:jc w:val="center"/>
        <w:rPr>
          <w:rFonts w:ascii="Times New Roman" w:hAnsi="Times New Roman" w:cs="Times New Roman"/>
          <w:b/>
          <w:bCs/>
          <w:sz w:val="24"/>
          <w:szCs w:val="24"/>
        </w:rPr>
      </w:pPr>
      <w:r w:rsidRPr="006C42BB">
        <w:rPr>
          <w:rFonts w:ascii="Times New Roman" w:hAnsi="Times New Roman" w:cs="Times New Roman"/>
          <w:b/>
          <w:bCs/>
          <w:sz w:val="24"/>
          <w:szCs w:val="24"/>
        </w:rPr>
        <w:t>Table 2.</w:t>
      </w:r>
      <w:r w:rsidRPr="006C42BB">
        <w:rPr>
          <w:rFonts w:ascii="Times New Roman" w:hAnsi="Times New Roman" w:cs="Times New Roman"/>
          <w:sz w:val="24"/>
          <w:szCs w:val="24"/>
        </w:rPr>
        <w:t xml:space="preserve"> TZ staining patterns of viable (1) and non- viable (2,3) seeds in </w:t>
      </w:r>
      <w:r w:rsidRPr="006C42BB">
        <w:rPr>
          <w:rFonts w:ascii="Times New Roman" w:eastAsia="Times New Roman" w:hAnsi="Times New Roman" w:cs="Times New Roman"/>
          <w:i/>
          <w:iCs/>
          <w:sz w:val="24"/>
          <w:szCs w:val="24"/>
        </w:rPr>
        <w:t>Cordia myxa</w:t>
      </w:r>
    </w:p>
    <w:tbl>
      <w:tblPr>
        <w:tblW w:w="5000" w:type="pct"/>
        <w:tblLook w:val="04A0" w:firstRow="1" w:lastRow="0" w:firstColumn="1" w:lastColumn="0" w:noHBand="0" w:noVBand="1"/>
      </w:tblPr>
      <w:tblGrid>
        <w:gridCol w:w="977"/>
        <w:gridCol w:w="6043"/>
        <w:gridCol w:w="1996"/>
      </w:tblGrid>
      <w:tr w:rsidR="006C42BB" w:rsidRPr="006C42BB" w14:paraId="4B4A345D" w14:textId="77777777" w:rsidTr="004A5A3C">
        <w:trPr>
          <w:trHeight w:val="537"/>
        </w:trPr>
        <w:tc>
          <w:tcPr>
            <w:tcW w:w="5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3F5BE0" w14:textId="77777777" w:rsidR="00DD46E0" w:rsidRPr="006C42BB" w:rsidRDefault="00DD46E0" w:rsidP="00DD46E0">
            <w:pPr>
              <w:spacing w:after="0" w:line="240" w:lineRule="auto"/>
              <w:jc w:val="center"/>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S. No.</w:t>
            </w:r>
          </w:p>
        </w:tc>
        <w:tc>
          <w:tcPr>
            <w:tcW w:w="335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AE9E16C" w14:textId="77777777" w:rsidR="00DD46E0" w:rsidRPr="006C42BB" w:rsidRDefault="00DD46E0" w:rsidP="00DD46E0">
            <w:pPr>
              <w:spacing w:after="0" w:line="240" w:lineRule="auto"/>
              <w:jc w:val="center"/>
              <w:rPr>
                <w:rFonts w:ascii="Times New Roman" w:eastAsia="Times New Roman" w:hAnsi="Times New Roman" w:cs="Times New Roman"/>
                <w:b/>
                <w:bCs/>
                <w:sz w:val="24"/>
                <w:szCs w:val="24"/>
                <w:lang w:eastAsia="en-IN"/>
              </w:rPr>
            </w:pPr>
          </w:p>
          <w:p w14:paraId="06B46FBA" w14:textId="01573DC8" w:rsidR="00DD46E0" w:rsidRPr="006C42BB" w:rsidRDefault="00DD46E0" w:rsidP="00DD46E0">
            <w:pPr>
              <w:spacing w:after="0" w:line="240" w:lineRule="auto"/>
              <w:jc w:val="center"/>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Topographic description</w:t>
            </w:r>
          </w:p>
        </w:tc>
        <w:tc>
          <w:tcPr>
            <w:tcW w:w="110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D40E023" w14:textId="77777777" w:rsidR="00DD46E0" w:rsidRPr="006C42BB" w:rsidRDefault="00DD46E0" w:rsidP="00DD46E0">
            <w:pPr>
              <w:spacing w:after="0" w:line="240" w:lineRule="auto"/>
              <w:jc w:val="center"/>
              <w:rPr>
                <w:rFonts w:ascii="Times New Roman" w:eastAsia="Times New Roman" w:hAnsi="Times New Roman" w:cs="Times New Roman"/>
                <w:b/>
                <w:bCs/>
                <w:sz w:val="24"/>
                <w:szCs w:val="24"/>
                <w:lang w:eastAsia="en-IN"/>
              </w:rPr>
            </w:pPr>
          </w:p>
          <w:p w14:paraId="532EF3C2" w14:textId="4979B5D1" w:rsidR="00DD46E0" w:rsidRPr="006C42BB" w:rsidRDefault="00DD46E0" w:rsidP="00DD46E0">
            <w:pPr>
              <w:spacing w:after="0" w:line="240" w:lineRule="auto"/>
              <w:jc w:val="center"/>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Topographic pattern </w:t>
            </w:r>
          </w:p>
        </w:tc>
      </w:tr>
      <w:tr w:rsidR="006C42BB" w:rsidRPr="006C42BB" w14:paraId="79FC71DC" w14:textId="77777777" w:rsidTr="00442F1E">
        <w:trPr>
          <w:trHeight w:val="537"/>
        </w:trPr>
        <w:tc>
          <w:tcPr>
            <w:tcW w:w="542" w:type="pct"/>
            <w:vMerge/>
            <w:tcBorders>
              <w:top w:val="single" w:sz="4" w:space="0" w:color="auto"/>
              <w:left w:val="single" w:sz="4" w:space="0" w:color="auto"/>
              <w:bottom w:val="single" w:sz="4" w:space="0" w:color="auto"/>
              <w:right w:val="single" w:sz="4" w:space="0" w:color="auto"/>
            </w:tcBorders>
            <w:vAlign w:val="center"/>
            <w:hideMark/>
          </w:tcPr>
          <w:p w14:paraId="78C7BA49" w14:textId="77777777" w:rsidR="00442F1E" w:rsidRPr="006C42BB" w:rsidRDefault="00442F1E" w:rsidP="00442F1E">
            <w:pPr>
              <w:spacing w:after="0" w:line="240" w:lineRule="auto"/>
              <w:jc w:val="center"/>
              <w:rPr>
                <w:rFonts w:ascii="Times New Roman" w:eastAsia="Times New Roman" w:hAnsi="Times New Roman" w:cs="Times New Roman"/>
                <w:b/>
                <w:bCs/>
                <w:sz w:val="24"/>
                <w:szCs w:val="24"/>
                <w:lang w:eastAsia="en-IN"/>
              </w:rPr>
            </w:pPr>
          </w:p>
        </w:tc>
        <w:tc>
          <w:tcPr>
            <w:tcW w:w="3351" w:type="pct"/>
            <w:vMerge/>
            <w:tcBorders>
              <w:top w:val="single" w:sz="4" w:space="0" w:color="auto"/>
              <w:left w:val="single" w:sz="4" w:space="0" w:color="auto"/>
              <w:bottom w:val="single" w:sz="4" w:space="0" w:color="auto"/>
              <w:right w:val="single" w:sz="4" w:space="0" w:color="auto"/>
            </w:tcBorders>
            <w:vAlign w:val="center"/>
            <w:hideMark/>
          </w:tcPr>
          <w:p w14:paraId="21426EF1" w14:textId="77777777" w:rsidR="00442F1E" w:rsidRPr="006C42BB" w:rsidRDefault="00442F1E" w:rsidP="00442F1E">
            <w:pPr>
              <w:spacing w:after="0" w:line="240" w:lineRule="auto"/>
              <w:jc w:val="center"/>
              <w:rPr>
                <w:rFonts w:ascii="Times New Roman" w:eastAsia="Times New Roman" w:hAnsi="Times New Roman" w:cs="Times New Roman"/>
                <w:b/>
                <w:bCs/>
                <w:sz w:val="24"/>
                <w:szCs w:val="24"/>
                <w:lang w:eastAsia="en-IN"/>
              </w:rPr>
            </w:pPr>
          </w:p>
        </w:tc>
        <w:tc>
          <w:tcPr>
            <w:tcW w:w="1107" w:type="pct"/>
            <w:vMerge/>
            <w:tcBorders>
              <w:top w:val="single" w:sz="4" w:space="0" w:color="auto"/>
              <w:left w:val="single" w:sz="4" w:space="0" w:color="auto"/>
              <w:bottom w:val="single" w:sz="4" w:space="0" w:color="auto"/>
              <w:right w:val="single" w:sz="4" w:space="0" w:color="auto"/>
            </w:tcBorders>
            <w:vAlign w:val="center"/>
            <w:hideMark/>
          </w:tcPr>
          <w:p w14:paraId="0CA6E719" w14:textId="77777777" w:rsidR="00442F1E" w:rsidRPr="006C42BB" w:rsidRDefault="00442F1E" w:rsidP="00442F1E">
            <w:pPr>
              <w:spacing w:after="0" w:line="240" w:lineRule="auto"/>
              <w:jc w:val="center"/>
              <w:rPr>
                <w:rFonts w:ascii="Times New Roman" w:eastAsia="Times New Roman" w:hAnsi="Times New Roman" w:cs="Times New Roman"/>
                <w:b/>
                <w:bCs/>
                <w:sz w:val="24"/>
                <w:szCs w:val="24"/>
                <w:lang w:eastAsia="en-IN"/>
              </w:rPr>
            </w:pPr>
          </w:p>
        </w:tc>
      </w:tr>
      <w:tr w:rsidR="006C42BB" w:rsidRPr="006C42BB" w14:paraId="14EBA056" w14:textId="77777777" w:rsidTr="00442F1E">
        <w:trPr>
          <w:trHeight w:val="450"/>
        </w:trPr>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90592" w14:textId="77777777" w:rsidR="00442F1E" w:rsidRPr="006C42BB" w:rsidRDefault="00442F1E" w:rsidP="00442F1E">
            <w:pPr>
              <w:spacing w:after="0" w:line="240" w:lineRule="auto"/>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1</w:t>
            </w:r>
          </w:p>
        </w:tc>
        <w:tc>
          <w:tcPr>
            <w:tcW w:w="3351" w:type="pct"/>
            <w:tcBorders>
              <w:top w:val="single" w:sz="4" w:space="0" w:color="auto"/>
              <w:left w:val="nil"/>
              <w:bottom w:val="single" w:sz="4" w:space="0" w:color="auto"/>
              <w:right w:val="single" w:sz="4" w:space="0" w:color="auto"/>
            </w:tcBorders>
            <w:shd w:val="clear" w:color="auto" w:fill="auto"/>
            <w:vAlign w:val="center"/>
            <w:hideMark/>
          </w:tcPr>
          <w:p w14:paraId="4347AD99" w14:textId="77777777" w:rsidR="00442F1E" w:rsidRPr="006C42BB" w:rsidRDefault="00442F1E" w:rsidP="00442F1E">
            <w:pPr>
              <w:spacing w:after="0" w:line="240" w:lineRule="auto"/>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Embryonal axis and cotyledons darkly stained</w:t>
            </w:r>
          </w:p>
        </w:tc>
        <w:tc>
          <w:tcPr>
            <w:tcW w:w="1107" w:type="pct"/>
            <w:tcBorders>
              <w:top w:val="single" w:sz="4" w:space="0" w:color="auto"/>
              <w:left w:val="nil"/>
              <w:bottom w:val="single" w:sz="4" w:space="0" w:color="auto"/>
              <w:right w:val="single" w:sz="4" w:space="0" w:color="auto"/>
            </w:tcBorders>
            <w:shd w:val="clear" w:color="auto" w:fill="auto"/>
            <w:vAlign w:val="center"/>
            <w:hideMark/>
          </w:tcPr>
          <w:p w14:paraId="54C9213A" w14:textId="77777777" w:rsidR="00442F1E" w:rsidRPr="006C42BB" w:rsidRDefault="00442F1E" w:rsidP="00442F1E">
            <w:pPr>
              <w:spacing w:after="0" w:line="240" w:lineRule="auto"/>
              <w:jc w:val="center"/>
              <w:rPr>
                <w:rFonts w:ascii="Times New Roman" w:eastAsia="Times New Roman" w:hAnsi="Times New Roman" w:cs="Times New Roman"/>
                <w:b/>
                <w:bCs/>
                <w:sz w:val="24"/>
                <w:szCs w:val="24"/>
                <w:lang w:eastAsia="en-IN"/>
              </w:rPr>
            </w:pPr>
            <w:r w:rsidRPr="006C42BB">
              <w:rPr>
                <w:rFonts w:ascii="Times New Roman" w:hAnsi="Times New Roman" w:cs="Times New Roman"/>
                <w:noProof/>
                <w:sz w:val="24"/>
                <w:szCs w:val="24"/>
                <w:lang w:eastAsia="en-IN" w:bidi="ar-SA"/>
              </w:rPr>
              <w:drawing>
                <wp:inline distT="0" distB="0" distL="0" distR="0" wp14:anchorId="55FAB242" wp14:editId="7428D5F0">
                  <wp:extent cx="898497" cy="67514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diamyxa.5-1-0X-1-00DX-2024-06-26-10-12-32-removebg-preview.png"/>
                          <pic:cNvPicPr/>
                        </pic:nvPicPr>
                        <pic:blipFill rotWithShape="1">
                          <a:blip r:embed="rId8" cstate="print">
                            <a:extLst>
                              <a:ext uri="{28A0092B-C50C-407E-A947-70E740481C1C}">
                                <a14:useLocalDpi xmlns:a14="http://schemas.microsoft.com/office/drawing/2010/main" val="0"/>
                              </a:ext>
                            </a:extLst>
                          </a:blip>
                          <a:srcRect l="7799" t="10582" r="11009" b="15345"/>
                          <a:stretch/>
                        </pic:blipFill>
                        <pic:spPr bwMode="auto">
                          <a:xfrm>
                            <a:off x="0" y="0"/>
                            <a:ext cx="903714" cy="679061"/>
                          </a:xfrm>
                          <a:prstGeom prst="rect">
                            <a:avLst/>
                          </a:prstGeom>
                          <a:ln>
                            <a:noFill/>
                          </a:ln>
                          <a:extLst>
                            <a:ext uri="{53640926-AAD7-44D8-BBD7-CCE9431645EC}">
                              <a14:shadowObscured xmlns:a14="http://schemas.microsoft.com/office/drawing/2010/main"/>
                            </a:ext>
                          </a:extLst>
                        </pic:spPr>
                      </pic:pic>
                    </a:graphicData>
                  </a:graphic>
                </wp:inline>
              </w:drawing>
            </w:r>
          </w:p>
          <w:p w14:paraId="2FDB8E37" w14:textId="77777777" w:rsidR="00DD46E0" w:rsidRPr="006C42BB" w:rsidRDefault="00DD46E0" w:rsidP="00442F1E">
            <w:pPr>
              <w:spacing w:after="0" w:line="240" w:lineRule="auto"/>
              <w:jc w:val="center"/>
              <w:rPr>
                <w:rFonts w:ascii="Times New Roman" w:eastAsia="Times New Roman" w:hAnsi="Times New Roman" w:cs="Times New Roman"/>
                <w:b/>
                <w:bCs/>
                <w:sz w:val="24"/>
                <w:szCs w:val="24"/>
                <w:lang w:eastAsia="en-IN"/>
              </w:rPr>
            </w:pPr>
          </w:p>
        </w:tc>
      </w:tr>
      <w:tr w:rsidR="006C42BB" w:rsidRPr="006C42BB" w14:paraId="31D546BA" w14:textId="77777777" w:rsidTr="00442F1E">
        <w:trPr>
          <w:trHeight w:val="450"/>
        </w:trPr>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2E72BA3E" w14:textId="77777777" w:rsidR="00442F1E" w:rsidRPr="006C42BB" w:rsidRDefault="00442F1E" w:rsidP="00442F1E">
            <w:pPr>
              <w:spacing w:after="0" w:line="240" w:lineRule="auto"/>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2</w:t>
            </w:r>
          </w:p>
        </w:tc>
        <w:tc>
          <w:tcPr>
            <w:tcW w:w="3351" w:type="pct"/>
            <w:tcBorders>
              <w:top w:val="single" w:sz="4" w:space="0" w:color="auto"/>
              <w:left w:val="nil"/>
              <w:bottom w:val="single" w:sz="4" w:space="0" w:color="auto"/>
              <w:right w:val="single" w:sz="4" w:space="0" w:color="auto"/>
            </w:tcBorders>
            <w:shd w:val="clear" w:color="auto" w:fill="auto"/>
            <w:vAlign w:val="center"/>
          </w:tcPr>
          <w:p w14:paraId="025F9C71" w14:textId="77777777" w:rsidR="00442F1E" w:rsidRPr="006C42BB" w:rsidRDefault="00442F1E" w:rsidP="00442F1E">
            <w:pPr>
              <w:spacing w:after="0" w:line="240" w:lineRule="auto"/>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Embryonal axis and cotyledons lightly stained</w:t>
            </w:r>
          </w:p>
        </w:tc>
        <w:tc>
          <w:tcPr>
            <w:tcW w:w="1107" w:type="pct"/>
            <w:tcBorders>
              <w:top w:val="single" w:sz="4" w:space="0" w:color="auto"/>
              <w:left w:val="nil"/>
              <w:bottom w:val="single" w:sz="4" w:space="0" w:color="auto"/>
              <w:right w:val="single" w:sz="4" w:space="0" w:color="auto"/>
            </w:tcBorders>
            <w:shd w:val="clear" w:color="auto" w:fill="auto"/>
            <w:vAlign w:val="center"/>
          </w:tcPr>
          <w:p w14:paraId="05B17348" w14:textId="77777777" w:rsidR="00442F1E" w:rsidRPr="006C42BB" w:rsidRDefault="00442F1E" w:rsidP="00442F1E">
            <w:pPr>
              <w:spacing w:after="0" w:line="240" w:lineRule="auto"/>
              <w:jc w:val="center"/>
              <w:rPr>
                <w:rFonts w:ascii="Times New Roman" w:hAnsi="Times New Roman" w:cs="Times New Roman"/>
                <w:noProof/>
                <w:sz w:val="24"/>
                <w:szCs w:val="24"/>
                <w:lang w:eastAsia="en-IN"/>
              </w:rPr>
            </w:pPr>
            <w:r w:rsidRPr="006C42BB">
              <w:rPr>
                <w:rFonts w:ascii="Times New Roman" w:hAnsi="Times New Roman" w:cs="Times New Roman"/>
                <w:noProof/>
                <w:sz w:val="24"/>
                <w:szCs w:val="24"/>
                <w:lang w:eastAsia="en-IN" w:bidi="ar-SA"/>
                <w14:ligatures w14:val="standardContextual"/>
              </w:rPr>
              <w:drawing>
                <wp:inline distT="0" distB="0" distL="0" distR="0" wp14:anchorId="39579C1B" wp14:editId="42FCB7ED">
                  <wp:extent cx="667910" cy="683687"/>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dia-1-0X-1-00DX-2025-02-12-11-50-12-removebg-preview.png"/>
                          <pic:cNvPicPr/>
                        </pic:nvPicPr>
                        <pic:blipFill rotWithShape="1">
                          <a:blip r:embed="rId9" cstate="print">
                            <a:extLst>
                              <a:ext uri="{28A0092B-C50C-407E-A947-70E740481C1C}">
                                <a14:useLocalDpi xmlns:a14="http://schemas.microsoft.com/office/drawing/2010/main" val="0"/>
                              </a:ext>
                            </a:extLst>
                          </a:blip>
                          <a:srcRect l="27428" b="18088"/>
                          <a:stretch/>
                        </pic:blipFill>
                        <pic:spPr bwMode="auto">
                          <a:xfrm>
                            <a:off x="0" y="0"/>
                            <a:ext cx="668317" cy="684104"/>
                          </a:xfrm>
                          <a:prstGeom prst="rect">
                            <a:avLst/>
                          </a:prstGeom>
                          <a:ln>
                            <a:noFill/>
                          </a:ln>
                          <a:extLst>
                            <a:ext uri="{53640926-AAD7-44D8-BBD7-CCE9431645EC}">
                              <a14:shadowObscured xmlns:a14="http://schemas.microsoft.com/office/drawing/2010/main"/>
                            </a:ext>
                          </a:extLst>
                        </pic:spPr>
                      </pic:pic>
                    </a:graphicData>
                  </a:graphic>
                </wp:inline>
              </w:drawing>
            </w:r>
          </w:p>
          <w:p w14:paraId="29014C35" w14:textId="77777777" w:rsidR="00DD46E0" w:rsidRPr="006C42BB" w:rsidRDefault="00DD46E0" w:rsidP="00442F1E">
            <w:pPr>
              <w:spacing w:after="0" w:line="240" w:lineRule="auto"/>
              <w:jc w:val="center"/>
              <w:rPr>
                <w:rFonts w:ascii="Times New Roman" w:hAnsi="Times New Roman" w:cs="Times New Roman"/>
                <w:noProof/>
                <w:sz w:val="24"/>
                <w:szCs w:val="24"/>
                <w:lang w:eastAsia="en-IN"/>
              </w:rPr>
            </w:pPr>
          </w:p>
        </w:tc>
      </w:tr>
      <w:tr w:rsidR="006C42BB" w:rsidRPr="006C42BB" w14:paraId="2020E023" w14:textId="77777777" w:rsidTr="00442F1E">
        <w:trPr>
          <w:trHeight w:val="450"/>
        </w:trPr>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5E072443" w14:textId="77777777" w:rsidR="00442F1E" w:rsidRPr="006C42BB" w:rsidRDefault="00442F1E" w:rsidP="00442F1E">
            <w:pPr>
              <w:spacing w:after="0" w:line="240" w:lineRule="auto"/>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3</w:t>
            </w:r>
          </w:p>
        </w:tc>
        <w:tc>
          <w:tcPr>
            <w:tcW w:w="3351" w:type="pct"/>
            <w:tcBorders>
              <w:top w:val="single" w:sz="4" w:space="0" w:color="auto"/>
              <w:left w:val="nil"/>
              <w:bottom w:val="single" w:sz="4" w:space="0" w:color="auto"/>
              <w:right w:val="single" w:sz="4" w:space="0" w:color="auto"/>
            </w:tcBorders>
            <w:shd w:val="clear" w:color="auto" w:fill="auto"/>
            <w:vAlign w:val="center"/>
          </w:tcPr>
          <w:p w14:paraId="5306FE3F" w14:textId="77777777" w:rsidR="00442F1E" w:rsidRPr="006C42BB" w:rsidRDefault="00442F1E" w:rsidP="00442F1E">
            <w:pPr>
              <w:spacing w:after="0" w:line="240" w:lineRule="auto"/>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Embryonal axis and cotyledons unstained</w:t>
            </w:r>
          </w:p>
        </w:tc>
        <w:tc>
          <w:tcPr>
            <w:tcW w:w="1107" w:type="pct"/>
            <w:tcBorders>
              <w:top w:val="single" w:sz="4" w:space="0" w:color="auto"/>
              <w:left w:val="nil"/>
              <w:bottom w:val="single" w:sz="4" w:space="0" w:color="auto"/>
              <w:right w:val="single" w:sz="4" w:space="0" w:color="auto"/>
            </w:tcBorders>
            <w:shd w:val="clear" w:color="auto" w:fill="auto"/>
            <w:vAlign w:val="center"/>
          </w:tcPr>
          <w:p w14:paraId="6B7F2A9E" w14:textId="77777777" w:rsidR="00442F1E" w:rsidRPr="006C42BB" w:rsidRDefault="00442F1E" w:rsidP="00442F1E">
            <w:pPr>
              <w:spacing w:after="0" w:line="240" w:lineRule="auto"/>
              <w:jc w:val="center"/>
              <w:rPr>
                <w:rFonts w:ascii="Times New Roman" w:hAnsi="Times New Roman" w:cs="Times New Roman"/>
                <w:noProof/>
                <w:sz w:val="24"/>
                <w:szCs w:val="24"/>
                <w:lang w:eastAsia="en-IN"/>
              </w:rPr>
            </w:pPr>
            <w:r w:rsidRPr="006C42BB">
              <w:rPr>
                <w:rFonts w:ascii="Times New Roman" w:hAnsi="Times New Roman" w:cs="Times New Roman"/>
                <w:noProof/>
                <w:sz w:val="24"/>
                <w:szCs w:val="24"/>
                <w:lang w:eastAsia="en-IN" w:bidi="ar-SA"/>
              </w:rPr>
              <w:drawing>
                <wp:inline distT="0" distB="0" distL="0" distR="0" wp14:anchorId="081757AE" wp14:editId="75C28888">
                  <wp:extent cx="842838" cy="63479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movebg-preview.png"/>
                          <pic:cNvPicPr/>
                        </pic:nvPicPr>
                        <pic:blipFill rotWithShape="1">
                          <a:blip r:embed="rId10" cstate="print">
                            <a:extLst>
                              <a:ext uri="{28A0092B-C50C-407E-A947-70E740481C1C}">
                                <a14:useLocalDpi xmlns:a14="http://schemas.microsoft.com/office/drawing/2010/main" val="0"/>
                              </a:ext>
                            </a:extLst>
                          </a:blip>
                          <a:srcRect l="8572" t="20753" r="16114" b="10253"/>
                          <a:stretch/>
                        </pic:blipFill>
                        <pic:spPr bwMode="auto">
                          <a:xfrm>
                            <a:off x="0" y="0"/>
                            <a:ext cx="853375" cy="642732"/>
                          </a:xfrm>
                          <a:prstGeom prst="rect">
                            <a:avLst/>
                          </a:prstGeom>
                          <a:ln>
                            <a:noFill/>
                          </a:ln>
                          <a:extLst>
                            <a:ext uri="{53640926-AAD7-44D8-BBD7-CCE9431645EC}">
                              <a14:shadowObscured xmlns:a14="http://schemas.microsoft.com/office/drawing/2010/main"/>
                            </a:ext>
                          </a:extLst>
                        </pic:spPr>
                      </pic:pic>
                    </a:graphicData>
                  </a:graphic>
                </wp:inline>
              </w:drawing>
            </w:r>
          </w:p>
          <w:p w14:paraId="4E54A3E8" w14:textId="77777777" w:rsidR="00DD46E0" w:rsidRPr="006C42BB" w:rsidRDefault="00DD46E0" w:rsidP="00442F1E">
            <w:pPr>
              <w:spacing w:after="0" w:line="240" w:lineRule="auto"/>
              <w:jc w:val="center"/>
              <w:rPr>
                <w:rFonts w:ascii="Times New Roman" w:hAnsi="Times New Roman" w:cs="Times New Roman"/>
                <w:noProof/>
                <w:sz w:val="24"/>
                <w:szCs w:val="24"/>
                <w:lang w:eastAsia="en-IN"/>
              </w:rPr>
            </w:pPr>
          </w:p>
        </w:tc>
      </w:tr>
    </w:tbl>
    <w:p w14:paraId="37BBEF68" w14:textId="77777777" w:rsidR="00C7458B" w:rsidRPr="006C42BB" w:rsidRDefault="00FA73D7" w:rsidP="00D71C62">
      <w:pPr>
        <w:spacing w:before="100" w:beforeAutospacing="1" w:after="100" w:afterAutospacing="1"/>
        <w:jc w:val="both"/>
        <w:rPr>
          <w:rFonts w:ascii="Times New Roman" w:hAnsi="Times New Roman" w:cs="Times New Roman"/>
          <w:b/>
          <w:bCs/>
          <w:sz w:val="24"/>
          <w:szCs w:val="24"/>
        </w:rPr>
      </w:pPr>
      <w:r w:rsidRPr="006C42BB">
        <w:rPr>
          <w:rFonts w:ascii="Times New Roman" w:hAnsi="Times New Roman" w:cs="Times New Roman"/>
          <w:b/>
          <w:bCs/>
          <w:sz w:val="24"/>
          <w:szCs w:val="24"/>
        </w:rPr>
        <w:t>Water Imbibition</w:t>
      </w:r>
    </w:p>
    <w:p w14:paraId="3C839324" w14:textId="050FD11B" w:rsidR="00FA73D7" w:rsidRPr="006C42BB" w:rsidRDefault="00FA73D7" w:rsidP="00D71C62">
      <w:pPr>
        <w:spacing w:before="100" w:beforeAutospacing="1" w:after="100" w:afterAutospacing="1"/>
        <w:jc w:val="both"/>
        <w:rPr>
          <w:rFonts w:ascii="Times New Roman" w:hAnsi="Times New Roman" w:cs="Times New Roman"/>
          <w:b/>
          <w:bCs/>
          <w:sz w:val="24"/>
          <w:szCs w:val="24"/>
        </w:rPr>
      </w:pPr>
      <w:r w:rsidRPr="006C42BB">
        <w:rPr>
          <w:rFonts w:ascii="Times New Roman" w:eastAsia="Times New Roman" w:hAnsi="Times New Roman" w:cs="Times New Roman"/>
          <w:sz w:val="24"/>
          <w:szCs w:val="24"/>
          <w:lang w:eastAsia="en-IN"/>
        </w:rPr>
        <w:t xml:space="preserve">The water imbibition pattern of </w:t>
      </w:r>
      <w:r w:rsidRPr="006C42BB">
        <w:rPr>
          <w:rFonts w:ascii="Times New Roman" w:eastAsia="Times New Roman" w:hAnsi="Times New Roman" w:cs="Times New Roman"/>
          <w:i/>
          <w:iCs/>
          <w:sz w:val="24"/>
          <w:szCs w:val="24"/>
        </w:rPr>
        <w:t>Cordia myxa</w:t>
      </w:r>
      <w:r w:rsidRPr="006C42BB">
        <w:rPr>
          <w:rFonts w:ascii="Times New Roman" w:eastAsia="Times New Roman" w:hAnsi="Times New Roman" w:cs="Times New Roman"/>
          <w:sz w:val="24"/>
          <w:szCs w:val="24"/>
        </w:rPr>
        <w:t xml:space="preserve"> Linn.</w:t>
      </w:r>
      <w:r w:rsidRPr="006C42BB">
        <w:rPr>
          <w:rFonts w:ascii="Times New Roman" w:eastAsia="Times New Roman" w:hAnsi="Times New Roman" w:cs="Times New Roman"/>
          <w:b/>
          <w:bCs/>
          <w:sz w:val="24"/>
          <w:szCs w:val="24"/>
        </w:rPr>
        <w:t xml:space="preserve"> </w:t>
      </w:r>
      <w:r w:rsidRPr="006C42BB">
        <w:rPr>
          <w:rFonts w:ascii="Times New Roman" w:eastAsia="Times New Roman" w:hAnsi="Times New Roman" w:cs="Times New Roman"/>
          <w:sz w:val="24"/>
          <w:szCs w:val="24"/>
          <w:lang w:eastAsia="en-IN"/>
        </w:rPr>
        <w:t xml:space="preserve">seeds </w:t>
      </w:r>
      <w:r w:rsidR="0052208B" w:rsidRPr="006C42BB">
        <w:rPr>
          <w:rFonts w:ascii="Times New Roman" w:eastAsia="Times New Roman" w:hAnsi="Times New Roman" w:cs="Times New Roman"/>
          <w:sz w:val="24"/>
          <w:szCs w:val="24"/>
          <w:lang w:eastAsia="en-IN"/>
        </w:rPr>
        <w:t>show</w:t>
      </w:r>
      <w:r w:rsidRPr="006C42BB">
        <w:rPr>
          <w:rFonts w:ascii="Times New Roman" w:eastAsia="Times New Roman" w:hAnsi="Times New Roman" w:cs="Times New Roman"/>
          <w:sz w:val="24"/>
          <w:szCs w:val="24"/>
          <w:lang w:eastAsia="en-IN"/>
        </w:rPr>
        <w:t xml:space="preserve"> a gradual increase in seed fresh weight over time</w:t>
      </w:r>
      <w:r w:rsidR="0052208B" w:rsidRPr="006C42BB">
        <w:rPr>
          <w:rFonts w:ascii="Times New Roman" w:eastAsia="Times New Roman" w:hAnsi="Times New Roman" w:cs="Times New Roman"/>
          <w:sz w:val="24"/>
          <w:szCs w:val="24"/>
          <w:lang w:eastAsia="en-IN"/>
        </w:rPr>
        <w:t xml:space="preserve"> (Fig 2)</w:t>
      </w:r>
      <w:r w:rsidRPr="006C42BB">
        <w:rPr>
          <w:rFonts w:ascii="Times New Roman" w:eastAsia="Times New Roman" w:hAnsi="Times New Roman" w:cs="Times New Roman"/>
          <w:sz w:val="24"/>
          <w:szCs w:val="24"/>
          <w:lang w:eastAsia="en-IN"/>
        </w:rPr>
        <w:t xml:space="preserve">, indicating a slow water absorption process. Initially, at 0 hours, there is no increase in fresh weight. By 2 hours, the weight increases to 15.80% (SE = 0.37), followed by a slight rise to 17.48% at 4 hours (SE = 0.38) and 18.88% at 8 hours (SE = 0.49). The absorption continues at a slow rate, reaching 19.55% (SE = 0.46) at 10 hours. A more </w:t>
      </w:r>
      <w:r w:rsidRPr="006C42BB">
        <w:rPr>
          <w:rFonts w:ascii="Times New Roman" w:eastAsia="Times New Roman" w:hAnsi="Times New Roman" w:cs="Times New Roman"/>
          <w:sz w:val="24"/>
          <w:szCs w:val="24"/>
          <w:lang w:eastAsia="en-IN"/>
        </w:rPr>
        <w:lastRenderedPageBreak/>
        <w:t>noticeable increase occurs at 24 hours (22.44%, SE = 0.48) and peaks at 25.35% (SE = 0.60) at 27 hours, before slightly declining to 24.07% (SE = 0.57) at 30 hours, possibly indicating stabilization or minor water loss. This pattern suggests a slow and steady imbibition process with a prolonged stabilization phase.</w:t>
      </w:r>
    </w:p>
    <w:p w14:paraId="1EB0AB04" w14:textId="77777777" w:rsidR="00FA73D7" w:rsidRPr="006C42BB" w:rsidRDefault="00FA73D7" w:rsidP="00EE155D">
      <w:pPr>
        <w:pStyle w:val="ListParagraph"/>
        <w:spacing w:before="100" w:beforeAutospacing="1" w:after="100" w:afterAutospacing="1"/>
        <w:jc w:val="both"/>
        <w:rPr>
          <w:rFonts w:ascii="Times New Roman" w:hAnsi="Times New Roman" w:cs="Times New Roman"/>
          <w:b/>
          <w:bCs/>
          <w:sz w:val="24"/>
          <w:szCs w:val="24"/>
        </w:rPr>
      </w:pPr>
      <w:r w:rsidRPr="006C42BB">
        <w:rPr>
          <w:rFonts w:ascii="Times New Roman" w:hAnsi="Times New Roman" w:cs="Times New Roman"/>
          <w:noProof/>
          <w:sz w:val="24"/>
          <w:szCs w:val="24"/>
          <w:lang w:val="en-IN" w:eastAsia="en-IN"/>
        </w:rPr>
        <w:drawing>
          <wp:inline distT="0" distB="0" distL="0" distR="0" wp14:anchorId="3B1ACCFC" wp14:editId="0E36BBA4">
            <wp:extent cx="4699000" cy="2385695"/>
            <wp:effectExtent l="0" t="0" r="25400" b="14605"/>
            <wp:docPr id="1563895385" name="Chart 1563895385">
              <a:extLst xmlns:a="http://schemas.openxmlformats.org/drawingml/2006/main">
                <a:ext uri="{FF2B5EF4-FFF2-40B4-BE49-F238E27FC236}">
                  <a16:creationId xmlns:a16="http://schemas.microsoft.com/office/drawing/2014/main" id="{00000000-0008-0000-0000-00003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9D713F" w14:textId="08A2D97A" w:rsidR="00FA73D7" w:rsidRPr="006C42BB" w:rsidRDefault="00FA73D7" w:rsidP="00D71C62">
      <w:pPr>
        <w:spacing w:before="100" w:beforeAutospacing="1" w:after="100" w:afterAutospacing="1"/>
        <w:jc w:val="center"/>
        <w:rPr>
          <w:rFonts w:ascii="Times New Roman" w:eastAsia="Times New Roman" w:hAnsi="Times New Roman" w:cs="Times New Roman"/>
          <w:sz w:val="24"/>
          <w:szCs w:val="24"/>
          <w:lang w:eastAsia="en-IN"/>
        </w:rPr>
      </w:pPr>
      <w:r w:rsidRPr="006C42BB">
        <w:rPr>
          <w:rFonts w:ascii="Times New Roman" w:hAnsi="Times New Roman" w:cs="Times New Roman"/>
          <w:b/>
          <w:bCs/>
          <w:sz w:val="24"/>
          <w:szCs w:val="24"/>
        </w:rPr>
        <w:t>Fig</w:t>
      </w:r>
      <w:r w:rsidR="0052208B" w:rsidRPr="006C42BB">
        <w:rPr>
          <w:rFonts w:ascii="Times New Roman" w:hAnsi="Times New Roman" w:cs="Times New Roman"/>
          <w:b/>
          <w:bCs/>
          <w:sz w:val="24"/>
          <w:szCs w:val="24"/>
        </w:rPr>
        <w:t xml:space="preserve"> 2.</w:t>
      </w:r>
      <w:r w:rsidRPr="006C42BB">
        <w:rPr>
          <w:rFonts w:ascii="Times New Roman" w:hAnsi="Times New Roman" w:cs="Times New Roman"/>
          <w:sz w:val="24"/>
          <w:szCs w:val="24"/>
        </w:rPr>
        <w:t xml:space="preserve"> Water Imbibition curve of </w:t>
      </w:r>
      <w:r w:rsidRPr="006C42BB">
        <w:rPr>
          <w:rFonts w:ascii="Times New Roman" w:eastAsia="Times New Roman" w:hAnsi="Times New Roman" w:cs="Times New Roman"/>
          <w:i/>
          <w:iCs/>
          <w:sz w:val="24"/>
          <w:szCs w:val="24"/>
        </w:rPr>
        <w:t>Cordia myxa</w:t>
      </w:r>
      <w:r w:rsidRPr="006C42BB">
        <w:rPr>
          <w:rFonts w:ascii="Times New Roman" w:eastAsia="Times New Roman" w:hAnsi="Times New Roman" w:cs="Times New Roman"/>
          <w:b/>
          <w:bCs/>
          <w:sz w:val="24"/>
          <w:szCs w:val="24"/>
        </w:rPr>
        <w:t xml:space="preserve"> </w:t>
      </w:r>
      <w:r w:rsidRPr="006C42BB">
        <w:rPr>
          <w:rFonts w:ascii="Times New Roman" w:hAnsi="Times New Roman" w:cs="Times New Roman"/>
          <w:sz w:val="24"/>
          <w:szCs w:val="24"/>
        </w:rPr>
        <w:t>Seeds over Time period</w:t>
      </w:r>
    </w:p>
    <w:p w14:paraId="7A02B7CD" w14:textId="77777777" w:rsidR="00C7458B" w:rsidRPr="006C42BB" w:rsidRDefault="0073534F" w:rsidP="00D71C62">
      <w:pPr>
        <w:spacing w:before="100" w:beforeAutospacing="1" w:after="100" w:afterAutospacing="1"/>
        <w:jc w:val="both"/>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Seed Pre-treatment</w:t>
      </w:r>
    </w:p>
    <w:p w14:paraId="7559DBB4" w14:textId="6E0FE9E1" w:rsidR="0052208B" w:rsidRPr="006C42BB" w:rsidRDefault="0052208B" w:rsidP="00D71C62">
      <w:pPr>
        <w:spacing w:before="100" w:beforeAutospacing="1" w:after="100" w:afterAutospacing="1"/>
        <w:jc w:val="both"/>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 xml:space="preserve">The effect of various seed pre-treatment methods on the germination and early growth characteristics of </w:t>
      </w:r>
      <w:r w:rsidRPr="006C42BB">
        <w:rPr>
          <w:rFonts w:ascii="Times New Roman" w:eastAsia="Times New Roman" w:hAnsi="Times New Roman" w:cs="Times New Roman"/>
          <w:i/>
          <w:iCs/>
          <w:sz w:val="24"/>
          <w:szCs w:val="24"/>
          <w:lang w:eastAsia="en-IN"/>
        </w:rPr>
        <w:t>Cordia myxa</w:t>
      </w:r>
      <w:r w:rsidRPr="006C42BB">
        <w:rPr>
          <w:rFonts w:ascii="Times New Roman" w:eastAsia="Times New Roman" w:hAnsi="Times New Roman" w:cs="Times New Roman"/>
          <w:sz w:val="24"/>
          <w:szCs w:val="24"/>
          <w:lang w:eastAsia="en-IN"/>
        </w:rPr>
        <w:t xml:space="preserve"> was evaluated through multiple parameters, including Mean Germination Time (MGT), germination percentage, root length, shoot length, and Vigour Index I. In the control treatment, seeds exhibited a germination percentage of 44.55%, MGT of 17.82 days, root length of 5.34 cm, shoot length of 11.09 cm, and a vigour index of 732.48. Soaking seeds in water for 48 hours improved germination to 65.00%, increased root and shoot lengths to 5.50 cm and 11.88 cm respectively, and elevated the vigour index to 975.26, though MGT slightly rose to 19.54 days. In contrast, acid scarification for 10 minutes followed by 48 hours water soaking led to poor outcomes, with only 19.87% germination, MGT of 21.36 days, and a reduced vigour index of 246.83. Immersion in hot water (80–100°C) for 5 minutes followed by 48 hours soaking significantly enhanced germination to 55.37%, with a root length of 5.64 cm, shoot length of 9.50 cm, and vigour index of 970.08. The most effective treatment was hot water for 5 minutes combined with 500 ppm GA₃ soaking for 48 hours, which achieved the highest germination rate (70.70%), a relatively low MGT of 19.12 days, and the greatest vigour index of 1043.43. Conversely, acid scarification followed by GA₃ soaking showed limited success, with only 25.08% germination and a lower vigour index (387.89). Statistical analysis confirmed that differences among treatments</w:t>
      </w:r>
      <w:r w:rsidR="00D334E6" w:rsidRPr="006C42BB">
        <w:rPr>
          <w:rFonts w:ascii="Times New Roman" w:eastAsia="Times New Roman" w:hAnsi="Times New Roman" w:cs="Times New Roman"/>
          <w:sz w:val="24"/>
          <w:szCs w:val="24"/>
          <w:lang w:eastAsia="en-IN"/>
        </w:rPr>
        <w:t xml:space="preserve"> (Table 3)</w:t>
      </w:r>
      <w:r w:rsidRPr="006C42BB">
        <w:rPr>
          <w:rFonts w:ascii="Times New Roman" w:eastAsia="Times New Roman" w:hAnsi="Times New Roman" w:cs="Times New Roman"/>
          <w:sz w:val="24"/>
          <w:szCs w:val="24"/>
          <w:lang w:eastAsia="en-IN"/>
        </w:rPr>
        <w:t xml:space="preserve"> were highly significant (p &lt; 0.001), highlighting the hot water plus GA₃ treatment as the most promising approach for improving seedling emergence and growth</w:t>
      </w:r>
      <w:r w:rsidR="00D334E6" w:rsidRPr="006C42BB">
        <w:rPr>
          <w:rFonts w:ascii="Times New Roman" w:eastAsia="Times New Roman" w:hAnsi="Times New Roman" w:cs="Times New Roman"/>
          <w:sz w:val="24"/>
          <w:szCs w:val="24"/>
          <w:lang w:eastAsia="en-IN"/>
        </w:rPr>
        <w:t xml:space="preserve"> (Fig 3)</w:t>
      </w:r>
      <w:r w:rsidRPr="006C42BB">
        <w:rPr>
          <w:rFonts w:ascii="Times New Roman" w:eastAsia="Times New Roman" w:hAnsi="Times New Roman" w:cs="Times New Roman"/>
          <w:sz w:val="24"/>
          <w:szCs w:val="24"/>
          <w:lang w:eastAsia="en-IN"/>
        </w:rPr>
        <w:t xml:space="preserve"> in </w:t>
      </w:r>
      <w:r w:rsidRPr="006C42BB">
        <w:rPr>
          <w:rFonts w:ascii="Times New Roman" w:eastAsia="Times New Roman" w:hAnsi="Times New Roman" w:cs="Times New Roman"/>
          <w:i/>
          <w:iCs/>
          <w:sz w:val="24"/>
          <w:szCs w:val="24"/>
          <w:lang w:eastAsia="en-IN"/>
        </w:rPr>
        <w:t>Cordia myxa</w:t>
      </w:r>
      <w:r w:rsidRPr="006C42BB">
        <w:rPr>
          <w:rFonts w:ascii="Times New Roman" w:eastAsia="Times New Roman" w:hAnsi="Times New Roman" w:cs="Times New Roman"/>
          <w:sz w:val="24"/>
          <w:szCs w:val="24"/>
          <w:lang w:eastAsia="en-IN"/>
        </w:rPr>
        <w:t>.</w:t>
      </w:r>
    </w:p>
    <w:p w14:paraId="70EC14D2" w14:textId="7CCFFBD7" w:rsidR="0073534F" w:rsidRPr="006C42BB" w:rsidRDefault="00D71C62" w:rsidP="0052208B">
      <w:pPr>
        <w:spacing w:before="100" w:beforeAutospacing="1" w:after="100" w:afterAutospacing="1"/>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b/>
          <w:sz w:val="24"/>
          <w:szCs w:val="24"/>
        </w:rPr>
        <w:t>Table</w:t>
      </w:r>
      <w:r w:rsidR="0052208B" w:rsidRPr="006C42BB">
        <w:rPr>
          <w:rFonts w:ascii="Times New Roman" w:eastAsia="Times New Roman" w:hAnsi="Times New Roman" w:cs="Times New Roman"/>
          <w:b/>
          <w:sz w:val="24"/>
          <w:szCs w:val="24"/>
        </w:rPr>
        <w:t xml:space="preserve"> 3.</w:t>
      </w:r>
      <w:r w:rsidRPr="006C42BB">
        <w:rPr>
          <w:rFonts w:ascii="Times New Roman" w:eastAsia="Times New Roman" w:hAnsi="Times New Roman" w:cs="Times New Roman"/>
          <w:bCs/>
          <w:sz w:val="24"/>
          <w:szCs w:val="24"/>
        </w:rPr>
        <w:t xml:space="preserve"> </w:t>
      </w:r>
      <w:r w:rsidR="0073534F" w:rsidRPr="006C42BB">
        <w:rPr>
          <w:rFonts w:ascii="Times New Roman" w:eastAsia="Times New Roman" w:hAnsi="Times New Roman" w:cs="Times New Roman"/>
          <w:bCs/>
          <w:sz w:val="24"/>
          <w:szCs w:val="24"/>
        </w:rPr>
        <w:t xml:space="preserve">Impact of seed pre-treatment methods on </w:t>
      </w:r>
      <w:r w:rsidR="0052208B" w:rsidRPr="006C42BB">
        <w:rPr>
          <w:rFonts w:ascii="Times New Roman" w:eastAsia="Times New Roman" w:hAnsi="Times New Roman" w:cs="Times New Roman"/>
          <w:bCs/>
          <w:sz w:val="24"/>
          <w:szCs w:val="24"/>
        </w:rPr>
        <w:t>seed quality parameters</w:t>
      </w:r>
      <w:r w:rsidR="0073534F" w:rsidRPr="006C42BB">
        <w:rPr>
          <w:rFonts w:ascii="Times New Roman" w:eastAsia="Times New Roman" w:hAnsi="Times New Roman" w:cs="Times New Roman"/>
          <w:bCs/>
          <w:sz w:val="24"/>
          <w:szCs w:val="24"/>
        </w:rPr>
        <w:t xml:space="preserve"> of </w:t>
      </w:r>
      <w:r w:rsidR="0073534F" w:rsidRPr="006C42BB">
        <w:rPr>
          <w:rFonts w:ascii="Times New Roman" w:eastAsia="Times New Roman" w:hAnsi="Times New Roman" w:cs="Times New Roman"/>
          <w:bCs/>
          <w:i/>
          <w:sz w:val="24"/>
          <w:szCs w:val="24"/>
        </w:rPr>
        <w:t xml:space="preserve">Cordia myxa </w:t>
      </w:r>
    </w:p>
    <w:tbl>
      <w:tblPr>
        <w:tblW w:w="5000" w:type="pct"/>
        <w:jc w:val="center"/>
        <w:shd w:val="clear" w:color="auto" w:fill="FFFFFF" w:themeFill="background1"/>
        <w:tblLayout w:type="fixed"/>
        <w:tblLook w:val="04A0" w:firstRow="1" w:lastRow="0" w:firstColumn="1" w:lastColumn="0" w:noHBand="0" w:noVBand="1"/>
      </w:tblPr>
      <w:tblGrid>
        <w:gridCol w:w="1643"/>
        <w:gridCol w:w="1538"/>
        <w:gridCol w:w="1733"/>
        <w:gridCol w:w="1159"/>
        <w:gridCol w:w="1277"/>
        <w:gridCol w:w="1666"/>
      </w:tblGrid>
      <w:tr w:rsidR="006C42BB" w:rsidRPr="006C42BB" w14:paraId="32B81C1B" w14:textId="77777777" w:rsidTr="00D334E6">
        <w:trPr>
          <w:trHeight w:val="290"/>
          <w:jc w:val="center"/>
        </w:trPr>
        <w:tc>
          <w:tcPr>
            <w:tcW w:w="9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E7B261" w14:textId="77777777" w:rsidR="0073534F" w:rsidRPr="006C42BB" w:rsidRDefault="0073534F" w:rsidP="00D71C62">
            <w:pPr>
              <w:spacing w:after="0"/>
              <w:jc w:val="center"/>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lastRenderedPageBreak/>
              <w:t>Treatment</w:t>
            </w:r>
          </w:p>
        </w:tc>
        <w:tc>
          <w:tcPr>
            <w:tcW w:w="853" w:type="pct"/>
            <w:tcBorders>
              <w:top w:val="single" w:sz="4" w:space="0" w:color="auto"/>
              <w:left w:val="nil"/>
              <w:bottom w:val="single" w:sz="4" w:space="0" w:color="auto"/>
              <w:right w:val="single" w:sz="4" w:space="0" w:color="auto"/>
            </w:tcBorders>
            <w:shd w:val="clear" w:color="auto" w:fill="FFFFFF" w:themeFill="background1"/>
            <w:vAlign w:val="center"/>
            <w:hideMark/>
          </w:tcPr>
          <w:p w14:paraId="72B2F0E7" w14:textId="77777777" w:rsidR="0073534F" w:rsidRPr="006C42BB" w:rsidRDefault="0073534F" w:rsidP="00D71C62">
            <w:pPr>
              <w:spacing w:after="0"/>
              <w:jc w:val="center"/>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MGT</w:t>
            </w:r>
          </w:p>
        </w:tc>
        <w:tc>
          <w:tcPr>
            <w:tcW w:w="961" w:type="pct"/>
            <w:tcBorders>
              <w:top w:val="single" w:sz="4" w:space="0" w:color="auto"/>
              <w:left w:val="nil"/>
              <w:bottom w:val="single" w:sz="4" w:space="0" w:color="auto"/>
              <w:right w:val="single" w:sz="4" w:space="0" w:color="auto"/>
            </w:tcBorders>
            <w:shd w:val="clear" w:color="auto" w:fill="FFFFFF" w:themeFill="background1"/>
            <w:vAlign w:val="center"/>
            <w:hideMark/>
          </w:tcPr>
          <w:p w14:paraId="55D0BA90" w14:textId="77777777" w:rsidR="0073534F" w:rsidRPr="006C42BB" w:rsidRDefault="0073534F" w:rsidP="00D71C62">
            <w:pPr>
              <w:spacing w:after="0"/>
              <w:jc w:val="center"/>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Germination%</w:t>
            </w:r>
          </w:p>
        </w:tc>
        <w:tc>
          <w:tcPr>
            <w:tcW w:w="643" w:type="pct"/>
            <w:tcBorders>
              <w:top w:val="single" w:sz="4" w:space="0" w:color="auto"/>
              <w:left w:val="nil"/>
              <w:bottom w:val="single" w:sz="4" w:space="0" w:color="auto"/>
              <w:right w:val="single" w:sz="4" w:space="0" w:color="auto"/>
            </w:tcBorders>
            <w:shd w:val="clear" w:color="auto" w:fill="FFFFFF" w:themeFill="background1"/>
            <w:vAlign w:val="center"/>
            <w:hideMark/>
          </w:tcPr>
          <w:p w14:paraId="43920ED6" w14:textId="77777777" w:rsidR="0073534F" w:rsidRPr="006C42BB" w:rsidRDefault="0073534F" w:rsidP="00D71C62">
            <w:pPr>
              <w:spacing w:after="0"/>
              <w:jc w:val="center"/>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Root length (cm)</w:t>
            </w:r>
          </w:p>
        </w:tc>
        <w:tc>
          <w:tcPr>
            <w:tcW w:w="708" w:type="pct"/>
            <w:tcBorders>
              <w:top w:val="single" w:sz="4" w:space="0" w:color="auto"/>
              <w:left w:val="nil"/>
              <w:bottom w:val="single" w:sz="4" w:space="0" w:color="auto"/>
              <w:right w:val="single" w:sz="4" w:space="0" w:color="auto"/>
            </w:tcBorders>
            <w:shd w:val="clear" w:color="auto" w:fill="FFFFFF" w:themeFill="background1"/>
            <w:vAlign w:val="center"/>
            <w:hideMark/>
          </w:tcPr>
          <w:p w14:paraId="5550107E" w14:textId="77777777" w:rsidR="0073534F" w:rsidRPr="006C42BB" w:rsidRDefault="0073534F" w:rsidP="00D71C62">
            <w:pPr>
              <w:spacing w:after="0"/>
              <w:jc w:val="center"/>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Shoot length (cm)</w:t>
            </w:r>
          </w:p>
        </w:tc>
        <w:tc>
          <w:tcPr>
            <w:tcW w:w="925"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7B958910" w14:textId="77777777" w:rsidR="0073534F" w:rsidRPr="006C42BB" w:rsidRDefault="0073534F" w:rsidP="00D71C62">
            <w:pPr>
              <w:spacing w:after="0"/>
              <w:jc w:val="center"/>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Vigour index I</w:t>
            </w:r>
          </w:p>
        </w:tc>
      </w:tr>
      <w:tr w:rsidR="006C42BB" w:rsidRPr="006C42BB" w14:paraId="2522850A" w14:textId="77777777" w:rsidTr="00D334E6">
        <w:trPr>
          <w:trHeight w:val="290"/>
          <w:jc w:val="center"/>
        </w:trPr>
        <w:tc>
          <w:tcPr>
            <w:tcW w:w="911" w:type="pct"/>
            <w:tcBorders>
              <w:top w:val="single" w:sz="4" w:space="0" w:color="auto"/>
              <w:left w:val="single" w:sz="4" w:space="0" w:color="auto"/>
              <w:bottom w:val="single" w:sz="4" w:space="0" w:color="auto"/>
              <w:right w:val="nil"/>
            </w:tcBorders>
            <w:shd w:val="clear" w:color="auto" w:fill="FFFFFF" w:themeFill="background1"/>
            <w:vAlign w:val="center"/>
            <w:hideMark/>
          </w:tcPr>
          <w:p w14:paraId="5C1B03DC"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Control</w:t>
            </w:r>
          </w:p>
        </w:tc>
        <w:tc>
          <w:tcPr>
            <w:tcW w:w="8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36FF6C7"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17.82±0.28</w:t>
            </w:r>
          </w:p>
        </w:tc>
        <w:tc>
          <w:tcPr>
            <w:tcW w:w="961" w:type="pct"/>
            <w:tcBorders>
              <w:top w:val="nil"/>
              <w:left w:val="nil"/>
              <w:bottom w:val="single" w:sz="4" w:space="0" w:color="auto"/>
              <w:right w:val="single" w:sz="4" w:space="0" w:color="auto"/>
            </w:tcBorders>
            <w:shd w:val="clear" w:color="auto" w:fill="FFFFFF" w:themeFill="background1"/>
            <w:noWrap/>
            <w:vAlign w:val="center"/>
            <w:hideMark/>
          </w:tcPr>
          <w:p w14:paraId="495ADA54"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44.55±0.69</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3D769E89"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5.34±0.08</w:t>
            </w:r>
          </w:p>
        </w:tc>
        <w:tc>
          <w:tcPr>
            <w:tcW w:w="708" w:type="pct"/>
            <w:tcBorders>
              <w:top w:val="nil"/>
              <w:left w:val="nil"/>
              <w:bottom w:val="single" w:sz="4" w:space="0" w:color="auto"/>
              <w:right w:val="single" w:sz="4" w:space="0" w:color="auto"/>
            </w:tcBorders>
            <w:shd w:val="clear" w:color="auto" w:fill="FFFFFF" w:themeFill="background1"/>
            <w:noWrap/>
            <w:vAlign w:val="center"/>
            <w:hideMark/>
          </w:tcPr>
          <w:p w14:paraId="0AACB554"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11.09±0.17</w:t>
            </w:r>
          </w:p>
        </w:tc>
        <w:tc>
          <w:tcPr>
            <w:tcW w:w="925" w:type="pct"/>
            <w:tcBorders>
              <w:top w:val="nil"/>
              <w:left w:val="nil"/>
              <w:bottom w:val="single" w:sz="4" w:space="0" w:color="auto"/>
              <w:right w:val="single" w:sz="4" w:space="0" w:color="auto"/>
            </w:tcBorders>
            <w:shd w:val="clear" w:color="auto" w:fill="FFFFFF" w:themeFill="background1"/>
            <w:noWrap/>
            <w:vAlign w:val="center"/>
            <w:hideMark/>
          </w:tcPr>
          <w:p w14:paraId="1EB51CE7"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732.48±22.44</w:t>
            </w:r>
          </w:p>
        </w:tc>
      </w:tr>
      <w:tr w:rsidR="006C42BB" w:rsidRPr="006C42BB" w14:paraId="58CE2840" w14:textId="77777777" w:rsidTr="00D334E6">
        <w:trPr>
          <w:trHeight w:val="290"/>
          <w:jc w:val="center"/>
        </w:trPr>
        <w:tc>
          <w:tcPr>
            <w:tcW w:w="911" w:type="pct"/>
            <w:tcBorders>
              <w:top w:val="nil"/>
              <w:left w:val="single" w:sz="4" w:space="0" w:color="auto"/>
              <w:bottom w:val="single" w:sz="4" w:space="0" w:color="auto"/>
              <w:right w:val="nil"/>
            </w:tcBorders>
            <w:shd w:val="clear" w:color="auto" w:fill="FFFFFF" w:themeFill="background1"/>
            <w:vAlign w:val="center"/>
            <w:hideMark/>
          </w:tcPr>
          <w:p w14:paraId="3856902C"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48 hrs water soaking</w:t>
            </w:r>
          </w:p>
        </w:tc>
        <w:tc>
          <w:tcPr>
            <w:tcW w:w="8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BE5C305"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19.54±0.23</w:t>
            </w:r>
          </w:p>
        </w:tc>
        <w:tc>
          <w:tcPr>
            <w:tcW w:w="961" w:type="pct"/>
            <w:tcBorders>
              <w:top w:val="nil"/>
              <w:left w:val="nil"/>
              <w:bottom w:val="single" w:sz="4" w:space="0" w:color="auto"/>
              <w:right w:val="single" w:sz="4" w:space="0" w:color="auto"/>
            </w:tcBorders>
            <w:shd w:val="clear" w:color="auto" w:fill="FFFFFF" w:themeFill="background1"/>
            <w:noWrap/>
            <w:vAlign w:val="center"/>
            <w:hideMark/>
          </w:tcPr>
          <w:p w14:paraId="68778B41"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65.00±0.75</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D2620F1"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5.50±0.06</w:t>
            </w:r>
          </w:p>
        </w:tc>
        <w:tc>
          <w:tcPr>
            <w:tcW w:w="708" w:type="pct"/>
            <w:tcBorders>
              <w:top w:val="nil"/>
              <w:left w:val="nil"/>
              <w:bottom w:val="single" w:sz="4" w:space="0" w:color="auto"/>
              <w:right w:val="single" w:sz="4" w:space="0" w:color="auto"/>
            </w:tcBorders>
            <w:shd w:val="clear" w:color="auto" w:fill="FFFFFF" w:themeFill="background1"/>
            <w:noWrap/>
            <w:vAlign w:val="center"/>
            <w:hideMark/>
          </w:tcPr>
          <w:p w14:paraId="4ACA9FB5"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11.88±0.14</w:t>
            </w:r>
          </w:p>
        </w:tc>
        <w:tc>
          <w:tcPr>
            <w:tcW w:w="925" w:type="pct"/>
            <w:tcBorders>
              <w:top w:val="nil"/>
              <w:left w:val="nil"/>
              <w:bottom w:val="single" w:sz="4" w:space="0" w:color="auto"/>
              <w:right w:val="single" w:sz="4" w:space="0" w:color="auto"/>
            </w:tcBorders>
            <w:shd w:val="clear" w:color="auto" w:fill="FFFFFF" w:themeFill="background1"/>
            <w:noWrap/>
            <w:vAlign w:val="center"/>
            <w:hideMark/>
          </w:tcPr>
          <w:p w14:paraId="5A5DBAA5"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975.26±22.52</w:t>
            </w:r>
          </w:p>
        </w:tc>
      </w:tr>
      <w:tr w:rsidR="006C42BB" w:rsidRPr="006C42BB" w14:paraId="66C8F803" w14:textId="77777777" w:rsidTr="00D334E6">
        <w:trPr>
          <w:trHeight w:val="290"/>
          <w:jc w:val="center"/>
        </w:trPr>
        <w:tc>
          <w:tcPr>
            <w:tcW w:w="911" w:type="pct"/>
            <w:tcBorders>
              <w:top w:val="nil"/>
              <w:left w:val="single" w:sz="4" w:space="0" w:color="auto"/>
              <w:bottom w:val="single" w:sz="4" w:space="0" w:color="auto"/>
              <w:right w:val="nil"/>
            </w:tcBorders>
            <w:shd w:val="clear" w:color="auto" w:fill="FFFFFF" w:themeFill="background1"/>
            <w:vAlign w:val="center"/>
            <w:hideMark/>
          </w:tcPr>
          <w:p w14:paraId="77EB170F"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Acid 10 minute+48 hours soaking in water</w:t>
            </w:r>
          </w:p>
        </w:tc>
        <w:tc>
          <w:tcPr>
            <w:tcW w:w="8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0E0854D"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21.36±0.38</w:t>
            </w:r>
          </w:p>
        </w:tc>
        <w:tc>
          <w:tcPr>
            <w:tcW w:w="961" w:type="pct"/>
            <w:tcBorders>
              <w:top w:val="nil"/>
              <w:left w:val="nil"/>
              <w:bottom w:val="single" w:sz="4" w:space="0" w:color="auto"/>
              <w:right w:val="single" w:sz="4" w:space="0" w:color="auto"/>
            </w:tcBorders>
            <w:shd w:val="clear" w:color="auto" w:fill="FFFFFF" w:themeFill="background1"/>
            <w:noWrap/>
            <w:vAlign w:val="center"/>
            <w:hideMark/>
          </w:tcPr>
          <w:p w14:paraId="10668F5A"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19.87±0.35</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99621E6"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4.07±0.07</w:t>
            </w:r>
          </w:p>
        </w:tc>
        <w:tc>
          <w:tcPr>
            <w:tcW w:w="708" w:type="pct"/>
            <w:tcBorders>
              <w:top w:val="nil"/>
              <w:left w:val="nil"/>
              <w:bottom w:val="single" w:sz="4" w:space="0" w:color="auto"/>
              <w:right w:val="single" w:sz="4" w:space="0" w:color="auto"/>
            </w:tcBorders>
            <w:shd w:val="clear" w:color="auto" w:fill="FFFFFF" w:themeFill="background1"/>
            <w:noWrap/>
            <w:vAlign w:val="center"/>
            <w:hideMark/>
          </w:tcPr>
          <w:p w14:paraId="1F9F42DB"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8.34±0.15</w:t>
            </w:r>
          </w:p>
        </w:tc>
        <w:tc>
          <w:tcPr>
            <w:tcW w:w="925" w:type="pct"/>
            <w:tcBorders>
              <w:top w:val="nil"/>
              <w:left w:val="nil"/>
              <w:bottom w:val="single" w:sz="4" w:space="0" w:color="auto"/>
              <w:right w:val="single" w:sz="4" w:space="0" w:color="auto"/>
            </w:tcBorders>
            <w:shd w:val="clear" w:color="auto" w:fill="FFFFFF" w:themeFill="background1"/>
            <w:noWrap/>
            <w:vAlign w:val="center"/>
            <w:hideMark/>
          </w:tcPr>
          <w:p w14:paraId="3BD49E48"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246.83±8.72</w:t>
            </w:r>
          </w:p>
        </w:tc>
      </w:tr>
      <w:tr w:rsidR="006C42BB" w:rsidRPr="006C42BB" w14:paraId="4C095EFE" w14:textId="77777777" w:rsidTr="00D334E6">
        <w:trPr>
          <w:trHeight w:val="520"/>
          <w:jc w:val="center"/>
        </w:trPr>
        <w:tc>
          <w:tcPr>
            <w:tcW w:w="911" w:type="pct"/>
            <w:tcBorders>
              <w:top w:val="nil"/>
              <w:left w:val="single" w:sz="4" w:space="0" w:color="auto"/>
              <w:bottom w:val="single" w:sz="4" w:space="0" w:color="auto"/>
              <w:right w:val="nil"/>
            </w:tcBorders>
            <w:shd w:val="clear" w:color="auto" w:fill="FFFFFF" w:themeFill="background1"/>
            <w:vAlign w:val="center"/>
            <w:hideMark/>
          </w:tcPr>
          <w:p w14:paraId="46DF6C59" w14:textId="3F6E19F8"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 xml:space="preserve">Immersion in hot water (80-100°C) for 5 </w:t>
            </w:r>
            <w:r w:rsidR="00D334E6" w:rsidRPr="006C42BB">
              <w:rPr>
                <w:rFonts w:ascii="Times New Roman" w:eastAsia="Times New Roman" w:hAnsi="Times New Roman" w:cs="Times New Roman"/>
                <w:sz w:val="24"/>
                <w:szCs w:val="24"/>
                <w:lang w:eastAsia="en-IN"/>
              </w:rPr>
              <w:t>minutes</w:t>
            </w:r>
            <w:r w:rsidRPr="006C42BB">
              <w:rPr>
                <w:rFonts w:ascii="Times New Roman" w:eastAsia="Times New Roman" w:hAnsi="Times New Roman" w:cs="Times New Roman"/>
                <w:sz w:val="24"/>
                <w:szCs w:val="24"/>
                <w:lang w:eastAsia="en-IN"/>
              </w:rPr>
              <w:t xml:space="preserve"> followed by 48 hours soaking</w:t>
            </w:r>
          </w:p>
        </w:tc>
        <w:tc>
          <w:tcPr>
            <w:tcW w:w="8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44C6355"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20.50±0.25</w:t>
            </w:r>
          </w:p>
        </w:tc>
        <w:tc>
          <w:tcPr>
            <w:tcW w:w="961" w:type="pct"/>
            <w:tcBorders>
              <w:top w:val="nil"/>
              <w:left w:val="nil"/>
              <w:bottom w:val="single" w:sz="4" w:space="0" w:color="auto"/>
              <w:right w:val="single" w:sz="4" w:space="0" w:color="auto"/>
            </w:tcBorders>
            <w:shd w:val="clear" w:color="auto" w:fill="FFFFFF" w:themeFill="background1"/>
            <w:noWrap/>
            <w:vAlign w:val="center"/>
            <w:hideMark/>
          </w:tcPr>
          <w:p w14:paraId="018B74EC"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55.37±0.66</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E112852"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5.64±0.07</w:t>
            </w:r>
          </w:p>
        </w:tc>
        <w:tc>
          <w:tcPr>
            <w:tcW w:w="708" w:type="pct"/>
            <w:tcBorders>
              <w:top w:val="nil"/>
              <w:left w:val="nil"/>
              <w:bottom w:val="single" w:sz="4" w:space="0" w:color="auto"/>
              <w:right w:val="single" w:sz="4" w:space="0" w:color="auto"/>
            </w:tcBorders>
            <w:shd w:val="clear" w:color="auto" w:fill="FFFFFF" w:themeFill="background1"/>
            <w:noWrap/>
            <w:vAlign w:val="center"/>
            <w:hideMark/>
          </w:tcPr>
          <w:p w14:paraId="5344C089"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9.50±0.11</w:t>
            </w:r>
          </w:p>
        </w:tc>
        <w:tc>
          <w:tcPr>
            <w:tcW w:w="925" w:type="pct"/>
            <w:tcBorders>
              <w:top w:val="nil"/>
              <w:left w:val="nil"/>
              <w:bottom w:val="single" w:sz="4" w:space="0" w:color="auto"/>
              <w:right w:val="single" w:sz="4" w:space="0" w:color="auto"/>
            </w:tcBorders>
            <w:shd w:val="clear" w:color="auto" w:fill="FFFFFF" w:themeFill="background1"/>
            <w:noWrap/>
            <w:vAlign w:val="center"/>
            <w:hideMark/>
          </w:tcPr>
          <w:p w14:paraId="0F9B188C"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970.08±23.26</w:t>
            </w:r>
          </w:p>
        </w:tc>
      </w:tr>
      <w:tr w:rsidR="006C42BB" w:rsidRPr="006C42BB" w14:paraId="3249E9FF" w14:textId="77777777" w:rsidTr="00D334E6">
        <w:trPr>
          <w:trHeight w:val="290"/>
          <w:jc w:val="center"/>
        </w:trPr>
        <w:tc>
          <w:tcPr>
            <w:tcW w:w="911" w:type="pct"/>
            <w:tcBorders>
              <w:top w:val="nil"/>
              <w:left w:val="single" w:sz="4" w:space="0" w:color="auto"/>
              <w:bottom w:val="single" w:sz="4" w:space="0" w:color="auto"/>
              <w:right w:val="nil"/>
            </w:tcBorders>
            <w:shd w:val="clear" w:color="auto" w:fill="FFFFFF" w:themeFill="background1"/>
            <w:vAlign w:val="center"/>
            <w:hideMark/>
          </w:tcPr>
          <w:p w14:paraId="1E8E0F97"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Hot water 5 minute+ GA3 500 48 hours soaking</w:t>
            </w:r>
          </w:p>
        </w:tc>
        <w:tc>
          <w:tcPr>
            <w:tcW w:w="8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AF8DB1D"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19.12±0.39</w:t>
            </w:r>
          </w:p>
        </w:tc>
        <w:tc>
          <w:tcPr>
            <w:tcW w:w="961" w:type="pct"/>
            <w:tcBorders>
              <w:top w:val="nil"/>
              <w:left w:val="nil"/>
              <w:bottom w:val="single" w:sz="4" w:space="0" w:color="auto"/>
              <w:right w:val="single" w:sz="4" w:space="0" w:color="auto"/>
            </w:tcBorders>
            <w:shd w:val="clear" w:color="auto" w:fill="FFFFFF" w:themeFill="background1"/>
            <w:noWrap/>
            <w:vAlign w:val="center"/>
            <w:hideMark/>
          </w:tcPr>
          <w:p w14:paraId="47FAB769"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70.70±1.46</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85B02BE"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4.95±0.10</w:t>
            </w:r>
          </w:p>
        </w:tc>
        <w:tc>
          <w:tcPr>
            <w:tcW w:w="708" w:type="pct"/>
            <w:tcBorders>
              <w:top w:val="nil"/>
              <w:left w:val="nil"/>
              <w:bottom w:val="single" w:sz="4" w:space="0" w:color="auto"/>
              <w:right w:val="single" w:sz="4" w:space="0" w:color="auto"/>
            </w:tcBorders>
            <w:shd w:val="clear" w:color="auto" w:fill="FFFFFF" w:themeFill="background1"/>
            <w:noWrap/>
            <w:vAlign w:val="center"/>
            <w:hideMark/>
          </w:tcPr>
          <w:p w14:paraId="56853DCA"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9.80±0.20</w:t>
            </w:r>
          </w:p>
        </w:tc>
        <w:tc>
          <w:tcPr>
            <w:tcW w:w="925" w:type="pct"/>
            <w:tcBorders>
              <w:top w:val="nil"/>
              <w:left w:val="nil"/>
              <w:bottom w:val="single" w:sz="4" w:space="0" w:color="auto"/>
              <w:right w:val="single" w:sz="4" w:space="0" w:color="auto"/>
            </w:tcBorders>
            <w:shd w:val="clear" w:color="auto" w:fill="FFFFFF" w:themeFill="background1"/>
            <w:noWrap/>
            <w:vAlign w:val="center"/>
            <w:hideMark/>
          </w:tcPr>
          <w:p w14:paraId="50A05782"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1043.43±43.27</w:t>
            </w:r>
          </w:p>
        </w:tc>
      </w:tr>
      <w:tr w:rsidR="006C42BB" w:rsidRPr="006C42BB" w14:paraId="4FF276F9" w14:textId="77777777" w:rsidTr="00D334E6">
        <w:trPr>
          <w:trHeight w:val="290"/>
          <w:jc w:val="center"/>
        </w:trPr>
        <w:tc>
          <w:tcPr>
            <w:tcW w:w="911" w:type="pct"/>
            <w:tcBorders>
              <w:top w:val="nil"/>
              <w:left w:val="single" w:sz="4" w:space="0" w:color="auto"/>
              <w:bottom w:val="single" w:sz="4" w:space="0" w:color="auto"/>
              <w:right w:val="nil"/>
            </w:tcBorders>
            <w:shd w:val="clear" w:color="auto" w:fill="FFFFFF" w:themeFill="background1"/>
            <w:vAlign w:val="center"/>
            <w:hideMark/>
          </w:tcPr>
          <w:p w14:paraId="58A2B852"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Acid 10 minute + GA3 500 PPM 48 hours soaking</w:t>
            </w:r>
          </w:p>
        </w:tc>
        <w:tc>
          <w:tcPr>
            <w:tcW w:w="8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5861613"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24.88±0.50</w:t>
            </w:r>
          </w:p>
        </w:tc>
        <w:tc>
          <w:tcPr>
            <w:tcW w:w="961" w:type="pct"/>
            <w:tcBorders>
              <w:top w:val="nil"/>
              <w:left w:val="nil"/>
              <w:bottom w:val="single" w:sz="4" w:space="0" w:color="auto"/>
              <w:right w:val="single" w:sz="4" w:space="0" w:color="auto"/>
            </w:tcBorders>
            <w:shd w:val="clear" w:color="auto" w:fill="FFFFFF" w:themeFill="background1"/>
            <w:noWrap/>
            <w:vAlign w:val="center"/>
            <w:hideMark/>
          </w:tcPr>
          <w:p w14:paraId="3409D382"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25.08±0.51</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803FEC3"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4.92±0.10</w:t>
            </w:r>
          </w:p>
        </w:tc>
        <w:tc>
          <w:tcPr>
            <w:tcW w:w="708" w:type="pct"/>
            <w:tcBorders>
              <w:top w:val="nil"/>
              <w:left w:val="nil"/>
              <w:bottom w:val="single" w:sz="4" w:space="0" w:color="auto"/>
              <w:right w:val="single" w:sz="4" w:space="0" w:color="auto"/>
            </w:tcBorders>
            <w:shd w:val="clear" w:color="auto" w:fill="FFFFFF" w:themeFill="background1"/>
            <w:noWrap/>
            <w:vAlign w:val="center"/>
            <w:hideMark/>
          </w:tcPr>
          <w:p w14:paraId="4C516531"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10.54±0.21</w:t>
            </w:r>
          </w:p>
        </w:tc>
        <w:tc>
          <w:tcPr>
            <w:tcW w:w="925" w:type="pct"/>
            <w:tcBorders>
              <w:top w:val="nil"/>
              <w:left w:val="nil"/>
              <w:bottom w:val="single" w:sz="4" w:space="0" w:color="auto"/>
              <w:right w:val="single" w:sz="4" w:space="0" w:color="auto"/>
            </w:tcBorders>
            <w:shd w:val="clear" w:color="auto" w:fill="FFFFFF" w:themeFill="background1"/>
            <w:noWrap/>
            <w:vAlign w:val="center"/>
            <w:hideMark/>
          </w:tcPr>
          <w:p w14:paraId="69A3E76F"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387.89±15.70</w:t>
            </w:r>
          </w:p>
        </w:tc>
      </w:tr>
      <w:tr w:rsidR="006C42BB" w:rsidRPr="006C42BB" w14:paraId="4020F468" w14:textId="77777777" w:rsidTr="00D334E6">
        <w:trPr>
          <w:trHeight w:val="290"/>
          <w:jc w:val="center"/>
        </w:trPr>
        <w:tc>
          <w:tcPr>
            <w:tcW w:w="911" w:type="pct"/>
            <w:tcBorders>
              <w:top w:val="nil"/>
              <w:left w:val="single" w:sz="4" w:space="0" w:color="000000"/>
              <w:bottom w:val="single" w:sz="4" w:space="0" w:color="000000"/>
              <w:right w:val="nil"/>
            </w:tcBorders>
            <w:shd w:val="clear" w:color="auto" w:fill="FFFFFF" w:themeFill="background1"/>
            <w:vAlign w:val="center"/>
            <w:hideMark/>
          </w:tcPr>
          <w:p w14:paraId="23CB0CA5"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C.D.</w:t>
            </w:r>
          </w:p>
        </w:tc>
        <w:tc>
          <w:tcPr>
            <w:tcW w:w="853"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B0D5C8"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1.09</w:t>
            </w:r>
          </w:p>
        </w:tc>
        <w:tc>
          <w:tcPr>
            <w:tcW w:w="961" w:type="pct"/>
            <w:tcBorders>
              <w:top w:val="nil"/>
              <w:left w:val="nil"/>
              <w:bottom w:val="single" w:sz="4" w:space="0" w:color="auto"/>
              <w:right w:val="single" w:sz="4" w:space="0" w:color="auto"/>
            </w:tcBorders>
            <w:shd w:val="clear" w:color="auto" w:fill="FFFFFF" w:themeFill="background1"/>
            <w:vAlign w:val="center"/>
            <w:hideMark/>
          </w:tcPr>
          <w:p w14:paraId="7E062A33"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2.54</w:t>
            </w:r>
          </w:p>
        </w:tc>
        <w:tc>
          <w:tcPr>
            <w:tcW w:w="643" w:type="pct"/>
            <w:tcBorders>
              <w:top w:val="nil"/>
              <w:left w:val="nil"/>
              <w:bottom w:val="single" w:sz="4" w:space="0" w:color="000000"/>
              <w:right w:val="single" w:sz="4" w:space="0" w:color="000000"/>
            </w:tcBorders>
            <w:shd w:val="clear" w:color="auto" w:fill="FFFFFF" w:themeFill="background1"/>
            <w:vAlign w:val="center"/>
            <w:hideMark/>
          </w:tcPr>
          <w:p w14:paraId="4D8DF0D8"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0.26</w:t>
            </w:r>
          </w:p>
        </w:tc>
        <w:tc>
          <w:tcPr>
            <w:tcW w:w="708" w:type="pct"/>
            <w:tcBorders>
              <w:top w:val="nil"/>
              <w:left w:val="nil"/>
              <w:bottom w:val="single" w:sz="4" w:space="0" w:color="000000"/>
              <w:right w:val="single" w:sz="4" w:space="0" w:color="000000"/>
            </w:tcBorders>
            <w:shd w:val="clear" w:color="auto" w:fill="FFFFFF" w:themeFill="background1"/>
            <w:vAlign w:val="center"/>
            <w:hideMark/>
          </w:tcPr>
          <w:p w14:paraId="595D744C"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0.52</w:t>
            </w:r>
          </w:p>
        </w:tc>
        <w:tc>
          <w:tcPr>
            <w:tcW w:w="925" w:type="pct"/>
            <w:tcBorders>
              <w:top w:val="nil"/>
              <w:left w:val="nil"/>
              <w:bottom w:val="single" w:sz="4" w:space="0" w:color="000000"/>
              <w:right w:val="single" w:sz="4" w:space="0" w:color="000000"/>
            </w:tcBorders>
            <w:shd w:val="clear" w:color="auto" w:fill="FFFFFF" w:themeFill="background1"/>
            <w:vAlign w:val="center"/>
            <w:hideMark/>
          </w:tcPr>
          <w:p w14:paraId="71435BAD"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77.85</w:t>
            </w:r>
          </w:p>
        </w:tc>
      </w:tr>
      <w:tr w:rsidR="006C42BB" w:rsidRPr="006C42BB" w14:paraId="78C2B778" w14:textId="77777777" w:rsidTr="00D334E6">
        <w:trPr>
          <w:trHeight w:val="290"/>
          <w:jc w:val="center"/>
        </w:trPr>
        <w:tc>
          <w:tcPr>
            <w:tcW w:w="911" w:type="pct"/>
            <w:tcBorders>
              <w:top w:val="nil"/>
              <w:left w:val="single" w:sz="4" w:space="0" w:color="000000"/>
              <w:bottom w:val="single" w:sz="4" w:space="0" w:color="000000"/>
              <w:right w:val="nil"/>
            </w:tcBorders>
            <w:shd w:val="clear" w:color="auto" w:fill="FFFFFF" w:themeFill="background1"/>
            <w:vAlign w:val="center"/>
            <w:hideMark/>
          </w:tcPr>
          <w:p w14:paraId="4B4D1DA9"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SE(m)</w:t>
            </w:r>
          </w:p>
        </w:tc>
        <w:tc>
          <w:tcPr>
            <w:tcW w:w="853"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77BB1A"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0.35</w:t>
            </w:r>
          </w:p>
        </w:tc>
        <w:tc>
          <w:tcPr>
            <w:tcW w:w="961" w:type="pct"/>
            <w:tcBorders>
              <w:top w:val="nil"/>
              <w:left w:val="nil"/>
              <w:bottom w:val="single" w:sz="4" w:space="0" w:color="auto"/>
              <w:right w:val="single" w:sz="4" w:space="0" w:color="auto"/>
            </w:tcBorders>
            <w:shd w:val="clear" w:color="auto" w:fill="FFFFFF" w:themeFill="background1"/>
            <w:vAlign w:val="center"/>
            <w:hideMark/>
          </w:tcPr>
          <w:p w14:paraId="5451C510"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0.81</w:t>
            </w:r>
          </w:p>
        </w:tc>
        <w:tc>
          <w:tcPr>
            <w:tcW w:w="643" w:type="pct"/>
            <w:tcBorders>
              <w:top w:val="nil"/>
              <w:left w:val="nil"/>
              <w:bottom w:val="single" w:sz="4" w:space="0" w:color="000000"/>
              <w:right w:val="single" w:sz="4" w:space="0" w:color="000000"/>
            </w:tcBorders>
            <w:shd w:val="clear" w:color="auto" w:fill="FFFFFF" w:themeFill="background1"/>
            <w:vAlign w:val="center"/>
            <w:hideMark/>
          </w:tcPr>
          <w:p w14:paraId="6001D0E0"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0.08</w:t>
            </w:r>
          </w:p>
        </w:tc>
        <w:tc>
          <w:tcPr>
            <w:tcW w:w="708" w:type="pct"/>
            <w:tcBorders>
              <w:top w:val="nil"/>
              <w:left w:val="nil"/>
              <w:bottom w:val="single" w:sz="4" w:space="0" w:color="000000"/>
              <w:right w:val="single" w:sz="4" w:space="0" w:color="000000"/>
            </w:tcBorders>
            <w:shd w:val="clear" w:color="auto" w:fill="FFFFFF" w:themeFill="background1"/>
            <w:vAlign w:val="center"/>
            <w:hideMark/>
          </w:tcPr>
          <w:p w14:paraId="40B707F4"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0.17</w:t>
            </w:r>
          </w:p>
        </w:tc>
        <w:tc>
          <w:tcPr>
            <w:tcW w:w="925" w:type="pct"/>
            <w:tcBorders>
              <w:top w:val="nil"/>
              <w:left w:val="nil"/>
              <w:bottom w:val="single" w:sz="4" w:space="0" w:color="000000"/>
              <w:right w:val="single" w:sz="4" w:space="0" w:color="000000"/>
            </w:tcBorders>
            <w:shd w:val="clear" w:color="auto" w:fill="FFFFFF" w:themeFill="background1"/>
            <w:vAlign w:val="center"/>
            <w:hideMark/>
          </w:tcPr>
          <w:p w14:paraId="48B8E8AB"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24.99</w:t>
            </w:r>
          </w:p>
        </w:tc>
      </w:tr>
      <w:tr w:rsidR="006C42BB" w:rsidRPr="006C42BB" w14:paraId="2F455F0E" w14:textId="77777777" w:rsidTr="00D334E6">
        <w:trPr>
          <w:trHeight w:val="320"/>
          <w:jc w:val="center"/>
        </w:trPr>
        <w:tc>
          <w:tcPr>
            <w:tcW w:w="911" w:type="pct"/>
            <w:tcBorders>
              <w:top w:val="nil"/>
              <w:left w:val="single" w:sz="4" w:space="0" w:color="000000"/>
              <w:bottom w:val="single" w:sz="4" w:space="0" w:color="000000"/>
              <w:right w:val="nil"/>
            </w:tcBorders>
            <w:shd w:val="clear" w:color="auto" w:fill="FFFFFF" w:themeFill="background1"/>
            <w:vAlign w:val="center"/>
            <w:hideMark/>
          </w:tcPr>
          <w:p w14:paraId="61055E25"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C.V.</w:t>
            </w:r>
          </w:p>
        </w:tc>
        <w:tc>
          <w:tcPr>
            <w:tcW w:w="853"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F98C7B"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2.96</w:t>
            </w:r>
          </w:p>
        </w:tc>
        <w:tc>
          <w:tcPr>
            <w:tcW w:w="961" w:type="pct"/>
            <w:tcBorders>
              <w:top w:val="nil"/>
              <w:left w:val="nil"/>
              <w:bottom w:val="single" w:sz="4" w:space="0" w:color="auto"/>
              <w:right w:val="single" w:sz="4" w:space="0" w:color="auto"/>
            </w:tcBorders>
            <w:shd w:val="clear" w:color="auto" w:fill="FFFFFF" w:themeFill="background1"/>
            <w:vAlign w:val="center"/>
            <w:hideMark/>
          </w:tcPr>
          <w:p w14:paraId="718F18C2"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3.02</w:t>
            </w:r>
          </w:p>
        </w:tc>
        <w:tc>
          <w:tcPr>
            <w:tcW w:w="643" w:type="pct"/>
            <w:tcBorders>
              <w:top w:val="nil"/>
              <w:left w:val="nil"/>
              <w:bottom w:val="single" w:sz="4" w:space="0" w:color="000000"/>
              <w:right w:val="single" w:sz="4" w:space="0" w:color="000000"/>
            </w:tcBorders>
            <w:shd w:val="clear" w:color="auto" w:fill="FFFFFF" w:themeFill="background1"/>
            <w:vAlign w:val="center"/>
            <w:hideMark/>
          </w:tcPr>
          <w:p w14:paraId="19B5AEA9"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2.85</w:t>
            </w:r>
          </w:p>
        </w:tc>
        <w:tc>
          <w:tcPr>
            <w:tcW w:w="708" w:type="pct"/>
            <w:tcBorders>
              <w:top w:val="nil"/>
              <w:left w:val="nil"/>
              <w:bottom w:val="single" w:sz="4" w:space="0" w:color="000000"/>
              <w:right w:val="single" w:sz="4" w:space="0" w:color="000000"/>
            </w:tcBorders>
            <w:shd w:val="clear" w:color="auto" w:fill="FFFFFF" w:themeFill="background1"/>
            <w:vAlign w:val="center"/>
            <w:hideMark/>
          </w:tcPr>
          <w:p w14:paraId="69FA3753"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2.86</w:t>
            </w:r>
          </w:p>
        </w:tc>
        <w:tc>
          <w:tcPr>
            <w:tcW w:w="925" w:type="pct"/>
            <w:tcBorders>
              <w:top w:val="nil"/>
              <w:left w:val="nil"/>
              <w:bottom w:val="single" w:sz="4" w:space="0" w:color="000000"/>
              <w:right w:val="single" w:sz="4" w:space="0" w:color="000000"/>
            </w:tcBorders>
            <w:shd w:val="clear" w:color="auto" w:fill="FFFFFF" w:themeFill="background1"/>
            <w:vAlign w:val="center"/>
            <w:hideMark/>
          </w:tcPr>
          <w:p w14:paraId="3F295241"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5.96</w:t>
            </w:r>
          </w:p>
        </w:tc>
      </w:tr>
      <w:tr w:rsidR="006C42BB" w:rsidRPr="006C42BB" w14:paraId="0FBE5A63" w14:textId="77777777" w:rsidTr="00D334E6">
        <w:trPr>
          <w:trHeight w:val="290"/>
          <w:jc w:val="center"/>
        </w:trPr>
        <w:tc>
          <w:tcPr>
            <w:tcW w:w="911" w:type="pct"/>
            <w:tcBorders>
              <w:top w:val="nil"/>
              <w:left w:val="single" w:sz="4" w:space="0" w:color="000000"/>
              <w:bottom w:val="single" w:sz="4" w:space="0" w:color="000000"/>
              <w:right w:val="nil"/>
            </w:tcBorders>
            <w:shd w:val="clear" w:color="auto" w:fill="FFFFFF" w:themeFill="background1"/>
            <w:vAlign w:val="center"/>
            <w:hideMark/>
          </w:tcPr>
          <w:p w14:paraId="135C74F4"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F-Calculated</w:t>
            </w:r>
          </w:p>
        </w:tc>
        <w:tc>
          <w:tcPr>
            <w:tcW w:w="853" w:type="pct"/>
            <w:tcBorders>
              <w:top w:val="nil"/>
              <w:left w:val="single" w:sz="4" w:space="0" w:color="auto"/>
              <w:bottom w:val="single" w:sz="4" w:space="0" w:color="auto"/>
              <w:right w:val="single" w:sz="4" w:space="0" w:color="auto"/>
            </w:tcBorders>
            <w:shd w:val="clear" w:color="auto" w:fill="FFFFFF" w:themeFill="background1"/>
            <w:vAlign w:val="center"/>
            <w:hideMark/>
          </w:tcPr>
          <w:p w14:paraId="5CFF7873"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48.68*</w:t>
            </w:r>
          </w:p>
        </w:tc>
        <w:tc>
          <w:tcPr>
            <w:tcW w:w="961" w:type="pct"/>
            <w:tcBorders>
              <w:top w:val="nil"/>
              <w:left w:val="nil"/>
              <w:bottom w:val="single" w:sz="4" w:space="0" w:color="auto"/>
              <w:right w:val="single" w:sz="4" w:space="0" w:color="auto"/>
            </w:tcBorders>
            <w:shd w:val="clear" w:color="auto" w:fill="FFFFFF" w:themeFill="background1"/>
            <w:vAlign w:val="center"/>
            <w:hideMark/>
          </w:tcPr>
          <w:p w14:paraId="4FBCBC60"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657.08*</w:t>
            </w:r>
          </w:p>
        </w:tc>
        <w:tc>
          <w:tcPr>
            <w:tcW w:w="643" w:type="pct"/>
            <w:tcBorders>
              <w:top w:val="nil"/>
              <w:left w:val="nil"/>
              <w:bottom w:val="single" w:sz="4" w:space="0" w:color="000000"/>
              <w:right w:val="single" w:sz="4" w:space="0" w:color="000000"/>
            </w:tcBorders>
            <w:shd w:val="clear" w:color="auto" w:fill="FFFFFF" w:themeFill="background1"/>
            <w:vAlign w:val="center"/>
            <w:hideMark/>
          </w:tcPr>
          <w:p w14:paraId="16939E99"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46.34*</w:t>
            </w:r>
          </w:p>
        </w:tc>
        <w:tc>
          <w:tcPr>
            <w:tcW w:w="708" w:type="pct"/>
            <w:tcBorders>
              <w:top w:val="nil"/>
              <w:left w:val="nil"/>
              <w:bottom w:val="single" w:sz="4" w:space="0" w:color="000000"/>
              <w:right w:val="single" w:sz="4" w:space="0" w:color="000000"/>
            </w:tcBorders>
            <w:shd w:val="clear" w:color="auto" w:fill="FFFFFF" w:themeFill="background1"/>
            <w:vAlign w:val="center"/>
            <w:hideMark/>
          </w:tcPr>
          <w:p w14:paraId="38380064"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55.27*</w:t>
            </w:r>
          </w:p>
        </w:tc>
        <w:tc>
          <w:tcPr>
            <w:tcW w:w="925" w:type="pct"/>
            <w:tcBorders>
              <w:top w:val="nil"/>
              <w:left w:val="nil"/>
              <w:bottom w:val="single" w:sz="4" w:space="0" w:color="000000"/>
              <w:right w:val="single" w:sz="4" w:space="0" w:color="000000"/>
            </w:tcBorders>
            <w:shd w:val="clear" w:color="auto" w:fill="FFFFFF" w:themeFill="background1"/>
            <w:vAlign w:val="center"/>
            <w:hideMark/>
          </w:tcPr>
          <w:p w14:paraId="5773C7A1" w14:textId="77777777" w:rsidR="0073534F" w:rsidRPr="006C42BB" w:rsidRDefault="0073534F" w:rsidP="00D71C62">
            <w:pPr>
              <w:spacing w:after="0"/>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181.41*</w:t>
            </w:r>
          </w:p>
        </w:tc>
      </w:tr>
    </w:tbl>
    <w:p w14:paraId="039C1AF8" w14:textId="77777777" w:rsidR="00442F1E" w:rsidRPr="006C42BB" w:rsidRDefault="00442F1E" w:rsidP="00D334E6">
      <w:pPr>
        <w:spacing w:after="0"/>
        <w:rPr>
          <w:rFonts w:ascii="Times New Roman" w:eastAsia="Times New Roman" w:hAnsi="Times New Roman" w:cs="Times New Roman"/>
          <w:sz w:val="24"/>
          <w:szCs w:val="24"/>
          <w:lang w:val="en-US" w:bidi="ar-SA"/>
        </w:rPr>
      </w:pPr>
    </w:p>
    <w:p w14:paraId="16C3447C" w14:textId="77777777" w:rsidR="00442F1E" w:rsidRPr="006C42BB" w:rsidRDefault="00442F1E" w:rsidP="00442F1E">
      <w:pPr>
        <w:jc w:val="center"/>
        <w:rPr>
          <w:rFonts w:ascii="Times New Roman" w:eastAsia="Times New Roman" w:hAnsi="Times New Roman" w:cs="Times New Roman"/>
          <w:b/>
          <w:bCs/>
          <w:i/>
          <w:sz w:val="24"/>
          <w:szCs w:val="24"/>
          <w:lang w:val="en-US"/>
        </w:rPr>
      </w:pPr>
      <w:r w:rsidRPr="006C42BB">
        <w:rPr>
          <w:rFonts w:ascii="Times New Roman" w:eastAsia="Times New Roman" w:hAnsi="Times New Roman" w:cs="Times New Roman"/>
          <w:b/>
          <w:bCs/>
          <w:i/>
          <w:sz w:val="24"/>
          <w:szCs w:val="24"/>
          <w:lang w:val="en-US"/>
        </w:rPr>
        <w:t xml:space="preserve">           </w:t>
      </w:r>
      <w:r w:rsidRPr="006C42BB">
        <w:rPr>
          <w:rFonts w:ascii="Times New Roman" w:eastAsia="Times New Roman" w:hAnsi="Times New Roman" w:cs="Times New Roman"/>
          <w:b/>
          <w:bCs/>
          <w:i/>
          <w:noProof/>
          <w:sz w:val="24"/>
          <w:szCs w:val="24"/>
          <w:lang w:eastAsia="en-IN" w:bidi="ar-SA"/>
        </w:rPr>
        <w:drawing>
          <wp:inline distT="0" distB="0" distL="0" distR="0" wp14:anchorId="700F950C" wp14:editId="20D5E8D8">
            <wp:extent cx="3745230" cy="1566545"/>
            <wp:effectExtent l="0" t="0" r="7620" b="0"/>
            <wp:docPr id="1563895384" name="Picture 156389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cstate="print">
                      <a:extLst>
                        <a:ext uri="{28A0092B-C50C-407E-A947-70E740481C1C}">
                          <a14:useLocalDpi xmlns:a14="http://schemas.microsoft.com/office/drawing/2010/main" val="0"/>
                        </a:ext>
                      </a:extLst>
                    </a:blip>
                    <a:srcRect t="4482" b="30984"/>
                    <a:stretch>
                      <a:fillRect/>
                    </a:stretch>
                  </pic:blipFill>
                  <pic:spPr bwMode="auto">
                    <a:xfrm>
                      <a:off x="0" y="0"/>
                      <a:ext cx="3745230" cy="1566545"/>
                    </a:xfrm>
                    <a:prstGeom prst="rect">
                      <a:avLst/>
                    </a:prstGeom>
                    <a:noFill/>
                    <a:ln>
                      <a:noFill/>
                    </a:ln>
                  </pic:spPr>
                </pic:pic>
              </a:graphicData>
            </a:graphic>
          </wp:inline>
        </w:drawing>
      </w:r>
    </w:p>
    <w:p w14:paraId="5C26F8DA" w14:textId="3980039F" w:rsidR="00442F1E" w:rsidRPr="006C42BB" w:rsidRDefault="00442F1E" w:rsidP="00442F1E">
      <w:pPr>
        <w:spacing w:after="0"/>
        <w:jc w:val="center"/>
        <w:rPr>
          <w:rFonts w:ascii="Times New Roman" w:eastAsia="Times New Roman" w:hAnsi="Times New Roman" w:cs="Times New Roman"/>
          <w:sz w:val="24"/>
          <w:szCs w:val="24"/>
          <w:lang w:val="en-US" w:bidi="ar-SA"/>
        </w:rPr>
      </w:pPr>
      <w:r w:rsidRPr="006C42BB">
        <w:rPr>
          <w:rFonts w:ascii="Times New Roman" w:hAnsi="Times New Roman" w:cs="Times New Roman"/>
          <w:b/>
          <w:bCs/>
          <w:sz w:val="24"/>
          <w:szCs w:val="24"/>
        </w:rPr>
        <w:t>Fi</w:t>
      </w:r>
      <w:r w:rsidR="00D334E6" w:rsidRPr="006C42BB">
        <w:rPr>
          <w:rFonts w:ascii="Times New Roman" w:hAnsi="Times New Roman" w:cs="Times New Roman"/>
          <w:b/>
          <w:bCs/>
          <w:sz w:val="24"/>
          <w:szCs w:val="24"/>
        </w:rPr>
        <w:t>g 3.</w:t>
      </w:r>
      <w:r w:rsidRPr="006C42BB">
        <w:rPr>
          <w:rFonts w:ascii="Times New Roman" w:hAnsi="Times New Roman" w:cs="Times New Roman"/>
          <w:b/>
          <w:bCs/>
          <w:sz w:val="24"/>
          <w:szCs w:val="24"/>
        </w:rPr>
        <w:t xml:space="preserve"> </w:t>
      </w:r>
      <w:r w:rsidRPr="006C42BB">
        <w:rPr>
          <w:rFonts w:ascii="Times New Roman" w:hAnsi="Times New Roman" w:cs="Times New Roman"/>
          <w:sz w:val="24"/>
          <w:szCs w:val="24"/>
        </w:rPr>
        <w:t xml:space="preserve">Seed germination pattern of </w:t>
      </w:r>
      <w:r w:rsidRPr="006C42BB">
        <w:rPr>
          <w:rFonts w:ascii="Times New Roman" w:eastAsia="Times New Roman" w:hAnsi="Times New Roman" w:cs="Times New Roman"/>
          <w:i/>
          <w:iCs/>
          <w:sz w:val="24"/>
          <w:szCs w:val="24"/>
        </w:rPr>
        <w:t>Cordia myxa</w:t>
      </w:r>
      <w:r w:rsidRPr="006C42BB">
        <w:rPr>
          <w:rFonts w:ascii="Times New Roman" w:eastAsia="Times New Roman" w:hAnsi="Times New Roman" w:cs="Times New Roman"/>
          <w:sz w:val="24"/>
          <w:szCs w:val="24"/>
        </w:rPr>
        <w:t xml:space="preserve"> Linn.</w:t>
      </w:r>
    </w:p>
    <w:p w14:paraId="5E2598B0" w14:textId="77777777" w:rsidR="00442F1E" w:rsidRPr="006C42BB" w:rsidRDefault="00442F1E" w:rsidP="00442F1E">
      <w:pPr>
        <w:spacing w:after="0" w:line="240" w:lineRule="auto"/>
        <w:jc w:val="center"/>
        <w:rPr>
          <w:rFonts w:ascii="Times New Roman" w:hAnsi="Times New Roman" w:cs="Times New Roman"/>
          <w:b/>
          <w:bCs/>
          <w:sz w:val="24"/>
          <w:szCs w:val="24"/>
        </w:rPr>
      </w:pPr>
    </w:p>
    <w:p w14:paraId="6CCAA47B" w14:textId="3514F3C0" w:rsidR="00D334E6" w:rsidRPr="006C42BB" w:rsidRDefault="00D71C62" w:rsidP="00D71C62">
      <w:pPr>
        <w:spacing w:after="0" w:line="240" w:lineRule="auto"/>
        <w:jc w:val="both"/>
        <w:rPr>
          <w:rFonts w:ascii="Times New Roman" w:hAnsi="Times New Roman" w:cs="Times New Roman"/>
          <w:b/>
          <w:bCs/>
          <w:sz w:val="24"/>
          <w:szCs w:val="24"/>
        </w:rPr>
      </w:pPr>
      <w:r w:rsidRPr="006C42BB">
        <w:rPr>
          <w:rFonts w:ascii="Times New Roman" w:hAnsi="Times New Roman" w:cs="Times New Roman"/>
          <w:b/>
          <w:bCs/>
          <w:sz w:val="24"/>
          <w:szCs w:val="24"/>
        </w:rPr>
        <w:t>Seed Storability Behaviour</w:t>
      </w:r>
    </w:p>
    <w:p w14:paraId="610F8048" w14:textId="0230581F" w:rsidR="00D71C62" w:rsidRPr="006C42BB" w:rsidRDefault="00D71C62" w:rsidP="00441E49">
      <w:pPr>
        <w:spacing w:after="0" w:line="240" w:lineRule="auto"/>
        <w:jc w:val="both"/>
        <w:rPr>
          <w:rFonts w:ascii="Times New Roman" w:hAnsi="Times New Roman" w:cs="Times New Roman"/>
          <w:sz w:val="24"/>
          <w:szCs w:val="24"/>
        </w:rPr>
      </w:pPr>
      <w:r w:rsidRPr="006C42BB">
        <w:rPr>
          <w:rFonts w:ascii="Times New Roman" w:hAnsi="Times New Roman" w:cs="Times New Roman"/>
          <w:sz w:val="24"/>
          <w:szCs w:val="24"/>
        </w:rPr>
        <w:lastRenderedPageBreak/>
        <w:t xml:space="preserve">Desiccation trials were conducted to assess the seed storability of </w:t>
      </w:r>
      <w:r w:rsidRPr="006C42BB">
        <w:rPr>
          <w:rFonts w:ascii="Times New Roman" w:eastAsia="Times New Roman" w:hAnsi="Times New Roman" w:cs="Times New Roman"/>
          <w:bCs/>
          <w:i/>
          <w:sz w:val="24"/>
          <w:szCs w:val="24"/>
        </w:rPr>
        <w:t xml:space="preserve">Cordia myxa </w:t>
      </w:r>
      <w:r w:rsidRPr="006C42BB">
        <w:rPr>
          <w:rFonts w:ascii="Times New Roman" w:eastAsia="Times New Roman" w:hAnsi="Times New Roman" w:cs="Times New Roman"/>
          <w:bCs/>
          <w:sz w:val="24"/>
          <w:szCs w:val="24"/>
        </w:rPr>
        <w:t>Linn</w:t>
      </w:r>
      <w:r w:rsidRPr="006C42BB">
        <w:rPr>
          <w:rFonts w:ascii="Times New Roman" w:eastAsia="Times New Roman" w:hAnsi="Times New Roman" w:cs="Times New Roman"/>
          <w:b/>
          <w:sz w:val="24"/>
          <w:szCs w:val="24"/>
        </w:rPr>
        <w:t>.</w:t>
      </w:r>
      <w:r w:rsidRPr="006C42BB">
        <w:rPr>
          <w:rFonts w:ascii="Times New Roman" w:hAnsi="Times New Roman" w:cs="Times New Roman"/>
          <w:sz w:val="24"/>
          <w:szCs w:val="24"/>
        </w:rPr>
        <w:t xml:space="preserve"> using silica gel in desiccators. The initial seed moisture content was 11.49%, with a germination rate of </w:t>
      </w:r>
      <w:r w:rsidRPr="006C42BB">
        <w:rPr>
          <w:rFonts w:ascii="Times New Roman" w:eastAsia="Times New Roman" w:hAnsi="Times New Roman" w:cs="Times New Roman"/>
          <w:sz w:val="24"/>
          <w:szCs w:val="24"/>
          <w:lang w:eastAsia="en-IN"/>
        </w:rPr>
        <w:t>31.15±1.25</w:t>
      </w:r>
      <w:r w:rsidRPr="006C42BB">
        <w:rPr>
          <w:rFonts w:ascii="Times New Roman" w:hAnsi="Times New Roman" w:cs="Times New Roman"/>
          <w:sz w:val="24"/>
          <w:szCs w:val="24"/>
        </w:rPr>
        <w:t xml:space="preserve">%. After desiccation to a safe moisture content of 5.05%, the germination percentage increased to </w:t>
      </w:r>
      <w:r w:rsidRPr="006C42BB">
        <w:rPr>
          <w:rFonts w:ascii="Times New Roman" w:eastAsia="Times New Roman" w:hAnsi="Times New Roman" w:cs="Times New Roman"/>
          <w:sz w:val="24"/>
          <w:szCs w:val="24"/>
          <w:lang w:eastAsia="en-IN"/>
        </w:rPr>
        <w:t>33.13±1.33</w:t>
      </w:r>
      <w:r w:rsidRPr="006C42BB">
        <w:rPr>
          <w:rFonts w:ascii="Times New Roman" w:hAnsi="Times New Roman" w:cs="Times New Roman"/>
          <w:sz w:val="24"/>
          <w:szCs w:val="24"/>
        </w:rPr>
        <w:t xml:space="preserve">%. Seeds stored at –20°C for three months maintained good viability, with a germination rate of </w:t>
      </w:r>
      <w:r w:rsidRPr="006C42BB">
        <w:rPr>
          <w:rFonts w:ascii="Times New Roman" w:eastAsia="Times New Roman" w:hAnsi="Times New Roman" w:cs="Times New Roman"/>
          <w:sz w:val="24"/>
          <w:szCs w:val="24"/>
          <w:lang w:eastAsia="en-IN"/>
        </w:rPr>
        <w:t>35.44±1.42</w:t>
      </w:r>
      <w:r w:rsidR="00441E49" w:rsidRPr="006C42BB">
        <w:rPr>
          <w:rFonts w:ascii="Times New Roman" w:eastAsia="Times New Roman" w:hAnsi="Times New Roman" w:cs="Times New Roman"/>
          <w:sz w:val="24"/>
          <w:szCs w:val="24"/>
        </w:rPr>
        <w:t xml:space="preserve"> </w:t>
      </w:r>
      <w:r w:rsidRPr="006C42BB">
        <w:rPr>
          <w:rFonts w:ascii="Times New Roman" w:hAnsi="Times New Roman" w:cs="Times New Roman"/>
          <w:sz w:val="24"/>
          <w:szCs w:val="24"/>
        </w:rPr>
        <w:t xml:space="preserve">%. These findings suggest that </w:t>
      </w:r>
      <w:r w:rsidRPr="006C42BB">
        <w:rPr>
          <w:rFonts w:ascii="Times New Roman" w:eastAsia="Times New Roman" w:hAnsi="Times New Roman" w:cs="Times New Roman"/>
          <w:bCs/>
          <w:i/>
          <w:sz w:val="24"/>
          <w:szCs w:val="24"/>
        </w:rPr>
        <w:t xml:space="preserve">Cordia myxa </w:t>
      </w:r>
      <w:r w:rsidRPr="006C42BB">
        <w:rPr>
          <w:rFonts w:ascii="Times New Roman" w:eastAsia="Times New Roman" w:hAnsi="Times New Roman" w:cs="Times New Roman"/>
          <w:bCs/>
          <w:sz w:val="24"/>
          <w:szCs w:val="24"/>
        </w:rPr>
        <w:t>Linn</w:t>
      </w:r>
      <w:r w:rsidRPr="006C42BB">
        <w:rPr>
          <w:rFonts w:ascii="Times New Roman" w:eastAsia="Times New Roman" w:hAnsi="Times New Roman" w:cs="Times New Roman"/>
          <w:b/>
          <w:sz w:val="24"/>
          <w:szCs w:val="24"/>
        </w:rPr>
        <w:t>.</w:t>
      </w:r>
      <w:r w:rsidRPr="006C42BB">
        <w:rPr>
          <w:rFonts w:ascii="Times New Roman" w:hAnsi="Times New Roman" w:cs="Times New Roman"/>
          <w:sz w:val="24"/>
          <w:szCs w:val="24"/>
        </w:rPr>
        <w:t xml:space="preserve"> seeds are classified under the orthodox storage category, as they demonstrated high storability and maintained viability after prolonged storage under controlled conditions. In conclusion, the seeds of </w:t>
      </w:r>
      <w:r w:rsidRPr="006C42BB">
        <w:rPr>
          <w:rFonts w:ascii="Times New Roman" w:eastAsia="Times New Roman" w:hAnsi="Times New Roman" w:cs="Times New Roman"/>
          <w:bCs/>
          <w:i/>
          <w:sz w:val="24"/>
          <w:szCs w:val="24"/>
        </w:rPr>
        <w:t xml:space="preserve">Cordia myxa </w:t>
      </w:r>
      <w:r w:rsidRPr="006C42BB">
        <w:rPr>
          <w:rFonts w:ascii="Times New Roman" w:eastAsia="Times New Roman" w:hAnsi="Times New Roman" w:cs="Times New Roman"/>
          <w:bCs/>
          <w:sz w:val="24"/>
          <w:szCs w:val="24"/>
        </w:rPr>
        <w:t>Linn</w:t>
      </w:r>
      <w:r w:rsidRPr="006C42BB">
        <w:rPr>
          <w:rFonts w:ascii="Times New Roman" w:eastAsia="Times New Roman" w:hAnsi="Times New Roman" w:cs="Times New Roman"/>
          <w:b/>
          <w:sz w:val="24"/>
          <w:szCs w:val="24"/>
        </w:rPr>
        <w:t>.</w:t>
      </w:r>
      <w:r w:rsidRPr="006C42BB">
        <w:rPr>
          <w:rFonts w:ascii="Times New Roman" w:hAnsi="Times New Roman" w:cs="Times New Roman"/>
          <w:sz w:val="24"/>
          <w:szCs w:val="24"/>
        </w:rPr>
        <w:t xml:space="preserve"> exhibit good storability under orthodox conditions, with improved germination following desiccation and low-temperature storage.</w:t>
      </w:r>
    </w:p>
    <w:p w14:paraId="10D72162" w14:textId="77777777" w:rsidR="00564F34" w:rsidRPr="006C42BB" w:rsidRDefault="00564F34" w:rsidP="00441E49">
      <w:pPr>
        <w:spacing w:after="0" w:line="240" w:lineRule="auto"/>
        <w:jc w:val="both"/>
        <w:rPr>
          <w:rFonts w:ascii="Times New Roman" w:eastAsia="Times New Roman" w:hAnsi="Times New Roman" w:cs="Times New Roman"/>
          <w:sz w:val="24"/>
          <w:szCs w:val="24"/>
        </w:rPr>
      </w:pPr>
    </w:p>
    <w:p w14:paraId="2AB92904" w14:textId="700A9E09" w:rsidR="00D71C62" w:rsidRPr="006C42BB" w:rsidRDefault="00D71C62" w:rsidP="00D71C62">
      <w:pPr>
        <w:pStyle w:val="Default"/>
        <w:spacing w:line="276" w:lineRule="auto"/>
        <w:rPr>
          <w:color w:val="auto"/>
        </w:rPr>
      </w:pPr>
      <w:r w:rsidRPr="006C42BB">
        <w:rPr>
          <w:b/>
          <w:bCs/>
          <w:color w:val="auto"/>
        </w:rPr>
        <w:t>Table</w:t>
      </w:r>
      <w:r w:rsidR="00564F34" w:rsidRPr="006C42BB">
        <w:rPr>
          <w:b/>
          <w:bCs/>
          <w:color w:val="auto"/>
        </w:rPr>
        <w:t xml:space="preserve"> 4.</w:t>
      </w:r>
      <w:r w:rsidRPr="006C42BB">
        <w:rPr>
          <w:b/>
          <w:bCs/>
          <w:color w:val="auto"/>
        </w:rPr>
        <w:t xml:space="preserve"> </w:t>
      </w:r>
      <w:r w:rsidRPr="006C42BB">
        <w:rPr>
          <w:color w:val="auto"/>
        </w:rPr>
        <w:t>Different desiccation stages and respective germination percentage after desiccation</w:t>
      </w:r>
    </w:p>
    <w:p w14:paraId="1C6756A5" w14:textId="77777777" w:rsidR="00D71C62" w:rsidRPr="006C42BB" w:rsidRDefault="00D71C62" w:rsidP="00D71C62">
      <w:pPr>
        <w:pStyle w:val="Default"/>
        <w:tabs>
          <w:tab w:val="left" w:pos="1826"/>
        </w:tabs>
        <w:spacing w:line="276" w:lineRule="auto"/>
        <w:jc w:val="both"/>
        <w:rPr>
          <w:color w:val="auto"/>
        </w:rPr>
      </w:pPr>
      <w:r w:rsidRPr="006C42BB">
        <w:rPr>
          <w:color w:val="auto"/>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722"/>
        <w:gridCol w:w="1327"/>
        <w:gridCol w:w="1785"/>
        <w:gridCol w:w="1542"/>
        <w:gridCol w:w="1338"/>
      </w:tblGrid>
      <w:tr w:rsidR="006C42BB" w:rsidRPr="006C42BB" w14:paraId="2C9FD431" w14:textId="77777777" w:rsidTr="00442F1E">
        <w:trPr>
          <w:trHeight w:val="454"/>
          <w:jc w:val="center"/>
        </w:trPr>
        <w:tc>
          <w:tcPr>
            <w:tcW w:w="722" w:type="pct"/>
            <w:shd w:val="clear" w:color="000000" w:fill="FFFFFF"/>
            <w:vAlign w:val="center"/>
          </w:tcPr>
          <w:p w14:paraId="4373C9C3" w14:textId="77777777" w:rsidR="00D71C62" w:rsidRPr="006C42BB" w:rsidRDefault="00D71C62" w:rsidP="00442F1E">
            <w:pPr>
              <w:jc w:val="center"/>
              <w:rPr>
                <w:rFonts w:ascii="Times New Roman" w:hAnsi="Times New Roman" w:cs="Times New Roman"/>
                <w:b/>
                <w:bCs/>
                <w:sz w:val="24"/>
                <w:szCs w:val="24"/>
              </w:rPr>
            </w:pPr>
            <w:r w:rsidRPr="006C42BB">
              <w:rPr>
                <w:rFonts w:ascii="Times New Roman" w:hAnsi="Times New Roman" w:cs="Times New Roman"/>
                <w:b/>
                <w:bCs/>
                <w:sz w:val="24"/>
                <w:szCs w:val="24"/>
              </w:rPr>
              <w:t>Initial seed Moisture Content%</w:t>
            </w:r>
          </w:p>
        </w:tc>
        <w:tc>
          <w:tcPr>
            <w:tcW w:w="955" w:type="pct"/>
            <w:shd w:val="clear" w:color="000000" w:fill="FFFFFF"/>
            <w:vAlign w:val="center"/>
          </w:tcPr>
          <w:p w14:paraId="4C10252A" w14:textId="77777777" w:rsidR="00D71C62" w:rsidRPr="006C42BB" w:rsidRDefault="00D71C62" w:rsidP="00442F1E">
            <w:pPr>
              <w:spacing w:line="360" w:lineRule="auto"/>
              <w:jc w:val="center"/>
              <w:rPr>
                <w:rFonts w:ascii="Times New Roman" w:hAnsi="Times New Roman" w:cs="Times New Roman"/>
                <w:b/>
                <w:bCs/>
                <w:sz w:val="24"/>
                <w:szCs w:val="24"/>
              </w:rPr>
            </w:pPr>
            <w:r w:rsidRPr="006C42BB">
              <w:rPr>
                <w:rFonts w:ascii="Times New Roman" w:hAnsi="Times New Roman" w:cs="Times New Roman"/>
                <w:b/>
                <w:bCs/>
                <w:sz w:val="24"/>
                <w:szCs w:val="24"/>
              </w:rPr>
              <w:t>Initial seed germination%</w:t>
            </w:r>
          </w:p>
          <w:p w14:paraId="226EA89B" w14:textId="77777777" w:rsidR="00D71C62" w:rsidRPr="006C42BB" w:rsidRDefault="00D71C62" w:rsidP="00442F1E">
            <w:pPr>
              <w:spacing w:line="360" w:lineRule="auto"/>
              <w:jc w:val="center"/>
              <w:rPr>
                <w:rFonts w:ascii="Times New Roman" w:hAnsi="Times New Roman" w:cs="Times New Roman"/>
                <w:b/>
                <w:bCs/>
                <w:sz w:val="24"/>
                <w:szCs w:val="24"/>
              </w:rPr>
            </w:pPr>
            <w:r w:rsidRPr="006C42BB">
              <w:rPr>
                <w:rFonts w:ascii="Times New Roman" w:eastAsia="Times New Roman" w:hAnsi="Times New Roman" w:cs="Times New Roman"/>
                <w:b/>
                <w:bCs/>
                <w:sz w:val="24"/>
                <w:szCs w:val="24"/>
                <w:lang w:eastAsia="en-IN"/>
              </w:rPr>
              <w:t>Mean±SE</w:t>
            </w:r>
          </w:p>
        </w:tc>
        <w:tc>
          <w:tcPr>
            <w:tcW w:w="736" w:type="pct"/>
            <w:shd w:val="clear" w:color="000000" w:fill="FFFFFF"/>
            <w:vAlign w:val="center"/>
          </w:tcPr>
          <w:p w14:paraId="0A470ED0" w14:textId="77777777" w:rsidR="00D71C62" w:rsidRPr="006C42BB" w:rsidRDefault="00D71C62" w:rsidP="00442F1E">
            <w:pPr>
              <w:jc w:val="center"/>
              <w:rPr>
                <w:rFonts w:ascii="Times New Roman" w:hAnsi="Times New Roman" w:cs="Times New Roman"/>
                <w:b/>
                <w:bCs/>
                <w:sz w:val="24"/>
                <w:szCs w:val="24"/>
              </w:rPr>
            </w:pPr>
            <w:r w:rsidRPr="006C42BB">
              <w:rPr>
                <w:rFonts w:ascii="Times New Roman" w:hAnsi="Times New Roman" w:cs="Times New Roman"/>
                <w:b/>
                <w:bCs/>
                <w:sz w:val="24"/>
                <w:szCs w:val="24"/>
              </w:rPr>
              <w:t>Desiccated safe moisture content%</w:t>
            </w:r>
          </w:p>
        </w:tc>
        <w:tc>
          <w:tcPr>
            <w:tcW w:w="990" w:type="pct"/>
            <w:shd w:val="clear" w:color="000000" w:fill="FFFFFF"/>
            <w:vAlign w:val="center"/>
          </w:tcPr>
          <w:p w14:paraId="6310067F" w14:textId="77777777" w:rsidR="00D71C62" w:rsidRPr="006C42BB" w:rsidRDefault="00D71C62" w:rsidP="00442F1E">
            <w:pPr>
              <w:spacing w:after="0" w:line="240" w:lineRule="auto"/>
              <w:jc w:val="center"/>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Germination% Mean±SE</w:t>
            </w:r>
          </w:p>
        </w:tc>
        <w:tc>
          <w:tcPr>
            <w:tcW w:w="855" w:type="pct"/>
            <w:shd w:val="clear" w:color="000000" w:fill="FFFFFF"/>
            <w:vAlign w:val="center"/>
          </w:tcPr>
          <w:p w14:paraId="78D6142B" w14:textId="77777777" w:rsidR="00D71C62" w:rsidRPr="006C42BB" w:rsidRDefault="00D71C62" w:rsidP="00442F1E">
            <w:pPr>
              <w:spacing w:after="0" w:line="240" w:lineRule="auto"/>
              <w:jc w:val="center"/>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 xml:space="preserve">3 months after -20 </w:t>
            </w:r>
            <w:r w:rsidRPr="006C42BB">
              <w:rPr>
                <w:rFonts w:ascii="Times New Roman" w:eastAsia="Times New Roman" w:hAnsi="Times New Roman" w:cs="Times New Roman"/>
                <w:b/>
                <w:bCs/>
                <w:sz w:val="24"/>
                <w:szCs w:val="24"/>
                <w:vertAlign w:val="superscript"/>
                <w:lang w:eastAsia="en-IN"/>
              </w:rPr>
              <w:t>O</w:t>
            </w:r>
            <w:r w:rsidRPr="006C42BB">
              <w:rPr>
                <w:rFonts w:ascii="Times New Roman" w:eastAsia="Times New Roman" w:hAnsi="Times New Roman" w:cs="Times New Roman"/>
                <w:b/>
                <w:bCs/>
                <w:sz w:val="24"/>
                <w:szCs w:val="24"/>
                <w:lang w:eastAsia="en-IN"/>
              </w:rPr>
              <w:t>C storage germination % Mean±SE</w:t>
            </w:r>
          </w:p>
        </w:tc>
        <w:tc>
          <w:tcPr>
            <w:tcW w:w="742" w:type="pct"/>
            <w:shd w:val="clear" w:color="000000" w:fill="FFFFFF"/>
            <w:vAlign w:val="center"/>
          </w:tcPr>
          <w:p w14:paraId="47D0B440" w14:textId="77777777" w:rsidR="00D71C62" w:rsidRPr="006C42BB" w:rsidRDefault="00D71C62" w:rsidP="00442F1E">
            <w:pPr>
              <w:spacing w:after="0" w:line="240" w:lineRule="auto"/>
              <w:jc w:val="center"/>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Seed Storage Categories</w:t>
            </w:r>
          </w:p>
        </w:tc>
      </w:tr>
      <w:tr w:rsidR="006C42BB" w:rsidRPr="006C42BB" w14:paraId="0B92A638" w14:textId="77777777" w:rsidTr="00442F1E">
        <w:trPr>
          <w:trHeight w:val="454"/>
          <w:jc w:val="center"/>
        </w:trPr>
        <w:tc>
          <w:tcPr>
            <w:tcW w:w="722" w:type="pct"/>
            <w:shd w:val="clear" w:color="000000" w:fill="FFFFFF"/>
            <w:vAlign w:val="center"/>
          </w:tcPr>
          <w:p w14:paraId="0A9C2695" w14:textId="77777777" w:rsidR="00D71C62" w:rsidRPr="006C42BB" w:rsidRDefault="00D71C62" w:rsidP="00442F1E">
            <w:pPr>
              <w:jc w:val="center"/>
              <w:rPr>
                <w:rFonts w:ascii="Times New Roman" w:hAnsi="Times New Roman" w:cs="Times New Roman"/>
                <w:sz w:val="24"/>
                <w:szCs w:val="24"/>
              </w:rPr>
            </w:pPr>
            <w:r w:rsidRPr="006C42BB">
              <w:rPr>
                <w:rFonts w:ascii="Times New Roman" w:hAnsi="Times New Roman" w:cs="Times New Roman"/>
                <w:sz w:val="24"/>
                <w:szCs w:val="24"/>
              </w:rPr>
              <w:t>11.49</w:t>
            </w:r>
          </w:p>
        </w:tc>
        <w:tc>
          <w:tcPr>
            <w:tcW w:w="955" w:type="pct"/>
            <w:shd w:val="clear" w:color="000000" w:fill="FFFFFF"/>
            <w:vAlign w:val="center"/>
          </w:tcPr>
          <w:p w14:paraId="2380E03F" w14:textId="77777777" w:rsidR="00D71C62" w:rsidRPr="006C42BB" w:rsidRDefault="00D71C62" w:rsidP="00442F1E">
            <w:pPr>
              <w:spacing w:after="0" w:line="240" w:lineRule="auto"/>
              <w:jc w:val="center"/>
              <w:rPr>
                <w:rFonts w:ascii="Times New Roman" w:eastAsia="Times New Roman" w:hAnsi="Times New Roman" w:cs="Times New Roman"/>
                <w:sz w:val="24"/>
                <w:szCs w:val="24"/>
              </w:rPr>
            </w:pPr>
            <w:r w:rsidRPr="006C42BB">
              <w:rPr>
                <w:rFonts w:ascii="Times New Roman" w:eastAsia="Times New Roman" w:hAnsi="Times New Roman" w:cs="Times New Roman"/>
                <w:sz w:val="24"/>
                <w:szCs w:val="24"/>
                <w:lang w:eastAsia="en-IN"/>
              </w:rPr>
              <w:t>31.15±1.25</w:t>
            </w:r>
          </w:p>
        </w:tc>
        <w:tc>
          <w:tcPr>
            <w:tcW w:w="736" w:type="pct"/>
            <w:shd w:val="clear" w:color="000000" w:fill="FFFFFF"/>
            <w:vAlign w:val="center"/>
          </w:tcPr>
          <w:p w14:paraId="22279A9E" w14:textId="77777777" w:rsidR="00D71C62" w:rsidRPr="006C42BB" w:rsidRDefault="00D71C62" w:rsidP="00442F1E">
            <w:pPr>
              <w:jc w:val="center"/>
              <w:rPr>
                <w:rFonts w:ascii="Times New Roman" w:hAnsi="Times New Roman" w:cs="Times New Roman"/>
                <w:sz w:val="24"/>
                <w:szCs w:val="24"/>
              </w:rPr>
            </w:pPr>
            <w:r w:rsidRPr="006C42BB">
              <w:rPr>
                <w:rFonts w:ascii="Times New Roman" w:hAnsi="Times New Roman" w:cs="Times New Roman"/>
                <w:sz w:val="24"/>
                <w:szCs w:val="24"/>
              </w:rPr>
              <w:t>5.05</w:t>
            </w:r>
          </w:p>
        </w:tc>
        <w:tc>
          <w:tcPr>
            <w:tcW w:w="990" w:type="pct"/>
            <w:shd w:val="clear" w:color="000000" w:fill="FFFFFF"/>
            <w:vAlign w:val="center"/>
          </w:tcPr>
          <w:p w14:paraId="64636F0C" w14:textId="77777777" w:rsidR="00D71C62" w:rsidRPr="006C42BB" w:rsidRDefault="00D71C62" w:rsidP="00442F1E">
            <w:pPr>
              <w:spacing w:after="0" w:line="240" w:lineRule="auto"/>
              <w:jc w:val="center"/>
              <w:rPr>
                <w:rFonts w:ascii="Times New Roman" w:eastAsia="Times New Roman" w:hAnsi="Times New Roman" w:cs="Times New Roman"/>
                <w:sz w:val="24"/>
                <w:szCs w:val="24"/>
              </w:rPr>
            </w:pPr>
            <w:r w:rsidRPr="006C42BB">
              <w:rPr>
                <w:rFonts w:ascii="Times New Roman" w:eastAsia="Times New Roman" w:hAnsi="Times New Roman" w:cs="Times New Roman"/>
                <w:sz w:val="24"/>
                <w:szCs w:val="24"/>
                <w:lang w:eastAsia="en-IN"/>
              </w:rPr>
              <w:t>33.13±1.33</w:t>
            </w:r>
          </w:p>
        </w:tc>
        <w:tc>
          <w:tcPr>
            <w:tcW w:w="855" w:type="pct"/>
            <w:shd w:val="clear" w:color="000000" w:fill="FFFFFF"/>
            <w:vAlign w:val="center"/>
          </w:tcPr>
          <w:p w14:paraId="55A7FC6B" w14:textId="77777777" w:rsidR="00D71C62" w:rsidRPr="006C42BB" w:rsidRDefault="00D71C62" w:rsidP="00442F1E">
            <w:pPr>
              <w:spacing w:after="0" w:line="240" w:lineRule="auto"/>
              <w:jc w:val="center"/>
              <w:rPr>
                <w:rFonts w:ascii="Times New Roman" w:eastAsia="Times New Roman" w:hAnsi="Times New Roman" w:cs="Times New Roman"/>
                <w:sz w:val="24"/>
                <w:szCs w:val="24"/>
              </w:rPr>
            </w:pPr>
            <w:r w:rsidRPr="006C42BB">
              <w:rPr>
                <w:rFonts w:ascii="Times New Roman" w:eastAsia="Times New Roman" w:hAnsi="Times New Roman" w:cs="Times New Roman"/>
                <w:sz w:val="24"/>
                <w:szCs w:val="24"/>
                <w:lang w:eastAsia="en-IN"/>
              </w:rPr>
              <w:t>35.44±1.42</w:t>
            </w:r>
          </w:p>
        </w:tc>
        <w:tc>
          <w:tcPr>
            <w:tcW w:w="742" w:type="pct"/>
            <w:shd w:val="clear" w:color="000000" w:fill="FFFFFF"/>
            <w:vAlign w:val="center"/>
          </w:tcPr>
          <w:p w14:paraId="288B85A4" w14:textId="77777777" w:rsidR="00D71C62" w:rsidRPr="006C42BB" w:rsidRDefault="00D71C62" w:rsidP="00442F1E">
            <w:pPr>
              <w:spacing w:after="0" w:line="240" w:lineRule="auto"/>
              <w:jc w:val="center"/>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Orthodox</w:t>
            </w:r>
          </w:p>
        </w:tc>
      </w:tr>
    </w:tbl>
    <w:p w14:paraId="2CD32BFD" w14:textId="77777777" w:rsidR="00CD7D6B" w:rsidRPr="006C42BB" w:rsidRDefault="00CD7D6B" w:rsidP="00CD7D6B">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Discussion</w:t>
      </w:r>
    </w:p>
    <w:p w14:paraId="2FB4187B" w14:textId="372A2694" w:rsidR="00CD7D6B" w:rsidRPr="006C42BB" w:rsidRDefault="00CD7D6B" w:rsidP="00CD7D6B">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 xml:space="preserve">The present study provides valuable insights into the seed biology, viability, dormancy-breaking treatments, and storability behavior of </w:t>
      </w:r>
      <w:r w:rsidRPr="006C42BB">
        <w:rPr>
          <w:rFonts w:ascii="Times New Roman" w:eastAsia="Times New Roman" w:hAnsi="Times New Roman" w:cs="Times New Roman"/>
          <w:i/>
          <w:iCs/>
          <w:sz w:val="24"/>
          <w:szCs w:val="24"/>
          <w:lang w:eastAsia="en-IN"/>
        </w:rPr>
        <w:t>Cordia myxa</w:t>
      </w:r>
      <w:r w:rsidRPr="006C42BB">
        <w:rPr>
          <w:rFonts w:ascii="Times New Roman" w:eastAsia="Times New Roman" w:hAnsi="Times New Roman" w:cs="Times New Roman"/>
          <w:sz w:val="24"/>
          <w:szCs w:val="24"/>
          <w:lang w:eastAsia="en-IN"/>
        </w:rPr>
        <w:t xml:space="preserve"> Linn., a multipurpose and underutilized fruit tree species of ecological and economic importance.</w:t>
      </w:r>
    </w:p>
    <w:p w14:paraId="69058C1D" w14:textId="39705187" w:rsidR="00CD7D6B" w:rsidRPr="006C42BB" w:rsidRDefault="00CD7D6B" w:rsidP="00CD7D6B">
      <w:pPr>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 xml:space="preserve">The morphological examination of </w:t>
      </w:r>
      <w:r w:rsidRPr="006C42BB">
        <w:rPr>
          <w:rFonts w:ascii="Times New Roman" w:eastAsia="Times New Roman" w:hAnsi="Times New Roman" w:cs="Times New Roman"/>
          <w:i/>
          <w:iCs/>
          <w:sz w:val="24"/>
          <w:szCs w:val="24"/>
          <w:lang w:eastAsia="en-IN"/>
        </w:rPr>
        <w:t>C. myxa</w:t>
      </w:r>
      <w:r w:rsidRPr="006C42BB">
        <w:rPr>
          <w:rFonts w:ascii="Times New Roman" w:eastAsia="Times New Roman" w:hAnsi="Times New Roman" w:cs="Times New Roman"/>
          <w:sz w:val="24"/>
          <w:szCs w:val="24"/>
          <w:lang w:eastAsia="en-IN"/>
        </w:rPr>
        <w:t xml:space="preserve"> fruits and seeds confirms the drupe-like characteristics previously reported by </w:t>
      </w:r>
      <w:proofErr w:type="spellStart"/>
      <w:r w:rsidRPr="006C42BB">
        <w:rPr>
          <w:rFonts w:ascii="Times New Roman" w:eastAsia="Times New Roman" w:hAnsi="Times New Roman" w:cs="Times New Roman"/>
          <w:sz w:val="24"/>
          <w:szCs w:val="24"/>
          <w:lang w:eastAsia="en-IN"/>
        </w:rPr>
        <w:t>Jasiem</w:t>
      </w:r>
      <w:proofErr w:type="spellEnd"/>
      <w:r w:rsidRPr="006C42BB">
        <w:rPr>
          <w:rFonts w:ascii="Times New Roman" w:eastAsia="Times New Roman" w:hAnsi="Times New Roman" w:cs="Times New Roman"/>
          <w:sz w:val="24"/>
          <w:szCs w:val="24"/>
          <w:lang w:eastAsia="en-IN"/>
        </w:rPr>
        <w:t xml:space="preserve"> et al. (2016). The fruits are globular to ovoid (2–3.5 cm long) with mucilaginous, transparent pulp, enclosing one to two deeply wrinkled seeds. The seed dimensions (length: 1.083–1.229 cm; width: 0.9632–1.014 cm) and high seed count (3,500–4,500/kg) suggest that this species has strong propagation potential, provided quality seed sources are maintained.</w:t>
      </w:r>
    </w:p>
    <w:p w14:paraId="231A8862" w14:textId="3E3CA71B" w:rsidR="00CD7D6B" w:rsidRPr="006C42BB" w:rsidRDefault="00CD7D6B" w:rsidP="00CD7D6B">
      <w:pPr>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 xml:space="preserve">Tetrazolium (TZ) staining tests revealed that staining duration was the most significant factor influencing viability, while TZ concentration and its interaction with time showed no significant effects. A 24-hour staining period provided the highest viability values and clearest contrast between viable and non-viable tissues. These findings align with earlier studies </w:t>
      </w:r>
      <w:r w:rsidR="000801C8">
        <w:rPr>
          <w:rFonts w:ascii="Times New Roman" w:eastAsia="Times New Roman" w:hAnsi="Times New Roman" w:cs="Times New Roman"/>
          <w:sz w:val="24"/>
          <w:szCs w:val="24"/>
          <w:lang w:eastAsia="en-IN"/>
        </w:rPr>
        <w:t>(</w:t>
      </w:r>
      <w:proofErr w:type="spellStart"/>
      <w:r w:rsidRPr="006C42BB">
        <w:rPr>
          <w:rFonts w:ascii="Times New Roman" w:eastAsia="Times New Roman" w:hAnsi="Times New Roman" w:cs="Times New Roman"/>
          <w:sz w:val="24"/>
          <w:szCs w:val="24"/>
          <w:lang w:eastAsia="en-IN"/>
        </w:rPr>
        <w:t>Panse</w:t>
      </w:r>
      <w:proofErr w:type="spellEnd"/>
      <w:r w:rsidRPr="006C42BB">
        <w:rPr>
          <w:rFonts w:ascii="Times New Roman" w:eastAsia="Times New Roman" w:hAnsi="Times New Roman" w:cs="Times New Roman"/>
          <w:sz w:val="24"/>
          <w:szCs w:val="24"/>
          <w:lang w:eastAsia="en-IN"/>
        </w:rPr>
        <w:t xml:space="preserve"> &amp; </w:t>
      </w:r>
      <w:proofErr w:type="spellStart"/>
      <w:r w:rsidRPr="006C42BB">
        <w:rPr>
          <w:rFonts w:ascii="Times New Roman" w:eastAsia="Times New Roman" w:hAnsi="Times New Roman" w:cs="Times New Roman"/>
          <w:sz w:val="24"/>
          <w:szCs w:val="24"/>
          <w:lang w:eastAsia="en-IN"/>
        </w:rPr>
        <w:t>Sukhatme</w:t>
      </w:r>
      <w:proofErr w:type="spellEnd"/>
      <w:r w:rsidRPr="006C42BB">
        <w:rPr>
          <w:rFonts w:ascii="Times New Roman" w:eastAsia="Times New Roman" w:hAnsi="Times New Roman" w:cs="Times New Roman"/>
          <w:sz w:val="24"/>
          <w:szCs w:val="24"/>
          <w:lang w:eastAsia="en-IN"/>
        </w:rPr>
        <w:t xml:space="preserve">, 1995) indicating that longer staining durations enhance TZ penetration and staining accuracy. Thus, a 24-hour staining duration is recommended for reliable viability testing of </w:t>
      </w:r>
      <w:r w:rsidRPr="006C42BB">
        <w:rPr>
          <w:rFonts w:ascii="Times New Roman" w:eastAsia="Times New Roman" w:hAnsi="Times New Roman" w:cs="Times New Roman"/>
          <w:i/>
          <w:iCs/>
          <w:sz w:val="24"/>
          <w:szCs w:val="24"/>
          <w:lang w:eastAsia="en-IN"/>
        </w:rPr>
        <w:t>C. myxa</w:t>
      </w:r>
      <w:r w:rsidRPr="006C42BB">
        <w:rPr>
          <w:rFonts w:ascii="Times New Roman" w:eastAsia="Times New Roman" w:hAnsi="Times New Roman" w:cs="Times New Roman"/>
          <w:sz w:val="24"/>
          <w:szCs w:val="24"/>
          <w:lang w:eastAsia="en-IN"/>
        </w:rPr>
        <w:t xml:space="preserve"> seeds.</w:t>
      </w:r>
    </w:p>
    <w:p w14:paraId="243C2111" w14:textId="77777777" w:rsidR="00CD7D6B" w:rsidRPr="006C42BB" w:rsidRDefault="00CD7D6B" w:rsidP="00CD7D6B">
      <w:pPr>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The imbibition behavior showed a gradual increase in seed moisture content, peaking at 25.35% after 27 hours. This slow hydration trend, followed by stabilization, suggests that the seeds possess a semi-permeable seed coat, characteristic of species with physical dormancy. Such a pattern is common in arid-region species where water conservation mechanisms are vital (Hendrickson &amp; Veihmeyer, 1934; Salami &amp; Lawal, 2018). This underlines the need for effective pre-treatment methods to break dormancy and enhance germination.</w:t>
      </w:r>
    </w:p>
    <w:p w14:paraId="56DB6F09" w14:textId="45869DF1" w:rsidR="00CD7D6B" w:rsidRPr="006C42BB" w:rsidRDefault="00CD7D6B" w:rsidP="00CD7D6B">
      <w:pPr>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lastRenderedPageBreak/>
        <w:t xml:space="preserve">Significant improvements in germination were observed with pre-treatment protocols (p &lt; 0.001). The control treatment showed the lowest germination (44.55%) and vigour index (732.48), confirming dormancy in untreated seeds. Among the tested treatments, immersion in hot water for 5 minutes followed by 48 hours soaking in 500 ppm GA₃ yielded the highest germination percentage (70.70%), vigour index (1043.43), and a shorter mean germination time (19.12 days). This indicates a synergistic effect of thermal shock and gibberellic acid in promoting germination and seedling vigor. In contrast, acid scarification treatments (alone or with GA₃) resulted in poor germination and vigor, possibly due to embryo damage from excessive chemical exposure. Supportively, Meghwal (2007) reported that GA₃ treatments (250–500 ppm) significantly enhanced germination in </w:t>
      </w:r>
      <w:r w:rsidRPr="006C42BB">
        <w:rPr>
          <w:rFonts w:ascii="Times New Roman" w:eastAsia="Times New Roman" w:hAnsi="Times New Roman" w:cs="Times New Roman"/>
          <w:i/>
          <w:iCs/>
          <w:sz w:val="24"/>
          <w:szCs w:val="24"/>
          <w:lang w:eastAsia="en-IN"/>
        </w:rPr>
        <w:t>C. myxa</w:t>
      </w:r>
      <w:r w:rsidRPr="006C42BB">
        <w:rPr>
          <w:rFonts w:ascii="Times New Roman" w:eastAsia="Times New Roman" w:hAnsi="Times New Roman" w:cs="Times New Roman"/>
          <w:sz w:val="24"/>
          <w:szCs w:val="24"/>
          <w:lang w:eastAsia="en-IN"/>
        </w:rPr>
        <w:t>, with the highest rate (66.66%) recorded with sandpaper scarification followed by 500 ppm GA₃ soaking. Likewise, Ghaba et al. (2024) found that soaking seeds in 4000 ppm GA₃ for 24 hours significantly improved germination and seedling growth in Egypt.</w:t>
      </w:r>
    </w:p>
    <w:p w14:paraId="26308851" w14:textId="576A1AE2" w:rsidR="00CD7D6B" w:rsidRPr="006C42BB" w:rsidRDefault="00CD7D6B" w:rsidP="00CD7D6B">
      <w:pPr>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 xml:space="preserve">Storage trials confirmed that </w:t>
      </w:r>
      <w:r w:rsidRPr="006C42BB">
        <w:rPr>
          <w:rFonts w:ascii="Times New Roman" w:eastAsia="Times New Roman" w:hAnsi="Times New Roman" w:cs="Times New Roman"/>
          <w:i/>
          <w:iCs/>
          <w:sz w:val="24"/>
          <w:szCs w:val="24"/>
          <w:lang w:eastAsia="en-IN"/>
        </w:rPr>
        <w:t>C. myxa</w:t>
      </w:r>
      <w:r w:rsidRPr="006C42BB">
        <w:rPr>
          <w:rFonts w:ascii="Times New Roman" w:eastAsia="Times New Roman" w:hAnsi="Times New Roman" w:cs="Times New Roman"/>
          <w:sz w:val="24"/>
          <w:szCs w:val="24"/>
          <w:lang w:eastAsia="en-IN"/>
        </w:rPr>
        <w:t xml:space="preserve"> seeds exhibit orthodox storage behavior. Desiccation using silica gel reduced seed moisture content from 11.49% to 5.05%, improving germination from 31.15% to 33.13%. After three months of –20°C storage, germination further increased to 35.44%, suggesting possible alleviation of residual dormancy. These results validate the classification of </w:t>
      </w:r>
      <w:r w:rsidRPr="006C42BB">
        <w:rPr>
          <w:rFonts w:ascii="Times New Roman" w:eastAsia="Times New Roman" w:hAnsi="Times New Roman" w:cs="Times New Roman"/>
          <w:i/>
          <w:iCs/>
          <w:sz w:val="24"/>
          <w:szCs w:val="24"/>
          <w:lang w:eastAsia="en-IN"/>
        </w:rPr>
        <w:t>C. myxa</w:t>
      </w:r>
      <w:r w:rsidRPr="006C42BB">
        <w:rPr>
          <w:rFonts w:ascii="Times New Roman" w:eastAsia="Times New Roman" w:hAnsi="Times New Roman" w:cs="Times New Roman"/>
          <w:sz w:val="24"/>
          <w:szCs w:val="24"/>
          <w:lang w:eastAsia="en-IN"/>
        </w:rPr>
        <w:t xml:space="preserve"> as an orthodox species (Zobel &amp; Talbert, 1984) and affirm findings from Kumar et al. (2022) that dryland trees often tolerate low-moisture storage well.</w:t>
      </w:r>
      <w:r w:rsidR="002F7E9B" w:rsidRPr="002F7E9B">
        <w:t xml:space="preserve"> </w:t>
      </w:r>
      <w:r w:rsidR="002F7E9B" w:rsidRPr="002F7E9B">
        <w:rPr>
          <w:rFonts w:ascii="Times New Roman" w:eastAsia="Times New Roman" w:hAnsi="Times New Roman" w:cs="Times New Roman"/>
          <w:sz w:val="24"/>
          <w:szCs w:val="24"/>
          <w:lang w:eastAsia="en-IN"/>
        </w:rPr>
        <w:t xml:space="preserve">Similar observations were reported by Vijay et al. (2024, 2025a, 2025b) in </w:t>
      </w:r>
      <w:r w:rsidR="002F7E9B" w:rsidRPr="002F7E9B">
        <w:rPr>
          <w:rFonts w:ascii="Times New Roman" w:eastAsia="Times New Roman" w:hAnsi="Times New Roman" w:cs="Times New Roman"/>
          <w:i/>
          <w:iCs/>
          <w:sz w:val="24"/>
          <w:szCs w:val="24"/>
          <w:lang w:eastAsia="en-IN"/>
        </w:rPr>
        <w:t>Flacourtia indica</w:t>
      </w:r>
      <w:r w:rsidR="002F7E9B" w:rsidRPr="002F7E9B">
        <w:rPr>
          <w:rFonts w:ascii="Times New Roman" w:eastAsia="Times New Roman" w:hAnsi="Times New Roman" w:cs="Times New Roman"/>
          <w:sz w:val="24"/>
          <w:szCs w:val="24"/>
          <w:lang w:eastAsia="en-IN"/>
        </w:rPr>
        <w:t xml:space="preserve"> and </w:t>
      </w:r>
      <w:r w:rsidR="002F7E9B" w:rsidRPr="002F7E9B">
        <w:rPr>
          <w:rFonts w:ascii="Times New Roman" w:eastAsia="Times New Roman" w:hAnsi="Times New Roman" w:cs="Times New Roman"/>
          <w:i/>
          <w:iCs/>
          <w:sz w:val="24"/>
          <w:szCs w:val="24"/>
          <w:lang w:eastAsia="en-IN"/>
        </w:rPr>
        <w:t>Commiphora wightii</w:t>
      </w:r>
      <w:r w:rsidR="002F7E9B" w:rsidRPr="002F7E9B">
        <w:rPr>
          <w:rFonts w:ascii="Times New Roman" w:eastAsia="Times New Roman" w:hAnsi="Times New Roman" w:cs="Times New Roman"/>
          <w:sz w:val="24"/>
          <w:szCs w:val="24"/>
          <w:lang w:eastAsia="en-IN"/>
        </w:rPr>
        <w:t xml:space="preserve">, where factors such as seed size, maturity stage, and pre-treatment techniques significantly influenced germination </w:t>
      </w:r>
      <w:proofErr w:type="spellStart"/>
      <w:r w:rsidR="002F7E9B" w:rsidRPr="002F7E9B">
        <w:rPr>
          <w:rFonts w:ascii="Times New Roman" w:eastAsia="Times New Roman" w:hAnsi="Times New Roman" w:cs="Times New Roman"/>
          <w:sz w:val="24"/>
          <w:szCs w:val="24"/>
          <w:lang w:eastAsia="en-IN"/>
        </w:rPr>
        <w:t>behavior</w:t>
      </w:r>
      <w:proofErr w:type="spellEnd"/>
      <w:r w:rsidR="002F7E9B" w:rsidRPr="002F7E9B">
        <w:rPr>
          <w:rFonts w:ascii="Times New Roman" w:eastAsia="Times New Roman" w:hAnsi="Times New Roman" w:cs="Times New Roman"/>
          <w:sz w:val="24"/>
          <w:szCs w:val="24"/>
          <w:lang w:eastAsia="en-IN"/>
        </w:rPr>
        <w:t xml:space="preserve"> and propagation outcomes.</w:t>
      </w:r>
    </w:p>
    <w:p w14:paraId="59B08858" w14:textId="37E38496" w:rsidR="00CD7D6B" w:rsidRPr="006C42BB" w:rsidRDefault="00CD7D6B" w:rsidP="00CD7D6B">
      <w:pPr>
        <w:spacing w:before="100" w:beforeAutospacing="1" w:after="100" w:afterAutospacing="1" w:line="240" w:lineRule="auto"/>
        <w:ind w:firstLine="720"/>
        <w:jc w:val="both"/>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 xml:space="preserve">The integration of viability testing, imbibition analysis, pre-treatment efficacy, and storage potential offers a holistic approach to </w:t>
      </w:r>
      <w:r w:rsidRPr="006C42BB">
        <w:rPr>
          <w:rFonts w:ascii="Times New Roman" w:eastAsia="Times New Roman" w:hAnsi="Times New Roman" w:cs="Times New Roman"/>
          <w:i/>
          <w:iCs/>
          <w:sz w:val="24"/>
          <w:szCs w:val="24"/>
          <w:lang w:eastAsia="en-IN"/>
        </w:rPr>
        <w:t>C. myxa</w:t>
      </w:r>
      <w:r w:rsidRPr="006C42BB">
        <w:rPr>
          <w:rFonts w:ascii="Times New Roman" w:eastAsia="Times New Roman" w:hAnsi="Times New Roman" w:cs="Times New Roman"/>
          <w:sz w:val="24"/>
          <w:szCs w:val="24"/>
          <w:lang w:eastAsia="en-IN"/>
        </w:rPr>
        <w:t xml:space="preserve"> propagation and conservation. The study affirms that a 24-hour TZ viability test, pre-treatment with hot water and GA₃, and cold storage under desiccated conditions are effective strategies for enhancing propagation success. This can facilitate large-scale multiplication efforts in nurseries and ex situ conservation programs. Further, genetic diversity and regional variability reported by Nagar et al. (2013) and Meghwal et al. (2014a, 2021</w:t>
      </w:r>
      <w:r w:rsidR="000801C8">
        <w:rPr>
          <w:rFonts w:ascii="Times New Roman" w:eastAsia="Times New Roman" w:hAnsi="Times New Roman" w:cs="Times New Roman"/>
          <w:sz w:val="24"/>
          <w:szCs w:val="24"/>
          <w:lang w:eastAsia="en-IN"/>
        </w:rPr>
        <w:t>b</w:t>
      </w:r>
      <w:r w:rsidRPr="006C42BB">
        <w:rPr>
          <w:rFonts w:ascii="Times New Roman" w:eastAsia="Times New Roman" w:hAnsi="Times New Roman" w:cs="Times New Roman"/>
          <w:sz w:val="24"/>
          <w:szCs w:val="24"/>
          <w:lang w:eastAsia="en-IN"/>
        </w:rPr>
        <w:t xml:space="preserve">) can be better harnessed by using scientifically validated seed handling techniques. These findings also complement earlier discussions on underutilized fruits by Pareek and Sharma (1993), positioning </w:t>
      </w:r>
      <w:r w:rsidRPr="006C42BB">
        <w:rPr>
          <w:rFonts w:ascii="Times New Roman" w:eastAsia="Times New Roman" w:hAnsi="Times New Roman" w:cs="Times New Roman"/>
          <w:i/>
          <w:iCs/>
          <w:sz w:val="24"/>
          <w:szCs w:val="24"/>
          <w:lang w:eastAsia="en-IN"/>
        </w:rPr>
        <w:t>C. myxa</w:t>
      </w:r>
      <w:r w:rsidRPr="006C42BB">
        <w:rPr>
          <w:rFonts w:ascii="Times New Roman" w:eastAsia="Times New Roman" w:hAnsi="Times New Roman" w:cs="Times New Roman"/>
          <w:sz w:val="24"/>
          <w:szCs w:val="24"/>
          <w:lang w:eastAsia="en-IN"/>
        </w:rPr>
        <w:t xml:space="preserve"> as a viable candidate for dryland agroforestry, orchard establishment, and genetic resource conservation.</w:t>
      </w:r>
    </w:p>
    <w:p w14:paraId="646B8909" w14:textId="77777777" w:rsidR="00CD7D6B" w:rsidRPr="006C42BB" w:rsidRDefault="00CD7D6B" w:rsidP="00CD7D6B">
      <w:p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6C42BB">
        <w:rPr>
          <w:rFonts w:ascii="Times New Roman" w:eastAsia="Times New Roman" w:hAnsi="Times New Roman" w:cs="Times New Roman"/>
          <w:b/>
          <w:bCs/>
          <w:sz w:val="24"/>
          <w:szCs w:val="24"/>
          <w:lang w:eastAsia="en-IN"/>
        </w:rPr>
        <w:t>Conclusion</w:t>
      </w:r>
    </w:p>
    <w:p w14:paraId="0C750A2B" w14:textId="77777777" w:rsidR="00CD7D6B" w:rsidRPr="006C42BB" w:rsidRDefault="00CD7D6B" w:rsidP="00CD7D6B">
      <w:pPr>
        <w:spacing w:before="100" w:beforeAutospacing="1" w:after="100" w:afterAutospacing="1" w:line="240" w:lineRule="auto"/>
        <w:jc w:val="both"/>
        <w:rPr>
          <w:rFonts w:ascii="Times New Roman" w:eastAsia="Times New Roman" w:hAnsi="Times New Roman" w:cs="Times New Roman"/>
          <w:sz w:val="24"/>
          <w:szCs w:val="24"/>
          <w:lang w:eastAsia="en-IN"/>
        </w:rPr>
      </w:pPr>
      <w:r w:rsidRPr="006C42BB">
        <w:rPr>
          <w:rFonts w:ascii="Times New Roman" w:eastAsia="Times New Roman" w:hAnsi="Times New Roman" w:cs="Times New Roman"/>
          <w:sz w:val="24"/>
          <w:szCs w:val="24"/>
          <w:lang w:eastAsia="en-IN"/>
        </w:rPr>
        <w:t xml:space="preserve">This study confirms that </w:t>
      </w:r>
      <w:r w:rsidRPr="006C42BB">
        <w:rPr>
          <w:rFonts w:ascii="Times New Roman" w:eastAsia="Times New Roman" w:hAnsi="Times New Roman" w:cs="Times New Roman"/>
          <w:i/>
          <w:iCs/>
          <w:sz w:val="24"/>
          <w:szCs w:val="24"/>
          <w:lang w:eastAsia="en-IN"/>
        </w:rPr>
        <w:t>Cordia myxa</w:t>
      </w:r>
      <w:r w:rsidRPr="006C42BB">
        <w:rPr>
          <w:rFonts w:ascii="Times New Roman" w:eastAsia="Times New Roman" w:hAnsi="Times New Roman" w:cs="Times New Roman"/>
          <w:sz w:val="24"/>
          <w:szCs w:val="24"/>
          <w:lang w:eastAsia="en-IN"/>
        </w:rPr>
        <w:t xml:space="preserve"> benefits significantly from targeted pre-treatments and exhibits robust storability under orthodox seed storage conditions. The recommended protocol—hot water immersion followed by GA₃ treatment, coupled with 24-hour TZ viability testing and low-moisture cold storage—can serve as a model for propagating this valuable yet underutilized species. These findings have strong implications for sustainable nursery practices, afforestation efforts, and biodiversity conservation in arid and semi-arid regions.</w:t>
      </w:r>
    </w:p>
    <w:p w14:paraId="7A2CB5DC" w14:textId="77777777" w:rsidR="00977E32" w:rsidRPr="00A21E90" w:rsidRDefault="00977E32" w:rsidP="001523E0">
      <w:pPr>
        <w:jc w:val="both"/>
        <w:rPr>
          <w:rFonts w:ascii="Times New Roman" w:hAnsi="Times New Roman" w:cs="Times New Roman"/>
          <w:b/>
          <w:bCs/>
          <w:kern w:val="2"/>
          <w:sz w:val="24"/>
          <w:szCs w:val="24"/>
          <w:lang w:val="en-US" w:bidi="ar-SA"/>
          <w14:ligatures w14:val="standardContextual"/>
        </w:rPr>
      </w:pPr>
      <w:r w:rsidRPr="00A21E90">
        <w:rPr>
          <w:rFonts w:ascii="Times New Roman" w:hAnsi="Times New Roman" w:cs="Times New Roman"/>
          <w:b/>
          <w:bCs/>
          <w:kern w:val="2"/>
          <w:sz w:val="24"/>
          <w:szCs w:val="24"/>
          <w:lang w:val="en-US" w:bidi="ar-SA"/>
          <w14:ligatures w14:val="standardContextual"/>
        </w:rPr>
        <w:t>Disclaimer (Artificial intelligence)</w:t>
      </w:r>
    </w:p>
    <w:p w14:paraId="4835C807" w14:textId="652D91E7" w:rsidR="00977E32" w:rsidRPr="00A21E90" w:rsidRDefault="00977E32" w:rsidP="001523E0">
      <w:pPr>
        <w:jc w:val="both"/>
        <w:rPr>
          <w:rFonts w:ascii="Times New Roman" w:hAnsi="Times New Roman" w:cs="Times New Roman"/>
          <w:kern w:val="2"/>
          <w:sz w:val="24"/>
          <w:szCs w:val="24"/>
          <w:lang w:val="en-US" w:bidi="ar-SA"/>
          <w14:ligatures w14:val="standardContextual"/>
        </w:rPr>
      </w:pPr>
      <w:r w:rsidRPr="00A21E90">
        <w:rPr>
          <w:rFonts w:ascii="Times New Roman" w:hAnsi="Times New Roman" w:cs="Times New Roman"/>
          <w:kern w:val="2"/>
          <w:sz w:val="24"/>
          <w:szCs w:val="24"/>
          <w:lang w:val="en-US" w:bidi="ar-SA"/>
          <w14:ligatures w14:val="standardContextual"/>
        </w:rPr>
        <w:t xml:space="preserve">Author(s) hereby </w:t>
      </w:r>
      <w:r w:rsidR="001523E0" w:rsidRPr="00A21E90">
        <w:rPr>
          <w:rFonts w:ascii="Times New Roman" w:hAnsi="Times New Roman" w:cs="Times New Roman"/>
          <w:kern w:val="2"/>
          <w:sz w:val="24"/>
          <w:szCs w:val="24"/>
          <w:lang w:val="en-US" w:bidi="ar-SA"/>
          <w14:ligatures w14:val="standardContextual"/>
        </w:rPr>
        <w:t>declares</w:t>
      </w:r>
      <w:r w:rsidRPr="00A21E90">
        <w:rPr>
          <w:rFonts w:ascii="Times New Roman" w:hAnsi="Times New Roman" w:cs="Times New Roman"/>
          <w:kern w:val="2"/>
          <w:sz w:val="24"/>
          <w:szCs w:val="24"/>
          <w:lang w:val="en-US" w:bidi="ar-SA"/>
          <w14:ligatures w14:val="standardContextual"/>
        </w:rPr>
        <w:t xml:space="preserve"> that NO generative AI technologies such as Large Language Models (ChatGPT, COPILOT, etc.) and text-to-image generators have been used during the writing or editing of this manuscript. </w:t>
      </w:r>
    </w:p>
    <w:p w14:paraId="0BA82778" w14:textId="704CFCC5" w:rsidR="008C0CC8" w:rsidRDefault="00442F1E" w:rsidP="008C0CC8">
      <w:pPr>
        <w:spacing w:line="240" w:lineRule="auto"/>
        <w:jc w:val="both"/>
        <w:rPr>
          <w:rFonts w:ascii="Times New Roman" w:hAnsi="Times New Roman" w:cs="Times New Roman"/>
          <w:b/>
          <w:bCs/>
          <w:sz w:val="24"/>
          <w:szCs w:val="24"/>
        </w:rPr>
      </w:pPr>
      <w:r w:rsidRPr="00A21E90">
        <w:rPr>
          <w:rFonts w:ascii="Times New Roman" w:hAnsi="Times New Roman" w:cs="Times New Roman"/>
          <w:b/>
          <w:bCs/>
          <w:sz w:val="24"/>
          <w:szCs w:val="24"/>
        </w:rPr>
        <w:lastRenderedPageBreak/>
        <w:t>References</w:t>
      </w:r>
    </w:p>
    <w:p w14:paraId="6A05A842"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Abdallah, H., </w:t>
      </w:r>
      <w:proofErr w:type="spellStart"/>
      <w:r w:rsidRPr="00EA2BC4">
        <w:rPr>
          <w:rFonts w:ascii="Times New Roman" w:hAnsi="Times New Roman" w:cs="Times New Roman"/>
          <w:sz w:val="24"/>
          <w:szCs w:val="24"/>
        </w:rPr>
        <w:t>Khattaba</w:t>
      </w:r>
      <w:proofErr w:type="spellEnd"/>
      <w:r w:rsidRPr="00EA2BC4">
        <w:rPr>
          <w:rFonts w:ascii="Times New Roman" w:hAnsi="Times New Roman" w:cs="Times New Roman"/>
          <w:sz w:val="24"/>
          <w:szCs w:val="24"/>
        </w:rPr>
        <w:t xml:space="preserve">, A. H., &amp; Heeba, G. H. (2011). Gastroprotective effect of </w:t>
      </w:r>
      <w:r w:rsidRPr="00EA2BC4">
        <w:rPr>
          <w:rFonts w:ascii="Times New Roman" w:hAnsi="Times New Roman" w:cs="Times New Roman"/>
          <w:i/>
          <w:iCs/>
          <w:sz w:val="24"/>
          <w:szCs w:val="24"/>
        </w:rPr>
        <w:t>Cordia myxa</w:t>
      </w:r>
      <w:r w:rsidRPr="00EA2BC4">
        <w:rPr>
          <w:rFonts w:ascii="Times New Roman" w:hAnsi="Times New Roman" w:cs="Times New Roman"/>
          <w:sz w:val="24"/>
          <w:szCs w:val="24"/>
        </w:rPr>
        <w:t xml:space="preserve"> L. fruit extract against indomethacin-induced gastric ulceration in rats. </w:t>
      </w:r>
      <w:r w:rsidRPr="00EA2BC4">
        <w:rPr>
          <w:rFonts w:ascii="Times New Roman" w:hAnsi="Times New Roman" w:cs="Times New Roman"/>
          <w:i/>
          <w:iCs/>
          <w:sz w:val="24"/>
          <w:szCs w:val="24"/>
        </w:rPr>
        <w:t>Life Science Journal, 8</w:t>
      </w:r>
      <w:r w:rsidRPr="00EA2BC4">
        <w:rPr>
          <w:rFonts w:ascii="Times New Roman" w:hAnsi="Times New Roman" w:cs="Times New Roman"/>
          <w:sz w:val="24"/>
          <w:szCs w:val="24"/>
        </w:rPr>
        <w:t>(3), 433–445.</w:t>
      </w:r>
    </w:p>
    <w:p w14:paraId="7614D0AD"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Abdul-Baki, A. A., &amp; Anderson, J. D. (1973). Vigor determination in soybean seed by multiple criteria. </w:t>
      </w:r>
      <w:r w:rsidRPr="00EA2BC4">
        <w:rPr>
          <w:rFonts w:ascii="Times New Roman" w:hAnsi="Times New Roman" w:cs="Times New Roman"/>
          <w:i/>
          <w:iCs/>
          <w:sz w:val="24"/>
          <w:szCs w:val="24"/>
        </w:rPr>
        <w:t>Crop Science, 13</w:t>
      </w:r>
      <w:r w:rsidRPr="00EA2BC4">
        <w:rPr>
          <w:rFonts w:ascii="Times New Roman" w:hAnsi="Times New Roman" w:cs="Times New Roman"/>
          <w:sz w:val="24"/>
          <w:szCs w:val="24"/>
        </w:rPr>
        <w:t xml:space="preserve">(6), 630–633. </w:t>
      </w:r>
      <w:hyperlink r:id="rId13" w:tgtFrame="_new" w:history="1">
        <w:r w:rsidRPr="00EA2BC4">
          <w:rPr>
            <w:rStyle w:val="Hyperlink"/>
            <w:rFonts w:ascii="Times New Roman" w:hAnsi="Times New Roman" w:cs="Times New Roman"/>
            <w:sz w:val="24"/>
            <w:szCs w:val="24"/>
            <w:lang w:bidi="hi-IN"/>
          </w:rPr>
          <w:t>https://doi.org/10.2135/cropsci1973.0011183X001300060013x</w:t>
        </w:r>
      </w:hyperlink>
    </w:p>
    <w:p w14:paraId="179681D9"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lang w:val="de-DE"/>
        </w:rPr>
        <w:t xml:space="preserve">Arbonnier, M. (2002). </w:t>
      </w:r>
      <w:r w:rsidRPr="00EA2BC4">
        <w:rPr>
          <w:rFonts w:ascii="Times New Roman" w:hAnsi="Times New Roman" w:cs="Times New Roman"/>
          <w:i/>
          <w:iCs/>
          <w:sz w:val="24"/>
          <w:szCs w:val="24"/>
          <w:lang w:val="de-DE"/>
        </w:rPr>
        <w:t>Arbres, arbustes et lianes des zones sèches d’Afrique de l’Ouest</w:t>
      </w:r>
      <w:r w:rsidRPr="00EA2BC4">
        <w:rPr>
          <w:rFonts w:ascii="Times New Roman" w:hAnsi="Times New Roman" w:cs="Times New Roman"/>
          <w:sz w:val="24"/>
          <w:szCs w:val="24"/>
          <w:lang w:val="de-DE"/>
        </w:rPr>
        <w:t xml:space="preserve">. </w:t>
      </w:r>
      <w:proofErr w:type="spellStart"/>
      <w:r w:rsidRPr="00EA2BC4">
        <w:rPr>
          <w:rFonts w:ascii="Times New Roman" w:hAnsi="Times New Roman" w:cs="Times New Roman"/>
          <w:sz w:val="24"/>
          <w:szCs w:val="24"/>
        </w:rPr>
        <w:t>Cirad</w:t>
      </w:r>
      <w:proofErr w:type="spellEnd"/>
      <w:r w:rsidRPr="00EA2BC4">
        <w:rPr>
          <w:rFonts w:ascii="Times New Roman" w:hAnsi="Times New Roman" w:cs="Times New Roman"/>
          <w:sz w:val="24"/>
          <w:szCs w:val="24"/>
        </w:rPr>
        <w:t>/MNHN.</w:t>
      </w:r>
    </w:p>
    <w:p w14:paraId="04002532"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Bhatnagar, P., Singh, J., &amp; Meena, C. B. (2016). </w:t>
      </w:r>
      <w:proofErr w:type="spellStart"/>
      <w:r w:rsidRPr="00EA2BC4">
        <w:rPr>
          <w:rFonts w:ascii="Times New Roman" w:hAnsi="Times New Roman" w:cs="Times New Roman"/>
          <w:sz w:val="24"/>
          <w:szCs w:val="24"/>
        </w:rPr>
        <w:t>Lasoda</w:t>
      </w:r>
      <w:proofErr w:type="spellEnd"/>
      <w:r w:rsidRPr="00EA2BC4">
        <w:rPr>
          <w:rFonts w:ascii="Times New Roman" w:hAnsi="Times New Roman" w:cs="Times New Roman"/>
          <w:sz w:val="24"/>
          <w:szCs w:val="24"/>
        </w:rPr>
        <w:t xml:space="preserve"> that blooms on tree trunk – A report. </w:t>
      </w:r>
      <w:proofErr w:type="spellStart"/>
      <w:r w:rsidRPr="00EA2BC4">
        <w:rPr>
          <w:rFonts w:ascii="Times New Roman" w:hAnsi="Times New Roman" w:cs="Times New Roman"/>
          <w:i/>
          <w:iCs/>
          <w:sz w:val="24"/>
          <w:szCs w:val="24"/>
        </w:rPr>
        <w:t>HortFlora</w:t>
      </w:r>
      <w:proofErr w:type="spellEnd"/>
      <w:r w:rsidRPr="00EA2BC4">
        <w:rPr>
          <w:rFonts w:ascii="Times New Roman" w:hAnsi="Times New Roman" w:cs="Times New Roman"/>
          <w:i/>
          <w:iCs/>
          <w:sz w:val="24"/>
          <w:szCs w:val="24"/>
        </w:rPr>
        <w:t xml:space="preserve"> Research Spectrum, 5</w:t>
      </w:r>
      <w:r w:rsidRPr="00EA2BC4">
        <w:rPr>
          <w:rFonts w:ascii="Times New Roman" w:hAnsi="Times New Roman" w:cs="Times New Roman"/>
          <w:sz w:val="24"/>
          <w:szCs w:val="24"/>
        </w:rPr>
        <w:t>, 175–176.</w:t>
      </w:r>
    </w:p>
    <w:p w14:paraId="149FADF5"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lang w:val="de-DE"/>
        </w:rPr>
        <w:t xml:space="preserve">Ghaba, Z. S., Ebeid, A. F. A., Soliman, W. S., &amp; Gahory, A. (2024). </w:t>
      </w:r>
      <w:r w:rsidRPr="00EA2BC4">
        <w:rPr>
          <w:rFonts w:ascii="Times New Roman" w:hAnsi="Times New Roman" w:cs="Times New Roman"/>
          <w:sz w:val="24"/>
          <w:szCs w:val="24"/>
        </w:rPr>
        <w:t xml:space="preserve">Enhancing </w:t>
      </w:r>
      <w:r w:rsidRPr="00EA2BC4">
        <w:rPr>
          <w:rFonts w:ascii="Times New Roman" w:hAnsi="Times New Roman" w:cs="Times New Roman"/>
          <w:i/>
          <w:iCs/>
          <w:sz w:val="24"/>
          <w:szCs w:val="24"/>
        </w:rPr>
        <w:t>Cordia myxa</w:t>
      </w:r>
      <w:r w:rsidRPr="00EA2BC4">
        <w:rPr>
          <w:rFonts w:ascii="Times New Roman" w:hAnsi="Times New Roman" w:cs="Times New Roman"/>
          <w:sz w:val="24"/>
          <w:szCs w:val="24"/>
        </w:rPr>
        <w:t xml:space="preserve"> germination and seedling growth through breaking seed dormancy techniques. </w:t>
      </w:r>
      <w:r w:rsidRPr="00EA2BC4">
        <w:rPr>
          <w:rFonts w:ascii="Times New Roman" w:hAnsi="Times New Roman" w:cs="Times New Roman"/>
          <w:i/>
          <w:iCs/>
          <w:sz w:val="24"/>
          <w:szCs w:val="24"/>
        </w:rPr>
        <w:t>Aswan University Journal of Science and Technology, 4</w:t>
      </w:r>
      <w:r w:rsidRPr="00EA2BC4">
        <w:rPr>
          <w:rFonts w:ascii="Times New Roman" w:hAnsi="Times New Roman" w:cs="Times New Roman"/>
          <w:sz w:val="24"/>
          <w:szCs w:val="24"/>
        </w:rPr>
        <w:t>(3).</w:t>
      </w:r>
    </w:p>
    <w:p w14:paraId="4CE14BB9"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lang w:val="de-DE"/>
        </w:rPr>
        <w:t xml:space="preserve">Ghaba, Z. S., Ebeid, A. F. A., Soliman, W. S., &amp; Gahory, A. (2024). </w:t>
      </w:r>
      <w:r w:rsidRPr="00EA2BC4">
        <w:rPr>
          <w:rFonts w:ascii="Times New Roman" w:hAnsi="Times New Roman" w:cs="Times New Roman"/>
          <w:sz w:val="24"/>
          <w:szCs w:val="24"/>
        </w:rPr>
        <w:t xml:space="preserve">Enhancing </w:t>
      </w:r>
      <w:r w:rsidRPr="00EA2BC4">
        <w:rPr>
          <w:rFonts w:ascii="Times New Roman" w:hAnsi="Times New Roman" w:cs="Times New Roman"/>
          <w:i/>
          <w:iCs/>
          <w:sz w:val="24"/>
          <w:szCs w:val="24"/>
        </w:rPr>
        <w:t>Cordia myxa</w:t>
      </w:r>
      <w:r w:rsidRPr="00EA2BC4">
        <w:rPr>
          <w:rFonts w:ascii="Times New Roman" w:hAnsi="Times New Roman" w:cs="Times New Roman"/>
          <w:sz w:val="24"/>
          <w:szCs w:val="24"/>
        </w:rPr>
        <w:t xml:space="preserve"> germination and seedling growth through breaking seeds dormancy techniques. </w:t>
      </w:r>
      <w:r w:rsidRPr="00EA2BC4">
        <w:rPr>
          <w:rFonts w:ascii="Times New Roman" w:hAnsi="Times New Roman" w:cs="Times New Roman"/>
          <w:i/>
          <w:iCs/>
          <w:sz w:val="24"/>
          <w:szCs w:val="24"/>
        </w:rPr>
        <w:t>Aswan University Journal of Science and Technology, 4</w:t>
      </w:r>
      <w:r w:rsidRPr="00EA2BC4">
        <w:rPr>
          <w:rFonts w:ascii="Times New Roman" w:hAnsi="Times New Roman" w:cs="Times New Roman"/>
          <w:sz w:val="24"/>
          <w:szCs w:val="24"/>
        </w:rPr>
        <w:t xml:space="preserve">(3). </w:t>
      </w:r>
      <w:hyperlink r:id="rId14" w:tgtFrame="_new" w:history="1">
        <w:r w:rsidRPr="00EA2BC4">
          <w:rPr>
            <w:rStyle w:val="Hyperlink"/>
            <w:rFonts w:ascii="Times New Roman" w:hAnsi="Times New Roman" w:cs="Times New Roman"/>
            <w:sz w:val="24"/>
            <w:szCs w:val="24"/>
            <w:lang w:bidi="hi-IN"/>
          </w:rPr>
          <w:t>https://journals.aswu.edu.eg/stjournal</w:t>
        </w:r>
      </w:hyperlink>
    </w:p>
    <w:p w14:paraId="7A22C920"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Hendrickson, A. H., &amp; </w:t>
      </w:r>
      <w:proofErr w:type="spellStart"/>
      <w:r w:rsidRPr="00EA2BC4">
        <w:rPr>
          <w:rFonts w:ascii="Times New Roman" w:hAnsi="Times New Roman" w:cs="Times New Roman"/>
          <w:sz w:val="24"/>
          <w:szCs w:val="24"/>
        </w:rPr>
        <w:t>Veihmeyer</w:t>
      </w:r>
      <w:proofErr w:type="spellEnd"/>
      <w:r w:rsidRPr="00EA2BC4">
        <w:rPr>
          <w:rFonts w:ascii="Times New Roman" w:hAnsi="Times New Roman" w:cs="Times New Roman"/>
          <w:sz w:val="24"/>
          <w:szCs w:val="24"/>
        </w:rPr>
        <w:t xml:space="preserve">, I. M. (1934). </w:t>
      </w:r>
      <w:r w:rsidRPr="00EA2BC4">
        <w:rPr>
          <w:rFonts w:ascii="Times New Roman" w:hAnsi="Times New Roman" w:cs="Times New Roman"/>
          <w:i/>
          <w:iCs/>
          <w:sz w:val="24"/>
          <w:szCs w:val="24"/>
        </w:rPr>
        <w:t>Irrigation experiments with prunes</w:t>
      </w:r>
      <w:r w:rsidRPr="00EA2BC4">
        <w:rPr>
          <w:rFonts w:ascii="Times New Roman" w:hAnsi="Times New Roman" w:cs="Times New Roman"/>
          <w:sz w:val="24"/>
          <w:szCs w:val="24"/>
        </w:rPr>
        <w:t xml:space="preserve"> (Bulletin No. 276). California Agricultural Experiment Station.</w:t>
      </w:r>
    </w:p>
    <w:p w14:paraId="238AD76C"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Hong, T. D., &amp; Ellis, R. H. (1996). </w:t>
      </w:r>
      <w:r w:rsidRPr="00EA2BC4">
        <w:rPr>
          <w:rFonts w:ascii="Times New Roman" w:hAnsi="Times New Roman" w:cs="Times New Roman"/>
          <w:i/>
          <w:iCs/>
          <w:sz w:val="24"/>
          <w:szCs w:val="24"/>
        </w:rPr>
        <w:t>A protocol to determine seed storage behavior</w:t>
      </w:r>
      <w:r w:rsidRPr="00EA2BC4">
        <w:rPr>
          <w:rFonts w:ascii="Times New Roman" w:hAnsi="Times New Roman" w:cs="Times New Roman"/>
          <w:sz w:val="24"/>
          <w:szCs w:val="24"/>
        </w:rPr>
        <w:t xml:space="preserve"> (IPGRI Technical Bulletin No. 1). International Plant Genetic Resources Institute.</w:t>
      </w:r>
    </w:p>
    <w:p w14:paraId="20771B62"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International Seed Testing Association (ISTA). (2023). </w:t>
      </w:r>
      <w:r w:rsidRPr="00EA2BC4">
        <w:rPr>
          <w:rFonts w:ascii="Times New Roman" w:hAnsi="Times New Roman" w:cs="Times New Roman"/>
          <w:i/>
          <w:iCs/>
          <w:sz w:val="24"/>
          <w:szCs w:val="24"/>
        </w:rPr>
        <w:t>International rules for seed testing: 2023 edition</w:t>
      </w:r>
      <w:r w:rsidRPr="00EA2BC4">
        <w:rPr>
          <w:rFonts w:ascii="Times New Roman" w:hAnsi="Times New Roman" w:cs="Times New Roman"/>
          <w:sz w:val="24"/>
          <w:szCs w:val="24"/>
        </w:rPr>
        <w:t>. ISTA.</w:t>
      </w:r>
    </w:p>
    <w:p w14:paraId="14624D94"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lang w:val="de-DE"/>
        </w:rPr>
        <w:t xml:space="preserve">Jamkhande, S. R., Barde, S. L., Patwekar, S., &amp; Tidke, P. S. (2013). </w:t>
      </w:r>
      <w:r w:rsidRPr="00EA2BC4">
        <w:rPr>
          <w:rFonts w:ascii="Times New Roman" w:hAnsi="Times New Roman" w:cs="Times New Roman"/>
          <w:sz w:val="24"/>
          <w:szCs w:val="24"/>
        </w:rPr>
        <w:t xml:space="preserve">Plant profile, phytochemistry and pharmacology of </w:t>
      </w:r>
      <w:r w:rsidRPr="00EA2BC4">
        <w:rPr>
          <w:rFonts w:ascii="Times New Roman" w:hAnsi="Times New Roman" w:cs="Times New Roman"/>
          <w:i/>
          <w:iCs/>
          <w:sz w:val="24"/>
          <w:szCs w:val="24"/>
        </w:rPr>
        <w:t>Cordia</w:t>
      </w:r>
      <w:r w:rsidRPr="00EA2BC4">
        <w:rPr>
          <w:rFonts w:ascii="Times New Roman" w:hAnsi="Times New Roman" w:cs="Times New Roman"/>
          <w:sz w:val="24"/>
          <w:szCs w:val="24"/>
        </w:rPr>
        <w:t xml:space="preserve">. </w:t>
      </w:r>
      <w:r w:rsidRPr="00EA2BC4">
        <w:rPr>
          <w:rFonts w:ascii="Times New Roman" w:hAnsi="Times New Roman" w:cs="Times New Roman"/>
          <w:i/>
          <w:iCs/>
          <w:sz w:val="24"/>
          <w:szCs w:val="24"/>
        </w:rPr>
        <w:t>Asian Pacific Journal of Tropical Biomedicine, 3</w:t>
      </w:r>
      <w:r w:rsidRPr="00EA2BC4">
        <w:rPr>
          <w:rFonts w:ascii="Times New Roman" w:hAnsi="Times New Roman" w:cs="Times New Roman"/>
          <w:sz w:val="24"/>
          <w:szCs w:val="24"/>
        </w:rPr>
        <w:t>(12), 1009–1012.</w:t>
      </w:r>
    </w:p>
    <w:p w14:paraId="1A46EB7A"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proofErr w:type="spellStart"/>
      <w:r w:rsidRPr="00EA2BC4">
        <w:rPr>
          <w:rFonts w:ascii="Times New Roman" w:hAnsi="Times New Roman" w:cs="Times New Roman"/>
          <w:sz w:val="24"/>
          <w:szCs w:val="24"/>
        </w:rPr>
        <w:t>Jasiem</w:t>
      </w:r>
      <w:proofErr w:type="spellEnd"/>
      <w:r w:rsidRPr="00EA2BC4">
        <w:rPr>
          <w:rFonts w:ascii="Times New Roman" w:hAnsi="Times New Roman" w:cs="Times New Roman"/>
          <w:sz w:val="24"/>
          <w:szCs w:val="24"/>
        </w:rPr>
        <w:t xml:space="preserve">, T. M., </w:t>
      </w:r>
      <w:proofErr w:type="spellStart"/>
      <w:r w:rsidRPr="00EA2BC4">
        <w:rPr>
          <w:rFonts w:ascii="Times New Roman" w:hAnsi="Times New Roman" w:cs="Times New Roman"/>
          <w:sz w:val="24"/>
          <w:szCs w:val="24"/>
        </w:rPr>
        <w:t>ALmugdadi</w:t>
      </w:r>
      <w:proofErr w:type="spellEnd"/>
      <w:r w:rsidRPr="00EA2BC4">
        <w:rPr>
          <w:rFonts w:ascii="Times New Roman" w:hAnsi="Times New Roman" w:cs="Times New Roman"/>
          <w:sz w:val="24"/>
          <w:szCs w:val="24"/>
        </w:rPr>
        <w:t xml:space="preserve">, S. F. H., </w:t>
      </w:r>
      <w:proofErr w:type="spellStart"/>
      <w:r w:rsidRPr="00EA2BC4">
        <w:rPr>
          <w:rFonts w:ascii="Times New Roman" w:hAnsi="Times New Roman" w:cs="Times New Roman"/>
          <w:sz w:val="24"/>
          <w:szCs w:val="24"/>
        </w:rPr>
        <w:t>Aljubory</w:t>
      </w:r>
      <w:proofErr w:type="spellEnd"/>
      <w:r w:rsidRPr="00EA2BC4">
        <w:rPr>
          <w:rFonts w:ascii="Times New Roman" w:hAnsi="Times New Roman" w:cs="Times New Roman"/>
          <w:sz w:val="24"/>
          <w:szCs w:val="24"/>
        </w:rPr>
        <w:t xml:space="preserve">, I. S., &amp; </w:t>
      </w:r>
      <w:proofErr w:type="spellStart"/>
      <w:r w:rsidRPr="00EA2BC4">
        <w:rPr>
          <w:rFonts w:ascii="Times New Roman" w:hAnsi="Times New Roman" w:cs="Times New Roman"/>
          <w:sz w:val="24"/>
          <w:szCs w:val="24"/>
        </w:rPr>
        <w:t>Latef</w:t>
      </w:r>
      <w:proofErr w:type="spellEnd"/>
      <w:r w:rsidRPr="00EA2BC4">
        <w:rPr>
          <w:rFonts w:ascii="Times New Roman" w:hAnsi="Times New Roman" w:cs="Times New Roman"/>
          <w:sz w:val="24"/>
          <w:szCs w:val="24"/>
        </w:rPr>
        <w:t xml:space="preserve">, Q. N. (2016). Phytochemical study and antibacterial activity of crude alkaloids and mucilage of </w:t>
      </w:r>
      <w:r w:rsidRPr="00EA2BC4">
        <w:rPr>
          <w:rFonts w:ascii="Times New Roman" w:hAnsi="Times New Roman" w:cs="Times New Roman"/>
          <w:i/>
          <w:iCs/>
          <w:sz w:val="24"/>
          <w:szCs w:val="24"/>
        </w:rPr>
        <w:t>Cordia myxa</w:t>
      </w:r>
      <w:r w:rsidRPr="00EA2BC4">
        <w:rPr>
          <w:rFonts w:ascii="Times New Roman" w:hAnsi="Times New Roman" w:cs="Times New Roman"/>
          <w:sz w:val="24"/>
          <w:szCs w:val="24"/>
        </w:rPr>
        <w:t xml:space="preserve"> in Iraq. </w:t>
      </w:r>
      <w:r w:rsidRPr="00EA2BC4">
        <w:rPr>
          <w:rFonts w:ascii="Times New Roman" w:hAnsi="Times New Roman" w:cs="Times New Roman"/>
          <w:i/>
          <w:iCs/>
          <w:sz w:val="24"/>
          <w:szCs w:val="24"/>
        </w:rPr>
        <w:t>International Journal of Pharmaceutical Sciences Review and Research, 39</w:t>
      </w:r>
      <w:r w:rsidRPr="00EA2BC4">
        <w:rPr>
          <w:rFonts w:ascii="Times New Roman" w:hAnsi="Times New Roman" w:cs="Times New Roman"/>
          <w:sz w:val="24"/>
          <w:szCs w:val="24"/>
        </w:rPr>
        <w:t>(1), 232–236.</w:t>
      </w:r>
    </w:p>
    <w:p w14:paraId="2DC47074"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Karami, M. A., </w:t>
      </w:r>
      <w:proofErr w:type="spellStart"/>
      <w:r w:rsidRPr="00EA2BC4">
        <w:rPr>
          <w:rFonts w:ascii="Times New Roman" w:hAnsi="Times New Roman" w:cs="Times New Roman"/>
          <w:sz w:val="24"/>
          <w:szCs w:val="24"/>
        </w:rPr>
        <w:t>Moghimipour</w:t>
      </w:r>
      <w:proofErr w:type="spellEnd"/>
      <w:r w:rsidRPr="00EA2BC4">
        <w:rPr>
          <w:rFonts w:ascii="Times New Roman" w:hAnsi="Times New Roman" w:cs="Times New Roman"/>
          <w:sz w:val="24"/>
          <w:szCs w:val="24"/>
        </w:rPr>
        <w:t xml:space="preserve">, E., &amp; Saafi, S. F. (2015). Preparation and evaluation of </w:t>
      </w:r>
      <w:r w:rsidRPr="00EA2BC4">
        <w:rPr>
          <w:rFonts w:ascii="Times New Roman" w:hAnsi="Times New Roman" w:cs="Times New Roman"/>
          <w:i/>
          <w:iCs/>
          <w:sz w:val="24"/>
          <w:szCs w:val="24"/>
        </w:rPr>
        <w:t>Cordia myxa</w:t>
      </w:r>
      <w:r w:rsidRPr="00EA2BC4">
        <w:rPr>
          <w:rFonts w:ascii="Times New Roman" w:hAnsi="Times New Roman" w:cs="Times New Roman"/>
          <w:sz w:val="24"/>
          <w:szCs w:val="24"/>
        </w:rPr>
        <w:t xml:space="preserve"> fruit topical cream. </w:t>
      </w:r>
      <w:r w:rsidRPr="00EA2BC4">
        <w:rPr>
          <w:rFonts w:ascii="Times New Roman" w:hAnsi="Times New Roman" w:cs="Times New Roman"/>
          <w:i/>
          <w:iCs/>
          <w:sz w:val="24"/>
          <w:szCs w:val="24"/>
        </w:rPr>
        <w:t>World Journal of Pharmaceutical Research, 4</w:t>
      </w:r>
      <w:r w:rsidRPr="00EA2BC4">
        <w:rPr>
          <w:rFonts w:ascii="Times New Roman" w:hAnsi="Times New Roman" w:cs="Times New Roman"/>
          <w:sz w:val="24"/>
          <w:szCs w:val="24"/>
        </w:rPr>
        <w:t>(7), 244–253.</w:t>
      </w:r>
    </w:p>
    <w:p w14:paraId="641AD067"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Kumar, K., </w:t>
      </w:r>
      <w:proofErr w:type="spellStart"/>
      <w:r w:rsidRPr="00EA2BC4">
        <w:rPr>
          <w:rFonts w:ascii="Times New Roman" w:hAnsi="Times New Roman" w:cs="Times New Roman"/>
          <w:sz w:val="24"/>
          <w:szCs w:val="24"/>
        </w:rPr>
        <w:t>Sarolia</w:t>
      </w:r>
      <w:proofErr w:type="spellEnd"/>
      <w:r w:rsidRPr="00EA2BC4">
        <w:rPr>
          <w:rFonts w:ascii="Times New Roman" w:hAnsi="Times New Roman" w:cs="Times New Roman"/>
          <w:sz w:val="24"/>
          <w:szCs w:val="24"/>
        </w:rPr>
        <w:t xml:space="preserve">, D. K., Saroj, P. L., </w:t>
      </w:r>
      <w:proofErr w:type="spellStart"/>
      <w:r w:rsidRPr="00EA2BC4">
        <w:rPr>
          <w:rFonts w:ascii="Times New Roman" w:hAnsi="Times New Roman" w:cs="Times New Roman"/>
          <w:sz w:val="24"/>
          <w:szCs w:val="24"/>
        </w:rPr>
        <w:t>Samadia</w:t>
      </w:r>
      <w:proofErr w:type="spellEnd"/>
      <w:r w:rsidRPr="00EA2BC4">
        <w:rPr>
          <w:rFonts w:ascii="Times New Roman" w:hAnsi="Times New Roman" w:cs="Times New Roman"/>
          <w:sz w:val="24"/>
          <w:szCs w:val="24"/>
        </w:rPr>
        <w:t>, D. K., &amp; Singh, D. (2022). Standardization of seed, rootstock and plant standards of (</w:t>
      </w:r>
      <w:r w:rsidRPr="00EA2BC4">
        <w:rPr>
          <w:rFonts w:ascii="Times New Roman" w:hAnsi="Times New Roman" w:cs="Times New Roman"/>
          <w:i/>
          <w:iCs/>
          <w:sz w:val="24"/>
          <w:szCs w:val="24"/>
        </w:rPr>
        <w:t>Cordia myxa</w:t>
      </w:r>
      <w:r w:rsidRPr="00EA2BC4">
        <w:rPr>
          <w:rFonts w:ascii="Times New Roman" w:hAnsi="Times New Roman" w:cs="Times New Roman"/>
          <w:sz w:val="24"/>
          <w:szCs w:val="24"/>
        </w:rPr>
        <w:t xml:space="preserve"> L.) for commercial orcharding in India. </w:t>
      </w:r>
      <w:r w:rsidRPr="00EA2BC4">
        <w:rPr>
          <w:rFonts w:ascii="Times New Roman" w:hAnsi="Times New Roman" w:cs="Times New Roman"/>
          <w:i/>
          <w:iCs/>
          <w:sz w:val="24"/>
          <w:szCs w:val="24"/>
        </w:rPr>
        <w:t>Journal of Environmental Biology, 43</w:t>
      </w:r>
      <w:r w:rsidRPr="00EA2BC4">
        <w:rPr>
          <w:rFonts w:ascii="Times New Roman" w:hAnsi="Times New Roman" w:cs="Times New Roman"/>
          <w:sz w:val="24"/>
          <w:szCs w:val="24"/>
        </w:rPr>
        <w:t xml:space="preserve">(2), 267–275. </w:t>
      </w:r>
      <w:hyperlink r:id="rId15" w:tgtFrame="_new" w:history="1">
        <w:r w:rsidRPr="00EA2BC4">
          <w:rPr>
            <w:rStyle w:val="Hyperlink"/>
            <w:rFonts w:ascii="Times New Roman" w:hAnsi="Times New Roman" w:cs="Times New Roman"/>
            <w:sz w:val="24"/>
            <w:szCs w:val="24"/>
            <w:lang w:bidi="hi-IN"/>
          </w:rPr>
          <w:t>https://doi.org/10.22438/jeb/43/2/MRN-1927</w:t>
        </w:r>
      </w:hyperlink>
    </w:p>
    <w:p w14:paraId="73B9FD72"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proofErr w:type="spellStart"/>
      <w:r w:rsidRPr="00EA2BC4">
        <w:rPr>
          <w:rFonts w:ascii="Times New Roman" w:hAnsi="Times New Roman" w:cs="Times New Roman"/>
          <w:sz w:val="24"/>
          <w:szCs w:val="24"/>
        </w:rPr>
        <w:t>Kuppast</w:t>
      </w:r>
      <w:proofErr w:type="spellEnd"/>
      <w:r w:rsidRPr="00EA2BC4">
        <w:rPr>
          <w:rFonts w:ascii="Times New Roman" w:hAnsi="Times New Roman" w:cs="Times New Roman"/>
          <w:sz w:val="24"/>
          <w:szCs w:val="24"/>
        </w:rPr>
        <w:t xml:space="preserve">, J., &amp; Vasudeva, P. (2006). Wound healing activity of </w:t>
      </w:r>
      <w:r w:rsidRPr="00EA2BC4">
        <w:rPr>
          <w:rFonts w:ascii="Times New Roman" w:hAnsi="Times New Roman" w:cs="Times New Roman"/>
          <w:i/>
          <w:iCs/>
          <w:sz w:val="24"/>
          <w:szCs w:val="24"/>
        </w:rPr>
        <w:t>Cordia dichotoma</w:t>
      </w:r>
      <w:r w:rsidRPr="00EA2BC4">
        <w:rPr>
          <w:rFonts w:ascii="Times New Roman" w:hAnsi="Times New Roman" w:cs="Times New Roman"/>
          <w:sz w:val="24"/>
          <w:szCs w:val="24"/>
        </w:rPr>
        <w:t xml:space="preserve"> Forst. f. fruit. </w:t>
      </w:r>
      <w:r w:rsidRPr="00EA2BC4">
        <w:rPr>
          <w:rFonts w:ascii="Times New Roman" w:hAnsi="Times New Roman" w:cs="Times New Roman"/>
          <w:i/>
          <w:iCs/>
          <w:sz w:val="24"/>
          <w:szCs w:val="24"/>
        </w:rPr>
        <w:t>Research Article, 5</w:t>
      </w:r>
      <w:r w:rsidRPr="00EA2BC4">
        <w:rPr>
          <w:rFonts w:ascii="Times New Roman" w:hAnsi="Times New Roman" w:cs="Times New Roman"/>
          <w:sz w:val="24"/>
          <w:szCs w:val="24"/>
        </w:rPr>
        <w:t>(2), 99–102.</w:t>
      </w:r>
    </w:p>
    <w:p w14:paraId="413CEC2F"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Meghwal, P. R. (2007). Propagation studies in </w:t>
      </w:r>
      <w:proofErr w:type="spellStart"/>
      <w:r w:rsidRPr="00EA2BC4">
        <w:rPr>
          <w:rFonts w:ascii="Times New Roman" w:hAnsi="Times New Roman" w:cs="Times New Roman"/>
          <w:sz w:val="24"/>
          <w:szCs w:val="24"/>
        </w:rPr>
        <w:t>lehsua</w:t>
      </w:r>
      <w:proofErr w:type="spellEnd"/>
      <w:r w:rsidRPr="00EA2BC4">
        <w:rPr>
          <w:rFonts w:ascii="Times New Roman" w:hAnsi="Times New Roman" w:cs="Times New Roman"/>
          <w:sz w:val="24"/>
          <w:szCs w:val="24"/>
        </w:rPr>
        <w:t xml:space="preserve"> (</w:t>
      </w:r>
      <w:r w:rsidRPr="00EA2BC4">
        <w:rPr>
          <w:rFonts w:ascii="Times New Roman" w:hAnsi="Times New Roman" w:cs="Times New Roman"/>
          <w:i/>
          <w:iCs/>
          <w:sz w:val="24"/>
          <w:szCs w:val="24"/>
        </w:rPr>
        <w:t xml:space="preserve">Cordia </w:t>
      </w:r>
      <w:proofErr w:type="spellStart"/>
      <w:r w:rsidRPr="00EA2BC4">
        <w:rPr>
          <w:rFonts w:ascii="Times New Roman" w:hAnsi="Times New Roman" w:cs="Times New Roman"/>
          <w:i/>
          <w:iCs/>
          <w:sz w:val="24"/>
          <w:szCs w:val="24"/>
        </w:rPr>
        <w:t>myxa</w:t>
      </w:r>
      <w:proofErr w:type="spellEnd"/>
      <w:r w:rsidRPr="00EA2BC4">
        <w:rPr>
          <w:rFonts w:ascii="Times New Roman" w:hAnsi="Times New Roman" w:cs="Times New Roman"/>
          <w:sz w:val="24"/>
          <w:szCs w:val="24"/>
        </w:rPr>
        <w:t xml:space="preserve"> L.). </w:t>
      </w:r>
      <w:r w:rsidRPr="00EA2BC4">
        <w:rPr>
          <w:rFonts w:ascii="Times New Roman" w:hAnsi="Times New Roman" w:cs="Times New Roman"/>
          <w:i/>
          <w:iCs/>
          <w:sz w:val="24"/>
          <w:szCs w:val="24"/>
        </w:rPr>
        <w:t>Indian Journal of Agricultural Sciences, 77</w:t>
      </w:r>
      <w:r w:rsidRPr="00EA2BC4">
        <w:rPr>
          <w:rFonts w:ascii="Times New Roman" w:hAnsi="Times New Roman" w:cs="Times New Roman"/>
          <w:sz w:val="24"/>
          <w:szCs w:val="24"/>
        </w:rPr>
        <w:t>(11), 765–767.</w:t>
      </w:r>
    </w:p>
    <w:p w14:paraId="593DA4F5"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Meghwal, P. R., Singh, A., &amp; Pradeep-Kumar. (2014a). Evaluation of selected </w:t>
      </w:r>
      <w:proofErr w:type="spellStart"/>
      <w:r w:rsidRPr="00EA2BC4">
        <w:rPr>
          <w:rFonts w:ascii="Times New Roman" w:hAnsi="Times New Roman" w:cs="Times New Roman"/>
          <w:sz w:val="24"/>
          <w:szCs w:val="24"/>
        </w:rPr>
        <w:t>gonda</w:t>
      </w:r>
      <w:proofErr w:type="spellEnd"/>
      <w:r w:rsidRPr="00EA2BC4">
        <w:rPr>
          <w:rFonts w:ascii="Times New Roman" w:hAnsi="Times New Roman" w:cs="Times New Roman"/>
          <w:sz w:val="24"/>
          <w:szCs w:val="24"/>
        </w:rPr>
        <w:t xml:space="preserve"> genotypes (</w:t>
      </w:r>
      <w:r w:rsidRPr="00EA2BC4">
        <w:rPr>
          <w:rFonts w:ascii="Times New Roman" w:hAnsi="Times New Roman" w:cs="Times New Roman"/>
          <w:i/>
          <w:iCs/>
          <w:sz w:val="24"/>
          <w:szCs w:val="24"/>
        </w:rPr>
        <w:t xml:space="preserve">Cordia </w:t>
      </w:r>
      <w:proofErr w:type="spellStart"/>
      <w:r w:rsidRPr="00EA2BC4">
        <w:rPr>
          <w:rFonts w:ascii="Times New Roman" w:hAnsi="Times New Roman" w:cs="Times New Roman"/>
          <w:i/>
          <w:iCs/>
          <w:sz w:val="24"/>
          <w:szCs w:val="24"/>
        </w:rPr>
        <w:t>myxa</w:t>
      </w:r>
      <w:proofErr w:type="spellEnd"/>
      <w:r w:rsidRPr="00EA2BC4">
        <w:rPr>
          <w:rFonts w:ascii="Times New Roman" w:hAnsi="Times New Roman" w:cs="Times New Roman"/>
          <w:sz w:val="24"/>
          <w:szCs w:val="24"/>
        </w:rPr>
        <w:t xml:space="preserve"> L.) on different rootstocks. </w:t>
      </w:r>
      <w:r w:rsidRPr="00EA2BC4">
        <w:rPr>
          <w:rFonts w:ascii="Times New Roman" w:hAnsi="Times New Roman" w:cs="Times New Roman"/>
          <w:i/>
          <w:iCs/>
          <w:sz w:val="24"/>
          <w:szCs w:val="24"/>
        </w:rPr>
        <w:t>Indian Journal of Horticulture, 71</w:t>
      </w:r>
      <w:r w:rsidRPr="00EA2BC4">
        <w:rPr>
          <w:rFonts w:ascii="Times New Roman" w:hAnsi="Times New Roman" w:cs="Times New Roman"/>
          <w:sz w:val="24"/>
          <w:szCs w:val="24"/>
        </w:rPr>
        <w:t>(3), 415–418.</w:t>
      </w:r>
    </w:p>
    <w:p w14:paraId="2CEE3BB3"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Meghwal, P. R., Singh, A., &amp; Singh, D. (2021a). Research status of </w:t>
      </w:r>
      <w:proofErr w:type="spellStart"/>
      <w:r w:rsidRPr="00EA2BC4">
        <w:rPr>
          <w:rFonts w:ascii="Times New Roman" w:hAnsi="Times New Roman" w:cs="Times New Roman"/>
          <w:sz w:val="24"/>
          <w:szCs w:val="24"/>
        </w:rPr>
        <w:t>lasora</w:t>
      </w:r>
      <w:proofErr w:type="spellEnd"/>
      <w:r w:rsidRPr="00EA2BC4">
        <w:rPr>
          <w:rFonts w:ascii="Times New Roman" w:hAnsi="Times New Roman" w:cs="Times New Roman"/>
          <w:sz w:val="24"/>
          <w:szCs w:val="24"/>
        </w:rPr>
        <w:t xml:space="preserve"> (</w:t>
      </w:r>
      <w:r w:rsidRPr="00EA2BC4">
        <w:rPr>
          <w:rFonts w:ascii="Times New Roman" w:hAnsi="Times New Roman" w:cs="Times New Roman"/>
          <w:i/>
          <w:iCs/>
          <w:sz w:val="24"/>
          <w:szCs w:val="24"/>
        </w:rPr>
        <w:t xml:space="preserve">Cordia </w:t>
      </w:r>
      <w:proofErr w:type="spellStart"/>
      <w:r w:rsidRPr="00EA2BC4">
        <w:rPr>
          <w:rFonts w:ascii="Times New Roman" w:hAnsi="Times New Roman" w:cs="Times New Roman"/>
          <w:i/>
          <w:iCs/>
          <w:sz w:val="24"/>
          <w:szCs w:val="24"/>
        </w:rPr>
        <w:t>myxa</w:t>
      </w:r>
      <w:proofErr w:type="spellEnd"/>
      <w:r w:rsidRPr="00EA2BC4">
        <w:rPr>
          <w:rFonts w:ascii="Times New Roman" w:hAnsi="Times New Roman" w:cs="Times New Roman"/>
          <w:sz w:val="24"/>
          <w:szCs w:val="24"/>
        </w:rPr>
        <w:t xml:space="preserve"> L.) in India – A review. </w:t>
      </w:r>
      <w:r w:rsidRPr="00EA2BC4">
        <w:rPr>
          <w:rFonts w:ascii="Times New Roman" w:hAnsi="Times New Roman" w:cs="Times New Roman"/>
          <w:i/>
          <w:iCs/>
          <w:sz w:val="24"/>
          <w:szCs w:val="24"/>
        </w:rPr>
        <w:t>Current Horticulture, 9</w:t>
      </w:r>
      <w:r w:rsidRPr="00EA2BC4">
        <w:rPr>
          <w:rFonts w:ascii="Times New Roman" w:hAnsi="Times New Roman" w:cs="Times New Roman"/>
          <w:sz w:val="24"/>
          <w:szCs w:val="24"/>
        </w:rPr>
        <w:t>(1), 15–19.</w:t>
      </w:r>
    </w:p>
    <w:p w14:paraId="4A74FCB2"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lastRenderedPageBreak/>
        <w:t xml:space="preserve">Meghwal, P. R., Singh, A., &amp; Singh, D. (2021b). Underutilized fruits and vegetables in hot arid regions of India: Status and prospects. </w:t>
      </w:r>
      <w:r w:rsidRPr="00EA2BC4">
        <w:rPr>
          <w:rFonts w:ascii="Times New Roman" w:hAnsi="Times New Roman" w:cs="Times New Roman"/>
          <w:i/>
          <w:iCs/>
          <w:sz w:val="24"/>
          <w:szCs w:val="24"/>
        </w:rPr>
        <w:t>Agricultural Reviews, 43</w:t>
      </w:r>
      <w:r w:rsidRPr="00EA2BC4">
        <w:rPr>
          <w:rFonts w:ascii="Times New Roman" w:hAnsi="Times New Roman" w:cs="Times New Roman"/>
          <w:sz w:val="24"/>
          <w:szCs w:val="24"/>
        </w:rPr>
        <w:t xml:space="preserve">(1), 38–45. </w:t>
      </w:r>
      <w:hyperlink r:id="rId16" w:tgtFrame="_new" w:history="1">
        <w:r w:rsidRPr="00EA2BC4">
          <w:rPr>
            <w:rStyle w:val="Hyperlink"/>
            <w:rFonts w:ascii="Times New Roman" w:hAnsi="Times New Roman" w:cs="Times New Roman"/>
            <w:sz w:val="24"/>
            <w:szCs w:val="24"/>
            <w:lang w:bidi="hi-IN"/>
          </w:rPr>
          <w:t>https://doi.org/10.18805/ag.R-2087</w:t>
        </w:r>
      </w:hyperlink>
    </w:p>
    <w:p w14:paraId="050F1B20"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Meghwal, P. R., Singh, A., Pradeep-Kumar, &amp; </w:t>
      </w:r>
      <w:proofErr w:type="spellStart"/>
      <w:r w:rsidRPr="00EA2BC4">
        <w:rPr>
          <w:rFonts w:ascii="Times New Roman" w:hAnsi="Times New Roman" w:cs="Times New Roman"/>
          <w:sz w:val="24"/>
          <w:szCs w:val="24"/>
        </w:rPr>
        <w:t>Morwal</w:t>
      </w:r>
      <w:proofErr w:type="spellEnd"/>
      <w:r w:rsidRPr="00EA2BC4">
        <w:rPr>
          <w:rFonts w:ascii="Times New Roman" w:hAnsi="Times New Roman" w:cs="Times New Roman"/>
          <w:sz w:val="24"/>
          <w:szCs w:val="24"/>
        </w:rPr>
        <w:t xml:space="preserve">, B. R. (2014b). Diversity, distribution and horticultural potential of </w:t>
      </w:r>
      <w:r w:rsidRPr="00EA2BC4">
        <w:rPr>
          <w:rFonts w:ascii="Times New Roman" w:hAnsi="Times New Roman" w:cs="Times New Roman"/>
          <w:i/>
          <w:iCs/>
          <w:sz w:val="24"/>
          <w:szCs w:val="24"/>
        </w:rPr>
        <w:t>Cordia myxa</w:t>
      </w:r>
      <w:r w:rsidRPr="00EA2BC4">
        <w:rPr>
          <w:rFonts w:ascii="Times New Roman" w:hAnsi="Times New Roman" w:cs="Times New Roman"/>
          <w:sz w:val="24"/>
          <w:szCs w:val="24"/>
        </w:rPr>
        <w:t xml:space="preserve"> Roxb.: A promising underutilized fruit species of arid and semi-arid regions of India. </w:t>
      </w:r>
      <w:r w:rsidRPr="00EA2BC4">
        <w:rPr>
          <w:rFonts w:ascii="Times New Roman" w:hAnsi="Times New Roman" w:cs="Times New Roman"/>
          <w:i/>
          <w:iCs/>
          <w:sz w:val="24"/>
          <w:szCs w:val="24"/>
        </w:rPr>
        <w:t>Genetic Resources and Crop Evolution, 61</w:t>
      </w:r>
      <w:r w:rsidRPr="00EA2BC4">
        <w:rPr>
          <w:rFonts w:ascii="Times New Roman" w:hAnsi="Times New Roman" w:cs="Times New Roman"/>
          <w:sz w:val="24"/>
          <w:szCs w:val="24"/>
        </w:rPr>
        <w:t xml:space="preserve">, 1633–1643. </w:t>
      </w:r>
      <w:hyperlink r:id="rId17" w:tgtFrame="_new" w:history="1">
        <w:r w:rsidRPr="00EA2BC4">
          <w:rPr>
            <w:rStyle w:val="Hyperlink"/>
            <w:rFonts w:ascii="Times New Roman" w:hAnsi="Times New Roman" w:cs="Times New Roman"/>
            <w:sz w:val="24"/>
            <w:szCs w:val="24"/>
            <w:lang w:bidi="hi-IN"/>
          </w:rPr>
          <w:t>https://doi.org/10.1007/s10722-014-0161-y</w:t>
        </w:r>
      </w:hyperlink>
    </w:p>
    <w:p w14:paraId="2F9041AA"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Meghwal, P. R., Sourabh, &amp; Singh, D. (2024). Exploring polybag size, nursery mixtures and rootstocks for optimizing </w:t>
      </w:r>
      <w:proofErr w:type="spellStart"/>
      <w:r w:rsidRPr="00EA2BC4">
        <w:rPr>
          <w:rFonts w:ascii="Times New Roman" w:hAnsi="Times New Roman" w:cs="Times New Roman"/>
          <w:sz w:val="24"/>
          <w:szCs w:val="24"/>
        </w:rPr>
        <w:t>Lasoda</w:t>
      </w:r>
      <w:proofErr w:type="spellEnd"/>
      <w:r w:rsidRPr="00EA2BC4">
        <w:rPr>
          <w:rFonts w:ascii="Times New Roman" w:hAnsi="Times New Roman" w:cs="Times New Roman"/>
          <w:sz w:val="24"/>
          <w:szCs w:val="24"/>
        </w:rPr>
        <w:t xml:space="preserve"> (</w:t>
      </w:r>
      <w:r w:rsidRPr="00EA2BC4">
        <w:rPr>
          <w:rFonts w:ascii="Times New Roman" w:hAnsi="Times New Roman" w:cs="Times New Roman"/>
          <w:i/>
          <w:iCs/>
          <w:sz w:val="24"/>
          <w:szCs w:val="24"/>
        </w:rPr>
        <w:t xml:space="preserve">Cordia </w:t>
      </w:r>
      <w:proofErr w:type="spellStart"/>
      <w:r w:rsidRPr="00EA2BC4">
        <w:rPr>
          <w:rFonts w:ascii="Times New Roman" w:hAnsi="Times New Roman" w:cs="Times New Roman"/>
          <w:i/>
          <w:iCs/>
          <w:sz w:val="24"/>
          <w:szCs w:val="24"/>
        </w:rPr>
        <w:t>myxa</w:t>
      </w:r>
      <w:proofErr w:type="spellEnd"/>
      <w:r w:rsidRPr="00EA2BC4">
        <w:rPr>
          <w:rFonts w:ascii="Times New Roman" w:hAnsi="Times New Roman" w:cs="Times New Roman"/>
          <w:sz w:val="24"/>
          <w:szCs w:val="24"/>
        </w:rPr>
        <w:t xml:space="preserve"> L.) nursery techniques. </w:t>
      </w:r>
      <w:r w:rsidRPr="00EA2BC4">
        <w:rPr>
          <w:rFonts w:ascii="Times New Roman" w:hAnsi="Times New Roman" w:cs="Times New Roman"/>
          <w:i/>
          <w:iCs/>
          <w:sz w:val="24"/>
          <w:szCs w:val="24"/>
        </w:rPr>
        <w:t>Indian Journal of Agricultural Research</w:t>
      </w:r>
      <w:r w:rsidRPr="00EA2BC4">
        <w:rPr>
          <w:rFonts w:ascii="Times New Roman" w:hAnsi="Times New Roman" w:cs="Times New Roman"/>
          <w:sz w:val="24"/>
          <w:szCs w:val="24"/>
        </w:rPr>
        <w:t xml:space="preserve">. Advance online publication. </w:t>
      </w:r>
      <w:hyperlink r:id="rId18" w:tgtFrame="_new" w:history="1">
        <w:r w:rsidRPr="00EA2BC4">
          <w:rPr>
            <w:rStyle w:val="Hyperlink"/>
            <w:rFonts w:ascii="Times New Roman" w:hAnsi="Times New Roman" w:cs="Times New Roman"/>
            <w:sz w:val="24"/>
            <w:szCs w:val="24"/>
            <w:lang w:bidi="hi-IN"/>
          </w:rPr>
          <w:t>https://doi.org/10.18805/IJARe.A-6211</w:t>
        </w:r>
      </w:hyperlink>
    </w:p>
    <w:p w14:paraId="4C33E296"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Nagar, B. L., </w:t>
      </w:r>
      <w:proofErr w:type="spellStart"/>
      <w:r w:rsidRPr="00EA2BC4">
        <w:rPr>
          <w:rFonts w:ascii="Times New Roman" w:hAnsi="Times New Roman" w:cs="Times New Roman"/>
          <w:sz w:val="24"/>
          <w:szCs w:val="24"/>
        </w:rPr>
        <w:t>Fageria</w:t>
      </w:r>
      <w:proofErr w:type="spellEnd"/>
      <w:r w:rsidRPr="00EA2BC4">
        <w:rPr>
          <w:rFonts w:ascii="Times New Roman" w:hAnsi="Times New Roman" w:cs="Times New Roman"/>
          <w:sz w:val="24"/>
          <w:szCs w:val="24"/>
        </w:rPr>
        <w:t xml:space="preserve">, M. S., &amp; Pareek, S. (2013). Genetic variation for physicochemical characteristics in </w:t>
      </w:r>
      <w:proofErr w:type="spellStart"/>
      <w:r w:rsidRPr="00EA2BC4">
        <w:rPr>
          <w:rFonts w:ascii="Times New Roman" w:hAnsi="Times New Roman" w:cs="Times New Roman"/>
          <w:sz w:val="24"/>
          <w:szCs w:val="24"/>
        </w:rPr>
        <w:t>lehsua</w:t>
      </w:r>
      <w:proofErr w:type="spellEnd"/>
      <w:r w:rsidRPr="00EA2BC4">
        <w:rPr>
          <w:rFonts w:ascii="Times New Roman" w:hAnsi="Times New Roman" w:cs="Times New Roman"/>
          <w:sz w:val="24"/>
          <w:szCs w:val="24"/>
        </w:rPr>
        <w:t xml:space="preserve"> (</w:t>
      </w:r>
      <w:r w:rsidRPr="00EA2BC4">
        <w:rPr>
          <w:rFonts w:ascii="Times New Roman" w:hAnsi="Times New Roman" w:cs="Times New Roman"/>
          <w:i/>
          <w:iCs/>
          <w:sz w:val="24"/>
          <w:szCs w:val="24"/>
        </w:rPr>
        <w:t xml:space="preserve">Cordia </w:t>
      </w:r>
      <w:proofErr w:type="spellStart"/>
      <w:r w:rsidRPr="00EA2BC4">
        <w:rPr>
          <w:rFonts w:ascii="Times New Roman" w:hAnsi="Times New Roman" w:cs="Times New Roman"/>
          <w:i/>
          <w:iCs/>
          <w:sz w:val="24"/>
          <w:szCs w:val="24"/>
        </w:rPr>
        <w:t>myxa</w:t>
      </w:r>
      <w:proofErr w:type="spellEnd"/>
      <w:r w:rsidRPr="00EA2BC4">
        <w:rPr>
          <w:rFonts w:ascii="Times New Roman" w:hAnsi="Times New Roman" w:cs="Times New Roman"/>
          <w:sz w:val="24"/>
          <w:szCs w:val="24"/>
        </w:rPr>
        <w:t xml:space="preserve"> L.). </w:t>
      </w:r>
      <w:r w:rsidRPr="00EA2BC4">
        <w:rPr>
          <w:rFonts w:ascii="Times New Roman" w:hAnsi="Times New Roman" w:cs="Times New Roman"/>
          <w:i/>
          <w:iCs/>
          <w:sz w:val="24"/>
          <w:szCs w:val="24"/>
        </w:rPr>
        <w:t>African Journal of Agricultural Research, 8</w:t>
      </w:r>
      <w:r w:rsidRPr="00EA2BC4">
        <w:rPr>
          <w:rFonts w:ascii="Times New Roman" w:hAnsi="Times New Roman" w:cs="Times New Roman"/>
          <w:sz w:val="24"/>
          <w:szCs w:val="24"/>
        </w:rPr>
        <w:t xml:space="preserve">(40), 5047–5050. </w:t>
      </w:r>
      <w:hyperlink r:id="rId19" w:tgtFrame="_new" w:history="1">
        <w:r w:rsidRPr="00EA2BC4">
          <w:rPr>
            <w:rStyle w:val="Hyperlink"/>
            <w:rFonts w:ascii="Times New Roman" w:hAnsi="Times New Roman" w:cs="Times New Roman"/>
            <w:sz w:val="24"/>
            <w:szCs w:val="24"/>
            <w:lang w:bidi="hi-IN"/>
          </w:rPr>
          <w:t>https://doi.org/10.5897/AJAR12.2170</w:t>
        </w:r>
      </w:hyperlink>
    </w:p>
    <w:p w14:paraId="7D88676F"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Orchard, T. (1977). Estimating the parameters of plant seedling emergence. </w:t>
      </w:r>
      <w:r w:rsidRPr="00EA2BC4">
        <w:rPr>
          <w:rFonts w:ascii="Times New Roman" w:hAnsi="Times New Roman" w:cs="Times New Roman"/>
          <w:i/>
          <w:iCs/>
          <w:sz w:val="24"/>
          <w:szCs w:val="24"/>
        </w:rPr>
        <w:t>Seed Science and Technology, 5</w:t>
      </w:r>
      <w:r w:rsidRPr="00EA2BC4">
        <w:rPr>
          <w:rFonts w:ascii="Times New Roman" w:hAnsi="Times New Roman" w:cs="Times New Roman"/>
          <w:sz w:val="24"/>
          <w:szCs w:val="24"/>
        </w:rPr>
        <w:t>(1), 61–69.</w:t>
      </w:r>
    </w:p>
    <w:p w14:paraId="74F51072"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Panse, V. G., &amp; </w:t>
      </w:r>
      <w:proofErr w:type="spellStart"/>
      <w:r w:rsidRPr="00EA2BC4">
        <w:rPr>
          <w:rFonts w:ascii="Times New Roman" w:hAnsi="Times New Roman" w:cs="Times New Roman"/>
          <w:sz w:val="24"/>
          <w:szCs w:val="24"/>
        </w:rPr>
        <w:t>Sukhatme</w:t>
      </w:r>
      <w:proofErr w:type="spellEnd"/>
      <w:r w:rsidRPr="00EA2BC4">
        <w:rPr>
          <w:rFonts w:ascii="Times New Roman" w:hAnsi="Times New Roman" w:cs="Times New Roman"/>
          <w:sz w:val="24"/>
          <w:szCs w:val="24"/>
        </w:rPr>
        <w:t xml:space="preserve">, P. V. (1995). </w:t>
      </w:r>
      <w:r w:rsidRPr="00EA2BC4">
        <w:rPr>
          <w:rFonts w:ascii="Times New Roman" w:hAnsi="Times New Roman" w:cs="Times New Roman"/>
          <w:i/>
          <w:iCs/>
          <w:sz w:val="24"/>
          <w:szCs w:val="24"/>
        </w:rPr>
        <w:t>Statistical methods for agricultural workers</w:t>
      </w:r>
      <w:r w:rsidRPr="00EA2BC4">
        <w:rPr>
          <w:rFonts w:ascii="Times New Roman" w:hAnsi="Times New Roman" w:cs="Times New Roman"/>
          <w:sz w:val="24"/>
          <w:szCs w:val="24"/>
        </w:rPr>
        <w:t xml:space="preserve"> (4th ed.). Indian Council of Agricultural Research.</w:t>
      </w:r>
    </w:p>
    <w:p w14:paraId="7884E0D1"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Pareek, O. P., &amp; Sharma, S. (1993). Underutilized fruits. </w:t>
      </w:r>
      <w:r w:rsidRPr="00EA2BC4">
        <w:rPr>
          <w:rFonts w:ascii="Times New Roman" w:hAnsi="Times New Roman" w:cs="Times New Roman"/>
          <w:i/>
          <w:iCs/>
          <w:sz w:val="24"/>
          <w:szCs w:val="24"/>
        </w:rPr>
        <w:t>Indian Horticulture, 38</w:t>
      </w:r>
      <w:r w:rsidRPr="00EA2BC4">
        <w:rPr>
          <w:rFonts w:ascii="Times New Roman" w:hAnsi="Times New Roman" w:cs="Times New Roman"/>
          <w:sz w:val="24"/>
          <w:szCs w:val="24"/>
        </w:rPr>
        <w:t>, 47–56.</w:t>
      </w:r>
    </w:p>
    <w:p w14:paraId="1CB1B86D"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Salami, K. D., &amp; Lawal, A. A. (2018, April 23–27). Description of economical trees and shrubs species in northern part of Nigeria and their potentials. In </w:t>
      </w:r>
      <w:r w:rsidRPr="00EA2BC4">
        <w:rPr>
          <w:rFonts w:ascii="Times New Roman" w:hAnsi="Times New Roman" w:cs="Times New Roman"/>
          <w:i/>
          <w:iCs/>
          <w:sz w:val="24"/>
          <w:szCs w:val="24"/>
        </w:rPr>
        <w:t>Proceedings of the 6th Biennial National Conference of the Forests and Forest Products Society</w:t>
      </w:r>
      <w:r w:rsidRPr="00EA2BC4">
        <w:rPr>
          <w:rFonts w:ascii="Times New Roman" w:hAnsi="Times New Roman" w:cs="Times New Roman"/>
          <w:sz w:val="24"/>
          <w:szCs w:val="24"/>
        </w:rPr>
        <w:t xml:space="preserve"> (pp. 136–144).</w:t>
      </w:r>
    </w:p>
    <w:p w14:paraId="68FCE2DF"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Scott, S. J., Jones, R. A., &amp; Williams, W. A. (1984). Review of data analysis methods for seed germination. </w:t>
      </w:r>
      <w:r w:rsidRPr="00EA2BC4">
        <w:rPr>
          <w:rFonts w:ascii="Times New Roman" w:hAnsi="Times New Roman" w:cs="Times New Roman"/>
          <w:i/>
          <w:iCs/>
          <w:sz w:val="24"/>
          <w:szCs w:val="24"/>
        </w:rPr>
        <w:t>Crop Science, 24</w:t>
      </w:r>
      <w:r w:rsidRPr="00EA2BC4">
        <w:rPr>
          <w:rFonts w:ascii="Times New Roman" w:hAnsi="Times New Roman" w:cs="Times New Roman"/>
          <w:sz w:val="24"/>
          <w:szCs w:val="24"/>
        </w:rPr>
        <w:t xml:space="preserve">(6), 1192–1199. </w:t>
      </w:r>
      <w:hyperlink r:id="rId20" w:tgtFrame="_new" w:history="1">
        <w:r w:rsidRPr="00EA2BC4">
          <w:rPr>
            <w:rStyle w:val="Hyperlink"/>
            <w:rFonts w:ascii="Times New Roman" w:hAnsi="Times New Roman" w:cs="Times New Roman"/>
            <w:sz w:val="24"/>
            <w:szCs w:val="24"/>
            <w:lang w:bidi="hi-IN"/>
          </w:rPr>
          <w:t>https://doi.org/10.2135/cropsci1984.0011183X002400060043x</w:t>
        </w:r>
      </w:hyperlink>
    </w:p>
    <w:p w14:paraId="48986478"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Silva, E. A. A., Toorop, P. E., Van Aelst, A. C., &amp; </w:t>
      </w:r>
      <w:proofErr w:type="spellStart"/>
      <w:r w:rsidRPr="00EA2BC4">
        <w:rPr>
          <w:rFonts w:ascii="Times New Roman" w:hAnsi="Times New Roman" w:cs="Times New Roman"/>
          <w:sz w:val="24"/>
          <w:szCs w:val="24"/>
        </w:rPr>
        <w:t>Hilhorst</w:t>
      </w:r>
      <w:proofErr w:type="spellEnd"/>
      <w:r w:rsidRPr="00EA2BC4">
        <w:rPr>
          <w:rFonts w:ascii="Times New Roman" w:hAnsi="Times New Roman" w:cs="Times New Roman"/>
          <w:sz w:val="24"/>
          <w:szCs w:val="24"/>
        </w:rPr>
        <w:t>, H. W. M. (2004). Abscisic acid controls embryo growth potential and endosperm cap weakening during coffee (</w:t>
      </w:r>
      <w:r w:rsidRPr="00EA2BC4">
        <w:rPr>
          <w:rFonts w:ascii="Times New Roman" w:hAnsi="Times New Roman" w:cs="Times New Roman"/>
          <w:i/>
          <w:iCs/>
          <w:sz w:val="24"/>
          <w:szCs w:val="24"/>
        </w:rPr>
        <w:t>Coffea arabica</w:t>
      </w:r>
      <w:r w:rsidRPr="00EA2BC4">
        <w:rPr>
          <w:rFonts w:ascii="Times New Roman" w:hAnsi="Times New Roman" w:cs="Times New Roman"/>
          <w:sz w:val="24"/>
          <w:szCs w:val="24"/>
        </w:rPr>
        <w:t xml:space="preserve"> cv. Rubi) seed germination. </w:t>
      </w:r>
      <w:r w:rsidRPr="00EA2BC4">
        <w:rPr>
          <w:rFonts w:ascii="Times New Roman" w:hAnsi="Times New Roman" w:cs="Times New Roman"/>
          <w:i/>
          <w:iCs/>
          <w:sz w:val="24"/>
          <w:szCs w:val="24"/>
        </w:rPr>
        <w:t>Planta, 220</w:t>
      </w:r>
      <w:r w:rsidRPr="00EA2BC4">
        <w:rPr>
          <w:rFonts w:ascii="Times New Roman" w:hAnsi="Times New Roman" w:cs="Times New Roman"/>
          <w:sz w:val="24"/>
          <w:szCs w:val="24"/>
        </w:rPr>
        <w:t>, 251–261. https://doi.org/10.1007/s00425-004-1344-0</w:t>
      </w:r>
    </w:p>
    <w:p w14:paraId="1953392C" w14:textId="77777777" w:rsidR="004B7EB6" w:rsidRPr="00EA2BC4" w:rsidRDefault="004B7EB6" w:rsidP="00EA2BC4">
      <w:pPr>
        <w:pStyle w:val="ListParagraph"/>
        <w:numPr>
          <w:ilvl w:val="0"/>
          <w:numId w:val="22"/>
        </w:numPr>
        <w:jc w:val="both"/>
        <w:rPr>
          <w:rFonts w:ascii="Times New Roman" w:hAnsi="Times New Roman" w:cs="Times New Roman"/>
          <w:sz w:val="24"/>
          <w:szCs w:val="24"/>
        </w:rPr>
      </w:pPr>
      <w:r w:rsidRPr="00EA2BC4">
        <w:rPr>
          <w:rFonts w:ascii="Times New Roman" w:hAnsi="Times New Roman" w:cs="Times New Roman"/>
          <w:sz w:val="24"/>
          <w:szCs w:val="24"/>
        </w:rPr>
        <w:t xml:space="preserve">Vijay, M. K., Rathod, D. U., Singh, N., Tiwari, S., Kahar, L., Malviya, D., &amp; </w:t>
      </w:r>
      <w:proofErr w:type="spellStart"/>
      <w:r w:rsidRPr="00EA2BC4">
        <w:rPr>
          <w:rFonts w:ascii="Times New Roman" w:hAnsi="Times New Roman" w:cs="Times New Roman"/>
          <w:sz w:val="24"/>
          <w:szCs w:val="24"/>
        </w:rPr>
        <w:t>Aharwar</w:t>
      </w:r>
      <w:proofErr w:type="spellEnd"/>
      <w:r w:rsidRPr="00EA2BC4">
        <w:rPr>
          <w:rFonts w:ascii="Times New Roman" w:hAnsi="Times New Roman" w:cs="Times New Roman"/>
          <w:sz w:val="24"/>
          <w:szCs w:val="24"/>
        </w:rPr>
        <w:t xml:space="preserve">, M. (2025a). Assessment of germination dynamics through maturity and pre-treatment studies in </w:t>
      </w:r>
      <w:proofErr w:type="spellStart"/>
      <w:r w:rsidRPr="00EA2BC4">
        <w:rPr>
          <w:rFonts w:ascii="Times New Roman" w:hAnsi="Times New Roman" w:cs="Times New Roman"/>
          <w:i/>
          <w:iCs/>
          <w:sz w:val="24"/>
          <w:szCs w:val="24"/>
        </w:rPr>
        <w:t>Flacourtia</w:t>
      </w:r>
      <w:proofErr w:type="spellEnd"/>
      <w:r w:rsidRPr="00EA2BC4">
        <w:rPr>
          <w:rFonts w:ascii="Times New Roman" w:hAnsi="Times New Roman" w:cs="Times New Roman"/>
          <w:i/>
          <w:iCs/>
          <w:sz w:val="24"/>
          <w:szCs w:val="24"/>
        </w:rPr>
        <w:t xml:space="preserve"> </w:t>
      </w:r>
      <w:proofErr w:type="spellStart"/>
      <w:r w:rsidRPr="00EA2BC4">
        <w:rPr>
          <w:rFonts w:ascii="Times New Roman" w:hAnsi="Times New Roman" w:cs="Times New Roman"/>
          <w:i/>
          <w:iCs/>
          <w:sz w:val="24"/>
          <w:szCs w:val="24"/>
        </w:rPr>
        <w:t>indica</w:t>
      </w:r>
      <w:proofErr w:type="spellEnd"/>
      <w:r w:rsidRPr="00EA2BC4">
        <w:rPr>
          <w:rFonts w:ascii="Times New Roman" w:hAnsi="Times New Roman" w:cs="Times New Roman"/>
          <w:sz w:val="24"/>
          <w:szCs w:val="24"/>
        </w:rPr>
        <w:t xml:space="preserve"> (</w:t>
      </w:r>
      <w:proofErr w:type="spellStart"/>
      <w:r w:rsidRPr="00EA2BC4">
        <w:rPr>
          <w:rFonts w:ascii="Times New Roman" w:hAnsi="Times New Roman" w:cs="Times New Roman"/>
          <w:sz w:val="24"/>
          <w:szCs w:val="24"/>
        </w:rPr>
        <w:t>Burm.f</w:t>
      </w:r>
      <w:proofErr w:type="spellEnd"/>
      <w:r w:rsidRPr="00EA2BC4">
        <w:rPr>
          <w:rFonts w:ascii="Times New Roman" w:hAnsi="Times New Roman" w:cs="Times New Roman"/>
          <w:sz w:val="24"/>
          <w:szCs w:val="24"/>
        </w:rPr>
        <w:t xml:space="preserve">.) </w:t>
      </w:r>
      <w:proofErr w:type="spellStart"/>
      <w:r w:rsidRPr="00EA2BC4">
        <w:rPr>
          <w:rFonts w:ascii="Times New Roman" w:hAnsi="Times New Roman" w:cs="Times New Roman"/>
          <w:sz w:val="24"/>
          <w:szCs w:val="24"/>
        </w:rPr>
        <w:t>Merr</w:t>
      </w:r>
      <w:proofErr w:type="spellEnd"/>
      <w:r w:rsidRPr="00EA2BC4">
        <w:rPr>
          <w:rFonts w:ascii="Times New Roman" w:hAnsi="Times New Roman" w:cs="Times New Roman"/>
          <w:sz w:val="24"/>
          <w:szCs w:val="24"/>
        </w:rPr>
        <w:t xml:space="preserve">. </w:t>
      </w:r>
      <w:r w:rsidRPr="00EA2BC4">
        <w:rPr>
          <w:rFonts w:ascii="Times New Roman" w:hAnsi="Times New Roman" w:cs="Times New Roman"/>
          <w:i/>
          <w:iCs/>
          <w:sz w:val="24"/>
          <w:szCs w:val="24"/>
        </w:rPr>
        <w:t>International Journal of Research in Agronomy, 8</w:t>
      </w:r>
      <w:r w:rsidRPr="00EA2BC4">
        <w:rPr>
          <w:rFonts w:ascii="Times New Roman" w:hAnsi="Times New Roman" w:cs="Times New Roman"/>
          <w:sz w:val="24"/>
          <w:szCs w:val="24"/>
        </w:rPr>
        <w:t xml:space="preserve">(4), 30–36. </w:t>
      </w:r>
      <w:hyperlink r:id="rId21" w:tgtFrame="_new" w:history="1">
        <w:r w:rsidRPr="00EA2BC4">
          <w:rPr>
            <w:rStyle w:val="Hyperlink"/>
            <w:rFonts w:ascii="Times New Roman" w:hAnsi="Times New Roman" w:cs="Times New Roman"/>
            <w:sz w:val="24"/>
            <w:szCs w:val="24"/>
            <w:lang w:val="en-IN"/>
          </w:rPr>
          <w:t>https://doi.org/10.33545/2618060X.2025.v8.i4a.2738</w:t>
        </w:r>
      </w:hyperlink>
    </w:p>
    <w:p w14:paraId="28C4FDD7" w14:textId="77777777" w:rsidR="004B7EB6" w:rsidRPr="00EA2BC4" w:rsidRDefault="004B7EB6" w:rsidP="00EA2BC4">
      <w:pPr>
        <w:pStyle w:val="ListParagraph"/>
        <w:numPr>
          <w:ilvl w:val="0"/>
          <w:numId w:val="22"/>
        </w:numPr>
        <w:jc w:val="both"/>
        <w:rPr>
          <w:rFonts w:ascii="Times New Roman" w:hAnsi="Times New Roman" w:cs="Times New Roman"/>
          <w:sz w:val="24"/>
          <w:szCs w:val="24"/>
        </w:rPr>
      </w:pPr>
      <w:r w:rsidRPr="00EA2BC4">
        <w:rPr>
          <w:rFonts w:ascii="Times New Roman" w:hAnsi="Times New Roman" w:cs="Times New Roman"/>
          <w:sz w:val="24"/>
          <w:szCs w:val="24"/>
        </w:rPr>
        <w:t xml:space="preserve">Vijay, M. K., Tiwari, S., Kahar, L., Malviya, D., &amp; Singh, N. (2025b). Fruit and seed development of critically endangered </w:t>
      </w:r>
      <w:proofErr w:type="spellStart"/>
      <w:r w:rsidRPr="00EA2BC4">
        <w:rPr>
          <w:rFonts w:ascii="Times New Roman" w:hAnsi="Times New Roman" w:cs="Times New Roman"/>
          <w:i/>
          <w:iCs/>
          <w:sz w:val="24"/>
          <w:szCs w:val="24"/>
        </w:rPr>
        <w:t>Commiphora</w:t>
      </w:r>
      <w:proofErr w:type="spellEnd"/>
      <w:r w:rsidRPr="00EA2BC4">
        <w:rPr>
          <w:rFonts w:ascii="Times New Roman" w:hAnsi="Times New Roman" w:cs="Times New Roman"/>
          <w:i/>
          <w:iCs/>
          <w:sz w:val="24"/>
          <w:szCs w:val="24"/>
        </w:rPr>
        <w:t xml:space="preserve"> </w:t>
      </w:r>
      <w:proofErr w:type="spellStart"/>
      <w:r w:rsidRPr="00EA2BC4">
        <w:rPr>
          <w:rFonts w:ascii="Times New Roman" w:hAnsi="Times New Roman" w:cs="Times New Roman"/>
          <w:i/>
          <w:iCs/>
          <w:sz w:val="24"/>
          <w:szCs w:val="24"/>
        </w:rPr>
        <w:t>wightii</w:t>
      </w:r>
      <w:proofErr w:type="spellEnd"/>
      <w:r w:rsidRPr="00EA2BC4">
        <w:rPr>
          <w:rFonts w:ascii="Times New Roman" w:hAnsi="Times New Roman" w:cs="Times New Roman"/>
          <w:sz w:val="24"/>
          <w:szCs w:val="24"/>
        </w:rPr>
        <w:t xml:space="preserve"> (</w:t>
      </w:r>
      <w:proofErr w:type="spellStart"/>
      <w:r w:rsidRPr="00EA2BC4">
        <w:rPr>
          <w:rFonts w:ascii="Times New Roman" w:hAnsi="Times New Roman" w:cs="Times New Roman"/>
          <w:sz w:val="24"/>
          <w:szCs w:val="24"/>
        </w:rPr>
        <w:t>Arn</w:t>
      </w:r>
      <w:proofErr w:type="spellEnd"/>
      <w:r w:rsidRPr="00EA2BC4">
        <w:rPr>
          <w:rFonts w:ascii="Times New Roman" w:hAnsi="Times New Roman" w:cs="Times New Roman"/>
          <w:sz w:val="24"/>
          <w:szCs w:val="24"/>
        </w:rPr>
        <w:t xml:space="preserve">.) Bhandari: Insights into physiological maturation and germination potential. </w:t>
      </w:r>
      <w:r w:rsidRPr="00EA2BC4">
        <w:rPr>
          <w:rFonts w:ascii="Times New Roman" w:hAnsi="Times New Roman" w:cs="Times New Roman"/>
          <w:i/>
          <w:iCs/>
          <w:sz w:val="24"/>
          <w:szCs w:val="24"/>
        </w:rPr>
        <w:t>Journal of Scientific Research and Reports, 31</w:t>
      </w:r>
      <w:r w:rsidRPr="00EA2BC4">
        <w:rPr>
          <w:rFonts w:ascii="Times New Roman" w:hAnsi="Times New Roman" w:cs="Times New Roman"/>
          <w:sz w:val="24"/>
          <w:szCs w:val="24"/>
        </w:rPr>
        <w:t xml:space="preserve">(7), 374–384. </w:t>
      </w:r>
      <w:hyperlink r:id="rId22" w:tgtFrame="_new" w:history="1">
        <w:r w:rsidRPr="00EA2BC4">
          <w:rPr>
            <w:rStyle w:val="Hyperlink"/>
            <w:rFonts w:ascii="Times New Roman" w:hAnsi="Times New Roman" w:cs="Times New Roman"/>
            <w:sz w:val="24"/>
            <w:szCs w:val="24"/>
            <w:lang w:val="en-IN"/>
          </w:rPr>
          <w:t>https://doi.org/10.9734/jsrr/2025/v31i73254</w:t>
        </w:r>
      </w:hyperlink>
    </w:p>
    <w:p w14:paraId="284AE511" w14:textId="77777777" w:rsidR="004B7EB6" w:rsidRPr="00EA2BC4" w:rsidRDefault="004B7EB6" w:rsidP="00EA2BC4">
      <w:pPr>
        <w:pStyle w:val="ListParagraph"/>
        <w:numPr>
          <w:ilvl w:val="0"/>
          <w:numId w:val="22"/>
        </w:numPr>
        <w:jc w:val="both"/>
        <w:rPr>
          <w:rFonts w:ascii="Times New Roman" w:hAnsi="Times New Roman" w:cs="Times New Roman"/>
          <w:sz w:val="24"/>
          <w:szCs w:val="24"/>
        </w:rPr>
      </w:pPr>
      <w:r w:rsidRPr="00EA2BC4">
        <w:rPr>
          <w:rFonts w:ascii="Times New Roman" w:hAnsi="Times New Roman" w:cs="Times New Roman"/>
          <w:sz w:val="24"/>
          <w:szCs w:val="24"/>
        </w:rPr>
        <w:t xml:space="preserve">Vijay, M. K., Tiwari, S., Kahar, L., Malviya, D., </w:t>
      </w:r>
      <w:proofErr w:type="spellStart"/>
      <w:r w:rsidRPr="00EA2BC4">
        <w:rPr>
          <w:rFonts w:ascii="Times New Roman" w:hAnsi="Times New Roman" w:cs="Times New Roman"/>
          <w:sz w:val="24"/>
          <w:szCs w:val="24"/>
        </w:rPr>
        <w:t>Aharwar</w:t>
      </w:r>
      <w:proofErr w:type="spellEnd"/>
      <w:r w:rsidRPr="00EA2BC4">
        <w:rPr>
          <w:rFonts w:ascii="Times New Roman" w:hAnsi="Times New Roman" w:cs="Times New Roman"/>
          <w:sz w:val="24"/>
          <w:szCs w:val="24"/>
        </w:rPr>
        <w:t xml:space="preserve">, M., &amp; Singh, N. (2024). Impact of seed size on germination parameters in </w:t>
      </w:r>
      <w:proofErr w:type="spellStart"/>
      <w:r w:rsidRPr="00EA2BC4">
        <w:rPr>
          <w:rFonts w:ascii="Times New Roman" w:hAnsi="Times New Roman" w:cs="Times New Roman"/>
          <w:i/>
          <w:iCs/>
          <w:sz w:val="24"/>
          <w:szCs w:val="24"/>
        </w:rPr>
        <w:t>Flacourtia</w:t>
      </w:r>
      <w:proofErr w:type="spellEnd"/>
      <w:r w:rsidRPr="00EA2BC4">
        <w:rPr>
          <w:rFonts w:ascii="Times New Roman" w:hAnsi="Times New Roman" w:cs="Times New Roman"/>
          <w:i/>
          <w:iCs/>
          <w:sz w:val="24"/>
          <w:szCs w:val="24"/>
        </w:rPr>
        <w:t xml:space="preserve"> </w:t>
      </w:r>
      <w:proofErr w:type="spellStart"/>
      <w:r w:rsidRPr="00EA2BC4">
        <w:rPr>
          <w:rFonts w:ascii="Times New Roman" w:hAnsi="Times New Roman" w:cs="Times New Roman"/>
          <w:i/>
          <w:iCs/>
          <w:sz w:val="24"/>
          <w:szCs w:val="24"/>
        </w:rPr>
        <w:t>indica</w:t>
      </w:r>
      <w:proofErr w:type="spellEnd"/>
      <w:r w:rsidRPr="00EA2BC4">
        <w:rPr>
          <w:rFonts w:ascii="Times New Roman" w:hAnsi="Times New Roman" w:cs="Times New Roman"/>
          <w:sz w:val="24"/>
          <w:szCs w:val="24"/>
        </w:rPr>
        <w:t xml:space="preserve"> (</w:t>
      </w:r>
      <w:proofErr w:type="spellStart"/>
      <w:r w:rsidRPr="00EA2BC4">
        <w:rPr>
          <w:rFonts w:ascii="Times New Roman" w:hAnsi="Times New Roman" w:cs="Times New Roman"/>
          <w:sz w:val="24"/>
          <w:szCs w:val="24"/>
        </w:rPr>
        <w:t>Burm.f</w:t>
      </w:r>
      <w:proofErr w:type="spellEnd"/>
      <w:r w:rsidRPr="00EA2BC4">
        <w:rPr>
          <w:rFonts w:ascii="Times New Roman" w:hAnsi="Times New Roman" w:cs="Times New Roman"/>
          <w:sz w:val="24"/>
          <w:szCs w:val="24"/>
        </w:rPr>
        <w:t xml:space="preserve">.) </w:t>
      </w:r>
      <w:proofErr w:type="spellStart"/>
      <w:r w:rsidRPr="00EA2BC4">
        <w:rPr>
          <w:rFonts w:ascii="Times New Roman" w:hAnsi="Times New Roman" w:cs="Times New Roman"/>
          <w:sz w:val="24"/>
          <w:szCs w:val="24"/>
        </w:rPr>
        <w:t>Merr</w:t>
      </w:r>
      <w:proofErr w:type="spellEnd"/>
      <w:r w:rsidRPr="00EA2BC4">
        <w:rPr>
          <w:rFonts w:ascii="Times New Roman" w:hAnsi="Times New Roman" w:cs="Times New Roman"/>
          <w:sz w:val="24"/>
          <w:szCs w:val="24"/>
        </w:rPr>
        <w:t xml:space="preserve">. </w:t>
      </w:r>
      <w:r w:rsidRPr="00EA2BC4">
        <w:rPr>
          <w:rFonts w:ascii="Times New Roman" w:hAnsi="Times New Roman" w:cs="Times New Roman"/>
          <w:i/>
          <w:iCs/>
          <w:sz w:val="24"/>
          <w:szCs w:val="24"/>
        </w:rPr>
        <w:t>International Journal of Research in Agronomy, 7</w:t>
      </w:r>
      <w:r w:rsidRPr="00EA2BC4">
        <w:rPr>
          <w:rFonts w:ascii="Times New Roman" w:hAnsi="Times New Roman" w:cs="Times New Roman"/>
          <w:sz w:val="24"/>
          <w:szCs w:val="24"/>
        </w:rPr>
        <w:t xml:space="preserve">(9), 23–29. </w:t>
      </w:r>
      <w:hyperlink r:id="rId23" w:tgtFrame="_new" w:history="1">
        <w:r w:rsidRPr="00EA2BC4">
          <w:rPr>
            <w:rStyle w:val="Hyperlink"/>
            <w:rFonts w:ascii="Times New Roman" w:hAnsi="Times New Roman" w:cs="Times New Roman"/>
            <w:sz w:val="24"/>
            <w:szCs w:val="24"/>
            <w:lang w:val="en-IN"/>
          </w:rPr>
          <w:t>https://doi.org/10.33545/2618060X.2024.v7.i9a.1432</w:t>
        </w:r>
      </w:hyperlink>
    </w:p>
    <w:p w14:paraId="5C428D59" w14:textId="77777777" w:rsidR="004B7EB6" w:rsidRPr="00EA2BC4" w:rsidRDefault="004B7EB6" w:rsidP="00EA2BC4">
      <w:pPr>
        <w:pStyle w:val="ListParagraph"/>
        <w:numPr>
          <w:ilvl w:val="0"/>
          <w:numId w:val="22"/>
        </w:numPr>
        <w:spacing w:line="240" w:lineRule="auto"/>
        <w:jc w:val="both"/>
        <w:rPr>
          <w:rFonts w:ascii="Times New Roman" w:hAnsi="Times New Roman" w:cs="Times New Roman"/>
          <w:sz w:val="24"/>
          <w:szCs w:val="24"/>
        </w:rPr>
      </w:pPr>
      <w:r w:rsidRPr="00EA2BC4">
        <w:rPr>
          <w:rFonts w:ascii="Times New Roman" w:hAnsi="Times New Roman" w:cs="Times New Roman"/>
          <w:sz w:val="24"/>
          <w:szCs w:val="24"/>
        </w:rPr>
        <w:t xml:space="preserve">Zobel, B., &amp; Talbert, J. (1984). </w:t>
      </w:r>
      <w:r w:rsidRPr="00EA2BC4">
        <w:rPr>
          <w:rFonts w:ascii="Times New Roman" w:hAnsi="Times New Roman" w:cs="Times New Roman"/>
          <w:i/>
          <w:iCs/>
          <w:sz w:val="24"/>
          <w:szCs w:val="24"/>
        </w:rPr>
        <w:t>Applied forest tree improvement</w:t>
      </w:r>
      <w:r w:rsidRPr="00EA2BC4">
        <w:rPr>
          <w:rFonts w:ascii="Times New Roman" w:hAnsi="Times New Roman" w:cs="Times New Roman"/>
          <w:sz w:val="24"/>
          <w:szCs w:val="24"/>
        </w:rPr>
        <w:t>. John Wiley and Sons.</w:t>
      </w:r>
    </w:p>
    <w:p w14:paraId="1300286E" w14:textId="77777777" w:rsidR="00906405" w:rsidRPr="003F3234" w:rsidRDefault="00906405" w:rsidP="003F3234">
      <w:pPr>
        <w:spacing w:line="240" w:lineRule="auto"/>
        <w:jc w:val="both"/>
        <w:rPr>
          <w:rFonts w:ascii="Times New Roman" w:hAnsi="Times New Roman" w:cs="Times New Roman"/>
          <w:sz w:val="24"/>
          <w:szCs w:val="24"/>
        </w:rPr>
      </w:pPr>
    </w:p>
    <w:p w14:paraId="72F1202A" w14:textId="77777777" w:rsidR="003F3234" w:rsidRPr="003F3234" w:rsidRDefault="003F3234" w:rsidP="008C0CC8">
      <w:pPr>
        <w:spacing w:line="240" w:lineRule="auto"/>
        <w:jc w:val="both"/>
        <w:rPr>
          <w:rFonts w:ascii="Times New Roman" w:hAnsi="Times New Roman" w:cs="Times New Roman"/>
          <w:sz w:val="24"/>
          <w:szCs w:val="24"/>
        </w:rPr>
      </w:pPr>
    </w:p>
    <w:sectPr w:rsidR="003F3234" w:rsidRPr="003F3234">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ADF30" w14:textId="77777777" w:rsidR="00920F50" w:rsidRDefault="00920F50" w:rsidP="00821A1E">
      <w:pPr>
        <w:spacing w:after="0" w:line="240" w:lineRule="auto"/>
      </w:pPr>
      <w:r>
        <w:separator/>
      </w:r>
    </w:p>
  </w:endnote>
  <w:endnote w:type="continuationSeparator" w:id="0">
    <w:p w14:paraId="49536A6A" w14:textId="77777777" w:rsidR="00920F50" w:rsidRDefault="00920F50" w:rsidP="00821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97849" w14:textId="77777777" w:rsidR="00821A1E" w:rsidRDefault="00821A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9C53D" w14:textId="77777777" w:rsidR="00821A1E" w:rsidRDefault="00821A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5B173" w14:textId="77777777" w:rsidR="00821A1E" w:rsidRDefault="00821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CAA07" w14:textId="77777777" w:rsidR="00920F50" w:rsidRDefault="00920F50" w:rsidP="00821A1E">
      <w:pPr>
        <w:spacing w:after="0" w:line="240" w:lineRule="auto"/>
      </w:pPr>
      <w:r>
        <w:separator/>
      </w:r>
    </w:p>
  </w:footnote>
  <w:footnote w:type="continuationSeparator" w:id="0">
    <w:p w14:paraId="441041B7" w14:textId="77777777" w:rsidR="00920F50" w:rsidRDefault="00920F50" w:rsidP="00821A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9694C" w14:textId="65108CFC" w:rsidR="00821A1E" w:rsidRDefault="00920F50">
    <w:pPr>
      <w:pStyle w:val="Header"/>
    </w:pPr>
    <w:r>
      <w:rPr>
        <w:noProof/>
      </w:rPr>
      <w:pict w14:anchorId="496FE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876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B2C1B" w14:textId="6D92064D" w:rsidR="00821A1E" w:rsidRDefault="00920F50">
    <w:pPr>
      <w:pStyle w:val="Header"/>
    </w:pPr>
    <w:r>
      <w:rPr>
        <w:noProof/>
      </w:rPr>
      <w:pict w14:anchorId="744747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876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EF280" w14:textId="6234DD23" w:rsidR="00821A1E" w:rsidRDefault="00920F50">
    <w:pPr>
      <w:pStyle w:val="Header"/>
    </w:pPr>
    <w:r>
      <w:rPr>
        <w:noProof/>
      </w:rPr>
      <w:pict w14:anchorId="4997D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876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97CAF"/>
    <w:multiLevelType w:val="hybridMultilevel"/>
    <w:tmpl w:val="312A64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0CA4916"/>
    <w:multiLevelType w:val="hybridMultilevel"/>
    <w:tmpl w:val="90581A60"/>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AFB3377"/>
    <w:multiLevelType w:val="hybridMultilevel"/>
    <w:tmpl w:val="1C1496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CB803B7"/>
    <w:multiLevelType w:val="hybridMultilevel"/>
    <w:tmpl w:val="CFE075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DF861E2"/>
    <w:multiLevelType w:val="hybridMultilevel"/>
    <w:tmpl w:val="BF58227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6541490"/>
    <w:multiLevelType w:val="multilevel"/>
    <w:tmpl w:val="024436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577B9C"/>
    <w:multiLevelType w:val="hybridMultilevel"/>
    <w:tmpl w:val="14C64638"/>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8B14743"/>
    <w:multiLevelType w:val="hybridMultilevel"/>
    <w:tmpl w:val="384ABD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EB93CBB"/>
    <w:multiLevelType w:val="hybridMultilevel"/>
    <w:tmpl w:val="0B0C21F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53E4D94"/>
    <w:multiLevelType w:val="hybridMultilevel"/>
    <w:tmpl w:val="C778EF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8387604"/>
    <w:multiLevelType w:val="multilevel"/>
    <w:tmpl w:val="66E6DD50"/>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D50172"/>
    <w:multiLevelType w:val="multilevel"/>
    <w:tmpl w:val="66E6DD50"/>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9A1DAF"/>
    <w:multiLevelType w:val="hybridMultilevel"/>
    <w:tmpl w:val="FAA05A32"/>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3EA6D83"/>
    <w:multiLevelType w:val="hybridMultilevel"/>
    <w:tmpl w:val="6B64782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E35A67"/>
    <w:multiLevelType w:val="multilevel"/>
    <w:tmpl w:val="66E6DD50"/>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inorHAns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AF734B"/>
    <w:multiLevelType w:val="multilevel"/>
    <w:tmpl w:val="AA1A5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973232"/>
    <w:multiLevelType w:val="hybridMultilevel"/>
    <w:tmpl w:val="FB081C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A2B69B9"/>
    <w:multiLevelType w:val="hybridMultilevel"/>
    <w:tmpl w:val="6ED0A42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ABD3598"/>
    <w:multiLevelType w:val="hybridMultilevel"/>
    <w:tmpl w:val="6F8CDAF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BD63F87"/>
    <w:multiLevelType w:val="multilevel"/>
    <w:tmpl w:val="DEBC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926E66"/>
    <w:multiLevelType w:val="hybridMultilevel"/>
    <w:tmpl w:val="2E582F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F4E3A72"/>
    <w:multiLevelType w:val="hybridMultilevel"/>
    <w:tmpl w:val="4E6E48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1"/>
  </w:num>
  <w:num w:numId="2">
    <w:abstractNumId w:val="16"/>
  </w:num>
  <w:num w:numId="3">
    <w:abstractNumId w:val="19"/>
  </w:num>
  <w:num w:numId="4">
    <w:abstractNumId w:val="5"/>
  </w:num>
  <w:num w:numId="5">
    <w:abstractNumId w:val="6"/>
  </w:num>
  <w:num w:numId="6">
    <w:abstractNumId w:val="3"/>
  </w:num>
  <w:num w:numId="7">
    <w:abstractNumId w:val="11"/>
  </w:num>
  <w:num w:numId="8">
    <w:abstractNumId w:val="8"/>
  </w:num>
  <w:num w:numId="9">
    <w:abstractNumId w:val="0"/>
  </w:num>
  <w:num w:numId="10">
    <w:abstractNumId w:val="1"/>
  </w:num>
  <w:num w:numId="11">
    <w:abstractNumId w:val="20"/>
  </w:num>
  <w:num w:numId="12">
    <w:abstractNumId w:val="9"/>
  </w:num>
  <w:num w:numId="13">
    <w:abstractNumId w:val="2"/>
  </w:num>
  <w:num w:numId="14">
    <w:abstractNumId w:val="15"/>
  </w:num>
  <w:num w:numId="15">
    <w:abstractNumId w:val="4"/>
  </w:num>
  <w:num w:numId="16">
    <w:abstractNumId w:val="14"/>
  </w:num>
  <w:num w:numId="17">
    <w:abstractNumId w:val="10"/>
  </w:num>
  <w:num w:numId="18">
    <w:abstractNumId w:val="13"/>
  </w:num>
  <w:num w:numId="19">
    <w:abstractNumId w:val="17"/>
  </w:num>
  <w:num w:numId="20">
    <w:abstractNumId w:val="12"/>
  </w:num>
  <w:num w:numId="21">
    <w:abstractNumId w:val="18"/>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34F"/>
    <w:rsid w:val="00024420"/>
    <w:rsid w:val="00054AD7"/>
    <w:rsid w:val="000801C8"/>
    <w:rsid w:val="00135D8D"/>
    <w:rsid w:val="00137CA2"/>
    <w:rsid w:val="001523E0"/>
    <w:rsid w:val="001970A2"/>
    <w:rsid w:val="001C0BD4"/>
    <w:rsid w:val="00207601"/>
    <w:rsid w:val="00235ED6"/>
    <w:rsid w:val="00252F87"/>
    <w:rsid w:val="00281B2F"/>
    <w:rsid w:val="002E3E99"/>
    <w:rsid w:val="002F7E9B"/>
    <w:rsid w:val="00364AF7"/>
    <w:rsid w:val="003B0A90"/>
    <w:rsid w:val="003F3234"/>
    <w:rsid w:val="00441E49"/>
    <w:rsid w:val="00442F1E"/>
    <w:rsid w:val="004B7EB6"/>
    <w:rsid w:val="0051550D"/>
    <w:rsid w:val="0052208B"/>
    <w:rsid w:val="005478C6"/>
    <w:rsid w:val="00564F34"/>
    <w:rsid w:val="005F2B2F"/>
    <w:rsid w:val="00606A39"/>
    <w:rsid w:val="00616CED"/>
    <w:rsid w:val="00631D76"/>
    <w:rsid w:val="0068442C"/>
    <w:rsid w:val="006A2CBD"/>
    <w:rsid w:val="006C42BB"/>
    <w:rsid w:val="006E595D"/>
    <w:rsid w:val="00700F5C"/>
    <w:rsid w:val="007153F6"/>
    <w:rsid w:val="0073534F"/>
    <w:rsid w:val="007F2001"/>
    <w:rsid w:val="007F7175"/>
    <w:rsid w:val="00801000"/>
    <w:rsid w:val="00821A1E"/>
    <w:rsid w:val="008A3460"/>
    <w:rsid w:val="008C0CC8"/>
    <w:rsid w:val="008D2AE7"/>
    <w:rsid w:val="008E5DA8"/>
    <w:rsid w:val="00906405"/>
    <w:rsid w:val="00920F50"/>
    <w:rsid w:val="00927013"/>
    <w:rsid w:val="00977E32"/>
    <w:rsid w:val="00986DC9"/>
    <w:rsid w:val="009F1E2B"/>
    <w:rsid w:val="00A21E90"/>
    <w:rsid w:val="00A275BF"/>
    <w:rsid w:val="00A445CB"/>
    <w:rsid w:val="00A5147E"/>
    <w:rsid w:val="00A61CE8"/>
    <w:rsid w:val="00A7412E"/>
    <w:rsid w:val="00AA1D1B"/>
    <w:rsid w:val="00AA392B"/>
    <w:rsid w:val="00AF1553"/>
    <w:rsid w:val="00B57D42"/>
    <w:rsid w:val="00B92F18"/>
    <w:rsid w:val="00B97855"/>
    <w:rsid w:val="00BA1366"/>
    <w:rsid w:val="00BC7AE5"/>
    <w:rsid w:val="00C7458B"/>
    <w:rsid w:val="00C75C0F"/>
    <w:rsid w:val="00C87169"/>
    <w:rsid w:val="00CA5F7D"/>
    <w:rsid w:val="00CD7D6B"/>
    <w:rsid w:val="00D334E6"/>
    <w:rsid w:val="00D5562F"/>
    <w:rsid w:val="00D62CCC"/>
    <w:rsid w:val="00D67559"/>
    <w:rsid w:val="00D71C62"/>
    <w:rsid w:val="00D804B7"/>
    <w:rsid w:val="00DD46E0"/>
    <w:rsid w:val="00DE27D8"/>
    <w:rsid w:val="00E17BCF"/>
    <w:rsid w:val="00E30140"/>
    <w:rsid w:val="00EA204E"/>
    <w:rsid w:val="00EA2BC4"/>
    <w:rsid w:val="00EC1A2B"/>
    <w:rsid w:val="00EE155D"/>
    <w:rsid w:val="00EE4219"/>
    <w:rsid w:val="00F26C87"/>
    <w:rsid w:val="00F36688"/>
    <w:rsid w:val="00F60F32"/>
    <w:rsid w:val="00FA73D7"/>
    <w:rsid w:val="00FE397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16FC87"/>
  <w15:docId w15:val="{A1449345-7A58-4BB1-A1A2-45F1AE356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534F"/>
    <w:rPr>
      <w:rFonts w:cs="Mangal"/>
      <w:szCs w:val="20"/>
      <w:lang w:bidi="hi-IN"/>
    </w:rPr>
  </w:style>
  <w:style w:type="paragraph" w:styleId="Heading3">
    <w:name w:val="heading 3"/>
    <w:basedOn w:val="Normal"/>
    <w:next w:val="Normal"/>
    <w:link w:val="Heading3Char"/>
    <w:uiPriority w:val="9"/>
    <w:unhideWhenUsed/>
    <w:qFormat/>
    <w:rsid w:val="00D5562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D7D6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3534F"/>
    <w:rPr>
      <w:b/>
      <w:bCs/>
    </w:rPr>
  </w:style>
  <w:style w:type="table" w:styleId="TableGrid">
    <w:name w:val="Table Grid"/>
    <w:basedOn w:val="TableNormal"/>
    <w:uiPriority w:val="59"/>
    <w:rsid w:val="007353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port Para,Dot pt,No Spacing1,List Paragraph Char Char Char,Indicator Text,List Paragraph1,Numbered Para 1,List Paragraph12,Bullet Points,MAIN CONTENT,Bullet 1,Colorful List - Accent 11,Citation List"/>
    <w:basedOn w:val="Normal"/>
    <w:link w:val="ListParagraphChar"/>
    <w:uiPriority w:val="34"/>
    <w:qFormat/>
    <w:rsid w:val="0073534F"/>
    <w:pPr>
      <w:ind w:left="720"/>
      <w:contextualSpacing/>
    </w:pPr>
    <w:rPr>
      <w:rFonts w:cstheme="minorBidi"/>
      <w:szCs w:val="22"/>
      <w:lang w:val="en-US" w:bidi="ar-SA"/>
    </w:rPr>
  </w:style>
  <w:style w:type="character" w:customStyle="1" w:styleId="ListParagraphChar">
    <w:name w:val="List Paragraph Char"/>
    <w:aliases w:val="Report Para Char,Dot pt Char,No Spacing1 Char,List Paragraph Char Char Char Char,Indicator Text Char,List Paragraph1 Char,Numbered Para 1 Char,List Paragraph12 Char,Bullet Points Char,MAIN CONTENT Char,Bullet 1 Char"/>
    <w:link w:val="ListParagraph"/>
    <w:uiPriority w:val="34"/>
    <w:qFormat/>
    <w:locked/>
    <w:rsid w:val="0073534F"/>
    <w:rPr>
      <w:lang w:val="en-US"/>
    </w:rPr>
  </w:style>
  <w:style w:type="character" w:styleId="Emphasis">
    <w:name w:val="Emphasis"/>
    <w:basedOn w:val="DefaultParagraphFont"/>
    <w:uiPriority w:val="20"/>
    <w:qFormat/>
    <w:rsid w:val="0073534F"/>
    <w:rPr>
      <w:i/>
      <w:iCs/>
    </w:rPr>
  </w:style>
  <w:style w:type="paragraph" w:customStyle="1" w:styleId="Normal1">
    <w:name w:val="Normal1"/>
    <w:uiPriority w:val="99"/>
    <w:rsid w:val="0073534F"/>
    <w:rPr>
      <w:rFonts w:ascii="Calibri" w:eastAsia="Calibri" w:hAnsi="Calibri" w:cs="Calibri"/>
      <w:lang w:val="en-US" w:bidi="hi-IN"/>
    </w:rPr>
  </w:style>
  <w:style w:type="paragraph" w:styleId="BalloonText">
    <w:name w:val="Balloon Text"/>
    <w:basedOn w:val="Normal"/>
    <w:link w:val="BalloonTextChar"/>
    <w:uiPriority w:val="99"/>
    <w:semiHidden/>
    <w:unhideWhenUsed/>
    <w:rsid w:val="0073534F"/>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73534F"/>
    <w:rPr>
      <w:rFonts w:ascii="Tahoma" w:hAnsi="Tahoma" w:cs="Mangal"/>
      <w:sz w:val="16"/>
      <w:szCs w:val="14"/>
      <w:lang w:bidi="hi-IN"/>
    </w:rPr>
  </w:style>
  <w:style w:type="paragraph" w:styleId="NormalWeb">
    <w:name w:val="Normal (Web)"/>
    <w:basedOn w:val="Normal"/>
    <w:uiPriority w:val="99"/>
    <w:unhideWhenUsed/>
    <w:rsid w:val="00EE155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Heading3Char">
    <w:name w:val="Heading 3 Char"/>
    <w:basedOn w:val="DefaultParagraphFont"/>
    <w:link w:val="Heading3"/>
    <w:uiPriority w:val="9"/>
    <w:rsid w:val="00D5562F"/>
    <w:rPr>
      <w:rFonts w:asciiTheme="majorHAnsi" w:eastAsiaTheme="majorEastAsia" w:hAnsiTheme="majorHAnsi" w:cstheme="majorBidi"/>
      <w:b/>
      <w:bCs/>
      <w:color w:val="4F81BD" w:themeColor="accent1"/>
      <w:szCs w:val="20"/>
      <w:lang w:bidi="hi-IN"/>
    </w:rPr>
  </w:style>
  <w:style w:type="paragraph" w:customStyle="1" w:styleId="Default">
    <w:name w:val="Default"/>
    <w:rsid w:val="00D5562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overflow-hidden">
    <w:name w:val="overflow-hidden"/>
    <w:basedOn w:val="DefaultParagraphFont"/>
    <w:rsid w:val="002E3E99"/>
  </w:style>
  <w:style w:type="character" w:styleId="Hyperlink">
    <w:name w:val="Hyperlink"/>
    <w:basedOn w:val="DefaultParagraphFont"/>
    <w:uiPriority w:val="99"/>
    <w:unhideWhenUsed/>
    <w:rsid w:val="00442F1E"/>
    <w:rPr>
      <w:color w:val="0000FF" w:themeColor="hyperlink"/>
      <w:u w:val="single"/>
    </w:rPr>
  </w:style>
  <w:style w:type="character" w:customStyle="1" w:styleId="UnresolvedMention1">
    <w:name w:val="Unresolved Mention1"/>
    <w:basedOn w:val="DefaultParagraphFont"/>
    <w:uiPriority w:val="99"/>
    <w:semiHidden/>
    <w:unhideWhenUsed/>
    <w:rsid w:val="00A275BF"/>
    <w:rPr>
      <w:color w:val="605E5C"/>
      <w:shd w:val="clear" w:color="auto" w:fill="E1DFDD"/>
    </w:rPr>
  </w:style>
  <w:style w:type="table" w:customStyle="1" w:styleId="ListTable2-Accent11">
    <w:name w:val="List Table 2 - Accent 11"/>
    <w:basedOn w:val="TableNormal"/>
    <w:uiPriority w:val="47"/>
    <w:rsid w:val="00A7412E"/>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uiPriority w:val="9"/>
    <w:semiHidden/>
    <w:rsid w:val="00CD7D6B"/>
    <w:rPr>
      <w:rFonts w:asciiTheme="majorHAnsi" w:eastAsiaTheme="majorEastAsia" w:hAnsiTheme="majorHAnsi" w:cstheme="majorBidi"/>
      <w:i/>
      <w:iCs/>
      <w:color w:val="365F91" w:themeColor="accent1" w:themeShade="BF"/>
      <w:szCs w:val="20"/>
      <w:lang w:bidi="hi-IN"/>
    </w:rPr>
  </w:style>
  <w:style w:type="character" w:styleId="UnresolvedMention">
    <w:name w:val="Unresolved Mention"/>
    <w:basedOn w:val="DefaultParagraphFont"/>
    <w:uiPriority w:val="99"/>
    <w:semiHidden/>
    <w:unhideWhenUsed/>
    <w:rsid w:val="00137CA2"/>
    <w:rPr>
      <w:color w:val="605E5C"/>
      <w:shd w:val="clear" w:color="auto" w:fill="E1DFDD"/>
    </w:rPr>
  </w:style>
  <w:style w:type="paragraph" w:styleId="Header">
    <w:name w:val="header"/>
    <w:basedOn w:val="Normal"/>
    <w:link w:val="HeaderChar"/>
    <w:uiPriority w:val="99"/>
    <w:unhideWhenUsed/>
    <w:rsid w:val="00821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A1E"/>
    <w:rPr>
      <w:rFonts w:cs="Mangal"/>
      <w:szCs w:val="20"/>
      <w:lang w:bidi="hi-IN"/>
    </w:rPr>
  </w:style>
  <w:style w:type="paragraph" w:styleId="Footer">
    <w:name w:val="footer"/>
    <w:basedOn w:val="Normal"/>
    <w:link w:val="FooterChar"/>
    <w:uiPriority w:val="99"/>
    <w:unhideWhenUsed/>
    <w:rsid w:val="00821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A1E"/>
    <w:rPr>
      <w:rFonts w:cs="Mangal"/>
      <w:szCs w:val="20"/>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48335">
      <w:bodyDiv w:val="1"/>
      <w:marLeft w:val="0"/>
      <w:marRight w:val="0"/>
      <w:marTop w:val="0"/>
      <w:marBottom w:val="0"/>
      <w:divBdr>
        <w:top w:val="none" w:sz="0" w:space="0" w:color="auto"/>
        <w:left w:val="none" w:sz="0" w:space="0" w:color="auto"/>
        <w:bottom w:val="none" w:sz="0" w:space="0" w:color="auto"/>
        <w:right w:val="none" w:sz="0" w:space="0" w:color="auto"/>
      </w:divBdr>
    </w:div>
    <w:div w:id="227569844">
      <w:bodyDiv w:val="1"/>
      <w:marLeft w:val="0"/>
      <w:marRight w:val="0"/>
      <w:marTop w:val="0"/>
      <w:marBottom w:val="0"/>
      <w:divBdr>
        <w:top w:val="none" w:sz="0" w:space="0" w:color="auto"/>
        <w:left w:val="none" w:sz="0" w:space="0" w:color="auto"/>
        <w:bottom w:val="none" w:sz="0" w:space="0" w:color="auto"/>
        <w:right w:val="none" w:sz="0" w:space="0" w:color="auto"/>
      </w:divBdr>
    </w:div>
    <w:div w:id="240601971">
      <w:bodyDiv w:val="1"/>
      <w:marLeft w:val="0"/>
      <w:marRight w:val="0"/>
      <w:marTop w:val="0"/>
      <w:marBottom w:val="0"/>
      <w:divBdr>
        <w:top w:val="none" w:sz="0" w:space="0" w:color="auto"/>
        <w:left w:val="none" w:sz="0" w:space="0" w:color="auto"/>
        <w:bottom w:val="none" w:sz="0" w:space="0" w:color="auto"/>
        <w:right w:val="none" w:sz="0" w:space="0" w:color="auto"/>
      </w:divBdr>
    </w:div>
    <w:div w:id="247230175">
      <w:bodyDiv w:val="1"/>
      <w:marLeft w:val="0"/>
      <w:marRight w:val="0"/>
      <w:marTop w:val="0"/>
      <w:marBottom w:val="0"/>
      <w:divBdr>
        <w:top w:val="none" w:sz="0" w:space="0" w:color="auto"/>
        <w:left w:val="none" w:sz="0" w:space="0" w:color="auto"/>
        <w:bottom w:val="none" w:sz="0" w:space="0" w:color="auto"/>
        <w:right w:val="none" w:sz="0" w:space="0" w:color="auto"/>
      </w:divBdr>
    </w:div>
    <w:div w:id="267856019">
      <w:bodyDiv w:val="1"/>
      <w:marLeft w:val="0"/>
      <w:marRight w:val="0"/>
      <w:marTop w:val="0"/>
      <w:marBottom w:val="0"/>
      <w:divBdr>
        <w:top w:val="none" w:sz="0" w:space="0" w:color="auto"/>
        <w:left w:val="none" w:sz="0" w:space="0" w:color="auto"/>
        <w:bottom w:val="none" w:sz="0" w:space="0" w:color="auto"/>
        <w:right w:val="none" w:sz="0" w:space="0" w:color="auto"/>
      </w:divBdr>
    </w:div>
    <w:div w:id="287856775">
      <w:bodyDiv w:val="1"/>
      <w:marLeft w:val="0"/>
      <w:marRight w:val="0"/>
      <w:marTop w:val="0"/>
      <w:marBottom w:val="0"/>
      <w:divBdr>
        <w:top w:val="none" w:sz="0" w:space="0" w:color="auto"/>
        <w:left w:val="none" w:sz="0" w:space="0" w:color="auto"/>
        <w:bottom w:val="none" w:sz="0" w:space="0" w:color="auto"/>
        <w:right w:val="none" w:sz="0" w:space="0" w:color="auto"/>
      </w:divBdr>
    </w:div>
    <w:div w:id="320696856">
      <w:bodyDiv w:val="1"/>
      <w:marLeft w:val="0"/>
      <w:marRight w:val="0"/>
      <w:marTop w:val="0"/>
      <w:marBottom w:val="0"/>
      <w:divBdr>
        <w:top w:val="none" w:sz="0" w:space="0" w:color="auto"/>
        <w:left w:val="none" w:sz="0" w:space="0" w:color="auto"/>
        <w:bottom w:val="none" w:sz="0" w:space="0" w:color="auto"/>
        <w:right w:val="none" w:sz="0" w:space="0" w:color="auto"/>
      </w:divBdr>
    </w:div>
    <w:div w:id="337075062">
      <w:bodyDiv w:val="1"/>
      <w:marLeft w:val="0"/>
      <w:marRight w:val="0"/>
      <w:marTop w:val="0"/>
      <w:marBottom w:val="0"/>
      <w:divBdr>
        <w:top w:val="none" w:sz="0" w:space="0" w:color="auto"/>
        <w:left w:val="none" w:sz="0" w:space="0" w:color="auto"/>
        <w:bottom w:val="none" w:sz="0" w:space="0" w:color="auto"/>
        <w:right w:val="none" w:sz="0" w:space="0" w:color="auto"/>
      </w:divBdr>
    </w:div>
    <w:div w:id="364138375">
      <w:bodyDiv w:val="1"/>
      <w:marLeft w:val="0"/>
      <w:marRight w:val="0"/>
      <w:marTop w:val="0"/>
      <w:marBottom w:val="0"/>
      <w:divBdr>
        <w:top w:val="none" w:sz="0" w:space="0" w:color="auto"/>
        <w:left w:val="none" w:sz="0" w:space="0" w:color="auto"/>
        <w:bottom w:val="none" w:sz="0" w:space="0" w:color="auto"/>
        <w:right w:val="none" w:sz="0" w:space="0" w:color="auto"/>
      </w:divBdr>
    </w:div>
    <w:div w:id="373775385">
      <w:bodyDiv w:val="1"/>
      <w:marLeft w:val="0"/>
      <w:marRight w:val="0"/>
      <w:marTop w:val="0"/>
      <w:marBottom w:val="0"/>
      <w:divBdr>
        <w:top w:val="none" w:sz="0" w:space="0" w:color="auto"/>
        <w:left w:val="none" w:sz="0" w:space="0" w:color="auto"/>
        <w:bottom w:val="none" w:sz="0" w:space="0" w:color="auto"/>
        <w:right w:val="none" w:sz="0" w:space="0" w:color="auto"/>
      </w:divBdr>
    </w:div>
    <w:div w:id="399057530">
      <w:bodyDiv w:val="1"/>
      <w:marLeft w:val="0"/>
      <w:marRight w:val="0"/>
      <w:marTop w:val="0"/>
      <w:marBottom w:val="0"/>
      <w:divBdr>
        <w:top w:val="none" w:sz="0" w:space="0" w:color="auto"/>
        <w:left w:val="none" w:sz="0" w:space="0" w:color="auto"/>
        <w:bottom w:val="none" w:sz="0" w:space="0" w:color="auto"/>
        <w:right w:val="none" w:sz="0" w:space="0" w:color="auto"/>
      </w:divBdr>
    </w:div>
    <w:div w:id="557395338">
      <w:bodyDiv w:val="1"/>
      <w:marLeft w:val="0"/>
      <w:marRight w:val="0"/>
      <w:marTop w:val="0"/>
      <w:marBottom w:val="0"/>
      <w:divBdr>
        <w:top w:val="none" w:sz="0" w:space="0" w:color="auto"/>
        <w:left w:val="none" w:sz="0" w:space="0" w:color="auto"/>
        <w:bottom w:val="none" w:sz="0" w:space="0" w:color="auto"/>
        <w:right w:val="none" w:sz="0" w:space="0" w:color="auto"/>
      </w:divBdr>
    </w:div>
    <w:div w:id="579601230">
      <w:bodyDiv w:val="1"/>
      <w:marLeft w:val="0"/>
      <w:marRight w:val="0"/>
      <w:marTop w:val="0"/>
      <w:marBottom w:val="0"/>
      <w:divBdr>
        <w:top w:val="none" w:sz="0" w:space="0" w:color="auto"/>
        <w:left w:val="none" w:sz="0" w:space="0" w:color="auto"/>
        <w:bottom w:val="none" w:sz="0" w:space="0" w:color="auto"/>
        <w:right w:val="none" w:sz="0" w:space="0" w:color="auto"/>
      </w:divBdr>
    </w:div>
    <w:div w:id="588926369">
      <w:bodyDiv w:val="1"/>
      <w:marLeft w:val="0"/>
      <w:marRight w:val="0"/>
      <w:marTop w:val="0"/>
      <w:marBottom w:val="0"/>
      <w:divBdr>
        <w:top w:val="none" w:sz="0" w:space="0" w:color="auto"/>
        <w:left w:val="none" w:sz="0" w:space="0" w:color="auto"/>
        <w:bottom w:val="none" w:sz="0" w:space="0" w:color="auto"/>
        <w:right w:val="none" w:sz="0" w:space="0" w:color="auto"/>
      </w:divBdr>
    </w:div>
    <w:div w:id="625626832">
      <w:bodyDiv w:val="1"/>
      <w:marLeft w:val="0"/>
      <w:marRight w:val="0"/>
      <w:marTop w:val="0"/>
      <w:marBottom w:val="0"/>
      <w:divBdr>
        <w:top w:val="none" w:sz="0" w:space="0" w:color="auto"/>
        <w:left w:val="none" w:sz="0" w:space="0" w:color="auto"/>
        <w:bottom w:val="none" w:sz="0" w:space="0" w:color="auto"/>
        <w:right w:val="none" w:sz="0" w:space="0" w:color="auto"/>
      </w:divBdr>
    </w:div>
    <w:div w:id="697657884">
      <w:bodyDiv w:val="1"/>
      <w:marLeft w:val="0"/>
      <w:marRight w:val="0"/>
      <w:marTop w:val="0"/>
      <w:marBottom w:val="0"/>
      <w:divBdr>
        <w:top w:val="none" w:sz="0" w:space="0" w:color="auto"/>
        <w:left w:val="none" w:sz="0" w:space="0" w:color="auto"/>
        <w:bottom w:val="none" w:sz="0" w:space="0" w:color="auto"/>
        <w:right w:val="none" w:sz="0" w:space="0" w:color="auto"/>
      </w:divBdr>
    </w:div>
    <w:div w:id="704720499">
      <w:bodyDiv w:val="1"/>
      <w:marLeft w:val="0"/>
      <w:marRight w:val="0"/>
      <w:marTop w:val="0"/>
      <w:marBottom w:val="0"/>
      <w:divBdr>
        <w:top w:val="none" w:sz="0" w:space="0" w:color="auto"/>
        <w:left w:val="none" w:sz="0" w:space="0" w:color="auto"/>
        <w:bottom w:val="none" w:sz="0" w:space="0" w:color="auto"/>
        <w:right w:val="none" w:sz="0" w:space="0" w:color="auto"/>
      </w:divBdr>
    </w:div>
    <w:div w:id="723942067">
      <w:bodyDiv w:val="1"/>
      <w:marLeft w:val="0"/>
      <w:marRight w:val="0"/>
      <w:marTop w:val="0"/>
      <w:marBottom w:val="0"/>
      <w:divBdr>
        <w:top w:val="none" w:sz="0" w:space="0" w:color="auto"/>
        <w:left w:val="none" w:sz="0" w:space="0" w:color="auto"/>
        <w:bottom w:val="none" w:sz="0" w:space="0" w:color="auto"/>
        <w:right w:val="none" w:sz="0" w:space="0" w:color="auto"/>
      </w:divBdr>
    </w:div>
    <w:div w:id="745490817">
      <w:bodyDiv w:val="1"/>
      <w:marLeft w:val="0"/>
      <w:marRight w:val="0"/>
      <w:marTop w:val="0"/>
      <w:marBottom w:val="0"/>
      <w:divBdr>
        <w:top w:val="none" w:sz="0" w:space="0" w:color="auto"/>
        <w:left w:val="none" w:sz="0" w:space="0" w:color="auto"/>
        <w:bottom w:val="none" w:sz="0" w:space="0" w:color="auto"/>
        <w:right w:val="none" w:sz="0" w:space="0" w:color="auto"/>
      </w:divBdr>
      <w:divsChild>
        <w:div w:id="1346638654">
          <w:marLeft w:val="0"/>
          <w:marRight w:val="0"/>
          <w:marTop w:val="0"/>
          <w:marBottom w:val="0"/>
          <w:divBdr>
            <w:top w:val="none" w:sz="0" w:space="0" w:color="auto"/>
            <w:left w:val="none" w:sz="0" w:space="0" w:color="auto"/>
            <w:bottom w:val="none" w:sz="0" w:space="0" w:color="auto"/>
            <w:right w:val="none" w:sz="0" w:space="0" w:color="auto"/>
          </w:divBdr>
          <w:divsChild>
            <w:div w:id="1644041066">
              <w:marLeft w:val="0"/>
              <w:marRight w:val="0"/>
              <w:marTop w:val="0"/>
              <w:marBottom w:val="0"/>
              <w:divBdr>
                <w:top w:val="none" w:sz="0" w:space="0" w:color="auto"/>
                <w:left w:val="none" w:sz="0" w:space="0" w:color="auto"/>
                <w:bottom w:val="none" w:sz="0" w:space="0" w:color="auto"/>
                <w:right w:val="none" w:sz="0" w:space="0" w:color="auto"/>
              </w:divBdr>
              <w:divsChild>
                <w:div w:id="2018728745">
                  <w:marLeft w:val="0"/>
                  <w:marRight w:val="0"/>
                  <w:marTop w:val="0"/>
                  <w:marBottom w:val="0"/>
                  <w:divBdr>
                    <w:top w:val="none" w:sz="0" w:space="0" w:color="auto"/>
                    <w:left w:val="none" w:sz="0" w:space="0" w:color="auto"/>
                    <w:bottom w:val="none" w:sz="0" w:space="0" w:color="auto"/>
                    <w:right w:val="none" w:sz="0" w:space="0" w:color="auto"/>
                  </w:divBdr>
                  <w:divsChild>
                    <w:div w:id="109907645">
                      <w:marLeft w:val="0"/>
                      <w:marRight w:val="0"/>
                      <w:marTop w:val="0"/>
                      <w:marBottom w:val="0"/>
                      <w:divBdr>
                        <w:top w:val="none" w:sz="0" w:space="0" w:color="auto"/>
                        <w:left w:val="none" w:sz="0" w:space="0" w:color="auto"/>
                        <w:bottom w:val="none" w:sz="0" w:space="0" w:color="auto"/>
                        <w:right w:val="none" w:sz="0" w:space="0" w:color="auto"/>
                      </w:divBdr>
                      <w:divsChild>
                        <w:div w:id="793787401">
                          <w:marLeft w:val="0"/>
                          <w:marRight w:val="0"/>
                          <w:marTop w:val="0"/>
                          <w:marBottom w:val="0"/>
                          <w:divBdr>
                            <w:top w:val="none" w:sz="0" w:space="0" w:color="auto"/>
                            <w:left w:val="none" w:sz="0" w:space="0" w:color="auto"/>
                            <w:bottom w:val="none" w:sz="0" w:space="0" w:color="auto"/>
                            <w:right w:val="none" w:sz="0" w:space="0" w:color="auto"/>
                          </w:divBdr>
                          <w:divsChild>
                            <w:div w:id="1624530495">
                              <w:marLeft w:val="0"/>
                              <w:marRight w:val="0"/>
                              <w:marTop w:val="0"/>
                              <w:marBottom w:val="0"/>
                              <w:divBdr>
                                <w:top w:val="none" w:sz="0" w:space="0" w:color="auto"/>
                                <w:left w:val="none" w:sz="0" w:space="0" w:color="auto"/>
                                <w:bottom w:val="none" w:sz="0" w:space="0" w:color="auto"/>
                                <w:right w:val="none" w:sz="0" w:space="0" w:color="auto"/>
                              </w:divBdr>
                              <w:divsChild>
                                <w:div w:id="82382131">
                                  <w:marLeft w:val="0"/>
                                  <w:marRight w:val="0"/>
                                  <w:marTop w:val="0"/>
                                  <w:marBottom w:val="0"/>
                                  <w:divBdr>
                                    <w:top w:val="none" w:sz="0" w:space="0" w:color="auto"/>
                                    <w:left w:val="none" w:sz="0" w:space="0" w:color="auto"/>
                                    <w:bottom w:val="none" w:sz="0" w:space="0" w:color="auto"/>
                                    <w:right w:val="none" w:sz="0" w:space="0" w:color="auto"/>
                                  </w:divBdr>
                                  <w:divsChild>
                                    <w:div w:id="15903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36178">
                          <w:marLeft w:val="0"/>
                          <w:marRight w:val="0"/>
                          <w:marTop w:val="0"/>
                          <w:marBottom w:val="0"/>
                          <w:divBdr>
                            <w:top w:val="none" w:sz="0" w:space="0" w:color="auto"/>
                            <w:left w:val="none" w:sz="0" w:space="0" w:color="auto"/>
                            <w:bottom w:val="none" w:sz="0" w:space="0" w:color="auto"/>
                            <w:right w:val="none" w:sz="0" w:space="0" w:color="auto"/>
                          </w:divBdr>
                          <w:divsChild>
                            <w:div w:id="533274186">
                              <w:marLeft w:val="0"/>
                              <w:marRight w:val="0"/>
                              <w:marTop w:val="0"/>
                              <w:marBottom w:val="0"/>
                              <w:divBdr>
                                <w:top w:val="none" w:sz="0" w:space="0" w:color="auto"/>
                                <w:left w:val="none" w:sz="0" w:space="0" w:color="auto"/>
                                <w:bottom w:val="none" w:sz="0" w:space="0" w:color="auto"/>
                                <w:right w:val="none" w:sz="0" w:space="0" w:color="auto"/>
                              </w:divBdr>
                              <w:divsChild>
                                <w:div w:id="11404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1600774">
      <w:bodyDiv w:val="1"/>
      <w:marLeft w:val="0"/>
      <w:marRight w:val="0"/>
      <w:marTop w:val="0"/>
      <w:marBottom w:val="0"/>
      <w:divBdr>
        <w:top w:val="none" w:sz="0" w:space="0" w:color="auto"/>
        <w:left w:val="none" w:sz="0" w:space="0" w:color="auto"/>
        <w:bottom w:val="none" w:sz="0" w:space="0" w:color="auto"/>
        <w:right w:val="none" w:sz="0" w:space="0" w:color="auto"/>
      </w:divBdr>
    </w:div>
    <w:div w:id="818424491">
      <w:bodyDiv w:val="1"/>
      <w:marLeft w:val="0"/>
      <w:marRight w:val="0"/>
      <w:marTop w:val="0"/>
      <w:marBottom w:val="0"/>
      <w:divBdr>
        <w:top w:val="none" w:sz="0" w:space="0" w:color="auto"/>
        <w:left w:val="none" w:sz="0" w:space="0" w:color="auto"/>
        <w:bottom w:val="none" w:sz="0" w:space="0" w:color="auto"/>
        <w:right w:val="none" w:sz="0" w:space="0" w:color="auto"/>
      </w:divBdr>
    </w:div>
    <w:div w:id="998923635">
      <w:bodyDiv w:val="1"/>
      <w:marLeft w:val="0"/>
      <w:marRight w:val="0"/>
      <w:marTop w:val="0"/>
      <w:marBottom w:val="0"/>
      <w:divBdr>
        <w:top w:val="none" w:sz="0" w:space="0" w:color="auto"/>
        <w:left w:val="none" w:sz="0" w:space="0" w:color="auto"/>
        <w:bottom w:val="none" w:sz="0" w:space="0" w:color="auto"/>
        <w:right w:val="none" w:sz="0" w:space="0" w:color="auto"/>
      </w:divBdr>
    </w:div>
    <w:div w:id="1052312260">
      <w:bodyDiv w:val="1"/>
      <w:marLeft w:val="0"/>
      <w:marRight w:val="0"/>
      <w:marTop w:val="0"/>
      <w:marBottom w:val="0"/>
      <w:divBdr>
        <w:top w:val="none" w:sz="0" w:space="0" w:color="auto"/>
        <w:left w:val="none" w:sz="0" w:space="0" w:color="auto"/>
        <w:bottom w:val="none" w:sz="0" w:space="0" w:color="auto"/>
        <w:right w:val="none" w:sz="0" w:space="0" w:color="auto"/>
      </w:divBdr>
    </w:div>
    <w:div w:id="1222248348">
      <w:bodyDiv w:val="1"/>
      <w:marLeft w:val="0"/>
      <w:marRight w:val="0"/>
      <w:marTop w:val="0"/>
      <w:marBottom w:val="0"/>
      <w:divBdr>
        <w:top w:val="none" w:sz="0" w:space="0" w:color="auto"/>
        <w:left w:val="none" w:sz="0" w:space="0" w:color="auto"/>
        <w:bottom w:val="none" w:sz="0" w:space="0" w:color="auto"/>
        <w:right w:val="none" w:sz="0" w:space="0" w:color="auto"/>
      </w:divBdr>
    </w:div>
    <w:div w:id="1234387127">
      <w:bodyDiv w:val="1"/>
      <w:marLeft w:val="0"/>
      <w:marRight w:val="0"/>
      <w:marTop w:val="0"/>
      <w:marBottom w:val="0"/>
      <w:divBdr>
        <w:top w:val="none" w:sz="0" w:space="0" w:color="auto"/>
        <w:left w:val="none" w:sz="0" w:space="0" w:color="auto"/>
        <w:bottom w:val="none" w:sz="0" w:space="0" w:color="auto"/>
        <w:right w:val="none" w:sz="0" w:space="0" w:color="auto"/>
      </w:divBdr>
    </w:div>
    <w:div w:id="1281499539">
      <w:bodyDiv w:val="1"/>
      <w:marLeft w:val="0"/>
      <w:marRight w:val="0"/>
      <w:marTop w:val="0"/>
      <w:marBottom w:val="0"/>
      <w:divBdr>
        <w:top w:val="none" w:sz="0" w:space="0" w:color="auto"/>
        <w:left w:val="none" w:sz="0" w:space="0" w:color="auto"/>
        <w:bottom w:val="none" w:sz="0" w:space="0" w:color="auto"/>
        <w:right w:val="none" w:sz="0" w:space="0" w:color="auto"/>
      </w:divBdr>
    </w:div>
    <w:div w:id="1322806173">
      <w:bodyDiv w:val="1"/>
      <w:marLeft w:val="0"/>
      <w:marRight w:val="0"/>
      <w:marTop w:val="0"/>
      <w:marBottom w:val="0"/>
      <w:divBdr>
        <w:top w:val="none" w:sz="0" w:space="0" w:color="auto"/>
        <w:left w:val="none" w:sz="0" w:space="0" w:color="auto"/>
        <w:bottom w:val="none" w:sz="0" w:space="0" w:color="auto"/>
        <w:right w:val="none" w:sz="0" w:space="0" w:color="auto"/>
      </w:divBdr>
    </w:div>
    <w:div w:id="1349867140">
      <w:bodyDiv w:val="1"/>
      <w:marLeft w:val="0"/>
      <w:marRight w:val="0"/>
      <w:marTop w:val="0"/>
      <w:marBottom w:val="0"/>
      <w:divBdr>
        <w:top w:val="none" w:sz="0" w:space="0" w:color="auto"/>
        <w:left w:val="none" w:sz="0" w:space="0" w:color="auto"/>
        <w:bottom w:val="none" w:sz="0" w:space="0" w:color="auto"/>
        <w:right w:val="none" w:sz="0" w:space="0" w:color="auto"/>
      </w:divBdr>
    </w:div>
    <w:div w:id="1362319135">
      <w:bodyDiv w:val="1"/>
      <w:marLeft w:val="0"/>
      <w:marRight w:val="0"/>
      <w:marTop w:val="0"/>
      <w:marBottom w:val="0"/>
      <w:divBdr>
        <w:top w:val="none" w:sz="0" w:space="0" w:color="auto"/>
        <w:left w:val="none" w:sz="0" w:space="0" w:color="auto"/>
        <w:bottom w:val="none" w:sz="0" w:space="0" w:color="auto"/>
        <w:right w:val="none" w:sz="0" w:space="0" w:color="auto"/>
      </w:divBdr>
    </w:div>
    <w:div w:id="1409883648">
      <w:bodyDiv w:val="1"/>
      <w:marLeft w:val="0"/>
      <w:marRight w:val="0"/>
      <w:marTop w:val="0"/>
      <w:marBottom w:val="0"/>
      <w:divBdr>
        <w:top w:val="none" w:sz="0" w:space="0" w:color="auto"/>
        <w:left w:val="none" w:sz="0" w:space="0" w:color="auto"/>
        <w:bottom w:val="none" w:sz="0" w:space="0" w:color="auto"/>
        <w:right w:val="none" w:sz="0" w:space="0" w:color="auto"/>
      </w:divBdr>
    </w:div>
    <w:div w:id="1417436955">
      <w:bodyDiv w:val="1"/>
      <w:marLeft w:val="0"/>
      <w:marRight w:val="0"/>
      <w:marTop w:val="0"/>
      <w:marBottom w:val="0"/>
      <w:divBdr>
        <w:top w:val="none" w:sz="0" w:space="0" w:color="auto"/>
        <w:left w:val="none" w:sz="0" w:space="0" w:color="auto"/>
        <w:bottom w:val="none" w:sz="0" w:space="0" w:color="auto"/>
        <w:right w:val="none" w:sz="0" w:space="0" w:color="auto"/>
      </w:divBdr>
    </w:div>
    <w:div w:id="1510825816">
      <w:bodyDiv w:val="1"/>
      <w:marLeft w:val="0"/>
      <w:marRight w:val="0"/>
      <w:marTop w:val="0"/>
      <w:marBottom w:val="0"/>
      <w:divBdr>
        <w:top w:val="none" w:sz="0" w:space="0" w:color="auto"/>
        <w:left w:val="none" w:sz="0" w:space="0" w:color="auto"/>
        <w:bottom w:val="none" w:sz="0" w:space="0" w:color="auto"/>
        <w:right w:val="none" w:sz="0" w:space="0" w:color="auto"/>
      </w:divBdr>
    </w:div>
    <w:div w:id="1517841129">
      <w:bodyDiv w:val="1"/>
      <w:marLeft w:val="0"/>
      <w:marRight w:val="0"/>
      <w:marTop w:val="0"/>
      <w:marBottom w:val="0"/>
      <w:divBdr>
        <w:top w:val="none" w:sz="0" w:space="0" w:color="auto"/>
        <w:left w:val="none" w:sz="0" w:space="0" w:color="auto"/>
        <w:bottom w:val="none" w:sz="0" w:space="0" w:color="auto"/>
        <w:right w:val="none" w:sz="0" w:space="0" w:color="auto"/>
      </w:divBdr>
    </w:div>
    <w:div w:id="1541237080">
      <w:bodyDiv w:val="1"/>
      <w:marLeft w:val="0"/>
      <w:marRight w:val="0"/>
      <w:marTop w:val="0"/>
      <w:marBottom w:val="0"/>
      <w:divBdr>
        <w:top w:val="none" w:sz="0" w:space="0" w:color="auto"/>
        <w:left w:val="none" w:sz="0" w:space="0" w:color="auto"/>
        <w:bottom w:val="none" w:sz="0" w:space="0" w:color="auto"/>
        <w:right w:val="none" w:sz="0" w:space="0" w:color="auto"/>
      </w:divBdr>
    </w:div>
    <w:div w:id="1634402700">
      <w:bodyDiv w:val="1"/>
      <w:marLeft w:val="0"/>
      <w:marRight w:val="0"/>
      <w:marTop w:val="0"/>
      <w:marBottom w:val="0"/>
      <w:divBdr>
        <w:top w:val="none" w:sz="0" w:space="0" w:color="auto"/>
        <w:left w:val="none" w:sz="0" w:space="0" w:color="auto"/>
        <w:bottom w:val="none" w:sz="0" w:space="0" w:color="auto"/>
        <w:right w:val="none" w:sz="0" w:space="0" w:color="auto"/>
      </w:divBdr>
    </w:div>
    <w:div w:id="1635524177">
      <w:bodyDiv w:val="1"/>
      <w:marLeft w:val="0"/>
      <w:marRight w:val="0"/>
      <w:marTop w:val="0"/>
      <w:marBottom w:val="0"/>
      <w:divBdr>
        <w:top w:val="none" w:sz="0" w:space="0" w:color="auto"/>
        <w:left w:val="none" w:sz="0" w:space="0" w:color="auto"/>
        <w:bottom w:val="none" w:sz="0" w:space="0" w:color="auto"/>
        <w:right w:val="none" w:sz="0" w:space="0" w:color="auto"/>
      </w:divBdr>
    </w:div>
    <w:div w:id="1635718945">
      <w:bodyDiv w:val="1"/>
      <w:marLeft w:val="0"/>
      <w:marRight w:val="0"/>
      <w:marTop w:val="0"/>
      <w:marBottom w:val="0"/>
      <w:divBdr>
        <w:top w:val="none" w:sz="0" w:space="0" w:color="auto"/>
        <w:left w:val="none" w:sz="0" w:space="0" w:color="auto"/>
        <w:bottom w:val="none" w:sz="0" w:space="0" w:color="auto"/>
        <w:right w:val="none" w:sz="0" w:space="0" w:color="auto"/>
      </w:divBdr>
    </w:div>
    <w:div w:id="1690452987">
      <w:bodyDiv w:val="1"/>
      <w:marLeft w:val="0"/>
      <w:marRight w:val="0"/>
      <w:marTop w:val="0"/>
      <w:marBottom w:val="0"/>
      <w:divBdr>
        <w:top w:val="none" w:sz="0" w:space="0" w:color="auto"/>
        <w:left w:val="none" w:sz="0" w:space="0" w:color="auto"/>
        <w:bottom w:val="none" w:sz="0" w:space="0" w:color="auto"/>
        <w:right w:val="none" w:sz="0" w:space="0" w:color="auto"/>
      </w:divBdr>
    </w:div>
    <w:div w:id="1882857323">
      <w:bodyDiv w:val="1"/>
      <w:marLeft w:val="0"/>
      <w:marRight w:val="0"/>
      <w:marTop w:val="0"/>
      <w:marBottom w:val="0"/>
      <w:divBdr>
        <w:top w:val="none" w:sz="0" w:space="0" w:color="auto"/>
        <w:left w:val="none" w:sz="0" w:space="0" w:color="auto"/>
        <w:bottom w:val="none" w:sz="0" w:space="0" w:color="auto"/>
        <w:right w:val="none" w:sz="0" w:space="0" w:color="auto"/>
      </w:divBdr>
    </w:div>
    <w:div w:id="2007897478">
      <w:bodyDiv w:val="1"/>
      <w:marLeft w:val="0"/>
      <w:marRight w:val="0"/>
      <w:marTop w:val="0"/>
      <w:marBottom w:val="0"/>
      <w:divBdr>
        <w:top w:val="none" w:sz="0" w:space="0" w:color="auto"/>
        <w:left w:val="none" w:sz="0" w:space="0" w:color="auto"/>
        <w:bottom w:val="none" w:sz="0" w:space="0" w:color="auto"/>
        <w:right w:val="none" w:sz="0" w:space="0" w:color="auto"/>
      </w:divBdr>
    </w:div>
    <w:div w:id="2026177240">
      <w:bodyDiv w:val="1"/>
      <w:marLeft w:val="0"/>
      <w:marRight w:val="0"/>
      <w:marTop w:val="0"/>
      <w:marBottom w:val="0"/>
      <w:divBdr>
        <w:top w:val="none" w:sz="0" w:space="0" w:color="auto"/>
        <w:left w:val="none" w:sz="0" w:space="0" w:color="auto"/>
        <w:bottom w:val="none" w:sz="0" w:space="0" w:color="auto"/>
        <w:right w:val="none" w:sz="0" w:space="0" w:color="auto"/>
      </w:divBdr>
    </w:div>
    <w:div w:id="205792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2135/cropsci1973.0011183X001300060013x" TargetMode="External"/><Relationship Id="rId18" Type="http://schemas.openxmlformats.org/officeDocument/2006/relationships/hyperlink" Target="https://doi.org/10.18805/IJARe.A-6211"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33545/2618060X.2025.v8.i4a.2738"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doi.org/10.1007/s10722-014-0161-y"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18805/ag.R-2087" TargetMode="External"/><Relationship Id="rId20" Type="http://schemas.openxmlformats.org/officeDocument/2006/relationships/hyperlink" Target="https://doi.org/10.2135/cropsci1984.0011183X002400060043x"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22438/jeb/43/2/MRN-1927" TargetMode="External"/><Relationship Id="rId23" Type="http://schemas.openxmlformats.org/officeDocument/2006/relationships/hyperlink" Target="https://doi.org/10.33545/2618060X.2024.v7.i9a.1432"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5897/AJAR12.217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journals.aswu.edu.eg/stjournal" TargetMode="External"/><Relationship Id="rId22" Type="http://schemas.openxmlformats.org/officeDocument/2006/relationships/hyperlink" Target="https://doi.org/10.9734/jsrr/2025/v31i73254"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I:\Imbibition%20curve%2015.01.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'FGR imbibition'!$M$692:$M$700</c:f>
                <c:numCache>
                  <c:formatCode>General</c:formatCode>
                  <c:ptCount val="9"/>
                  <c:pt idx="0">
                    <c:v>0</c:v>
                  </c:pt>
                  <c:pt idx="1">
                    <c:v>0.37474284747229814</c:v>
                  </c:pt>
                  <c:pt idx="2">
                    <c:v>0.37587074855521735</c:v>
                  </c:pt>
                  <c:pt idx="3">
                    <c:v>0.42561242676354227</c:v>
                  </c:pt>
                  <c:pt idx="4">
                    <c:v>0.49465399904545926</c:v>
                  </c:pt>
                  <c:pt idx="5">
                    <c:v>0.46368084377076768</c:v>
                  </c:pt>
                  <c:pt idx="6">
                    <c:v>0.48241323566862959</c:v>
                  </c:pt>
                  <c:pt idx="7">
                    <c:v>0.60134732728089013</c:v>
                  </c:pt>
                  <c:pt idx="8">
                    <c:v>0.5708823315443976</c:v>
                  </c:pt>
                </c:numCache>
              </c:numRef>
            </c:plus>
            <c:minus>
              <c:numRef>
                <c:f>'FGR imbibition'!$M$692:$M$700</c:f>
                <c:numCache>
                  <c:formatCode>General</c:formatCode>
                  <c:ptCount val="9"/>
                  <c:pt idx="0">
                    <c:v>0</c:v>
                  </c:pt>
                  <c:pt idx="1">
                    <c:v>0.37474284747229814</c:v>
                  </c:pt>
                  <c:pt idx="2">
                    <c:v>0.37587074855521735</c:v>
                  </c:pt>
                  <c:pt idx="3">
                    <c:v>0.42561242676354227</c:v>
                  </c:pt>
                  <c:pt idx="4">
                    <c:v>0.49465399904545926</c:v>
                  </c:pt>
                  <c:pt idx="5">
                    <c:v>0.46368084377076768</c:v>
                  </c:pt>
                  <c:pt idx="6">
                    <c:v>0.48241323566862959</c:v>
                  </c:pt>
                  <c:pt idx="7">
                    <c:v>0.60134732728089013</c:v>
                  </c:pt>
                  <c:pt idx="8">
                    <c:v>0.5708823315443976</c:v>
                  </c:pt>
                </c:numCache>
              </c:numRef>
            </c:minus>
            <c:spPr>
              <a:noFill/>
              <a:ln w="9525" cap="flat" cmpd="sng" algn="ctr">
                <a:solidFill>
                  <a:schemeClr val="tx1">
                    <a:lumMod val="65000"/>
                    <a:lumOff val="35000"/>
                  </a:schemeClr>
                </a:solidFill>
                <a:round/>
              </a:ln>
              <a:effectLst/>
            </c:spPr>
          </c:errBars>
          <c:xVal>
            <c:numRef>
              <c:f>'FGR imbibition'!$H$692:$H$700</c:f>
              <c:numCache>
                <c:formatCode>General</c:formatCode>
                <c:ptCount val="9"/>
                <c:pt idx="0">
                  <c:v>0</c:v>
                </c:pt>
                <c:pt idx="1">
                  <c:v>2</c:v>
                </c:pt>
                <c:pt idx="2">
                  <c:v>4</c:v>
                </c:pt>
                <c:pt idx="3">
                  <c:v>6</c:v>
                </c:pt>
                <c:pt idx="4">
                  <c:v>8</c:v>
                </c:pt>
                <c:pt idx="5">
                  <c:v>10</c:v>
                </c:pt>
                <c:pt idx="6">
                  <c:v>24</c:v>
                </c:pt>
                <c:pt idx="7">
                  <c:v>27</c:v>
                </c:pt>
                <c:pt idx="8">
                  <c:v>30</c:v>
                </c:pt>
              </c:numCache>
            </c:numRef>
          </c:xVal>
          <c:yVal>
            <c:numRef>
              <c:f>'FGR imbibition'!$L$692:$L$700</c:f>
              <c:numCache>
                <c:formatCode>General</c:formatCode>
                <c:ptCount val="9"/>
                <c:pt idx="0">
                  <c:v>0</c:v>
                </c:pt>
                <c:pt idx="1">
                  <c:v>15.798114758043228</c:v>
                </c:pt>
                <c:pt idx="2">
                  <c:v>17.482524294277521</c:v>
                </c:pt>
                <c:pt idx="3">
                  <c:v>17.9426345447641</c:v>
                </c:pt>
                <c:pt idx="4">
                  <c:v>18.883125445183477</c:v>
                </c:pt>
                <c:pt idx="5">
                  <c:v>19.547492981939858</c:v>
                </c:pt>
                <c:pt idx="6">
                  <c:v>22.438035268442487</c:v>
                </c:pt>
                <c:pt idx="7">
                  <c:v>25.351128513609211</c:v>
                </c:pt>
                <c:pt idx="8">
                  <c:v>24.06680914101868</c:v>
                </c:pt>
              </c:numCache>
            </c:numRef>
          </c:yVal>
          <c:smooth val="0"/>
          <c:extLst>
            <c:ext xmlns:c16="http://schemas.microsoft.com/office/drawing/2014/chart" uri="{C3380CC4-5D6E-409C-BE32-E72D297353CC}">
              <c16:uniqueId val="{00000000-BA84-4C42-99FF-46BA9FBBE5C5}"/>
            </c:ext>
          </c:extLst>
        </c:ser>
        <c:dLbls>
          <c:showLegendKey val="0"/>
          <c:showVal val="0"/>
          <c:showCatName val="0"/>
          <c:showSerName val="0"/>
          <c:showPercent val="0"/>
          <c:showBubbleSize val="0"/>
        </c:dLbls>
        <c:axId val="154430080"/>
        <c:axId val="146739968"/>
      </c:scatterChart>
      <c:valAx>
        <c:axId val="154430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ysClr val="windowText" lastClr="000000"/>
                    </a:solidFill>
                    <a:latin typeface="Times New Roman" pitchFamily="18" charset="0"/>
                    <a:cs typeface="Times New Roman" pitchFamily="18" charset="0"/>
                  </a:rPr>
                  <a:t>Imbibition Time (hrs)</a:t>
                </a:r>
              </a:p>
              <a:p>
                <a:pPr>
                  <a:defRPr sz="1000" b="0" i="0" u="none" strike="noStrike" kern="1200" baseline="0">
                    <a:solidFill>
                      <a:schemeClr val="tx1"/>
                    </a:solidFill>
                    <a:latin typeface="+mn-lt"/>
                    <a:ea typeface="+mn-ea"/>
                    <a:cs typeface="+mn-cs"/>
                  </a:defRPr>
                </a:pPr>
                <a:r>
                  <a:rPr lang="en-US">
                    <a:solidFill>
                      <a:sysClr val="windowText" lastClr="000000"/>
                    </a:solidFill>
                    <a:latin typeface="Times New Roman" pitchFamily="18" charset="0"/>
                    <a:cs typeface="Times New Roman" pitchFamily="18" charset="0"/>
                  </a:rPr>
                  <a:t>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739968"/>
        <c:crosses val="autoZero"/>
        <c:crossBetween val="midCat"/>
      </c:valAx>
      <c:valAx>
        <c:axId val="14673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r>
                  <a:rPr lang="en-US">
                    <a:solidFill>
                      <a:schemeClr val="tx1"/>
                    </a:solidFill>
                    <a:latin typeface="Times New Roman" pitchFamily="18" charset="0"/>
                    <a:cs typeface="Times New Roman" pitchFamily="18" charset="0"/>
                  </a:rPr>
                  <a:t> Increase in seed fresh weight (%)</a:t>
                </a:r>
              </a:p>
              <a:p>
                <a:pPr>
                  <a:defRPr sz="1000" b="0" i="0" u="none" strike="noStrike" kern="1200" baseline="0">
                    <a:solidFill>
                      <a:schemeClr val="tx1"/>
                    </a:solidFill>
                    <a:latin typeface="Times New Roman" pitchFamily="18" charset="0"/>
                    <a:ea typeface="+mn-ea"/>
                    <a:cs typeface="Times New Roman" pitchFamily="18" charset="0"/>
                  </a:defRPr>
                </a:pPr>
                <a:endParaRPr lang="en-US">
                  <a:solidFill>
                    <a:schemeClr val="tx1"/>
                  </a:solidFill>
                  <a:latin typeface="Times New Roman" pitchFamily="18" charset="0"/>
                  <a:cs typeface="Times New Roman" pitchFamily="18" charset="0"/>
                </a:endParaRPr>
              </a:p>
            </c:rich>
          </c:tx>
          <c:layout>
            <c:manualLayout>
              <c:xMode val="edge"/>
              <c:yMode val="edge"/>
              <c:x val="2.2222222222222223E-2"/>
              <c:y val="0.146944444444444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300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12</Pages>
  <Words>4784</Words>
  <Characters>27271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SDI 1183</cp:lastModifiedBy>
  <cp:revision>27</cp:revision>
  <dcterms:created xsi:type="dcterms:W3CDTF">2025-07-12T15:18:00Z</dcterms:created>
  <dcterms:modified xsi:type="dcterms:W3CDTF">2025-07-16T08:59:00Z</dcterms:modified>
</cp:coreProperties>
</file>