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537B4CA4" w14:textId="77777777" w:rsidR="001B489B" w:rsidRDefault="001B489B" w:rsidP="002309B8">
      <w:pPr>
        <w:jc w:val="right"/>
        <w:rPr>
          <w:rFonts w:ascii="Arial" w:hAnsi="Arial" w:cs="Arial"/>
          <w:b/>
          <w:noProof/>
          <w:sz w:val="28"/>
          <w:szCs w:val="28"/>
          <w:lang w:eastAsia="en-PH"/>
        </w:rPr>
      </w:pPr>
    </w:p>
    <w:p w14:paraId="71582558" w14:textId="4EC120EC" w:rsidR="008E3EFE" w:rsidRPr="008E3EFE" w:rsidRDefault="008E3EFE" w:rsidP="008E3EFE">
      <w:pPr>
        <w:jc w:val="right"/>
        <w:rPr>
          <w:rFonts w:ascii="Arial" w:hAnsi="Arial" w:cs="Arial"/>
          <w:b/>
          <w:noProof/>
          <w:sz w:val="28"/>
          <w:szCs w:val="28"/>
          <w:lang w:eastAsia="en-PH"/>
        </w:rPr>
      </w:pPr>
      <w:r w:rsidRPr="008E3EFE">
        <w:rPr>
          <w:rFonts w:ascii="Arial" w:hAnsi="Arial" w:cs="Arial"/>
          <w:b/>
          <w:noProof/>
          <w:sz w:val="28"/>
          <w:szCs w:val="28"/>
          <w:lang w:eastAsia="en-PH"/>
        </w:rPr>
        <w:t xml:space="preserve">Disaster Preparedness Among Public School Teachers in </w:t>
      </w:r>
    </w:p>
    <w:p w14:paraId="078F23B9" w14:textId="64D60371" w:rsidR="00EE24BB" w:rsidRDefault="003C3D0B" w:rsidP="008E3EFE">
      <w:pPr>
        <w:jc w:val="right"/>
        <w:rPr>
          <w:rFonts w:ascii="Arial" w:hAnsi="Arial" w:cs="Arial"/>
          <w:b/>
          <w:noProof/>
          <w:sz w:val="28"/>
          <w:szCs w:val="28"/>
          <w:lang w:eastAsia="en-PH"/>
        </w:rPr>
      </w:pPr>
      <w:r w:rsidRPr="003C3D0B">
        <w:rPr>
          <w:rFonts w:ascii="Arial" w:hAnsi="Arial" w:cs="Arial"/>
          <w:b/>
          <w:noProof/>
          <w:sz w:val="28"/>
          <w:szCs w:val="28"/>
          <w:highlight w:val="yellow"/>
          <w:lang w:eastAsia="en-PH"/>
        </w:rPr>
        <w:t xml:space="preserve">Manay, </w:t>
      </w:r>
      <w:r w:rsidR="008E3EFE" w:rsidRPr="003C3D0B">
        <w:rPr>
          <w:rFonts w:ascii="Arial" w:hAnsi="Arial" w:cs="Arial"/>
          <w:b/>
          <w:noProof/>
          <w:sz w:val="28"/>
          <w:szCs w:val="28"/>
          <w:highlight w:val="yellow"/>
          <w:lang w:eastAsia="en-PH"/>
        </w:rPr>
        <w:t>Davao Oriental</w:t>
      </w:r>
      <w:r w:rsidRPr="003C3D0B">
        <w:rPr>
          <w:rFonts w:ascii="Arial" w:hAnsi="Arial" w:cs="Arial"/>
          <w:b/>
          <w:noProof/>
          <w:sz w:val="28"/>
          <w:szCs w:val="28"/>
          <w:highlight w:val="yellow"/>
          <w:lang w:eastAsia="en-PH"/>
        </w:rPr>
        <w:t>, Philippines</w:t>
      </w:r>
      <w:r w:rsidR="008E3EFE" w:rsidRPr="008E3EFE">
        <w:rPr>
          <w:rFonts w:ascii="Arial" w:hAnsi="Arial" w:cs="Arial"/>
          <w:b/>
          <w:noProof/>
          <w:sz w:val="28"/>
          <w:szCs w:val="28"/>
          <w:lang w:eastAsia="en-PH"/>
        </w:rPr>
        <w:t>: A Post Hoc Comparison</w:t>
      </w:r>
    </w:p>
    <w:p w14:paraId="487E5C6F" w14:textId="77777777" w:rsidR="00EE24BB" w:rsidRDefault="00EE24BB" w:rsidP="008E3EFE">
      <w:pPr>
        <w:jc w:val="right"/>
        <w:rPr>
          <w:rFonts w:ascii="Arial" w:hAnsi="Arial" w:cs="Arial"/>
          <w:b/>
          <w:noProof/>
          <w:sz w:val="28"/>
          <w:szCs w:val="28"/>
          <w:lang w:eastAsia="en-PH"/>
        </w:rPr>
      </w:pPr>
    </w:p>
    <w:p w14:paraId="141766A7" w14:textId="3AE89454" w:rsidR="008E3EFE" w:rsidRDefault="000B7B2C" w:rsidP="008E3EFE">
      <w:pPr>
        <w:jc w:val="right"/>
        <w:rPr>
          <w:rFonts w:ascii="Arial" w:hAnsi="Arial" w:cs="Arial"/>
        </w:rPr>
      </w:pPr>
      <w:r>
        <w:rPr>
          <w:rFonts w:ascii="Arial" w:hAnsi="Arial" w:cs="Arial"/>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261430">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326"/>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Pr="007E5C64" w:rsidRDefault="00180859">
      <w:pPr>
        <w:pStyle w:val="AbstHead"/>
        <w:spacing w:after="0"/>
        <w:jc w:val="both"/>
        <w:rPr>
          <w:rFonts w:ascii="Arial" w:hAnsi="Arial" w:cs="Arial"/>
          <w:sz w:val="20"/>
        </w:rPr>
      </w:pPr>
      <w:r w:rsidRPr="007E5C64">
        <w:rPr>
          <w:rFonts w:ascii="Arial" w:hAnsi="Arial" w:cs="Arial"/>
          <w:sz w:val="20"/>
        </w:rPr>
        <w:lastRenderedPageBreak/>
        <w:t xml:space="preserve">ABSTRACT </w:t>
      </w:r>
    </w:p>
    <w:p w14:paraId="3D835972" w14:textId="77777777" w:rsidR="00717F2E" w:rsidRPr="007E5C64"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rsidRPr="007E5C64" w14:paraId="4274D69E" w14:textId="77777777" w:rsidTr="008825C9">
        <w:trPr>
          <w:trHeight w:val="3167"/>
        </w:trPr>
        <w:tc>
          <w:tcPr>
            <w:tcW w:w="9576" w:type="dxa"/>
            <w:shd w:val="clear" w:color="auto" w:fill="F2F2F2"/>
          </w:tcPr>
          <w:p w14:paraId="10E1D353" w14:textId="2C94D685" w:rsidR="00717F2E" w:rsidRPr="007E5C64" w:rsidRDefault="00C061D8" w:rsidP="00896129">
            <w:pPr>
              <w:jc w:val="both"/>
              <w:rPr>
                <w:rFonts w:ascii="Arial" w:hAnsi="Arial" w:cs="Arial"/>
                <w:iCs/>
                <w:sz w:val="20"/>
                <w:szCs w:val="20"/>
              </w:rPr>
            </w:pPr>
            <w:r w:rsidRPr="00C061D8">
              <w:rPr>
                <w:rFonts w:ascii="Arial" w:hAnsi="Arial" w:cs="Arial"/>
                <w:iCs/>
                <w:sz w:val="20"/>
                <w:szCs w:val="20"/>
              </w:rPr>
              <w:t>Disaster preparedness in schools is essential for ensuring the safety and well-being of students and staff in times of emergency. Teachers play a critical role in executing disaster response plans and sharing knowledge related to disaster readiness. This study used a descriptive-comparative study employing a T-test for Independe</w:t>
            </w:r>
            <w:r w:rsidR="009B111C">
              <w:rPr>
                <w:rFonts w:ascii="Arial" w:hAnsi="Arial" w:cs="Arial"/>
                <w:iCs/>
                <w:sz w:val="20"/>
                <w:szCs w:val="20"/>
              </w:rPr>
              <w:t xml:space="preserve">nt Samples and Anova tools. 251 </w:t>
            </w:r>
            <w:r w:rsidRPr="00C061D8">
              <w:rPr>
                <w:rFonts w:ascii="Arial" w:hAnsi="Arial" w:cs="Arial"/>
                <w:iCs/>
                <w:sz w:val="20"/>
                <w:szCs w:val="20"/>
              </w:rPr>
              <w:t xml:space="preserve"> public teachers were invited to answer an adapted survey questionnaire  in </w:t>
            </w:r>
            <w:proofErr w:type="spellStart"/>
            <w:r w:rsidRPr="00C061D8">
              <w:rPr>
                <w:rFonts w:ascii="Arial" w:hAnsi="Arial" w:cs="Arial"/>
                <w:iCs/>
                <w:sz w:val="20"/>
                <w:szCs w:val="20"/>
              </w:rPr>
              <w:t>Manay</w:t>
            </w:r>
            <w:proofErr w:type="spellEnd"/>
            <w:r w:rsidRPr="00C061D8">
              <w:rPr>
                <w:rFonts w:ascii="Arial" w:hAnsi="Arial" w:cs="Arial"/>
                <w:iCs/>
                <w:sz w:val="20"/>
                <w:szCs w:val="20"/>
              </w:rPr>
              <w:t xml:space="preserve"> District, Division of Davao Oriental . Teachers' disaster preparedness levels were rated on a 5-point Likert scale, with a higher score indicating greater preparedness. The study reveals that public school teachers in </w:t>
            </w:r>
            <w:proofErr w:type="spellStart"/>
            <w:r w:rsidRPr="00C061D8">
              <w:rPr>
                <w:rFonts w:ascii="Arial" w:hAnsi="Arial" w:cs="Arial"/>
                <w:iCs/>
                <w:sz w:val="20"/>
                <w:szCs w:val="20"/>
              </w:rPr>
              <w:t>Manay</w:t>
            </w:r>
            <w:proofErr w:type="spellEnd"/>
            <w:r w:rsidRPr="00C061D8">
              <w:rPr>
                <w:rFonts w:ascii="Arial" w:hAnsi="Arial" w:cs="Arial"/>
                <w:iCs/>
                <w:sz w:val="20"/>
                <w:szCs w:val="20"/>
              </w:rPr>
              <w:t xml:space="preserve"> District, Division of Davao Oriental demonstrate a high level of disaster preparedness overall, with a mean score of 3.71. Teachers strongly recognize the importance of sharing knowledge and experiences related to disasters but show only moderate participation in disaster awareness campaigns. While no significant differences were found in disaster preparedness based on sex, age and years of service were found to be influential factors. Middle-aged teachers (31-40 years) and those with more than ten years of experience exhibited higher levels of preparedness, suggesting that life experience and professional tenure contribute to disaster readiness in educational settings.</w:t>
            </w:r>
            <w:r w:rsidR="000F6097">
              <w:t xml:space="preserve"> </w:t>
            </w:r>
            <w:r w:rsidR="000F6097" w:rsidRPr="000F6097">
              <w:rPr>
                <w:rFonts w:ascii="Arial" w:hAnsi="Arial" w:cs="Arial"/>
                <w:iCs/>
                <w:sz w:val="20"/>
                <w:szCs w:val="20"/>
                <w:highlight w:val="yellow"/>
              </w:rPr>
              <w:t>In response to the findings, it is recommended that training sessions and capacity-building workshops be conducted to enhance disaster awareness and active participation among all teachers, especially those with less experience.</w:t>
            </w:r>
          </w:p>
        </w:tc>
      </w:tr>
    </w:tbl>
    <w:p w14:paraId="175A3F79" w14:textId="77777777" w:rsidR="00717F2E" w:rsidRPr="007E5C64" w:rsidRDefault="00717F2E">
      <w:pPr>
        <w:pStyle w:val="Body"/>
        <w:spacing w:after="0"/>
        <w:rPr>
          <w:rFonts w:ascii="Arial" w:hAnsi="Arial" w:cs="Arial"/>
          <w:i/>
        </w:rPr>
      </w:pPr>
    </w:p>
    <w:p w14:paraId="5B556544" w14:textId="7AFA95A3" w:rsidR="00742D13" w:rsidRPr="00A2130E" w:rsidRDefault="00180859" w:rsidP="00A2130E">
      <w:pPr>
        <w:jc w:val="both"/>
        <w:rPr>
          <w:rFonts w:ascii="Arial" w:hAnsi="Arial" w:cs="Arial"/>
          <w:iCs/>
          <w:sz w:val="20"/>
          <w:szCs w:val="20"/>
        </w:rPr>
      </w:pPr>
      <w:r w:rsidRPr="007E5C64">
        <w:rPr>
          <w:rFonts w:ascii="Arial" w:hAnsi="Arial" w:cs="Arial"/>
          <w:i/>
          <w:iCs/>
          <w:sz w:val="20"/>
          <w:szCs w:val="20"/>
        </w:rPr>
        <w:t>Keywords</w:t>
      </w:r>
      <w:r w:rsidRPr="007E5C64">
        <w:rPr>
          <w:rFonts w:ascii="Arial" w:hAnsi="Arial" w:cs="Arial"/>
          <w:sz w:val="20"/>
          <w:szCs w:val="20"/>
        </w:rPr>
        <w:t xml:space="preserve">: </w:t>
      </w:r>
      <w:r w:rsidR="00A2130E">
        <w:rPr>
          <w:rFonts w:ascii="Arial" w:hAnsi="Arial" w:cs="Arial"/>
          <w:iCs/>
          <w:sz w:val="20"/>
          <w:szCs w:val="20"/>
        </w:rPr>
        <w:t xml:space="preserve">Disaster Preparedness, Public School Teachers, </w:t>
      </w:r>
      <w:r w:rsidR="00A2130E" w:rsidRPr="00A2130E">
        <w:rPr>
          <w:rFonts w:ascii="Arial" w:hAnsi="Arial" w:cs="Arial"/>
          <w:iCs/>
          <w:sz w:val="20"/>
          <w:szCs w:val="20"/>
        </w:rPr>
        <w:t xml:space="preserve">Post Hoc Comparison           </w:t>
      </w:r>
    </w:p>
    <w:p w14:paraId="4C2E85C6" w14:textId="77777777" w:rsidR="00A2130E" w:rsidRDefault="00A2130E">
      <w:pPr>
        <w:pStyle w:val="AbstHead"/>
        <w:spacing w:after="0"/>
        <w:jc w:val="both"/>
        <w:rPr>
          <w:rFonts w:ascii="Arial" w:hAnsi="Arial" w:cs="Arial"/>
          <w:sz w:val="20"/>
        </w:rPr>
      </w:pPr>
    </w:p>
    <w:p w14:paraId="0C7D9A8E" w14:textId="633D929D" w:rsidR="00717F2E" w:rsidRPr="007E5C64" w:rsidRDefault="00180859">
      <w:pPr>
        <w:pStyle w:val="AbstHead"/>
        <w:spacing w:after="0"/>
        <w:jc w:val="both"/>
        <w:rPr>
          <w:rFonts w:ascii="Arial" w:hAnsi="Arial" w:cs="Arial"/>
          <w:sz w:val="20"/>
        </w:rPr>
      </w:pPr>
      <w:r w:rsidRPr="007E5C64">
        <w:rPr>
          <w:rFonts w:ascii="Arial" w:hAnsi="Arial" w:cs="Arial"/>
          <w:sz w:val="20"/>
        </w:rPr>
        <w:t>1. INTRODUCTION</w:t>
      </w:r>
    </w:p>
    <w:p w14:paraId="499EF934" w14:textId="77777777" w:rsidR="00717F2E" w:rsidRPr="007E5C64" w:rsidRDefault="00717F2E">
      <w:pPr>
        <w:pStyle w:val="AbstHead"/>
        <w:spacing w:after="0"/>
        <w:jc w:val="both"/>
        <w:rPr>
          <w:rFonts w:ascii="Arial" w:hAnsi="Arial" w:cs="Arial"/>
          <w:sz w:val="20"/>
        </w:rPr>
      </w:pPr>
    </w:p>
    <w:p w14:paraId="7D57461F" w14:textId="12633F71" w:rsidR="00056E03" w:rsidRDefault="00E70DF1" w:rsidP="00056E03">
      <w:pPr>
        <w:jc w:val="both"/>
        <w:rPr>
          <w:rFonts w:ascii="Arial" w:hAnsi="Arial"/>
          <w:sz w:val="20"/>
          <w:szCs w:val="20"/>
        </w:rPr>
      </w:pPr>
      <w:r w:rsidRPr="00E70DF1">
        <w:rPr>
          <w:rFonts w:ascii="Arial" w:hAnsi="Arial"/>
          <w:sz w:val="20"/>
          <w:szCs w:val="20"/>
          <w:highlight w:val="yellow"/>
        </w:rPr>
        <w:t xml:space="preserve">Disaster preparedness among teachers is a critical element in ensuring the safety and well-being of students during emergencies. A disaster is defined as a sudden, calamitous event that causes significant disruption, damage, or destruction, resulting in loss of life, property, or livelihood, and requiring external assistance for recovery. As </w:t>
      </w:r>
      <w:proofErr w:type="spellStart"/>
      <w:r w:rsidRPr="00E70DF1">
        <w:rPr>
          <w:rFonts w:ascii="Arial" w:hAnsi="Arial"/>
          <w:sz w:val="20"/>
          <w:szCs w:val="20"/>
          <w:highlight w:val="yellow"/>
        </w:rPr>
        <w:t>frontliners</w:t>
      </w:r>
      <w:proofErr w:type="spellEnd"/>
      <w:r w:rsidRPr="00E70DF1">
        <w:rPr>
          <w:rFonts w:ascii="Arial" w:hAnsi="Arial"/>
          <w:sz w:val="20"/>
          <w:szCs w:val="20"/>
          <w:highlight w:val="yellow"/>
        </w:rPr>
        <w:t xml:space="preserve"> in the school setting, teachers play a pivotal role in establishing a safe and responsive learning environment. Their readiness and ability to act during disasters can significantly mitigate risks and potentially save lives. Disaster preparedness, on the other hand, refers to the systematic process of planning, organizing, training, equipping, and exercising to build the capacity to effectively respond to emergencies. It involves equipping teachers with the knowledge, skills, and tools necessary to respond to a variety of emergency situations—be it natural disasters such as typhoons, earthquakes, and floods, or human-induced incidents like fires or chemical spills. This includes familiarity with evacuation procedures, first aid techniques, emergency communication protocols, and post-disaster recovery strategies.</w:t>
      </w:r>
    </w:p>
    <w:p w14:paraId="04859890" w14:textId="77777777" w:rsidR="00E70DF1" w:rsidRPr="00056E03" w:rsidRDefault="00E70DF1" w:rsidP="00056E03">
      <w:pPr>
        <w:jc w:val="both"/>
        <w:rPr>
          <w:rFonts w:ascii="Arial" w:hAnsi="Arial"/>
          <w:sz w:val="20"/>
          <w:szCs w:val="20"/>
        </w:rPr>
      </w:pPr>
    </w:p>
    <w:p w14:paraId="182A0EE5" w14:textId="77777777" w:rsidR="00056E03" w:rsidRPr="00056E03" w:rsidRDefault="00056E03" w:rsidP="00056E03">
      <w:pPr>
        <w:jc w:val="both"/>
        <w:rPr>
          <w:rFonts w:ascii="Arial" w:hAnsi="Arial"/>
          <w:sz w:val="20"/>
          <w:szCs w:val="20"/>
        </w:rPr>
      </w:pPr>
      <w:r w:rsidRPr="00056E03">
        <w:rPr>
          <w:rFonts w:ascii="Arial" w:hAnsi="Arial"/>
          <w:sz w:val="20"/>
          <w:szCs w:val="20"/>
        </w:rPr>
        <w:t xml:space="preserve">Globally, teachers are viewed as role models and trusted figures. Their capacity to remain calm, decisive, and organized during crises can help maintain order, reduce panic, and facilitate a safe evacuation or emergency response. As such, cultivating a culture of </w:t>
      </w:r>
      <w:r w:rsidRPr="00056E03">
        <w:rPr>
          <w:rFonts w:ascii="Arial" w:hAnsi="Arial"/>
          <w:sz w:val="20"/>
          <w:szCs w:val="20"/>
        </w:rPr>
        <w:lastRenderedPageBreak/>
        <w:t>preparedness among teachers not only ensures the safety of students but also fosters school-wide resilience and continuity in the face of disaster. According to Bihari et al. (2022), disasters have become more frequent and intense due to climate change and rapid urbanization—underscoring the growing necessity for comprehensive disaster risk reduction (DRR) strategies within educational institutions.</w:t>
      </w:r>
    </w:p>
    <w:p w14:paraId="208A35F1" w14:textId="77777777" w:rsidR="00056E03" w:rsidRPr="00056E03" w:rsidRDefault="00056E03" w:rsidP="00056E03">
      <w:pPr>
        <w:jc w:val="both"/>
        <w:rPr>
          <w:rFonts w:ascii="Arial" w:hAnsi="Arial"/>
          <w:sz w:val="20"/>
          <w:szCs w:val="20"/>
        </w:rPr>
      </w:pPr>
    </w:p>
    <w:p w14:paraId="714434B7" w14:textId="77777777" w:rsidR="00056E03" w:rsidRPr="00056E03" w:rsidRDefault="00056E03" w:rsidP="00056E03">
      <w:pPr>
        <w:jc w:val="both"/>
        <w:rPr>
          <w:rFonts w:ascii="Arial" w:hAnsi="Arial"/>
          <w:sz w:val="20"/>
          <w:szCs w:val="20"/>
        </w:rPr>
      </w:pPr>
      <w:r w:rsidRPr="00056E03">
        <w:rPr>
          <w:rFonts w:ascii="Arial" w:hAnsi="Arial"/>
          <w:sz w:val="20"/>
          <w:szCs w:val="20"/>
        </w:rPr>
        <w:t>The United Nations Office for Disaster Risk Reduction (2020) reported that from 2000 to 2019, over 7,348 major disaster events resulted in 1.23 million fatalities, affected 4.2 billion individuals, and caused an estimated $2.97 trillion in economic losses worldwide. These alarming statistics highlight the urgent need for improved disaster preparedness at all levels—especially within schools, which are often vulnerable due to population density and limited resources. A key challenge remains the lack of awareness and proactive planning at both individual and institutional levels. Many school personnel—including teachers—lack adequate training in how to respond before, during, and after major disasters such as typhoons, earthquakes, and flash floods.</w:t>
      </w:r>
    </w:p>
    <w:p w14:paraId="60A74C56" w14:textId="77777777" w:rsidR="00056E03" w:rsidRPr="00056E03" w:rsidRDefault="00056E03" w:rsidP="00056E03">
      <w:pPr>
        <w:jc w:val="both"/>
        <w:rPr>
          <w:rFonts w:ascii="Arial" w:hAnsi="Arial"/>
          <w:sz w:val="20"/>
          <w:szCs w:val="20"/>
        </w:rPr>
      </w:pPr>
    </w:p>
    <w:p w14:paraId="0D2862D3" w14:textId="21D4D006" w:rsidR="00056E03" w:rsidRPr="00056E03" w:rsidRDefault="00056E03" w:rsidP="00056E03">
      <w:pPr>
        <w:jc w:val="both"/>
        <w:rPr>
          <w:rFonts w:ascii="Arial" w:hAnsi="Arial"/>
          <w:sz w:val="20"/>
          <w:szCs w:val="20"/>
        </w:rPr>
      </w:pPr>
      <w:r w:rsidRPr="00056E03">
        <w:rPr>
          <w:rFonts w:ascii="Arial" w:hAnsi="Arial"/>
          <w:sz w:val="20"/>
          <w:szCs w:val="20"/>
        </w:rPr>
        <w:t xml:space="preserve">In </w:t>
      </w:r>
      <w:r w:rsidR="00CB4B2D">
        <w:rPr>
          <w:rFonts w:ascii="Arial" w:hAnsi="Arial"/>
          <w:sz w:val="20"/>
          <w:szCs w:val="20"/>
        </w:rPr>
        <w:t>Pakistan</w:t>
      </w:r>
      <w:r w:rsidRPr="00056E03">
        <w:rPr>
          <w:rFonts w:ascii="Arial" w:hAnsi="Arial"/>
          <w:sz w:val="20"/>
          <w:szCs w:val="20"/>
        </w:rPr>
        <w:t xml:space="preserve">, for instance, </w:t>
      </w:r>
      <w:r w:rsidR="003C6363" w:rsidRPr="003C6363">
        <w:rPr>
          <w:rFonts w:ascii="Arial" w:hAnsi="Arial"/>
          <w:sz w:val="20"/>
          <w:szCs w:val="20"/>
        </w:rPr>
        <w:t>Shah</w:t>
      </w:r>
      <w:r w:rsidR="003C6363">
        <w:rPr>
          <w:rFonts w:ascii="Arial" w:hAnsi="Arial"/>
          <w:sz w:val="20"/>
          <w:szCs w:val="20"/>
        </w:rPr>
        <w:t xml:space="preserve"> et al. (2020</w:t>
      </w:r>
      <w:r w:rsidRPr="00056E03">
        <w:rPr>
          <w:rFonts w:ascii="Arial" w:hAnsi="Arial"/>
          <w:sz w:val="20"/>
          <w:szCs w:val="20"/>
        </w:rPr>
        <w:t>) emphasized that teachers’ disaster preparedness is foundational to school resilience. They noted the need for comprehensive training that enables educators to recognize hazards, implement safety protocols, and respond effectively to emergencies. Such preparedness includes mastery of first aid, evacuation drills, and psychological first aid to address the emotional needs</w:t>
      </w:r>
      <w:r w:rsidR="00C006D1">
        <w:rPr>
          <w:rFonts w:ascii="Arial" w:hAnsi="Arial"/>
          <w:sz w:val="20"/>
          <w:szCs w:val="20"/>
        </w:rPr>
        <w:t xml:space="preserve"> of students. Likewise, Adepoju </w:t>
      </w:r>
      <w:r w:rsidRPr="00056E03">
        <w:rPr>
          <w:rFonts w:ascii="Arial" w:hAnsi="Arial"/>
          <w:sz w:val="20"/>
          <w:szCs w:val="20"/>
        </w:rPr>
        <w:t xml:space="preserve"> </w:t>
      </w:r>
      <w:r w:rsidR="00C006D1">
        <w:rPr>
          <w:rFonts w:ascii="Arial" w:hAnsi="Arial"/>
          <w:sz w:val="20"/>
          <w:szCs w:val="20"/>
        </w:rPr>
        <w:t>et al.</w:t>
      </w:r>
      <w:r w:rsidRPr="00056E03">
        <w:rPr>
          <w:rFonts w:ascii="Arial" w:hAnsi="Arial"/>
          <w:sz w:val="20"/>
          <w:szCs w:val="20"/>
        </w:rPr>
        <w:t xml:space="preserve"> (2022) stressed the importance of integrating disaster education into the curriculum, which empowers students and staff alike to respond with confidence during emergencies.</w:t>
      </w:r>
    </w:p>
    <w:p w14:paraId="6163FB7D" w14:textId="77777777" w:rsidR="00056E03" w:rsidRPr="00056E03" w:rsidRDefault="00056E03" w:rsidP="00056E03">
      <w:pPr>
        <w:jc w:val="both"/>
        <w:rPr>
          <w:rFonts w:ascii="Arial" w:hAnsi="Arial"/>
          <w:sz w:val="20"/>
          <w:szCs w:val="20"/>
        </w:rPr>
      </w:pPr>
    </w:p>
    <w:p w14:paraId="53B3C526" w14:textId="7286B20B" w:rsidR="00056E03" w:rsidRPr="00056E03" w:rsidRDefault="00056E03" w:rsidP="00056E03">
      <w:pPr>
        <w:jc w:val="both"/>
        <w:rPr>
          <w:rFonts w:ascii="Arial" w:hAnsi="Arial"/>
          <w:sz w:val="20"/>
          <w:szCs w:val="20"/>
        </w:rPr>
      </w:pPr>
      <w:r w:rsidRPr="00056E03">
        <w:rPr>
          <w:rFonts w:ascii="Arial" w:hAnsi="Arial"/>
          <w:sz w:val="20"/>
          <w:szCs w:val="20"/>
        </w:rPr>
        <w:t>However, disaster management often faces systemic issues. One critical concern is the overreliance on non-governmental organizations (NGOs) for disaster response. While NGOs bring expertise and resources, this dependence can reflect significant gaps in government-led preparedness and institutional capacity (</w:t>
      </w:r>
      <w:r w:rsidR="001E3513" w:rsidRPr="001E3513">
        <w:rPr>
          <w:rFonts w:ascii="Arial" w:hAnsi="Arial"/>
          <w:sz w:val="20"/>
          <w:szCs w:val="20"/>
        </w:rPr>
        <w:t>Khaledi</w:t>
      </w:r>
      <w:r w:rsidR="001E3513">
        <w:rPr>
          <w:rFonts w:ascii="Arial" w:hAnsi="Arial"/>
          <w:sz w:val="20"/>
          <w:szCs w:val="20"/>
        </w:rPr>
        <w:t xml:space="preserve"> et al.</w:t>
      </w:r>
      <w:r w:rsidRPr="00056E03">
        <w:rPr>
          <w:rFonts w:ascii="Arial" w:hAnsi="Arial"/>
          <w:sz w:val="20"/>
          <w:szCs w:val="20"/>
        </w:rPr>
        <w:t>, 2023).</w:t>
      </w:r>
    </w:p>
    <w:p w14:paraId="329F1B5F" w14:textId="77777777" w:rsidR="00056E03" w:rsidRPr="00056E03" w:rsidRDefault="00056E03" w:rsidP="00056E03">
      <w:pPr>
        <w:jc w:val="both"/>
        <w:rPr>
          <w:rFonts w:ascii="Arial" w:hAnsi="Arial"/>
          <w:sz w:val="20"/>
          <w:szCs w:val="20"/>
        </w:rPr>
      </w:pPr>
    </w:p>
    <w:p w14:paraId="1CE9D9D0" w14:textId="4B3577B2" w:rsidR="00056E03" w:rsidRPr="00056E03" w:rsidRDefault="00056E03" w:rsidP="00056E03">
      <w:pPr>
        <w:jc w:val="both"/>
        <w:rPr>
          <w:rFonts w:ascii="Arial" w:hAnsi="Arial"/>
          <w:sz w:val="20"/>
          <w:szCs w:val="20"/>
        </w:rPr>
      </w:pPr>
      <w:r w:rsidRPr="00056E03">
        <w:rPr>
          <w:rFonts w:ascii="Arial" w:hAnsi="Arial"/>
          <w:sz w:val="20"/>
          <w:szCs w:val="20"/>
        </w:rPr>
        <w:t xml:space="preserve">Even in highly developed countries like Japan, which has integrated disaster risk education into both formal and informal learning systems, challenges persist due to the country’s frequent exposure to natural calamities. </w:t>
      </w:r>
      <w:r w:rsidR="00F0739F" w:rsidRPr="00F0739F">
        <w:rPr>
          <w:rFonts w:ascii="Arial" w:hAnsi="Arial"/>
          <w:sz w:val="20"/>
          <w:szCs w:val="20"/>
        </w:rPr>
        <w:t>Haraguchi</w:t>
      </w:r>
      <w:r w:rsidR="00F0739F">
        <w:rPr>
          <w:rFonts w:ascii="Arial" w:hAnsi="Arial"/>
          <w:sz w:val="20"/>
          <w:szCs w:val="20"/>
        </w:rPr>
        <w:t xml:space="preserve"> (2020</w:t>
      </w:r>
      <w:r w:rsidRPr="00056E03">
        <w:rPr>
          <w:rFonts w:ascii="Arial" w:hAnsi="Arial"/>
          <w:sz w:val="20"/>
          <w:szCs w:val="20"/>
        </w:rPr>
        <w:t>) noted that continuous adaptation of preparedness strategies is essential to cope with evolving risks. In contrast, India’s Bihar region, frequently affected by flash floods, struggles with early warning systems and communication mechanisms necessary for effective response (</w:t>
      </w:r>
      <w:proofErr w:type="spellStart"/>
      <w:r w:rsidR="00833989">
        <w:rPr>
          <w:rFonts w:ascii="Arial" w:hAnsi="Arial"/>
          <w:sz w:val="20"/>
          <w:szCs w:val="20"/>
        </w:rPr>
        <w:t>Banzal</w:t>
      </w:r>
      <w:proofErr w:type="spellEnd"/>
      <w:r w:rsidR="00833989">
        <w:rPr>
          <w:rFonts w:ascii="Arial" w:hAnsi="Arial"/>
          <w:sz w:val="20"/>
          <w:szCs w:val="20"/>
        </w:rPr>
        <w:t>, 2022</w:t>
      </w:r>
      <w:r w:rsidRPr="00056E03">
        <w:rPr>
          <w:rFonts w:ascii="Arial" w:hAnsi="Arial"/>
          <w:sz w:val="20"/>
          <w:szCs w:val="20"/>
        </w:rPr>
        <w:t>).</w:t>
      </w:r>
    </w:p>
    <w:p w14:paraId="5255D348" w14:textId="77777777" w:rsidR="00056E03" w:rsidRPr="00056E03" w:rsidRDefault="00056E03" w:rsidP="00056E03">
      <w:pPr>
        <w:jc w:val="both"/>
        <w:rPr>
          <w:rFonts w:ascii="Arial" w:hAnsi="Arial"/>
          <w:sz w:val="20"/>
          <w:szCs w:val="20"/>
        </w:rPr>
      </w:pPr>
    </w:p>
    <w:p w14:paraId="41975F60" w14:textId="352E9AFD" w:rsidR="00056E03" w:rsidRPr="00056E03" w:rsidRDefault="00056E03" w:rsidP="00056E03">
      <w:pPr>
        <w:jc w:val="both"/>
        <w:rPr>
          <w:rFonts w:ascii="Arial" w:hAnsi="Arial"/>
          <w:sz w:val="20"/>
          <w:szCs w:val="20"/>
        </w:rPr>
      </w:pPr>
      <w:r w:rsidRPr="00056E03">
        <w:rPr>
          <w:rFonts w:ascii="Arial" w:hAnsi="Arial"/>
          <w:sz w:val="20"/>
          <w:szCs w:val="20"/>
        </w:rPr>
        <w:t xml:space="preserve">In the Philippines, one of the most disaster-prone countries in the world, the educational sector has repeatedly been impacted by typhoons and earthquakes. The aftermath of Typhoon Yolanda (Haiyan) in 2013 revealed glaring gaps in school-level disaster readiness. </w:t>
      </w:r>
      <w:proofErr w:type="spellStart"/>
      <w:r w:rsidR="00665A47" w:rsidRPr="00665A47">
        <w:rPr>
          <w:rFonts w:ascii="Arial" w:hAnsi="Arial"/>
          <w:sz w:val="20"/>
          <w:szCs w:val="20"/>
        </w:rPr>
        <w:t>Gaudie</w:t>
      </w:r>
      <w:r w:rsidR="00665A47">
        <w:rPr>
          <w:rFonts w:ascii="Arial" w:hAnsi="Arial"/>
          <w:sz w:val="20"/>
          <w:szCs w:val="20"/>
        </w:rPr>
        <w:t>l</w:t>
      </w:r>
      <w:proofErr w:type="spellEnd"/>
      <w:r w:rsidR="00665A47">
        <w:rPr>
          <w:rFonts w:ascii="Arial" w:hAnsi="Arial"/>
          <w:sz w:val="20"/>
          <w:szCs w:val="20"/>
        </w:rPr>
        <w:t xml:space="preserve"> (2023</w:t>
      </w:r>
      <w:r w:rsidRPr="00056E03">
        <w:rPr>
          <w:rFonts w:ascii="Arial" w:hAnsi="Arial"/>
          <w:sz w:val="20"/>
          <w:szCs w:val="20"/>
        </w:rPr>
        <w:t>) observed disparities in preparedness among school administrators based on age and experience, indicating the need for standardized training ac</w:t>
      </w:r>
      <w:r w:rsidR="006B77E9">
        <w:rPr>
          <w:rFonts w:ascii="Arial" w:hAnsi="Arial"/>
          <w:sz w:val="20"/>
          <w:szCs w:val="20"/>
        </w:rPr>
        <w:t>ross all educational levels. Islam</w:t>
      </w:r>
      <w:r w:rsidRPr="00056E03">
        <w:rPr>
          <w:rFonts w:ascii="Arial" w:hAnsi="Arial"/>
          <w:sz w:val="20"/>
          <w:szCs w:val="20"/>
        </w:rPr>
        <w:t xml:space="preserve"> </w:t>
      </w:r>
      <w:r w:rsidR="006B77E9">
        <w:rPr>
          <w:rFonts w:ascii="Arial" w:hAnsi="Arial"/>
          <w:sz w:val="20"/>
          <w:szCs w:val="20"/>
        </w:rPr>
        <w:t>et al. (2022</w:t>
      </w:r>
      <w:r w:rsidRPr="00056E03">
        <w:rPr>
          <w:rFonts w:ascii="Arial" w:hAnsi="Arial"/>
          <w:sz w:val="20"/>
          <w:szCs w:val="20"/>
        </w:rPr>
        <w:t xml:space="preserve">) identified administrative overload and poor compliance as key challenges to implementing effective DRR protocols. Meanwhile, </w:t>
      </w:r>
      <w:r w:rsidR="007D6971" w:rsidRPr="007D6971">
        <w:rPr>
          <w:rFonts w:ascii="Arial" w:hAnsi="Arial"/>
          <w:sz w:val="20"/>
          <w:szCs w:val="20"/>
        </w:rPr>
        <w:t>Manayan</w:t>
      </w:r>
      <w:r w:rsidR="007D6971">
        <w:rPr>
          <w:rFonts w:ascii="Arial" w:hAnsi="Arial"/>
          <w:sz w:val="20"/>
          <w:szCs w:val="20"/>
        </w:rPr>
        <w:t xml:space="preserve"> (2024</w:t>
      </w:r>
      <w:r w:rsidRPr="00056E03">
        <w:rPr>
          <w:rFonts w:ascii="Arial" w:hAnsi="Arial"/>
          <w:sz w:val="20"/>
          <w:szCs w:val="20"/>
        </w:rPr>
        <w:t xml:space="preserve">) highlighted inadequate flood control and drainage systems in </w:t>
      </w:r>
      <w:r w:rsidR="007D6971">
        <w:rPr>
          <w:rFonts w:ascii="Arial" w:hAnsi="Arial"/>
          <w:sz w:val="20"/>
          <w:szCs w:val="20"/>
        </w:rPr>
        <w:t>Davao region</w:t>
      </w:r>
      <w:r w:rsidRPr="00056E03">
        <w:rPr>
          <w:rFonts w:ascii="Arial" w:hAnsi="Arial"/>
          <w:sz w:val="20"/>
          <w:szCs w:val="20"/>
        </w:rPr>
        <w:t>, calling attention to infrastructure issues that hinder school and community resilience.</w:t>
      </w:r>
    </w:p>
    <w:p w14:paraId="6732C721" w14:textId="77777777" w:rsidR="00056E03" w:rsidRPr="00056E03" w:rsidRDefault="00056E03" w:rsidP="00056E03">
      <w:pPr>
        <w:jc w:val="both"/>
        <w:rPr>
          <w:rFonts w:ascii="Arial" w:hAnsi="Arial"/>
          <w:sz w:val="20"/>
          <w:szCs w:val="20"/>
        </w:rPr>
      </w:pPr>
    </w:p>
    <w:p w14:paraId="220E345A" w14:textId="77777777" w:rsidR="00056E03" w:rsidRPr="00056E03" w:rsidRDefault="00056E03" w:rsidP="00056E03">
      <w:pPr>
        <w:jc w:val="both"/>
        <w:rPr>
          <w:rFonts w:ascii="Arial" w:hAnsi="Arial"/>
          <w:sz w:val="20"/>
          <w:szCs w:val="20"/>
        </w:rPr>
      </w:pPr>
      <w:r w:rsidRPr="00056E03">
        <w:rPr>
          <w:rFonts w:ascii="Arial" w:hAnsi="Arial"/>
          <w:sz w:val="20"/>
          <w:szCs w:val="20"/>
        </w:rPr>
        <w:t>Teachers’ preparedness extends beyond the classroom—it plays a vital role in enhancing the broader community’s readiness. As respected community figures, teachers can influence not only students but also families by disseminating crucial disaster preparedness information. Their training in emergency response enables them to provide emotional support, coordinate with first responders, and maintain order during crises. When teachers are knowledgeable and confident in their roles, this has a ripple effect—promoting a culture of safety and awareness across the community.</w:t>
      </w:r>
    </w:p>
    <w:p w14:paraId="15FB21BC" w14:textId="77777777" w:rsidR="00056E03" w:rsidRPr="00056E03" w:rsidRDefault="00056E03" w:rsidP="00056E03">
      <w:pPr>
        <w:jc w:val="both"/>
        <w:rPr>
          <w:rFonts w:ascii="Arial" w:hAnsi="Arial"/>
          <w:sz w:val="20"/>
          <w:szCs w:val="20"/>
        </w:rPr>
      </w:pPr>
    </w:p>
    <w:p w14:paraId="3017206B" w14:textId="022C930D" w:rsidR="003227FA" w:rsidRPr="006214F1" w:rsidRDefault="00056E03" w:rsidP="00056E03">
      <w:pPr>
        <w:jc w:val="both"/>
        <w:rPr>
          <w:rFonts w:ascii="Arial" w:hAnsi="Arial"/>
          <w:sz w:val="20"/>
          <w:szCs w:val="20"/>
        </w:rPr>
      </w:pPr>
      <w:r w:rsidRPr="00056E03">
        <w:rPr>
          <w:rFonts w:ascii="Arial" w:hAnsi="Arial"/>
          <w:sz w:val="20"/>
          <w:szCs w:val="20"/>
        </w:rPr>
        <w:t>Moreover, with the rapid advancement of technology and access to disaster-related data, education and awareness remain the most effective tools to prevent or mitigate the impacts of disasters. As such, this study highlights the importance of teacher education and preparedness in disaster risk reduction (DRR), especially in vulnerable areas. Schools must integrate structured DRR programs and provide ongoing training to build teacher confidence and capability in emergency response.</w:t>
      </w:r>
      <w:r w:rsidR="006214F1">
        <w:rPr>
          <w:rFonts w:ascii="Arial" w:hAnsi="Arial"/>
          <w:sz w:val="20"/>
          <w:szCs w:val="20"/>
        </w:rPr>
        <w:t xml:space="preserve"> </w:t>
      </w:r>
      <w:r w:rsidRPr="00056E03">
        <w:rPr>
          <w:rFonts w:ascii="Arial" w:hAnsi="Arial"/>
          <w:sz w:val="20"/>
          <w:szCs w:val="20"/>
        </w:rPr>
        <w:t>In light of these challenges, this study investigates disaster preparedness among teachers and its influence on teaching and learning during face-to-face sessions—particularly during the rainy season. Given the increasing frequency and severity of disasters, the role of educators in disaster preparedness must be strengthened through systematic planning, infrastructure improvement, capacity-building, and policy support. By equipping teachers with the tools and training needed to respond effectively, schools can enhance resilience and reduce the adverse effects of disasters on education and community life.</w:t>
      </w:r>
    </w:p>
    <w:p w14:paraId="4E2B6B39" w14:textId="77777777" w:rsidR="003227FA" w:rsidRPr="007E5C64" w:rsidRDefault="003227FA" w:rsidP="00323BB4">
      <w:pPr>
        <w:jc w:val="center"/>
        <w:rPr>
          <w:rFonts w:ascii="Arial" w:eastAsia="MS Mincho" w:hAnsi="Arial" w:cs="Arial"/>
          <w:b/>
          <w:bCs/>
          <w:sz w:val="20"/>
          <w:szCs w:val="20"/>
          <w:lang w:eastAsia="ja-JP"/>
        </w:rPr>
      </w:pPr>
    </w:p>
    <w:p w14:paraId="0ED0213D" w14:textId="60A60C46" w:rsidR="002F5C4B" w:rsidRPr="007E5C64" w:rsidRDefault="002F5C4B" w:rsidP="002F5C4B">
      <w:pPr>
        <w:rPr>
          <w:rFonts w:ascii="Arial" w:eastAsia="MS Mincho" w:hAnsi="Arial" w:cs="Arial"/>
          <w:sz w:val="20"/>
          <w:szCs w:val="20"/>
          <w:lang w:eastAsia="ja-JP"/>
        </w:rPr>
      </w:pPr>
    </w:p>
    <w:p w14:paraId="305CBFC1" w14:textId="23EF8DCF" w:rsidR="000D23E6" w:rsidRPr="007E5C64" w:rsidRDefault="002F5C4B" w:rsidP="000D23E6">
      <w:pPr>
        <w:rPr>
          <w:rFonts w:ascii="Arial" w:eastAsia="MS Mincho" w:hAnsi="Arial" w:cs="Arial"/>
          <w:b/>
          <w:sz w:val="20"/>
          <w:szCs w:val="20"/>
          <w:lang w:eastAsia="ja-JP"/>
        </w:rPr>
      </w:pPr>
      <w:r w:rsidRPr="007E5C64">
        <w:rPr>
          <w:rFonts w:ascii="Arial" w:eastAsia="MS Mincho" w:hAnsi="Arial" w:cs="Arial"/>
          <w:b/>
          <w:sz w:val="20"/>
          <w:szCs w:val="20"/>
          <w:lang w:eastAsia="ja-JP"/>
        </w:rPr>
        <w:t>1.1 Statement of the Problem</w:t>
      </w:r>
    </w:p>
    <w:p w14:paraId="71350A61" w14:textId="77777777" w:rsidR="000D23E6" w:rsidRPr="007E5C64" w:rsidRDefault="000D23E6" w:rsidP="000D23E6">
      <w:pPr>
        <w:rPr>
          <w:rFonts w:ascii="Arial" w:eastAsia="MS Mincho" w:hAnsi="Arial" w:cs="Arial"/>
          <w:sz w:val="20"/>
          <w:szCs w:val="20"/>
          <w:lang w:eastAsia="ja-JP"/>
        </w:rPr>
      </w:pPr>
    </w:p>
    <w:p w14:paraId="5DDD5CBE" w14:textId="77777777" w:rsidR="00056E03" w:rsidRPr="00056E03" w:rsidRDefault="00056E03" w:rsidP="00056E03">
      <w:pPr>
        <w:rPr>
          <w:rFonts w:ascii="Arial" w:eastAsia="MS Mincho" w:hAnsi="Arial" w:cs="Arial"/>
          <w:sz w:val="20"/>
          <w:szCs w:val="20"/>
          <w:lang w:eastAsia="ja-JP"/>
        </w:rPr>
      </w:pPr>
      <w:r w:rsidRPr="00056E03">
        <w:rPr>
          <w:rFonts w:ascii="Arial" w:eastAsia="MS Mincho" w:hAnsi="Arial" w:cs="Arial"/>
          <w:sz w:val="20"/>
          <w:szCs w:val="20"/>
          <w:lang w:eastAsia="ja-JP"/>
        </w:rPr>
        <w:t xml:space="preserve">This study was conducted to determine the level of disaster preparedness of public school teachers in  </w:t>
      </w:r>
      <w:proofErr w:type="spellStart"/>
      <w:r w:rsidRPr="00056E03">
        <w:rPr>
          <w:rFonts w:ascii="Arial" w:eastAsia="MS Mincho" w:hAnsi="Arial" w:cs="Arial"/>
          <w:sz w:val="20"/>
          <w:szCs w:val="20"/>
          <w:lang w:eastAsia="ja-JP"/>
        </w:rPr>
        <w:t>Manay</w:t>
      </w:r>
      <w:proofErr w:type="spellEnd"/>
      <w:r w:rsidRPr="00056E03">
        <w:rPr>
          <w:rFonts w:ascii="Arial" w:eastAsia="MS Mincho" w:hAnsi="Arial" w:cs="Arial"/>
          <w:sz w:val="20"/>
          <w:szCs w:val="20"/>
          <w:lang w:eastAsia="ja-JP"/>
        </w:rPr>
        <w:t xml:space="preserve"> District, Division of Davao Oriental utilizing a post hoc comparison. Hence, this study sought answers to the following specific questions:</w:t>
      </w:r>
    </w:p>
    <w:p w14:paraId="103BDCC3" w14:textId="3CDCD9A6" w:rsidR="00056E03" w:rsidRPr="00056E03" w:rsidRDefault="00056E03" w:rsidP="00056E03">
      <w:pPr>
        <w:rPr>
          <w:rFonts w:ascii="Arial" w:eastAsia="MS Mincho" w:hAnsi="Arial" w:cs="Arial"/>
          <w:sz w:val="20"/>
          <w:szCs w:val="20"/>
          <w:lang w:eastAsia="ja-JP"/>
        </w:rPr>
      </w:pPr>
      <w:r w:rsidRPr="00056E03">
        <w:rPr>
          <w:rFonts w:ascii="Arial" w:eastAsia="MS Mincho" w:hAnsi="Arial" w:cs="Arial"/>
          <w:sz w:val="20"/>
          <w:szCs w:val="20"/>
          <w:lang w:eastAsia="ja-JP"/>
        </w:rPr>
        <w:t>1. What is the demographic profile of the respondents in terms of:</w:t>
      </w:r>
    </w:p>
    <w:p w14:paraId="6390E25B" w14:textId="0EC1AB23" w:rsidR="00056E03" w:rsidRPr="00056E03" w:rsidRDefault="00056E03" w:rsidP="00056E03">
      <w:pPr>
        <w:rPr>
          <w:rFonts w:ascii="Arial" w:eastAsia="MS Mincho" w:hAnsi="Arial" w:cs="Arial"/>
          <w:sz w:val="20"/>
          <w:szCs w:val="20"/>
          <w:lang w:eastAsia="ja-JP"/>
        </w:rPr>
      </w:pPr>
      <w:r w:rsidRPr="00056E03">
        <w:rPr>
          <w:rFonts w:ascii="Arial" w:eastAsia="MS Mincho" w:hAnsi="Arial" w:cs="Arial"/>
          <w:sz w:val="20"/>
          <w:szCs w:val="20"/>
          <w:lang w:eastAsia="ja-JP"/>
        </w:rPr>
        <w:t xml:space="preserve">1.1 </w:t>
      </w:r>
      <w:r w:rsidR="00DC038B">
        <w:rPr>
          <w:rFonts w:ascii="Arial" w:eastAsia="MS Mincho" w:hAnsi="Arial" w:cs="Arial"/>
          <w:sz w:val="20"/>
          <w:szCs w:val="20"/>
          <w:lang w:eastAsia="ja-JP"/>
        </w:rPr>
        <w:t>sex</w:t>
      </w:r>
      <w:r w:rsidRPr="00056E03">
        <w:rPr>
          <w:rFonts w:ascii="Arial" w:eastAsia="MS Mincho" w:hAnsi="Arial" w:cs="Arial"/>
          <w:sz w:val="20"/>
          <w:szCs w:val="20"/>
          <w:lang w:eastAsia="ja-JP"/>
        </w:rPr>
        <w:t>,</w:t>
      </w:r>
    </w:p>
    <w:p w14:paraId="48489BC5" w14:textId="77777777" w:rsidR="00056E03" w:rsidRPr="00056E03" w:rsidRDefault="00056E03" w:rsidP="00056E03">
      <w:pPr>
        <w:rPr>
          <w:rFonts w:ascii="Arial" w:eastAsia="MS Mincho" w:hAnsi="Arial" w:cs="Arial"/>
          <w:sz w:val="20"/>
          <w:szCs w:val="20"/>
          <w:lang w:eastAsia="ja-JP"/>
        </w:rPr>
      </w:pPr>
      <w:r w:rsidRPr="00056E03">
        <w:rPr>
          <w:rFonts w:ascii="Arial" w:eastAsia="MS Mincho" w:hAnsi="Arial" w:cs="Arial"/>
          <w:sz w:val="20"/>
          <w:szCs w:val="20"/>
          <w:lang w:eastAsia="ja-JP"/>
        </w:rPr>
        <w:t>1.2 age, and</w:t>
      </w:r>
    </w:p>
    <w:p w14:paraId="248C9ED3" w14:textId="77777777" w:rsidR="00056E03" w:rsidRPr="00056E03" w:rsidRDefault="00056E03" w:rsidP="00056E03">
      <w:pPr>
        <w:rPr>
          <w:rFonts w:ascii="Arial" w:eastAsia="MS Mincho" w:hAnsi="Arial" w:cs="Arial"/>
          <w:sz w:val="20"/>
          <w:szCs w:val="20"/>
          <w:lang w:eastAsia="ja-JP"/>
        </w:rPr>
      </w:pPr>
      <w:r w:rsidRPr="00056E03">
        <w:rPr>
          <w:rFonts w:ascii="Arial" w:eastAsia="MS Mincho" w:hAnsi="Arial" w:cs="Arial"/>
          <w:sz w:val="20"/>
          <w:szCs w:val="20"/>
          <w:lang w:eastAsia="ja-JP"/>
        </w:rPr>
        <w:t>1.3 Number of years in service?</w:t>
      </w:r>
    </w:p>
    <w:p w14:paraId="41B5B85A" w14:textId="038D0BE8" w:rsidR="00056E03" w:rsidRPr="00056E03" w:rsidRDefault="00056E03" w:rsidP="00056E03">
      <w:pPr>
        <w:rPr>
          <w:rFonts w:ascii="Arial" w:eastAsia="MS Mincho" w:hAnsi="Arial" w:cs="Arial"/>
          <w:sz w:val="20"/>
          <w:szCs w:val="20"/>
          <w:lang w:eastAsia="ja-JP"/>
        </w:rPr>
      </w:pPr>
      <w:r w:rsidRPr="00056E03">
        <w:rPr>
          <w:rFonts w:ascii="Arial" w:eastAsia="MS Mincho" w:hAnsi="Arial" w:cs="Arial"/>
          <w:sz w:val="20"/>
          <w:szCs w:val="20"/>
          <w:lang w:eastAsia="ja-JP"/>
        </w:rPr>
        <w:t>2. What is the level of disaster preparedness of teachers?</w:t>
      </w:r>
    </w:p>
    <w:p w14:paraId="610D0F12" w14:textId="3F46F814" w:rsidR="00531BB9" w:rsidRDefault="00056E03" w:rsidP="00056E03">
      <w:pPr>
        <w:rPr>
          <w:rFonts w:ascii="Arial" w:eastAsia="MS Mincho" w:hAnsi="Arial" w:cs="Arial"/>
          <w:sz w:val="20"/>
          <w:szCs w:val="20"/>
          <w:lang w:eastAsia="ja-JP"/>
        </w:rPr>
      </w:pPr>
      <w:r w:rsidRPr="00056E03">
        <w:rPr>
          <w:rFonts w:ascii="Arial" w:eastAsia="MS Mincho" w:hAnsi="Arial" w:cs="Arial"/>
          <w:sz w:val="20"/>
          <w:szCs w:val="20"/>
          <w:lang w:eastAsia="ja-JP"/>
        </w:rPr>
        <w:t>3. Is there a significant difference between public school teachers when grouped according to their demographic profile, utilizing a post hoc comparison?</w:t>
      </w:r>
    </w:p>
    <w:p w14:paraId="43C36A2A" w14:textId="77777777" w:rsidR="00056E03" w:rsidRPr="007E5C64" w:rsidRDefault="00056E03" w:rsidP="00056E03">
      <w:pPr>
        <w:rPr>
          <w:rFonts w:ascii="Arial" w:eastAsia="MS Mincho" w:hAnsi="Arial" w:cs="Arial"/>
          <w:sz w:val="20"/>
          <w:szCs w:val="20"/>
          <w:lang w:eastAsia="ja-JP"/>
        </w:rPr>
      </w:pPr>
    </w:p>
    <w:p w14:paraId="1D2E2819" w14:textId="77777777" w:rsidR="00531BB9" w:rsidRPr="007E5C64" w:rsidRDefault="00531BB9" w:rsidP="00531BB9">
      <w:pPr>
        <w:rPr>
          <w:rFonts w:ascii="Arial" w:hAnsi="Arial" w:cs="Arial"/>
          <w:sz w:val="20"/>
          <w:szCs w:val="20"/>
        </w:rPr>
      </w:pPr>
    </w:p>
    <w:p w14:paraId="012EB897" w14:textId="367C4A5B" w:rsidR="00717F2E" w:rsidRPr="007E5C64" w:rsidRDefault="00180859">
      <w:pPr>
        <w:pStyle w:val="AbstHead"/>
        <w:spacing w:after="0"/>
        <w:jc w:val="both"/>
        <w:rPr>
          <w:rFonts w:ascii="Arial" w:hAnsi="Arial" w:cs="Arial"/>
          <w:sz w:val="20"/>
        </w:rPr>
      </w:pPr>
      <w:r w:rsidRPr="007E5C64">
        <w:rPr>
          <w:rFonts w:ascii="Arial" w:hAnsi="Arial" w:cs="Arial"/>
          <w:sz w:val="20"/>
        </w:rPr>
        <w:t>2. methodology</w:t>
      </w:r>
    </w:p>
    <w:p w14:paraId="786C1FBD" w14:textId="77777777" w:rsidR="00717F2E" w:rsidRPr="007E5C64" w:rsidRDefault="00717F2E">
      <w:pPr>
        <w:pStyle w:val="Body"/>
        <w:spacing w:after="0"/>
        <w:rPr>
          <w:rFonts w:ascii="Arial" w:hAnsi="Arial" w:cs="Arial"/>
        </w:rPr>
      </w:pPr>
    </w:p>
    <w:p w14:paraId="670AA047" w14:textId="77777777" w:rsidR="00717F2E" w:rsidRPr="007E5C64" w:rsidRDefault="00180859">
      <w:pPr>
        <w:rPr>
          <w:rFonts w:ascii="Arial" w:hAnsi="Arial" w:cs="Arial"/>
          <w:b/>
          <w:bCs/>
          <w:sz w:val="20"/>
          <w:szCs w:val="20"/>
        </w:rPr>
      </w:pPr>
      <w:r w:rsidRPr="007E5C64">
        <w:rPr>
          <w:rFonts w:ascii="Arial" w:hAnsi="Arial" w:cs="Arial"/>
          <w:b/>
          <w:bCs/>
          <w:sz w:val="20"/>
          <w:szCs w:val="20"/>
        </w:rPr>
        <w:t>2.1 Research Design</w:t>
      </w:r>
    </w:p>
    <w:p w14:paraId="1DB3AA86" w14:textId="77777777" w:rsidR="00717F2E" w:rsidRPr="007E5C64" w:rsidRDefault="00717F2E">
      <w:pPr>
        <w:rPr>
          <w:rFonts w:ascii="Arial" w:hAnsi="Arial" w:cs="Arial"/>
          <w:b/>
          <w:bCs/>
          <w:sz w:val="20"/>
          <w:szCs w:val="20"/>
        </w:rPr>
      </w:pPr>
    </w:p>
    <w:p w14:paraId="61457A45" w14:textId="6A122191" w:rsidR="00DC038B" w:rsidRPr="00DC038B" w:rsidRDefault="004653A3" w:rsidP="00DC038B">
      <w:pPr>
        <w:jc w:val="both"/>
        <w:rPr>
          <w:rFonts w:ascii="Arial" w:hAnsi="Arial" w:cs="Arial"/>
          <w:sz w:val="20"/>
          <w:szCs w:val="20"/>
        </w:rPr>
      </w:pPr>
      <w:r w:rsidRPr="004653A3">
        <w:rPr>
          <w:rFonts w:ascii="Arial" w:hAnsi="Arial" w:cs="Arial"/>
          <w:sz w:val="20"/>
          <w:szCs w:val="20"/>
          <w:highlight w:val="yellow"/>
        </w:rPr>
        <w:t>The research design used in this study</w:t>
      </w:r>
      <w:r w:rsidRPr="004653A3">
        <w:rPr>
          <w:rFonts w:ascii="Arial" w:hAnsi="Arial" w:cs="Arial"/>
          <w:sz w:val="20"/>
          <w:szCs w:val="20"/>
        </w:rPr>
        <w:t xml:space="preserve"> </w:t>
      </w:r>
      <w:r w:rsidR="00DC038B" w:rsidRPr="00DC038B">
        <w:rPr>
          <w:rFonts w:ascii="Arial" w:hAnsi="Arial" w:cs="Arial"/>
          <w:sz w:val="20"/>
          <w:szCs w:val="20"/>
        </w:rPr>
        <w:t xml:space="preserve">was a quantitative research method using a descriptive-comparative design in which the data and findings were interpreted statistically. According to </w:t>
      </w:r>
      <w:r w:rsidR="00BC57E8" w:rsidRPr="00BC57E8">
        <w:rPr>
          <w:rFonts w:ascii="Arial" w:hAnsi="Arial" w:cs="Arial"/>
          <w:sz w:val="20"/>
          <w:szCs w:val="20"/>
        </w:rPr>
        <w:t>Farsi</w:t>
      </w:r>
      <w:r w:rsidR="00BC57E8">
        <w:rPr>
          <w:rFonts w:ascii="Arial" w:hAnsi="Arial" w:cs="Arial"/>
          <w:sz w:val="20"/>
          <w:szCs w:val="20"/>
        </w:rPr>
        <w:t xml:space="preserve"> et al. (2022</w:t>
      </w:r>
      <w:r w:rsidR="00DC038B" w:rsidRPr="00DC038B">
        <w:rPr>
          <w:rFonts w:ascii="Arial" w:hAnsi="Arial" w:cs="Arial"/>
          <w:sz w:val="20"/>
          <w:szCs w:val="20"/>
        </w:rPr>
        <w:t>), research was valid when a conclusion was accurate or true, and the research design was the conceptual blueprint within which research was conducted. When designing research, it was necessary to recognize the type of evidence required to answer the research question reasonably. Descriptive-comparative research studies attempt to determine, clarify, or describe. Additionally, the researcher used a descriptive-comparative, non-experimental research strategy to appropriately address the study objectives.</w:t>
      </w:r>
    </w:p>
    <w:p w14:paraId="7951F6CD" w14:textId="77777777" w:rsidR="00074927" w:rsidRDefault="00074927">
      <w:pPr>
        <w:rPr>
          <w:rFonts w:ascii="Arial" w:hAnsi="Arial" w:cs="Arial"/>
          <w:b/>
          <w:bCs/>
          <w:sz w:val="20"/>
          <w:szCs w:val="20"/>
        </w:rPr>
      </w:pPr>
    </w:p>
    <w:p w14:paraId="318F0781" w14:textId="6C259855" w:rsidR="00717F2E" w:rsidRPr="007E5C64" w:rsidRDefault="00180859">
      <w:pPr>
        <w:rPr>
          <w:rFonts w:ascii="Arial" w:hAnsi="Arial" w:cs="Arial"/>
          <w:b/>
          <w:bCs/>
          <w:sz w:val="20"/>
          <w:szCs w:val="20"/>
        </w:rPr>
      </w:pPr>
      <w:r w:rsidRPr="007E5C64">
        <w:rPr>
          <w:rFonts w:ascii="Arial" w:hAnsi="Arial" w:cs="Arial"/>
          <w:b/>
          <w:bCs/>
          <w:sz w:val="20"/>
          <w:szCs w:val="20"/>
        </w:rPr>
        <w:t>2.2 Research Respondents</w:t>
      </w:r>
    </w:p>
    <w:p w14:paraId="56FDFA7F" w14:textId="77777777" w:rsidR="00D453B9" w:rsidRPr="007E5C64" w:rsidRDefault="00D453B9">
      <w:pPr>
        <w:rPr>
          <w:rFonts w:ascii="Arial" w:hAnsi="Arial" w:cs="Arial"/>
          <w:b/>
          <w:bCs/>
          <w:sz w:val="20"/>
          <w:szCs w:val="20"/>
        </w:rPr>
      </w:pPr>
    </w:p>
    <w:p w14:paraId="62F786E4" w14:textId="1D31E40F" w:rsidR="00074927" w:rsidRPr="00074927" w:rsidRDefault="00D246A5" w:rsidP="00D246A5">
      <w:pPr>
        <w:jc w:val="both"/>
        <w:rPr>
          <w:rFonts w:ascii="Arial" w:hAnsi="Arial" w:cs="Arial"/>
          <w:sz w:val="20"/>
          <w:szCs w:val="20"/>
        </w:rPr>
      </w:pPr>
      <w:r w:rsidRPr="00D246A5">
        <w:rPr>
          <w:rFonts w:ascii="Arial" w:hAnsi="Arial" w:cs="Arial"/>
          <w:sz w:val="20"/>
          <w:szCs w:val="20"/>
        </w:rPr>
        <w:t xml:space="preserve">The respondents of the study were the selected teachers in the different public elementary schools in </w:t>
      </w:r>
      <w:proofErr w:type="spellStart"/>
      <w:r w:rsidRPr="00D246A5">
        <w:rPr>
          <w:rFonts w:ascii="Arial" w:hAnsi="Arial" w:cs="Arial"/>
          <w:sz w:val="20"/>
          <w:szCs w:val="20"/>
        </w:rPr>
        <w:t>Manay</w:t>
      </w:r>
      <w:proofErr w:type="spellEnd"/>
      <w:r w:rsidRPr="00D246A5">
        <w:rPr>
          <w:rFonts w:ascii="Arial" w:hAnsi="Arial" w:cs="Arial"/>
          <w:sz w:val="20"/>
          <w:szCs w:val="20"/>
        </w:rPr>
        <w:t xml:space="preserve"> District, Division of Davao Oriental. Universal sampling was used to select</w:t>
      </w:r>
      <w:r w:rsidR="00DF44C1">
        <w:rPr>
          <w:rFonts w:ascii="Arial" w:hAnsi="Arial" w:cs="Arial"/>
          <w:sz w:val="20"/>
          <w:szCs w:val="20"/>
        </w:rPr>
        <w:t xml:space="preserve"> the respondents. There were 215</w:t>
      </w:r>
      <w:r w:rsidRPr="00D246A5">
        <w:rPr>
          <w:rFonts w:ascii="Arial" w:hAnsi="Arial" w:cs="Arial"/>
          <w:sz w:val="20"/>
          <w:szCs w:val="20"/>
        </w:rPr>
        <w:t xml:space="preserve"> respondents </w:t>
      </w:r>
      <w:r w:rsidR="005C5498">
        <w:rPr>
          <w:rFonts w:ascii="Arial" w:hAnsi="Arial" w:cs="Arial"/>
          <w:sz w:val="20"/>
          <w:szCs w:val="20"/>
        </w:rPr>
        <w:t>in this study.</w:t>
      </w:r>
      <w:r w:rsidRPr="00D246A5">
        <w:rPr>
          <w:rFonts w:ascii="Arial" w:hAnsi="Arial" w:cs="Arial"/>
          <w:sz w:val="20"/>
          <w:szCs w:val="20"/>
        </w:rPr>
        <w:t xml:space="preserve"> The teachers served at least three years in public schools. This study was conducted from the school year 2024 to 2025.  The researcher employed a stratified random sampling technique for this study, which involves choosing a sample based on population characteristics and study objectives (</w:t>
      </w:r>
      <w:r w:rsidR="00E846D3" w:rsidRPr="00E846D3">
        <w:rPr>
          <w:rFonts w:ascii="Arial" w:hAnsi="Arial" w:cs="Arial"/>
          <w:sz w:val="20"/>
          <w:szCs w:val="20"/>
        </w:rPr>
        <w:t>Howel</w:t>
      </w:r>
      <w:r w:rsidR="00E846D3">
        <w:rPr>
          <w:rFonts w:ascii="Arial" w:hAnsi="Arial" w:cs="Arial"/>
          <w:sz w:val="20"/>
          <w:szCs w:val="20"/>
        </w:rPr>
        <w:t>l et al.</w:t>
      </w:r>
      <w:r w:rsidRPr="00D246A5">
        <w:rPr>
          <w:rFonts w:ascii="Arial" w:hAnsi="Arial" w:cs="Arial"/>
          <w:sz w:val="20"/>
          <w:szCs w:val="20"/>
        </w:rPr>
        <w:t xml:space="preserve">, 2020). This type of sampling can be particularly beneficial when there is a need to reach a proportional sample quickly. The public school teachers were the targeted respondents for the </w:t>
      </w:r>
      <w:r w:rsidRPr="00D246A5">
        <w:rPr>
          <w:rFonts w:ascii="Arial" w:hAnsi="Arial" w:cs="Arial"/>
          <w:sz w:val="20"/>
          <w:szCs w:val="20"/>
        </w:rPr>
        <w:lastRenderedPageBreak/>
        <w:t>researchers, so the researcher had established criteria for selecting that only teachers from public schools to be surveyed. The researcher was confident that by establishing criteria, the research objectives were most effectively achieved.</w:t>
      </w:r>
    </w:p>
    <w:p w14:paraId="3FACA4E2" w14:textId="77777777" w:rsidR="000D23E6" w:rsidRPr="007E5C64" w:rsidRDefault="000D23E6">
      <w:pPr>
        <w:rPr>
          <w:rFonts w:ascii="Arial" w:hAnsi="Arial" w:cs="Arial"/>
          <w:sz w:val="20"/>
          <w:szCs w:val="20"/>
        </w:rPr>
      </w:pPr>
    </w:p>
    <w:p w14:paraId="6BE2C45C" w14:textId="112B9625" w:rsidR="00717F2E" w:rsidRPr="007E5C64" w:rsidRDefault="00180859">
      <w:pPr>
        <w:rPr>
          <w:rFonts w:ascii="Arial" w:hAnsi="Arial" w:cs="Arial"/>
          <w:b/>
          <w:bCs/>
          <w:sz w:val="20"/>
          <w:szCs w:val="20"/>
        </w:rPr>
      </w:pPr>
      <w:r w:rsidRPr="007E5C64">
        <w:rPr>
          <w:rFonts w:ascii="Arial" w:hAnsi="Arial" w:cs="Arial"/>
          <w:b/>
          <w:bCs/>
          <w:sz w:val="20"/>
          <w:szCs w:val="20"/>
        </w:rPr>
        <w:t>2.3 Research Instrument</w:t>
      </w:r>
    </w:p>
    <w:p w14:paraId="7593DDB4" w14:textId="77777777" w:rsidR="00717F2E" w:rsidRPr="007E5C64" w:rsidRDefault="00717F2E" w:rsidP="00764E58">
      <w:pPr>
        <w:jc w:val="both"/>
        <w:rPr>
          <w:rFonts w:ascii="Arial" w:hAnsi="Arial" w:cs="Arial"/>
          <w:b/>
          <w:bCs/>
          <w:sz w:val="20"/>
          <w:szCs w:val="20"/>
        </w:rPr>
      </w:pPr>
    </w:p>
    <w:p w14:paraId="085EED8C" w14:textId="77777777" w:rsidR="00D246A5" w:rsidRPr="00D246A5" w:rsidRDefault="00D246A5" w:rsidP="00D246A5">
      <w:pPr>
        <w:jc w:val="both"/>
        <w:rPr>
          <w:rFonts w:ascii="Arial" w:hAnsi="Arial" w:cs="Arial"/>
          <w:sz w:val="20"/>
          <w:szCs w:val="20"/>
        </w:rPr>
      </w:pPr>
      <w:r w:rsidRPr="00D246A5">
        <w:rPr>
          <w:rFonts w:ascii="Arial" w:hAnsi="Arial" w:cs="Arial"/>
          <w:sz w:val="20"/>
          <w:szCs w:val="20"/>
        </w:rPr>
        <w:t xml:space="preserve">The primary data collection tool for this study consisted of researcher-made survey questionnaires designed to assess the level of disaster preparedness among public school teachers in </w:t>
      </w:r>
      <w:proofErr w:type="spellStart"/>
      <w:r w:rsidRPr="00D246A5">
        <w:rPr>
          <w:rFonts w:ascii="Arial" w:hAnsi="Arial" w:cs="Arial"/>
          <w:sz w:val="20"/>
          <w:szCs w:val="20"/>
        </w:rPr>
        <w:t>Manay</w:t>
      </w:r>
      <w:proofErr w:type="spellEnd"/>
      <w:r w:rsidRPr="00D246A5">
        <w:rPr>
          <w:rFonts w:ascii="Arial" w:hAnsi="Arial" w:cs="Arial"/>
          <w:sz w:val="20"/>
          <w:szCs w:val="20"/>
        </w:rPr>
        <w:t xml:space="preserve"> District, Division of Davao Oriental. The instruments were developed with reference to established theoretical frameworks, relevant scholarly literature, and previous research on disaster risk reduction, emergency response, and school safety protocols. The questionnaire included items related to preparedness knowledge, skills, response strategies, and perceived school readiness for disaster events.</w:t>
      </w:r>
    </w:p>
    <w:p w14:paraId="3CCBC218" w14:textId="77777777" w:rsidR="00D246A5" w:rsidRPr="00D246A5" w:rsidRDefault="00D246A5" w:rsidP="00D246A5">
      <w:pPr>
        <w:jc w:val="both"/>
        <w:rPr>
          <w:rFonts w:ascii="Arial" w:hAnsi="Arial" w:cs="Arial"/>
          <w:sz w:val="20"/>
          <w:szCs w:val="20"/>
        </w:rPr>
      </w:pPr>
    </w:p>
    <w:p w14:paraId="6FE1DFF5" w14:textId="77777777" w:rsidR="00D246A5" w:rsidRPr="00D246A5" w:rsidRDefault="00D246A5" w:rsidP="00D246A5">
      <w:pPr>
        <w:jc w:val="both"/>
        <w:rPr>
          <w:rFonts w:ascii="Arial" w:hAnsi="Arial" w:cs="Arial"/>
          <w:sz w:val="20"/>
          <w:szCs w:val="20"/>
        </w:rPr>
      </w:pPr>
      <w:r w:rsidRPr="00D246A5">
        <w:rPr>
          <w:rFonts w:ascii="Arial" w:hAnsi="Arial" w:cs="Arial"/>
          <w:sz w:val="20"/>
          <w:szCs w:val="20"/>
        </w:rPr>
        <w:t>To ensure the instrument's validity and alignment with the study’s objectives, it underwent face and content validation by a panel of experts in Disaster Risk Reduction and Management (DRRM), Educational Leadership, and Curriculum Studies. Revisions were made in accordance with the panel’s suggestions to enhance the instrument’s clarity, coherence, and content relevance.</w:t>
      </w:r>
    </w:p>
    <w:p w14:paraId="4759B556" w14:textId="77777777" w:rsidR="00D246A5" w:rsidRPr="00D246A5" w:rsidRDefault="00D246A5" w:rsidP="00D246A5">
      <w:pPr>
        <w:jc w:val="both"/>
        <w:rPr>
          <w:rFonts w:ascii="Arial" w:hAnsi="Arial" w:cs="Arial"/>
          <w:sz w:val="20"/>
          <w:szCs w:val="20"/>
        </w:rPr>
      </w:pPr>
    </w:p>
    <w:p w14:paraId="7EB24B42" w14:textId="2B7A8E00" w:rsidR="00764E58" w:rsidRDefault="00D246A5" w:rsidP="00D246A5">
      <w:pPr>
        <w:jc w:val="both"/>
        <w:rPr>
          <w:rFonts w:ascii="Arial" w:hAnsi="Arial" w:cs="Arial"/>
          <w:sz w:val="20"/>
          <w:szCs w:val="20"/>
        </w:rPr>
      </w:pPr>
      <w:r w:rsidRPr="00D246A5">
        <w:rPr>
          <w:rFonts w:ascii="Arial" w:hAnsi="Arial" w:cs="Arial"/>
          <w:sz w:val="20"/>
          <w:szCs w:val="20"/>
        </w:rPr>
        <w:t>To test the reliability of the instrument, a pilot study was conducted involving 30 public school teachers from a nearby district not included in the main study. The results yielded high internal consistency, with a Cronbach’s Alpha of 0.938 for the overall Disaster Preparedness scale, indicating strong reliability and suitability of the instrument for the main data collection.</w:t>
      </w:r>
    </w:p>
    <w:p w14:paraId="17A66008" w14:textId="77777777" w:rsidR="00D246A5" w:rsidRDefault="00D246A5" w:rsidP="00D246A5">
      <w:pPr>
        <w:jc w:val="both"/>
        <w:rPr>
          <w:rFonts w:ascii="Arial" w:hAnsi="Arial" w:cs="Arial"/>
          <w:sz w:val="20"/>
          <w:szCs w:val="20"/>
        </w:rPr>
      </w:pPr>
    </w:p>
    <w:p w14:paraId="27C6641A" w14:textId="130AEBBC" w:rsidR="005D71AE" w:rsidRPr="007E5C64" w:rsidRDefault="00180859" w:rsidP="00764E58">
      <w:pPr>
        <w:jc w:val="both"/>
        <w:rPr>
          <w:rFonts w:ascii="Arial" w:hAnsi="Arial" w:cs="Arial"/>
          <w:b/>
          <w:bCs/>
          <w:sz w:val="20"/>
          <w:szCs w:val="20"/>
        </w:rPr>
      </w:pPr>
      <w:r w:rsidRPr="007E5C64">
        <w:rPr>
          <w:rFonts w:ascii="Arial" w:hAnsi="Arial" w:cs="Arial"/>
          <w:b/>
          <w:bCs/>
          <w:sz w:val="20"/>
          <w:szCs w:val="20"/>
        </w:rPr>
        <w:t>2.4 Data Gathering Procedure</w:t>
      </w:r>
    </w:p>
    <w:p w14:paraId="0409FDF5" w14:textId="77777777" w:rsidR="00CC5ECD" w:rsidRPr="007E5C64" w:rsidRDefault="00CC5ECD" w:rsidP="005D71AE">
      <w:pPr>
        <w:rPr>
          <w:rFonts w:ascii="Arial" w:hAnsi="Arial" w:cs="Arial"/>
          <w:b/>
          <w:bCs/>
          <w:sz w:val="20"/>
          <w:szCs w:val="20"/>
        </w:rPr>
      </w:pPr>
    </w:p>
    <w:p w14:paraId="0F467667" w14:textId="219C1FEB" w:rsidR="00D246A5" w:rsidRPr="00D246A5" w:rsidRDefault="00D246A5" w:rsidP="00D246A5">
      <w:pPr>
        <w:pStyle w:val="Heading1"/>
        <w:jc w:val="both"/>
        <w:rPr>
          <w:rFonts w:cs="Arial"/>
          <w:b w:val="0"/>
          <w:kern w:val="0"/>
          <w:sz w:val="20"/>
        </w:rPr>
      </w:pPr>
      <w:r w:rsidRPr="00D246A5">
        <w:rPr>
          <w:rFonts w:cs="Arial"/>
          <w:b w:val="0"/>
          <w:kern w:val="0"/>
          <w:sz w:val="20"/>
        </w:rPr>
        <w:t xml:space="preserve">Data collection for this study followed a systematic and ethically sound procedure. The researcher first obtained an endorsement from the Dean of the Graduate School and secured ethical clearance from the institution’s Ethics Review Committee. A formal request was then submitted to the Office of the Schools Division Superintendent of the Division of Davao Oriental. Upon approval, an endorsement letter was issued to the School Heads of the public schools in </w:t>
      </w:r>
      <w:proofErr w:type="spellStart"/>
      <w:r w:rsidRPr="00D246A5">
        <w:rPr>
          <w:rFonts w:cs="Arial"/>
          <w:b w:val="0"/>
          <w:kern w:val="0"/>
          <w:sz w:val="20"/>
        </w:rPr>
        <w:t>Manay</w:t>
      </w:r>
      <w:proofErr w:type="spellEnd"/>
      <w:r w:rsidRPr="00D246A5">
        <w:rPr>
          <w:rFonts w:cs="Arial"/>
          <w:b w:val="0"/>
          <w:kern w:val="0"/>
          <w:sz w:val="20"/>
        </w:rPr>
        <w:t xml:space="preserve"> District to authorize the conduct of the research.</w:t>
      </w:r>
    </w:p>
    <w:p w14:paraId="2FCCF864" w14:textId="29E6431E" w:rsidR="00D246A5" w:rsidRPr="00D246A5" w:rsidRDefault="00D246A5" w:rsidP="00D246A5">
      <w:pPr>
        <w:pStyle w:val="Heading1"/>
        <w:jc w:val="both"/>
        <w:rPr>
          <w:rFonts w:cs="Arial"/>
          <w:b w:val="0"/>
          <w:kern w:val="0"/>
          <w:sz w:val="20"/>
        </w:rPr>
      </w:pPr>
      <w:r w:rsidRPr="00D246A5">
        <w:rPr>
          <w:rFonts w:cs="Arial"/>
          <w:b w:val="0"/>
          <w:kern w:val="0"/>
          <w:sz w:val="20"/>
        </w:rPr>
        <w:t>To ensure the reliability and clarity of the research instruments, a pilot test was conducted involving teachers from a neighboring district not included in the main study. Based on the pilot test results, necessary revisions were made to improve the final version of the survey questionnaires that assessed disaster preparedness among teachers.</w:t>
      </w:r>
    </w:p>
    <w:p w14:paraId="6561D2D1" w14:textId="77777777" w:rsidR="00D246A5" w:rsidRPr="00D246A5" w:rsidRDefault="00D246A5" w:rsidP="00D246A5">
      <w:pPr>
        <w:pStyle w:val="Heading1"/>
        <w:jc w:val="both"/>
        <w:rPr>
          <w:rFonts w:cs="Arial"/>
          <w:b w:val="0"/>
          <w:kern w:val="0"/>
          <w:sz w:val="20"/>
        </w:rPr>
      </w:pPr>
      <w:r w:rsidRPr="00D246A5">
        <w:rPr>
          <w:rFonts w:cs="Arial"/>
          <w:b w:val="0"/>
          <w:kern w:val="0"/>
          <w:sz w:val="20"/>
        </w:rPr>
        <w:t xml:space="preserve">The finalized instruments were then administered to 143 public school teacher-respondents in </w:t>
      </w:r>
      <w:proofErr w:type="spellStart"/>
      <w:r w:rsidRPr="00D246A5">
        <w:rPr>
          <w:rFonts w:cs="Arial"/>
          <w:b w:val="0"/>
          <w:kern w:val="0"/>
          <w:sz w:val="20"/>
        </w:rPr>
        <w:t>Manay</w:t>
      </w:r>
      <w:proofErr w:type="spellEnd"/>
      <w:r w:rsidRPr="00D246A5">
        <w:rPr>
          <w:rFonts w:cs="Arial"/>
          <w:b w:val="0"/>
          <w:kern w:val="0"/>
          <w:sz w:val="20"/>
        </w:rPr>
        <w:t xml:space="preserve"> District using a universal sampling approach. Each respondent was oriented on the objectives of the study and provided with clear instructions for accurately completing the questionnaire. The completed surveys were personally retrieved by the researcher and </w:t>
      </w:r>
      <w:r w:rsidRPr="00D246A5">
        <w:rPr>
          <w:rFonts w:cs="Arial"/>
          <w:b w:val="0"/>
          <w:kern w:val="0"/>
          <w:sz w:val="20"/>
        </w:rPr>
        <w:lastRenderedPageBreak/>
        <w:t>subsequently submitted to a professional statistician for encoding, tabulation, and statistical analysis.</w:t>
      </w:r>
    </w:p>
    <w:p w14:paraId="1C13872C" w14:textId="58836C23" w:rsidR="00717F2E" w:rsidRPr="007E5C64" w:rsidRDefault="00180859" w:rsidP="0064327B">
      <w:pPr>
        <w:pStyle w:val="Heading1"/>
        <w:rPr>
          <w:rFonts w:cs="Arial"/>
          <w:sz w:val="20"/>
        </w:rPr>
      </w:pPr>
      <w:r w:rsidRPr="007E5C64">
        <w:rPr>
          <w:rFonts w:cs="Arial"/>
          <w:sz w:val="20"/>
        </w:rPr>
        <w:t>2.5 Data Analysis</w:t>
      </w:r>
    </w:p>
    <w:p w14:paraId="3CB0DE7E" w14:textId="77777777" w:rsidR="005D71AE" w:rsidRPr="007E5C64" w:rsidRDefault="005D71AE" w:rsidP="00304469">
      <w:pPr>
        <w:pStyle w:val="Head1"/>
        <w:jc w:val="both"/>
        <w:rPr>
          <w:rFonts w:ascii="Arial" w:hAnsi="Arial" w:cs="Arial"/>
          <w:b w:val="0"/>
          <w:caps w:val="0"/>
          <w:sz w:val="20"/>
        </w:rPr>
      </w:pPr>
    </w:p>
    <w:p w14:paraId="51DBEB58" w14:textId="77777777" w:rsidR="00F06947" w:rsidRPr="00F06947" w:rsidRDefault="00F06947" w:rsidP="00F06947">
      <w:pPr>
        <w:pStyle w:val="Head1"/>
        <w:jc w:val="both"/>
        <w:rPr>
          <w:rFonts w:ascii="Arial" w:hAnsi="Arial" w:cs="Arial"/>
          <w:b w:val="0"/>
          <w:caps w:val="0"/>
          <w:sz w:val="20"/>
        </w:rPr>
      </w:pPr>
      <w:r w:rsidRPr="00F06947">
        <w:rPr>
          <w:rFonts w:ascii="Arial" w:hAnsi="Arial" w:cs="Arial"/>
          <w:b w:val="0"/>
          <w:caps w:val="0"/>
          <w:sz w:val="20"/>
        </w:rPr>
        <w:t>The statistical tools mentioned below are the essential tools that the researcher used to analyze and interpret the results of the data gathered for this study:</w:t>
      </w:r>
    </w:p>
    <w:p w14:paraId="7CE07AA3" w14:textId="77777777" w:rsidR="00F06947" w:rsidRPr="00F06947" w:rsidRDefault="00F06947" w:rsidP="00F06947">
      <w:pPr>
        <w:pStyle w:val="Head1"/>
        <w:jc w:val="both"/>
        <w:rPr>
          <w:rFonts w:ascii="Arial" w:hAnsi="Arial" w:cs="Arial"/>
          <w:b w:val="0"/>
          <w:caps w:val="0"/>
          <w:sz w:val="20"/>
        </w:rPr>
      </w:pPr>
      <w:r w:rsidRPr="00F06947">
        <w:rPr>
          <w:rFonts w:ascii="Arial" w:hAnsi="Arial" w:cs="Arial"/>
          <w:b w:val="0"/>
          <w:caps w:val="0"/>
          <w:sz w:val="20"/>
        </w:rPr>
        <w:t xml:space="preserve">Mean. This is a descriptive statistical tool that the researcher employed to determine the level of the variables being studied. </w:t>
      </w:r>
    </w:p>
    <w:p w14:paraId="4ACDC017" w14:textId="77777777" w:rsidR="00F06947" w:rsidRPr="00F06947" w:rsidRDefault="00F06947" w:rsidP="00F06947">
      <w:pPr>
        <w:pStyle w:val="Head1"/>
        <w:jc w:val="both"/>
        <w:rPr>
          <w:rFonts w:ascii="Arial" w:hAnsi="Arial" w:cs="Arial"/>
          <w:b w:val="0"/>
          <w:caps w:val="0"/>
          <w:sz w:val="20"/>
        </w:rPr>
      </w:pPr>
      <w:r w:rsidRPr="00F06947">
        <w:rPr>
          <w:rFonts w:ascii="Arial" w:hAnsi="Arial" w:cs="Arial"/>
          <w:b w:val="0"/>
          <w:caps w:val="0"/>
          <w:sz w:val="20"/>
        </w:rPr>
        <w:t xml:space="preserve">Comparing Means. A T-test for independent samples and ANOVA analysis were utilized in this study. This statistical tool is used to test whether there is a significant difference in the readiness among public school teachers when grouped according to sex, age, and number of years in teaching service. </w:t>
      </w:r>
    </w:p>
    <w:p w14:paraId="54D02440" w14:textId="3623A7EA" w:rsidR="00717F2E" w:rsidRPr="007E5C64" w:rsidRDefault="00180859" w:rsidP="00F06947">
      <w:pPr>
        <w:pStyle w:val="Head1"/>
        <w:spacing w:after="0"/>
        <w:jc w:val="both"/>
        <w:rPr>
          <w:rFonts w:ascii="Arial" w:hAnsi="Arial" w:cs="Arial"/>
          <w:sz w:val="20"/>
        </w:rPr>
      </w:pPr>
      <w:r w:rsidRPr="007E5C64">
        <w:rPr>
          <w:rFonts w:ascii="Arial" w:hAnsi="Arial" w:cs="Arial"/>
          <w:sz w:val="20"/>
        </w:rPr>
        <w:t>3. results and discussion</w:t>
      </w:r>
    </w:p>
    <w:p w14:paraId="500B7B33" w14:textId="77777777" w:rsidR="00717F2E" w:rsidRPr="007E5C64" w:rsidRDefault="00717F2E">
      <w:pPr>
        <w:rPr>
          <w:rFonts w:ascii="Arial" w:hAnsi="Arial" w:cs="Arial"/>
          <w:b/>
          <w:i/>
          <w:sz w:val="20"/>
          <w:szCs w:val="20"/>
        </w:rPr>
      </w:pPr>
    </w:p>
    <w:p w14:paraId="1DF55D87" w14:textId="02479693" w:rsidR="005D71AE" w:rsidRPr="007E5C64" w:rsidRDefault="00180859">
      <w:pPr>
        <w:suppressAutoHyphens/>
        <w:jc w:val="both"/>
        <w:rPr>
          <w:rFonts w:ascii="Arial" w:hAnsi="Arial" w:cs="Arial"/>
          <w:b/>
          <w:sz w:val="20"/>
          <w:szCs w:val="20"/>
        </w:rPr>
      </w:pPr>
      <w:r w:rsidRPr="007E5C64">
        <w:rPr>
          <w:rFonts w:ascii="Arial" w:hAnsi="Arial" w:cs="Arial"/>
          <w:b/>
          <w:sz w:val="20"/>
          <w:szCs w:val="20"/>
        </w:rPr>
        <w:t xml:space="preserve">3.1 </w:t>
      </w:r>
      <w:r w:rsidR="009B111C" w:rsidRPr="009B111C">
        <w:rPr>
          <w:rFonts w:ascii="Arial" w:hAnsi="Arial" w:cs="Arial"/>
          <w:b/>
          <w:sz w:val="20"/>
          <w:szCs w:val="20"/>
        </w:rPr>
        <w:t>Demographic Profile of the Respondents</w:t>
      </w:r>
    </w:p>
    <w:p w14:paraId="1B38FF68" w14:textId="77777777" w:rsidR="00EF4B2D" w:rsidRPr="007E5C64" w:rsidRDefault="00EF4B2D">
      <w:pPr>
        <w:suppressAutoHyphens/>
        <w:jc w:val="both"/>
        <w:rPr>
          <w:rFonts w:ascii="Arial" w:hAnsi="Arial" w:cs="Arial"/>
          <w:b/>
          <w:sz w:val="20"/>
          <w:szCs w:val="20"/>
        </w:rPr>
      </w:pPr>
    </w:p>
    <w:p w14:paraId="496DE70A" w14:textId="65066C9B" w:rsidR="002F5C4B" w:rsidRPr="007E5C64" w:rsidRDefault="00180859">
      <w:pPr>
        <w:suppressAutoHyphens/>
        <w:jc w:val="both"/>
        <w:rPr>
          <w:rFonts w:ascii="Arial" w:hAnsi="Arial" w:cs="Arial"/>
          <w:i/>
          <w:iCs/>
          <w:sz w:val="20"/>
          <w:szCs w:val="20"/>
        </w:rPr>
      </w:pPr>
      <w:r w:rsidRPr="007E5C64">
        <w:rPr>
          <w:rFonts w:ascii="Arial" w:hAnsi="Arial" w:cs="Arial"/>
          <w:iCs/>
          <w:sz w:val="20"/>
          <w:szCs w:val="20"/>
        </w:rPr>
        <w:t>Table 1</w:t>
      </w:r>
      <w:r w:rsidR="00CC5ECD" w:rsidRPr="007E5C64">
        <w:rPr>
          <w:rFonts w:ascii="Arial" w:hAnsi="Arial" w:cs="Arial"/>
          <w:iCs/>
          <w:sz w:val="20"/>
          <w:szCs w:val="20"/>
        </w:rPr>
        <w:t>.</w:t>
      </w:r>
      <w:r w:rsidR="00CC5ECD" w:rsidRPr="007E5C64">
        <w:rPr>
          <w:sz w:val="20"/>
          <w:szCs w:val="20"/>
        </w:rPr>
        <w:t xml:space="preserve"> </w:t>
      </w:r>
      <w:r w:rsidR="009B111C" w:rsidRPr="009B111C">
        <w:rPr>
          <w:rFonts w:ascii="Arial" w:hAnsi="Arial" w:cs="Arial"/>
          <w:i/>
          <w:iCs/>
          <w:sz w:val="20"/>
          <w:szCs w:val="20"/>
        </w:rPr>
        <w:t>Demographic Profile of the Respondents</w:t>
      </w:r>
    </w:p>
    <w:p w14:paraId="67CCBDF6" w14:textId="77777777" w:rsidR="00D21D9E" w:rsidRPr="007E5C64" w:rsidRDefault="00D21D9E">
      <w:pPr>
        <w:suppressAutoHyphens/>
        <w:jc w:val="both"/>
        <w:rPr>
          <w:rFonts w:ascii="Arial" w:hAnsi="Arial" w:cs="Arial"/>
          <w:i/>
          <w:sz w:val="20"/>
          <w:szCs w:val="20"/>
        </w:rPr>
      </w:pPr>
    </w:p>
    <w:tbl>
      <w:tblPr>
        <w:tblStyle w:val="Style22"/>
        <w:tblW w:w="8670" w:type="dxa"/>
        <w:jc w:val="center"/>
        <w:tblLayout w:type="fixed"/>
        <w:tblLook w:val="04A0" w:firstRow="1" w:lastRow="0" w:firstColumn="1" w:lastColumn="0" w:noHBand="0" w:noVBand="1"/>
      </w:tblPr>
      <w:tblGrid>
        <w:gridCol w:w="3967"/>
        <w:gridCol w:w="2282"/>
        <w:gridCol w:w="2421"/>
      </w:tblGrid>
      <w:tr w:rsidR="009B111C" w14:paraId="6D4DDC25" w14:textId="77777777" w:rsidTr="00526840">
        <w:trPr>
          <w:trHeight w:val="91"/>
          <w:jc w:val="center"/>
        </w:trPr>
        <w:tc>
          <w:tcPr>
            <w:tcW w:w="3967" w:type="dxa"/>
            <w:tcBorders>
              <w:top w:val="single" w:sz="4" w:space="0" w:color="auto"/>
              <w:bottom w:val="single" w:sz="4" w:space="0" w:color="auto"/>
            </w:tcBorders>
            <w:tcMar>
              <w:top w:w="0" w:type="dxa"/>
              <w:left w:w="108" w:type="dxa"/>
              <w:bottom w:w="0" w:type="dxa"/>
              <w:right w:w="108" w:type="dxa"/>
            </w:tcMar>
          </w:tcPr>
          <w:p w14:paraId="09B14C76" w14:textId="77777777" w:rsidR="009B111C" w:rsidRDefault="009B111C" w:rsidP="00526840">
            <w:pPr>
              <w:jc w:val="center"/>
              <w:rPr>
                <w:rFonts w:ascii="Arial" w:eastAsia="Arial" w:hAnsi="Arial" w:cs="Arial"/>
                <w:color w:val="000000" w:themeColor="text1"/>
                <w:lang w:eastAsia="en-PH"/>
              </w:rPr>
            </w:pPr>
            <w:r>
              <w:rPr>
                <w:rFonts w:ascii="Arial" w:eastAsia="Arial" w:hAnsi="Arial" w:cs="Arial"/>
                <w:color w:val="000000" w:themeColor="text1"/>
                <w:lang w:eastAsia="en-PH"/>
              </w:rPr>
              <w:t>Demographic Profile</w:t>
            </w:r>
          </w:p>
        </w:tc>
        <w:tc>
          <w:tcPr>
            <w:tcW w:w="2282" w:type="dxa"/>
            <w:tcBorders>
              <w:top w:val="single" w:sz="4" w:space="0" w:color="auto"/>
              <w:bottom w:val="single" w:sz="4" w:space="0" w:color="auto"/>
            </w:tcBorders>
            <w:tcMar>
              <w:top w:w="0" w:type="dxa"/>
              <w:left w:w="108" w:type="dxa"/>
              <w:bottom w:w="0" w:type="dxa"/>
              <w:right w:w="108" w:type="dxa"/>
            </w:tcMar>
          </w:tcPr>
          <w:p w14:paraId="71CEF4AD" w14:textId="77777777" w:rsidR="009B111C" w:rsidRDefault="009B111C" w:rsidP="00526840">
            <w:pPr>
              <w:jc w:val="center"/>
              <w:rPr>
                <w:rFonts w:ascii="Arial" w:eastAsia="Arial" w:hAnsi="Arial" w:cs="Arial"/>
                <w:color w:val="000000" w:themeColor="text1"/>
                <w:lang w:eastAsia="en-PH"/>
              </w:rPr>
            </w:pPr>
            <w:r>
              <w:rPr>
                <w:rFonts w:ascii="Arial" w:eastAsia="Arial" w:hAnsi="Arial" w:cs="Arial"/>
                <w:color w:val="000000" w:themeColor="text1"/>
                <w:lang w:eastAsia="en-PH"/>
              </w:rPr>
              <w:t>Frequency</w:t>
            </w:r>
          </w:p>
        </w:tc>
        <w:tc>
          <w:tcPr>
            <w:tcW w:w="2421" w:type="dxa"/>
            <w:tcBorders>
              <w:top w:val="single" w:sz="4" w:space="0" w:color="auto"/>
              <w:bottom w:val="single" w:sz="4" w:space="0" w:color="auto"/>
            </w:tcBorders>
            <w:tcMar>
              <w:top w:w="0" w:type="dxa"/>
              <w:left w:w="108" w:type="dxa"/>
              <w:bottom w:w="0" w:type="dxa"/>
              <w:right w:w="108" w:type="dxa"/>
            </w:tcMar>
          </w:tcPr>
          <w:p w14:paraId="2B8D7853" w14:textId="77777777" w:rsidR="009B111C" w:rsidRDefault="009B111C" w:rsidP="00526840">
            <w:pPr>
              <w:jc w:val="center"/>
              <w:rPr>
                <w:rFonts w:ascii="Arial" w:eastAsia="Arial" w:hAnsi="Arial" w:cs="Arial"/>
                <w:color w:val="000000" w:themeColor="text1"/>
                <w:lang w:eastAsia="en-PH"/>
              </w:rPr>
            </w:pPr>
            <w:r>
              <w:rPr>
                <w:rFonts w:ascii="Arial" w:eastAsia="Arial" w:hAnsi="Arial" w:cs="Arial"/>
                <w:color w:val="000000" w:themeColor="text1"/>
                <w:lang w:eastAsia="en-PH"/>
              </w:rPr>
              <w:t>Percentage</w:t>
            </w:r>
          </w:p>
        </w:tc>
      </w:tr>
      <w:tr w:rsidR="009B111C" w14:paraId="3C956249" w14:textId="77777777" w:rsidTr="00526840">
        <w:trPr>
          <w:trHeight w:val="290"/>
          <w:jc w:val="center"/>
        </w:trPr>
        <w:tc>
          <w:tcPr>
            <w:tcW w:w="3967" w:type="dxa"/>
            <w:tcBorders>
              <w:top w:val="single" w:sz="4" w:space="0" w:color="auto"/>
            </w:tcBorders>
            <w:tcMar>
              <w:top w:w="0" w:type="dxa"/>
              <w:left w:w="108" w:type="dxa"/>
              <w:bottom w:w="0" w:type="dxa"/>
              <w:right w:w="108" w:type="dxa"/>
            </w:tcMar>
          </w:tcPr>
          <w:p w14:paraId="5F036908" w14:textId="77777777" w:rsidR="009B111C" w:rsidRDefault="009B111C" w:rsidP="00526840">
            <w:pPr>
              <w:rPr>
                <w:rFonts w:ascii="Arial" w:eastAsia="Arial" w:hAnsi="Arial" w:cs="Arial"/>
                <w:b/>
                <w:bCs/>
                <w:color w:val="000000" w:themeColor="text1"/>
                <w:lang w:eastAsia="en-PH"/>
              </w:rPr>
            </w:pPr>
            <w:r>
              <w:rPr>
                <w:rFonts w:ascii="Arial" w:eastAsia="Arial" w:hAnsi="Arial" w:cs="Arial"/>
                <w:b/>
                <w:bCs/>
                <w:color w:val="000000" w:themeColor="text1"/>
                <w:lang w:eastAsia="en-PH"/>
              </w:rPr>
              <w:t>Sex</w:t>
            </w:r>
          </w:p>
        </w:tc>
        <w:tc>
          <w:tcPr>
            <w:tcW w:w="2282" w:type="dxa"/>
            <w:tcBorders>
              <w:top w:val="single" w:sz="4" w:space="0" w:color="auto"/>
            </w:tcBorders>
            <w:tcMar>
              <w:top w:w="0" w:type="dxa"/>
              <w:left w:w="108" w:type="dxa"/>
              <w:bottom w:w="0" w:type="dxa"/>
              <w:right w:w="108" w:type="dxa"/>
            </w:tcMar>
          </w:tcPr>
          <w:p w14:paraId="20E13FD6" w14:textId="77777777" w:rsidR="009B111C" w:rsidRDefault="009B111C" w:rsidP="00526840">
            <w:pPr>
              <w:jc w:val="center"/>
              <w:rPr>
                <w:rFonts w:ascii="Arial" w:eastAsia="Arial" w:hAnsi="Arial" w:cs="Arial"/>
                <w:color w:val="000000" w:themeColor="text1"/>
                <w:lang w:eastAsia="en-PH"/>
              </w:rPr>
            </w:pPr>
          </w:p>
        </w:tc>
        <w:tc>
          <w:tcPr>
            <w:tcW w:w="2421" w:type="dxa"/>
            <w:tcBorders>
              <w:top w:val="single" w:sz="4" w:space="0" w:color="auto"/>
            </w:tcBorders>
            <w:tcMar>
              <w:top w:w="0" w:type="dxa"/>
              <w:left w:w="108" w:type="dxa"/>
              <w:bottom w:w="0" w:type="dxa"/>
              <w:right w:w="108" w:type="dxa"/>
            </w:tcMar>
          </w:tcPr>
          <w:p w14:paraId="7C5AA5BE" w14:textId="77777777" w:rsidR="009B111C" w:rsidRDefault="009B111C" w:rsidP="00526840">
            <w:pPr>
              <w:jc w:val="center"/>
              <w:rPr>
                <w:rFonts w:ascii="Arial" w:eastAsia="Arial" w:hAnsi="Arial" w:cs="Arial"/>
                <w:color w:val="000000" w:themeColor="text1"/>
                <w:lang w:eastAsia="en-PH"/>
              </w:rPr>
            </w:pPr>
          </w:p>
        </w:tc>
      </w:tr>
      <w:tr w:rsidR="009B111C" w14:paraId="4D008137" w14:textId="77777777" w:rsidTr="00526840">
        <w:trPr>
          <w:trHeight w:val="284"/>
          <w:jc w:val="center"/>
        </w:trPr>
        <w:tc>
          <w:tcPr>
            <w:tcW w:w="3967" w:type="dxa"/>
            <w:tcMar>
              <w:top w:w="0" w:type="dxa"/>
              <w:left w:w="108" w:type="dxa"/>
              <w:bottom w:w="0" w:type="dxa"/>
              <w:right w:w="108" w:type="dxa"/>
            </w:tcMar>
          </w:tcPr>
          <w:p w14:paraId="49E85286" w14:textId="77777777" w:rsidR="009B111C" w:rsidRDefault="009B111C" w:rsidP="00526840">
            <w:pPr>
              <w:ind w:left="720"/>
              <w:rPr>
                <w:rFonts w:ascii="Arial" w:eastAsia="Arial" w:hAnsi="Arial" w:cs="Arial"/>
                <w:color w:val="000000" w:themeColor="text1"/>
                <w:lang w:eastAsia="en-PH"/>
              </w:rPr>
            </w:pPr>
            <w:r>
              <w:rPr>
                <w:rFonts w:ascii="Arial" w:eastAsia="Arial" w:hAnsi="Arial" w:cs="Arial"/>
                <w:color w:val="000000" w:themeColor="text1"/>
                <w:lang w:eastAsia="en-PH"/>
              </w:rPr>
              <w:t>Male</w:t>
            </w:r>
          </w:p>
        </w:tc>
        <w:tc>
          <w:tcPr>
            <w:tcW w:w="2282" w:type="dxa"/>
            <w:tcMar>
              <w:top w:w="0" w:type="dxa"/>
              <w:left w:w="108" w:type="dxa"/>
              <w:bottom w:w="0" w:type="dxa"/>
              <w:right w:w="108" w:type="dxa"/>
            </w:tcMar>
          </w:tcPr>
          <w:p w14:paraId="70B2CDDF" w14:textId="77777777" w:rsidR="009B111C" w:rsidRDefault="009B111C" w:rsidP="00526840">
            <w:pPr>
              <w:jc w:val="center"/>
              <w:rPr>
                <w:rFonts w:ascii="Arial" w:eastAsia="Calibri" w:hAnsi="Arial" w:cs="Arial"/>
                <w:color w:val="000000" w:themeColor="text1"/>
                <w:lang w:eastAsia="en-PH"/>
              </w:rPr>
            </w:pPr>
            <w:r>
              <w:rPr>
                <w:rFonts w:ascii="Arial" w:hAnsi="Arial" w:cs="Arial"/>
                <w:color w:val="000000" w:themeColor="text1"/>
                <w:lang w:eastAsia="en-PH"/>
              </w:rPr>
              <w:t>105</w:t>
            </w:r>
          </w:p>
        </w:tc>
        <w:tc>
          <w:tcPr>
            <w:tcW w:w="2421" w:type="dxa"/>
            <w:tcMar>
              <w:top w:w="0" w:type="dxa"/>
              <w:left w:w="108" w:type="dxa"/>
              <w:bottom w:w="0" w:type="dxa"/>
              <w:right w:w="108" w:type="dxa"/>
            </w:tcMar>
          </w:tcPr>
          <w:p w14:paraId="1690D322" w14:textId="3B4EF803" w:rsidR="009B111C" w:rsidRPr="006C6D27" w:rsidRDefault="006C6D27" w:rsidP="00526840">
            <w:pPr>
              <w:jc w:val="center"/>
              <w:rPr>
                <w:rFonts w:ascii="Arial" w:eastAsia="SimSun" w:hAnsi="Arial" w:cs="Arial"/>
                <w:color w:val="000000" w:themeColor="text1"/>
                <w:highlight w:val="yellow"/>
                <w:lang w:eastAsia="en-PH"/>
              </w:rPr>
            </w:pPr>
            <w:r w:rsidRPr="006C6D27">
              <w:rPr>
                <w:rFonts w:ascii="Arial" w:hAnsi="Arial" w:cs="Arial"/>
                <w:color w:val="000000" w:themeColor="text1"/>
                <w:highlight w:val="yellow"/>
                <w:lang w:eastAsia="en-PH"/>
              </w:rPr>
              <w:t>41.83</w:t>
            </w:r>
          </w:p>
        </w:tc>
      </w:tr>
      <w:tr w:rsidR="009B111C" w14:paraId="4906E09F" w14:textId="77777777" w:rsidTr="00526840">
        <w:trPr>
          <w:trHeight w:val="284"/>
          <w:jc w:val="center"/>
        </w:trPr>
        <w:tc>
          <w:tcPr>
            <w:tcW w:w="3967" w:type="dxa"/>
            <w:tcMar>
              <w:top w:w="0" w:type="dxa"/>
              <w:left w:w="108" w:type="dxa"/>
              <w:bottom w:w="0" w:type="dxa"/>
              <w:right w:w="108" w:type="dxa"/>
            </w:tcMar>
          </w:tcPr>
          <w:p w14:paraId="2769E7DC" w14:textId="77777777" w:rsidR="009B111C" w:rsidRDefault="009B111C" w:rsidP="00526840">
            <w:pPr>
              <w:ind w:left="720"/>
              <w:rPr>
                <w:rFonts w:ascii="Arial" w:eastAsia="Arial" w:hAnsi="Arial" w:cs="Arial"/>
                <w:color w:val="000000" w:themeColor="text1"/>
                <w:lang w:eastAsia="en-PH"/>
              </w:rPr>
            </w:pPr>
            <w:r>
              <w:rPr>
                <w:rFonts w:ascii="Arial" w:eastAsia="Arial" w:hAnsi="Arial" w:cs="Arial"/>
                <w:color w:val="000000" w:themeColor="text1"/>
                <w:lang w:eastAsia="en-PH"/>
              </w:rPr>
              <w:t>Female</w:t>
            </w:r>
          </w:p>
        </w:tc>
        <w:tc>
          <w:tcPr>
            <w:tcW w:w="2282" w:type="dxa"/>
            <w:tcMar>
              <w:top w:w="0" w:type="dxa"/>
              <w:left w:w="108" w:type="dxa"/>
              <w:bottom w:w="0" w:type="dxa"/>
              <w:right w:w="108" w:type="dxa"/>
            </w:tcMar>
          </w:tcPr>
          <w:p w14:paraId="24F0A456" w14:textId="77777777" w:rsidR="009B111C" w:rsidRDefault="009B111C" w:rsidP="00526840">
            <w:pPr>
              <w:jc w:val="center"/>
              <w:rPr>
                <w:rFonts w:ascii="Arial" w:eastAsia="SimSun" w:hAnsi="Arial" w:cs="Arial"/>
                <w:color w:val="000000" w:themeColor="text1"/>
                <w:lang w:eastAsia="en-PH"/>
              </w:rPr>
            </w:pPr>
            <w:r>
              <w:rPr>
                <w:rFonts w:ascii="Arial" w:hAnsi="Arial" w:cs="Arial"/>
                <w:color w:val="000000" w:themeColor="text1"/>
                <w:lang w:eastAsia="en-PH"/>
              </w:rPr>
              <w:t>146</w:t>
            </w:r>
          </w:p>
        </w:tc>
        <w:tc>
          <w:tcPr>
            <w:tcW w:w="2421" w:type="dxa"/>
            <w:tcMar>
              <w:top w:w="0" w:type="dxa"/>
              <w:left w:w="108" w:type="dxa"/>
              <w:bottom w:w="0" w:type="dxa"/>
              <w:right w:w="108" w:type="dxa"/>
            </w:tcMar>
          </w:tcPr>
          <w:p w14:paraId="3EDD40AC" w14:textId="425A0B1B" w:rsidR="009B111C" w:rsidRPr="006C6D27" w:rsidRDefault="006C6D27" w:rsidP="006C6D27">
            <w:pPr>
              <w:jc w:val="center"/>
              <w:rPr>
                <w:rFonts w:ascii="Arial" w:eastAsia="Calibri" w:hAnsi="Arial" w:cs="Arial"/>
                <w:color w:val="000000" w:themeColor="text1"/>
                <w:highlight w:val="yellow"/>
                <w:lang w:eastAsia="en-PH"/>
              </w:rPr>
            </w:pPr>
            <w:r w:rsidRPr="006C6D27">
              <w:rPr>
                <w:rFonts w:ascii="Arial" w:hAnsi="Arial" w:cs="Arial"/>
                <w:color w:val="000000" w:themeColor="text1"/>
                <w:highlight w:val="yellow"/>
                <w:lang w:eastAsia="en-PH"/>
              </w:rPr>
              <w:t>58.17</w:t>
            </w:r>
            <w:r w:rsidRPr="006C6D27">
              <w:rPr>
                <w:rFonts w:ascii="Arial" w:hAnsi="Arial" w:cs="Arial"/>
                <w:color w:val="000000" w:themeColor="text1"/>
                <w:highlight w:val="yellow"/>
                <w:lang w:eastAsia="en-PH"/>
              </w:rPr>
              <w:t xml:space="preserve"> </w:t>
            </w:r>
          </w:p>
        </w:tc>
      </w:tr>
      <w:tr w:rsidR="009B111C" w14:paraId="199634F0" w14:textId="77777777" w:rsidTr="00526840">
        <w:trPr>
          <w:trHeight w:val="387"/>
          <w:jc w:val="center"/>
        </w:trPr>
        <w:tc>
          <w:tcPr>
            <w:tcW w:w="3967" w:type="dxa"/>
            <w:tcMar>
              <w:top w:w="0" w:type="dxa"/>
              <w:left w:w="108" w:type="dxa"/>
              <w:bottom w:w="0" w:type="dxa"/>
              <w:right w:w="108" w:type="dxa"/>
            </w:tcMar>
          </w:tcPr>
          <w:p w14:paraId="27E4214F" w14:textId="77777777" w:rsidR="009B111C" w:rsidRDefault="009B111C" w:rsidP="00526840">
            <w:pPr>
              <w:rPr>
                <w:rFonts w:ascii="Arial" w:eastAsia="Arial" w:hAnsi="Arial" w:cs="Arial"/>
                <w:b/>
                <w:bCs/>
                <w:color w:val="000000" w:themeColor="text1"/>
                <w:lang w:eastAsia="en-PH"/>
              </w:rPr>
            </w:pPr>
            <w:r>
              <w:rPr>
                <w:rFonts w:ascii="Arial" w:eastAsia="Arial" w:hAnsi="Arial" w:cs="Arial"/>
                <w:b/>
                <w:bCs/>
                <w:color w:val="000000" w:themeColor="text1"/>
                <w:lang w:eastAsia="en-PH"/>
              </w:rPr>
              <w:t>Total</w:t>
            </w:r>
          </w:p>
        </w:tc>
        <w:tc>
          <w:tcPr>
            <w:tcW w:w="2282" w:type="dxa"/>
            <w:tcMar>
              <w:top w:w="0" w:type="dxa"/>
              <w:left w:w="108" w:type="dxa"/>
              <w:bottom w:w="0" w:type="dxa"/>
              <w:right w:w="108" w:type="dxa"/>
            </w:tcMar>
          </w:tcPr>
          <w:p w14:paraId="75DE9C9A" w14:textId="77777777" w:rsidR="009B111C" w:rsidRDefault="009B111C" w:rsidP="00526840">
            <w:pPr>
              <w:jc w:val="center"/>
              <w:rPr>
                <w:rFonts w:ascii="Arial" w:eastAsia="Calibri" w:hAnsi="Arial" w:cs="Arial"/>
                <w:b/>
                <w:bCs/>
                <w:color w:val="000000" w:themeColor="text1"/>
                <w:lang w:eastAsia="en-PH"/>
              </w:rPr>
            </w:pPr>
            <w:r>
              <w:rPr>
                <w:rFonts w:ascii="Arial" w:hAnsi="Arial" w:cs="Arial"/>
                <w:b/>
                <w:bCs/>
                <w:color w:val="000000" w:themeColor="text1"/>
                <w:lang w:eastAsia="en-PH"/>
              </w:rPr>
              <w:t>251</w:t>
            </w:r>
          </w:p>
        </w:tc>
        <w:tc>
          <w:tcPr>
            <w:tcW w:w="2421" w:type="dxa"/>
            <w:tcMar>
              <w:top w:w="0" w:type="dxa"/>
              <w:left w:w="108" w:type="dxa"/>
              <w:bottom w:w="0" w:type="dxa"/>
              <w:right w:w="108" w:type="dxa"/>
            </w:tcMar>
          </w:tcPr>
          <w:p w14:paraId="782AB607" w14:textId="77777777" w:rsidR="009B111C" w:rsidRDefault="009B111C" w:rsidP="00526840">
            <w:pPr>
              <w:jc w:val="center"/>
              <w:rPr>
                <w:rFonts w:ascii="Arial" w:eastAsia="Calibri" w:hAnsi="Arial" w:cs="Arial"/>
                <w:b/>
                <w:bCs/>
                <w:color w:val="000000" w:themeColor="text1"/>
                <w:lang w:eastAsia="en-PH"/>
              </w:rPr>
            </w:pPr>
            <w:r>
              <w:rPr>
                <w:rFonts w:ascii="Arial" w:hAnsi="Arial" w:cs="Arial"/>
                <w:b/>
                <w:bCs/>
                <w:color w:val="000000" w:themeColor="text1"/>
                <w:lang w:eastAsia="en-PH"/>
              </w:rPr>
              <w:t>100</w:t>
            </w:r>
          </w:p>
        </w:tc>
      </w:tr>
      <w:tr w:rsidR="009B111C" w14:paraId="173EC818" w14:textId="77777777" w:rsidTr="00526840">
        <w:trPr>
          <w:trHeight w:val="284"/>
          <w:jc w:val="center"/>
        </w:trPr>
        <w:tc>
          <w:tcPr>
            <w:tcW w:w="3967" w:type="dxa"/>
            <w:tcMar>
              <w:top w:w="0" w:type="dxa"/>
              <w:left w:w="108" w:type="dxa"/>
              <w:bottom w:w="0" w:type="dxa"/>
              <w:right w:w="108" w:type="dxa"/>
            </w:tcMar>
          </w:tcPr>
          <w:p w14:paraId="3279A18C" w14:textId="77777777" w:rsidR="009B111C" w:rsidRDefault="009B111C" w:rsidP="00526840">
            <w:pPr>
              <w:rPr>
                <w:rFonts w:ascii="Arial" w:eastAsia="Arial" w:hAnsi="Arial" w:cs="Arial"/>
                <w:b/>
                <w:bCs/>
                <w:color w:val="000000" w:themeColor="text1"/>
                <w:lang w:eastAsia="en-PH"/>
              </w:rPr>
            </w:pPr>
            <w:r>
              <w:rPr>
                <w:rFonts w:ascii="Arial" w:eastAsia="Arial" w:hAnsi="Arial" w:cs="Arial"/>
                <w:b/>
                <w:bCs/>
                <w:color w:val="000000" w:themeColor="text1"/>
                <w:lang w:eastAsia="en-PH"/>
              </w:rPr>
              <w:t>Age</w:t>
            </w:r>
          </w:p>
        </w:tc>
        <w:tc>
          <w:tcPr>
            <w:tcW w:w="2282" w:type="dxa"/>
            <w:tcMar>
              <w:top w:w="0" w:type="dxa"/>
              <w:left w:w="108" w:type="dxa"/>
              <w:bottom w:w="0" w:type="dxa"/>
              <w:right w:w="108" w:type="dxa"/>
            </w:tcMar>
          </w:tcPr>
          <w:p w14:paraId="7F3740D6" w14:textId="77777777" w:rsidR="009B111C" w:rsidRDefault="009B111C" w:rsidP="00526840">
            <w:pPr>
              <w:jc w:val="center"/>
              <w:rPr>
                <w:rFonts w:ascii="Arial" w:eastAsia="Arial" w:hAnsi="Arial" w:cs="Arial"/>
                <w:color w:val="000000" w:themeColor="text1"/>
                <w:lang w:eastAsia="en-PH"/>
              </w:rPr>
            </w:pPr>
          </w:p>
        </w:tc>
        <w:tc>
          <w:tcPr>
            <w:tcW w:w="2421" w:type="dxa"/>
            <w:tcMar>
              <w:top w:w="0" w:type="dxa"/>
              <w:left w:w="108" w:type="dxa"/>
              <w:bottom w:w="0" w:type="dxa"/>
              <w:right w:w="108" w:type="dxa"/>
            </w:tcMar>
          </w:tcPr>
          <w:p w14:paraId="05BF4ECD" w14:textId="77777777" w:rsidR="009B111C" w:rsidRDefault="009B111C" w:rsidP="00526840">
            <w:pPr>
              <w:jc w:val="center"/>
              <w:rPr>
                <w:rFonts w:ascii="Arial" w:eastAsia="Arial" w:hAnsi="Arial" w:cs="Arial"/>
                <w:color w:val="000000" w:themeColor="text1"/>
                <w:lang w:eastAsia="en-PH"/>
              </w:rPr>
            </w:pPr>
          </w:p>
        </w:tc>
      </w:tr>
      <w:tr w:rsidR="009B111C" w14:paraId="79FE6757" w14:textId="77777777" w:rsidTr="00526840">
        <w:trPr>
          <w:trHeight w:val="284"/>
          <w:jc w:val="center"/>
        </w:trPr>
        <w:tc>
          <w:tcPr>
            <w:tcW w:w="3967" w:type="dxa"/>
            <w:tcMar>
              <w:top w:w="0" w:type="dxa"/>
              <w:left w:w="108" w:type="dxa"/>
              <w:bottom w:w="0" w:type="dxa"/>
              <w:right w:w="108" w:type="dxa"/>
            </w:tcMar>
          </w:tcPr>
          <w:p w14:paraId="5E8F0E58" w14:textId="77777777" w:rsidR="009B111C" w:rsidRDefault="009B111C" w:rsidP="00526840">
            <w:pPr>
              <w:ind w:left="720"/>
              <w:rPr>
                <w:rFonts w:ascii="Arial" w:eastAsia="Arial" w:hAnsi="Arial" w:cs="Arial"/>
                <w:color w:val="000000" w:themeColor="text1"/>
                <w:lang w:eastAsia="en-PH"/>
              </w:rPr>
            </w:pPr>
            <w:r>
              <w:rPr>
                <w:rFonts w:ascii="Arial" w:eastAsia="Arial" w:hAnsi="Arial" w:cs="Arial"/>
                <w:color w:val="000000" w:themeColor="text1"/>
                <w:lang w:eastAsia="en-PH"/>
              </w:rPr>
              <w:t>Age 21-30</w:t>
            </w:r>
          </w:p>
        </w:tc>
        <w:tc>
          <w:tcPr>
            <w:tcW w:w="2282" w:type="dxa"/>
            <w:tcMar>
              <w:top w:w="0" w:type="dxa"/>
              <w:left w:w="108" w:type="dxa"/>
              <w:bottom w:w="0" w:type="dxa"/>
              <w:right w:w="108" w:type="dxa"/>
            </w:tcMar>
          </w:tcPr>
          <w:p w14:paraId="312626B4" w14:textId="77777777" w:rsidR="009B111C" w:rsidRDefault="009B111C" w:rsidP="00526840">
            <w:pPr>
              <w:jc w:val="center"/>
              <w:rPr>
                <w:rFonts w:ascii="Arial" w:eastAsia="Calibri" w:hAnsi="Arial" w:cs="Arial"/>
                <w:color w:val="000000" w:themeColor="text1"/>
                <w:lang w:eastAsia="en-PH"/>
              </w:rPr>
            </w:pPr>
            <w:r>
              <w:rPr>
                <w:rFonts w:ascii="Arial" w:hAnsi="Arial" w:cs="Arial"/>
                <w:color w:val="000000" w:themeColor="text1"/>
                <w:lang w:eastAsia="en-PH"/>
              </w:rPr>
              <w:t>94</w:t>
            </w:r>
          </w:p>
        </w:tc>
        <w:tc>
          <w:tcPr>
            <w:tcW w:w="2421" w:type="dxa"/>
            <w:tcMar>
              <w:top w:w="0" w:type="dxa"/>
              <w:left w:w="108" w:type="dxa"/>
              <w:bottom w:w="0" w:type="dxa"/>
              <w:right w:w="108" w:type="dxa"/>
            </w:tcMar>
          </w:tcPr>
          <w:p w14:paraId="1FA78DFA" w14:textId="77777777" w:rsidR="009B111C" w:rsidRDefault="009B111C" w:rsidP="00526840">
            <w:pPr>
              <w:jc w:val="center"/>
              <w:rPr>
                <w:rFonts w:ascii="Arial" w:eastAsia="Calibri" w:hAnsi="Arial" w:cs="Arial"/>
                <w:color w:val="000000" w:themeColor="text1"/>
                <w:lang w:eastAsia="en-PH"/>
              </w:rPr>
            </w:pPr>
            <w:r>
              <w:rPr>
                <w:rFonts w:ascii="Arial" w:hAnsi="Arial" w:cs="Arial"/>
                <w:color w:val="000000" w:themeColor="text1"/>
                <w:lang w:eastAsia="en-PH"/>
              </w:rPr>
              <w:t>37.45</w:t>
            </w:r>
          </w:p>
        </w:tc>
      </w:tr>
      <w:tr w:rsidR="009B111C" w14:paraId="286461AC" w14:textId="77777777" w:rsidTr="00526840">
        <w:trPr>
          <w:trHeight w:val="284"/>
          <w:jc w:val="center"/>
        </w:trPr>
        <w:tc>
          <w:tcPr>
            <w:tcW w:w="3967" w:type="dxa"/>
            <w:tcMar>
              <w:top w:w="0" w:type="dxa"/>
              <w:left w:w="108" w:type="dxa"/>
              <w:bottom w:w="0" w:type="dxa"/>
              <w:right w:w="108" w:type="dxa"/>
            </w:tcMar>
          </w:tcPr>
          <w:p w14:paraId="2FCF654D" w14:textId="77777777" w:rsidR="009B111C" w:rsidRDefault="009B111C" w:rsidP="00526840">
            <w:pPr>
              <w:ind w:left="720"/>
              <w:rPr>
                <w:rFonts w:ascii="Arial" w:eastAsia="Arial" w:hAnsi="Arial" w:cs="Arial"/>
                <w:color w:val="000000" w:themeColor="text1"/>
                <w:lang w:eastAsia="en-PH"/>
              </w:rPr>
            </w:pPr>
            <w:r>
              <w:rPr>
                <w:rFonts w:ascii="Arial" w:eastAsia="Arial" w:hAnsi="Arial" w:cs="Arial"/>
                <w:color w:val="000000" w:themeColor="text1"/>
                <w:lang w:eastAsia="en-PH"/>
              </w:rPr>
              <w:t>Age 31-40</w:t>
            </w:r>
          </w:p>
        </w:tc>
        <w:tc>
          <w:tcPr>
            <w:tcW w:w="2282" w:type="dxa"/>
            <w:tcMar>
              <w:top w:w="0" w:type="dxa"/>
              <w:left w:w="108" w:type="dxa"/>
              <w:bottom w:w="0" w:type="dxa"/>
              <w:right w:w="108" w:type="dxa"/>
            </w:tcMar>
          </w:tcPr>
          <w:p w14:paraId="426DF5A4" w14:textId="77777777" w:rsidR="009B111C" w:rsidRDefault="009B111C" w:rsidP="00526840">
            <w:pPr>
              <w:jc w:val="center"/>
              <w:rPr>
                <w:rFonts w:ascii="Arial" w:eastAsia="Calibri" w:hAnsi="Arial" w:cs="Arial"/>
                <w:color w:val="000000" w:themeColor="text1"/>
                <w:lang w:eastAsia="en-PH"/>
              </w:rPr>
            </w:pPr>
            <w:r>
              <w:rPr>
                <w:rFonts w:ascii="Arial" w:hAnsi="Arial" w:cs="Arial"/>
                <w:color w:val="000000" w:themeColor="text1"/>
                <w:lang w:eastAsia="en-PH"/>
              </w:rPr>
              <w:t>50</w:t>
            </w:r>
          </w:p>
        </w:tc>
        <w:tc>
          <w:tcPr>
            <w:tcW w:w="2421" w:type="dxa"/>
            <w:tcMar>
              <w:top w:w="0" w:type="dxa"/>
              <w:left w:w="108" w:type="dxa"/>
              <w:bottom w:w="0" w:type="dxa"/>
              <w:right w:w="108" w:type="dxa"/>
            </w:tcMar>
          </w:tcPr>
          <w:p w14:paraId="0F75770A" w14:textId="77777777" w:rsidR="009B111C" w:rsidRDefault="009B111C" w:rsidP="00526840">
            <w:pPr>
              <w:jc w:val="center"/>
              <w:rPr>
                <w:rFonts w:ascii="Arial" w:eastAsia="Calibri" w:hAnsi="Arial" w:cs="Arial"/>
                <w:color w:val="000000" w:themeColor="text1"/>
                <w:lang w:eastAsia="en-PH"/>
              </w:rPr>
            </w:pPr>
            <w:r>
              <w:rPr>
                <w:rFonts w:ascii="Arial" w:hAnsi="Arial" w:cs="Arial"/>
                <w:color w:val="000000" w:themeColor="text1"/>
                <w:lang w:eastAsia="en-PH"/>
              </w:rPr>
              <w:t>19.92</w:t>
            </w:r>
          </w:p>
        </w:tc>
      </w:tr>
      <w:tr w:rsidR="009B111C" w14:paraId="27D3D04E" w14:textId="77777777" w:rsidTr="00526840">
        <w:trPr>
          <w:trHeight w:val="284"/>
          <w:jc w:val="center"/>
        </w:trPr>
        <w:tc>
          <w:tcPr>
            <w:tcW w:w="3967" w:type="dxa"/>
            <w:tcMar>
              <w:top w:w="0" w:type="dxa"/>
              <w:left w:w="108" w:type="dxa"/>
              <w:bottom w:w="0" w:type="dxa"/>
              <w:right w:w="108" w:type="dxa"/>
            </w:tcMar>
          </w:tcPr>
          <w:p w14:paraId="2E03CF50" w14:textId="77777777" w:rsidR="009B111C" w:rsidRDefault="009B111C" w:rsidP="00526840">
            <w:pPr>
              <w:ind w:left="720"/>
              <w:rPr>
                <w:rFonts w:ascii="Arial" w:eastAsia="Arial" w:hAnsi="Arial" w:cs="Arial"/>
                <w:color w:val="000000" w:themeColor="text1"/>
                <w:lang w:eastAsia="en-PH"/>
              </w:rPr>
            </w:pPr>
            <w:r>
              <w:rPr>
                <w:rFonts w:ascii="Arial" w:eastAsia="Arial" w:hAnsi="Arial" w:cs="Arial"/>
                <w:color w:val="000000" w:themeColor="text1"/>
                <w:lang w:eastAsia="en-PH"/>
              </w:rPr>
              <w:t>41 and above</w:t>
            </w:r>
          </w:p>
        </w:tc>
        <w:tc>
          <w:tcPr>
            <w:tcW w:w="2282" w:type="dxa"/>
            <w:tcMar>
              <w:top w:w="0" w:type="dxa"/>
              <w:left w:w="108" w:type="dxa"/>
              <w:bottom w:w="0" w:type="dxa"/>
              <w:right w:w="108" w:type="dxa"/>
            </w:tcMar>
          </w:tcPr>
          <w:p w14:paraId="63350302" w14:textId="77777777" w:rsidR="009B111C" w:rsidRDefault="009B111C" w:rsidP="00526840">
            <w:pPr>
              <w:jc w:val="center"/>
              <w:rPr>
                <w:rFonts w:ascii="Arial" w:hAnsi="Arial" w:cs="Arial"/>
                <w:color w:val="000000" w:themeColor="text1"/>
                <w:lang w:eastAsia="en-PH"/>
              </w:rPr>
            </w:pPr>
            <w:r>
              <w:rPr>
                <w:rFonts w:ascii="Arial" w:hAnsi="Arial" w:cs="Arial"/>
                <w:color w:val="000000" w:themeColor="text1"/>
                <w:lang w:eastAsia="en-PH"/>
              </w:rPr>
              <w:t>107</w:t>
            </w:r>
          </w:p>
        </w:tc>
        <w:tc>
          <w:tcPr>
            <w:tcW w:w="2421" w:type="dxa"/>
            <w:tcMar>
              <w:top w:w="0" w:type="dxa"/>
              <w:left w:w="108" w:type="dxa"/>
              <w:bottom w:w="0" w:type="dxa"/>
              <w:right w:w="108" w:type="dxa"/>
            </w:tcMar>
          </w:tcPr>
          <w:p w14:paraId="03C1407E" w14:textId="77777777" w:rsidR="009B111C" w:rsidRDefault="009B111C" w:rsidP="00526840">
            <w:pPr>
              <w:jc w:val="center"/>
              <w:rPr>
                <w:rFonts w:ascii="Arial" w:hAnsi="Arial" w:cs="Arial"/>
                <w:color w:val="000000" w:themeColor="text1"/>
                <w:lang w:eastAsia="en-PH"/>
              </w:rPr>
            </w:pPr>
            <w:r>
              <w:rPr>
                <w:rFonts w:ascii="Arial" w:hAnsi="Arial" w:cs="Arial"/>
                <w:color w:val="000000" w:themeColor="text1"/>
                <w:lang w:eastAsia="en-PH"/>
              </w:rPr>
              <w:t>42.63</w:t>
            </w:r>
          </w:p>
        </w:tc>
      </w:tr>
      <w:tr w:rsidR="009B111C" w14:paraId="719AA1BE" w14:textId="77777777" w:rsidTr="00526840">
        <w:trPr>
          <w:trHeight w:val="284"/>
          <w:jc w:val="center"/>
        </w:trPr>
        <w:tc>
          <w:tcPr>
            <w:tcW w:w="3967" w:type="dxa"/>
            <w:tcMar>
              <w:top w:w="0" w:type="dxa"/>
              <w:left w:w="108" w:type="dxa"/>
              <w:bottom w:w="0" w:type="dxa"/>
              <w:right w:w="108" w:type="dxa"/>
            </w:tcMar>
          </w:tcPr>
          <w:p w14:paraId="03EB1276" w14:textId="77777777" w:rsidR="009B111C" w:rsidRDefault="009B111C" w:rsidP="00526840">
            <w:pPr>
              <w:rPr>
                <w:rFonts w:ascii="Arial" w:eastAsia="Arial" w:hAnsi="Arial" w:cs="Arial"/>
                <w:b/>
                <w:bCs/>
                <w:color w:val="000000" w:themeColor="text1"/>
                <w:lang w:eastAsia="en-PH"/>
              </w:rPr>
            </w:pPr>
            <w:r>
              <w:rPr>
                <w:rFonts w:ascii="Arial" w:eastAsia="Arial" w:hAnsi="Arial" w:cs="Arial"/>
                <w:b/>
                <w:bCs/>
                <w:color w:val="000000" w:themeColor="text1"/>
                <w:lang w:eastAsia="en-PH"/>
              </w:rPr>
              <w:t>Total</w:t>
            </w:r>
          </w:p>
        </w:tc>
        <w:tc>
          <w:tcPr>
            <w:tcW w:w="2282" w:type="dxa"/>
            <w:tcMar>
              <w:top w:w="0" w:type="dxa"/>
              <w:left w:w="108" w:type="dxa"/>
              <w:bottom w:w="0" w:type="dxa"/>
              <w:right w:w="108" w:type="dxa"/>
            </w:tcMar>
          </w:tcPr>
          <w:p w14:paraId="6C2FEF56" w14:textId="77777777" w:rsidR="009B111C" w:rsidRDefault="009B111C" w:rsidP="00526840">
            <w:pPr>
              <w:jc w:val="center"/>
              <w:rPr>
                <w:rFonts w:ascii="Arial" w:eastAsia="Calibri" w:hAnsi="Arial" w:cs="Arial"/>
                <w:b/>
                <w:bCs/>
                <w:color w:val="000000" w:themeColor="text1"/>
                <w:lang w:eastAsia="en-PH"/>
              </w:rPr>
            </w:pPr>
            <w:r>
              <w:rPr>
                <w:rFonts w:ascii="Arial" w:hAnsi="Arial" w:cs="Arial"/>
                <w:b/>
                <w:bCs/>
                <w:color w:val="000000" w:themeColor="text1"/>
                <w:lang w:eastAsia="en-PH"/>
              </w:rPr>
              <w:t>251</w:t>
            </w:r>
          </w:p>
        </w:tc>
        <w:tc>
          <w:tcPr>
            <w:tcW w:w="2421" w:type="dxa"/>
            <w:tcMar>
              <w:top w:w="0" w:type="dxa"/>
              <w:left w:w="108" w:type="dxa"/>
              <w:bottom w:w="0" w:type="dxa"/>
              <w:right w:w="108" w:type="dxa"/>
            </w:tcMar>
          </w:tcPr>
          <w:p w14:paraId="05FDB879" w14:textId="77777777" w:rsidR="009B111C" w:rsidRDefault="009B111C" w:rsidP="00526840">
            <w:pPr>
              <w:jc w:val="center"/>
              <w:rPr>
                <w:rFonts w:ascii="Arial" w:eastAsia="Calibri" w:hAnsi="Arial" w:cs="Arial"/>
                <w:b/>
                <w:bCs/>
                <w:color w:val="000000" w:themeColor="text1"/>
                <w:lang w:eastAsia="en-PH"/>
              </w:rPr>
            </w:pPr>
            <w:r>
              <w:rPr>
                <w:rFonts w:ascii="Arial" w:hAnsi="Arial" w:cs="Arial"/>
                <w:b/>
                <w:bCs/>
                <w:color w:val="000000" w:themeColor="text1"/>
                <w:lang w:eastAsia="en-PH"/>
              </w:rPr>
              <w:t>100</w:t>
            </w:r>
          </w:p>
        </w:tc>
      </w:tr>
      <w:tr w:rsidR="009B111C" w14:paraId="3B4D258A" w14:textId="77777777" w:rsidTr="00526840">
        <w:trPr>
          <w:trHeight w:val="284"/>
          <w:jc w:val="center"/>
        </w:trPr>
        <w:tc>
          <w:tcPr>
            <w:tcW w:w="3967" w:type="dxa"/>
            <w:tcMar>
              <w:top w:w="0" w:type="dxa"/>
              <w:left w:w="108" w:type="dxa"/>
              <w:bottom w:w="0" w:type="dxa"/>
              <w:right w:w="108" w:type="dxa"/>
            </w:tcMar>
          </w:tcPr>
          <w:p w14:paraId="543BE12C" w14:textId="77777777" w:rsidR="009B111C" w:rsidRDefault="009B111C" w:rsidP="00526840">
            <w:pPr>
              <w:rPr>
                <w:rFonts w:ascii="Arial" w:eastAsia="Arial" w:hAnsi="Arial" w:cs="Arial"/>
                <w:b/>
                <w:bCs/>
                <w:color w:val="000000" w:themeColor="text1"/>
                <w:lang w:eastAsia="en-PH"/>
              </w:rPr>
            </w:pPr>
            <w:r>
              <w:rPr>
                <w:rFonts w:ascii="Arial" w:eastAsia="Arial" w:hAnsi="Arial" w:cs="Arial"/>
                <w:b/>
                <w:bCs/>
                <w:color w:val="000000" w:themeColor="text1"/>
                <w:lang w:eastAsia="en-PH"/>
              </w:rPr>
              <w:t>Years in service</w:t>
            </w:r>
          </w:p>
        </w:tc>
        <w:tc>
          <w:tcPr>
            <w:tcW w:w="2282" w:type="dxa"/>
            <w:tcMar>
              <w:top w:w="0" w:type="dxa"/>
              <w:left w:w="108" w:type="dxa"/>
              <w:bottom w:w="0" w:type="dxa"/>
              <w:right w:w="108" w:type="dxa"/>
            </w:tcMar>
          </w:tcPr>
          <w:p w14:paraId="183A253C" w14:textId="77777777" w:rsidR="009B111C" w:rsidRDefault="009B111C" w:rsidP="00526840">
            <w:pPr>
              <w:jc w:val="center"/>
              <w:rPr>
                <w:rFonts w:ascii="Arial" w:eastAsia="Arial" w:hAnsi="Arial" w:cs="Arial"/>
                <w:color w:val="000000" w:themeColor="text1"/>
                <w:lang w:eastAsia="en-PH"/>
              </w:rPr>
            </w:pPr>
          </w:p>
        </w:tc>
        <w:tc>
          <w:tcPr>
            <w:tcW w:w="2421" w:type="dxa"/>
            <w:tcMar>
              <w:top w:w="0" w:type="dxa"/>
              <w:left w:w="108" w:type="dxa"/>
              <w:bottom w:w="0" w:type="dxa"/>
              <w:right w:w="108" w:type="dxa"/>
            </w:tcMar>
          </w:tcPr>
          <w:p w14:paraId="09B336E2" w14:textId="77777777" w:rsidR="009B111C" w:rsidRDefault="009B111C" w:rsidP="00526840">
            <w:pPr>
              <w:jc w:val="center"/>
              <w:rPr>
                <w:rFonts w:ascii="Arial" w:eastAsia="Arial" w:hAnsi="Arial" w:cs="Arial"/>
                <w:color w:val="000000" w:themeColor="text1"/>
                <w:lang w:eastAsia="en-PH"/>
              </w:rPr>
            </w:pPr>
          </w:p>
        </w:tc>
      </w:tr>
      <w:tr w:rsidR="009B111C" w14:paraId="3CCBF715" w14:textId="77777777" w:rsidTr="00526840">
        <w:trPr>
          <w:trHeight w:val="284"/>
          <w:jc w:val="center"/>
        </w:trPr>
        <w:tc>
          <w:tcPr>
            <w:tcW w:w="3967" w:type="dxa"/>
            <w:tcMar>
              <w:top w:w="0" w:type="dxa"/>
              <w:left w:w="108" w:type="dxa"/>
              <w:bottom w:w="0" w:type="dxa"/>
              <w:right w:w="108" w:type="dxa"/>
            </w:tcMar>
          </w:tcPr>
          <w:p w14:paraId="19A5E3C5" w14:textId="77777777" w:rsidR="009B111C" w:rsidRDefault="009B111C" w:rsidP="00526840">
            <w:pPr>
              <w:ind w:left="720"/>
              <w:rPr>
                <w:rFonts w:ascii="Arial" w:eastAsia="Arial" w:hAnsi="Arial" w:cs="Arial"/>
                <w:color w:val="000000" w:themeColor="text1"/>
                <w:lang w:eastAsia="en-PH"/>
              </w:rPr>
            </w:pPr>
            <w:r>
              <w:rPr>
                <w:rFonts w:ascii="Arial" w:eastAsia="Arial" w:hAnsi="Arial" w:cs="Arial"/>
                <w:color w:val="000000" w:themeColor="text1"/>
                <w:lang w:eastAsia="en-PH"/>
              </w:rPr>
              <w:t>Less than 5 years</w:t>
            </w:r>
          </w:p>
        </w:tc>
        <w:tc>
          <w:tcPr>
            <w:tcW w:w="2282" w:type="dxa"/>
            <w:tcMar>
              <w:top w:w="0" w:type="dxa"/>
              <w:left w:w="108" w:type="dxa"/>
              <w:bottom w:w="0" w:type="dxa"/>
              <w:right w:w="108" w:type="dxa"/>
            </w:tcMar>
          </w:tcPr>
          <w:p w14:paraId="0C1FBEBB" w14:textId="77777777" w:rsidR="009B111C" w:rsidRDefault="009B111C" w:rsidP="00526840">
            <w:pPr>
              <w:jc w:val="center"/>
              <w:rPr>
                <w:rFonts w:ascii="Arial" w:eastAsia="Calibri" w:hAnsi="Arial" w:cs="Arial"/>
                <w:color w:val="000000" w:themeColor="text1"/>
                <w:lang w:eastAsia="en-PH"/>
              </w:rPr>
            </w:pPr>
            <w:r>
              <w:rPr>
                <w:rFonts w:ascii="Arial" w:hAnsi="Arial" w:cs="Arial"/>
                <w:color w:val="000000" w:themeColor="text1"/>
                <w:lang w:eastAsia="en-PH"/>
              </w:rPr>
              <w:t>90</w:t>
            </w:r>
          </w:p>
        </w:tc>
        <w:tc>
          <w:tcPr>
            <w:tcW w:w="2421" w:type="dxa"/>
            <w:tcMar>
              <w:top w:w="0" w:type="dxa"/>
              <w:left w:w="108" w:type="dxa"/>
              <w:bottom w:w="0" w:type="dxa"/>
              <w:right w:w="108" w:type="dxa"/>
            </w:tcMar>
          </w:tcPr>
          <w:p w14:paraId="38E4CE52" w14:textId="77777777" w:rsidR="009B111C" w:rsidRDefault="009B111C" w:rsidP="00526840">
            <w:pPr>
              <w:jc w:val="center"/>
              <w:rPr>
                <w:rFonts w:ascii="Arial" w:eastAsia="Calibri" w:hAnsi="Arial" w:cs="Arial"/>
                <w:color w:val="000000" w:themeColor="text1"/>
                <w:lang w:eastAsia="en-PH"/>
              </w:rPr>
            </w:pPr>
            <w:r>
              <w:rPr>
                <w:rFonts w:ascii="Arial" w:hAnsi="Arial" w:cs="Arial"/>
                <w:color w:val="000000" w:themeColor="text1"/>
                <w:lang w:eastAsia="en-PH"/>
              </w:rPr>
              <w:t>35.86</w:t>
            </w:r>
          </w:p>
        </w:tc>
      </w:tr>
      <w:tr w:rsidR="009B111C" w14:paraId="0F912778" w14:textId="77777777" w:rsidTr="00526840">
        <w:trPr>
          <w:trHeight w:val="376"/>
          <w:jc w:val="center"/>
        </w:trPr>
        <w:tc>
          <w:tcPr>
            <w:tcW w:w="3967" w:type="dxa"/>
            <w:tcMar>
              <w:top w:w="0" w:type="dxa"/>
              <w:left w:w="108" w:type="dxa"/>
              <w:bottom w:w="0" w:type="dxa"/>
              <w:right w:w="108" w:type="dxa"/>
            </w:tcMar>
          </w:tcPr>
          <w:p w14:paraId="77D2AB8E" w14:textId="77777777" w:rsidR="009B111C" w:rsidRDefault="009B111C" w:rsidP="00526840">
            <w:pPr>
              <w:ind w:left="720"/>
              <w:rPr>
                <w:rFonts w:ascii="Arial" w:eastAsia="Arial" w:hAnsi="Arial" w:cs="Arial"/>
                <w:color w:val="000000" w:themeColor="text1"/>
                <w:lang w:eastAsia="en-PH"/>
              </w:rPr>
            </w:pPr>
            <w:r>
              <w:rPr>
                <w:rFonts w:ascii="Arial" w:eastAsia="Arial" w:hAnsi="Arial" w:cs="Arial"/>
                <w:color w:val="000000" w:themeColor="text1"/>
                <w:lang w:eastAsia="en-PH"/>
              </w:rPr>
              <w:t>5-10 years</w:t>
            </w:r>
          </w:p>
        </w:tc>
        <w:tc>
          <w:tcPr>
            <w:tcW w:w="2282" w:type="dxa"/>
            <w:tcMar>
              <w:top w:w="0" w:type="dxa"/>
              <w:left w:w="108" w:type="dxa"/>
              <w:bottom w:w="0" w:type="dxa"/>
              <w:right w:w="108" w:type="dxa"/>
            </w:tcMar>
          </w:tcPr>
          <w:p w14:paraId="680C5900" w14:textId="77777777" w:rsidR="009B111C" w:rsidRDefault="009B111C" w:rsidP="00526840">
            <w:pPr>
              <w:jc w:val="center"/>
              <w:rPr>
                <w:rFonts w:ascii="Arial" w:eastAsia="Calibri" w:hAnsi="Arial" w:cs="Arial"/>
                <w:color w:val="000000" w:themeColor="text1"/>
                <w:lang w:eastAsia="en-PH"/>
              </w:rPr>
            </w:pPr>
            <w:r>
              <w:rPr>
                <w:rFonts w:ascii="Arial" w:hAnsi="Arial" w:cs="Arial"/>
                <w:color w:val="000000" w:themeColor="text1"/>
                <w:lang w:eastAsia="en-PH"/>
              </w:rPr>
              <w:t>120</w:t>
            </w:r>
          </w:p>
        </w:tc>
        <w:tc>
          <w:tcPr>
            <w:tcW w:w="2421" w:type="dxa"/>
            <w:tcMar>
              <w:top w:w="0" w:type="dxa"/>
              <w:left w:w="108" w:type="dxa"/>
              <w:bottom w:w="0" w:type="dxa"/>
              <w:right w:w="108" w:type="dxa"/>
            </w:tcMar>
          </w:tcPr>
          <w:p w14:paraId="3CBF3CED" w14:textId="77777777" w:rsidR="009B111C" w:rsidRDefault="009B111C" w:rsidP="00526840">
            <w:pPr>
              <w:jc w:val="center"/>
              <w:rPr>
                <w:rFonts w:ascii="Arial" w:eastAsia="Calibri" w:hAnsi="Arial" w:cs="Arial"/>
                <w:color w:val="000000" w:themeColor="text1"/>
                <w:lang w:eastAsia="en-PH"/>
              </w:rPr>
            </w:pPr>
            <w:r>
              <w:rPr>
                <w:rFonts w:ascii="Arial" w:hAnsi="Arial" w:cs="Arial"/>
                <w:color w:val="000000" w:themeColor="text1"/>
                <w:lang w:eastAsia="en-PH"/>
              </w:rPr>
              <w:t>47.81</w:t>
            </w:r>
          </w:p>
        </w:tc>
      </w:tr>
      <w:tr w:rsidR="009B111C" w14:paraId="18FB5889" w14:textId="77777777" w:rsidTr="00526840">
        <w:trPr>
          <w:trHeight w:val="99"/>
          <w:jc w:val="center"/>
        </w:trPr>
        <w:tc>
          <w:tcPr>
            <w:tcW w:w="3967" w:type="dxa"/>
            <w:tcMar>
              <w:top w:w="0" w:type="dxa"/>
              <w:left w:w="108" w:type="dxa"/>
              <w:bottom w:w="0" w:type="dxa"/>
              <w:right w:w="108" w:type="dxa"/>
            </w:tcMar>
          </w:tcPr>
          <w:p w14:paraId="4EA3D220" w14:textId="77777777" w:rsidR="009B111C" w:rsidRDefault="009B111C" w:rsidP="00526840">
            <w:pPr>
              <w:ind w:left="720"/>
              <w:rPr>
                <w:rFonts w:ascii="Arial" w:eastAsia="Arial" w:hAnsi="Arial" w:cs="Arial"/>
                <w:color w:val="000000" w:themeColor="text1"/>
                <w:lang w:eastAsia="en-PH"/>
              </w:rPr>
            </w:pPr>
            <w:r>
              <w:rPr>
                <w:rFonts w:ascii="Arial" w:eastAsia="Arial" w:hAnsi="Arial" w:cs="Arial"/>
                <w:color w:val="000000" w:themeColor="text1"/>
                <w:lang w:eastAsia="en-PH"/>
              </w:rPr>
              <w:t>10 years above</w:t>
            </w:r>
          </w:p>
        </w:tc>
        <w:tc>
          <w:tcPr>
            <w:tcW w:w="2282" w:type="dxa"/>
            <w:tcMar>
              <w:top w:w="0" w:type="dxa"/>
              <w:left w:w="108" w:type="dxa"/>
              <w:bottom w:w="0" w:type="dxa"/>
              <w:right w:w="108" w:type="dxa"/>
            </w:tcMar>
          </w:tcPr>
          <w:p w14:paraId="7DC103EA" w14:textId="77777777" w:rsidR="009B111C" w:rsidRDefault="009B111C" w:rsidP="00526840">
            <w:pPr>
              <w:jc w:val="center"/>
              <w:rPr>
                <w:rFonts w:ascii="Arial" w:hAnsi="Arial" w:cs="Arial"/>
                <w:color w:val="000000" w:themeColor="text1"/>
                <w:lang w:eastAsia="en-PH"/>
              </w:rPr>
            </w:pPr>
            <w:r>
              <w:rPr>
                <w:rFonts w:ascii="Arial" w:hAnsi="Arial" w:cs="Arial"/>
                <w:color w:val="000000" w:themeColor="text1"/>
                <w:lang w:eastAsia="en-PH"/>
              </w:rPr>
              <w:t>41</w:t>
            </w:r>
          </w:p>
        </w:tc>
        <w:tc>
          <w:tcPr>
            <w:tcW w:w="2421" w:type="dxa"/>
            <w:tcMar>
              <w:top w:w="0" w:type="dxa"/>
              <w:left w:w="108" w:type="dxa"/>
              <w:bottom w:w="0" w:type="dxa"/>
              <w:right w:w="108" w:type="dxa"/>
            </w:tcMar>
          </w:tcPr>
          <w:p w14:paraId="70C03698" w14:textId="77777777" w:rsidR="009B111C" w:rsidRDefault="009B111C" w:rsidP="00526840">
            <w:pPr>
              <w:jc w:val="center"/>
              <w:rPr>
                <w:rFonts w:ascii="Arial" w:hAnsi="Arial" w:cs="Arial"/>
                <w:color w:val="000000" w:themeColor="text1"/>
                <w:lang w:eastAsia="en-PH"/>
              </w:rPr>
            </w:pPr>
            <w:r>
              <w:rPr>
                <w:rFonts w:ascii="Arial" w:hAnsi="Arial" w:cs="Arial"/>
                <w:color w:val="000000" w:themeColor="text1"/>
                <w:lang w:eastAsia="en-PH"/>
              </w:rPr>
              <w:t>16.33</w:t>
            </w:r>
          </w:p>
        </w:tc>
      </w:tr>
      <w:tr w:rsidR="009B111C" w14:paraId="3E21EC59" w14:textId="77777777" w:rsidTr="00526840">
        <w:trPr>
          <w:trHeight w:val="461"/>
          <w:jc w:val="center"/>
        </w:trPr>
        <w:tc>
          <w:tcPr>
            <w:tcW w:w="3967" w:type="dxa"/>
            <w:tcBorders>
              <w:bottom w:val="single" w:sz="4" w:space="0" w:color="auto"/>
            </w:tcBorders>
            <w:tcMar>
              <w:top w:w="0" w:type="dxa"/>
              <w:left w:w="108" w:type="dxa"/>
              <w:bottom w:w="0" w:type="dxa"/>
              <w:right w:w="108" w:type="dxa"/>
            </w:tcMar>
          </w:tcPr>
          <w:p w14:paraId="7D804839" w14:textId="77777777" w:rsidR="009B111C" w:rsidRDefault="009B111C" w:rsidP="00526840">
            <w:pPr>
              <w:jc w:val="both"/>
              <w:rPr>
                <w:rFonts w:ascii="Arial" w:eastAsia="Arial" w:hAnsi="Arial" w:cs="Arial"/>
                <w:color w:val="000000" w:themeColor="text1"/>
                <w:lang w:eastAsia="en-PH"/>
              </w:rPr>
            </w:pPr>
            <w:r>
              <w:rPr>
                <w:rFonts w:ascii="Arial" w:eastAsia="Arial" w:hAnsi="Arial" w:cs="Arial"/>
                <w:b/>
                <w:color w:val="000000" w:themeColor="text1"/>
                <w:lang w:eastAsia="en-PH"/>
              </w:rPr>
              <w:t xml:space="preserve">Total </w:t>
            </w:r>
          </w:p>
        </w:tc>
        <w:tc>
          <w:tcPr>
            <w:tcW w:w="2282" w:type="dxa"/>
            <w:tcBorders>
              <w:bottom w:val="single" w:sz="4" w:space="0" w:color="auto"/>
            </w:tcBorders>
            <w:tcMar>
              <w:top w:w="0" w:type="dxa"/>
              <w:left w:w="108" w:type="dxa"/>
              <w:bottom w:w="0" w:type="dxa"/>
              <w:right w:w="108" w:type="dxa"/>
            </w:tcMar>
          </w:tcPr>
          <w:p w14:paraId="3D5FA559" w14:textId="77777777" w:rsidR="009B111C" w:rsidRDefault="009B111C" w:rsidP="00526840">
            <w:pPr>
              <w:jc w:val="center"/>
              <w:rPr>
                <w:rFonts w:ascii="Arial" w:eastAsia="Calibri" w:hAnsi="Arial" w:cs="Arial"/>
                <w:b/>
                <w:bCs/>
                <w:color w:val="000000" w:themeColor="text1"/>
                <w:lang w:eastAsia="en-PH"/>
              </w:rPr>
            </w:pPr>
            <w:r>
              <w:rPr>
                <w:rFonts w:ascii="Arial" w:hAnsi="Arial" w:cs="Arial"/>
                <w:b/>
                <w:bCs/>
                <w:color w:val="000000" w:themeColor="text1"/>
                <w:lang w:eastAsia="en-PH"/>
              </w:rPr>
              <w:t>251</w:t>
            </w:r>
          </w:p>
        </w:tc>
        <w:tc>
          <w:tcPr>
            <w:tcW w:w="2421" w:type="dxa"/>
            <w:tcBorders>
              <w:bottom w:val="single" w:sz="4" w:space="0" w:color="auto"/>
            </w:tcBorders>
            <w:tcMar>
              <w:top w:w="0" w:type="dxa"/>
              <w:left w:w="108" w:type="dxa"/>
              <w:bottom w:w="0" w:type="dxa"/>
              <w:right w:w="108" w:type="dxa"/>
            </w:tcMar>
          </w:tcPr>
          <w:p w14:paraId="19571DE0" w14:textId="77777777" w:rsidR="009B111C" w:rsidRDefault="009B111C" w:rsidP="00526840">
            <w:pPr>
              <w:jc w:val="center"/>
              <w:rPr>
                <w:rFonts w:ascii="Arial" w:eastAsia="Calibri" w:hAnsi="Arial" w:cs="Arial"/>
                <w:b/>
                <w:bCs/>
                <w:color w:val="000000" w:themeColor="text1"/>
                <w:lang w:eastAsia="en-PH"/>
              </w:rPr>
            </w:pPr>
            <w:r>
              <w:rPr>
                <w:rFonts w:ascii="Arial" w:hAnsi="Arial" w:cs="Arial"/>
                <w:b/>
                <w:bCs/>
                <w:color w:val="000000" w:themeColor="text1"/>
                <w:lang w:eastAsia="en-PH"/>
              </w:rPr>
              <w:t>100</w:t>
            </w:r>
          </w:p>
        </w:tc>
      </w:tr>
    </w:tbl>
    <w:p w14:paraId="20CF6BE0" w14:textId="77777777" w:rsidR="00D453B9" w:rsidRPr="00FF2146" w:rsidRDefault="00D453B9" w:rsidP="003248E3">
      <w:pPr>
        <w:jc w:val="both"/>
        <w:rPr>
          <w:rFonts w:ascii="Arial" w:hAnsi="Arial" w:cs="Arial"/>
          <w:sz w:val="20"/>
          <w:szCs w:val="20"/>
        </w:rPr>
      </w:pPr>
    </w:p>
    <w:p w14:paraId="1CE422C5" w14:textId="425E8FD2" w:rsidR="00B712CE" w:rsidRPr="009B111C" w:rsidRDefault="009B111C" w:rsidP="009B111C">
      <w:pPr>
        <w:jc w:val="both"/>
        <w:rPr>
          <w:rFonts w:ascii="Arial" w:hAnsi="Arial" w:cs="Arial"/>
          <w:sz w:val="20"/>
          <w:szCs w:val="20"/>
        </w:rPr>
      </w:pPr>
      <w:r w:rsidRPr="009B111C">
        <w:rPr>
          <w:rFonts w:ascii="Arial" w:hAnsi="Arial" w:cs="Arial"/>
          <w:sz w:val="20"/>
          <w:szCs w:val="20"/>
        </w:rPr>
        <w:t>Table 1 shows the results and a descriptive value of each demographic profile. There are 146, which is 58. 17 percent are female, 105 are male, and 41.83 percent of respondents in this study. For the age of the respondents, 37.45 percent are aged 21-30, or there are 94 respondents; 19.92 percent are aged 31-40, which means there are 50 respondents, and the remaining 42.63 percent are ages 41 and above, and there are 107 respondents. For the years of experience, 35.86 percent, or 90 respondents, have less than five years of experience, 120, or 47.81 percent, already have 5 to 10 years of experience, and 41, or 16.33 percent, already have ten years of experience.</w:t>
      </w:r>
    </w:p>
    <w:p w14:paraId="4CED0B34" w14:textId="77777777" w:rsidR="00B712CE" w:rsidRDefault="00B712CE">
      <w:pPr>
        <w:jc w:val="both"/>
        <w:rPr>
          <w:rFonts w:ascii="Arial" w:hAnsi="Arial" w:cs="Arial"/>
          <w:b/>
          <w:sz w:val="20"/>
          <w:szCs w:val="20"/>
        </w:rPr>
      </w:pPr>
    </w:p>
    <w:p w14:paraId="04DC4014" w14:textId="6FA5612A" w:rsidR="00E16D4E" w:rsidRPr="009B111C" w:rsidRDefault="00180859" w:rsidP="009B111C">
      <w:pPr>
        <w:jc w:val="both"/>
        <w:rPr>
          <w:rFonts w:ascii="Arial" w:hAnsi="Arial" w:cs="Arial"/>
          <w:b/>
          <w:sz w:val="20"/>
          <w:szCs w:val="20"/>
        </w:rPr>
      </w:pPr>
      <w:r w:rsidRPr="007E5C64">
        <w:rPr>
          <w:rFonts w:ascii="Arial" w:hAnsi="Arial" w:cs="Arial"/>
          <w:b/>
          <w:sz w:val="20"/>
          <w:szCs w:val="20"/>
        </w:rPr>
        <w:lastRenderedPageBreak/>
        <w:t xml:space="preserve">3.2 </w:t>
      </w:r>
      <w:r w:rsidR="009B111C" w:rsidRPr="009B111C">
        <w:rPr>
          <w:rFonts w:ascii="Arial" w:hAnsi="Arial" w:cs="Arial"/>
          <w:b/>
          <w:sz w:val="20"/>
          <w:szCs w:val="20"/>
        </w:rPr>
        <w:t>Level of Disaster Preparedness of Teachers in Public Schools</w:t>
      </w:r>
    </w:p>
    <w:p w14:paraId="49153FC3" w14:textId="77777777" w:rsidR="00E16D4E" w:rsidRPr="007E5C64" w:rsidRDefault="00E16D4E">
      <w:pPr>
        <w:jc w:val="both"/>
        <w:rPr>
          <w:rFonts w:ascii="Arial" w:hAnsi="Arial" w:cs="Arial"/>
          <w:b/>
          <w:sz w:val="20"/>
          <w:szCs w:val="20"/>
        </w:rPr>
      </w:pPr>
    </w:p>
    <w:p w14:paraId="3B450CFD" w14:textId="66394767" w:rsidR="00B712CE" w:rsidRDefault="00180859">
      <w:pPr>
        <w:jc w:val="both"/>
        <w:rPr>
          <w:rFonts w:ascii="Arial" w:hAnsi="Arial" w:cs="Arial"/>
          <w:i/>
          <w:sz w:val="20"/>
          <w:szCs w:val="20"/>
        </w:rPr>
      </w:pPr>
      <w:r w:rsidRPr="007E5C64">
        <w:rPr>
          <w:rFonts w:ascii="Arial" w:hAnsi="Arial" w:cs="Arial"/>
          <w:iCs/>
          <w:sz w:val="20"/>
          <w:szCs w:val="20"/>
        </w:rPr>
        <w:t>Table 2</w:t>
      </w:r>
      <w:r w:rsidR="00781D5E" w:rsidRPr="007E5C64">
        <w:rPr>
          <w:rFonts w:ascii="Arial" w:hAnsi="Arial" w:cs="Arial"/>
          <w:iCs/>
          <w:sz w:val="20"/>
          <w:szCs w:val="20"/>
        </w:rPr>
        <w:t>.</w:t>
      </w:r>
      <w:r w:rsidRPr="007E5C64">
        <w:rPr>
          <w:rFonts w:ascii="Arial" w:hAnsi="Arial" w:cs="Arial"/>
          <w:iCs/>
          <w:sz w:val="20"/>
          <w:szCs w:val="20"/>
        </w:rPr>
        <w:t xml:space="preserve"> </w:t>
      </w:r>
      <w:r w:rsidR="00C94AFE" w:rsidRPr="00C94AFE">
        <w:rPr>
          <w:rFonts w:ascii="Arial" w:hAnsi="Arial" w:cs="Arial"/>
          <w:i/>
          <w:sz w:val="20"/>
          <w:szCs w:val="20"/>
        </w:rPr>
        <w:t>Level of Disaster Preparedness of Teachers in Public Schools</w:t>
      </w:r>
    </w:p>
    <w:p w14:paraId="3E7531DB" w14:textId="77777777" w:rsidR="00C94AFE" w:rsidRPr="007E5C64" w:rsidRDefault="00C94AFE">
      <w:pPr>
        <w:jc w:val="both"/>
        <w:rPr>
          <w:rFonts w:ascii="Arial" w:hAnsi="Arial" w:cs="Arial"/>
          <w:i/>
          <w:sz w:val="20"/>
          <w:szCs w:val="20"/>
        </w:rPr>
      </w:pPr>
    </w:p>
    <w:tbl>
      <w:tblPr>
        <w:tblStyle w:val="Style22"/>
        <w:tblW w:w="8531" w:type="dxa"/>
        <w:jc w:val="center"/>
        <w:tblLayout w:type="fixed"/>
        <w:tblLook w:val="04A0" w:firstRow="1" w:lastRow="0" w:firstColumn="1" w:lastColumn="0" w:noHBand="0" w:noVBand="1"/>
      </w:tblPr>
      <w:tblGrid>
        <w:gridCol w:w="3967"/>
        <w:gridCol w:w="108"/>
        <w:gridCol w:w="2174"/>
        <w:gridCol w:w="108"/>
        <w:gridCol w:w="2174"/>
      </w:tblGrid>
      <w:tr w:rsidR="00C94AFE" w14:paraId="4E98885F" w14:textId="77777777" w:rsidTr="00526840">
        <w:trPr>
          <w:trHeight w:val="89"/>
          <w:jc w:val="center"/>
        </w:trPr>
        <w:tc>
          <w:tcPr>
            <w:tcW w:w="4075" w:type="dxa"/>
            <w:gridSpan w:val="2"/>
            <w:tcBorders>
              <w:top w:val="single" w:sz="4" w:space="0" w:color="auto"/>
              <w:bottom w:val="single" w:sz="4" w:space="0" w:color="auto"/>
            </w:tcBorders>
            <w:tcMar>
              <w:top w:w="0" w:type="dxa"/>
              <w:left w:w="108" w:type="dxa"/>
              <w:bottom w:w="0" w:type="dxa"/>
              <w:right w:w="108" w:type="dxa"/>
            </w:tcMar>
          </w:tcPr>
          <w:p w14:paraId="0B0469B8" w14:textId="77777777" w:rsidR="00C94AFE" w:rsidRDefault="00C94AFE" w:rsidP="00526840">
            <w:pPr>
              <w:jc w:val="center"/>
              <w:rPr>
                <w:rFonts w:ascii="Arial" w:eastAsia="Arial" w:hAnsi="Arial" w:cs="Arial"/>
                <w:b/>
                <w:bCs/>
                <w:color w:val="000000" w:themeColor="text1"/>
                <w:sz w:val="20"/>
                <w:szCs w:val="20"/>
                <w:lang w:eastAsia="en-PH"/>
              </w:rPr>
            </w:pPr>
            <w:r>
              <w:rPr>
                <w:rFonts w:ascii="Arial" w:eastAsia="Arial" w:hAnsi="Arial" w:cs="Arial"/>
                <w:b/>
                <w:bCs/>
                <w:color w:val="000000" w:themeColor="text1"/>
                <w:sz w:val="20"/>
                <w:szCs w:val="20"/>
                <w:lang w:eastAsia="en-PH"/>
              </w:rPr>
              <w:t>Disaster Preparedness</w:t>
            </w:r>
          </w:p>
        </w:tc>
        <w:tc>
          <w:tcPr>
            <w:tcW w:w="2282" w:type="dxa"/>
            <w:gridSpan w:val="2"/>
            <w:tcBorders>
              <w:top w:val="single" w:sz="4" w:space="0" w:color="auto"/>
              <w:bottom w:val="single" w:sz="4" w:space="0" w:color="auto"/>
            </w:tcBorders>
          </w:tcPr>
          <w:p w14:paraId="435874E9" w14:textId="77777777" w:rsidR="00C94AFE" w:rsidRDefault="00C94AFE" w:rsidP="00526840">
            <w:pPr>
              <w:jc w:val="center"/>
              <w:rPr>
                <w:rFonts w:ascii="Arial" w:eastAsia="Arial" w:hAnsi="Arial" w:cs="Arial"/>
                <w:b/>
                <w:bCs/>
                <w:color w:val="000000" w:themeColor="text1"/>
                <w:sz w:val="20"/>
                <w:szCs w:val="20"/>
                <w:lang w:eastAsia="en-PH"/>
              </w:rPr>
            </w:pPr>
            <w:r>
              <w:rPr>
                <w:rFonts w:ascii="Arial" w:eastAsia="Arial" w:hAnsi="Arial" w:cs="Arial"/>
                <w:b/>
                <w:bCs/>
                <w:color w:val="000000" w:themeColor="text1"/>
                <w:sz w:val="20"/>
                <w:szCs w:val="20"/>
                <w:lang w:eastAsia="en-PH"/>
              </w:rPr>
              <w:t xml:space="preserve">Mean </w:t>
            </w:r>
          </w:p>
        </w:tc>
        <w:tc>
          <w:tcPr>
            <w:tcW w:w="2174" w:type="dxa"/>
            <w:tcBorders>
              <w:top w:val="single" w:sz="4" w:space="0" w:color="auto"/>
              <w:bottom w:val="single" w:sz="4" w:space="0" w:color="auto"/>
            </w:tcBorders>
          </w:tcPr>
          <w:p w14:paraId="3389F569" w14:textId="77777777" w:rsidR="00C94AFE" w:rsidRDefault="00C94AFE" w:rsidP="00526840">
            <w:pPr>
              <w:jc w:val="center"/>
              <w:rPr>
                <w:rFonts w:ascii="Arial" w:eastAsia="Arial" w:hAnsi="Arial" w:cs="Arial"/>
                <w:b/>
                <w:bCs/>
                <w:color w:val="000000" w:themeColor="text1"/>
                <w:sz w:val="20"/>
                <w:szCs w:val="20"/>
                <w:lang w:eastAsia="en-PH"/>
              </w:rPr>
            </w:pPr>
            <w:r>
              <w:rPr>
                <w:rFonts w:ascii="Arial" w:eastAsia="Arial" w:hAnsi="Arial" w:cs="Arial"/>
                <w:b/>
                <w:bCs/>
                <w:color w:val="000000" w:themeColor="text1"/>
                <w:sz w:val="20"/>
                <w:szCs w:val="20"/>
                <w:lang w:eastAsia="en-PH"/>
              </w:rPr>
              <w:t>Description</w:t>
            </w:r>
          </w:p>
        </w:tc>
      </w:tr>
      <w:tr w:rsidR="00C94AFE" w14:paraId="20A2E97B" w14:textId="77777777" w:rsidTr="00526840">
        <w:trPr>
          <w:trHeight w:val="290"/>
          <w:jc w:val="center"/>
        </w:trPr>
        <w:tc>
          <w:tcPr>
            <w:tcW w:w="3967" w:type="dxa"/>
            <w:tcBorders>
              <w:top w:val="single" w:sz="4" w:space="0" w:color="auto"/>
            </w:tcBorders>
            <w:tcMar>
              <w:top w:w="0" w:type="dxa"/>
              <w:left w:w="108" w:type="dxa"/>
              <w:bottom w:w="0" w:type="dxa"/>
              <w:right w:w="108" w:type="dxa"/>
            </w:tcMar>
            <w:vAlign w:val="bottom"/>
          </w:tcPr>
          <w:p w14:paraId="4CB48C70" w14:textId="77777777" w:rsidR="00C94AFE" w:rsidRDefault="00C94AFE" w:rsidP="00526840">
            <w:pPr>
              <w:rPr>
                <w:rFonts w:ascii="Arial" w:eastAsia="Arial" w:hAnsi="Arial" w:cs="Arial"/>
                <w:b/>
                <w:bCs/>
                <w:color w:val="000000" w:themeColor="text1"/>
                <w:sz w:val="20"/>
                <w:szCs w:val="20"/>
                <w:lang w:eastAsia="en-PH"/>
              </w:rPr>
            </w:pPr>
            <w:r>
              <w:rPr>
                <w:rFonts w:ascii="Arial" w:hAnsi="Arial" w:cs="Arial"/>
                <w:color w:val="000000" w:themeColor="text1"/>
                <w:sz w:val="20"/>
                <w:szCs w:val="20"/>
                <w:lang w:eastAsia="en-PH"/>
              </w:rPr>
              <w:t>1. I know when a disaster will happen.</w:t>
            </w:r>
          </w:p>
        </w:tc>
        <w:tc>
          <w:tcPr>
            <w:tcW w:w="2282" w:type="dxa"/>
            <w:gridSpan w:val="2"/>
            <w:tcBorders>
              <w:top w:val="single" w:sz="4" w:space="0" w:color="auto"/>
            </w:tcBorders>
            <w:vAlign w:val="center"/>
          </w:tcPr>
          <w:p w14:paraId="457C7C0E" w14:textId="77777777" w:rsidR="00C94AFE" w:rsidRDefault="00C94AFE" w:rsidP="00526840">
            <w:pPr>
              <w:jc w:val="cente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3.60</w:t>
            </w:r>
          </w:p>
        </w:tc>
        <w:tc>
          <w:tcPr>
            <w:tcW w:w="2282" w:type="dxa"/>
            <w:gridSpan w:val="2"/>
            <w:tcBorders>
              <w:top w:val="single" w:sz="4" w:space="0" w:color="auto"/>
            </w:tcBorders>
            <w:vAlign w:val="center"/>
          </w:tcPr>
          <w:p w14:paraId="53AFF6FB"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0E3F4E56" w14:textId="77777777" w:rsidTr="00526840">
        <w:trPr>
          <w:trHeight w:val="284"/>
          <w:jc w:val="center"/>
        </w:trPr>
        <w:tc>
          <w:tcPr>
            <w:tcW w:w="3967" w:type="dxa"/>
            <w:tcMar>
              <w:top w:w="0" w:type="dxa"/>
              <w:left w:w="108" w:type="dxa"/>
              <w:bottom w:w="0" w:type="dxa"/>
              <w:right w:w="108" w:type="dxa"/>
            </w:tcMar>
            <w:vAlign w:val="bottom"/>
          </w:tcPr>
          <w:p w14:paraId="24E3D58C" w14:textId="77777777" w:rsidR="00C94AFE" w:rsidRDefault="00C94AFE" w:rsidP="00526840">
            <w:pP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2. I know disasters cannot be prevented.</w:t>
            </w:r>
          </w:p>
        </w:tc>
        <w:tc>
          <w:tcPr>
            <w:tcW w:w="2282" w:type="dxa"/>
            <w:gridSpan w:val="2"/>
            <w:vAlign w:val="center"/>
          </w:tcPr>
          <w:p w14:paraId="538428BC"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3.81</w:t>
            </w:r>
          </w:p>
        </w:tc>
        <w:tc>
          <w:tcPr>
            <w:tcW w:w="2282" w:type="dxa"/>
            <w:gridSpan w:val="2"/>
            <w:vAlign w:val="center"/>
          </w:tcPr>
          <w:p w14:paraId="101B9C13"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1C56DC02" w14:textId="77777777" w:rsidTr="00526840">
        <w:trPr>
          <w:trHeight w:val="284"/>
          <w:jc w:val="center"/>
        </w:trPr>
        <w:tc>
          <w:tcPr>
            <w:tcW w:w="3967" w:type="dxa"/>
            <w:tcMar>
              <w:top w:w="0" w:type="dxa"/>
              <w:left w:w="108" w:type="dxa"/>
              <w:bottom w:w="0" w:type="dxa"/>
              <w:right w:w="108" w:type="dxa"/>
            </w:tcMar>
            <w:vAlign w:val="bottom"/>
          </w:tcPr>
          <w:p w14:paraId="2DACED05" w14:textId="77777777" w:rsidR="00C94AFE" w:rsidRDefault="00C94AFE" w:rsidP="00526840">
            <w:pP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3. I have attended disaster risk reduction and management training or seminars.</w:t>
            </w:r>
          </w:p>
        </w:tc>
        <w:tc>
          <w:tcPr>
            <w:tcW w:w="2282" w:type="dxa"/>
            <w:gridSpan w:val="2"/>
            <w:vAlign w:val="center"/>
          </w:tcPr>
          <w:p w14:paraId="5E0D9FFF"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3.48</w:t>
            </w:r>
          </w:p>
        </w:tc>
        <w:tc>
          <w:tcPr>
            <w:tcW w:w="2282" w:type="dxa"/>
            <w:gridSpan w:val="2"/>
            <w:vAlign w:val="center"/>
          </w:tcPr>
          <w:p w14:paraId="4BBFE8E8"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766B1430" w14:textId="77777777" w:rsidTr="00526840">
        <w:trPr>
          <w:trHeight w:val="387"/>
          <w:jc w:val="center"/>
        </w:trPr>
        <w:tc>
          <w:tcPr>
            <w:tcW w:w="3967" w:type="dxa"/>
            <w:tcMar>
              <w:top w:w="0" w:type="dxa"/>
              <w:left w:w="108" w:type="dxa"/>
              <w:bottom w:w="0" w:type="dxa"/>
              <w:right w:w="108" w:type="dxa"/>
            </w:tcMar>
            <w:vAlign w:val="bottom"/>
          </w:tcPr>
          <w:p w14:paraId="4B42F664" w14:textId="77777777" w:rsidR="00C94AFE" w:rsidRDefault="00C94AFE" w:rsidP="00526840">
            <w:pPr>
              <w:rPr>
                <w:rFonts w:ascii="Arial" w:eastAsia="Arial" w:hAnsi="Arial" w:cs="Arial"/>
                <w:b/>
                <w:bCs/>
                <w:color w:val="000000" w:themeColor="text1"/>
                <w:sz w:val="20"/>
                <w:szCs w:val="20"/>
                <w:lang w:eastAsia="en-PH"/>
              </w:rPr>
            </w:pPr>
            <w:r>
              <w:rPr>
                <w:rFonts w:ascii="Arial" w:hAnsi="Arial" w:cs="Arial"/>
                <w:color w:val="000000" w:themeColor="text1"/>
                <w:sz w:val="20"/>
                <w:szCs w:val="20"/>
                <w:lang w:eastAsia="en-PH"/>
              </w:rPr>
              <w:t>4. I know the government is ready to provide assistance after a disaster.</w:t>
            </w:r>
          </w:p>
        </w:tc>
        <w:tc>
          <w:tcPr>
            <w:tcW w:w="2282" w:type="dxa"/>
            <w:gridSpan w:val="2"/>
            <w:vAlign w:val="center"/>
          </w:tcPr>
          <w:p w14:paraId="62F346F9" w14:textId="77777777" w:rsidR="00C94AFE" w:rsidRDefault="00C94AFE" w:rsidP="00526840">
            <w:pPr>
              <w:jc w:val="center"/>
              <w:rPr>
                <w:rFonts w:ascii="Arial" w:hAnsi="Arial" w:cs="Arial"/>
                <w:b/>
                <w:bCs/>
                <w:color w:val="000000" w:themeColor="text1"/>
                <w:sz w:val="20"/>
                <w:szCs w:val="20"/>
                <w:lang w:eastAsia="en-PH"/>
              </w:rPr>
            </w:pPr>
            <w:r>
              <w:rPr>
                <w:rFonts w:ascii="Arial" w:hAnsi="Arial" w:cs="Arial"/>
                <w:color w:val="000000" w:themeColor="text1"/>
                <w:sz w:val="20"/>
                <w:szCs w:val="20"/>
                <w:lang w:eastAsia="en-PH"/>
              </w:rPr>
              <w:t>3.76</w:t>
            </w:r>
          </w:p>
        </w:tc>
        <w:tc>
          <w:tcPr>
            <w:tcW w:w="2282" w:type="dxa"/>
            <w:gridSpan w:val="2"/>
            <w:vAlign w:val="center"/>
          </w:tcPr>
          <w:p w14:paraId="29F6A6D5"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69EBE11A" w14:textId="77777777" w:rsidTr="00526840">
        <w:trPr>
          <w:trHeight w:val="284"/>
          <w:jc w:val="center"/>
        </w:trPr>
        <w:tc>
          <w:tcPr>
            <w:tcW w:w="3967" w:type="dxa"/>
            <w:tcMar>
              <w:top w:w="0" w:type="dxa"/>
              <w:left w:w="108" w:type="dxa"/>
              <w:bottom w:w="0" w:type="dxa"/>
              <w:right w:w="108" w:type="dxa"/>
            </w:tcMar>
            <w:vAlign w:val="bottom"/>
          </w:tcPr>
          <w:p w14:paraId="04F27B57" w14:textId="77777777" w:rsidR="00C94AFE" w:rsidRDefault="00C94AFE" w:rsidP="00526840">
            <w:pPr>
              <w:rPr>
                <w:rFonts w:ascii="Arial" w:eastAsia="Arial" w:hAnsi="Arial" w:cs="Arial"/>
                <w:b/>
                <w:bCs/>
                <w:color w:val="000000" w:themeColor="text1"/>
                <w:sz w:val="20"/>
                <w:szCs w:val="20"/>
                <w:lang w:eastAsia="en-PH"/>
              </w:rPr>
            </w:pPr>
            <w:r>
              <w:rPr>
                <w:rFonts w:ascii="Arial" w:hAnsi="Arial" w:cs="Arial"/>
                <w:color w:val="000000" w:themeColor="text1"/>
                <w:sz w:val="20"/>
                <w:szCs w:val="20"/>
                <w:lang w:eastAsia="en-PH"/>
              </w:rPr>
              <w:t>5. I know the importance of sharing knowledge and experiences of disaster.</w:t>
            </w:r>
          </w:p>
        </w:tc>
        <w:tc>
          <w:tcPr>
            <w:tcW w:w="2282" w:type="dxa"/>
            <w:gridSpan w:val="2"/>
            <w:vAlign w:val="center"/>
          </w:tcPr>
          <w:p w14:paraId="65725C7F" w14:textId="77777777" w:rsidR="00C94AFE" w:rsidRDefault="00C94AFE" w:rsidP="00526840">
            <w:pPr>
              <w:jc w:val="cente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4.22</w:t>
            </w:r>
          </w:p>
        </w:tc>
        <w:tc>
          <w:tcPr>
            <w:tcW w:w="2282" w:type="dxa"/>
            <w:gridSpan w:val="2"/>
            <w:vAlign w:val="center"/>
          </w:tcPr>
          <w:p w14:paraId="6F534E33"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Very High</w:t>
            </w:r>
          </w:p>
        </w:tc>
      </w:tr>
      <w:tr w:rsidR="00C94AFE" w14:paraId="7129D65F" w14:textId="77777777" w:rsidTr="00526840">
        <w:trPr>
          <w:trHeight w:val="284"/>
          <w:jc w:val="center"/>
        </w:trPr>
        <w:tc>
          <w:tcPr>
            <w:tcW w:w="3967" w:type="dxa"/>
            <w:tcMar>
              <w:top w:w="0" w:type="dxa"/>
              <w:left w:w="108" w:type="dxa"/>
              <w:bottom w:w="0" w:type="dxa"/>
              <w:right w:w="108" w:type="dxa"/>
            </w:tcMar>
            <w:vAlign w:val="bottom"/>
          </w:tcPr>
          <w:p w14:paraId="192795EA" w14:textId="77777777" w:rsidR="00C94AFE" w:rsidRDefault="00C94AFE" w:rsidP="00526840">
            <w:pP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6. I know the government will provide enough facilities after disaster and we will not face any problems.</w:t>
            </w:r>
          </w:p>
        </w:tc>
        <w:tc>
          <w:tcPr>
            <w:tcW w:w="2282" w:type="dxa"/>
            <w:gridSpan w:val="2"/>
            <w:vAlign w:val="center"/>
          </w:tcPr>
          <w:p w14:paraId="1EAEE1F7"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3.68</w:t>
            </w:r>
          </w:p>
        </w:tc>
        <w:tc>
          <w:tcPr>
            <w:tcW w:w="2282" w:type="dxa"/>
            <w:gridSpan w:val="2"/>
            <w:vAlign w:val="center"/>
          </w:tcPr>
          <w:p w14:paraId="361F7DCC"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244233DC" w14:textId="77777777" w:rsidTr="00526840">
        <w:trPr>
          <w:trHeight w:val="284"/>
          <w:jc w:val="center"/>
        </w:trPr>
        <w:tc>
          <w:tcPr>
            <w:tcW w:w="3967" w:type="dxa"/>
            <w:tcMar>
              <w:top w:w="0" w:type="dxa"/>
              <w:left w:w="108" w:type="dxa"/>
              <w:bottom w:w="0" w:type="dxa"/>
              <w:right w:w="108" w:type="dxa"/>
            </w:tcMar>
            <w:vAlign w:val="bottom"/>
          </w:tcPr>
          <w:p w14:paraId="6D11DD7D" w14:textId="77777777" w:rsidR="00C94AFE" w:rsidRDefault="00C94AFE" w:rsidP="00526840">
            <w:pP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7. I am confident that reconstruction activities can be implemented after a disaster.</w:t>
            </w:r>
          </w:p>
        </w:tc>
        <w:tc>
          <w:tcPr>
            <w:tcW w:w="2282" w:type="dxa"/>
            <w:gridSpan w:val="2"/>
            <w:vAlign w:val="center"/>
          </w:tcPr>
          <w:p w14:paraId="616B02AA"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3.52</w:t>
            </w:r>
          </w:p>
        </w:tc>
        <w:tc>
          <w:tcPr>
            <w:tcW w:w="2282" w:type="dxa"/>
            <w:gridSpan w:val="2"/>
            <w:vAlign w:val="center"/>
          </w:tcPr>
          <w:p w14:paraId="61521025"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6CE1CA77" w14:textId="77777777" w:rsidTr="00526840">
        <w:trPr>
          <w:trHeight w:val="284"/>
          <w:jc w:val="center"/>
        </w:trPr>
        <w:tc>
          <w:tcPr>
            <w:tcW w:w="3967" w:type="dxa"/>
            <w:tcMar>
              <w:top w:w="0" w:type="dxa"/>
              <w:left w:w="108" w:type="dxa"/>
              <w:bottom w:w="0" w:type="dxa"/>
              <w:right w:w="108" w:type="dxa"/>
            </w:tcMar>
            <w:vAlign w:val="bottom"/>
          </w:tcPr>
          <w:p w14:paraId="1ACC3F4A" w14:textId="77777777" w:rsidR="00C94AFE" w:rsidRDefault="00C94AFE" w:rsidP="00526840">
            <w:pP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8. I recognize the importance of making conversation about disasters with family members, relatives, neighbor, friends, and colleagues.</w:t>
            </w:r>
          </w:p>
        </w:tc>
        <w:tc>
          <w:tcPr>
            <w:tcW w:w="2282" w:type="dxa"/>
            <w:gridSpan w:val="2"/>
            <w:vAlign w:val="center"/>
          </w:tcPr>
          <w:p w14:paraId="28A4AE7C"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3.90</w:t>
            </w:r>
          </w:p>
        </w:tc>
        <w:tc>
          <w:tcPr>
            <w:tcW w:w="2282" w:type="dxa"/>
            <w:gridSpan w:val="2"/>
            <w:vAlign w:val="center"/>
          </w:tcPr>
          <w:p w14:paraId="50C69227"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760C6296" w14:textId="77777777" w:rsidTr="00526840">
        <w:trPr>
          <w:trHeight w:val="284"/>
          <w:jc w:val="center"/>
        </w:trPr>
        <w:tc>
          <w:tcPr>
            <w:tcW w:w="3967" w:type="dxa"/>
            <w:tcMar>
              <w:top w:w="0" w:type="dxa"/>
              <w:left w:w="108" w:type="dxa"/>
              <w:bottom w:w="0" w:type="dxa"/>
              <w:right w:w="108" w:type="dxa"/>
            </w:tcMar>
            <w:vAlign w:val="bottom"/>
          </w:tcPr>
          <w:p w14:paraId="2D213171" w14:textId="77777777" w:rsidR="00C94AFE" w:rsidRDefault="00C94AFE" w:rsidP="00526840">
            <w:pPr>
              <w:rPr>
                <w:rFonts w:ascii="Arial" w:eastAsia="Arial" w:hAnsi="Arial" w:cs="Arial"/>
                <w:b/>
                <w:bCs/>
                <w:color w:val="000000" w:themeColor="text1"/>
                <w:sz w:val="20"/>
                <w:szCs w:val="20"/>
                <w:lang w:eastAsia="en-PH"/>
              </w:rPr>
            </w:pPr>
            <w:r>
              <w:rPr>
                <w:rFonts w:ascii="Arial" w:hAnsi="Arial" w:cs="Arial"/>
                <w:color w:val="000000" w:themeColor="text1"/>
                <w:sz w:val="20"/>
                <w:szCs w:val="20"/>
                <w:lang w:eastAsia="en-PH"/>
              </w:rPr>
              <w:t>9. I gain enough knowledge about disaster experts who work or conduct activities for disaster risk reduction and management.</w:t>
            </w:r>
          </w:p>
        </w:tc>
        <w:tc>
          <w:tcPr>
            <w:tcW w:w="2282" w:type="dxa"/>
            <w:gridSpan w:val="2"/>
            <w:vAlign w:val="center"/>
          </w:tcPr>
          <w:p w14:paraId="6D72796A" w14:textId="77777777" w:rsidR="00C94AFE" w:rsidRDefault="00C94AFE" w:rsidP="00526840">
            <w:pPr>
              <w:jc w:val="center"/>
              <w:rPr>
                <w:rFonts w:ascii="Arial" w:hAnsi="Arial" w:cs="Arial"/>
                <w:b/>
                <w:bCs/>
                <w:color w:val="000000" w:themeColor="text1"/>
                <w:sz w:val="20"/>
                <w:szCs w:val="20"/>
                <w:lang w:eastAsia="en-PH"/>
              </w:rPr>
            </w:pPr>
            <w:r>
              <w:rPr>
                <w:rFonts w:ascii="Arial" w:hAnsi="Arial" w:cs="Arial"/>
                <w:color w:val="000000" w:themeColor="text1"/>
                <w:sz w:val="20"/>
                <w:szCs w:val="20"/>
                <w:lang w:eastAsia="en-PH"/>
              </w:rPr>
              <w:t>3.86</w:t>
            </w:r>
          </w:p>
        </w:tc>
        <w:tc>
          <w:tcPr>
            <w:tcW w:w="2282" w:type="dxa"/>
            <w:gridSpan w:val="2"/>
            <w:vAlign w:val="center"/>
          </w:tcPr>
          <w:p w14:paraId="5BA8CEA4"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3C423356" w14:textId="77777777" w:rsidTr="00526840">
        <w:trPr>
          <w:trHeight w:val="284"/>
          <w:jc w:val="center"/>
        </w:trPr>
        <w:tc>
          <w:tcPr>
            <w:tcW w:w="3967" w:type="dxa"/>
            <w:tcMar>
              <w:top w:w="0" w:type="dxa"/>
              <w:left w:w="108" w:type="dxa"/>
              <w:bottom w:w="0" w:type="dxa"/>
              <w:right w:w="108" w:type="dxa"/>
            </w:tcMar>
            <w:vAlign w:val="bottom"/>
          </w:tcPr>
          <w:p w14:paraId="542EFBBE" w14:textId="77777777" w:rsidR="00C94AFE" w:rsidRDefault="00C94AFE" w:rsidP="00526840">
            <w:pPr>
              <w:rPr>
                <w:rFonts w:ascii="Arial" w:eastAsia="Arial" w:hAnsi="Arial" w:cs="Arial"/>
                <w:b/>
                <w:bCs/>
                <w:color w:val="000000" w:themeColor="text1"/>
                <w:sz w:val="20"/>
                <w:szCs w:val="20"/>
                <w:lang w:eastAsia="en-PH"/>
              </w:rPr>
            </w:pPr>
            <w:r>
              <w:rPr>
                <w:rFonts w:ascii="Arial" w:hAnsi="Arial" w:cs="Arial"/>
                <w:color w:val="000000" w:themeColor="text1"/>
                <w:sz w:val="20"/>
                <w:szCs w:val="20"/>
                <w:lang w:eastAsia="en-PH"/>
              </w:rPr>
              <w:t>10. I am aware of the shelter areas, evacuation centers and open spaces in case of a disaster.</w:t>
            </w:r>
          </w:p>
        </w:tc>
        <w:tc>
          <w:tcPr>
            <w:tcW w:w="2282" w:type="dxa"/>
            <w:gridSpan w:val="2"/>
            <w:vAlign w:val="center"/>
          </w:tcPr>
          <w:p w14:paraId="297C8D8E" w14:textId="77777777" w:rsidR="00C94AFE" w:rsidRDefault="00C94AFE" w:rsidP="00526840">
            <w:pPr>
              <w:jc w:val="cente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3.78</w:t>
            </w:r>
          </w:p>
        </w:tc>
        <w:tc>
          <w:tcPr>
            <w:tcW w:w="2282" w:type="dxa"/>
            <w:gridSpan w:val="2"/>
            <w:vAlign w:val="center"/>
          </w:tcPr>
          <w:p w14:paraId="2A4F38C9"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76F55EEB" w14:textId="77777777" w:rsidTr="00526840">
        <w:trPr>
          <w:trHeight w:val="284"/>
          <w:jc w:val="center"/>
        </w:trPr>
        <w:tc>
          <w:tcPr>
            <w:tcW w:w="3967" w:type="dxa"/>
            <w:tcMar>
              <w:top w:w="0" w:type="dxa"/>
              <w:left w:w="108" w:type="dxa"/>
              <w:bottom w:w="0" w:type="dxa"/>
              <w:right w:w="108" w:type="dxa"/>
            </w:tcMar>
            <w:vAlign w:val="bottom"/>
          </w:tcPr>
          <w:p w14:paraId="52B84C8C" w14:textId="77777777" w:rsidR="00C94AFE" w:rsidRDefault="00C94AFE" w:rsidP="00526840">
            <w:pP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11. I am aware of which government office needs to be coordinated with after a disaster.</w:t>
            </w:r>
          </w:p>
        </w:tc>
        <w:tc>
          <w:tcPr>
            <w:tcW w:w="2282" w:type="dxa"/>
            <w:gridSpan w:val="2"/>
            <w:vAlign w:val="center"/>
          </w:tcPr>
          <w:p w14:paraId="035D7CB1"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3.63</w:t>
            </w:r>
          </w:p>
        </w:tc>
        <w:tc>
          <w:tcPr>
            <w:tcW w:w="2282" w:type="dxa"/>
            <w:gridSpan w:val="2"/>
            <w:vAlign w:val="center"/>
          </w:tcPr>
          <w:p w14:paraId="34854002"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097B9271" w14:textId="77777777" w:rsidTr="00526840">
        <w:trPr>
          <w:trHeight w:val="376"/>
          <w:jc w:val="center"/>
        </w:trPr>
        <w:tc>
          <w:tcPr>
            <w:tcW w:w="3967" w:type="dxa"/>
            <w:tcMar>
              <w:top w:w="0" w:type="dxa"/>
              <w:left w:w="108" w:type="dxa"/>
              <w:bottom w:w="0" w:type="dxa"/>
              <w:right w:w="108" w:type="dxa"/>
            </w:tcMar>
            <w:vAlign w:val="bottom"/>
          </w:tcPr>
          <w:p w14:paraId="3E47678A" w14:textId="77777777" w:rsidR="00C94AFE" w:rsidRDefault="00C94AFE" w:rsidP="00526840">
            <w:pP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12. I am informed about disaster prone areas.</w:t>
            </w:r>
          </w:p>
        </w:tc>
        <w:tc>
          <w:tcPr>
            <w:tcW w:w="2282" w:type="dxa"/>
            <w:gridSpan w:val="2"/>
            <w:vAlign w:val="center"/>
          </w:tcPr>
          <w:p w14:paraId="545BF0DF"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3.63</w:t>
            </w:r>
          </w:p>
        </w:tc>
        <w:tc>
          <w:tcPr>
            <w:tcW w:w="2282" w:type="dxa"/>
            <w:gridSpan w:val="2"/>
            <w:vAlign w:val="center"/>
          </w:tcPr>
          <w:p w14:paraId="66348FBF"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4F500E63" w14:textId="77777777" w:rsidTr="00526840">
        <w:trPr>
          <w:trHeight w:val="99"/>
          <w:jc w:val="center"/>
        </w:trPr>
        <w:tc>
          <w:tcPr>
            <w:tcW w:w="3967" w:type="dxa"/>
            <w:tcMar>
              <w:top w:w="0" w:type="dxa"/>
              <w:left w:w="108" w:type="dxa"/>
              <w:bottom w:w="0" w:type="dxa"/>
              <w:right w:w="108" w:type="dxa"/>
            </w:tcMar>
            <w:vAlign w:val="bottom"/>
          </w:tcPr>
          <w:p w14:paraId="64ADBCC9" w14:textId="77777777" w:rsidR="00C94AFE" w:rsidRDefault="00C94AFE" w:rsidP="00526840">
            <w:pP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13 . I am getting enough information about disaster adaptation from non-government organizations (NGO’s).</w:t>
            </w:r>
          </w:p>
        </w:tc>
        <w:tc>
          <w:tcPr>
            <w:tcW w:w="2282" w:type="dxa"/>
            <w:gridSpan w:val="2"/>
            <w:vAlign w:val="center"/>
          </w:tcPr>
          <w:p w14:paraId="78304CA6"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3.60</w:t>
            </w:r>
          </w:p>
        </w:tc>
        <w:tc>
          <w:tcPr>
            <w:tcW w:w="2282" w:type="dxa"/>
            <w:gridSpan w:val="2"/>
            <w:vAlign w:val="center"/>
          </w:tcPr>
          <w:p w14:paraId="6FF97024"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47C490BC" w14:textId="77777777" w:rsidTr="00526840">
        <w:trPr>
          <w:trHeight w:val="99"/>
          <w:jc w:val="center"/>
        </w:trPr>
        <w:tc>
          <w:tcPr>
            <w:tcW w:w="3967" w:type="dxa"/>
            <w:tcMar>
              <w:top w:w="0" w:type="dxa"/>
              <w:left w:w="108" w:type="dxa"/>
              <w:bottom w:w="0" w:type="dxa"/>
              <w:right w:w="108" w:type="dxa"/>
            </w:tcMar>
            <w:vAlign w:val="bottom"/>
          </w:tcPr>
          <w:p w14:paraId="4D44C8CD" w14:textId="77777777" w:rsidR="00C94AFE" w:rsidRDefault="00C94AFE" w:rsidP="00526840">
            <w:pP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14. I have knowledge about an evacuation area during a disaster.</w:t>
            </w:r>
          </w:p>
        </w:tc>
        <w:tc>
          <w:tcPr>
            <w:tcW w:w="2282" w:type="dxa"/>
            <w:gridSpan w:val="2"/>
            <w:vAlign w:val="center"/>
          </w:tcPr>
          <w:p w14:paraId="62D83C55"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3.73</w:t>
            </w:r>
          </w:p>
        </w:tc>
        <w:tc>
          <w:tcPr>
            <w:tcW w:w="2282" w:type="dxa"/>
            <w:gridSpan w:val="2"/>
            <w:vAlign w:val="center"/>
          </w:tcPr>
          <w:p w14:paraId="1C8F7D3F"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0911FE4F" w14:textId="77777777" w:rsidTr="00526840">
        <w:trPr>
          <w:trHeight w:val="99"/>
          <w:jc w:val="center"/>
        </w:trPr>
        <w:tc>
          <w:tcPr>
            <w:tcW w:w="3967" w:type="dxa"/>
            <w:tcMar>
              <w:top w:w="0" w:type="dxa"/>
              <w:left w:w="108" w:type="dxa"/>
              <w:bottom w:w="0" w:type="dxa"/>
              <w:right w:w="108" w:type="dxa"/>
            </w:tcMar>
            <w:vAlign w:val="bottom"/>
          </w:tcPr>
          <w:p w14:paraId="5AF154A3" w14:textId="77777777" w:rsidR="00C94AFE" w:rsidRDefault="00C94AFE" w:rsidP="00526840">
            <w:pP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 xml:space="preserve">15. I  know the importance of community activities for disaster risk reduction. </w:t>
            </w:r>
          </w:p>
        </w:tc>
        <w:tc>
          <w:tcPr>
            <w:tcW w:w="2282" w:type="dxa"/>
            <w:gridSpan w:val="2"/>
            <w:vAlign w:val="center"/>
          </w:tcPr>
          <w:p w14:paraId="7748D0F8"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3.76</w:t>
            </w:r>
          </w:p>
        </w:tc>
        <w:tc>
          <w:tcPr>
            <w:tcW w:w="2282" w:type="dxa"/>
            <w:gridSpan w:val="2"/>
            <w:vAlign w:val="center"/>
          </w:tcPr>
          <w:p w14:paraId="3F85BF8B"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1F386056" w14:textId="77777777" w:rsidTr="00526840">
        <w:trPr>
          <w:trHeight w:val="99"/>
          <w:jc w:val="center"/>
        </w:trPr>
        <w:tc>
          <w:tcPr>
            <w:tcW w:w="3967" w:type="dxa"/>
            <w:tcMar>
              <w:top w:w="0" w:type="dxa"/>
              <w:left w:w="108" w:type="dxa"/>
              <w:bottom w:w="0" w:type="dxa"/>
              <w:right w:w="108" w:type="dxa"/>
            </w:tcMar>
            <w:vAlign w:val="bottom"/>
          </w:tcPr>
          <w:p w14:paraId="1255C2C4" w14:textId="77777777" w:rsidR="00C94AFE" w:rsidRDefault="00C94AFE" w:rsidP="00526840">
            <w:pP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16. I am fully aware and informed about evacuation sy5-10 years and plan in my locality and barangay.</w:t>
            </w:r>
          </w:p>
        </w:tc>
        <w:tc>
          <w:tcPr>
            <w:tcW w:w="2282" w:type="dxa"/>
            <w:gridSpan w:val="2"/>
            <w:vAlign w:val="center"/>
          </w:tcPr>
          <w:p w14:paraId="7F1D972A"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3.80</w:t>
            </w:r>
          </w:p>
        </w:tc>
        <w:tc>
          <w:tcPr>
            <w:tcW w:w="2282" w:type="dxa"/>
            <w:gridSpan w:val="2"/>
            <w:vAlign w:val="center"/>
          </w:tcPr>
          <w:p w14:paraId="2D3D2EC7"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3303E99A" w14:textId="77777777" w:rsidTr="00526840">
        <w:trPr>
          <w:trHeight w:val="99"/>
          <w:jc w:val="center"/>
        </w:trPr>
        <w:tc>
          <w:tcPr>
            <w:tcW w:w="3967" w:type="dxa"/>
            <w:tcMar>
              <w:top w:w="0" w:type="dxa"/>
              <w:left w:w="108" w:type="dxa"/>
              <w:bottom w:w="0" w:type="dxa"/>
              <w:right w:w="108" w:type="dxa"/>
            </w:tcMar>
            <w:vAlign w:val="bottom"/>
          </w:tcPr>
          <w:p w14:paraId="50D48720" w14:textId="77777777" w:rsidR="00C94AFE" w:rsidRDefault="00C94AFE" w:rsidP="00526840">
            <w:pP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17.  I actively participate in disaster awareness campaigns.</w:t>
            </w:r>
          </w:p>
        </w:tc>
        <w:tc>
          <w:tcPr>
            <w:tcW w:w="2282" w:type="dxa"/>
            <w:gridSpan w:val="2"/>
            <w:vAlign w:val="center"/>
          </w:tcPr>
          <w:p w14:paraId="0450C632"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3.39</w:t>
            </w:r>
          </w:p>
        </w:tc>
        <w:tc>
          <w:tcPr>
            <w:tcW w:w="2282" w:type="dxa"/>
            <w:gridSpan w:val="2"/>
            <w:vAlign w:val="center"/>
          </w:tcPr>
          <w:p w14:paraId="29D03166"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Moderate</w:t>
            </w:r>
          </w:p>
        </w:tc>
      </w:tr>
      <w:tr w:rsidR="00C94AFE" w14:paraId="1669A0A9" w14:textId="77777777" w:rsidTr="00526840">
        <w:trPr>
          <w:trHeight w:val="99"/>
          <w:jc w:val="center"/>
        </w:trPr>
        <w:tc>
          <w:tcPr>
            <w:tcW w:w="3967" w:type="dxa"/>
            <w:tcMar>
              <w:top w:w="0" w:type="dxa"/>
              <w:left w:w="108" w:type="dxa"/>
              <w:bottom w:w="0" w:type="dxa"/>
              <w:right w:w="108" w:type="dxa"/>
            </w:tcMar>
            <w:vAlign w:val="bottom"/>
          </w:tcPr>
          <w:p w14:paraId="382580BA" w14:textId="77777777" w:rsidR="00C94AFE" w:rsidRDefault="00C94AFE" w:rsidP="00526840">
            <w:pP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18. I am aware of the importance of building or infrastructure retrofitting.</w:t>
            </w:r>
          </w:p>
        </w:tc>
        <w:tc>
          <w:tcPr>
            <w:tcW w:w="2282" w:type="dxa"/>
            <w:gridSpan w:val="2"/>
            <w:vAlign w:val="center"/>
          </w:tcPr>
          <w:p w14:paraId="11C839DD"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3.71</w:t>
            </w:r>
          </w:p>
        </w:tc>
        <w:tc>
          <w:tcPr>
            <w:tcW w:w="2282" w:type="dxa"/>
            <w:gridSpan w:val="2"/>
            <w:vAlign w:val="center"/>
          </w:tcPr>
          <w:p w14:paraId="4960820A"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7912544B" w14:textId="77777777" w:rsidTr="00526840">
        <w:trPr>
          <w:trHeight w:val="99"/>
          <w:jc w:val="center"/>
        </w:trPr>
        <w:tc>
          <w:tcPr>
            <w:tcW w:w="3967" w:type="dxa"/>
            <w:tcMar>
              <w:top w:w="0" w:type="dxa"/>
              <w:left w:w="108" w:type="dxa"/>
              <w:bottom w:w="0" w:type="dxa"/>
              <w:right w:w="108" w:type="dxa"/>
            </w:tcMar>
            <w:vAlign w:val="bottom"/>
          </w:tcPr>
          <w:p w14:paraId="6D4543DD" w14:textId="77777777" w:rsidR="00C94AFE" w:rsidRDefault="00C94AFE" w:rsidP="00526840">
            <w:pP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lastRenderedPageBreak/>
              <w:t>19. I am prepared with emergency kits and bags in case of disaster.</w:t>
            </w:r>
          </w:p>
        </w:tc>
        <w:tc>
          <w:tcPr>
            <w:tcW w:w="2282" w:type="dxa"/>
            <w:gridSpan w:val="2"/>
            <w:vAlign w:val="center"/>
          </w:tcPr>
          <w:p w14:paraId="154978A3"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3.54</w:t>
            </w:r>
          </w:p>
        </w:tc>
        <w:tc>
          <w:tcPr>
            <w:tcW w:w="2282" w:type="dxa"/>
            <w:gridSpan w:val="2"/>
            <w:vAlign w:val="center"/>
          </w:tcPr>
          <w:p w14:paraId="3EA5C8BA"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7D7A44BC" w14:textId="77777777" w:rsidTr="00526840">
        <w:trPr>
          <w:trHeight w:val="99"/>
          <w:jc w:val="center"/>
        </w:trPr>
        <w:tc>
          <w:tcPr>
            <w:tcW w:w="3967" w:type="dxa"/>
            <w:tcMar>
              <w:top w:w="0" w:type="dxa"/>
              <w:left w:w="108" w:type="dxa"/>
              <w:bottom w:w="0" w:type="dxa"/>
              <w:right w:w="108" w:type="dxa"/>
            </w:tcMar>
            <w:vAlign w:val="bottom"/>
          </w:tcPr>
          <w:p w14:paraId="4F38C173" w14:textId="77777777" w:rsidR="00C94AFE" w:rsidRDefault="00C94AFE" w:rsidP="00526840">
            <w:pPr>
              <w:rPr>
                <w:rFonts w:ascii="Arial" w:eastAsia="Arial" w:hAnsi="Arial" w:cs="Arial"/>
                <w:color w:val="000000" w:themeColor="text1"/>
                <w:sz w:val="20"/>
                <w:szCs w:val="20"/>
                <w:lang w:eastAsia="en-PH"/>
              </w:rPr>
            </w:pPr>
            <w:r>
              <w:rPr>
                <w:rFonts w:ascii="Arial" w:hAnsi="Arial" w:cs="Arial"/>
                <w:color w:val="000000" w:themeColor="text1"/>
                <w:sz w:val="20"/>
                <w:szCs w:val="20"/>
                <w:lang w:eastAsia="en-PH"/>
              </w:rPr>
              <w:t>20. I have a good relationship with my neighbors and community</w:t>
            </w:r>
          </w:p>
        </w:tc>
        <w:tc>
          <w:tcPr>
            <w:tcW w:w="2282" w:type="dxa"/>
            <w:gridSpan w:val="2"/>
            <w:vAlign w:val="center"/>
          </w:tcPr>
          <w:p w14:paraId="4F622A86"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3.78</w:t>
            </w:r>
          </w:p>
        </w:tc>
        <w:tc>
          <w:tcPr>
            <w:tcW w:w="2282" w:type="dxa"/>
            <w:gridSpan w:val="2"/>
            <w:vAlign w:val="center"/>
          </w:tcPr>
          <w:p w14:paraId="0406370B" w14:textId="77777777" w:rsidR="00C94AFE" w:rsidRDefault="00C94AFE" w:rsidP="00526840">
            <w:pPr>
              <w:jc w:val="center"/>
              <w:rPr>
                <w:rFonts w:ascii="Arial" w:hAnsi="Arial" w:cs="Arial"/>
                <w:color w:val="000000" w:themeColor="text1"/>
                <w:sz w:val="20"/>
                <w:szCs w:val="20"/>
                <w:lang w:eastAsia="en-PH"/>
              </w:rPr>
            </w:pPr>
            <w:r>
              <w:rPr>
                <w:rFonts w:ascii="Arial" w:hAnsi="Arial" w:cs="Arial"/>
                <w:color w:val="000000" w:themeColor="text1"/>
                <w:sz w:val="20"/>
                <w:szCs w:val="20"/>
                <w:lang w:eastAsia="en-PH"/>
              </w:rPr>
              <w:t>High</w:t>
            </w:r>
          </w:p>
        </w:tc>
      </w:tr>
      <w:tr w:rsidR="00C94AFE" w14:paraId="7CDF48FE" w14:textId="77777777" w:rsidTr="00526840">
        <w:trPr>
          <w:trHeight w:val="461"/>
          <w:jc w:val="center"/>
        </w:trPr>
        <w:tc>
          <w:tcPr>
            <w:tcW w:w="4075" w:type="dxa"/>
            <w:gridSpan w:val="2"/>
            <w:tcBorders>
              <w:bottom w:val="single" w:sz="4" w:space="0" w:color="auto"/>
            </w:tcBorders>
            <w:tcMar>
              <w:top w:w="0" w:type="dxa"/>
              <w:left w:w="108" w:type="dxa"/>
              <w:bottom w:w="0" w:type="dxa"/>
              <w:right w:w="108" w:type="dxa"/>
            </w:tcMar>
          </w:tcPr>
          <w:p w14:paraId="56ABD2C9" w14:textId="77777777" w:rsidR="00C94AFE" w:rsidRDefault="00C94AFE" w:rsidP="00526840">
            <w:pPr>
              <w:jc w:val="both"/>
              <w:rPr>
                <w:rFonts w:ascii="Arial" w:eastAsia="Arial" w:hAnsi="Arial" w:cs="Arial"/>
                <w:b/>
                <w:color w:val="000000" w:themeColor="text1"/>
                <w:sz w:val="20"/>
                <w:szCs w:val="20"/>
                <w:lang w:eastAsia="en-PH"/>
              </w:rPr>
            </w:pPr>
            <w:r>
              <w:rPr>
                <w:rFonts w:ascii="Arial" w:eastAsia="Arial" w:hAnsi="Arial" w:cs="Arial"/>
                <w:b/>
                <w:color w:val="000000" w:themeColor="text1"/>
                <w:sz w:val="20"/>
                <w:szCs w:val="20"/>
                <w:lang w:eastAsia="en-PH"/>
              </w:rPr>
              <w:t xml:space="preserve">Total </w:t>
            </w:r>
          </w:p>
        </w:tc>
        <w:tc>
          <w:tcPr>
            <w:tcW w:w="2282" w:type="dxa"/>
            <w:gridSpan w:val="2"/>
            <w:tcBorders>
              <w:bottom w:val="single" w:sz="4" w:space="0" w:color="auto"/>
            </w:tcBorders>
            <w:vAlign w:val="center"/>
          </w:tcPr>
          <w:p w14:paraId="18C257D7" w14:textId="77777777" w:rsidR="00C94AFE" w:rsidRDefault="00C94AFE" w:rsidP="00526840">
            <w:pPr>
              <w:jc w:val="center"/>
              <w:rPr>
                <w:rFonts w:ascii="Arial" w:hAnsi="Arial" w:cs="Arial"/>
                <w:b/>
                <w:color w:val="000000" w:themeColor="text1"/>
                <w:sz w:val="20"/>
                <w:szCs w:val="20"/>
                <w:lang w:eastAsia="en-PH"/>
              </w:rPr>
            </w:pPr>
            <w:r>
              <w:rPr>
                <w:rFonts w:ascii="Arial" w:hAnsi="Arial" w:cs="Arial"/>
                <w:b/>
                <w:color w:val="000000" w:themeColor="text1"/>
                <w:sz w:val="20"/>
                <w:szCs w:val="20"/>
                <w:lang w:eastAsia="en-PH"/>
              </w:rPr>
              <w:t>3.71</w:t>
            </w:r>
          </w:p>
        </w:tc>
        <w:tc>
          <w:tcPr>
            <w:tcW w:w="2174" w:type="dxa"/>
            <w:tcBorders>
              <w:bottom w:val="single" w:sz="4" w:space="0" w:color="auto"/>
            </w:tcBorders>
            <w:vAlign w:val="center"/>
          </w:tcPr>
          <w:p w14:paraId="72B09F61" w14:textId="77777777" w:rsidR="00C94AFE" w:rsidRDefault="00C94AFE" w:rsidP="00526840">
            <w:pPr>
              <w:jc w:val="center"/>
              <w:rPr>
                <w:rFonts w:ascii="Arial" w:hAnsi="Arial" w:cs="Arial"/>
                <w:b/>
                <w:color w:val="000000" w:themeColor="text1"/>
                <w:sz w:val="20"/>
                <w:szCs w:val="20"/>
                <w:lang w:eastAsia="en-PH"/>
              </w:rPr>
            </w:pPr>
            <w:r>
              <w:rPr>
                <w:rFonts w:ascii="Arial" w:hAnsi="Arial" w:cs="Arial"/>
                <w:b/>
                <w:color w:val="000000" w:themeColor="text1"/>
                <w:sz w:val="20"/>
                <w:szCs w:val="20"/>
                <w:lang w:eastAsia="en-PH"/>
              </w:rPr>
              <w:t>High</w:t>
            </w:r>
          </w:p>
        </w:tc>
      </w:tr>
    </w:tbl>
    <w:p w14:paraId="684686C3" w14:textId="77777777" w:rsidR="00A574C3" w:rsidRPr="00FF2146" w:rsidRDefault="00A574C3">
      <w:pPr>
        <w:jc w:val="both"/>
        <w:rPr>
          <w:rFonts w:ascii="Arial" w:hAnsi="Arial" w:cs="Arial"/>
          <w:b/>
          <w:iCs/>
          <w:sz w:val="20"/>
          <w:szCs w:val="20"/>
        </w:rPr>
      </w:pPr>
    </w:p>
    <w:p w14:paraId="21ED3F61" w14:textId="47C96E25" w:rsidR="0073677C" w:rsidRPr="007E5C64" w:rsidRDefault="0073677C" w:rsidP="0073677C">
      <w:pPr>
        <w:jc w:val="both"/>
        <w:rPr>
          <w:rFonts w:ascii="Arial" w:hAnsi="Arial" w:cs="Arial"/>
          <w:sz w:val="20"/>
          <w:szCs w:val="20"/>
        </w:rPr>
      </w:pPr>
    </w:p>
    <w:p w14:paraId="3B47CE7D" w14:textId="77777777" w:rsidR="003211AC" w:rsidRPr="003211AC" w:rsidRDefault="003211AC" w:rsidP="003211AC">
      <w:pPr>
        <w:jc w:val="both"/>
        <w:rPr>
          <w:rFonts w:ascii="Arial" w:hAnsi="Arial" w:cs="Arial"/>
          <w:sz w:val="20"/>
          <w:szCs w:val="20"/>
        </w:rPr>
      </w:pPr>
      <w:r w:rsidRPr="003211AC">
        <w:rPr>
          <w:rFonts w:ascii="Arial" w:hAnsi="Arial" w:cs="Arial"/>
          <w:sz w:val="20"/>
          <w:szCs w:val="20"/>
        </w:rPr>
        <w:t xml:space="preserve">Table 2 shows that overall, the respondents showed a high level of disaster preparedness, with a mean value of 3.71, which indicates that respondents are often prepared for disasters. Specifically, the highest statement is, “I know the importance of sharing knowledge and experiences of disaster,” with a mean value of 4.22 and a descriptive value of very high, meaning that teachers know how important it is to share information and experiences of disaster. The lowest statement, “I actively participate in disaster awareness campaigns,” has a mean score of 3.39 with a moderate descriptive level. This further suggests that the respondents actively participate in disaster awareness campaigns but only sometimes evident. </w:t>
      </w:r>
    </w:p>
    <w:p w14:paraId="72FCD91A" w14:textId="77777777" w:rsidR="003211AC" w:rsidRDefault="003211AC" w:rsidP="003211AC">
      <w:pPr>
        <w:jc w:val="both"/>
        <w:rPr>
          <w:rFonts w:ascii="Arial" w:hAnsi="Arial" w:cs="Arial"/>
          <w:sz w:val="20"/>
          <w:szCs w:val="20"/>
        </w:rPr>
      </w:pPr>
    </w:p>
    <w:p w14:paraId="266DB0D2" w14:textId="0707433E" w:rsidR="00B712CE" w:rsidRDefault="003211AC" w:rsidP="003211AC">
      <w:pPr>
        <w:jc w:val="both"/>
        <w:rPr>
          <w:rFonts w:ascii="Arial" w:hAnsi="Arial" w:cs="Arial"/>
          <w:sz w:val="20"/>
          <w:szCs w:val="20"/>
        </w:rPr>
      </w:pPr>
      <w:r w:rsidRPr="003211AC">
        <w:rPr>
          <w:rFonts w:ascii="Arial" w:hAnsi="Arial" w:cs="Arial"/>
          <w:sz w:val="20"/>
          <w:szCs w:val="20"/>
        </w:rPr>
        <w:t>The data presented in Table 2 indicates that the teachers, who were the respondents, demonstrated a high level of readiness for disasters, as ev</w:t>
      </w:r>
      <w:r w:rsidR="00E93880">
        <w:rPr>
          <w:rFonts w:ascii="Arial" w:hAnsi="Arial" w:cs="Arial"/>
          <w:sz w:val="20"/>
          <w:szCs w:val="20"/>
        </w:rPr>
        <w:t xml:space="preserve">idenced by a mean score of 3.71. </w:t>
      </w:r>
      <w:r w:rsidRPr="003211AC">
        <w:rPr>
          <w:rFonts w:ascii="Arial" w:hAnsi="Arial" w:cs="Arial"/>
          <w:sz w:val="20"/>
          <w:szCs w:val="20"/>
        </w:rPr>
        <w:t>This suggests that the teachers were well-prepared to respond to and mitigate disasters. Notably, the statement "I know the importance of sharing knowledge and experiences of disaster" received the highest mean value of 4.22, indicating that the teachers acknowledged the importance of sharing information and experiences related to disaster</w:t>
      </w:r>
      <w:r w:rsidR="00E93880">
        <w:rPr>
          <w:rFonts w:ascii="Arial" w:hAnsi="Arial" w:cs="Arial"/>
          <w:sz w:val="20"/>
          <w:szCs w:val="20"/>
        </w:rPr>
        <w:t xml:space="preserve"> preparedness. </w:t>
      </w:r>
      <w:r w:rsidRPr="003211AC">
        <w:rPr>
          <w:rFonts w:ascii="Arial" w:hAnsi="Arial" w:cs="Arial"/>
          <w:sz w:val="20"/>
          <w:szCs w:val="20"/>
        </w:rPr>
        <w:t>On the other hand, the statement "I actively participate in disaster awareness campaigns" received the lowest mean score of 3.39, suggesting a moderate level of engagement in such activities. These results imply that while the teachers recognize the significance of knowledge sharing, there is room for improvement in their active involvement in disaster awareness campaigns.</w:t>
      </w:r>
    </w:p>
    <w:p w14:paraId="3AAFACD4" w14:textId="77777777" w:rsidR="003211AC" w:rsidRDefault="003211AC" w:rsidP="003211AC">
      <w:pPr>
        <w:jc w:val="both"/>
        <w:rPr>
          <w:rFonts w:ascii="Arial" w:hAnsi="Arial" w:cs="Arial"/>
          <w:b/>
          <w:bCs/>
          <w:iCs/>
          <w:sz w:val="20"/>
          <w:szCs w:val="20"/>
        </w:rPr>
      </w:pPr>
    </w:p>
    <w:p w14:paraId="7A385026" w14:textId="015D04FF" w:rsidR="00FB1E60" w:rsidRDefault="00781D5E" w:rsidP="00B371EC">
      <w:pPr>
        <w:jc w:val="both"/>
        <w:rPr>
          <w:rFonts w:ascii="Arial" w:hAnsi="Arial" w:cs="Arial"/>
          <w:b/>
          <w:bCs/>
          <w:iCs/>
          <w:sz w:val="20"/>
          <w:szCs w:val="20"/>
        </w:rPr>
      </w:pPr>
      <w:r w:rsidRPr="007E5C64">
        <w:rPr>
          <w:rFonts w:ascii="Arial" w:hAnsi="Arial" w:cs="Arial"/>
          <w:b/>
          <w:bCs/>
          <w:iCs/>
          <w:sz w:val="20"/>
          <w:szCs w:val="20"/>
        </w:rPr>
        <w:t xml:space="preserve">3.3 </w:t>
      </w:r>
      <w:r w:rsidR="00B371EC" w:rsidRPr="00B371EC">
        <w:rPr>
          <w:rFonts w:ascii="Arial" w:hAnsi="Arial" w:cs="Arial"/>
          <w:b/>
          <w:bCs/>
          <w:iCs/>
          <w:sz w:val="20"/>
          <w:szCs w:val="20"/>
        </w:rPr>
        <w:t>Significant Difference in Disaster Preparedness</w:t>
      </w:r>
      <w:r w:rsidR="00B371EC">
        <w:rPr>
          <w:rFonts w:ascii="Arial" w:hAnsi="Arial" w:cs="Arial"/>
          <w:b/>
          <w:bCs/>
          <w:iCs/>
          <w:sz w:val="20"/>
          <w:szCs w:val="20"/>
        </w:rPr>
        <w:t xml:space="preserve"> </w:t>
      </w:r>
      <w:r w:rsidR="00B371EC" w:rsidRPr="00B371EC">
        <w:rPr>
          <w:rFonts w:ascii="Arial" w:hAnsi="Arial" w:cs="Arial"/>
          <w:b/>
          <w:bCs/>
          <w:iCs/>
          <w:sz w:val="20"/>
          <w:szCs w:val="20"/>
        </w:rPr>
        <w:t>of Public School Teachers in terms of Sex</w:t>
      </w:r>
    </w:p>
    <w:p w14:paraId="104A6789" w14:textId="77777777" w:rsidR="00FB1E60" w:rsidRDefault="00FB1E60" w:rsidP="00C2756B">
      <w:pPr>
        <w:jc w:val="both"/>
        <w:rPr>
          <w:rFonts w:ascii="Arial" w:hAnsi="Arial" w:cs="Arial"/>
          <w:b/>
          <w:bCs/>
          <w:iCs/>
          <w:sz w:val="20"/>
          <w:szCs w:val="20"/>
        </w:rPr>
      </w:pPr>
    </w:p>
    <w:p w14:paraId="6D8E81B7" w14:textId="5AE97AB9" w:rsidR="00C2756B" w:rsidRPr="00C2756B" w:rsidRDefault="00180859" w:rsidP="00C2756B">
      <w:pPr>
        <w:jc w:val="both"/>
        <w:rPr>
          <w:rFonts w:ascii="Arial" w:hAnsi="Arial" w:cs="Arial"/>
          <w:i/>
          <w:sz w:val="20"/>
          <w:szCs w:val="20"/>
        </w:rPr>
      </w:pPr>
      <w:r w:rsidRPr="007E5C64">
        <w:rPr>
          <w:rFonts w:ascii="Arial" w:hAnsi="Arial" w:cs="Arial"/>
          <w:iCs/>
          <w:sz w:val="20"/>
          <w:szCs w:val="20"/>
        </w:rPr>
        <w:t>Table 3</w:t>
      </w:r>
      <w:r w:rsidR="00781D5E" w:rsidRPr="007E5C64">
        <w:rPr>
          <w:rFonts w:ascii="Arial" w:hAnsi="Arial" w:cs="Arial"/>
          <w:iCs/>
          <w:sz w:val="20"/>
          <w:szCs w:val="20"/>
        </w:rPr>
        <w:t>.</w:t>
      </w:r>
      <w:r w:rsidRPr="007E5C64">
        <w:rPr>
          <w:rFonts w:ascii="Arial" w:hAnsi="Arial" w:cs="Arial"/>
          <w:iCs/>
          <w:sz w:val="20"/>
          <w:szCs w:val="20"/>
        </w:rPr>
        <w:t xml:space="preserve">  </w:t>
      </w:r>
      <w:r w:rsidR="00B371EC" w:rsidRPr="00B371EC">
        <w:rPr>
          <w:rFonts w:ascii="Arial" w:hAnsi="Arial" w:cs="Arial"/>
          <w:i/>
          <w:sz w:val="20"/>
          <w:szCs w:val="20"/>
        </w:rPr>
        <w:t>Significant Difference in Disaster Preparedness of Public School Teachers in terms of Sex</w:t>
      </w:r>
    </w:p>
    <w:p w14:paraId="3E38AC03" w14:textId="203D5FBC" w:rsidR="00D815DA" w:rsidRPr="007E5C64" w:rsidRDefault="00D815DA" w:rsidP="00F927B2">
      <w:pPr>
        <w:jc w:val="both"/>
        <w:rPr>
          <w:rFonts w:ascii="Arial" w:hAnsi="Arial" w:cs="Arial"/>
          <w:i/>
          <w:sz w:val="20"/>
          <w:szCs w:val="20"/>
        </w:rPr>
      </w:pPr>
    </w:p>
    <w:p w14:paraId="3580D37C" w14:textId="77777777" w:rsidR="00017E5D" w:rsidRPr="007E5C64" w:rsidRDefault="00017E5D" w:rsidP="00F927B2">
      <w:pPr>
        <w:jc w:val="both"/>
        <w:rPr>
          <w:rFonts w:ascii="Arial" w:hAnsi="Arial" w:cs="Arial"/>
          <w:iCs/>
          <w:sz w:val="20"/>
          <w:szCs w:val="20"/>
        </w:rPr>
      </w:pPr>
    </w:p>
    <w:tbl>
      <w:tblPr>
        <w:tblStyle w:val="TableGrid"/>
        <w:tblpPr w:leftFromText="180" w:rightFromText="180" w:vertAnchor="text" w:horzAnchor="margin" w:tblpXSpec="center" w:tblpY="-208"/>
        <w:tblW w:w="7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1207"/>
        <w:gridCol w:w="1115"/>
        <w:gridCol w:w="1292"/>
        <w:gridCol w:w="1121"/>
        <w:gridCol w:w="1139"/>
      </w:tblGrid>
      <w:tr w:rsidR="00207C55" w14:paraId="4A3A0AC8" w14:textId="77777777" w:rsidTr="00207C55">
        <w:trPr>
          <w:trHeight w:val="138"/>
        </w:trPr>
        <w:tc>
          <w:tcPr>
            <w:tcW w:w="1622" w:type="dxa"/>
            <w:tcBorders>
              <w:top w:val="single" w:sz="4" w:space="0" w:color="auto"/>
              <w:bottom w:val="single" w:sz="4" w:space="0" w:color="auto"/>
            </w:tcBorders>
          </w:tcPr>
          <w:p w14:paraId="0F59B1F2" w14:textId="77777777" w:rsidR="00207C55" w:rsidRDefault="00207C55" w:rsidP="00526840">
            <w:pPr>
              <w:jc w:val="both"/>
              <w:rPr>
                <w:rFonts w:ascii="Arial" w:hAnsi="Arial" w:cs="Arial"/>
                <w:b/>
                <w:bCs/>
                <w:color w:val="000000" w:themeColor="text1"/>
                <w:sz w:val="22"/>
                <w:szCs w:val="22"/>
                <w:lang w:val="en-US"/>
              </w:rPr>
            </w:pPr>
          </w:p>
          <w:p w14:paraId="7F0C59AA" w14:textId="77777777" w:rsidR="00207C55" w:rsidRDefault="00207C55" w:rsidP="00526840">
            <w:pPr>
              <w:jc w:val="both"/>
              <w:rPr>
                <w:rFonts w:ascii="Arial" w:hAnsi="Arial" w:cs="Arial"/>
                <w:b/>
                <w:bCs/>
                <w:color w:val="000000" w:themeColor="text1"/>
                <w:sz w:val="22"/>
                <w:szCs w:val="22"/>
                <w:lang w:val="en-US"/>
              </w:rPr>
            </w:pPr>
            <w:r>
              <w:rPr>
                <w:rFonts w:ascii="Arial" w:hAnsi="Arial" w:cs="Arial"/>
                <w:b/>
                <w:bCs/>
                <w:color w:val="000000" w:themeColor="text1"/>
                <w:sz w:val="22"/>
                <w:szCs w:val="22"/>
                <w:lang w:val="en-US"/>
              </w:rPr>
              <w:t>Demographic Profile</w:t>
            </w:r>
          </w:p>
          <w:p w14:paraId="17D8DD46" w14:textId="77777777" w:rsidR="00207C55" w:rsidRDefault="00207C55" w:rsidP="00526840">
            <w:pPr>
              <w:jc w:val="both"/>
              <w:rPr>
                <w:rFonts w:ascii="Arial" w:hAnsi="Arial" w:cs="Arial"/>
                <w:b/>
                <w:bCs/>
                <w:color w:val="000000" w:themeColor="text1"/>
                <w:sz w:val="22"/>
                <w:szCs w:val="22"/>
                <w:lang w:val="en-US"/>
              </w:rPr>
            </w:pPr>
          </w:p>
        </w:tc>
        <w:tc>
          <w:tcPr>
            <w:tcW w:w="1207" w:type="dxa"/>
            <w:tcBorders>
              <w:top w:val="single" w:sz="4" w:space="0" w:color="auto"/>
              <w:bottom w:val="single" w:sz="4" w:space="0" w:color="auto"/>
            </w:tcBorders>
          </w:tcPr>
          <w:p w14:paraId="75AD8C7C" w14:textId="77777777" w:rsidR="00207C55" w:rsidRDefault="00207C55" w:rsidP="00526840">
            <w:pPr>
              <w:jc w:val="both"/>
              <w:rPr>
                <w:rFonts w:ascii="Arial" w:eastAsia="Arial" w:hAnsi="Arial" w:cs="Arial"/>
                <w:b/>
                <w:color w:val="000000" w:themeColor="text1"/>
                <w:sz w:val="22"/>
                <w:szCs w:val="22"/>
                <w:lang w:val="en-US"/>
              </w:rPr>
            </w:pPr>
          </w:p>
        </w:tc>
        <w:tc>
          <w:tcPr>
            <w:tcW w:w="1115" w:type="dxa"/>
            <w:tcBorders>
              <w:top w:val="single" w:sz="4" w:space="0" w:color="auto"/>
              <w:bottom w:val="single" w:sz="4" w:space="0" w:color="auto"/>
            </w:tcBorders>
          </w:tcPr>
          <w:p w14:paraId="1DF36AE2" w14:textId="77777777" w:rsidR="00207C55" w:rsidRDefault="00207C55" w:rsidP="00526840">
            <w:pPr>
              <w:jc w:val="both"/>
              <w:rPr>
                <w:rFonts w:ascii="Arial" w:hAnsi="Arial" w:cs="Arial"/>
                <w:b/>
                <w:bCs/>
                <w:color w:val="000000" w:themeColor="text1"/>
                <w:sz w:val="22"/>
                <w:szCs w:val="22"/>
                <w:lang w:val="en-US"/>
              </w:rPr>
            </w:pPr>
          </w:p>
          <w:p w14:paraId="1E582111" w14:textId="77777777" w:rsidR="00207C55" w:rsidRDefault="00207C55" w:rsidP="00526840">
            <w:pPr>
              <w:jc w:val="both"/>
              <w:rPr>
                <w:rFonts w:ascii="Arial" w:eastAsia="Arial" w:hAnsi="Arial" w:cs="Arial"/>
                <w:b/>
                <w:color w:val="000000" w:themeColor="text1"/>
                <w:sz w:val="22"/>
                <w:szCs w:val="22"/>
                <w:lang w:val="en-US"/>
              </w:rPr>
            </w:pPr>
            <w:r>
              <w:rPr>
                <w:rFonts w:ascii="Arial" w:hAnsi="Arial" w:cs="Arial"/>
                <w:b/>
                <w:bCs/>
                <w:color w:val="000000" w:themeColor="text1"/>
                <w:sz w:val="22"/>
                <w:szCs w:val="22"/>
                <w:lang w:val="en-US"/>
              </w:rPr>
              <w:t>Mean</w:t>
            </w:r>
          </w:p>
        </w:tc>
        <w:tc>
          <w:tcPr>
            <w:tcW w:w="1292" w:type="dxa"/>
            <w:tcBorders>
              <w:top w:val="single" w:sz="4" w:space="0" w:color="auto"/>
              <w:bottom w:val="single" w:sz="4" w:space="0" w:color="auto"/>
            </w:tcBorders>
            <w:vAlign w:val="bottom"/>
          </w:tcPr>
          <w:p w14:paraId="35F94F29" w14:textId="77777777" w:rsidR="00207C55" w:rsidRDefault="00207C55" w:rsidP="00526840">
            <w:pPr>
              <w:jc w:val="both"/>
              <w:rPr>
                <w:rFonts w:ascii="Arial" w:eastAsia="Arial" w:hAnsi="Arial" w:cs="Arial"/>
                <w:b/>
                <w:color w:val="000000" w:themeColor="text1"/>
                <w:sz w:val="22"/>
                <w:szCs w:val="22"/>
                <w:lang w:val="en-US"/>
              </w:rPr>
            </w:pPr>
            <w:r>
              <w:rPr>
                <w:rFonts w:ascii="Arial" w:hAnsi="Arial" w:cs="Arial"/>
                <w:b/>
                <w:bCs/>
                <w:color w:val="000000" w:themeColor="text1"/>
                <w:sz w:val="22"/>
                <w:szCs w:val="22"/>
                <w:lang w:val="en-US"/>
              </w:rPr>
              <w:t>Mean Difference</w:t>
            </w:r>
          </w:p>
        </w:tc>
        <w:tc>
          <w:tcPr>
            <w:tcW w:w="1121" w:type="dxa"/>
            <w:tcBorders>
              <w:top w:val="single" w:sz="4" w:space="0" w:color="auto"/>
              <w:bottom w:val="single" w:sz="4" w:space="0" w:color="auto"/>
            </w:tcBorders>
          </w:tcPr>
          <w:p w14:paraId="385EA466" w14:textId="77777777" w:rsidR="00207C55" w:rsidRDefault="00207C55" w:rsidP="00526840">
            <w:pPr>
              <w:jc w:val="both"/>
              <w:rPr>
                <w:rFonts w:ascii="Arial" w:hAnsi="Arial" w:cs="Arial"/>
                <w:b/>
                <w:bCs/>
                <w:color w:val="000000" w:themeColor="text1"/>
                <w:sz w:val="22"/>
                <w:szCs w:val="22"/>
                <w:lang w:val="en-US"/>
              </w:rPr>
            </w:pPr>
          </w:p>
          <w:p w14:paraId="21D5A1FE" w14:textId="77777777" w:rsidR="00207C55" w:rsidRDefault="00207C55" w:rsidP="00526840">
            <w:pPr>
              <w:jc w:val="both"/>
              <w:rPr>
                <w:rFonts w:ascii="Arial" w:hAnsi="Arial" w:cs="Arial"/>
                <w:b/>
                <w:bCs/>
                <w:color w:val="000000" w:themeColor="text1"/>
                <w:sz w:val="22"/>
                <w:szCs w:val="22"/>
                <w:lang w:val="en-US"/>
              </w:rPr>
            </w:pPr>
            <w:r>
              <w:rPr>
                <w:rFonts w:ascii="Arial" w:hAnsi="Arial" w:cs="Arial"/>
                <w:b/>
                <w:bCs/>
                <w:color w:val="000000" w:themeColor="text1"/>
                <w:sz w:val="22"/>
                <w:szCs w:val="22"/>
                <w:lang w:val="en-US"/>
              </w:rPr>
              <w:t>t-value</w:t>
            </w:r>
          </w:p>
        </w:tc>
        <w:tc>
          <w:tcPr>
            <w:tcW w:w="1139" w:type="dxa"/>
            <w:tcBorders>
              <w:top w:val="single" w:sz="4" w:space="0" w:color="auto"/>
              <w:bottom w:val="single" w:sz="4" w:space="0" w:color="auto"/>
            </w:tcBorders>
            <w:vAlign w:val="bottom"/>
          </w:tcPr>
          <w:p w14:paraId="1BB444F3" w14:textId="77777777" w:rsidR="00207C55" w:rsidRDefault="00207C55" w:rsidP="00526840">
            <w:pPr>
              <w:jc w:val="both"/>
              <w:rPr>
                <w:rFonts w:ascii="Arial" w:eastAsia="Arial" w:hAnsi="Arial" w:cs="Arial"/>
                <w:b/>
                <w:color w:val="000000" w:themeColor="text1"/>
                <w:sz w:val="22"/>
                <w:szCs w:val="22"/>
                <w:lang w:val="en-US"/>
              </w:rPr>
            </w:pPr>
            <w:r>
              <w:rPr>
                <w:rFonts w:ascii="Arial" w:hAnsi="Arial" w:cs="Arial"/>
                <w:b/>
                <w:bCs/>
                <w:color w:val="000000" w:themeColor="text1"/>
                <w:sz w:val="22"/>
                <w:szCs w:val="22"/>
                <w:lang w:val="en-US"/>
              </w:rPr>
              <w:t>Sig. (2-tailed)</w:t>
            </w:r>
          </w:p>
        </w:tc>
      </w:tr>
      <w:tr w:rsidR="00207C55" w14:paraId="0B9F1EAB" w14:textId="77777777" w:rsidTr="00207C55">
        <w:trPr>
          <w:trHeight w:val="129"/>
        </w:trPr>
        <w:tc>
          <w:tcPr>
            <w:tcW w:w="1622" w:type="dxa"/>
            <w:tcBorders>
              <w:top w:val="single" w:sz="4" w:space="0" w:color="auto"/>
            </w:tcBorders>
          </w:tcPr>
          <w:p w14:paraId="2FBC67FC" w14:textId="77777777" w:rsidR="00207C55" w:rsidRDefault="00207C55" w:rsidP="00526840">
            <w:pPr>
              <w:jc w:val="both"/>
              <w:rPr>
                <w:rFonts w:ascii="Arial" w:eastAsia="Arial" w:hAnsi="Arial" w:cs="Arial"/>
                <w:b/>
                <w:color w:val="000000" w:themeColor="text1"/>
                <w:sz w:val="22"/>
                <w:szCs w:val="22"/>
                <w:lang w:val="en-US"/>
              </w:rPr>
            </w:pPr>
            <w:r>
              <w:rPr>
                <w:rFonts w:ascii="Arial" w:eastAsia="Arial" w:hAnsi="Arial" w:cs="Arial"/>
                <w:b/>
                <w:color w:val="000000" w:themeColor="text1"/>
                <w:sz w:val="22"/>
                <w:szCs w:val="22"/>
                <w:lang w:val="en-US"/>
              </w:rPr>
              <w:t>Sex</w:t>
            </w:r>
          </w:p>
        </w:tc>
        <w:tc>
          <w:tcPr>
            <w:tcW w:w="1207" w:type="dxa"/>
            <w:tcBorders>
              <w:top w:val="single" w:sz="4" w:space="0" w:color="auto"/>
            </w:tcBorders>
          </w:tcPr>
          <w:p w14:paraId="69EDF367" w14:textId="77777777" w:rsidR="00207C55" w:rsidRDefault="00207C55" w:rsidP="00526840">
            <w:pPr>
              <w:jc w:val="both"/>
              <w:rPr>
                <w:rFonts w:ascii="Arial" w:eastAsia="Arial" w:hAnsi="Arial" w:cs="Arial"/>
                <w:b/>
                <w:color w:val="000000" w:themeColor="text1"/>
                <w:sz w:val="22"/>
                <w:szCs w:val="22"/>
                <w:lang w:val="en-US"/>
              </w:rPr>
            </w:pPr>
            <w:r>
              <w:rPr>
                <w:rFonts w:ascii="Arial" w:eastAsia="Arial" w:hAnsi="Arial" w:cs="Arial"/>
                <w:b/>
                <w:color w:val="000000" w:themeColor="text1"/>
                <w:sz w:val="22"/>
                <w:szCs w:val="22"/>
                <w:lang w:val="en-US"/>
              </w:rPr>
              <w:t>FEMALE</w:t>
            </w:r>
          </w:p>
        </w:tc>
        <w:tc>
          <w:tcPr>
            <w:tcW w:w="1115" w:type="dxa"/>
            <w:tcBorders>
              <w:top w:val="single" w:sz="4" w:space="0" w:color="auto"/>
            </w:tcBorders>
            <w:vAlign w:val="center"/>
          </w:tcPr>
          <w:p w14:paraId="689FB3D9" w14:textId="77777777" w:rsidR="00207C55" w:rsidRDefault="00207C55" w:rsidP="00526840">
            <w:pPr>
              <w:jc w:val="both"/>
              <w:rPr>
                <w:rFonts w:ascii="Arial" w:eastAsia="Arial" w:hAnsi="Arial" w:cs="Arial"/>
                <w:b/>
                <w:color w:val="000000" w:themeColor="text1"/>
                <w:sz w:val="22"/>
                <w:szCs w:val="22"/>
                <w:lang w:val="en-US"/>
              </w:rPr>
            </w:pPr>
            <w:r>
              <w:rPr>
                <w:rFonts w:ascii="Arial" w:hAnsi="Arial" w:cs="Arial"/>
                <w:color w:val="000000" w:themeColor="text1"/>
                <w:sz w:val="22"/>
                <w:szCs w:val="22"/>
                <w:lang w:val="en-US"/>
              </w:rPr>
              <w:t>3.776</w:t>
            </w:r>
          </w:p>
        </w:tc>
        <w:tc>
          <w:tcPr>
            <w:tcW w:w="1292" w:type="dxa"/>
            <w:vMerge w:val="restart"/>
            <w:tcBorders>
              <w:top w:val="single" w:sz="4" w:space="0" w:color="auto"/>
            </w:tcBorders>
          </w:tcPr>
          <w:p w14:paraId="51C36838" w14:textId="77777777" w:rsidR="00207C55" w:rsidRDefault="00207C55" w:rsidP="00526840">
            <w:pPr>
              <w:jc w:val="both"/>
              <w:rPr>
                <w:rFonts w:ascii="Arial" w:eastAsia="Arial" w:hAnsi="Arial" w:cs="Arial"/>
                <w:bCs/>
                <w:color w:val="000000" w:themeColor="text1"/>
                <w:sz w:val="22"/>
                <w:szCs w:val="22"/>
                <w:lang w:val="en-US"/>
              </w:rPr>
            </w:pPr>
            <w:r>
              <w:rPr>
                <w:rFonts w:ascii="Arial" w:eastAsia="Arial" w:hAnsi="Arial" w:cs="Arial"/>
                <w:bCs/>
                <w:color w:val="000000" w:themeColor="text1"/>
                <w:sz w:val="22"/>
                <w:szCs w:val="22"/>
                <w:lang w:val="en-US"/>
              </w:rPr>
              <w:t>0.115</w:t>
            </w:r>
          </w:p>
        </w:tc>
        <w:tc>
          <w:tcPr>
            <w:tcW w:w="1121" w:type="dxa"/>
            <w:vMerge w:val="restart"/>
            <w:tcBorders>
              <w:top w:val="single" w:sz="4" w:space="0" w:color="auto"/>
            </w:tcBorders>
          </w:tcPr>
          <w:p w14:paraId="508204C2" w14:textId="77777777" w:rsidR="00207C55" w:rsidRDefault="00207C55" w:rsidP="00526840">
            <w:pPr>
              <w:jc w:val="both"/>
              <w:rPr>
                <w:rFonts w:ascii="Arial" w:eastAsia="Arial" w:hAnsi="Arial" w:cs="Arial"/>
                <w:b/>
                <w:color w:val="000000" w:themeColor="text1"/>
                <w:sz w:val="22"/>
                <w:szCs w:val="22"/>
                <w:lang w:val="en-US"/>
              </w:rPr>
            </w:pPr>
            <w:r>
              <w:rPr>
                <w:rFonts w:ascii="Arial" w:hAnsi="Arial" w:cs="Arial"/>
                <w:color w:val="000000" w:themeColor="text1"/>
                <w:sz w:val="22"/>
                <w:szCs w:val="22"/>
                <w:lang w:val="en-US"/>
              </w:rPr>
              <w:t>1.687</w:t>
            </w:r>
          </w:p>
        </w:tc>
        <w:tc>
          <w:tcPr>
            <w:tcW w:w="1139" w:type="dxa"/>
            <w:tcBorders>
              <w:top w:val="single" w:sz="4" w:space="0" w:color="auto"/>
            </w:tcBorders>
            <w:vAlign w:val="center"/>
          </w:tcPr>
          <w:p w14:paraId="26FD6D35" w14:textId="77777777" w:rsidR="00207C55" w:rsidRDefault="00207C55" w:rsidP="00526840">
            <w:pPr>
              <w:jc w:val="both"/>
              <w:rPr>
                <w:rFonts w:ascii="Arial" w:eastAsia="Arial" w:hAnsi="Arial" w:cs="Arial"/>
                <w:b/>
                <w:color w:val="000000" w:themeColor="text1"/>
                <w:sz w:val="22"/>
                <w:szCs w:val="22"/>
                <w:lang w:val="en-US"/>
              </w:rPr>
            </w:pPr>
            <w:r>
              <w:rPr>
                <w:rFonts w:ascii="Arial" w:hAnsi="Arial" w:cs="Arial"/>
                <w:color w:val="000000" w:themeColor="text1"/>
                <w:sz w:val="22"/>
                <w:szCs w:val="22"/>
                <w:lang w:val="en-US"/>
              </w:rPr>
              <w:t>0.093</w:t>
            </w:r>
          </w:p>
        </w:tc>
      </w:tr>
      <w:tr w:rsidR="00207C55" w14:paraId="387F14C8" w14:textId="77777777" w:rsidTr="00207C55">
        <w:trPr>
          <w:trHeight w:val="256"/>
        </w:trPr>
        <w:tc>
          <w:tcPr>
            <w:tcW w:w="1622" w:type="dxa"/>
            <w:tcBorders>
              <w:bottom w:val="single" w:sz="4" w:space="0" w:color="auto"/>
            </w:tcBorders>
          </w:tcPr>
          <w:p w14:paraId="7268480E" w14:textId="77777777" w:rsidR="00207C55" w:rsidRDefault="00207C55" w:rsidP="00526840">
            <w:pPr>
              <w:jc w:val="both"/>
              <w:rPr>
                <w:rFonts w:ascii="Arial" w:eastAsia="Arial" w:hAnsi="Arial" w:cs="Arial"/>
                <w:b/>
                <w:color w:val="000000" w:themeColor="text1"/>
                <w:sz w:val="22"/>
                <w:szCs w:val="22"/>
                <w:lang w:val="en-US"/>
              </w:rPr>
            </w:pPr>
          </w:p>
        </w:tc>
        <w:tc>
          <w:tcPr>
            <w:tcW w:w="1207" w:type="dxa"/>
            <w:tcBorders>
              <w:bottom w:val="single" w:sz="4" w:space="0" w:color="auto"/>
            </w:tcBorders>
          </w:tcPr>
          <w:p w14:paraId="25A13B4C" w14:textId="77777777" w:rsidR="00207C55" w:rsidRDefault="00207C55" w:rsidP="00526840">
            <w:pPr>
              <w:jc w:val="both"/>
              <w:rPr>
                <w:rFonts w:ascii="Arial" w:eastAsia="Arial" w:hAnsi="Arial" w:cs="Arial"/>
                <w:b/>
                <w:color w:val="000000" w:themeColor="text1"/>
                <w:sz w:val="22"/>
                <w:szCs w:val="22"/>
                <w:lang w:val="en-US"/>
              </w:rPr>
            </w:pPr>
          </w:p>
          <w:p w14:paraId="356C8FFA" w14:textId="77777777" w:rsidR="00207C55" w:rsidRDefault="00207C55" w:rsidP="00526840">
            <w:pPr>
              <w:jc w:val="both"/>
              <w:rPr>
                <w:rFonts w:ascii="Arial" w:eastAsia="Arial" w:hAnsi="Arial" w:cs="Arial"/>
                <w:b/>
                <w:color w:val="000000" w:themeColor="text1"/>
                <w:sz w:val="22"/>
                <w:szCs w:val="22"/>
                <w:lang w:val="en-US"/>
              </w:rPr>
            </w:pPr>
            <w:r>
              <w:rPr>
                <w:rFonts w:ascii="Arial" w:eastAsia="Arial" w:hAnsi="Arial" w:cs="Arial"/>
                <w:b/>
                <w:color w:val="000000" w:themeColor="text1"/>
                <w:sz w:val="22"/>
                <w:szCs w:val="22"/>
                <w:lang w:val="en-US"/>
              </w:rPr>
              <w:t>MALE</w:t>
            </w:r>
          </w:p>
        </w:tc>
        <w:tc>
          <w:tcPr>
            <w:tcW w:w="1115" w:type="dxa"/>
            <w:tcBorders>
              <w:bottom w:val="single" w:sz="4" w:space="0" w:color="auto"/>
            </w:tcBorders>
            <w:vAlign w:val="center"/>
          </w:tcPr>
          <w:p w14:paraId="20DC3A98" w14:textId="77777777" w:rsidR="00207C55" w:rsidRDefault="00207C55" w:rsidP="00526840">
            <w:pPr>
              <w:jc w:val="both"/>
              <w:rPr>
                <w:rFonts w:ascii="Arial" w:eastAsia="Arial" w:hAnsi="Arial" w:cs="Arial"/>
                <w:b/>
                <w:color w:val="000000" w:themeColor="text1"/>
                <w:sz w:val="22"/>
                <w:szCs w:val="22"/>
                <w:lang w:val="en-US"/>
              </w:rPr>
            </w:pPr>
            <w:r>
              <w:rPr>
                <w:rFonts w:ascii="Arial" w:hAnsi="Arial" w:cs="Arial"/>
                <w:color w:val="000000" w:themeColor="text1"/>
                <w:sz w:val="22"/>
                <w:szCs w:val="22"/>
                <w:lang w:val="en-US"/>
              </w:rPr>
              <w:t>3.661</w:t>
            </w:r>
          </w:p>
        </w:tc>
        <w:tc>
          <w:tcPr>
            <w:tcW w:w="1292" w:type="dxa"/>
            <w:vMerge/>
            <w:tcBorders>
              <w:bottom w:val="single" w:sz="4" w:space="0" w:color="auto"/>
            </w:tcBorders>
          </w:tcPr>
          <w:p w14:paraId="3BC0ABB7" w14:textId="77777777" w:rsidR="00207C55" w:rsidRDefault="00207C55" w:rsidP="00526840">
            <w:pPr>
              <w:jc w:val="both"/>
              <w:rPr>
                <w:rFonts w:ascii="Arial" w:eastAsia="Arial" w:hAnsi="Arial" w:cs="Arial"/>
                <w:b/>
                <w:color w:val="000000" w:themeColor="text1"/>
                <w:sz w:val="22"/>
                <w:szCs w:val="22"/>
                <w:lang w:val="en-US"/>
              </w:rPr>
            </w:pPr>
          </w:p>
        </w:tc>
        <w:tc>
          <w:tcPr>
            <w:tcW w:w="1121" w:type="dxa"/>
            <w:vMerge/>
            <w:tcBorders>
              <w:bottom w:val="single" w:sz="4" w:space="0" w:color="auto"/>
            </w:tcBorders>
            <w:vAlign w:val="center"/>
          </w:tcPr>
          <w:p w14:paraId="698864CB" w14:textId="77777777" w:rsidR="00207C55" w:rsidRDefault="00207C55" w:rsidP="00526840">
            <w:pPr>
              <w:jc w:val="both"/>
              <w:rPr>
                <w:rFonts w:ascii="Arial" w:eastAsia="Arial" w:hAnsi="Arial" w:cs="Arial"/>
                <w:b/>
                <w:color w:val="000000" w:themeColor="text1"/>
                <w:sz w:val="22"/>
                <w:szCs w:val="22"/>
                <w:lang w:val="en-US"/>
              </w:rPr>
            </w:pPr>
          </w:p>
        </w:tc>
        <w:tc>
          <w:tcPr>
            <w:tcW w:w="1139" w:type="dxa"/>
            <w:tcBorders>
              <w:bottom w:val="single" w:sz="4" w:space="0" w:color="auto"/>
            </w:tcBorders>
          </w:tcPr>
          <w:p w14:paraId="308FAD5E" w14:textId="77777777" w:rsidR="00207C55" w:rsidRDefault="00207C55" w:rsidP="00526840">
            <w:pPr>
              <w:jc w:val="both"/>
              <w:rPr>
                <w:rFonts w:ascii="Arial" w:eastAsia="Arial" w:hAnsi="Arial" w:cs="Arial"/>
                <w:b/>
                <w:color w:val="000000" w:themeColor="text1"/>
                <w:sz w:val="22"/>
                <w:szCs w:val="22"/>
                <w:lang w:val="en-US"/>
              </w:rPr>
            </w:pPr>
          </w:p>
        </w:tc>
      </w:tr>
    </w:tbl>
    <w:p w14:paraId="1BDBE2B2" w14:textId="77777777" w:rsidR="00717F2E" w:rsidRPr="007E36A6" w:rsidRDefault="00717F2E">
      <w:pPr>
        <w:jc w:val="both"/>
        <w:rPr>
          <w:rFonts w:ascii="Arial" w:hAnsi="Arial" w:cs="Arial"/>
          <w:sz w:val="20"/>
          <w:szCs w:val="20"/>
        </w:rPr>
      </w:pPr>
    </w:p>
    <w:p w14:paraId="5DC49A42" w14:textId="77777777" w:rsidR="00207C55" w:rsidRPr="00207C55" w:rsidRDefault="00207C55" w:rsidP="00207C55">
      <w:pPr>
        <w:jc w:val="both"/>
        <w:rPr>
          <w:rFonts w:ascii="Arial" w:hAnsi="Arial" w:cs="Arial"/>
          <w:sz w:val="20"/>
          <w:szCs w:val="20"/>
        </w:rPr>
      </w:pPr>
      <w:r w:rsidRPr="00207C55">
        <w:rPr>
          <w:rFonts w:ascii="Arial" w:hAnsi="Arial" w:cs="Arial"/>
          <w:sz w:val="20"/>
          <w:szCs w:val="20"/>
        </w:rPr>
        <w:t xml:space="preserve">As shown in Table 3, the null high hypothesis was not rejected at a p-value of 0.93. Hence, it means that there is no significant difference in the level of disaster preparedness when respondents are grouped according to their sex. </w:t>
      </w:r>
    </w:p>
    <w:p w14:paraId="79B55580" w14:textId="77777777" w:rsidR="00207C55" w:rsidRDefault="00207C55" w:rsidP="00207C55">
      <w:pPr>
        <w:jc w:val="both"/>
        <w:rPr>
          <w:rFonts w:ascii="Arial" w:hAnsi="Arial" w:cs="Arial"/>
          <w:sz w:val="20"/>
          <w:szCs w:val="20"/>
        </w:rPr>
      </w:pPr>
    </w:p>
    <w:p w14:paraId="5A5ECE3C" w14:textId="56F7C109" w:rsidR="00207C55" w:rsidRPr="00207C55" w:rsidRDefault="00207C55" w:rsidP="00207C55">
      <w:pPr>
        <w:jc w:val="both"/>
        <w:rPr>
          <w:rFonts w:ascii="Arial" w:hAnsi="Arial" w:cs="Arial"/>
          <w:sz w:val="20"/>
          <w:szCs w:val="20"/>
        </w:rPr>
      </w:pPr>
      <w:r w:rsidRPr="00207C55">
        <w:rPr>
          <w:rFonts w:ascii="Arial" w:hAnsi="Arial" w:cs="Arial"/>
          <w:sz w:val="20"/>
          <w:szCs w:val="20"/>
        </w:rPr>
        <w:t xml:space="preserve">The relationship between gender and disaster preparedness has been a topic of growing interest in the field of emergency management. While some studies have suggested no significant differences in the level of disaster preparedness between men and women, other </w:t>
      </w:r>
      <w:r w:rsidRPr="00207C55">
        <w:rPr>
          <w:rFonts w:ascii="Arial" w:hAnsi="Arial" w:cs="Arial"/>
          <w:sz w:val="20"/>
          <w:szCs w:val="20"/>
        </w:rPr>
        <w:lastRenderedPageBreak/>
        <w:t xml:space="preserve">research has highlighted the unique vulnerabilities and challenges women face in disaster risk reduction. </w:t>
      </w:r>
    </w:p>
    <w:p w14:paraId="491442F3" w14:textId="77777777" w:rsidR="00207C55" w:rsidRDefault="00207C55" w:rsidP="00207C55">
      <w:pPr>
        <w:jc w:val="both"/>
        <w:rPr>
          <w:rFonts w:ascii="Arial" w:hAnsi="Arial" w:cs="Arial"/>
          <w:sz w:val="20"/>
          <w:szCs w:val="20"/>
        </w:rPr>
      </w:pPr>
    </w:p>
    <w:p w14:paraId="021AC218" w14:textId="51F88A6C" w:rsidR="00207C55" w:rsidRPr="00207C55" w:rsidRDefault="00207C55" w:rsidP="00207C55">
      <w:pPr>
        <w:jc w:val="both"/>
        <w:rPr>
          <w:rFonts w:ascii="Arial" w:hAnsi="Arial" w:cs="Arial"/>
          <w:sz w:val="20"/>
          <w:szCs w:val="20"/>
        </w:rPr>
      </w:pPr>
      <w:r w:rsidRPr="00207C55">
        <w:rPr>
          <w:rFonts w:ascii="Arial" w:hAnsi="Arial" w:cs="Arial"/>
          <w:sz w:val="20"/>
          <w:szCs w:val="20"/>
        </w:rPr>
        <w:t>Existing literature has explored the complex interplay of sociocultural, economic, and biological factors contributing to disaster vulnerability's gendered nature. For instance, studies have shown that underlying gender inequalities, such as limited access to resources and decision-making power, can exacerbate women's susceptibility to t</w:t>
      </w:r>
      <w:r w:rsidR="002D6918">
        <w:rPr>
          <w:rFonts w:ascii="Arial" w:hAnsi="Arial" w:cs="Arial"/>
          <w:sz w:val="20"/>
          <w:szCs w:val="20"/>
        </w:rPr>
        <w:t>he adverse impacts of disasters</w:t>
      </w:r>
      <w:r w:rsidRPr="00207C55">
        <w:rPr>
          <w:rFonts w:ascii="Arial" w:hAnsi="Arial" w:cs="Arial"/>
          <w:sz w:val="20"/>
          <w:szCs w:val="20"/>
        </w:rPr>
        <w:t xml:space="preserve"> (</w:t>
      </w:r>
      <w:r w:rsidR="002D6918" w:rsidRPr="002D6918">
        <w:rPr>
          <w:rFonts w:ascii="Arial" w:hAnsi="Arial" w:cs="Arial"/>
          <w:sz w:val="20"/>
          <w:szCs w:val="20"/>
        </w:rPr>
        <w:t>Erman</w:t>
      </w:r>
      <w:r w:rsidR="002D6918">
        <w:rPr>
          <w:rFonts w:ascii="Arial" w:hAnsi="Arial" w:cs="Arial"/>
          <w:sz w:val="20"/>
          <w:szCs w:val="20"/>
        </w:rPr>
        <w:t xml:space="preserve"> et al., 2021</w:t>
      </w:r>
      <w:r w:rsidRPr="00207C55">
        <w:rPr>
          <w:rFonts w:ascii="Arial" w:hAnsi="Arial" w:cs="Arial"/>
          <w:sz w:val="20"/>
          <w:szCs w:val="20"/>
        </w:rPr>
        <w:t xml:space="preserve">) </w:t>
      </w:r>
    </w:p>
    <w:p w14:paraId="3A00B85C" w14:textId="77777777" w:rsidR="00207C55" w:rsidRDefault="00207C55" w:rsidP="00207C55">
      <w:pPr>
        <w:jc w:val="both"/>
        <w:rPr>
          <w:rFonts w:ascii="Arial" w:hAnsi="Arial" w:cs="Arial"/>
          <w:sz w:val="20"/>
          <w:szCs w:val="20"/>
        </w:rPr>
      </w:pPr>
    </w:p>
    <w:p w14:paraId="5794D494" w14:textId="4A765DFE" w:rsidR="00207C55" w:rsidRPr="00207C55" w:rsidRDefault="00207C55" w:rsidP="00207C55">
      <w:pPr>
        <w:jc w:val="both"/>
        <w:rPr>
          <w:rFonts w:ascii="Arial" w:hAnsi="Arial" w:cs="Arial"/>
          <w:sz w:val="20"/>
          <w:szCs w:val="20"/>
        </w:rPr>
      </w:pPr>
      <w:r w:rsidRPr="00207C55">
        <w:rPr>
          <w:rFonts w:ascii="Arial" w:hAnsi="Arial" w:cs="Arial"/>
          <w:sz w:val="20"/>
          <w:szCs w:val="20"/>
        </w:rPr>
        <w:t>One study found that in the aftermath of the 2010 Haiti earthquake, women and girls faced significant barriers to accessing essential services and resources, including clean water, healthcare, and transportation (</w:t>
      </w:r>
      <w:proofErr w:type="spellStart"/>
      <w:r w:rsidRPr="00207C55">
        <w:rPr>
          <w:rFonts w:ascii="Arial" w:hAnsi="Arial" w:cs="Arial"/>
          <w:sz w:val="20"/>
          <w:szCs w:val="20"/>
        </w:rPr>
        <w:t>Llorente</w:t>
      </w:r>
      <w:r w:rsidRPr="00207C55">
        <w:rPr>
          <w:rFonts w:ascii="Cambria Math" w:hAnsi="Cambria Math" w:cs="Cambria Math"/>
          <w:sz w:val="20"/>
          <w:szCs w:val="20"/>
        </w:rPr>
        <w:t>‐</w:t>
      </w:r>
      <w:r w:rsidRPr="00207C55">
        <w:rPr>
          <w:rFonts w:ascii="Arial" w:hAnsi="Arial" w:cs="Arial"/>
          <w:sz w:val="20"/>
          <w:szCs w:val="20"/>
        </w:rPr>
        <w:t>Marrón</w:t>
      </w:r>
      <w:proofErr w:type="spellEnd"/>
      <w:r w:rsidRPr="00207C55">
        <w:rPr>
          <w:rFonts w:ascii="Arial" w:hAnsi="Arial" w:cs="Arial"/>
          <w:sz w:val="20"/>
          <w:szCs w:val="20"/>
        </w:rPr>
        <w:t xml:space="preserve"> et al., 2020).</w:t>
      </w:r>
    </w:p>
    <w:p w14:paraId="53C7F7C1" w14:textId="77777777" w:rsidR="00207C55" w:rsidRDefault="00207C55" w:rsidP="00207C55">
      <w:pPr>
        <w:jc w:val="both"/>
        <w:rPr>
          <w:rFonts w:ascii="Arial" w:hAnsi="Arial" w:cs="Arial"/>
          <w:sz w:val="20"/>
          <w:szCs w:val="20"/>
        </w:rPr>
      </w:pPr>
    </w:p>
    <w:p w14:paraId="3711B532" w14:textId="0E1150F2" w:rsidR="00207C55" w:rsidRDefault="00207C55" w:rsidP="00207C55">
      <w:pPr>
        <w:jc w:val="both"/>
        <w:rPr>
          <w:rFonts w:ascii="Arial" w:hAnsi="Arial" w:cs="Arial"/>
          <w:sz w:val="20"/>
          <w:szCs w:val="20"/>
        </w:rPr>
      </w:pPr>
      <w:r w:rsidRPr="00207C55">
        <w:rPr>
          <w:rFonts w:ascii="Arial" w:hAnsi="Arial" w:cs="Arial"/>
          <w:sz w:val="20"/>
          <w:szCs w:val="20"/>
        </w:rPr>
        <w:t xml:space="preserve">The study of </w:t>
      </w:r>
      <w:proofErr w:type="spellStart"/>
      <w:r w:rsidR="00A47C07" w:rsidRPr="00A47C07">
        <w:rPr>
          <w:rFonts w:ascii="Arial" w:hAnsi="Arial" w:cs="Arial"/>
          <w:sz w:val="20"/>
          <w:szCs w:val="20"/>
        </w:rPr>
        <w:t>Popovicki</w:t>
      </w:r>
      <w:proofErr w:type="spellEnd"/>
      <w:r w:rsidR="00A47C07" w:rsidRPr="00A47C07">
        <w:rPr>
          <w:rFonts w:ascii="Arial" w:hAnsi="Arial" w:cs="Arial"/>
          <w:sz w:val="20"/>
          <w:szCs w:val="20"/>
        </w:rPr>
        <w:t xml:space="preserve"> </w:t>
      </w:r>
      <w:r w:rsidR="00A47C07">
        <w:rPr>
          <w:rFonts w:ascii="Arial" w:hAnsi="Arial" w:cs="Arial"/>
          <w:sz w:val="20"/>
          <w:szCs w:val="20"/>
        </w:rPr>
        <w:t>(2022</w:t>
      </w:r>
      <w:r w:rsidRPr="00207C55">
        <w:rPr>
          <w:rFonts w:ascii="Arial" w:hAnsi="Arial" w:cs="Arial"/>
          <w:sz w:val="20"/>
          <w:szCs w:val="20"/>
        </w:rPr>
        <w:t xml:space="preserve">) mentioned that the negative results of Serbia's 2014 flooding showed poor management of the response phase, which was made worse by a gender imbalance. We looked into how men and women in Serbia perceived danger and were prepared for these kinds of incidents because of this. In light of the current data, men appeared to be more certain about their capacity to handle flooding and perceived higher individual and household readiness. Women, on the other hand, demonstrated a deeper comprehension of these occurrences. Women exhibited more household-caring attitudes and actions and were more likely to say they would be willing to assist flood victims at reception centers, which may be due to a deeper degree of understanding. The differences in perception also highlight the importance of incorporating diverse perspectives in emergency response planning. </w:t>
      </w:r>
    </w:p>
    <w:p w14:paraId="3E654F63" w14:textId="77777777" w:rsidR="00207C55" w:rsidRDefault="00207C55" w:rsidP="00207C55">
      <w:pPr>
        <w:jc w:val="both"/>
        <w:rPr>
          <w:rFonts w:ascii="Arial" w:hAnsi="Arial" w:cs="Arial"/>
          <w:sz w:val="20"/>
          <w:szCs w:val="20"/>
        </w:rPr>
      </w:pPr>
    </w:p>
    <w:p w14:paraId="0D8ABDEF" w14:textId="4B27824B" w:rsidR="00914755" w:rsidRPr="007E5C64" w:rsidRDefault="00665D1C" w:rsidP="00830193">
      <w:pPr>
        <w:jc w:val="both"/>
        <w:rPr>
          <w:rFonts w:ascii="Arial" w:hAnsi="Arial" w:cs="Arial"/>
          <w:b/>
          <w:bCs/>
          <w:iCs/>
          <w:sz w:val="20"/>
          <w:szCs w:val="20"/>
        </w:rPr>
      </w:pPr>
      <w:r w:rsidRPr="007E5C64">
        <w:rPr>
          <w:rFonts w:ascii="Arial" w:hAnsi="Arial" w:cs="Arial"/>
          <w:b/>
          <w:bCs/>
          <w:iCs/>
          <w:sz w:val="20"/>
          <w:szCs w:val="20"/>
        </w:rPr>
        <w:t>3.4</w:t>
      </w:r>
      <w:r w:rsidR="00271F07" w:rsidRPr="007E5C64">
        <w:rPr>
          <w:rFonts w:ascii="Arial" w:hAnsi="Arial" w:cs="Arial"/>
          <w:b/>
          <w:bCs/>
          <w:iCs/>
          <w:sz w:val="20"/>
          <w:szCs w:val="20"/>
        </w:rPr>
        <w:t>.</w:t>
      </w:r>
      <w:r w:rsidRPr="007E5C64">
        <w:rPr>
          <w:rFonts w:ascii="Arial" w:hAnsi="Arial" w:cs="Arial"/>
          <w:b/>
          <w:bCs/>
          <w:iCs/>
          <w:sz w:val="20"/>
          <w:szCs w:val="20"/>
        </w:rPr>
        <w:t xml:space="preserve"> </w:t>
      </w:r>
      <w:r w:rsidR="00830193" w:rsidRPr="00830193">
        <w:rPr>
          <w:rFonts w:ascii="Arial" w:hAnsi="Arial" w:cs="Arial"/>
          <w:b/>
          <w:bCs/>
          <w:iCs/>
          <w:sz w:val="20"/>
          <w:szCs w:val="20"/>
        </w:rPr>
        <w:t>Significant Difference in Disaster Preparedness</w:t>
      </w:r>
      <w:r w:rsidR="00830193">
        <w:rPr>
          <w:rFonts w:ascii="Arial" w:hAnsi="Arial" w:cs="Arial"/>
          <w:b/>
          <w:bCs/>
          <w:iCs/>
          <w:sz w:val="20"/>
          <w:szCs w:val="20"/>
        </w:rPr>
        <w:t xml:space="preserve"> </w:t>
      </w:r>
      <w:r w:rsidR="00830193" w:rsidRPr="00830193">
        <w:rPr>
          <w:rFonts w:ascii="Arial" w:hAnsi="Arial" w:cs="Arial"/>
          <w:b/>
          <w:bCs/>
          <w:iCs/>
          <w:sz w:val="20"/>
          <w:szCs w:val="20"/>
        </w:rPr>
        <w:t>of Public School Teachers in terms of Age</w:t>
      </w:r>
    </w:p>
    <w:p w14:paraId="7568132A" w14:textId="77777777" w:rsidR="00914755" w:rsidRPr="007E5C64" w:rsidRDefault="00914755" w:rsidP="00665D1C">
      <w:pPr>
        <w:rPr>
          <w:rFonts w:ascii="Arial" w:hAnsi="Arial" w:cs="Arial"/>
          <w:b/>
          <w:bCs/>
          <w:iCs/>
          <w:sz w:val="20"/>
          <w:szCs w:val="20"/>
        </w:rPr>
      </w:pPr>
    </w:p>
    <w:p w14:paraId="42F31227" w14:textId="37D4FA8D" w:rsidR="00187916" w:rsidRDefault="00B364F1" w:rsidP="00B364F1">
      <w:pPr>
        <w:jc w:val="both"/>
        <w:rPr>
          <w:rFonts w:ascii="Arial" w:eastAsia="Arial" w:hAnsi="Arial"/>
          <w:i/>
          <w:sz w:val="20"/>
          <w:szCs w:val="20"/>
        </w:rPr>
      </w:pPr>
      <w:r w:rsidRPr="007E5C64">
        <w:rPr>
          <w:rFonts w:ascii="Arial" w:eastAsia="Arial" w:hAnsi="Arial"/>
          <w:b/>
          <w:sz w:val="20"/>
          <w:szCs w:val="20"/>
        </w:rPr>
        <w:t xml:space="preserve">Table 4. </w:t>
      </w:r>
      <w:r w:rsidR="00830193" w:rsidRPr="00830193">
        <w:rPr>
          <w:rFonts w:ascii="Arial" w:eastAsia="Arial" w:hAnsi="Arial"/>
          <w:i/>
          <w:sz w:val="20"/>
          <w:szCs w:val="20"/>
        </w:rPr>
        <w:t>Significant Difference in Disaster Preparedness of Public School Teachers in terms of Age</w:t>
      </w:r>
    </w:p>
    <w:p w14:paraId="009CBE3B" w14:textId="77777777" w:rsidR="00830193" w:rsidRDefault="00830193" w:rsidP="00B364F1">
      <w:pPr>
        <w:jc w:val="both"/>
        <w:rPr>
          <w:rFonts w:ascii="Arial" w:eastAsia="Arial" w:hAnsi="Arial"/>
          <w:i/>
          <w:sz w:val="20"/>
          <w:szCs w:val="20"/>
        </w:rPr>
      </w:pPr>
    </w:p>
    <w:p w14:paraId="65B39FC9" w14:textId="77777777" w:rsidR="00830193" w:rsidRPr="007E5C64" w:rsidRDefault="00830193" w:rsidP="00B364F1">
      <w:pPr>
        <w:jc w:val="both"/>
        <w:rPr>
          <w:rFonts w:ascii="Arial" w:eastAsia="Arial" w:hAnsi="Arial"/>
          <w:i/>
          <w:sz w:val="20"/>
          <w:szCs w:val="20"/>
        </w:rPr>
      </w:pPr>
    </w:p>
    <w:tbl>
      <w:tblPr>
        <w:tblStyle w:val="TableGrid"/>
        <w:tblpPr w:leftFromText="180" w:rightFromText="180" w:vertAnchor="text" w:horzAnchor="margin" w:tblpXSpec="center" w:tblpY="-208"/>
        <w:tblW w:w="7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1639"/>
        <w:gridCol w:w="1016"/>
        <w:gridCol w:w="980"/>
        <w:gridCol w:w="1020"/>
        <w:gridCol w:w="1058"/>
      </w:tblGrid>
      <w:tr w:rsidR="00830193" w14:paraId="7B587938" w14:textId="77777777" w:rsidTr="00830193">
        <w:trPr>
          <w:trHeight w:val="138"/>
        </w:trPr>
        <w:tc>
          <w:tcPr>
            <w:tcW w:w="1622" w:type="dxa"/>
            <w:tcBorders>
              <w:top w:val="single" w:sz="4" w:space="0" w:color="auto"/>
              <w:bottom w:val="single" w:sz="4" w:space="0" w:color="auto"/>
            </w:tcBorders>
          </w:tcPr>
          <w:p w14:paraId="3DF649DB" w14:textId="77777777" w:rsidR="00830193" w:rsidRDefault="00830193" w:rsidP="00526840">
            <w:pPr>
              <w:jc w:val="both"/>
              <w:rPr>
                <w:rFonts w:ascii="Arial" w:eastAsia="Arial" w:hAnsi="Arial" w:cs="Arial"/>
                <w:b/>
                <w:color w:val="000000" w:themeColor="text1"/>
                <w:sz w:val="22"/>
                <w:szCs w:val="22"/>
                <w:lang w:val="en-US"/>
              </w:rPr>
            </w:pPr>
            <w:r>
              <w:rPr>
                <w:rFonts w:ascii="Arial" w:hAnsi="Arial" w:cs="Arial"/>
                <w:b/>
                <w:bCs/>
                <w:color w:val="000000" w:themeColor="text1"/>
                <w:sz w:val="22"/>
                <w:szCs w:val="22"/>
                <w:lang w:val="en-US"/>
              </w:rPr>
              <w:t>Demographic Profile</w:t>
            </w:r>
          </w:p>
        </w:tc>
        <w:tc>
          <w:tcPr>
            <w:tcW w:w="1639" w:type="dxa"/>
            <w:tcBorders>
              <w:top w:val="single" w:sz="4" w:space="0" w:color="auto"/>
              <w:bottom w:val="single" w:sz="4" w:space="0" w:color="auto"/>
            </w:tcBorders>
          </w:tcPr>
          <w:p w14:paraId="2C7C3B90" w14:textId="77777777" w:rsidR="00830193" w:rsidRDefault="00830193" w:rsidP="00526840">
            <w:pPr>
              <w:jc w:val="both"/>
              <w:rPr>
                <w:rFonts w:ascii="Arial" w:eastAsia="Arial" w:hAnsi="Arial" w:cs="Arial"/>
                <w:b/>
                <w:color w:val="000000" w:themeColor="text1"/>
                <w:sz w:val="22"/>
                <w:szCs w:val="22"/>
                <w:lang w:val="en-US"/>
              </w:rPr>
            </w:pPr>
          </w:p>
        </w:tc>
        <w:tc>
          <w:tcPr>
            <w:tcW w:w="1016" w:type="dxa"/>
            <w:tcBorders>
              <w:top w:val="single" w:sz="4" w:space="0" w:color="auto"/>
              <w:bottom w:val="single" w:sz="4" w:space="0" w:color="auto"/>
            </w:tcBorders>
          </w:tcPr>
          <w:p w14:paraId="3505D775" w14:textId="77777777" w:rsidR="00830193" w:rsidRDefault="00830193" w:rsidP="00526840">
            <w:pPr>
              <w:jc w:val="both"/>
              <w:rPr>
                <w:rFonts w:ascii="Arial" w:eastAsia="Arial" w:hAnsi="Arial" w:cs="Arial"/>
                <w:b/>
                <w:color w:val="000000" w:themeColor="text1"/>
                <w:sz w:val="22"/>
                <w:szCs w:val="22"/>
                <w:lang w:val="en-US"/>
              </w:rPr>
            </w:pPr>
            <w:r>
              <w:rPr>
                <w:rFonts w:ascii="Arial" w:hAnsi="Arial" w:cs="Arial"/>
                <w:b/>
                <w:bCs/>
                <w:color w:val="000000" w:themeColor="text1"/>
                <w:sz w:val="22"/>
                <w:szCs w:val="22"/>
                <w:lang w:val="en-US"/>
              </w:rPr>
              <w:t>Mean</w:t>
            </w:r>
          </w:p>
        </w:tc>
        <w:tc>
          <w:tcPr>
            <w:tcW w:w="980" w:type="dxa"/>
            <w:tcBorders>
              <w:top w:val="single" w:sz="4" w:space="0" w:color="auto"/>
              <w:bottom w:val="single" w:sz="4" w:space="0" w:color="auto"/>
            </w:tcBorders>
          </w:tcPr>
          <w:p w14:paraId="3C277CAB" w14:textId="77777777" w:rsidR="00830193" w:rsidRDefault="00830193" w:rsidP="00526840">
            <w:pPr>
              <w:jc w:val="both"/>
              <w:rPr>
                <w:rFonts w:ascii="Arial" w:hAnsi="Arial" w:cs="Arial"/>
                <w:b/>
                <w:bCs/>
                <w:color w:val="000000" w:themeColor="text1"/>
                <w:sz w:val="22"/>
                <w:szCs w:val="22"/>
                <w:lang w:val="en-US"/>
              </w:rPr>
            </w:pPr>
            <w:r>
              <w:rPr>
                <w:rFonts w:ascii="Arial" w:hAnsi="Arial" w:cs="Arial"/>
                <w:b/>
                <w:bCs/>
                <w:color w:val="000000" w:themeColor="text1"/>
                <w:sz w:val="22"/>
                <w:szCs w:val="22"/>
                <w:lang w:val="en-US"/>
              </w:rPr>
              <w:t>Df</w:t>
            </w:r>
          </w:p>
        </w:tc>
        <w:tc>
          <w:tcPr>
            <w:tcW w:w="1020" w:type="dxa"/>
            <w:tcBorders>
              <w:top w:val="single" w:sz="4" w:space="0" w:color="auto"/>
              <w:bottom w:val="single" w:sz="4" w:space="0" w:color="auto"/>
            </w:tcBorders>
          </w:tcPr>
          <w:p w14:paraId="51E68BCE" w14:textId="77777777" w:rsidR="00830193" w:rsidRDefault="00830193" w:rsidP="00526840">
            <w:pPr>
              <w:jc w:val="both"/>
              <w:rPr>
                <w:rFonts w:ascii="Arial" w:hAnsi="Arial" w:cs="Arial"/>
                <w:b/>
                <w:bCs/>
                <w:color w:val="000000" w:themeColor="text1"/>
                <w:sz w:val="22"/>
                <w:szCs w:val="22"/>
                <w:lang w:val="en-US"/>
              </w:rPr>
            </w:pPr>
            <w:r>
              <w:rPr>
                <w:rFonts w:ascii="Arial" w:hAnsi="Arial" w:cs="Arial"/>
                <w:b/>
                <w:bCs/>
                <w:color w:val="000000" w:themeColor="text1"/>
                <w:sz w:val="22"/>
                <w:szCs w:val="22"/>
                <w:lang w:val="en-US"/>
              </w:rPr>
              <w:t>F-value</w:t>
            </w:r>
          </w:p>
        </w:tc>
        <w:tc>
          <w:tcPr>
            <w:tcW w:w="1058" w:type="dxa"/>
            <w:tcBorders>
              <w:top w:val="single" w:sz="4" w:space="0" w:color="auto"/>
              <w:bottom w:val="single" w:sz="4" w:space="0" w:color="auto"/>
            </w:tcBorders>
            <w:vAlign w:val="bottom"/>
          </w:tcPr>
          <w:p w14:paraId="148E35F4" w14:textId="77777777" w:rsidR="00830193" w:rsidRDefault="00830193" w:rsidP="00526840">
            <w:pPr>
              <w:jc w:val="both"/>
              <w:rPr>
                <w:rFonts w:ascii="Arial" w:eastAsia="Arial" w:hAnsi="Arial" w:cs="Arial"/>
                <w:b/>
                <w:color w:val="000000" w:themeColor="text1"/>
                <w:sz w:val="22"/>
                <w:szCs w:val="22"/>
                <w:lang w:val="en-US"/>
              </w:rPr>
            </w:pPr>
            <w:r>
              <w:rPr>
                <w:rFonts w:ascii="Arial" w:hAnsi="Arial" w:cs="Arial"/>
                <w:b/>
                <w:bCs/>
                <w:color w:val="000000" w:themeColor="text1"/>
                <w:sz w:val="22"/>
                <w:szCs w:val="22"/>
                <w:lang w:val="en-US"/>
              </w:rPr>
              <w:t>Sig. (2-tailed)</w:t>
            </w:r>
          </w:p>
        </w:tc>
      </w:tr>
      <w:tr w:rsidR="00830193" w14:paraId="790118CE" w14:textId="77777777" w:rsidTr="00830193">
        <w:trPr>
          <w:trHeight w:val="129"/>
        </w:trPr>
        <w:tc>
          <w:tcPr>
            <w:tcW w:w="1622" w:type="dxa"/>
            <w:tcBorders>
              <w:top w:val="single" w:sz="4" w:space="0" w:color="auto"/>
            </w:tcBorders>
          </w:tcPr>
          <w:p w14:paraId="0C2F4552" w14:textId="77777777" w:rsidR="00830193" w:rsidRDefault="00830193" w:rsidP="00526840">
            <w:pPr>
              <w:jc w:val="both"/>
              <w:rPr>
                <w:rFonts w:ascii="Arial" w:eastAsia="Arial" w:hAnsi="Arial" w:cs="Arial"/>
                <w:b/>
                <w:color w:val="000000" w:themeColor="text1"/>
                <w:sz w:val="22"/>
                <w:szCs w:val="22"/>
                <w:lang w:val="en-US"/>
              </w:rPr>
            </w:pPr>
            <w:r>
              <w:rPr>
                <w:rFonts w:ascii="Arial" w:eastAsia="Arial" w:hAnsi="Arial" w:cs="Arial"/>
                <w:b/>
                <w:color w:val="000000" w:themeColor="text1"/>
                <w:sz w:val="22"/>
                <w:szCs w:val="22"/>
                <w:lang w:val="en-US"/>
              </w:rPr>
              <w:t>Age</w:t>
            </w:r>
          </w:p>
        </w:tc>
        <w:tc>
          <w:tcPr>
            <w:tcW w:w="1639" w:type="dxa"/>
            <w:tcBorders>
              <w:top w:val="single" w:sz="4" w:space="0" w:color="auto"/>
            </w:tcBorders>
            <w:vAlign w:val="center"/>
          </w:tcPr>
          <w:p w14:paraId="0C830487" w14:textId="77777777" w:rsidR="00830193" w:rsidRDefault="00830193" w:rsidP="00526840">
            <w:pPr>
              <w:jc w:val="both"/>
              <w:rPr>
                <w:rFonts w:ascii="Arial" w:eastAsia="Arial" w:hAnsi="Arial" w:cs="Arial"/>
                <w:b/>
                <w:color w:val="000000" w:themeColor="text1"/>
                <w:sz w:val="22"/>
                <w:szCs w:val="22"/>
                <w:lang w:val="en-US"/>
              </w:rPr>
            </w:pPr>
            <w:r>
              <w:rPr>
                <w:rFonts w:asciiTheme="minorHAnsi" w:hAnsiTheme="minorHAnsi" w:cstheme="minorBidi"/>
                <w:color w:val="000000" w:themeColor="text1"/>
                <w:sz w:val="22"/>
                <w:szCs w:val="22"/>
                <w:lang w:val="en-US"/>
              </w:rPr>
              <w:t>40 and above</w:t>
            </w:r>
          </w:p>
        </w:tc>
        <w:tc>
          <w:tcPr>
            <w:tcW w:w="1016" w:type="dxa"/>
            <w:tcBorders>
              <w:top w:val="single" w:sz="4" w:space="0" w:color="auto"/>
            </w:tcBorders>
            <w:vAlign w:val="center"/>
          </w:tcPr>
          <w:p w14:paraId="19516931" w14:textId="77777777" w:rsidR="00830193" w:rsidRDefault="00830193" w:rsidP="00526840">
            <w:pPr>
              <w:jc w:val="both"/>
              <w:rPr>
                <w:rFonts w:ascii="Arial" w:eastAsia="Arial" w:hAnsi="Arial" w:cs="Arial"/>
                <w:b/>
                <w:color w:val="000000" w:themeColor="text1"/>
                <w:sz w:val="22"/>
                <w:szCs w:val="22"/>
                <w:lang w:val="en-US"/>
              </w:rPr>
            </w:pPr>
            <w:r>
              <w:rPr>
                <w:rFonts w:asciiTheme="minorHAnsi" w:hAnsiTheme="minorHAnsi" w:cstheme="minorBidi"/>
                <w:color w:val="000000" w:themeColor="text1"/>
                <w:sz w:val="22"/>
                <w:szCs w:val="22"/>
                <w:lang w:val="en-US"/>
              </w:rPr>
              <w:t>3.647</w:t>
            </w:r>
          </w:p>
        </w:tc>
        <w:tc>
          <w:tcPr>
            <w:tcW w:w="980" w:type="dxa"/>
            <w:vMerge w:val="restart"/>
            <w:tcBorders>
              <w:top w:val="single" w:sz="4" w:space="0" w:color="auto"/>
            </w:tcBorders>
          </w:tcPr>
          <w:p w14:paraId="633D2E7A" w14:textId="77777777" w:rsidR="00830193" w:rsidRDefault="00830193" w:rsidP="00526840">
            <w:pPr>
              <w:rPr>
                <w:rFonts w:asciiTheme="minorHAnsi" w:hAnsiTheme="minorHAnsi" w:cstheme="minorBidi"/>
                <w:color w:val="000000" w:themeColor="text1"/>
                <w:sz w:val="22"/>
                <w:szCs w:val="22"/>
                <w:lang w:val="en-US"/>
              </w:rPr>
            </w:pPr>
            <w:r>
              <w:rPr>
                <w:rFonts w:asciiTheme="minorHAnsi" w:hAnsiTheme="minorHAnsi" w:cstheme="minorBidi"/>
                <w:color w:val="000000" w:themeColor="text1"/>
                <w:sz w:val="22"/>
                <w:szCs w:val="22"/>
                <w:lang w:val="en-US"/>
              </w:rPr>
              <w:t>2, 248</w:t>
            </w:r>
          </w:p>
        </w:tc>
        <w:tc>
          <w:tcPr>
            <w:tcW w:w="1020" w:type="dxa"/>
            <w:vMerge w:val="restart"/>
            <w:tcBorders>
              <w:top w:val="single" w:sz="4" w:space="0" w:color="auto"/>
            </w:tcBorders>
            <w:vAlign w:val="center"/>
          </w:tcPr>
          <w:p w14:paraId="3D2CE892" w14:textId="77777777" w:rsidR="00830193" w:rsidRDefault="00830193" w:rsidP="00526840">
            <w:pPr>
              <w:jc w:val="both"/>
              <w:rPr>
                <w:rFonts w:ascii="Arial" w:eastAsia="Arial" w:hAnsi="Arial" w:cs="Arial"/>
                <w:b/>
                <w:color w:val="000000" w:themeColor="text1"/>
                <w:sz w:val="22"/>
                <w:szCs w:val="22"/>
                <w:lang w:val="en-US"/>
              </w:rPr>
            </w:pPr>
            <w:r>
              <w:rPr>
                <w:rFonts w:asciiTheme="minorHAnsi" w:hAnsiTheme="minorHAnsi" w:cstheme="minorBidi"/>
                <w:color w:val="000000" w:themeColor="text1"/>
                <w:sz w:val="22"/>
                <w:szCs w:val="22"/>
                <w:lang w:val="en-US"/>
              </w:rPr>
              <w:t>4.127</w:t>
            </w:r>
          </w:p>
        </w:tc>
        <w:tc>
          <w:tcPr>
            <w:tcW w:w="1058" w:type="dxa"/>
            <w:vMerge w:val="restart"/>
            <w:tcBorders>
              <w:top w:val="single" w:sz="4" w:space="0" w:color="auto"/>
            </w:tcBorders>
            <w:vAlign w:val="center"/>
          </w:tcPr>
          <w:p w14:paraId="7EE2F23E" w14:textId="77777777" w:rsidR="00830193" w:rsidRDefault="00830193" w:rsidP="00526840">
            <w:pPr>
              <w:jc w:val="both"/>
              <w:rPr>
                <w:rFonts w:ascii="Arial" w:eastAsia="Arial" w:hAnsi="Arial" w:cs="Arial"/>
                <w:bCs/>
                <w:color w:val="000000" w:themeColor="text1"/>
                <w:sz w:val="22"/>
                <w:szCs w:val="22"/>
                <w:lang w:val="en-US"/>
              </w:rPr>
            </w:pPr>
            <w:r>
              <w:rPr>
                <w:rFonts w:ascii="Arial" w:eastAsia="Arial" w:hAnsi="Arial" w:cs="Arial"/>
                <w:bCs/>
                <w:color w:val="000000" w:themeColor="text1"/>
                <w:sz w:val="22"/>
                <w:szCs w:val="22"/>
                <w:lang w:val="en-US"/>
              </w:rPr>
              <w:t>0.017</w:t>
            </w:r>
          </w:p>
        </w:tc>
      </w:tr>
      <w:tr w:rsidR="00830193" w14:paraId="67B55D37" w14:textId="77777777" w:rsidTr="00830193">
        <w:trPr>
          <w:trHeight w:val="129"/>
        </w:trPr>
        <w:tc>
          <w:tcPr>
            <w:tcW w:w="1622" w:type="dxa"/>
          </w:tcPr>
          <w:p w14:paraId="3A2184FB" w14:textId="77777777" w:rsidR="00830193" w:rsidRDefault="00830193" w:rsidP="00526840">
            <w:pPr>
              <w:jc w:val="both"/>
              <w:rPr>
                <w:rFonts w:ascii="Arial" w:eastAsia="Arial" w:hAnsi="Arial" w:cs="Arial"/>
                <w:b/>
                <w:color w:val="000000" w:themeColor="text1"/>
                <w:sz w:val="22"/>
                <w:szCs w:val="22"/>
                <w:lang w:val="en-US"/>
              </w:rPr>
            </w:pPr>
          </w:p>
        </w:tc>
        <w:tc>
          <w:tcPr>
            <w:tcW w:w="1639" w:type="dxa"/>
            <w:vAlign w:val="center"/>
          </w:tcPr>
          <w:p w14:paraId="32F76BA0" w14:textId="77777777" w:rsidR="00830193" w:rsidRDefault="00830193" w:rsidP="00526840">
            <w:pPr>
              <w:jc w:val="both"/>
              <w:rPr>
                <w:rFonts w:ascii="Arial" w:eastAsia="Arial" w:hAnsi="Arial" w:cs="Arial"/>
                <w:b/>
                <w:color w:val="000000" w:themeColor="text1"/>
                <w:sz w:val="22"/>
                <w:szCs w:val="22"/>
                <w:lang w:val="en-US"/>
              </w:rPr>
            </w:pPr>
            <w:r>
              <w:rPr>
                <w:rFonts w:asciiTheme="minorHAnsi" w:hAnsiTheme="minorHAnsi" w:cstheme="minorBidi"/>
                <w:color w:val="000000" w:themeColor="text1"/>
                <w:sz w:val="22"/>
                <w:szCs w:val="22"/>
                <w:lang w:val="en-US"/>
              </w:rPr>
              <w:t>Age 31-40</w:t>
            </w:r>
          </w:p>
        </w:tc>
        <w:tc>
          <w:tcPr>
            <w:tcW w:w="1016" w:type="dxa"/>
            <w:vAlign w:val="center"/>
          </w:tcPr>
          <w:p w14:paraId="58E895D1" w14:textId="77777777" w:rsidR="00830193" w:rsidRDefault="00830193" w:rsidP="00526840">
            <w:pPr>
              <w:jc w:val="both"/>
              <w:rPr>
                <w:rFonts w:ascii="Arial" w:hAnsi="Arial" w:cs="Arial"/>
                <w:color w:val="000000" w:themeColor="text1"/>
                <w:sz w:val="22"/>
                <w:szCs w:val="22"/>
                <w:lang w:val="en-US"/>
              </w:rPr>
            </w:pPr>
            <w:r>
              <w:rPr>
                <w:rFonts w:asciiTheme="minorHAnsi" w:hAnsiTheme="minorHAnsi" w:cstheme="minorBidi"/>
                <w:color w:val="000000" w:themeColor="text1"/>
                <w:sz w:val="22"/>
                <w:szCs w:val="22"/>
                <w:lang w:val="en-US"/>
              </w:rPr>
              <w:t>3.900</w:t>
            </w:r>
          </w:p>
        </w:tc>
        <w:tc>
          <w:tcPr>
            <w:tcW w:w="980" w:type="dxa"/>
            <w:vMerge/>
          </w:tcPr>
          <w:p w14:paraId="6DC851B5" w14:textId="77777777" w:rsidR="00830193" w:rsidRDefault="00830193" w:rsidP="00526840">
            <w:pPr>
              <w:jc w:val="both"/>
              <w:rPr>
                <w:rFonts w:asciiTheme="minorHAnsi" w:hAnsiTheme="minorHAnsi" w:cstheme="minorBidi"/>
                <w:color w:val="000000" w:themeColor="text1"/>
                <w:sz w:val="22"/>
                <w:szCs w:val="22"/>
                <w:lang w:val="en-US"/>
              </w:rPr>
            </w:pPr>
          </w:p>
        </w:tc>
        <w:tc>
          <w:tcPr>
            <w:tcW w:w="1020" w:type="dxa"/>
            <w:vMerge/>
          </w:tcPr>
          <w:p w14:paraId="38F38457" w14:textId="77777777" w:rsidR="00830193" w:rsidRDefault="00830193" w:rsidP="00526840">
            <w:pPr>
              <w:jc w:val="both"/>
              <w:rPr>
                <w:rFonts w:asciiTheme="minorHAnsi" w:hAnsiTheme="minorHAnsi" w:cstheme="minorBidi"/>
                <w:color w:val="000000" w:themeColor="text1"/>
                <w:sz w:val="22"/>
                <w:szCs w:val="22"/>
                <w:lang w:val="en-US"/>
              </w:rPr>
            </w:pPr>
          </w:p>
        </w:tc>
        <w:tc>
          <w:tcPr>
            <w:tcW w:w="1058" w:type="dxa"/>
            <w:vMerge/>
            <w:vAlign w:val="center"/>
          </w:tcPr>
          <w:p w14:paraId="7128D38C" w14:textId="77777777" w:rsidR="00830193" w:rsidRDefault="00830193" w:rsidP="00526840">
            <w:pPr>
              <w:jc w:val="both"/>
              <w:rPr>
                <w:rFonts w:asciiTheme="minorHAnsi" w:hAnsiTheme="minorHAnsi" w:cstheme="minorBidi"/>
                <w:color w:val="000000" w:themeColor="text1"/>
                <w:sz w:val="22"/>
                <w:szCs w:val="22"/>
                <w:lang w:val="en-US"/>
              </w:rPr>
            </w:pPr>
          </w:p>
        </w:tc>
      </w:tr>
      <w:tr w:rsidR="00830193" w14:paraId="2EE095DF" w14:textId="77777777" w:rsidTr="00830193">
        <w:trPr>
          <w:trHeight w:val="256"/>
        </w:trPr>
        <w:tc>
          <w:tcPr>
            <w:tcW w:w="1622" w:type="dxa"/>
            <w:tcBorders>
              <w:bottom w:val="single" w:sz="4" w:space="0" w:color="auto"/>
            </w:tcBorders>
          </w:tcPr>
          <w:p w14:paraId="33C5F606" w14:textId="77777777" w:rsidR="00830193" w:rsidRDefault="00830193" w:rsidP="00526840">
            <w:pPr>
              <w:jc w:val="both"/>
              <w:rPr>
                <w:rFonts w:ascii="Arial" w:eastAsia="Arial" w:hAnsi="Arial" w:cs="Arial"/>
                <w:b/>
                <w:color w:val="000000" w:themeColor="text1"/>
                <w:sz w:val="22"/>
                <w:szCs w:val="22"/>
                <w:lang w:val="en-US"/>
              </w:rPr>
            </w:pPr>
          </w:p>
        </w:tc>
        <w:tc>
          <w:tcPr>
            <w:tcW w:w="1639" w:type="dxa"/>
            <w:tcBorders>
              <w:bottom w:val="single" w:sz="4" w:space="0" w:color="auto"/>
            </w:tcBorders>
            <w:vAlign w:val="center"/>
          </w:tcPr>
          <w:p w14:paraId="4C7C255C" w14:textId="77777777" w:rsidR="00830193" w:rsidRDefault="00830193" w:rsidP="00526840">
            <w:pPr>
              <w:jc w:val="both"/>
              <w:rPr>
                <w:rFonts w:ascii="Arial" w:eastAsia="Arial" w:hAnsi="Arial" w:cs="Arial"/>
                <w:b/>
                <w:color w:val="000000" w:themeColor="text1"/>
                <w:sz w:val="22"/>
                <w:szCs w:val="22"/>
                <w:lang w:val="en-US"/>
              </w:rPr>
            </w:pPr>
            <w:r>
              <w:rPr>
                <w:rFonts w:asciiTheme="minorHAnsi" w:hAnsiTheme="minorHAnsi" w:cstheme="minorBidi"/>
                <w:color w:val="000000" w:themeColor="text1"/>
                <w:sz w:val="22"/>
                <w:szCs w:val="22"/>
                <w:lang w:val="en-US"/>
              </w:rPr>
              <w:t>Age 21-30</w:t>
            </w:r>
          </w:p>
        </w:tc>
        <w:tc>
          <w:tcPr>
            <w:tcW w:w="1016" w:type="dxa"/>
            <w:tcBorders>
              <w:bottom w:val="single" w:sz="4" w:space="0" w:color="auto"/>
            </w:tcBorders>
            <w:vAlign w:val="center"/>
          </w:tcPr>
          <w:p w14:paraId="51B22AD0" w14:textId="77777777" w:rsidR="00830193" w:rsidRDefault="00830193" w:rsidP="00526840">
            <w:pPr>
              <w:jc w:val="both"/>
              <w:rPr>
                <w:rFonts w:ascii="Arial" w:eastAsia="Arial" w:hAnsi="Arial" w:cs="Arial"/>
                <w:b/>
                <w:color w:val="000000" w:themeColor="text1"/>
                <w:sz w:val="22"/>
                <w:szCs w:val="22"/>
                <w:lang w:val="en-US"/>
              </w:rPr>
            </w:pPr>
            <w:r>
              <w:rPr>
                <w:rFonts w:asciiTheme="minorHAnsi" w:hAnsiTheme="minorHAnsi" w:cstheme="minorBidi"/>
                <w:color w:val="000000" w:themeColor="text1"/>
                <w:sz w:val="22"/>
                <w:szCs w:val="22"/>
                <w:lang w:val="en-US"/>
              </w:rPr>
              <w:t>3.678</w:t>
            </w:r>
          </w:p>
        </w:tc>
        <w:tc>
          <w:tcPr>
            <w:tcW w:w="980" w:type="dxa"/>
            <w:vMerge/>
            <w:tcBorders>
              <w:bottom w:val="single" w:sz="4" w:space="0" w:color="auto"/>
            </w:tcBorders>
          </w:tcPr>
          <w:p w14:paraId="3B215916" w14:textId="77777777" w:rsidR="00830193" w:rsidRDefault="00830193" w:rsidP="00526840">
            <w:pPr>
              <w:jc w:val="both"/>
              <w:rPr>
                <w:rFonts w:ascii="Arial" w:eastAsia="Arial" w:hAnsi="Arial" w:cs="Arial"/>
                <w:b/>
                <w:color w:val="000000" w:themeColor="text1"/>
                <w:sz w:val="22"/>
                <w:szCs w:val="22"/>
                <w:lang w:val="en-US"/>
              </w:rPr>
            </w:pPr>
          </w:p>
        </w:tc>
        <w:tc>
          <w:tcPr>
            <w:tcW w:w="1020" w:type="dxa"/>
            <w:vMerge/>
            <w:tcBorders>
              <w:bottom w:val="single" w:sz="4" w:space="0" w:color="auto"/>
            </w:tcBorders>
            <w:vAlign w:val="center"/>
          </w:tcPr>
          <w:p w14:paraId="09636D93" w14:textId="77777777" w:rsidR="00830193" w:rsidRDefault="00830193" w:rsidP="00526840">
            <w:pPr>
              <w:jc w:val="both"/>
              <w:rPr>
                <w:rFonts w:ascii="Arial" w:eastAsia="Arial" w:hAnsi="Arial" w:cs="Arial"/>
                <w:b/>
                <w:color w:val="000000" w:themeColor="text1"/>
                <w:sz w:val="22"/>
                <w:szCs w:val="22"/>
                <w:lang w:val="en-US"/>
              </w:rPr>
            </w:pPr>
          </w:p>
        </w:tc>
        <w:tc>
          <w:tcPr>
            <w:tcW w:w="1058" w:type="dxa"/>
            <w:vMerge/>
            <w:tcBorders>
              <w:bottom w:val="single" w:sz="4" w:space="0" w:color="auto"/>
            </w:tcBorders>
          </w:tcPr>
          <w:p w14:paraId="466F45F1" w14:textId="77777777" w:rsidR="00830193" w:rsidRDefault="00830193" w:rsidP="00526840">
            <w:pPr>
              <w:jc w:val="both"/>
              <w:rPr>
                <w:rFonts w:ascii="Arial" w:eastAsia="Arial" w:hAnsi="Arial" w:cs="Arial"/>
                <w:b/>
                <w:color w:val="000000" w:themeColor="text1"/>
                <w:sz w:val="22"/>
                <w:szCs w:val="22"/>
                <w:lang w:val="en-US"/>
              </w:rPr>
            </w:pPr>
          </w:p>
        </w:tc>
      </w:tr>
    </w:tbl>
    <w:p w14:paraId="5CB07BF5" w14:textId="7437914E" w:rsidR="00D82866" w:rsidRPr="007E5C64" w:rsidRDefault="00D82866" w:rsidP="00D82866">
      <w:pPr>
        <w:jc w:val="both"/>
        <w:rPr>
          <w:rFonts w:ascii="Arial" w:hAnsi="Arial" w:cs="Arial"/>
          <w:sz w:val="20"/>
          <w:szCs w:val="20"/>
        </w:rPr>
      </w:pPr>
    </w:p>
    <w:p w14:paraId="6FDD1CAA" w14:textId="77777777" w:rsidR="00717F2E" w:rsidRPr="007E5C64" w:rsidRDefault="00717F2E">
      <w:pPr>
        <w:jc w:val="both"/>
        <w:rPr>
          <w:rFonts w:ascii="Arial" w:hAnsi="Arial" w:cs="Arial"/>
          <w:sz w:val="20"/>
          <w:szCs w:val="20"/>
        </w:rPr>
      </w:pPr>
    </w:p>
    <w:p w14:paraId="567E1E49" w14:textId="1B6926FE" w:rsidR="00830193" w:rsidRDefault="00830193" w:rsidP="00850E61">
      <w:pPr>
        <w:pStyle w:val="Body"/>
        <w:rPr>
          <w:rFonts w:ascii="Arial" w:hAnsi="Arial" w:cs="Arial"/>
        </w:rPr>
      </w:pPr>
      <w:r w:rsidRPr="00830193">
        <w:rPr>
          <w:rFonts w:ascii="Arial" w:hAnsi="Arial" w:cs="Arial"/>
        </w:rPr>
        <w:t>The ana</w:t>
      </w:r>
      <w:r>
        <w:rPr>
          <w:rFonts w:ascii="Arial" w:hAnsi="Arial" w:cs="Arial"/>
        </w:rPr>
        <w:t>lysis is presented in Table 4 is</w:t>
      </w:r>
      <w:r w:rsidRPr="00830193">
        <w:rPr>
          <w:rFonts w:ascii="Arial" w:hAnsi="Arial" w:cs="Arial"/>
        </w:rPr>
        <w:t xml:space="preserve"> the significant differences in disaster preparedness among public school teachers based on their age group. The results indicate a statistically significant difference, as the F(2, 248) = 4.127, p = 0.017. This suggests that age affects how prepared teachers feel for disaster scenarios. Specifically, the mean disaster preparedness score was highest among teachers aged 31–40 years (M = 3.900), followed by those aged 21–30 years (M = 3.678), and lowest among teachers aged 40 years and above (M = 3.647).</w:t>
      </w:r>
    </w:p>
    <w:p w14:paraId="3B754A25" w14:textId="588D5A7B" w:rsidR="00830193" w:rsidRPr="00830193" w:rsidRDefault="00830193" w:rsidP="00830193">
      <w:pPr>
        <w:pStyle w:val="Body"/>
        <w:rPr>
          <w:rFonts w:ascii="Arial" w:hAnsi="Arial" w:cs="Arial"/>
        </w:rPr>
      </w:pPr>
      <w:r w:rsidRPr="00830193">
        <w:rPr>
          <w:rFonts w:ascii="Arial" w:hAnsi="Arial" w:cs="Arial"/>
        </w:rPr>
        <w:t xml:space="preserve">These findings suggest that age contributes to disaster preparedness among educators, with middle-aged teachers exhibiting higher levels of preparedness. This could be attributed to factors such as increased life experience, greater awareness of potential hazards, or a heightened sense of responsibility for student safety. Recent research supports the notion that age influences disaster preparedness, with studies conducted by </w:t>
      </w:r>
      <w:r w:rsidR="000D04BF">
        <w:rPr>
          <w:rFonts w:ascii="Arial" w:hAnsi="Arial" w:cs="Arial"/>
        </w:rPr>
        <w:t>Ying et al. (2023</w:t>
      </w:r>
      <w:r w:rsidRPr="00830193">
        <w:rPr>
          <w:rFonts w:ascii="Arial" w:hAnsi="Arial" w:cs="Arial"/>
        </w:rPr>
        <w:t xml:space="preserve">) finding that older nurses exhibited higher levels of preparedness than their younger counterparts. In a study by </w:t>
      </w:r>
      <w:r w:rsidR="00CE629B" w:rsidRPr="00CE629B">
        <w:rPr>
          <w:rFonts w:ascii="Arial" w:hAnsi="Arial" w:cs="Arial"/>
        </w:rPr>
        <w:t>Adepoju</w:t>
      </w:r>
      <w:r w:rsidR="00CE629B">
        <w:rPr>
          <w:rFonts w:ascii="Arial" w:hAnsi="Arial" w:cs="Arial"/>
        </w:rPr>
        <w:t xml:space="preserve"> et al. (2020</w:t>
      </w:r>
      <w:r w:rsidRPr="00830193">
        <w:rPr>
          <w:rFonts w:ascii="Arial" w:hAnsi="Arial" w:cs="Arial"/>
        </w:rPr>
        <w:t xml:space="preserve">), </w:t>
      </w:r>
      <w:r w:rsidR="00CE629B">
        <w:rPr>
          <w:rFonts w:ascii="Arial" w:hAnsi="Arial" w:cs="Arial"/>
        </w:rPr>
        <w:t xml:space="preserve">who </w:t>
      </w:r>
      <w:r w:rsidRPr="00830193">
        <w:rPr>
          <w:rFonts w:ascii="Arial" w:hAnsi="Arial" w:cs="Arial"/>
        </w:rPr>
        <w:t xml:space="preserve">discovered that almost 6 in 10 older minority individuals </w:t>
      </w:r>
      <w:r w:rsidRPr="00830193">
        <w:rPr>
          <w:rFonts w:ascii="Arial" w:hAnsi="Arial" w:cs="Arial"/>
        </w:rPr>
        <w:lastRenderedPageBreak/>
        <w:t>did not believe they were prepared for disasters. Survival and planning behaviors were favorably correlated with Medicare coverage. In the African American population, survival behaviors were correlated with income level and prior disaster experience. Last, understanding the gaps in disaster preparedness among older minority groups can guide culturally considerate actions to enhance disaster preparedness and recovery.</w:t>
      </w:r>
    </w:p>
    <w:p w14:paraId="2C09ACBA" w14:textId="357A6078" w:rsidR="00830193" w:rsidRDefault="00830193" w:rsidP="00830193">
      <w:pPr>
        <w:pStyle w:val="Body"/>
        <w:rPr>
          <w:rFonts w:ascii="Arial" w:hAnsi="Arial" w:cs="Arial"/>
        </w:rPr>
      </w:pPr>
      <w:r w:rsidRPr="00830193">
        <w:rPr>
          <w:rFonts w:ascii="Arial" w:hAnsi="Arial" w:cs="Arial"/>
        </w:rPr>
        <w:t>As stated by Patel et al. (2020), in terms of disaster readiness and response, students are one of the most susceptible subsets of the general population; nonetheless, many colleges still lack policies and planning for disaster preparedness, mitigation, and response. This study examined how students perceived being aware of and prepared for disasters based on their ethnicity and where they resided (on or off campus). A thorough examination of the disaster education literature was undertaken for this study.</w:t>
      </w:r>
    </w:p>
    <w:p w14:paraId="32D3B2E3" w14:textId="77777777" w:rsidR="0099249D" w:rsidRPr="00830193" w:rsidRDefault="0099249D" w:rsidP="00830193">
      <w:pPr>
        <w:pStyle w:val="Body"/>
        <w:rPr>
          <w:rFonts w:ascii="Arial" w:hAnsi="Arial" w:cs="Arial"/>
        </w:rPr>
      </w:pPr>
    </w:p>
    <w:p w14:paraId="66A127CA" w14:textId="7C4BE0A4" w:rsidR="00830193" w:rsidRDefault="00830193" w:rsidP="00830193">
      <w:pPr>
        <w:jc w:val="both"/>
        <w:rPr>
          <w:rFonts w:ascii="Arial" w:hAnsi="Arial" w:cs="Arial"/>
          <w:b/>
          <w:bCs/>
          <w:iCs/>
          <w:sz w:val="20"/>
          <w:szCs w:val="20"/>
        </w:rPr>
      </w:pPr>
      <w:r>
        <w:rPr>
          <w:rFonts w:ascii="Arial" w:hAnsi="Arial" w:cs="Arial"/>
          <w:b/>
          <w:bCs/>
          <w:iCs/>
          <w:sz w:val="20"/>
          <w:szCs w:val="20"/>
        </w:rPr>
        <w:t>3.5</w:t>
      </w:r>
      <w:r w:rsidRPr="007E5C64">
        <w:rPr>
          <w:rFonts w:ascii="Arial" w:hAnsi="Arial" w:cs="Arial"/>
          <w:b/>
          <w:bCs/>
          <w:iCs/>
          <w:sz w:val="20"/>
          <w:szCs w:val="20"/>
        </w:rPr>
        <w:t xml:space="preserve">. </w:t>
      </w:r>
      <w:r w:rsidRPr="00830193">
        <w:rPr>
          <w:rFonts w:ascii="Arial" w:hAnsi="Arial" w:cs="Arial"/>
          <w:b/>
          <w:bCs/>
          <w:iCs/>
          <w:sz w:val="20"/>
          <w:szCs w:val="20"/>
        </w:rPr>
        <w:t>Significant Difference in Disaster Preparedness</w:t>
      </w:r>
      <w:r>
        <w:rPr>
          <w:rFonts w:ascii="Arial" w:hAnsi="Arial" w:cs="Arial"/>
          <w:b/>
          <w:bCs/>
          <w:iCs/>
          <w:sz w:val="20"/>
          <w:szCs w:val="20"/>
        </w:rPr>
        <w:t xml:space="preserve"> </w:t>
      </w:r>
      <w:r w:rsidRPr="00830193">
        <w:rPr>
          <w:rFonts w:ascii="Arial" w:hAnsi="Arial" w:cs="Arial"/>
          <w:b/>
          <w:bCs/>
          <w:iCs/>
          <w:sz w:val="20"/>
          <w:szCs w:val="20"/>
        </w:rPr>
        <w:t>of Public School Teachers in terms of Years of Service</w:t>
      </w:r>
    </w:p>
    <w:p w14:paraId="05F5EE51" w14:textId="77777777" w:rsidR="00830193" w:rsidRPr="007E5C64" w:rsidRDefault="00830193" w:rsidP="00830193">
      <w:pPr>
        <w:jc w:val="both"/>
        <w:rPr>
          <w:rFonts w:ascii="Arial" w:hAnsi="Arial" w:cs="Arial"/>
          <w:b/>
          <w:bCs/>
          <w:iCs/>
          <w:sz w:val="20"/>
          <w:szCs w:val="20"/>
        </w:rPr>
      </w:pPr>
    </w:p>
    <w:p w14:paraId="0ADF7986" w14:textId="029C8994" w:rsidR="00830193" w:rsidRDefault="00830193" w:rsidP="00830193">
      <w:pPr>
        <w:jc w:val="both"/>
        <w:rPr>
          <w:rFonts w:ascii="Arial" w:eastAsia="Arial" w:hAnsi="Arial"/>
          <w:i/>
          <w:sz w:val="20"/>
          <w:szCs w:val="20"/>
        </w:rPr>
      </w:pPr>
      <w:r>
        <w:rPr>
          <w:rFonts w:ascii="Arial" w:eastAsia="Arial" w:hAnsi="Arial"/>
          <w:b/>
          <w:sz w:val="20"/>
          <w:szCs w:val="20"/>
        </w:rPr>
        <w:t>Table 5</w:t>
      </w:r>
      <w:r w:rsidRPr="007E5C64">
        <w:rPr>
          <w:rFonts w:ascii="Arial" w:eastAsia="Arial" w:hAnsi="Arial"/>
          <w:b/>
          <w:sz w:val="20"/>
          <w:szCs w:val="20"/>
        </w:rPr>
        <w:t xml:space="preserve">. </w:t>
      </w:r>
      <w:r w:rsidRPr="00830193">
        <w:rPr>
          <w:rFonts w:ascii="Arial" w:eastAsia="Arial" w:hAnsi="Arial"/>
          <w:i/>
          <w:sz w:val="20"/>
          <w:szCs w:val="20"/>
        </w:rPr>
        <w:t>Significant Difference in Disaster Preparedness of Public School Teachers in terms of Years of Service</w:t>
      </w:r>
    </w:p>
    <w:p w14:paraId="4A569C80" w14:textId="77777777" w:rsidR="00830193" w:rsidRDefault="00830193" w:rsidP="00830193">
      <w:pPr>
        <w:jc w:val="both"/>
        <w:rPr>
          <w:rFonts w:ascii="Arial" w:eastAsia="Arial" w:hAnsi="Arial"/>
          <w:i/>
          <w:sz w:val="20"/>
          <w:szCs w:val="20"/>
        </w:rPr>
      </w:pPr>
    </w:p>
    <w:p w14:paraId="3A45CB78" w14:textId="77777777" w:rsidR="00830193" w:rsidRPr="007E5C64" w:rsidRDefault="00830193" w:rsidP="00830193">
      <w:pPr>
        <w:jc w:val="both"/>
        <w:rPr>
          <w:rFonts w:ascii="Arial" w:eastAsia="Arial" w:hAnsi="Arial"/>
          <w:i/>
          <w:sz w:val="20"/>
          <w:szCs w:val="20"/>
        </w:rPr>
      </w:pPr>
    </w:p>
    <w:tbl>
      <w:tblPr>
        <w:tblW w:w="7339" w:type="dxa"/>
        <w:tblCellMar>
          <w:top w:w="15" w:type="dxa"/>
          <w:left w:w="15" w:type="dxa"/>
          <w:bottom w:w="15" w:type="dxa"/>
          <w:right w:w="15" w:type="dxa"/>
        </w:tblCellMar>
        <w:tblLook w:val="04A0" w:firstRow="1" w:lastRow="0" w:firstColumn="1" w:lastColumn="0" w:noHBand="0" w:noVBand="1"/>
      </w:tblPr>
      <w:tblGrid>
        <w:gridCol w:w="1126"/>
        <w:gridCol w:w="36"/>
        <w:gridCol w:w="1740"/>
        <w:gridCol w:w="625"/>
        <w:gridCol w:w="1277"/>
        <w:gridCol w:w="80"/>
        <w:gridCol w:w="593"/>
        <w:gridCol w:w="1078"/>
        <w:gridCol w:w="36"/>
        <w:gridCol w:w="686"/>
        <w:gridCol w:w="62"/>
      </w:tblGrid>
      <w:tr w:rsidR="00830193" w14:paraId="24B914C8" w14:textId="77777777" w:rsidTr="00830193">
        <w:trPr>
          <w:gridAfter w:val="1"/>
          <w:wAfter w:w="62" w:type="dxa"/>
          <w:trHeight w:val="345"/>
        </w:trPr>
        <w:tc>
          <w:tcPr>
            <w:tcW w:w="7277" w:type="dxa"/>
            <w:gridSpan w:val="10"/>
            <w:tcBorders>
              <w:top w:val="nil"/>
              <w:left w:val="nil"/>
              <w:bottom w:val="nil"/>
              <w:right w:val="nil"/>
            </w:tcBorders>
            <w:vAlign w:val="center"/>
          </w:tcPr>
          <w:p w14:paraId="729DA468" w14:textId="313B390A" w:rsidR="00830193" w:rsidRDefault="00830193" w:rsidP="00526840">
            <w:pPr>
              <w:rPr>
                <w:i/>
                <w:iCs/>
                <w:color w:val="000000" w:themeColor="text1"/>
              </w:rPr>
            </w:pPr>
            <w:r>
              <w:rPr>
                <w:rFonts w:ascii="Arial" w:eastAsia="Arial" w:hAnsi="Arial" w:cs="Arial"/>
                <w:b/>
                <w:color w:val="000000" w:themeColor="text1"/>
              </w:rPr>
              <w:t xml:space="preserve">Table </w:t>
            </w:r>
            <w:proofErr w:type="gramStart"/>
            <w:r>
              <w:rPr>
                <w:rFonts w:ascii="Arial" w:eastAsia="Arial" w:hAnsi="Arial" w:cs="Arial"/>
                <w:b/>
                <w:color w:val="000000" w:themeColor="text1"/>
              </w:rPr>
              <w:t>5..</w:t>
            </w:r>
            <w:proofErr w:type="gramEnd"/>
            <w:r>
              <w:rPr>
                <w:rFonts w:ascii="Arial" w:eastAsia="Arial" w:hAnsi="Arial" w:cs="Arial"/>
                <w:b/>
                <w:color w:val="000000" w:themeColor="text1"/>
              </w:rPr>
              <w:t xml:space="preserve"> </w:t>
            </w:r>
            <w:r>
              <w:rPr>
                <w:rStyle w:val="in-toolbar"/>
                <w:rFonts w:ascii="Arial" w:hAnsi="Arial" w:cs="Arial"/>
                <w:i/>
                <w:iCs/>
                <w:color w:val="000000" w:themeColor="text1"/>
              </w:rPr>
              <w:t>Post Hoc Comparisons - Years in Service</w:t>
            </w:r>
            <w:r>
              <w:rPr>
                <w:i/>
                <w:iCs/>
                <w:color w:val="000000" w:themeColor="text1"/>
              </w:rPr>
              <w:t xml:space="preserve"> </w:t>
            </w:r>
          </w:p>
        </w:tc>
      </w:tr>
      <w:tr w:rsidR="00830193" w14:paraId="4A8FBC5C" w14:textId="77777777" w:rsidTr="00830193">
        <w:trPr>
          <w:gridAfter w:val="1"/>
          <w:wAfter w:w="62" w:type="dxa"/>
          <w:trHeight w:val="510"/>
          <w:tblHeader/>
        </w:trPr>
        <w:tc>
          <w:tcPr>
            <w:tcW w:w="0" w:type="auto"/>
            <w:gridSpan w:val="2"/>
            <w:tcBorders>
              <w:top w:val="nil"/>
              <w:left w:val="nil"/>
              <w:bottom w:val="single" w:sz="6" w:space="0" w:color="000000"/>
              <w:right w:val="nil"/>
            </w:tcBorders>
            <w:vAlign w:val="center"/>
          </w:tcPr>
          <w:p w14:paraId="6B5EFED1" w14:textId="77777777" w:rsidR="00830193" w:rsidRDefault="00830193" w:rsidP="00526840">
            <w:pPr>
              <w:rPr>
                <w:b/>
                <w:bCs/>
                <w:color w:val="000000" w:themeColor="text1"/>
              </w:rPr>
            </w:pPr>
          </w:p>
        </w:tc>
        <w:tc>
          <w:tcPr>
            <w:tcW w:w="0" w:type="auto"/>
            <w:gridSpan w:val="2"/>
            <w:tcBorders>
              <w:top w:val="nil"/>
              <w:left w:val="nil"/>
              <w:bottom w:val="single" w:sz="6" w:space="0" w:color="000000"/>
              <w:right w:val="nil"/>
            </w:tcBorders>
            <w:vAlign w:val="center"/>
          </w:tcPr>
          <w:p w14:paraId="366280AD" w14:textId="77777777" w:rsidR="00830193" w:rsidRDefault="00830193" w:rsidP="00526840">
            <w:pPr>
              <w:jc w:val="center"/>
              <w:rPr>
                <w:color w:val="000000" w:themeColor="text1"/>
                <w:sz w:val="20"/>
                <w:szCs w:val="20"/>
              </w:rPr>
            </w:pPr>
          </w:p>
        </w:tc>
        <w:tc>
          <w:tcPr>
            <w:tcW w:w="0" w:type="auto"/>
            <w:gridSpan w:val="2"/>
            <w:tcBorders>
              <w:top w:val="nil"/>
              <w:left w:val="nil"/>
              <w:bottom w:val="single" w:sz="6" w:space="0" w:color="000000"/>
              <w:right w:val="nil"/>
            </w:tcBorders>
            <w:vAlign w:val="center"/>
          </w:tcPr>
          <w:p w14:paraId="7BEF4449" w14:textId="77777777" w:rsidR="00830193" w:rsidRDefault="00830193" w:rsidP="00526840">
            <w:pPr>
              <w:jc w:val="center"/>
              <w:rPr>
                <w:b/>
                <w:bCs/>
                <w:color w:val="000000" w:themeColor="text1"/>
              </w:rPr>
            </w:pPr>
            <w:r>
              <w:rPr>
                <w:b/>
                <w:bCs/>
                <w:color w:val="000000" w:themeColor="text1"/>
              </w:rPr>
              <w:t>Mean Difference</w:t>
            </w:r>
          </w:p>
        </w:tc>
        <w:tc>
          <w:tcPr>
            <w:tcW w:w="593" w:type="dxa"/>
            <w:tcBorders>
              <w:top w:val="nil"/>
              <w:left w:val="nil"/>
              <w:bottom w:val="single" w:sz="6" w:space="0" w:color="000000"/>
              <w:right w:val="nil"/>
            </w:tcBorders>
            <w:vAlign w:val="center"/>
          </w:tcPr>
          <w:p w14:paraId="251BA3C0" w14:textId="77777777" w:rsidR="00830193" w:rsidRDefault="00830193" w:rsidP="00526840">
            <w:pPr>
              <w:jc w:val="center"/>
              <w:rPr>
                <w:b/>
                <w:bCs/>
                <w:color w:val="000000" w:themeColor="text1"/>
              </w:rPr>
            </w:pPr>
            <w:r>
              <w:rPr>
                <w:b/>
                <w:bCs/>
                <w:color w:val="000000" w:themeColor="text1"/>
              </w:rPr>
              <w:t>SE</w:t>
            </w:r>
          </w:p>
        </w:tc>
        <w:tc>
          <w:tcPr>
            <w:tcW w:w="1114" w:type="dxa"/>
            <w:gridSpan w:val="2"/>
            <w:tcBorders>
              <w:top w:val="nil"/>
              <w:left w:val="nil"/>
              <w:bottom w:val="single" w:sz="6" w:space="0" w:color="000000"/>
              <w:right w:val="nil"/>
            </w:tcBorders>
            <w:vAlign w:val="center"/>
          </w:tcPr>
          <w:p w14:paraId="3065C0B6" w14:textId="77777777" w:rsidR="00830193" w:rsidRDefault="00830193" w:rsidP="00526840">
            <w:pPr>
              <w:jc w:val="center"/>
              <w:rPr>
                <w:b/>
                <w:bCs/>
                <w:color w:val="000000" w:themeColor="text1"/>
              </w:rPr>
            </w:pPr>
            <w:r>
              <w:rPr>
                <w:b/>
                <w:bCs/>
                <w:color w:val="000000" w:themeColor="text1"/>
              </w:rPr>
              <w:t>t</w:t>
            </w:r>
          </w:p>
        </w:tc>
        <w:tc>
          <w:tcPr>
            <w:tcW w:w="686" w:type="dxa"/>
            <w:tcBorders>
              <w:top w:val="nil"/>
              <w:left w:val="nil"/>
              <w:bottom w:val="single" w:sz="6" w:space="0" w:color="000000"/>
              <w:right w:val="nil"/>
            </w:tcBorders>
            <w:vAlign w:val="center"/>
          </w:tcPr>
          <w:p w14:paraId="4A9ED64A" w14:textId="77777777" w:rsidR="00830193" w:rsidRDefault="00830193" w:rsidP="00526840">
            <w:pPr>
              <w:jc w:val="center"/>
              <w:rPr>
                <w:b/>
                <w:bCs/>
                <w:color w:val="000000" w:themeColor="text1"/>
              </w:rPr>
            </w:pPr>
            <w:proofErr w:type="spellStart"/>
            <w:r>
              <w:rPr>
                <w:b/>
                <w:bCs/>
                <w:color w:val="000000" w:themeColor="text1"/>
              </w:rPr>
              <w:t>p</w:t>
            </w:r>
            <w:r>
              <w:rPr>
                <w:b/>
                <w:bCs/>
                <w:color w:val="000000" w:themeColor="text1"/>
                <w:vertAlign w:val="subscript"/>
              </w:rPr>
              <w:t>tukey</w:t>
            </w:r>
            <w:proofErr w:type="spellEnd"/>
            <w:r>
              <w:rPr>
                <w:b/>
                <w:bCs/>
                <w:color w:val="000000" w:themeColor="text1"/>
              </w:rPr>
              <w:t xml:space="preserve"> </w:t>
            </w:r>
          </w:p>
        </w:tc>
      </w:tr>
      <w:tr w:rsidR="00830193" w14:paraId="530808E5" w14:textId="77777777" w:rsidTr="00830193">
        <w:trPr>
          <w:trHeight w:val="521"/>
        </w:trPr>
        <w:tc>
          <w:tcPr>
            <w:tcW w:w="0" w:type="auto"/>
            <w:tcBorders>
              <w:top w:val="nil"/>
              <w:left w:val="nil"/>
              <w:bottom w:val="nil"/>
              <w:right w:val="nil"/>
            </w:tcBorders>
            <w:vAlign w:val="center"/>
          </w:tcPr>
          <w:p w14:paraId="0739E958" w14:textId="77777777" w:rsidR="00830193" w:rsidRDefault="00830193" w:rsidP="00526840">
            <w:pPr>
              <w:rPr>
                <w:color w:val="000000" w:themeColor="text1"/>
              </w:rPr>
            </w:pPr>
            <w:r>
              <w:rPr>
                <w:color w:val="000000" w:themeColor="text1"/>
              </w:rPr>
              <w:t>10 years and above</w:t>
            </w:r>
          </w:p>
        </w:tc>
        <w:tc>
          <w:tcPr>
            <w:tcW w:w="0" w:type="auto"/>
            <w:tcBorders>
              <w:top w:val="nil"/>
              <w:left w:val="nil"/>
              <w:bottom w:val="nil"/>
              <w:right w:val="nil"/>
            </w:tcBorders>
            <w:vAlign w:val="center"/>
          </w:tcPr>
          <w:p w14:paraId="53B9993A" w14:textId="77777777" w:rsidR="00830193" w:rsidRDefault="00830193" w:rsidP="00526840">
            <w:pPr>
              <w:rPr>
                <w:color w:val="000000" w:themeColor="text1"/>
              </w:rPr>
            </w:pPr>
          </w:p>
        </w:tc>
        <w:tc>
          <w:tcPr>
            <w:tcW w:w="1740" w:type="dxa"/>
            <w:tcBorders>
              <w:top w:val="nil"/>
              <w:left w:val="nil"/>
              <w:bottom w:val="nil"/>
              <w:right w:val="nil"/>
            </w:tcBorders>
            <w:vAlign w:val="center"/>
          </w:tcPr>
          <w:p w14:paraId="1238321F" w14:textId="77777777" w:rsidR="00830193" w:rsidRDefault="00830193" w:rsidP="00526840">
            <w:pPr>
              <w:rPr>
                <w:color w:val="000000" w:themeColor="text1"/>
              </w:rPr>
            </w:pPr>
            <w:r>
              <w:rPr>
                <w:color w:val="000000" w:themeColor="text1"/>
              </w:rPr>
              <w:t>(5-10 years)</w:t>
            </w:r>
          </w:p>
        </w:tc>
        <w:tc>
          <w:tcPr>
            <w:tcW w:w="625" w:type="dxa"/>
            <w:tcBorders>
              <w:top w:val="nil"/>
              <w:left w:val="nil"/>
              <w:bottom w:val="nil"/>
              <w:right w:val="nil"/>
            </w:tcBorders>
            <w:vAlign w:val="center"/>
          </w:tcPr>
          <w:p w14:paraId="10E77FE5" w14:textId="77777777" w:rsidR="00830193" w:rsidRDefault="00830193" w:rsidP="00526840">
            <w:pPr>
              <w:rPr>
                <w:color w:val="000000" w:themeColor="text1"/>
              </w:rPr>
            </w:pPr>
          </w:p>
        </w:tc>
        <w:tc>
          <w:tcPr>
            <w:tcW w:w="0" w:type="auto"/>
            <w:tcBorders>
              <w:top w:val="nil"/>
              <w:left w:val="nil"/>
              <w:bottom w:val="nil"/>
              <w:right w:val="nil"/>
            </w:tcBorders>
            <w:vAlign w:val="center"/>
          </w:tcPr>
          <w:p w14:paraId="1C222340" w14:textId="77777777" w:rsidR="00830193" w:rsidRDefault="00830193" w:rsidP="00526840">
            <w:pPr>
              <w:jc w:val="right"/>
              <w:rPr>
                <w:color w:val="000000" w:themeColor="text1"/>
              </w:rPr>
            </w:pPr>
            <w:r>
              <w:rPr>
                <w:color w:val="000000" w:themeColor="text1"/>
              </w:rPr>
              <w:t>0.235</w:t>
            </w:r>
          </w:p>
        </w:tc>
        <w:tc>
          <w:tcPr>
            <w:tcW w:w="0" w:type="auto"/>
            <w:tcBorders>
              <w:top w:val="nil"/>
              <w:left w:val="nil"/>
              <w:bottom w:val="nil"/>
              <w:right w:val="nil"/>
            </w:tcBorders>
            <w:vAlign w:val="center"/>
          </w:tcPr>
          <w:p w14:paraId="64AF046C" w14:textId="77777777" w:rsidR="00830193" w:rsidRDefault="00830193" w:rsidP="00526840">
            <w:pPr>
              <w:jc w:val="right"/>
              <w:rPr>
                <w:color w:val="000000" w:themeColor="text1"/>
              </w:rPr>
            </w:pPr>
          </w:p>
        </w:tc>
        <w:tc>
          <w:tcPr>
            <w:tcW w:w="593" w:type="dxa"/>
            <w:tcBorders>
              <w:top w:val="nil"/>
              <w:left w:val="nil"/>
              <w:bottom w:val="nil"/>
              <w:right w:val="nil"/>
            </w:tcBorders>
            <w:vAlign w:val="center"/>
          </w:tcPr>
          <w:p w14:paraId="29498997" w14:textId="77777777" w:rsidR="00830193" w:rsidRDefault="00830193" w:rsidP="00526840">
            <w:pPr>
              <w:jc w:val="right"/>
              <w:rPr>
                <w:color w:val="000000" w:themeColor="text1"/>
              </w:rPr>
            </w:pPr>
            <w:r>
              <w:rPr>
                <w:color w:val="000000" w:themeColor="text1"/>
              </w:rPr>
              <w:t>0.098</w:t>
            </w:r>
          </w:p>
        </w:tc>
        <w:tc>
          <w:tcPr>
            <w:tcW w:w="1078" w:type="dxa"/>
            <w:tcBorders>
              <w:top w:val="nil"/>
              <w:left w:val="nil"/>
              <w:bottom w:val="nil"/>
              <w:right w:val="nil"/>
            </w:tcBorders>
            <w:vAlign w:val="center"/>
          </w:tcPr>
          <w:p w14:paraId="21FADB89" w14:textId="77777777" w:rsidR="00830193" w:rsidRDefault="00830193" w:rsidP="00526840">
            <w:pPr>
              <w:jc w:val="right"/>
              <w:rPr>
                <w:color w:val="000000" w:themeColor="text1"/>
              </w:rPr>
            </w:pPr>
            <w:r>
              <w:rPr>
                <w:color w:val="000000" w:themeColor="text1"/>
              </w:rPr>
              <w:t>2.386</w:t>
            </w:r>
          </w:p>
        </w:tc>
        <w:tc>
          <w:tcPr>
            <w:tcW w:w="0" w:type="auto"/>
            <w:tcBorders>
              <w:top w:val="nil"/>
              <w:left w:val="nil"/>
              <w:bottom w:val="nil"/>
              <w:right w:val="nil"/>
            </w:tcBorders>
            <w:vAlign w:val="center"/>
          </w:tcPr>
          <w:p w14:paraId="2FC4D6D6" w14:textId="77777777" w:rsidR="00830193" w:rsidRDefault="00830193" w:rsidP="00526840">
            <w:pPr>
              <w:jc w:val="right"/>
              <w:rPr>
                <w:color w:val="000000" w:themeColor="text1"/>
              </w:rPr>
            </w:pPr>
          </w:p>
        </w:tc>
        <w:tc>
          <w:tcPr>
            <w:tcW w:w="0" w:type="auto"/>
            <w:tcBorders>
              <w:top w:val="nil"/>
              <w:left w:val="nil"/>
              <w:bottom w:val="nil"/>
              <w:right w:val="nil"/>
            </w:tcBorders>
            <w:vAlign w:val="center"/>
          </w:tcPr>
          <w:p w14:paraId="2D728ED5" w14:textId="77777777" w:rsidR="00830193" w:rsidRDefault="00830193" w:rsidP="00526840">
            <w:pPr>
              <w:jc w:val="right"/>
              <w:rPr>
                <w:color w:val="000000" w:themeColor="text1"/>
              </w:rPr>
            </w:pPr>
            <w:r>
              <w:rPr>
                <w:color w:val="000000" w:themeColor="text1"/>
              </w:rPr>
              <w:t>0.047</w:t>
            </w:r>
          </w:p>
        </w:tc>
        <w:tc>
          <w:tcPr>
            <w:tcW w:w="62" w:type="dxa"/>
            <w:tcBorders>
              <w:top w:val="nil"/>
              <w:left w:val="nil"/>
              <w:bottom w:val="nil"/>
              <w:right w:val="nil"/>
            </w:tcBorders>
            <w:vAlign w:val="center"/>
          </w:tcPr>
          <w:p w14:paraId="1EDE58F9" w14:textId="77777777" w:rsidR="00830193" w:rsidRDefault="00830193" w:rsidP="00526840">
            <w:pPr>
              <w:jc w:val="right"/>
              <w:rPr>
                <w:color w:val="000000" w:themeColor="text1"/>
              </w:rPr>
            </w:pPr>
          </w:p>
        </w:tc>
      </w:tr>
      <w:tr w:rsidR="00830193" w14:paraId="3BFE4AB8" w14:textId="77777777" w:rsidTr="00830193">
        <w:trPr>
          <w:trHeight w:val="255"/>
        </w:trPr>
        <w:tc>
          <w:tcPr>
            <w:tcW w:w="0" w:type="auto"/>
            <w:tcBorders>
              <w:top w:val="nil"/>
              <w:left w:val="nil"/>
              <w:bottom w:val="nil"/>
              <w:right w:val="nil"/>
            </w:tcBorders>
            <w:vAlign w:val="center"/>
          </w:tcPr>
          <w:p w14:paraId="764A1B1F" w14:textId="77777777" w:rsidR="00830193" w:rsidRDefault="00830193" w:rsidP="00526840">
            <w:pPr>
              <w:rPr>
                <w:color w:val="000000" w:themeColor="text1"/>
              </w:rPr>
            </w:pPr>
            <w:r>
              <w:rPr>
                <w:color w:val="000000" w:themeColor="text1"/>
              </w:rPr>
              <w:t> </w:t>
            </w:r>
          </w:p>
        </w:tc>
        <w:tc>
          <w:tcPr>
            <w:tcW w:w="0" w:type="auto"/>
            <w:tcBorders>
              <w:top w:val="nil"/>
              <w:left w:val="nil"/>
              <w:bottom w:val="nil"/>
              <w:right w:val="nil"/>
            </w:tcBorders>
            <w:vAlign w:val="center"/>
          </w:tcPr>
          <w:p w14:paraId="13FF5D9D" w14:textId="77777777" w:rsidR="00830193" w:rsidRDefault="00830193" w:rsidP="00526840">
            <w:pPr>
              <w:rPr>
                <w:color w:val="000000" w:themeColor="text1"/>
              </w:rPr>
            </w:pPr>
          </w:p>
        </w:tc>
        <w:tc>
          <w:tcPr>
            <w:tcW w:w="1740" w:type="dxa"/>
            <w:tcBorders>
              <w:top w:val="nil"/>
              <w:left w:val="nil"/>
              <w:bottom w:val="nil"/>
              <w:right w:val="nil"/>
            </w:tcBorders>
            <w:vAlign w:val="center"/>
          </w:tcPr>
          <w:p w14:paraId="46B7127F" w14:textId="77777777" w:rsidR="00830193" w:rsidRDefault="00830193" w:rsidP="00526840">
            <w:pPr>
              <w:rPr>
                <w:color w:val="000000" w:themeColor="text1"/>
              </w:rPr>
            </w:pPr>
            <w:r>
              <w:rPr>
                <w:color w:val="000000" w:themeColor="text1"/>
              </w:rPr>
              <w:t>less than 5 years</w:t>
            </w:r>
          </w:p>
        </w:tc>
        <w:tc>
          <w:tcPr>
            <w:tcW w:w="625" w:type="dxa"/>
            <w:tcBorders>
              <w:top w:val="nil"/>
              <w:left w:val="nil"/>
              <w:bottom w:val="nil"/>
              <w:right w:val="nil"/>
            </w:tcBorders>
            <w:vAlign w:val="center"/>
          </w:tcPr>
          <w:p w14:paraId="784D7065" w14:textId="77777777" w:rsidR="00830193" w:rsidRDefault="00830193" w:rsidP="00526840">
            <w:pPr>
              <w:rPr>
                <w:color w:val="000000" w:themeColor="text1"/>
              </w:rPr>
            </w:pPr>
          </w:p>
        </w:tc>
        <w:tc>
          <w:tcPr>
            <w:tcW w:w="0" w:type="auto"/>
            <w:tcBorders>
              <w:top w:val="nil"/>
              <w:left w:val="nil"/>
              <w:bottom w:val="nil"/>
              <w:right w:val="nil"/>
            </w:tcBorders>
            <w:vAlign w:val="center"/>
          </w:tcPr>
          <w:p w14:paraId="4DDDBFDD" w14:textId="77777777" w:rsidR="00830193" w:rsidRDefault="00830193" w:rsidP="00526840">
            <w:pPr>
              <w:jc w:val="right"/>
              <w:rPr>
                <w:color w:val="000000" w:themeColor="text1"/>
              </w:rPr>
            </w:pPr>
            <w:r>
              <w:rPr>
                <w:color w:val="000000" w:themeColor="text1"/>
              </w:rPr>
              <w:t>0.346</w:t>
            </w:r>
          </w:p>
        </w:tc>
        <w:tc>
          <w:tcPr>
            <w:tcW w:w="0" w:type="auto"/>
            <w:tcBorders>
              <w:top w:val="nil"/>
              <w:left w:val="nil"/>
              <w:bottom w:val="nil"/>
              <w:right w:val="nil"/>
            </w:tcBorders>
            <w:vAlign w:val="center"/>
          </w:tcPr>
          <w:p w14:paraId="4F164DC9" w14:textId="77777777" w:rsidR="00830193" w:rsidRDefault="00830193" w:rsidP="00526840">
            <w:pPr>
              <w:jc w:val="right"/>
              <w:rPr>
                <w:color w:val="000000" w:themeColor="text1"/>
              </w:rPr>
            </w:pPr>
          </w:p>
        </w:tc>
        <w:tc>
          <w:tcPr>
            <w:tcW w:w="593" w:type="dxa"/>
            <w:tcBorders>
              <w:top w:val="nil"/>
              <w:left w:val="nil"/>
              <w:bottom w:val="nil"/>
              <w:right w:val="nil"/>
            </w:tcBorders>
            <w:vAlign w:val="center"/>
          </w:tcPr>
          <w:p w14:paraId="25B30352" w14:textId="77777777" w:rsidR="00830193" w:rsidRDefault="00830193" w:rsidP="00526840">
            <w:pPr>
              <w:jc w:val="right"/>
              <w:rPr>
                <w:color w:val="000000" w:themeColor="text1"/>
              </w:rPr>
            </w:pPr>
            <w:r>
              <w:rPr>
                <w:color w:val="000000" w:themeColor="text1"/>
              </w:rPr>
              <w:t>0.102</w:t>
            </w:r>
          </w:p>
        </w:tc>
        <w:tc>
          <w:tcPr>
            <w:tcW w:w="1078" w:type="dxa"/>
            <w:tcBorders>
              <w:top w:val="nil"/>
              <w:left w:val="nil"/>
              <w:bottom w:val="nil"/>
              <w:right w:val="nil"/>
            </w:tcBorders>
            <w:vAlign w:val="center"/>
          </w:tcPr>
          <w:p w14:paraId="291E3F22" w14:textId="77777777" w:rsidR="00830193" w:rsidRDefault="00830193" w:rsidP="00526840">
            <w:pPr>
              <w:jc w:val="right"/>
              <w:rPr>
                <w:color w:val="000000" w:themeColor="text1"/>
              </w:rPr>
            </w:pPr>
            <w:r>
              <w:rPr>
                <w:color w:val="000000" w:themeColor="text1"/>
              </w:rPr>
              <w:t>3.380</w:t>
            </w:r>
          </w:p>
        </w:tc>
        <w:tc>
          <w:tcPr>
            <w:tcW w:w="0" w:type="auto"/>
            <w:tcBorders>
              <w:top w:val="nil"/>
              <w:left w:val="nil"/>
              <w:bottom w:val="nil"/>
              <w:right w:val="nil"/>
            </w:tcBorders>
            <w:vAlign w:val="center"/>
          </w:tcPr>
          <w:p w14:paraId="0868D425" w14:textId="77777777" w:rsidR="00830193" w:rsidRDefault="00830193" w:rsidP="00526840">
            <w:pPr>
              <w:jc w:val="right"/>
              <w:rPr>
                <w:color w:val="000000" w:themeColor="text1"/>
              </w:rPr>
            </w:pPr>
          </w:p>
        </w:tc>
        <w:tc>
          <w:tcPr>
            <w:tcW w:w="0" w:type="auto"/>
            <w:tcBorders>
              <w:top w:val="nil"/>
              <w:left w:val="nil"/>
              <w:bottom w:val="nil"/>
              <w:right w:val="nil"/>
            </w:tcBorders>
            <w:vAlign w:val="center"/>
          </w:tcPr>
          <w:p w14:paraId="389F4C49" w14:textId="77777777" w:rsidR="00830193" w:rsidRDefault="00830193" w:rsidP="00526840">
            <w:pPr>
              <w:jc w:val="right"/>
              <w:rPr>
                <w:color w:val="000000" w:themeColor="text1"/>
              </w:rPr>
            </w:pPr>
            <w:r>
              <w:rPr>
                <w:color w:val="000000" w:themeColor="text1"/>
              </w:rPr>
              <w:t>0.002</w:t>
            </w:r>
          </w:p>
        </w:tc>
        <w:tc>
          <w:tcPr>
            <w:tcW w:w="62" w:type="dxa"/>
            <w:tcBorders>
              <w:top w:val="nil"/>
              <w:left w:val="nil"/>
              <w:bottom w:val="nil"/>
              <w:right w:val="nil"/>
            </w:tcBorders>
            <w:vAlign w:val="center"/>
          </w:tcPr>
          <w:p w14:paraId="523E52E0" w14:textId="77777777" w:rsidR="00830193" w:rsidRDefault="00830193" w:rsidP="00526840">
            <w:pPr>
              <w:jc w:val="right"/>
              <w:rPr>
                <w:color w:val="000000" w:themeColor="text1"/>
              </w:rPr>
            </w:pPr>
          </w:p>
        </w:tc>
      </w:tr>
      <w:tr w:rsidR="00830193" w14:paraId="1751D899" w14:textId="77777777" w:rsidTr="009766C9">
        <w:trPr>
          <w:trHeight w:val="521"/>
        </w:trPr>
        <w:tc>
          <w:tcPr>
            <w:tcW w:w="0" w:type="auto"/>
            <w:tcBorders>
              <w:top w:val="nil"/>
              <w:left w:val="nil"/>
              <w:bottom w:val="nil"/>
              <w:right w:val="nil"/>
            </w:tcBorders>
            <w:vAlign w:val="center"/>
          </w:tcPr>
          <w:p w14:paraId="25854B8A" w14:textId="77777777" w:rsidR="00830193" w:rsidRDefault="00830193" w:rsidP="00526840">
            <w:pPr>
              <w:rPr>
                <w:color w:val="000000" w:themeColor="text1"/>
              </w:rPr>
            </w:pPr>
            <w:r>
              <w:rPr>
                <w:color w:val="000000" w:themeColor="text1"/>
              </w:rPr>
              <w:t>(5-10 years)</w:t>
            </w:r>
          </w:p>
        </w:tc>
        <w:tc>
          <w:tcPr>
            <w:tcW w:w="0" w:type="auto"/>
            <w:tcBorders>
              <w:top w:val="nil"/>
              <w:left w:val="nil"/>
              <w:bottom w:val="nil"/>
              <w:right w:val="nil"/>
            </w:tcBorders>
            <w:vAlign w:val="center"/>
          </w:tcPr>
          <w:p w14:paraId="05AFA6AE" w14:textId="77777777" w:rsidR="00830193" w:rsidRDefault="00830193" w:rsidP="00526840">
            <w:pPr>
              <w:rPr>
                <w:color w:val="000000" w:themeColor="text1"/>
              </w:rPr>
            </w:pPr>
          </w:p>
        </w:tc>
        <w:tc>
          <w:tcPr>
            <w:tcW w:w="1740" w:type="dxa"/>
            <w:tcBorders>
              <w:top w:val="nil"/>
              <w:left w:val="nil"/>
              <w:bottom w:val="nil"/>
              <w:right w:val="nil"/>
            </w:tcBorders>
            <w:vAlign w:val="center"/>
          </w:tcPr>
          <w:p w14:paraId="3E9A27DE" w14:textId="77777777" w:rsidR="00830193" w:rsidRDefault="00830193" w:rsidP="00526840">
            <w:pPr>
              <w:rPr>
                <w:color w:val="000000" w:themeColor="text1"/>
              </w:rPr>
            </w:pPr>
            <w:r>
              <w:rPr>
                <w:color w:val="000000" w:themeColor="text1"/>
              </w:rPr>
              <w:t>less than 5 years</w:t>
            </w:r>
          </w:p>
        </w:tc>
        <w:tc>
          <w:tcPr>
            <w:tcW w:w="625" w:type="dxa"/>
            <w:tcBorders>
              <w:top w:val="nil"/>
              <w:left w:val="nil"/>
              <w:bottom w:val="nil"/>
              <w:right w:val="nil"/>
            </w:tcBorders>
            <w:vAlign w:val="center"/>
          </w:tcPr>
          <w:p w14:paraId="3AF85481" w14:textId="77777777" w:rsidR="00830193" w:rsidRDefault="00830193" w:rsidP="00526840">
            <w:pPr>
              <w:rPr>
                <w:color w:val="000000" w:themeColor="text1"/>
              </w:rPr>
            </w:pPr>
          </w:p>
        </w:tc>
        <w:tc>
          <w:tcPr>
            <w:tcW w:w="0" w:type="auto"/>
            <w:tcBorders>
              <w:top w:val="nil"/>
              <w:left w:val="nil"/>
              <w:bottom w:val="nil"/>
              <w:right w:val="nil"/>
            </w:tcBorders>
            <w:vAlign w:val="center"/>
          </w:tcPr>
          <w:p w14:paraId="63CE9F12" w14:textId="77777777" w:rsidR="00830193" w:rsidRDefault="00830193" w:rsidP="00526840">
            <w:pPr>
              <w:jc w:val="right"/>
              <w:rPr>
                <w:color w:val="000000" w:themeColor="text1"/>
              </w:rPr>
            </w:pPr>
            <w:r>
              <w:rPr>
                <w:color w:val="000000" w:themeColor="text1"/>
              </w:rPr>
              <w:t>0.111</w:t>
            </w:r>
          </w:p>
        </w:tc>
        <w:tc>
          <w:tcPr>
            <w:tcW w:w="0" w:type="auto"/>
            <w:tcBorders>
              <w:top w:val="nil"/>
              <w:left w:val="nil"/>
              <w:bottom w:val="nil"/>
              <w:right w:val="nil"/>
            </w:tcBorders>
            <w:vAlign w:val="center"/>
          </w:tcPr>
          <w:p w14:paraId="08B956F3" w14:textId="77777777" w:rsidR="00830193" w:rsidRDefault="00830193" w:rsidP="00526840">
            <w:pPr>
              <w:jc w:val="right"/>
              <w:rPr>
                <w:color w:val="000000" w:themeColor="text1"/>
              </w:rPr>
            </w:pPr>
          </w:p>
        </w:tc>
        <w:tc>
          <w:tcPr>
            <w:tcW w:w="593" w:type="dxa"/>
            <w:tcBorders>
              <w:top w:val="nil"/>
              <w:left w:val="nil"/>
              <w:bottom w:val="nil"/>
              <w:right w:val="nil"/>
            </w:tcBorders>
            <w:vAlign w:val="center"/>
          </w:tcPr>
          <w:p w14:paraId="494960D9" w14:textId="77777777" w:rsidR="00830193" w:rsidRDefault="00830193" w:rsidP="00526840">
            <w:pPr>
              <w:jc w:val="right"/>
              <w:rPr>
                <w:color w:val="000000" w:themeColor="text1"/>
              </w:rPr>
            </w:pPr>
            <w:r>
              <w:rPr>
                <w:color w:val="000000" w:themeColor="text1"/>
              </w:rPr>
              <w:t>0.076</w:t>
            </w:r>
          </w:p>
        </w:tc>
        <w:tc>
          <w:tcPr>
            <w:tcW w:w="1078" w:type="dxa"/>
            <w:tcBorders>
              <w:top w:val="nil"/>
              <w:left w:val="nil"/>
              <w:bottom w:val="nil"/>
              <w:right w:val="nil"/>
            </w:tcBorders>
            <w:vAlign w:val="center"/>
          </w:tcPr>
          <w:p w14:paraId="0DDE34FA" w14:textId="77777777" w:rsidR="00830193" w:rsidRDefault="00830193" w:rsidP="00526840">
            <w:pPr>
              <w:jc w:val="right"/>
              <w:rPr>
                <w:color w:val="000000" w:themeColor="text1"/>
              </w:rPr>
            </w:pPr>
            <w:r>
              <w:rPr>
                <w:color w:val="000000" w:themeColor="text1"/>
              </w:rPr>
              <w:t>1.463</w:t>
            </w:r>
          </w:p>
        </w:tc>
        <w:tc>
          <w:tcPr>
            <w:tcW w:w="0" w:type="auto"/>
            <w:tcBorders>
              <w:top w:val="nil"/>
              <w:left w:val="nil"/>
              <w:bottom w:val="nil"/>
              <w:right w:val="nil"/>
            </w:tcBorders>
            <w:vAlign w:val="center"/>
          </w:tcPr>
          <w:p w14:paraId="20A31C29" w14:textId="77777777" w:rsidR="00830193" w:rsidRDefault="00830193" w:rsidP="00526840">
            <w:pPr>
              <w:jc w:val="right"/>
              <w:rPr>
                <w:color w:val="000000" w:themeColor="text1"/>
              </w:rPr>
            </w:pPr>
          </w:p>
        </w:tc>
        <w:tc>
          <w:tcPr>
            <w:tcW w:w="0" w:type="auto"/>
            <w:tcBorders>
              <w:top w:val="nil"/>
              <w:left w:val="nil"/>
              <w:bottom w:val="nil"/>
              <w:right w:val="nil"/>
            </w:tcBorders>
            <w:vAlign w:val="center"/>
          </w:tcPr>
          <w:p w14:paraId="2C7C135C" w14:textId="77777777" w:rsidR="00830193" w:rsidRDefault="00830193" w:rsidP="00526840">
            <w:pPr>
              <w:jc w:val="right"/>
              <w:rPr>
                <w:color w:val="000000" w:themeColor="text1"/>
              </w:rPr>
            </w:pPr>
            <w:r>
              <w:rPr>
                <w:color w:val="000000" w:themeColor="text1"/>
              </w:rPr>
              <w:t>0.311</w:t>
            </w:r>
          </w:p>
        </w:tc>
        <w:tc>
          <w:tcPr>
            <w:tcW w:w="62" w:type="dxa"/>
            <w:tcBorders>
              <w:top w:val="nil"/>
              <w:left w:val="nil"/>
              <w:bottom w:val="nil"/>
              <w:right w:val="nil"/>
            </w:tcBorders>
            <w:vAlign w:val="center"/>
          </w:tcPr>
          <w:p w14:paraId="2EFF6852" w14:textId="77777777" w:rsidR="00830193" w:rsidRDefault="00830193" w:rsidP="00526840">
            <w:pPr>
              <w:jc w:val="right"/>
              <w:rPr>
                <w:color w:val="000000" w:themeColor="text1"/>
              </w:rPr>
            </w:pPr>
          </w:p>
        </w:tc>
      </w:tr>
      <w:tr w:rsidR="00830193" w14:paraId="285E5B0F" w14:textId="77777777" w:rsidTr="00830193">
        <w:trPr>
          <w:gridAfter w:val="1"/>
          <w:wAfter w:w="62" w:type="dxa"/>
          <w:trHeight w:val="211"/>
        </w:trPr>
        <w:tc>
          <w:tcPr>
            <w:tcW w:w="7277" w:type="dxa"/>
            <w:gridSpan w:val="10"/>
            <w:tcBorders>
              <w:top w:val="nil"/>
              <w:left w:val="nil"/>
              <w:bottom w:val="single" w:sz="12" w:space="0" w:color="000000"/>
              <w:right w:val="nil"/>
            </w:tcBorders>
            <w:vAlign w:val="center"/>
          </w:tcPr>
          <w:p w14:paraId="39EF3202" w14:textId="77777777" w:rsidR="00830193" w:rsidRDefault="00830193" w:rsidP="00526840">
            <w:pPr>
              <w:rPr>
                <w:color w:val="000000" w:themeColor="text1"/>
                <w:sz w:val="20"/>
                <w:szCs w:val="20"/>
              </w:rPr>
            </w:pPr>
          </w:p>
        </w:tc>
      </w:tr>
    </w:tbl>
    <w:p w14:paraId="21DF732E" w14:textId="3899EE57" w:rsidR="00830193" w:rsidRPr="007E5C64" w:rsidRDefault="00830193" w:rsidP="00830193">
      <w:pPr>
        <w:jc w:val="both"/>
        <w:rPr>
          <w:rFonts w:ascii="Arial" w:hAnsi="Arial" w:cs="Arial"/>
          <w:sz w:val="20"/>
          <w:szCs w:val="20"/>
        </w:rPr>
      </w:pPr>
    </w:p>
    <w:p w14:paraId="4BBE275B" w14:textId="77777777" w:rsidR="00830193" w:rsidRPr="00830193" w:rsidRDefault="00830193" w:rsidP="00830193">
      <w:pPr>
        <w:pStyle w:val="Body"/>
        <w:rPr>
          <w:rFonts w:ascii="Arial" w:hAnsi="Arial" w:cs="Arial"/>
        </w:rPr>
      </w:pPr>
      <w:r w:rsidRPr="00830193">
        <w:rPr>
          <w:rFonts w:ascii="Arial" w:hAnsi="Arial" w:cs="Arial"/>
        </w:rPr>
        <w:t>The analysis of variance (ANOVA) was conducted to examine the impact of years in service on the variable of interest. The results showed a statistically significant effect of years in service, with an F(2, 248) = 5.714, p = 0.004. This indicates a significant difference in the measured variable across different groups based on years of service. The post hoc Tukey's test further revealed that individuals with less than five years of service exhibited significantly different scores compared to those with 5–10 years and ten years and above. Specifically, there was a significant mean difference of 0.346 (p = 0.002) between the group with less than five years and the group with ten years and above. Similarly, there was a notable mean difference of 0.235 (p = 0.047) between the 5–10 years group and the 10-year and above group. However, the comparison between the 5–10 years group and the group less than five years was not statistically significant, with a mean difference of 0.111 (p = 0.311). These findings suggest that individuals with more experience (10 years and above) may have distinct perceptions or behaviors compared to those with fewer years of service.</w:t>
      </w:r>
    </w:p>
    <w:p w14:paraId="58F8BA54" w14:textId="775CFFE8" w:rsidR="00830193" w:rsidRPr="00830193" w:rsidRDefault="00F70925" w:rsidP="00830193">
      <w:pPr>
        <w:pStyle w:val="Body"/>
        <w:rPr>
          <w:rFonts w:ascii="Arial" w:hAnsi="Arial" w:cs="Arial"/>
        </w:rPr>
      </w:pPr>
      <w:r>
        <w:rPr>
          <w:rFonts w:ascii="Arial" w:hAnsi="Arial" w:cs="Arial"/>
        </w:rPr>
        <w:t>Sakurai et al</w:t>
      </w:r>
      <w:r w:rsidRPr="00F70925">
        <w:rPr>
          <w:rFonts w:ascii="Arial" w:hAnsi="Arial" w:cs="Arial"/>
          <w:highlight w:val="yellow"/>
        </w:rPr>
        <w:t>. (2021</w:t>
      </w:r>
      <w:r w:rsidR="00830193" w:rsidRPr="00F70925">
        <w:rPr>
          <w:rFonts w:ascii="Arial" w:hAnsi="Arial" w:cs="Arial"/>
          <w:highlight w:val="yellow"/>
        </w:rPr>
        <w:t>)</w:t>
      </w:r>
      <w:r w:rsidR="00830193" w:rsidRPr="00830193">
        <w:rPr>
          <w:rFonts w:ascii="Arial" w:hAnsi="Arial" w:cs="Arial"/>
        </w:rPr>
        <w:t xml:space="preserve"> studied Japanese elementary school teachers and found that years of teaching experience significantly influenced disaster preparedness levels. Their results showed that teachers with more than 15 years of experience demonstrated higher levels of preparedness, including better knowledge of evacuation procedures and more effective </w:t>
      </w:r>
      <w:r w:rsidR="00830193" w:rsidRPr="00830193">
        <w:rPr>
          <w:rFonts w:ascii="Arial" w:hAnsi="Arial" w:cs="Arial"/>
        </w:rPr>
        <w:lastRenderedPageBreak/>
        <w:t>communication strategies during emergencies. This aligns with our finding of a significant difference between teachers with 10 years and above experience and those with less experience.</w:t>
      </w:r>
    </w:p>
    <w:p w14:paraId="59111469" w14:textId="1631368A" w:rsidR="00830193" w:rsidRPr="00830193" w:rsidRDefault="00830193" w:rsidP="00830193">
      <w:pPr>
        <w:pStyle w:val="Body"/>
        <w:rPr>
          <w:rFonts w:ascii="Arial" w:hAnsi="Arial" w:cs="Arial"/>
        </w:rPr>
      </w:pPr>
      <w:r w:rsidRPr="00830193">
        <w:rPr>
          <w:rFonts w:ascii="Arial" w:hAnsi="Arial" w:cs="Arial"/>
        </w:rPr>
        <w:t xml:space="preserve">Similarly, Fernandez </w:t>
      </w:r>
      <w:r w:rsidR="007C7737">
        <w:rPr>
          <w:rFonts w:ascii="Arial" w:hAnsi="Arial" w:cs="Arial"/>
        </w:rPr>
        <w:t>(2022</w:t>
      </w:r>
      <w:r w:rsidRPr="00830193">
        <w:rPr>
          <w:rFonts w:ascii="Arial" w:hAnsi="Arial" w:cs="Arial"/>
        </w:rPr>
        <w:t>) explored the impact of professional experience on teachers' disaster risk reduction (DRR) competencies in the Philippines. Their study revealed that teachers with more years of service showed higher levels of DRR knowledge and skills, particularly in areas of risk assessment and emergency response planning. This supports our observation of differences between the most experienced group and those with fewer years of service.</w:t>
      </w:r>
    </w:p>
    <w:p w14:paraId="7F48EF8F" w14:textId="6E606456" w:rsidR="00830193" w:rsidRPr="00830193" w:rsidRDefault="00830193" w:rsidP="00830193">
      <w:pPr>
        <w:pStyle w:val="Body"/>
        <w:rPr>
          <w:rFonts w:ascii="Arial" w:hAnsi="Arial" w:cs="Arial"/>
        </w:rPr>
      </w:pPr>
      <w:r w:rsidRPr="00830193">
        <w:rPr>
          <w:rFonts w:ascii="Arial" w:hAnsi="Arial" w:cs="Arial"/>
        </w:rPr>
        <w:t xml:space="preserve">In a broader educational context, Kraft and </w:t>
      </w:r>
      <w:r w:rsidR="00D85BAB" w:rsidRPr="00D85BAB">
        <w:rPr>
          <w:rFonts w:ascii="Arial" w:hAnsi="Arial" w:cs="Arial"/>
        </w:rPr>
        <w:t>Lyon</w:t>
      </w:r>
      <w:r w:rsidR="00D85BAB">
        <w:rPr>
          <w:rFonts w:ascii="Arial" w:hAnsi="Arial" w:cs="Arial"/>
        </w:rPr>
        <w:t xml:space="preserve"> (2024</w:t>
      </w:r>
      <w:r w:rsidRPr="00830193">
        <w:rPr>
          <w:rFonts w:ascii="Arial" w:hAnsi="Arial" w:cs="Arial"/>
        </w:rPr>
        <w:t>) examined how teachers' effectiveness evolves over their careers. They found that teachers continue to improve their skills beyond the first few years of teaching, with significant gains in effectiveness occurring even after a decade of experience. This trend in general teaching effectiveness could explain our findings of distinct perceptions or behaviors in the group with 10 years and above experience.</w:t>
      </w:r>
    </w:p>
    <w:p w14:paraId="5623E199" w14:textId="084B306E" w:rsidR="00830193" w:rsidRDefault="00830193" w:rsidP="00830193">
      <w:pPr>
        <w:pStyle w:val="Body"/>
        <w:rPr>
          <w:rFonts w:ascii="Arial" w:hAnsi="Arial" w:cs="Arial"/>
        </w:rPr>
      </w:pPr>
      <w:r w:rsidRPr="00830193">
        <w:rPr>
          <w:rFonts w:ascii="Arial" w:hAnsi="Arial" w:cs="Arial"/>
        </w:rPr>
        <w:t xml:space="preserve">Lastly, </w:t>
      </w:r>
      <w:r w:rsidR="0063203C" w:rsidRPr="0063203C">
        <w:rPr>
          <w:rFonts w:ascii="Arial" w:hAnsi="Arial" w:cs="Arial"/>
        </w:rPr>
        <w:t xml:space="preserve">Sims </w:t>
      </w:r>
      <w:r w:rsidR="0063203C">
        <w:rPr>
          <w:rFonts w:ascii="Arial" w:hAnsi="Arial" w:cs="Arial"/>
        </w:rPr>
        <w:t>et al. (2021</w:t>
      </w:r>
      <w:r w:rsidRPr="00830193">
        <w:rPr>
          <w:rFonts w:ascii="Arial" w:hAnsi="Arial" w:cs="Arial"/>
        </w:rPr>
        <w:t>) meta-analysis on teacher professional development emphasized the importance of experience in shaping teachers' practices and beliefs. They noted that teachers with more years of service tend to have more developed professional networks and a broader repertoire of strategies, which could contribute to different perceptions and behaviors in various aspects of their work, including disaster preparedness.</w:t>
      </w:r>
    </w:p>
    <w:p w14:paraId="08FEB9C6" w14:textId="3C7B02B6" w:rsidR="002039CD" w:rsidRPr="007E5C64" w:rsidRDefault="00180859" w:rsidP="00850E61">
      <w:pPr>
        <w:pStyle w:val="Body"/>
        <w:rPr>
          <w:rFonts w:ascii="Arial" w:hAnsi="Arial" w:cs="Arial"/>
          <w:b/>
          <w:bCs/>
        </w:rPr>
      </w:pPr>
      <w:r w:rsidRPr="007E5C64">
        <w:rPr>
          <w:rFonts w:ascii="Arial" w:hAnsi="Arial" w:cs="Arial"/>
          <w:b/>
          <w:bCs/>
        </w:rPr>
        <w:t xml:space="preserve">5. </w:t>
      </w:r>
      <w:r w:rsidR="00B364F1" w:rsidRPr="007E5C64">
        <w:rPr>
          <w:rFonts w:ascii="Arial" w:hAnsi="Arial" w:cs="Arial"/>
          <w:b/>
          <w:bCs/>
        </w:rPr>
        <w:t>CONCLUSIONS</w:t>
      </w:r>
    </w:p>
    <w:p w14:paraId="75E0781A" w14:textId="768E3E2D" w:rsidR="00862875" w:rsidRDefault="000B1981" w:rsidP="00862875">
      <w:pPr>
        <w:pStyle w:val="ReferHead"/>
        <w:spacing w:after="0"/>
        <w:jc w:val="both"/>
        <w:rPr>
          <w:rFonts w:ascii="Arial" w:hAnsi="Arial" w:cs="Arial"/>
          <w:b w:val="0"/>
          <w:caps w:val="0"/>
          <w:sz w:val="20"/>
        </w:rPr>
      </w:pPr>
      <w:r w:rsidRPr="000B1981">
        <w:rPr>
          <w:rFonts w:ascii="Arial" w:hAnsi="Arial" w:cs="Arial"/>
          <w:b w:val="0"/>
          <w:caps w:val="0"/>
          <w:sz w:val="20"/>
        </w:rPr>
        <w:t xml:space="preserve">The study reveals that public school teachers in </w:t>
      </w:r>
      <w:proofErr w:type="spellStart"/>
      <w:r w:rsidRPr="000B1981">
        <w:rPr>
          <w:rFonts w:ascii="Arial" w:hAnsi="Arial" w:cs="Arial"/>
          <w:b w:val="0"/>
          <w:caps w:val="0"/>
          <w:sz w:val="20"/>
        </w:rPr>
        <w:t>Manay</w:t>
      </w:r>
      <w:proofErr w:type="spellEnd"/>
      <w:r w:rsidRPr="000B1981">
        <w:rPr>
          <w:rFonts w:ascii="Arial" w:hAnsi="Arial" w:cs="Arial"/>
          <w:b w:val="0"/>
          <w:caps w:val="0"/>
          <w:sz w:val="20"/>
        </w:rPr>
        <w:t xml:space="preserve"> District, Division of Davao Oriental demonstrate a high level of disaster preparedness overall, with a mean score of 3.71. Teachers strongly recognize the importance of sharing knowledge and experiences related to disasters but show only moderate participation in disaster awareness campaigns. While no significant differences were found in disaster preparedness based on sex, age and years of service were found to be influential factors. Middle-aged teachers (31-40 years) and those with more than ten years of experience exhibited higher levels of preparedness, suggesting that life experience and professional tenure contribute to disaster readiness in educational settings.</w:t>
      </w:r>
    </w:p>
    <w:p w14:paraId="49F431D1" w14:textId="77777777" w:rsidR="000B1981" w:rsidRPr="007E5C64" w:rsidRDefault="000B1981" w:rsidP="00862875">
      <w:pPr>
        <w:pStyle w:val="ReferHead"/>
        <w:spacing w:after="0"/>
        <w:jc w:val="both"/>
        <w:rPr>
          <w:rFonts w:ascii="Arial" w:hAnsi="Arial" w:cs="Arial"/>
          <w:b w:val="0"/>
          <w:caps w:val="0"/>
          <w:sz w:val="20"/>
        </w:rPr>
      </w:pPr>
    </w:p>
    <w:p w14:paraId="295DD41E" w14:textId="01F6025E" w:rsidR="006A0F34" w:rsidRPr="007E5C64" w:rsidRDefault="006A0F34" w:rsidP="006A0F34">
      <w:pPr>
        <w:pStyle w:val="Body"/>
        <w:rPr>
          <w:rFonts w:ascii="Arial" w:hAnsi="Arial" w:cs="Arial"/>
        </w:rPr>
      </w:pPr>
      <w:r w:rsidRPr="007E5C64">
        <w:rPr>
          <w:rFonts w:ascii="Arial" w:hAnsi="Arial" w:cs="Arial"/>
          <w:b/>
          <w:bCs/>
        </w:rPr>
        <w:t>6. RECOMMENDATIONS</w:t>
      </w:r>
    </w:p>
    <w:p w14:paraId="7906CA80" w14:textId="6A43FA5D" w:rsidR="000B1981" w:rsidRPr="0014660B" w:rsidRDefault="000B1981" w:rsidP="000B1981">
      <w:pPr>
        <w:pStyle w:val="ReferHead"/>
        <w:jc w:val="both"/>
        <w:rPr>
          <w:rFonts w:ascii="Arial" w:hAnsi="Arial" w:cs="Arial"/>
          <w:b w:val="0"/>
          <w:caps w:val="0"/>
          <w:sz w:val="20"/>
          <w:highlight w:val="yellow"/>
        </w:rPr>
      </w:pPr>
      <w:r w:rsidRPr="0014660B">
        <w:rPr>
          <w:rFonts w:ascii="Arial" w:hAnsi="Arial" w:cs="Arial"/>
          <w:b w:val="0"/>
          <w:caps w:val="0"/>
          <w:sz w:val="20"/>
          <w:highlight w:val="yellow"/>
        </w:rPr>
        <w:t>The recommendations are categorized based on the mentioned beneficiaries. As per the study's conclusions, the researchers propose the following recommendations:</w:t>
      </w:r>
    </w:p>
    <w:p w14:paraId="58AC1CBD" w14:textId="44915C59" w:rsidR="000B1981" w:rsidRPr="0014660B" w:rsidRDefault="000B1981" w:rsidP="000B1981">
      <w:pPr>
        <w:pStyle w:val="ReferHead"/>
        <w:jc w:val="both"/>
        <w:rPr>
          <w:rFonts w:ascii="Arial" w:hAnsi="Arial" w:cs="Arial"/>
          <w:b w:val="0"/>
          <w:caps w:val="0"/>
          <w:sz w:val="20"/>
          <w:highlight w:val="yellow"/>
        </w:rPr>
      </w:pPr>
      <w:r w:rsidRPr="0014660B">
        <w:rPr>
          <w:rFonts w:ascii="Arial" w:hAnsi="Arial" w:cs="Arial"/>
          <w:b w:val="0"/>
          <w:caps w:val="0"/>
          <w:sz w:val="20"/>
          <w:highlight w:val="yellow"/>
        </w:rPr>
        <w:t xml:space="preserve">Initially, the Department of Education officials may develop and implement comprehensive disaster preparedness training programs tailored to different age groups and experience levels </w:t>
      </w:r>
      <w:r w:rsidRPr="0014660B">
        <w:rPr>
          <w:rFonts w:ascii="Arial" w:hAnsi="Arial" w:cs="Arial"/>
          <w:b w:val="0"/>
          <w:caps w:val="0"/>
          <w:sz w:val="20"/>
          <w:highlight w:val="yellow"/>
        </w:rPr>
        <w:lastRenderedPageBreak/>
        <w:t>of teachers. They may also integrate disaster preparedness into the curriculum and teacher professional development programs.</w:t>
      </w:r>
    </w:p>
    <w:p w14:paraId="5DD76CF4" w14:textId="77777777" w:rsidR="000B1981" w:rsidRPr="0014660B" w:rsidRDefault="000B1981" w:rsidP="000B1981">
      <w:pPr>
        <w:pStyle w:val="ReferHead"/>
        <w:jc w:val="both"/>
        <w:rPr>
          <w:rFonts w:ascii="Arial" w:hAnsi="Arial" w:cs="Arial"/>
          <w:b w:val="0"/>
          <w:caps w:val="0"/>
          <w:sz w:val="20"/>
          <w:highlight w:val="yellow"/>
        </w:rPr>
      </w:pPr>
      <w:r w:rsidRPr="0014660B">
        <w:rPr>
          <w:rFonts w:ascii="Arial" w:hAnsi="Arial" w:cs="Arial"/>
          <w:b w:val="0"/>
          <w:caps w:val="0"/>
          <w:sz w:val="20"/>
          <w:highlight w:val="yellow"/>
        </w:rPr>
        <w:t>Next, the school heads may organize regular disaster preparedness drills and simulations in schools. They can also encourage experienced teachers to mentor younger colleagues in disaster preparedness strategies.</w:t>
      </w:r>
    </w:p>
    <w:p w14:paraId="096396EA" w14:textId="75429CD5" w:rsidR="000B1981" w:rsidRPr="0014660B" w:rsidRDefault="000B1981" w:rsidP="000B1981">
      <w:pPr>
        <w:pStyle w:val="ReferHead"/>
        <w:jc w:val="both"/>
        <w:rPr>
          <w:rFonts w:ascii="Arial" w:hAnsi="Arial" w:cs="Arial"/>
          <w:b w:val="0"/>
          <w:caps w:val="0"/>
          <w:sz w:val="20"/>
          <w:highlight w:val="yellow"/>
        </w:rPr>
      </w:pPr>
      <w:r w:rsidRPr="0014660B">
        <w:rPr>
          <w:rFonts w:ascii="Arial" w:hAnsi="Arial" w:cs="Arial"/>
          <w:b w:val="0"/>
          <w:caps w:val="0"/>
          <w:sz w:val="20"/>
          <w:highlight w:val="yellow"/>
        </w:rPr>
        <w:t>Subsequently, teachers may actively participate in disaster awareness campaigns and share knowledge with colleagues and students. They can also seek opportunities for continuous learning about disaster preparedness and risk reduction.</w:t>
      </w:r>
    </w:p>
    <w:p w14:paraId="0931F289" w14:textId="71EBE465" w:rsidR="000B1981" w:rsidRPr="0014660B" w:rsidRDefault="000B1981" w:rsidP="000B1981">
      <w:pPr>
        <w:pStyle w:val="ReferHead"/>
        <w:jc w:val="both"/>
        <w:rPr>
          <w:rFonts w:ascii="Arial" w:hAnsi="Arial" w:cs="Arial"/>
          <w:b w:val="0"/>
          <w:caps w:val="0"/>
          <w:sz w:val="20"/>
          <w:highlight w:val="yellow"/>
        </w:rPr>
      </w:pPr>
      <w:r w:rsidRPr="0014660B">
        <w:rPr>
          <w:rFonts w:ascii="Arial" w:hAnsi="Arial" w:cs="Arial"/>
          <w:b w:val="0"/>
          <w:caps w:val="0"/>
          <w:sz w:val="20"/>
          <w:highlight w:val="yellow"/>
        </w:rPr>
        <w:t xml:space="preserve">Students should actively engage in school-organized disaster preparedness activities and share their learned knowledge with family and community members, fostering a culture of preparedness. </w:t>
      </w:r>
    </w:p>
    <w:p w14:paraId="517DFC87" w14:textId="77777777" w:rsidR="000B1981" w:rsidRPr="0014660B" w:rsidRDefault="000B1981" w:rsidP="000B1981">
      <w:pPr>
        <w:pStyle w:val="ReferHead"/>
        <w:jc w:val="both"/>
        <w:rPr>
          <w:rFonts w:ascii="Arial" w:hAnsi="Arial" w:cs="Arial"/>
          <w:b w:val="0"/>
          <w:caps w:val="0"/>
          <w:sz w:val="20"/>
          <w:highlight w:val="yellow"/>
        </w:rPr>
      </w:pPr>
      <w:r w:rsidRPr="0014660B">
        <w:rPr>
          <w:rFonts w:ascii="Arial" w:hAnsi="Arial" w:cs="Arial"/>
          <w:b w:val="0"/>
          <w:caps w:val="0"/>
          <w:sz w:val="20"/>
          <w:highlight w:val="yellow"/>
        </w:rPr>
        <w:t>Parents are encouraged to collaborate with schools on disaster preparedness initiatives, reinforce these lessons at home, and participate in community-wide preparedness efforts, creating a supportive environment for their children's learning.</w:t>
      </w:r>
    </w:p>
    <w:p w14:paraId="523F7FA5" w14:textId="3F8E4F1E" w:rsidR="000B1981" w:rsidRPr="0014660B" w:rsidRDefault="000B1981" w:rsidP="000B1981">
      <w:pPr>
        <w:pStyle w:val="ReferHead"/>
        <w:jc w:val="both"/>
        <w:rPr>
          <w:rFonts w:ascii="Arial" w:hAnsi="Arial" w:cs="Arial"/>
          <w:b w:val="0"/>
          <w:caps w:val="0"/>
          <w:sz w:val="20"/>
          <w:highlight w:val="yellow"/>
        </w:rPr>
      </w:pPr>
      <w:r w:rsidRPr="0014660B">
        <w:rPr>
          <w:rFonts w:ascii="Arial" w:hAnsi="Arial" w:cs="Arial"/>
          <w:b w:val="0"/>
          <w:caps w:val="0"/>
          <w:sz w:val="20"/>
          <w:highlight w:val="yellow"/>
        </w:rPr>
        <w:t xml:space="preserve">Community leaders can play a crucial role by partnering with schools to organize community-wide disaster preparedness events and facilitating knowledge sharing between experienced community members and schools, thereby strengthening the overall resilience of the community. </w:t>
      </w:r>
    </w:p>
    <w:p w14:paraId="64CE0873" w14:textId="415AA019" w:rsidR="000B1981" w:rsidRPr="000B1981" w:rsidRDefault="000B1981" w:rsidP="000B1981">
      <w:pPr>
        <w:pStyle w:val="ReferHead"/>
        <w:jc w:val="both"/>
        <w:rPr>
          <w:rFonts w:ascii="Arial" w:hAnsi="Arial" w:cs="Arial"/>
          <w:b w:val="0"/>
          <w:caps w:val="0"/>
          <w:sz w:val="20"/>
        </w:rPr>
      </w:pPr>
      <w:r w:rsidRPr="0014660B">
        <w:rPr>
          <w:rFonts w:ascii="Arial" w:hAnsi="Arial" w:cs="Arial"/>
          <w:b w:val="0"/>
          <w:caps w:val="0"/>
          <w:sz w:val="20"/>
          <w:highlight w:val="yellow"/>
        </w:rPr>
        <w:t>For future researchers, there are several important avenues to explore: investigating the specific factors that contribute to higher disaster preparedness in middle-aged and experienced teachers, exploring effective strategies to increase participation in disaster awareness campaigns among teachers of all age groups and experience levels, and conducting longitudinal studies to track changes in disaster preparedness over teachers' careers. These research directions could provide valuable insights for improving disaster preparedness in educational settings and beyond.</w:t>
      </w:r>
      <w:bookmarkStart w:id="0" w:name="_GoBack"/>
      <w:bookmarkEnd w:id="0"/>
    </w:p>
    <w:p w14:paraId="28016F5F" w14:textId="2378E8AF" w:rsidR="000B1981" w:rsidRPr="000B1981" w:rsidRDefault="000B1981" w:rsidP="000B1981">
      <w:pPr>
        <w:pStyle w:val="ReferHead"/>
        <w:jc w:val="both"/>
        <w:rPr>
          <w:rFonts w:ascii="Arial" w:hAnsi="Arial" w:cs="Arial"/>
          <w:b w:val="0"/>
          <w:caps w:val="0"/>
          <w:sz w:val="20"/>
        </w:rPr>
      </w:pPr>
    </w:p>
    <w:p w14:paraId="013BA332" w14:textId="77777777" w:rsidR="00717F2E" w:rsidRPr="007E5C64" w:rsidRDefault="00180859">
      <w:pPr>
        <w:pStyle w:val="ReferHead"/>
        <w:spacing w:after="0"/>
        <w:jc w:val="both"/>
        <w:rPr>
          <w:rFonts w:ascii="Arial" w:hAnsi="Arial" w:cs="Arial"/>
          <w:bCs/>
          <w:sz w:val="20"/>
        </w:rPr>
      </w:pPr>
      <w:r w:rsidRPr="007E5C64">
        <w:rPr>
          <w:rFonts w:ascii="Arial" w:hAnsi="Arial" w:cs="Arial"/>
          <w:bCs/>
          <w:sz w:val="20"/>
        </w:rPr>
        <w:t>Consent (where ever applicable)</w:t>
      </w:r>
    </w:p>
    <w:p w14:paraId="67F05F0C" w14:textId="77777777" w:rsidR="00717F2E" w:rsidRPr="007E5C64" w:rsidRDefault="00717F2E">
      <w:pPr>
        <w:pStyle w:val="ReferHead"/>
        <w:spacing w:after="0"/>
        <w:jc w:val="both"/>
        <w:rPr>
          <w:rFonts w:ascii="Arial" w:hAnsi="Arial" w:cs="Arial"/>
          <w:bCs/>
          <w:sz w:val="20"/>
        </w:rPr>
      </w:pPr>
    </w:p>
    <w:p w14:paraId="1B19FF7A" w14:textId="77777777" w:rsidR="007D511A" w:rsidRPr="007D511A" w:rsidRDefault="007D511A" w:rsidP="007D511A">
      <w:pPr>
        <w:jc w:val="both"/>
        <w:rPr>
          <w:rFonts w:ascii="Arial" w:hAnsi="Arial" w:cs="Arial"/>
          <w:sz w:val="20"/>
          <w:szCs w:val="20"/>
          <w:lang w:val="en-US"/>
        </w:rPr>
      </w:pPr>
      <w:r w:rsidRPr="007D511A">
        <w:rPr>
          <w:rFonts w:ascii="Arial" w:hAnsi="Arial" w:cs="Arial"/>
          <w:sz w:val="20"/>
          <w:szCs w:val="20"/>
          <w:lang w:val="en-US"/>
        </w:rPr>
        <w:t xml:space="preserve">This study was conducted in full compliance with established ethical standards to ensure the protection of participants’ rights, dignity, and overall well-being. Before any data were collected, the researcher obtained all required institutional permissions, including an endorsement from the Dean of the Graduate School and ethical approval from the institution’s Ethics Review Committee. The research process adhered to the ethical framework outlined by </w:t>
      </w:r>
      <w:proofErr w:type="spellStart"/>
      <w:r w:rsidRPr="007D511A">
        <w:rPr>
          <w:rFonts w:ascii="Arial" w:hAnsi="Arial" w:cs="Arial"/>
          <w:sz w:val="20"/>
          <w:szCs w:val="20"/>
          <w:lang w:val="en-US"/>
        </w:rPr>
        <w:t>Pregoner</w:t>
      </w:r>
      <w:proofErr w:type="spellEnd"/>
      <w:r w:rsidRPr="007D511A">
        <w:rPr>
          <w:rFonts w:ascii="Arial" w:hAnsi="Arial" w:cs="Arial"/>
          <w:sz w:val="20"/>
          <w:szCs w:val="20"/>
          <w:lang w:val="en-US"/>
        </w:rPr>
        <w:t xml:space="preserve"> et al. (2025), in line with current best practices for studies involving human participants in education.</w:t>
      </w:r>
    </w:p>
    <w:p w14:paraId="4F6AB14D" w14:textId="77777777" w:rsidR="007D511A" w:rsidRPr="007D511A" w:rsidRDefault="007D511A" w:rsidP="007D511A">
      <w:pPr>
        <w:jc w:val="both"/>
        <w:rPr>
          <w:rFonts w:ascii="Arial" w:hAnsi="Arial" w:cs="Arial"/>
          <w:sz w:val="20"/>
          <w:szCs w:val="20"/>
          <w:lang w:val="en-US"/>
        </w:rPr>
      </w:pPr>
    </w:p>
    <w:p w14:paraId="6DA0C06E" w14:textId="77777777" w:rsidR="007D511A" w:rsidRDefault="007D511A" w:rsidP="007D511A">
      <w:pPr>
        <w:jc w:val="both"/>
        <w:rPr>
          <w:rFonts w:ascii="Arial" w:hAnsi="Arial" w:cs="Arial"/>
          <w:sz w:val="20"/>
          <w:szCs w:val="20"/>
          <w:lang w:val="en-US"/>
        </w:rPr>
      </w:pPr>
      <w:r w:rsidRPr="007D511A">
        <w:rPr>
          <w:rFonts w:ascii="Arial" w:hAnsi="Arial" w:cs="Arial"/>
          <w:sz w:val="20"/>
          <w:szCs w:val="20"/>
          <w:lang w:val="en-US"/>
        </w:rPr>
        <w:t>Participation in the study was entirely voluntary. All respondents were clearly informed about the study’s objectives, procedures, and their right to refuse or withdraw from participation at any time without facing any consequences. Informed consent was obtained to confirm that participants understood and willingly agreed to take part in the research. To protect anonymity, no personal identifiers were collected, and all data were handled with strict confidentiality. The gathered information was used solely for academic purposes, ensuring transparency, ethical soundness, and full respect for participant autonomy throughout the study.</w:t>
      </w:r>
    </w:p>
    <w:p w14:paraId="44DB347A" w14:textId="7B89D001" w:rsidR="005E6376" w:rsidRPr="005E6376" w:rsidRDefault="005E6376" w:rsidP="007D511A">
      <w:pPr>
        <w:jc w:val="both"/>
        <w:rPr>
          <w:rFonts w:ascii="Arial" w:hAnsi="Arial" w:cs="Arial"/>
          <w:sz w:val="20"/>
          <w:szCs w:val="20"/>
          <w:lang w:val="en-US"/>
        </w:rPr>
      </w:pPr>
    </w:p>
    <w:p w14:paraId="640FEEDA" w14:textId="77777777" w:rsidR="005E6376" w:rsidRDefault="005E6376" w:rsidP="00CD4D57">
      <w:pPr>
        <w:pStyle w:val="ReferHead"/>
        <w:spacing w:after="0"/>
        <w:jc w:val="both"/>
        <w:rPr>
          <w:rFonts w:ascii="Arial" w:hAnsi="Arial" w:cs="Arial"/>
          <w:b w:val="0"/>
          <w:caps w:val="0"/>
          <w:sz w:val="20"/>
          <w:highlight w:val="yellow"/>
        </w:rPr>
      </w:pPr>
    </w:p>
    <w:p w14:paraId="2BC90047" w14:textId="4151394C" w:rsidR="00CD4D57" w:rsidRPr="007E5C64" w:rsidRDefault="00CD4D57" w:rsidP="00CD4D57">
      <w:pPr>
        <w:pStyle w:val="ReferHead"/>
        <w:spacing w:after="0"/>
        <w:jc w:val="both"/>
        <w:rPr>
          <w:rFonts w:ascii="Arial" w:hAnsi="Arial" w:cs="Arial"/>
          <w:b w:val="0"/>
          <w:caps w:val="0"/>
          <w:sz w:val="20"/>
          <w:highlight w:val="yellow"/>
        </w:rPr>
      </w:pPr>
      <w:r w:rsidRPr="007E5C64">
        <w:rPr>
          <w:rFonts w:ascii="Arial" w:hAnsi="Arial" w:cs="Arial"/>
          <w:b w:val="0"/>
          <w:caps w:val="0"/>
          <w:sz w:val="20"/>
          <w:highlight w:val="yellow"/>
        </w:rPr>
        <w:t>Disclaimer (Artificial Intelligence)</w:t>
      </w:r>
    </w:p>
    <w:p w14:paraId="591C5FF6" w14:textId="77777777" w:rsidR="00CD4D57" w:rsidRPr="007E5C64" w:rsidRDefault="00CD4D57" w:rsidP="00CD4D57">
      <w:pPr>
        <w:pStyle w:val="ReferHead"/>
        <w:spacing w:after="0"/>
        <w:jc w:val="both"/>
        <w:rPr>
          <w:rFonts w:ascii="Arial" w:hAnsi="Arial" w:cs="Arial"/>
          <w:b w:val="0"/>
          <w:caps w:val="0"/>
          <w:sz w:val="20"/>
          <w:highlight w:val="yellow"/>
        </w:rPr>
      </w:pPr>
    </w:p>
    <w:p w14:paraId="309A34BD" w14:textId="77777777" w:rsidR="00CD4D57" w:rsidRPr="007E5C64" w:rsidRDefault="00CD4D57" w:rsidP="00CD4D57">
      <w:pPr>
        <w:pStyle w:val="ReferHead"/>
        <w:spacing w:after="0"/>
        <w:jc w:val="both"/>
        <w:rPr>
          <w:rFonts w:ascii="Arial" w:hAnsi="Arial" w:cs="Arial"/>
          <w:b w:val="0"/>
          <w:caps w:val="0"/>
          <w:sz w:val="20"/>
          <w:highlight w:val="yellow"/>
        </w:rPr>
      </w:pPr>
    </w:p>
    <w:p w14:paraId="26E5FE5E" w14:textId="77777777" w:rsidR="00CD4D57" w:rsidRPr="007E5C64" w:rsidRDefault="00CD4D57" w:rsidP="00CD4D57">
      <w:pPr>
        <w:jc w:val="both"/>
        <w:rPr>
          <w:rFonts w:ascii="Arial" w:eastAsia="Calibri" w:hAnsi="Arial" w:cs="Arial"/>
          <w:kern w:val="2"/>
          <w:sz w:val="20"/>
          <w:szCs w:val="20"/>
          <w:highlight w:val="yellow"/>
        </w:rPr>
      </w:pPr>
      <w:r w:rsidRPr="007E5C64">
        <w:rPr>
          <w:rFonts w:ascii="Arial" w:eastAsia="Calibri" w:hAnsi="Arial" w:cs="Arial"/>
          <w:kern w:val="2"/>
          <w:sz w:val="20"/>
          <w:szCs w:val="20"/>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Pr="007E5C64" w:rsidRDefault="00CD4D57" w:rsidP="00CD4D57">
      <w:pPr>
        <w:jc w:val="both"/>
        <w:rPr>
          <w:rFonts w:ascii="Arial" w:eastAsia="Calibri" w:hAnsi="Arial" w:cs="Arial"/>
          <w:kern w:val="2"/>
          <w:sz w:val="20"/>
          <w:szCs w:val="20"/>
          <w:highlight w:val="yellow"/>
        </w:rPr>
      </w:pPr>
    </w:p>
    <w:p w14:paraId="4B95E7D5" w14:textId="77777777" w:rsidR="00CD4D57" w:rsidRPr="007E5C64" w:rsidRDefault="00CD4D57" w:rsidP="00CD4D57">
      <w:pPr>
        <w:numPr>
          <w:ilvl w:val="0"/>
          <w:numId w:val="4"/>
        </w:numPr>
        <w:ind w:left="540"/>
        <w:jc w:val="both"/>
        <w:rPr>
          <w:rFonts w:ascii="Arial" w:eastAsia="Calibri" w:hAnsi="Arial" w:cs="Arial"/>
          <w:kern w:val="2"/>
          <w:sz w:val="20"/>
          <w:szCs w:val="20"/>
          <w:highlight w:val="yellow"/>
        </w:rPr>
      </w:pPr>
      <w:r w:rsidRPr="007E5C64">
        <w:rPr>
          <w:rFonts w:ascii="Arial" w:eastAsia="Calibri" w:hAnsi="Arial" w:cs="Arial"/>
          <w:kern w:val="2"/>
          <w:sz w:val="20"/>
          <w:szCs w:val="20"/>
          <w:highlight w:val="yellow"/>
        </w:rPr>
        <w:t xml:space="preserve">Grammarly: Used for grammar and spellchecking, as well as suggestions for improving sentence structure and overall clarity. </w:t>
      </w:r>
    </w:p>
    <w:p w14:paraId="50EBBD08" w14:textId="77777777" w:rsidR="00CD4D57" w:rsidRPr="007E5C64" w:rsidRDefault="00CD4D57" w:rsidP="00CD4D57">
      <w:pPr>
        <w:numPr>
          <w:ilvl w:val="0"/>
          <w:numId w:val="4"/>
        </w:numPr>
        <w:ind w:left="540"/>
        <w:jc w:val="both"/>
        <w:rPr>
          <w:rFonts w:ascii="Arial" w:hAnsi="Arial" w:cs="Arial"/>
          <w:sz w:val="20"/>
          <w:szCs w:val="20"/>
          <w:highlight w:val="yellow"/>
        </w:rPr>
      </w:pPr>
      <w:proofErr w:type="spellStart"/>
      <w:r w:rsidRPr="007E5C64">
        <w:rPr>
          <w:rFonts w:ascii="Arial" w:eastAsia="Calibri" w:hAnsi="Arial" w:cs="Arial"/>
          <w:kern w:val="2"/>
          <w:sz w:val="20"/>
          <w:szCs w:val="20"/>
          <w:highlight w:val="yellow"/>
        </w:rPr>
        <w:t>Quillbot</w:t>
      </w:r>
      <w:proofErr w:type="spellEnd"/>
      <w:r w:rsidRPr="007E5C64">
        <w:rPr>
          <w:rFonts w:ascii="Arial" w:eastAsia="Calibri" w:hAnsi="Arial" w:cs="Arial"/>
          <w:kern w:val="2"/>
          <w:sz w:val="20"/>
          <w:szCs w:val="20"/>
          <w:highlight w:val="yellow"/>
        </w:rPr>
        <w:t>: Employed for paraphrasing and refining sentence flow to enhance readability and coherence.</w:t>
      </w:r>
    </w:p>
    <w:p w14:paraId="31F11220" w14:textId="77777777" w:rsidR="00CD4D57" w:rsidRPr="007E5C64" w:rsidRDefault="00CD4D57" w:rsidP="00505231">
      <w:pPr>
        <w:pStyle w:val="ReferHead"/>
        <w:spacing w:after="0"/>
        <w:jc w:val="both"/>
        <w:rPr>
          <w:rFonts w:ascii="Arial" w:hAnsi="Arial" w:cs="Arial"/>
          <w:b w:val="0"/>
          <w:caps w:val="0"/>
          <w:sz w:val="20"/>
        </w:rPr>
      </w:pPr>
    </w:p>
    <w:p w14:paraId="3710B9F1" w14:textId="77777777" w:rsidR="00151F8F" w:rsidRPr="007E5C64" w:rsidRDefault="00151F8F" w:rsidP="00505231">
      <w:pPr>
        <w:pStyle w:val="ReferHead"/>
        <w:spacing w:after="0"/>
        <w:jc w:val="both"/>
        <w:rPr>
          <w:rFonts w:ascii="Arial" w:hAnsi="Arial" w:cs="Arial"/>
          <w:b w:val="0"/>
          <w:caps w:val="0"/>
          <w:sz w:val="20"/>
        </w:rPr>
      </w:pPr>
    </w:p>
    <w:p w14:paraId="0E59BDBB" w14:textId="1325B6B4" w:rsidR="007D2B80" w:rsidRPr="007E5C64" w:rsidRDefault="00180859" w:rsidP="007D2B80">
      <w:pPr>
        <w:pStyle w:val="ReferHead"/>
        <w:spacing w:after="0"/>
        <w:jc w:val="both"/>
        <w:rPr>
          <w:rFonts w:ascii="Arial" w:hAnsi="Arial" w:cs="Arial"/>
          <w:sz w:val="20"/>
        </w:rPr>
      </w:pPr>
      <w:r w:rsidRPr="007E5C64">
        <w:rPr>
          <w:rFonts w:ascii="Arial" w:hAnsi="Arial" w:cs="Arial"/>
          <w:sz w:val="20"/>
        </w:rPr>
        <w:t>References</w:t>
      </w:r>
    </w:p>
    <w:p w14:paraId="4B5A9F55" w14:textId="77777777" w:rsidR="007A52F2" w:rsidRPr="007A52F2" w:rsidRDefault="007A52F2" w:rsidP="00C63652">
      <w:pPr>
        <w:jc w:val="both"/>
        <w:rPr>
          <w:sz w:val="20"/>
          <w:szCs w:val="20"/>
        </w:rPr>
      </w:pPr>
    </w:p>
    <w:p w14:paraId="1A4553BD" w14:textId="77777777" w:rsidR="00C63652" w:rsidRPr="00C63652" w:rsidRDefault="00C63652" w:rsidP="00C63652">
      <w:pPr>
        <w:ind w:left="709" w:hanging="709"/>
        <w:jc w:val="both"/>
      </w:pPr>
    </w:p>
    <w:p w14:paraId="1B22F0D1" w14:textId="77777777" w:rsidR="00CD5948" w:rsidRPr="00801E77" w:rsidRDefault="00CD5948" w:rsidP="00CD5948">
      <w:pPr>
        <w:ind w:left="720" w:hanging="720"/>
        <w:jc w:val="both"/>
        <w:rPr>
          <w:rFonts w:ascii="Arial" w:hAnsi="Arial" w:cs="Arial"/>
          <w:color w:val="222222"/>
          <w:sz w:val="20"/>
          <w:szCs w:val="20"/>
          <w:shd w:val="clear" w:color="auto" w:fill="FFFFFF"/>
        </w:rPr>
      </w:pPr>
    </w:p>
    <w:p w14:paraId="267D36C1" w14:textId="77777777" w:rsidR="00CD5948" w:rsidRPr="00801E77" w:rsidRDefault="00CD5948" w:rsidP="00CD5948">
      <w:pPr>
        <w:ind w:left="720" w:hanging="720"/>
        <w:jc w:val="both"/>
        <w:rPr>
          <w:rFonts w:ascii="Arial" w:hAnsi="Arial" w:cs="Arial"/>
          <w:color w:val="222222"/>
          <w:sz w:val="20"/>
          <w:szCs w:val="20"/>
          <w:shd w:val="clear" w:color="auto" w:fill="FFFFFF"/>
        </w:rPr>
      </w:pPr>
    </w:p>
    <w:p w14:paraId="2CAA3FC3" w14:textId="77777777" w:rsidR="00CD5948" w:rsidRPr="00801E77" w:rsidRDefault="00CD5948" w:rsidP="00CD5948">
      <w:pPr>
        <w:ind w:left="720" w:hanging="720"/>
        <w:jc w:val="both"/>
        <w:rPr>
          <w:rFonts w:ascii="Arial" w:hAnsi="Arial" w:cs="Arial"/>
          <w:color w:val="222222"/>
          <w:sz w:val="20"/>
          <w:szCs w:val="20"/>
          <w:shd w:val="clear" w:color="auto" w:fill="FFFFFF"/>
        </w:rPr>
      </w:pPr>
    </w:p>
    <w:p w14:paraId="1A5CF7C8" w14:textId="77777777" w:rsidR="00CD5948" w:rsidRPr="00801E77" w:rsidRDefault="00CD5948" w:rsidP="00CD5948">
      <w:pPr>
        <w:ind w:left="720" w:hanging="720"/>
        <w:jc w:val="both"/>
        <w:rPr>
          <w:rFonts w:ascii="Arial" w:hAnsi="Arial" w:cs="Arial"/>
          <w:color w:val="222222"/>
          <w:sz w:val="20"/>
          <w:szCs w:val="20"/>
          <w:shd w:val="clear" w:color="auto" w:fill="FFFFFF"/>
        </w:rPr>
      </w:pPr>
    </w:p>
    <w:p w14:paraId="7B9A6242" w14:textId="77777777" w:rsidR="00CD5948" w:rsidRPr="00801E77" w:rsidRDefault="00CD5948" w:rsidP="00CD5948">
      <w:pPr>
        <w:ind w:left="720" w:hanging="720"/>
        <w:jc w:val="both"/>
        <w:rPr>
          <w:rFonts w:ascii="Arial" w:hAnsi="Arial" w:cs="Arial"/>
          <w:color w:val="222222"/>
          <w:sz w:val="20"/>
          <w:szCs w:val="20"/>
          <w:shd w:val="clear" w:color="auto" w:fill="FFFFFF"/>
        </w:rPr>
      </w:pPr>
    </w:p>
    <w:p w14:paraId="6CB87D6D" w14:textId="77777777" w:rsidR="00CD5948" w:rsidRPr="00801E77" w:rsidRDefault="00CD5948" w:rsidP="00CD5948">
      <w:pPr>
        <w:ind w:left="720" w:hanging="720"/>
        <w:jc w:val="both"/>
        <w:rPr>
          <w:rFonts w:ascii="Arial" w:hAnsi="Arial" w:cs="Arial"/>
          <w:color w:val="222222"/>
          <w:sz w:val="20"/>
          <w:szCs w:val="20"/>
          <w:shd w:val="clear" w:color="auto" w:fill="FFFFFF"/>
        </w:rPr>
      </w:pPr>
    </w:p>
    <w:p w14:paraId="7CB0BDBF" w14:textId="77777777" w:rsidR="00CD5948" w:rsidRPr="00801E77" w:rsidRDefault="00CD5948" w:rsidP="00CD5948">
      <w:pPr>
        <w:ind w:left="720" w:hanging="720"/>
        <w:jc w:val="both"/>
        <w:rPr>
          <w:sz w:val="20"/>
          <w:szCs w:val="20"/>
        </w:rPr>
      </w:pPr>
    </w:p>
    <w:p w14:paraId="0D93CA50" w14:textId="7C903D62" w:rsidR="00CD5948" w:rsidRPr="000F6097" w:rsidRDefault="00CD5948" w:rsidP="000F6097">
      <w:pPr>
        <w:ind w:left="720" w:hanging="720"/>
        <w:jc w:val="both"/>
        <w:rPr>
          <w:rFonts w:ascii="Arial" w:hAnsi="Arial" w:cs="Arial"/>
          <w:color w:val="222222"/>
          <w:sz w:val="20"/>
          <w:szCs w:val="20"/>
          <w:shd w:val="clear" w:color="auto" w:fill="FFFFFF"/>
        </w:rPr>
      </w:pPr>
      <w:proofErr w:type="spellStart"/>
      <w:r w:rsidRPr="000F6097">
        <w:rPr>
          <w:rFonts w:ascii="Arial" w:hAnsi="Arial" w:cs="Arial"/>
          <w:color w:val="222222"/>
          <w:sz w:val="20"/>
          <w:szCs w:val="20"/>
          <w:highlight w:val="yellow"/>
          <w:shd w:val="clear" w:color="auto" w:fill="FFFFFF"/>
        </w:rPr>
        <w:t>Adepoju</w:t>
      </w:r>
      <w:proofErr w:type="spellEnd"/>
      <w:r w:rsidRPr="000F6097">
        <w:rPr>
          <w:rFonts w:ascii="Arial" w:hAnsi="Arial" w:cs="Arial"/>
          <w:color w:val="222222"/>
          <w:sz w:val="20"/>
          <w:szCs w:val="20"/>
          <w:highlight w:val="yellow"/>
          <w:shd w:val="clear" w:color="auto" w:fill="FFFFFF"/>
        </w:rPr>
        <w:t>, O. E., Herrera, L., Chae, M., &amp; Han, D. (2022). Optimizing disaster preparedness planning for minority older adults: one size does not fit all. </w:t>
      </w:r>
      <w:r w:rsidRPr="000F6097">
        <w:rPr>
          <w:rFonts w:ascii="Arial" w:hAnsi="Arial" w:cs="Arial"/>
          <w:i/>
          <w:iCs/>
          <w:color w:val="222222"/>
          <w:sz w:val="20"/>
          <w:szCs w:val="20"/>
          <w:highlight w:val="yellow"/>
          <w:shd w:val="clear" w:color="auto" w:fill="FFFFFF"/>
        </w:rPr>
        <w:t>International Journal of Environmental Research and Public Health</w:t>
      </w:r>
      <w:r w:rsidRPr="000F6097">
        <w:rPr>
          <w:rFonts w:ascii="Arial" w:hAnsi="Arial" w:cs="Arial"/>
          <w:color w:val="222222"/>
          <w:sz w:val="20"/>
          <w:szCs w:val="20"/>
          <w:highlight w:val="yellow"/>
          <w:shd w:val="clear" w:color="auto" w:fill="FFFFFF"/>
        </w:rPr>
        <w:t>, </w:t>
      </w:r>
      <w:r w:rsidRPr="000F6097">
        <w:rPr>
          <w:rFonts w:ascii="Arial" w:hAnsi="Arial" w:cs="Arial"/>
          <w:i/>
          <w:iCs/>
          <w:color w:val="222222"/>
          <w:sz w:val="20"/>
          <w:szCs w:val="20"/>
          <w:highlight w:val="yellow"/>
          <w:shd w:val="clear" w:color="auto" w:fill="FFFFFF"/>
        </w:rPr>
        <w:t>20</w:t>
      </w:r>
      <w:r w:rsidRPr="000F6097">
        <w:rPr>
          <w:rFonts w:ascii="Arial" w:hAnsi="Arial" w:cs="Arial"/>
          <w:color w:val="222222"/>
          <w:sz w:val="20"/>
          <w:szCs w:val="20"/>
          <w:highlight w:val="yellow"/>
          <w:shd w:val="clear" w:color="auto" w:fill="FFFFFF"/>
        </w:rPr>
        <w:t xml:space="preserve">(1), 401. </w:t>
      </w:r>
      <w:hyperlink r:id="rId14" w:history="1">
        <w:r w:rsidRPr="000F6097">
          <w:rPr>
            <w:rStyle w:val="Hyperlink"/>
            <w:rFonts w:ascii="Arial" w:hAnsi="Arial" w:cs="Arial"/>
            <w:sz w:val="20"/>
            <w:szCs w:val="20"/>
            <w:highlight w:val="yellow"/>
            <w:shd w:val="clear" w:color="auto" w:fill="FFFFFF"/>
          </w:rPr>
          <w:t>https://www.mdpi.com/1660-4601/20/1/401</w:t>
        </w:r>
      </w:hyperlink>
    </w:p>
    <w:p w14:paraId="79C50486" w14:textId="77777777" w:rsidR="00CD5948" w:rsidRPr="00801E77" w:rsidRDefault="00CD5948" w:rsidP="00CD5948">
      <w:pPr>
        <w:ind w:left="720" w:hanging="720"/>
        <w:jc w:val="both"/>
        <w:rPr>
          <w:rFonts w:ascii="Arial" w:hAnsi="Arial" w:cs="Arial"/>
          <w:color w:val="222222"/>
          <w:sz w:val="20"/>
          <w:szCs w:val="20"/>
          <w:shd w:val="clear" w:color="auto" w:fill="FFFFFF"/>
        </w:rPr>
      </w:pPr>
      <w:proofErr w:type="spellStart"/>
      <w:r w:rsidRPr="00801E77">
        <w:rPr>
          <w:rFonts w:ascii="Arial" w:hAnsi="Arial" w:cs="Arial"/>
          <w:color w:val="222222"/>
          <w:sz w:val="20"/>
          <w:szCs w:val="20"/>
          <w:shd w:val="clear" w:color="auto" w:fill="FFFFFF"/>
        </w:rPr>
        <w:t>Banzal</w:t>
      </w:r>
      <w:proofErr w:type="spellEnd"/>
      <w:r w:rsidRPr="00801E77">
        <w:rPr>
          <w:rFonts w:ascii="Arial" w:hAnsi="Arial" w:cs="Arial"/>
          <w:color w:val="222222"/>
          <w:sz w:val="20"/>
          <w:szCs w:val="20"/>
          <w:shd w:val="clear" w:color="auto" w:fill="FFFFFF"/>
        </w:rPr>
        <w:t>, P. (2022). Disaster Early Warning Communication Systems. In </w:t>
      </w:r>
      <w:r w:rsidRPr="00801E77">
        <w:rPr>
          <w:rFonts w:ascii="Arial" w:hAnsi="Arial" w:cs="Arial"/>
          <w:i/>
          <w:iCs/>
          <w:color w:val="222222"/>
          <w:sz w:val="20"/>
          <w:szCs w:val="20"/>
          <w:shd w:val="clear" w:color="auto" w:fill="FFFFFF"/>
        </w:rPr>
        <w:t>Hydro-Meteorological Extremes and Disasters</w:t>
      </w:r>
      <w:r w:rsidRPr="00801E77">
        <w:rPr>
          <w:rFonts w:ascii="Arial" w:hAnsi="Arial" w:cs="Arial"/>
          <w:color w:val="222222"/>
          <w:sz w:val="20"/>
          <w:szCs w:val="20"/>
          <w:shd w:val="clear" w:color="auto" w:fill="FFFFFF"/>
        </w:rPr>
        <w:t xml:space="preserve"> (pp. 87-102). Singapore: Springer Nature Singapore. </w:t>
      </w:r>
      <w:hyperlink r:id="rId15" w:history="1">
        <w:r w:rsidRPr="00801E77">
          <w:rPr>
            <w:rStyle w:val="Hyperlink"/>
            <w:rFonts w:ascii="Arial" w:hAnsi="Arial" w:cs="Arial"/>
            <w:sz w:val="20"/>
            <w:szCs w:val="20"/>
            <w:shd w:val="clear" w:color="auto" w:fill="FFFFFF"/>
          </w:rPr>
          <w:t>https://link.springer.com/chapter/10.1007/978-981-19-0725-8_6</w:t>
        </w:r>
      </w:hyperlink>
    </w:p>
    <w:p w14:paraId="164B81FE" w14:textId="77777777" w:rsidR="00CD5948" w:rsidRPr="00801E77" w:rsidRDefault="00CD5948" w:rsidP="00CD5948">
      <w:pPr>
        <w:ind w:left="720" w:hanging="720"/>
        <w:jc w:val="both"/>
        <w:rPr>
          <w:rFonts w:ascii="Arial" w:eastAsia="Arial" w:hAnsi="Arial" w:cs="Arial"/>
          <w:color w:val="000000" w:themeColor="text1"/>
          <w:sz w:val="20"/>
          <w:szCs w:val="20"/>
        </w:rPr>
      </w:pPr>
      <w:r w:rsidRPr="00801E77">
        <w:rPr>
          <w:rFonts w:ascii="Arial" w:eastAsia="Arial" w:hAnsi="Arial" w:cs="Arial"/>
          <w:color w:val="000000" w:themeColor="text1"/>
          <w:sz w:val="20"/>
          <w:szCs w:val="20"/>
        </w:rPr>
        <w:t>Bihari, et al</w:t>
      </w:r>
      <w:r w:rsidRPr="00801E77">
        <w:rPr>
          <w:rFonts w:ascii="Arial" w:eastAsia="Arial" w:hAnsi="Arial" w:cs="Arial"/>
          <w:color w:val="000000" w:themeColor="text1"/>
          <w:sz w:val="20"/>
          <w:szCs w:val="20"/>
        </w:rPr>
        <w:tab/>
        <w:t xml:space="preserve"> (20</w:t>
      </w:r>
      <w:r w:rsidRPr="00801E77">
        <w:rPr>
          <w:rFonts w:ascii="Arial" w:eastAsia="Arial" w:hAnsi="Arial" w:cs="Arial"/>
          <w:color w:val="000000" w:themeColor="text1"/>
          <w:sz w:val="20"/>
          <w:szCs w:val="20"/>
          <w:lang w:val="en-US"/>
        </w:rPr>
        <w:t>21</w:t>
      </w:r>
      <w:r w:rsidRPr="00801E77">
        <w:rPr>
          <w:rFonts w:ascii="Arial" w:eastAsia="Arial" w:hAnsi="Arial" w:cs="Arial"/>
          <w:color w:val="000000" w:themeColor="text1"/>
          <w:sz w:val="20"/>
          <w:szCs w:val="20"/>
        </w:rPr>
        <w:t xml:space="preserve">). “Influence of Social Capital on Community Preparedness for Wildfires.” </w:t>
      </w:r>
      <w:r w:rsidRPr="00801E77">
        <w:rPr>
          <w:rFonts w:ascii="Arial" w:eastAsia="Arial" w:hAnsi="Arial" w:cs="Arial"/>
          <w:i/>
          <w:iCs/>
          <w:color w:val="000000" w:themeColor="text1"/>
          <w:sz w:val="20"/>
          <w:szCs w:val="20"/>
        </w:rPr>
        <w:t>Landscape and Urban Planning</w:t>
      </w:r>
      <w:r w:rsidRPr="00801E77">
        <w:rPr>
          <w:rFonts w:ascii="Arial" w:eastAsia="Arial" w:hAnsi="Arial" w:cs="Arial"/>
          <w:color w:val="000000" w:themeColor="text1"/>
          <w:sz w:val="20"/>
          <w:szCs w:val="20"/>
        </w:rPr>
        <w:t>, vol. 106, no. 3, June 2012, pp. 253–261, 10.1016/j.landurbplan.2012.03.011.</w:t>
      </w:r>
    </w:p>
    <w:p w14:paraId="69C6A3BE" w14:textId="77777777" w:rsidR="00CD5948" w:rsidRPr="00801E77" w:rsidRDefault="00CD5948" w:rsidP="00CD5948">
      <w:pPr>
        <w:ind w:left="720" w:hanging="720"/>
        <w:jc w:val="both"/>
        <w:rPr>
          <w:rFonts w:ascii="Arial" w:hAnsi="Arial" w:cs="Arial"/>
          <w:color w:val="222222"/>
          <w:sz w:val="20"/>
          <w:szCs w:val="20"/>
          <w:shd w:val="clear" w:color="auto" w:fill="FFFFFF"/>
        </w:rPr>
      </w:pPr>
      <w:r w:rsidRPr="00801E77">
        <w:rPr>
          <w:rFonts w:ascii="Arial" w:hAnsi="Arial" w:cs="Arial"/>
          <w:color w:val="222222"/>
          <w:sz w:val="20"/>
          <w:szCs w:val="20"/>
          <w:shd w:val="clear" w:color="auto" w:fill="FFFFFF"/>
        </w:rPr>
        <w:t xml:space="preserve">Erman, A., De Vries Robbe, S. A., Thies, S. F., Kabir, K., &amp; Maruo, M. (2021). Gender dimensions of disaster risk and resilience: Existing evidence. </w:t>
      </w:r>
      <w:hyperlink r:id="rId16" w:history="1">
        <w:r w:rsidRPr="00801E77">
          <w:rPr>
            <w:rStyle w:val="Hyperlink"/>
            <w:rFonts w:ascii="Arial" w:hAnsi="Arial" w:cs="Arial"/>
            <w:sz w:val="20"/>
            <w:szCs w:val="20"/>
            <w:shd w:val="clear" w:color="auto" w:fill="FFFFFF"/>
          </w:rPr>
          <w:t>https://srhr.dspace-express.com/bitstream/handle/20.500.14041/3385/Gender-Dimensions-of-Disaster-Risk-and-Resilience-Existing-Evidence.pdf?sequence=1</w:t>
        </w:r>
      </w:hyperlink>
    </w:p>
    <w:p w14:paraId="0484B241" w14:textId="77777777" w:rsidR="00CD5948" w:rsidRPr="00801E77" w:rsidRDefault="00CD5948" w:rsidP="00CD5948">
      <w:pPr>
        <w:ind w:left="720" w:hanging="720"/>
        <w:jc w:val="both"/>
        <w:rPr>
          <w:rFonts w:ascii="Arial" w:hAnsi="Arial" w:cs="Arial"/>
          <w:color w:val="222222"/>
          <w:sz w:val="20"/>
          <w:szCs w:val="20"/>
          <w:shd w:val="clear" w:color="auto" w:fill="FFFFFF"/>
        </w:rPr>
      </w:pPr>
      <w:r w:rsidRPr="00801E77">
        <w:rPr>
          <w:rFonts w:ascii="Arial" w:hAnsi="Arial" w:cs="Arial"/>
          <w:color w:val="222222"/>
          <w:sz w:val="20"/>
          <w:szCs w:val="20"/>
          <w:shd w:val="clear" w:color="auto" w:fill="FFFFFF"/>
        </w:rPr>
        <w:t xml:space="preserve">Farsi, Z., Nasiri, M., Sajadi, S. A., &amp; </w:t>
      </w:r>
      <w:proofErr w:type="spellStart"/>
      <w:r w:rsidRPr="00801E77">
        <w:rPr>
          <w:rFonts w:ascii="Arial" w:hAnsi="Arial" w:cs="Arial"/>
          <w:color w:val="222222"/>
          <w:sz w:val="20"/>
          <w:szCs w:val="20"/>
          <w:shd w:val="clear" w:color="auto" w:fill="FFFFFF"/>
        </w:rPr>
        <w:t>Khavasi</w:t>
      </w:r>
      <w:proofErr w:type="spellEnd"/>
      <w:r w:rsidRPr="00801E77">
        <w:rPr>
          <w:rFonts w:ascii="Arial" w:hAnsi="Arial" w:cs="Arial"/>
          <w:color w:val="222222"/>
          <w:sz w:val="20"/>
          <w:szCs w:val="20"/>
          <w:shd w:val="clear" w:color="auto" w:fill="FFFFFF"/>
        </w:rPr>
        <w:t>, M. (2022). Comparison of Iran’s nursing education with developed and developing countries: a review on descriptive-comparative studies. </w:t>
      </w:r>
      <w:proofErr w:type="spellStart"/>
      <w:r w:rsidRPr="00801E77">
        <w:rPr>
          <w:rFonts w:ascii="Arial" w:hAnsi="Arial" w:cs="Arial"/>
          <w:i/>
          <w:iCs/>
          <w:color w:val="222222"/>
          <w:sz w:val="20"/>
          <w:szCs w:val="20"/>
          <w:shd w:val="clear" w:color="auto" w:fill="FFFFFF"/>
        </w:rPr>
        <w:t>Bmc</w:t>
      </w:r>
      <w:proofErr w:type="spellEnd"/>
      <w:r w:rsidRPr="00801E77">
        <w:rPr>
          <w:rFonts w:ascii="Arial" w:hAnsi="Arial" w:cs="Arial"/>
          <w:i/>
          <w:iCs/>
          <w:color w:val="222222"/>
          <w:sz w:val="20"/>
          <w:szCs w:val="20"/>
          <w:shd w:val="clear" w:color="auto" w:fill="FFFFFF"/>
        </w:rPr>
        <w:t xml:space="preserve"> Nursing</w:t>
      </w:r>
      <w:r w:rsidRPr="00801E77">
        <w:rPr>
          <w:rFonts w:ascii="Arial" w:hAnsi="Arial" w:cs="Arial"/>
          <w:color w:val="222222"/>
          <w:sz w:val="20"/>
          <w:szCs w:val="20"/>
          <w:shd w:val="clear" w:color="auto" w:fill="FFFFFF"/>
        </w:rPr>
        <w:t>, </w:t>
      </w:r>
      <w:r w:rsidRPr="00801E77">
        <w:rPr>
          <w:rFonts w:ascii="Arial" w:hAnsi="Arial" w:cs="Arial"/>
          <w:i/>
          <w:iCs/>
          <w:color w:val="222222"/>
          <w:sz w:val="20"/>
          <w:szCs w:val="20"/>
          <w:shd w:val="clear" w:color="auto" w:fill="FFFFFF"/>
        </w:rPr>
        <w:t>21</w:t>
      </w:r>
      <w:r w:rsidRPr="00801E77">
        <w:rPr>
          <w:rFonts w:ascii="Arial" w:hAnsi="Arial" w:cs="Arial"/>
          <w:color w:val="222222"/>
          <w:sz w:val="20"/>
          <w:szCs w:val="20"/>
          <w:shd w:val="clear" w:color="auto" w:fill="FFFFFF"/>
        </w:rPr>
        <w:t xml:space="preserve">(1), 105. </w:t>
      </w:r>
      <w:hyperlink r:id="rId17" w:history="1">
        <w:r w:rsidRPr="00801E77">
          <w:rPr>
            <w:rStyle w:val="Hyperlink"/>
            <w:rFonts w:ascii="Arial" w:hAnsi="Arial" w:cs="Arial"/>
            <w:sz w:val="20"/>
            <w:szCs w:val="20"/>
            <w:shd w:val="clear" w:color="auto" w:fill="FFFFFF"/>
          </w:rPr>
          <w:t>https://link.springer.com/article/10.1186/s12912-022-00861-x</w:t>
        </w:r>
      </w:hyperlink>
    </w:p>
    <w:p w14:paraId="71B70F3F" w14:textId="77777777" w:rsidR="00CD5948" w:rsidRPr="00801E77" w:rsidRDefault="00CD5948" w:rsidP="00CD5948">
      <w:pPr>
        <w:ind w:left="720" w:hanging="720"/>
        <w:jc w:val="both"/>
        <w:rPr>
          <w:rFonts w:ascii="Arial" w:hAnsi="Arial" w:cs="Arial"/>
          <w:color w:val="222222"/>
          <w:sz w:val="20"/>
          <w:szCs w:val="20"/>
          <w:shd w:val="clear" w:color="auto" w:fill="FFFFFF"/>
        </w:rPr>
      </w:pPr>
      <w:r w:rsidRPr="00801E77">
        <w:rPr>
          <w:rFonts w:ascii="Arial" w:hAnsi="Arial" w:cs="Arial"/>
          <w:color w:val="222222"/>
          <w:sz w:val="20"/>
          <w:szCs w:val="20"/>
          <w:shd w:val="clear" w:color="auto" w:fill="FFFFFF"/>
        </w:rPr>
        <w:t>Fernandez, G. (2022). Disaster risk reduction education. In </w:t>
      </w:r>
      <w:r w:rsidRPr="00801E77">
        <w:rPr>
          <w:rFonts w:ascii="Arial" w:hAnsi="Arial" w:cs="Arial"/>
          <w:i/>
          <w:iCs/>
          <w:color w:val="222222"/>
          <w:sz w:val="20"/>
          <w:szCs w:val="20"/>
          <w:shd w:val="clear" w:color="auto" w:fill="FFFFFF"/>
        </w:rPr>
        <w:t>Routledge Handbook of Environmental Hazards and Society</w:t>
      </w:r>
      <w:r w:rsidRPr="00801E77">
        <w:rPr>
          <w:rFonts w:ascii="Arial" w:hAnsi="Arial" w:cs="Arial"/>
          <w:color w:val="222222"/>
          <w:sz w:val="20"/>
          <w:szCs w:val="20"/>
          <w:shd w:val="clear" w:color="auto" w:fill="FFFFFF"/>
        </w:rPr>
        <w:t xml:space="preserve"> (pp. 551-561). Routledge. </w:t>
      </w:r>
      <w:hyperlink r:id="rId18" w:history="1">
        <w:r w:rsidRPr="00801E77">
          <w:rPr>
            <w:rStyle w:val="Hyperlink"/>
            <w:rFonts w:ascii="Arial" w:hAnsi="Arial" w:cs="Arial"/>
            <w:sz w:val="20"/>
            <w:szCs w:val="20"/>
            <w:shd w:val="clear" w:color="auto" w:fill="FFFFFF"/>
          </w:rPr>
          <w:t>https://www.taylorfrancis.com/chapters/edit/10.4324/9780367854584-51/disaster-risk-reduction-education-glenn-fernandez</w:t>
        </w:r>
      </w:hyperlink>
    </w:p>
    <w:p w14:paraId="16D0E777" w14:textId="77777777" w:rsidR="00CD5948" w:rsidRPr="00801E77" w:rsidRDefault="00CD5948" w:rsidP="00CD5948">
      <w:pPr>
        <w:ind w:left="720" w:hanging="720"/>
        <w:jc w:val="both"/>
        <w:rPr>
          <w:rFonts w:ascii="Arial" w:hAnsi="Arial" w:cs="Arial"/>
          <w:color w:val="222222"/>
          <w:sz w:val="20"/>
          <w:szCs w:val="20"/>
          <w:shd w:val="clear" w:color="auto" w:fill="FFFFFF"/>
        </w:rPr>
      </w:pPr>
      <w:proofErr w:type="spellStart"/>
      <w:r w:rsidRPr="00801E77">
        <w:rPr>
          <w:rFonts w:ascii="Arial" w:hAnsi="Arial" w:cs="Arial"/>
          <w:color w:val="222222"/>
          <w:sz w:val="20"/>
          <w:szCs w:val="20"/>
          <w:shd w:val="clear" w:color="auto" w:fill="FFFFFF"/>
        </w:rPr>
        <w:t>Gaudiel</w:t>
      </w:r>
      <w:proofErr w:type="spellEnd"/>
      <w:r w:rsidRPr="00801E77">
        <w:rPr>
          <w:rFonts w:ascii="Arial" w:hAnsi="Arial" w:cs="Arial"/>
          <w:color w:val="222222"/>
          <w:sz w:val="20"/>
          <w:szCs w:val="20"/>
          <w:shd w:val="clear" w:color="auto" w:fill="FFFFFF"/>
        </w:rPr>
        <w:t>, A. (2023). Implementation of disaster risk reduction management activities in flood-prone communities of a highly urbanized city in Central Visayas. </w:t>
      </w:r>
      <w:proofErr w:type="spellStart"/>
      <w:r w:rsidRPr="00801E77">
        <w:rPr>
          <w:rFonts w:ascii="Arial" w:hAnsi="Arial" w:cs="Arial"/>
          <w:i/>
          <w:iCs/>
          <w:color w:val="222222"/>
          <w:sz w:val="20"/>
          <w:szCs w:val="20"/>
          <w:shd w:val="clear" w:color="auto" w:fill="FFFFFF"/>
        </w:rPr>
        <w:t>Technium</w:t>
      </w:r>
      <w:proofErr w:type="spellEnd"/>
      <w:r w:rsidRPr="00801E77">
        <w:rPr>
          <w:rFonts w:ascii="Arial" w:hAnsi="Arial" w:cs="Arial"/>
          <w:i/>
          <w:iCs/>
          <w:color w:val="222222"/>
          <w:sz w:val="20"/>
          <w:szCs w:val="20"/>
          <w:shd w:val="clear" w:color="auto" w:fill="FFFFFF"/>
        </w:rPr>
        <w:t xml:space="preserve"> Soc. Sci. J.</w:t>
      </w:r>
      <w:r w:rsidRPr="00801E77">
        <w:rPr>
          <w:rFonts w:ascii="Arial" w:hAnsi="Arial" w:cs="Arial"/>
          <w:color w:val="222222"/>
          <w:sz w:val="20"/>
          <w:szCs w:val="20"/>
          <w:shd w:val="clear" w:color="auto" w:fill="FFFFFF"/>
        </w:rPr>
        <w:t>, </w:t>
      </w:r>
      <w:r w:rsidRPr="00801E77">
        <w:rPr>
          <w:rFonts w:ascii="Arial" w:hAnsi="Arial" w:cs="Arial"/>
          <w:i/>
          <w:iCs/>
          <w:color w:val="222222"/>
          <w:sz w:val="20"/>
          <w:szCs w:val="20"/>
          <w:shd w:val="clear" w:color="auto" w:fill="FFFFFF"/>
        </w:rPr>
        <w:t>43</w:t>
      </w:r>
      <w:r w:rsidRPr="00801E77">
        <w:rPr>
          <w:rFonts w:ascii="Arial" w:hAnsi="Arial" w:cs="Arial"/>
          <w:color w:val="222222"/>
          <w:sz w:val="20"/>
          <w:szCs w:val="20"/>
          <w:shd w:val="clear" w:color="auto" w:fill="FFFFFF"/>
        </w:rPr>
        <w:t xml:space="preserve">, 593. </w:t>
      </w:r>
      <w:hyperlink r:id="rId19" w:history="1">
        <w:r w:rsidRPr="00801E77">
          <w:rPr>
            <w:rStyle w:val="Hyperlink"/>
            <w:rFonts w:ascii="Arial" w:hAnsi="Arial" w:cs="Arial"/>
            <w:sz w:val="20"/>
            <w:szCs w:val="20"/>
            <w:shd w:val="clear" w:color="auto" w:fill="FFFFFF"/>
          </w:rPr>
          <w:t>https://heinonline.org/hol-cgi-bin/get_pdf.cgi?handle=hein.journals/techssj43&amp;section=49</w:t>
        </w:r>
      </w:hyperlink>
    </w:p>
    <w:p w14:paraId="674C7235" w14:textId="77777777" w:rsidR="00CD5948" w:rsidRPr="00801E77" w:rsidRDefault="00CD5948" w:rsidP="00CD5948">
      <w:pPr>
        <w:ind w:left="720" w:hanging="720"/>
        <w:jc w:val="both"/>
        <w:rPr>
          <w:rFonts w:ascii="Arial" w:hAnsi="Arial" w:cs="Arial"/>
          <w:color w:val="222222"/>
          <w:sz w:val="20"/>
          <w:szCs w:val="20"/>
          <w:shd w:val="clear" w:color="auto" w:fill="FFFFFF"/>
        </w:rPr>
      </w:pPr>
      <w:r w:rsidRPr="00801E77">
        <w:rPr>
          <w:rFonts w:ascii="Arial" w:hAnsi="Arial" w:cs="Arial"/>
          <w:color w:val="222222"/>
          <w:sz w:val="20"/>
          <w:szCs w:val="20"/>
          <w:shd w:val="clear" w:color="auto" w:fill="FFFFFF"/>
        </w:rPr>
        <w:t xml:space="preserve">Haraguchi, M. (2020). How can a municipal government continue operations during </w:t>
      </w:r>
      <w:proofErr w:type="spellStart"/>
      <w:r w:rsidRPr="00801E77">
        <w:rPr>
          <w:rFonts w:ascii="Arial" w:hAnsi="Arial" w:cs="Arial"/>
          <w:color w:val="222222"/>
          <w:sz w:val="20"/>
          <w:szCs w:val="20"/>
          <w:shd w:val="clear" w:color="auto" w:fill="FFFFFF"/>
        </w:rPr>
        <w:t>megadisasters</w:t>
      </w:r>
      <w:proofErr w:type="spellEnd"/>
      <w:r w:rsidRPr="00801E77">
        <w:rPr>
          <w:rFonts w:ascii="Arial" w:hAnsi="Arial" w:cs="Arial"/>
          <w:color w:val="222222"/>
          <w:sz w:val="20"/>
          <w:szCs w:val="20"/>
          <w:shd w:val="clear" w:color="auto" w:fill="FFFFFF"/>
        </w:rPr>
        <w:t>? An analysis of preparedness using complex adaptive systems. </w:t>
      </w:r>
      <w:r w:rsidRPr="00801E77">
        <w:rPr>
          <w:rFonts w:ascii="Arial" w:hAnsi="Arial" w:cs="Arial"/>
          <w:i/>
          <w:iCs/>
          <w:color w:val="222222"/>
          <w:sz w:val="20"/>
          <w:szCs w:val="20"/>
          <w:shd w:val="clear" w:color="auto" w:fill="FFFFFF"/>
        </w:rPr>
        <w:t>Disaster Prevention and Management: An International Journal</w:t>
      </w:r>
      <w:r w:rsidRPr="00801E77">
        <w:rPr>
          <w:rFonts w:ascii="Arial" w:hAnsi="Arial" w:cs="Arial"/>
          <w:color w:val="222222"/>
          <w:sz w:val="20"/>
          <w:szCs w:val="20"/>
          <w:shd w:val="clear" w:color="auto" w:fill="FFFFFF"/>
        </w:rPr>
        <w:t>, </w:t>
      </w:r>
      <w:r w:rsidRPr="00801E77">
        <w:rPr>
          <w:rFonts w:ascii="Arial" w:hAnsi="Arial" w:cs="Arial"/>
          <w:i/>
          <w:iCs/>
          <w:color w:val="222222"/>
          <w:sz w:val="20"/>
          <w:szCs w:val="20"/>
          <w:shd w:val="clear" w:color="auto" w:fill="FFFFFF"/>
        </w:rPr>
        <w:t>29</w:t>
      </w:r>
      <w:r w:rsidRPr="00801E77">
        <w:rPr>
          <w:rFonts w:ascii="Arial" w:hAnsi="Arial" w:cs="Arial"/>
          <w:color w:val="222222"/>
          <w:sz w:val="20"/>
          <w:szCs w:val="20"/>
          <w:shd w:val="clear" w:color="auto" w:fill="FFFFFF"/>
        </w:rPr>
        <w:t>(5), 779-</w:t>
      </w:r>
      <w:r w:rsidRPr="00801E77">
        <w:rPr>
          <w:rFonts w:ascii="Arial" w:hAnsi="Arial" w:cs="Arial"/>
          <w:color w:val="222222"/>
          <w:sz w:val="20"/>
          <w:szCs w:val="20"/>
          <w:shd w:val="clear" w:color="auto" w:fill="FFFFFF"/>
        </w:rPr>
        <w:lastRenderedPageBreak/>
        <w:t xml:space="preserve">792. </w:t>
      </w:r>
      <w:hyperlink r:id="rId20" w:history="1">
        <w:r w:rsidRPr="00801E77">
          <w:rPr>
            <w:rStyle w:val="Hyperlink"/>
            <w:rFonts w:ascii="Arial" w:hAnsi="Arial" w:cs="Arial"/>
            <w:sz w:val="20"/>
            <w:szCs w:val="20"/>
            <w:shd w:val="clear" w:color="auto" w:fill="FFFFFF"/>
          </w:rPr>
          <w:t>https://www.emerald.com/insight/content/doi/10.1108/dpm-04-2020-0114/full/html</w:t>
        </w:r>
      </w:hyperlink>
    </w:p>
    <w:p w14:paraId="7AC63B02" w14:textId="77777777" w:rsidR="00CD5948" w:rsidRPr="00801E77" w:rsidRDefault="00CD5948" w:rsidP="00CD5948">
      <w:pPr>
        <w:ind w:left="720" w:hanging="720"/>
        <w:jc w:val="both"/>
        <w:rPr>
          <w:rFonts w:ascii="Arial" w:hAnsi="Arial" w:cs="Arial"/>
          <w:color w:val="222222"/>
          <w:sz w:val="20"/>
          <w:szCs w:val="20"/>
          <w:shd w:val="clear" w:color="auto" w:fill="FFFFFF"/>
        </w:rPr>
      </w:pPr>
      <w:r w:rsidRPr="00801E77">
        <w:rPr>
          <w:rFonts w:ascii="Arial" w:hAnsi="Arial" w:cs="Arial"/>
          <w:color w:val="222222"/>
          <w:sz w:val="20"/>
          <w:szCs w:val="20"/>
          <w:shd w:val="clear" w:color="auto" w:fill="FFFFFF"/>
        </w:rPr>
        <w:t xml:space="preserve">Howell, C. R., Su, W., </w:t>
      </w:r>
      <w:proofErr w:type="spellStart"/>
      <w:r w:rsidRPr="00801E77">
        <w:rPr>
          <w:rFonts w:ascii="Arial" w:hAnsi="Arial" w:cs="Arial"/>
          <w:color w:val="222222"/>
          <w:sz w:val="20"/>
          <w:szCs w:val="20"/>
          <w:shd w:val="clear" w:color="auto" w:fill="FFFFFF"/>
        </w:rPr>
        <w:t>Nassel</w:t>
      </w:r>
      <w:proofErr w:type="spellEnd"/>
      <w:r w:rsidRPr="00801E77">
        <w:rPr>
          <w:rFonts w:ascii="Arial" w:hAnsi="Arial" w:cs="Arial"/>
          <w:color w:val="222222"/>
          <w:sz w:val="20"/>
          <w:szCs w:val="20"/>
          <w:shd w:val="clear" w:color="auto" w:fill="FFFFFF"/>
        </w:rPr>
        <w:t>, A. F., Agne, A. A., &amp; Cherrington, A. L. (2020). Area based stratified random sampling using geospatial technology in a community-based survey. </w:t>
      </w:r>
      <w:r w:rsidRPr="00801E77">
        <w:rPr>
          <w:rFonts w:ascii="Arial" w:hAnsi="Arial" w:cs="Arial"/>
          <w:i/>
          <w:iCs/>
          <w:color w:val="222222"/>
          <w:sz w:val="20"/>
          <w:szCs w:val="20"/>
          <w:shd w:val="clear" w:color="auto" w:fill="FFFFFF"/>
        </w:rPr>
        <w:t>BMC Public Health</w:t>
      </w:r>
      <w:r w:rsidRPr="00801E77">
        <w:rPr>
          <w:rFonts w:ascii="Arial" w:hAnsi="Arial" w:cs="Arial"/>
          <w:color w:val="222222"/>
          <w:sz w:val="20"/>
          <w:szCs w:val="20"/>
          <w:shd w:val="clear" w:color="auto" w:fill="FFFFFF"/>
        </w:rPr>
        <w:t>, </w:t>
      </w:r>
      <w:r w:rsidRPr="00801E77">
        <w:rPr>
          <w:rFonts w:ascii="Arial" w:hAnsi="Arial" w:cs="Arial"/>
          <w:i/>
          <w:iCs/>
          <w:color w:val="222222"/>
          <w:sz w:val="20"/>
          <w:szCs w:val="20"/>
          <w:shd w:val="clear" w:color="auto" w:fill="FFFFFF"/>
        </w:rPr>
        <w:t>20</w:t>
      </w:r>
      <w:r w:rsidRPr="00801E77">
        <w:rPr>
          <w:rFonts w:ascii="Arial" w:hAnsi="Arial" w:cs="Arial"/>
          <w:color w:val="222222"/>
          <w:sz w:val="20"/>
          <w:szCs w:val="20"/>
          <w:shd w:val="clear" w:color="auto" w:fill="FFFFFF"/>
        </w:rPr>
        <w:t xml:space="preserve">, 1-9. </w:t>
      </w:r>
      <w:hyperlink r:id="rId21" w:history="1">
        <w:r w:rsidRPr="00801E77">
          <w:rPr>
            <w:rStyle w:val="Hyperlink"/>
            <w:rFonts w:ascii="Arial" w:hAnsi="Arial" w:cs="Arial"/>
            <w:sz w:val="20"/>
            <w:szCs w:val="20"/>
            <w:shd w:val="clear" w:color="auto" w:fill="FFFFFF"/>
          </w:rPr>
          <w:t>https://link.springer.com/article/10.1186/s12889-020-09793-0</w:t>
        </w:r>
      </w:hyperlink>
    </w:p>
    <w:p w14:paraId="21D2C12D" w14:textId="77777777" w:rsidR="00CD5948" w:rsidRPr="00801E77" w:rsidRDefault="00B700E1" w:rsidP="00CD5948">
      <w:pPr>
        <w:ind w:left="720" w:hanging="720"/>
        <w:jc w:val="both"/>
        <w:rPr>
          <w:rStyle w:val="Hyperlink"/>
          <w:rFonts w:ascii="Arial" w:eastAsiaTheme="majorEastAsia" w:hAnsi="Arial" w:cs="Arial"/>
          <w:color w:val="000000" w:themeColor="text1"/>
          <w:sz w:val="20"/>
          <w:szCs w:val="20"/>
        </w:rPr>
      </w:pPr>
      <w:hyperlink r:id="rId22" w:history="1">
        <w:r w:rsidR="00CD5948" w:rsidRPr="00801E77">
          <w:rPr>
            <w:rStyle w:val="Hyperlink"/>
            <w:rFonts w:ascii="Arial" w:eastAsiaTheme="majorEastAsia" w:hAnsi="Arial" w:cs="Arial"/>
            <w:color w:val="000000" w:themeColor="text1"/>
            <w:sz w:val="20"/>
            <w:szCs w:val="20"/>
          </w:rPr>
          <w:t>https://www.researchgate.net/publication/366619753</w:t>
        </w:r>
      </w:hyperlink>
    </w:p>
    <w:p w14:paraId="2D49A228" w14:textId="77777777" w:rsidR="00CD5948" w:rsidRPr="00801E77" w:rsidRDefault="00B700E1" w:rsidP="00CD5948">
      <w:pPr>
        <w:ind w:left="720" w:hanging="720"/>
        <w:jc w:val="both"/>
        <w:rPr>
          <w:rFonts w:ascii="Arial" w:eastAsia="Arial" w:hAnsi="Arial" w:cs="Arial"/>
          <w:color w:val="000000" w:themeColor="text1"/>
          <w:sz w:val="20"/>
          <w:szCs w:val="20"/>
        </w:rPr>
      </w:pPr>
      <w:hyperlink r:id="rId23" w:history="1">
        <w:r w:rsidR="00CD5948" w:rsidRPr="00801E77">
          <w:rPr>
            <w:rStyle w:val="Hyperlink"/>
            <w:rFonts w:ascii="Arial" w:eastAsia="Arial" w:hAnsi="Arial" w:cs="Arial"/>
            <w:color w:val="000000" w:themeColor="text1"/>
            <w:sz w:val="20"/>
            <w:szCs w:val="20"/>
          </w:rPr>
          <w:t>https://www.sciencedirect.com/science/article/abs/pii/S0169204612000989</w:t>
        </w:r>
      </w:hyperlink>
    </w:p>
    <w:p w14:paraId="7CDEA4F4" w14:textId="77777777" w:rsidR="00CD5948" w:rsidRPr="00801E77" w:rsidRDefault="00CD5948" w:rsidP="00CD5948">
      <w:pPr>
        <w:ind w:left="720" w:hanging="720"/>
        <w:jc w:val="both"/>
        <w:rPr>
          <w:rFonts w:ascii="Arial" w:hAnsi="Arial" w:cs="Arial"/>
          <w:color w:val="222222"/>
          <w:sz w:val="20"/>
          <w:szCs w:val="20"/>
          <w:shd w:val="clear" w:color="auto" w:fill="FFFFFF"/>
        </w:rPr>
      </w:pPr>
      <w:r w:rsidRPr="00801E77">
        <w:rPr>
          <w:rFonts w:ascii="Arial" w:hAnsi="Arial" w:cs="Arial"/>
          <w:color w:val="222222"/>
          <w:sz w:val="20"/>
          <w:szCs w:val="20"/>
          <w:shd w:val="clear" w:color="auto" w:fill="FFFFFF"/>
        </w:rPr>
        <w:t>Islam, S., Chu, C., &amp; Smart, J. C. (2020). Challenges in integrating disaster risk reduction and climate change adaptation: Exploring the Bangladesh case. </w:t>
      </w:r>
      <w:r w:rsidRPr="00801E77">
        <w:rPr>
          <w:rFonts w:ascii="Arial" w:hAnsi="Arial" w:cs="Arial"/>
          <w:i/>
          <w:iCs/>
          <w:color w:val="222222"/>
          <w:sz w:val="20"/>
          <w:szCs w:val="20"/>
          <w:shd w:val="clear" w:color="auto" w:fill="FFFFFF"/>
        </w:rPr>
        <w:t>International journal of disaster risk reduction</w:t>
      </w:r>
      <w:r w:rsidRPr="00801E77">
        <w:rPr>
          <w:rFonts w:ascii="Arial" w:hAnsi="Arial" w:cs="Arial"/>
          <w:color w:val="222222"/>
          <w:sz w:val="20"/>
          <w:szCs w:val="20"/>
          <w:shd w:val="clear" w:color="auto" w:fill="FFFFFF"/>
        </w:rPr>
        <w:t>, </w:t>
      </w:r>
      <w:r w:rsidRPr="00801E77">
        <w:rPr>
          <w:rFonts w:ascii="Arial" w:hAnsi="Arial" w:cs="Arial"/>
          <w:i/>
          <w:iCs/>
          <w:color w:val="222222"/>
          <w:sz w:val="20"/>
          <w:szCs w:val="20"/>
          <w:shd w:val="clear" w:color="auto" w:fill="FFFFFF"/>
        </w:rPr>
        <w:t>47</w:t>
      </w:r>
      <w:r w:rsidRPr="00801E77">
        <w:rPr>
          <w:rFonts w:ascii="Arial" w:hAnsi="Arial" w:cs="Arial"/>
          <w:color w:val="222222"/>
          <w:sz w:val="20"/>
          <w:szCs w:val="20"/>
          <w:shd w:val="clear" w:color="auto" w:fill="FFFFFF"/>
        </w:rPr>
        <w:t xml:space="preserve">, 101540. </w:t>
      </w:r>
      <w:hyperlink r:id="rId24" w:history="1">
        <w:r w:rsidRPr="00801E77">
          <w:rPr>
            <w:rStyle w:val="Hyperlink"/>
            <w:rFonts w:ascii="Arial" w:hAnsi="Arial" w:cs="Arial"/>
            <w:sz w:val="20"/>
            <w:szCs w:val="20"/>
            <w:shd w:val="clear" w:color="auto" w:fill="FFFFFF"/>
          </w:rPr>
          <w:t>https://www.sciencedirect.com/science/article/pii/S221242091930411X</w:t>
        </w:r>
      </w:hyperlink>
    </w:p>
    <w:p w14:paraId="046B2F56" w14:textId="77777777" w:rsidR="00CD5948" w:rsidRPr="00801E77" w:rsidRDefault="00CD5948" w:rsidP="00CD5948">
      <w:pPr>
        <w:ind w:left="720" w:hanging="720"/>
        <w:jc w:val="both"/>
        <w:rPr>
          <w:rFonts w:ascii="Arial" w:hAnsi="Arial" w:cs="Arial"/>
          <w:color w:val="222222"/>
          <w:sz w:val="20"/>
          <w:szCs w:val="20"/>
          <w:shd w:val="clear" w:color="auto" w:fill="FFFFFF"/>
        </w:rPr>
      </w:pPr>
      <w:r w:rsidRPr="00801E77">
        <w:rPr>
          <w:rFonts w:ascii="Arial" w:hAnsi="Arial" w:cs="Arial"/>
          <w:color w:val="222222"/>
          <w:sz w:val="20"/>
          <w:szCs w:val="20"/>
          <w:shd w:val="clear" w:color="auto" w:fill="FFFFFF"/>
        </w:rPr>
        <w:t xml:space="preserve">Khaledi, H., Ahmadi </w:t>
      </w:r>
      <w:proofErr w:type="spellStart"/>
      <w:r w:rsidRPr="00801E77">
        <w:rPr>
          <w:rFonts w:ascii="Arial" w:hAnsi="Arial" w:cs="Arial"/>
          <w:color w:val="222222"/>
          <w:sz w:val="20"/>
          <w:szCs w:val="20"/>
          <w:shd w:val="clear" w:color="auto" w:fill="FFFFFF"/>
        </w:rPr>
        <w:t>Marzaleh</w:t>
      </w:r>
      <w:proofErr w:type="spellEnd"/>
      <w:r w:rsidRPr="00801E77">
        <w:rPr>
          <w:rFonts w:ascii="Arial" w:hAnsi="Arial" w:cs="Arial"/>
          <w:color w:val="222222"/>
          <w:sz w:val="20"/>
          <w:szCs w:val="20"/>
          <w:shd w:val="clear" w:color="auto" w:fill="FFFFFF"/>
        </w:rPr>
        <w:t xml:space="preserve">, M., </w:t>
      </w:r>
      <w:proofErr w:type="spellStart"/>
      <w:r w:rsidRPr="00801E77">
        <w:rPr>
          <w:rFonts w:ascii="Arial" w:hAnsi="Arial" w:cs="Arial"/>
          <w:color w:val="222222"/>
          <w:sz w:val="20"/>
          <w:szCs w:val="20"/>
          <w:shd w:val="clear" w:color="auto" w:fill="FFFFFF"/>
        </w:rPr>
        <w:t>Peyravi</w:t>
      </w:r>
      <w:proofErr w:type="spellEnd"/>
      <w:r w:rsidRPr="00801E77">
        <w:rPr>
          <w:rFonts w:ascii="Arial" w:hAnsi="Arial" w:cs="Arial"/>
          <w:color w:val="222222"/>
          <w:sz w:val="20"/>
          <w:szCs w:val="20"/>
          <w:shd w:val="clear" w:color="auto" w:fill="FFFFFF"/>
        </w:rPr>
        <w:t>, M., &amp; Rezaee, R. (2023). Non-Governmental Organizations (NGOs) in Disaster Management: A Qualitative Study. </w:t>
      </w:r>
      <w:r w:rsidRPr="00801E77">
        <w:rPr>
          <w:rFonts w:ascii="Arial" w:hAnsi="Arial" w:cs="Arial"/>
          <w:i/>
          <w:iCs/>
          <w:color w:val="222222"/>
          <w:sz w:val="20"/>
          <w:szCs w:val="20"/>
          <w:shd w:val="clear" w:color="auto" w:fill="FFFFFF"/>
        </w:rPr>
        <w:t>Trauma Monthly</w:t>
      </w:r>
      <w:r w:rsidRPr="00801E77">
        <w:rPr>
          <w:rFonts w:ascii="Arial" w:hAnsi="Arial" w:cs="Arial"/>
          <w:color w:val="222222"/>
          <w:sz w:val="20"/>
          <w:szCs w:val="20"/>
          <w:shd w:val="clear" w:color="auto" w:fill="FFFFFF"/>
        </w:rPr>
        <w:t>, </w:t>
      </w:r>
      <w:r w:rsidRPr="00801E77">
        <w:rPr>
          <w:rFonts w:ascii="Arial" w:hAnsi="Arial" w:cs="Arial"/>
          <w:i/>
          <w:iCs/>
          <w:color w:val="222222"/>
          <w:sz w:val="20"/>
          <w:szCs w:val="20"/>
          <w:shd w:val="clear" w:color="auto" w:fill="FFFFFF"/>
        </w:rPr>
        <w:t>28</w:t>
      </w:r>
      <w:r w:rsidRPr="00801E77">
        <w:rPr>
          <w:rFonts w:ascii="Arial" w:hAnsi="Arial" w:cs="Arial"/>
          <w:color w:val="222222"/>
          <w:sz w:val="20"/>
          <w:szCs w:val="20"/>
          <w:shd w:val="clear" w:color="auto" w:fill="FFFFFF"/>
        </w:rPr>
        <w:t xml:space="preserve">(1), 678-686. </w:t>
      </w:r>
      <w:hyperlink r:id="rId25" w:history="1">
        <w:r w:rsidRPr="00801E77">
          <w:rPr>
            <w:rStyle w:val="Hyperlink"/>
            <w:rFonts w:ascii="Arial" w:hAnsi="Arial" w:cs="Arial"/>
            <w:sz w:val="20"/>
            <w:szCs w:val="20"/>
            <w:shd w:val="clear" w:color="auto" w:fill="FFFFFF"/>
          </w:rPr>
          <w:t>https://www.traumamon.com/article_168215.html</w:t>
        </w:r>
      </w:hyperlink>
    </w:p>
    <w:p w14:paraId="1F03B21D" w14:textId="77777777" w:rsidR="00CD5948" w:rsidRPr="00801E77" w:rsidRDefault="00CD5948" w:rsidP="00CD5948">
      <w:pPr>
        <w:ind w:left="720" w:hanging="720"/>
        <w:jc w:val="both"/>
        <w:rPr>
          <w:rFonts w:ascii="Arial" w:hAnsi="Arial" w:cs="Arial"/>
          <w:color w:val="222222"/>
          <w:sz w:val="20"/>
          <w:szCs w:val="20"/>
          <w:shd w:val="clear" w:color="auto" w:fill="FFFFFF"/>
        </w:rPr>
      </w:pPr>
      <w:r w:rsidRPr="00801E77">
        <w:rPr>
          <w:rFonts w:ascii="Arial" w:hAnsi="Arial" w:cs="Arial"/>
          <w:color w:val="222222"/>
          <w:sz w:val="20"/>
          <w:szCs w:val="20"/>
          <w:shd w:val="clear" w:color="auto" w:fill="FFFFFF"/>
        </w:rPr>
        <w:t>Kraft, M. A., &amp; Lyon, M. A. (2024). The rise and fall of the teaching profession: Prestige, interest, preparation, and satisfaction over the last half century. </w:t>
      </w:r>
      <w:r w:rsidRPr="00801E77">
        <w:rPr>
          <w:rFonts w:ascii="Arial" w:hAnsi="Arial" w:cs="Arial"/>
          <w:i/>
          <w:iCs/>
          <w:color w:val="222222"/>
          <w:sz w:val="20"/>
          <w:szCs w:val="20"/>
          <w:shd w:val="clear" w:color="auto" w:fill="FFFFFF"/>
        </w:rPr>
        <w:t>American Educational Research Journal</w:t>
      </w:r>
      <w:r w:rsidRPr="00801E77">
        <w:rPr>
          <w:rFonts w:ascii="Arial" w:hAnsi="Arial" w:cs="Arial"/>
          <w:color w:val="222222"/>
          <w:sz w:val="20"/>
          <w:szCs w:val="20"/>
          <w:shd w:val="clear" w:color="auto" w:fill="FFFFFF"/>
        </w:rPr>
        <w:t>, </w:t>
      </w:r>
      <w:r w:rsidRPr="00801E77">
        <w:rPr>
          <w:rFonts w:ascii="Arial" w:hAnsi="Arial" w:cs="Arial"/>
          <w:i/>
          <w:iCs/>
          <w:color w:val="222222"/>
          <w:sz w:val="20"/>
          <w:szCs w:val="20"/>
          <w:shd w:val="clear" w:color="auto" w:fill="FFFFFF"/>
        </w:rPr>
        <w:t>61</w:t>
      </w:r>
      <w:r w:rsidRPr="00801E77">
        <w:rPr>
          <w:rFonts w:ascii="Arial" w:hAnsi="Arial" w:cs="Arial"/>
          <w:color w:val="222222"/>
          <w:sz w:val="20"/>
          <w:szCs w:val="20"/>
          <w:shd w:val="clear" w:color="auto" w:fill="FFFFFF"/>
        </w:rPr>
        <w:t xml:space="preserve">(6), 1192-1236. </w:t>
      </w:r>
      <w:hyperlink r:id="rId26" w:history="1">
        <w:r w:rsidRPr="00801E77">
          <w:rPr>
            <w:rStyle w:val="Hyperlink"/>
            <w:rFonts w:ascii="Arial" w:hAnsi="Arial" w:cs="Arial"/>
            <w:sz w:val="20"/>
            <w:szCs w:val="20"/>
            <w:shd w:val="clear" w:color="auto" w:fill="FFFFFF"/>
          </w:rPr>
          <w:t>https://journals.sagepub.com/doi/abs/10.3102/00028312241276856</w:t>
        </w:r>
      </w:hyperlink>
    </w:p>
    <w:p w14:paraId="6BD4BB07" w14:textId="77777777" w:rsidR="00CD5948" w:rsidRPr="00801E77" w:rsidRDefault="00CD5948" w:rsidP="00CD5948">
      <w:pPr>
        <w:ind w:left="720" w:hanging="720"/>
        <w:jc w:val="both"/>
        <w:rPr>
          <w:rFonts w:ascii="Arial" w:hAnsi="Arial" w:cs="Arial"/>
          <w:color w:val="222222"/>
          <w:sz w:val="20"/>
          <w:szCs w:val="20"/>
          <w:shd w:val="clear" w:color="auto" w:fill="FFFFFF"/>
        </w:rPr>
      </w:pPr>
      <w:proofErr w:type="spellStart"/>
      <w:r w:rsidRPr="00801E77">
        <w:rPr>
          <w:rFonts w:ascii="Arial" w:hAnsi="Arial" w:cs="Arial"/>
          <w:color w:val="222222"/>
          <w:sz w:val="20"/>
          <w:szCs w:val="20"/>
          <w:shd w:val="clear" w:color="auto" w:fill="FFFFFF"/>
        </w:rPr>
        <w:t>Llorente-Marrón</w:t>
      </w:r>
      <w:proofErr w:type="spellEnd"/>
      <w:r w:rsidRPr="00801E77">
        <w:rPr>
          <w:rFonts w:ascii="Arial" w:hAnsi="Arial" w:cs="Arial"/>
          <w:color w:val="222222"/>
          <w:sz w:val="20"/>
          <w:szCs w:val="20"/>
          <w:shd w:val="clear" w:color="auto" w:fill="FFFFFF"/>
        </w:rPr>
        <w:t>, M., Díaz-Fernández, M., Méndez-Rodríguez, P., &amp; González Arias, R. (2020). Social vulnerability, gender and disasters. The case of Haiti in 2010. </w:t>
      </w:r>
      <w:r w:rsidRPr="00801E77">
        <w:rPr>
          <w:rFonts w:ascii="Arial" w:hAnsi="Arial" w:cs="Arial"/>
          <w:i/>
          <w:iCs/>
          <w:color w:val="222222"/>
          <w:sz w:val="20"/>
          <w:szCs w:val="20"/>
          <w:shd w:val="clear" w:color="auto" w:fill="FFFFFF"/>
        </w:rPr>
        <w:t>Sustainability</w:t>
      </w:r>
      <w:r w:rsidRPr="00801E77">
        <w:rPr>
          <w:rFonts w:ascii="Arial" w:hAnsi="Arial" w:cs="Arial"/>
          <w:color w:val="222222"/>
          <w:sz w:val="20"/>
          <w:szCs w:val="20"/>
          <w:shd w:val="clear" w:color="auto" w:fill="FFFFFF"/>
        </w:rPr>
        <w:t>, </w:t>
      </w:r>
      <w:r w:rsidRPr="00801E77">
        <w:rPr>
          <w:rFonts w:ascii="Arial" w:hAnsi="Arial" w:cs="Arial"/>
          <w:i/>
          <w:iCs/>
          <w:color w:val="222222"/>
          <w:sz w:val="20"/>
          <w:szCs w:val="20"/>
          <w:shd w:val="clear" w:color="auto" w:fill="FFFFFF"/>
        </w:rPr>
        <w:t>12</w:t>
      </w:r>
      <w:r w:rsidRPr="00801E77">
        <w:rPr>
          <w:rFonts w:ascii="Arial" w:hAnsi="Arial" w:cs="Arial"/>
          <w:color w:val="222222"/>
          <w:sz w:val="20"/>
          <w:szCs w:val="20"/>
          <w:shd w:val="clear" w:color="auto" w:fill="FFFFFF"/>
        </w:rPr>
        <w:t xml:space="preserve">(9), 3574. </w:t>
      </w:r>
      <w:hyperlink r:id="rId27" w:history="1">
        <w:r w:rsidRPr="00801E77">
          <w:rPr>
            <w:rStyle w:val="Hyperlink"/>
            <w:rFonts w:ascii="Arial" w:hAnsi="Arial" w:cs="Arial"/>
            <w:sz w:val="20"/>
            <w:szCs w:val="20"/>
            <w:shd w:val="clear" w:color="auto" w:fill="FFFFFF"/>
          </w:rPr>
          <w:t>https://www.mdpi.com/2071-1050/12/9/3574</w:t>
        </w:r>
      </w:hyperlink>
    </w:p>
    <w:p w14:paraId="5B17FA18" w14:textId="77777777" w:rsidR="00CD5948" w:rsidRPr="00801E77" w:rsidRDefault="00CD5948" w:rsidP="00CD5948">
      <w:pPr>
        <w:ind w:left="720" w:hanging="720"/>
        <w:jc w:val="both"/>
        <w:rPr>
          <w:rFonts w:ascii="Arial" w:hAnsi="Arial" w:cs="Arial"/>
          <w:color w:val="222222"/>
          <w:sz w:val="20"/>
          <w:szCs w:val="20"/>
          <w:shd w:val="clear" w:color="auto" w:fill="FFFFFF"/>
        </w:rPr>
      </w:pPr>
      <w:r w:rsidRPr="00801E77">
        <w:rPr>
          <w:rFonts w:ascii="Arial" w:hAnsi="Arial" w:cs="Arial"/>
          <w:color w:val="222222"/>
          <w:sz w:val="20"/>
          <w:szCs w:val="20"/>
          <w:shd w:val="clear" w:color="auto" w:fill="FFFFFF"/>
        </w:rPr>
        <w:t xml:space="preserve">Manayan, J. G. W. (2024). ASSESSING DAVAO CITY’S URBAN ROAD NETWORK VULNERABILITY: A SYSTEMATIC LITERATURE REVIEW. </w:t>
      </w:r>
      <w:hyperlink r:id="rId28" w:history="1">
        <w:r w:rsidRPr="00801E77">
          <w:rPr>
            <w:rStyle w:val="Hyperlink"/>
            <w:rFonts w:ascii="Arial" w:hAnsi="Arial" w:cs="Arial"/>
            <w:sz w:val="20"/>
            <w:szCs w:val="20"/>
            <w:shd w:val="clear" w:color="auto" w:fill="FFFFFF"/>
          </w:rPr>
          <w:t>https://www.researchgate.net/profile/Jessa-Grace-Manayan/publication/387179463_ASSESSING_DAVAO_CITY'S_URBAN_ROAD_NETWORK_VULNERABILITY_A_SYSTEMATIC_LITERATURE_REVIEW/links/67631a0f8cfcdf077fe476fa/ASSESSING-DAVAO-CITYS-URBAN-ROAD-NETWORK-VULNERABILITY-A-SYSTEMATIC-LITERATURE-REVIEW.pdf</w:t>
        </w:r>
      </w:hyperlink>
    </w:p>
    <w:p w14:paraId="41E262FB" w14:textId="77777777" w:rsidR="00CD5948" w:rsidRPr="00801E77" w:rsidRDefault="00CD5948" w:rsidP="00CD5948">
      <w:pPr>
        <w:ind w:left="720" w:hanging="720"/>
        <w:jc w:val="both"/>
        <w:rPr>
          <w:rFonts w:ascii="Arial" w:hAnsi="Arial" w:cs="Arial"/>
          <w:color w:val="222222"/>
          <w:sz w:val="20"/>
          <w:szCs w:val="20"/>
          <w:shd w:val="clear" w:color="auto" w:fill="FFFFFF"/>
        </w:rPr>
      </w:pPr>
      <w:r w:rsidRPr="00801E77">
        <w:rPr>
          <w:rFonts w:ascii="Arial" w:hAnsi="Arial" w:cs="Arial"/>
          <w:color w:val="222222"/>
          <w:sz w:val="20"/>
          <w:szCs w:val="20"/>
          <w:shd w:val="clear" w:color="auto" w:fill="FFFFFF"/>
        </w:rPr>
        <w:t xml:space="preserve">Patel, R. K., </w:t>
      </w:r>
      <w:proofErr w:type="spellStart"/>
      <w:r w:rsidRPr="00801E77">
        <w:rPr>
          <w:rFonts w:ascii="Arial" w:hAnsi="Arial" w:cs="Arial"/>
          <w:color w:val="222222"/>
          <w:sz w:val="20"/>
          <w:szCs w:val="20"/>
          <w:shd w:val="clear" w:color="auto" w:fill="FFFFFF"/>
        </w:rPr>
        <w:t>Kermanshachi</w:t>
      </w:r>
      <w:proofErr w:type="spellEnd"/>
      <w:r w:rsidRPr="00801E77">
        <w:rPr>
          <w:rFonts w:ascii="Arial" w:hAnsi="Arial" w:cs="Arial"/>
          <w:color w:val="222222"/>
          <w:sz w:val="20"/>
          <w:szCs w:val="20"/>
          <w:shd w:val="clear" w:color="auto" w:fill="FFFFFF"/>
        </w:rPr>
        <w:t xml:space="preserve">, S., &amp; </w:t>
      </w:r>
      <w:proofErr w:type="spellStart"/>
      <w:r w:rsidRPr="00801E77">
        <w:rPr>
          <w:rFonts w:ascii="Arial" w:hAnsi="Arial" w:cs="Arial"/>
          <w:color w:val="222222"/>
          <w:sz w:val="20"/>
          <w:szCs w:val="20"/>
          <w:shd w:val="clear" w:color="auto" w:fill="FFFFFF"/>
        </w:rPr>
        <w:t>Namian</w:t>
      </w:r>
      <w:proofErr w:type="spellEnd"/>
      <w:r w:rsidRPr="00801E77">
        <w:rPr>
          <w:rFonts w:ascii="Arial" w:hAnsi="Arial" w:cs="Arial"/>
          <w:color w:val="222222"/>
          <w:sz w:val="20"/>
          <w:szCs w:val="20"/>
          <w:shd w:val="clear" w:color="auto" w:fill="FFFFFF"/>
        </w:rPr>
        <w:t>, M. (2020). A socioeconomic-based analysis of disaster preparedness, awareness and education. In </w:t>
      </w:r>
      <w:r w:rsidRPr="00801E77">
        <w:rPr>
          <w:rFonts w:ascii="Arial" w:hAnsi="Arial" w:cs="Arial"/>
          <w:i/>
          <w:iCs/>
          <w:color w:val="222222"/>
          <w:sz w:val="20"/>
          <w:szCs w:val="20"/>
          <w:shd w:val="clear" w:color="auto" w:fill="FFFFFF"/>
        </w:rPr>
        <w:t>Creative Construction e-Conference 2020</w:t>
      </w:r>
      <w:r w:rsidRPr="00801E77">
        <w:rPr>
          <w:rFonts w:ascii="Arial" w:hAnsi="Arial" w:cs="Arial"/>
          <w:color w:val="222222"/>
          <w:sz w:val="20"/>
          <w:szCs w:val="20"/>
          <w:shd w:val="clear" w:color="auto" w:fill="FFFFFF"/>
        </w:rPr>
        <w:t xml:space="preserve"> (pp. 76-84). Budapest, Hungary: Budapest University of Technology and Economics. </w:t>
      </w:r>
      <w:hyperlink r:id="rId29" w:history="1">
        <w:r w:rsidRPr="00801E77">
          <w:rPr>
            <w:rStyle w:val="Hyperlink"/>
            <w:rFonts w:ascii="Arial" w:hAnsi="Arial" w:cs="Arial"/>
            <w:sz w:val="20"/>
            <w:szCs w:val="20"/>
            <w:shd w:val="clear" w:color="auto" w:fill="FFFFFF"/>
          </w:rPr>
          <w:t>https://www.researchgate.net/profile/Sharareh-Kermanshachi/publication/342318008_A_Socioeconomic-Based_Analysis_of_Disaster_Preparedness_Awareness_and_Education/links/5eed1f6c92851ce9e7f48184/A-Socioeconomic-Based-Analysis-of-Disaster-Preparedness-Awareness-and-Education.pdf</w:t>
        </w:r>
      </w:hyperlink>
    </w:p>
    <w:p w14:paraId="24FBFF1E" w14:textId="77777777" w:rsidR="00CD5948" w:rsidRPr="00801E77" w:rsidRDefault="00CD5948" w:rsidP="00CD5948">
      <w:pPr>
        <w:ind w:left="720" w:hanging="720"/>
        <w:jc w:val="both"/>
        <w:rPr>
          <w:rFonts w:ascii="Arial" w:hAnsi="Arial" w:cs="Arial"/>
          <w:color w:val="222222"/>
          <w:sz w:val="20"/>
          <w:szCs w:val="20"/>
          <w:shd w:val="clear" w:color="auto" w:fill="FFFFFF"/>
        </w:rPr>
      </w:pPr>
      <w:proofErr w:type="spellStart"/>
      <w:r w:rsidRPr="00801E77">
        <w:rPr>
          <w:rFonts w:ascii="Arial" w:hAnsi="Arial" w:cs="Arial"/>
          <w:color w:val="222222"/>
          <w:sz w:val="20"/>
          <w:szCs w:val="20"/>
          <w:shd w:val="clear" w:color="auto" w:fill="FFFFFF"/>
        </w:rPr>
        <w:t>Popovicki</w:t>
      </w:r>
      <w:proofErr w:type="spellEnd"/>
      <w:r w:rsidRPr="00801E77">
        <w:rPr>
          <w:rFonts w:ascii="Arial" w:hAnsi="Arial" w:cs="Arial"/>
          <w:color w:val="222222"/>
          <w:sz w:val="20"/>
          <w:szCs w:val="20"/>
          <w:shd w:val="clear" w:color="auto" w:fill="FFFFFF"/>
        </w:rPr>
        <w:t xml:space="preserve">, T. (2022). Enhancing Nature-based Solutions in Serbia. </w:t>
      </w:r>
      <w:hyperlink r:id="rId30" w:history="1">
        <w:r w:rsidRPr="00801E77">
          <w:rPr>
            <w:rStyle w:val="Hyperlink"/>
            <w:rFonts w:ascii="Arial" w:hAnsi="Arial" w:cs="Arial"/>
            <w:sz w:val="20"/>
            <w:szCs w:val="20"/>
            <w:shd w:val="clear" w:color="auto" w:fill="FFFFFF"/>
          </w:rPr>
          <w:t>https://portals.iucn.org/library/efiles/documents/2022-008-En.pdf</w:t>
        </w:r>
      </w:hyperlink>
    </w:p>
    <w:p w14:paraId="7276E3C2" w14:textId="77777777" w:rsidR="00CD5948" w:rsidRPr="00801E77" w:rsidRDefault="00CD5948" w:rsidP="00CD5948">
      <w:pPr>
        <w:ind w:left="720" w:hanging="720"/>
        <w:jc w:val="both"/>
        <w:rPr>
          <w:rFonts w:ascii="Arial" w:hAnsi="Arial" w:cs="Arial"/>
          <w:color w:val="222222"/>
          <w:sz w:val="20"/>
          <w:szCs w:val="20"/>
          <w:shd w:val="clear" w:color="auto" w:fill="FFFFFF"/>
        </w:rPr>
      </w:pPr>
      <w:r w:rsidRPr="00801E77">
        <w:rPr>
          <w:rFonts w:ascii="Arial" w:hAnsi="Arial" w:cs="Arial"/>
          <w:color w:val="222222"/>
          <w:sz w:val="20"/>
          <w:szCs w:val="20"/>
          <w:shd w:val="clear" w:color="auto" w:fill="FFFFFF"/>
        </w:rPr>
        <w:t>Sakurai, A. (2021). School safety management: international framework and Japanese practice. </w:t>
      </w:r>
      <w:r w:rsidRPr="00801E77">
        <w:rPr>
          <w:rFonts w:ascii="Arial" w:hAnsi="Arial" w:cs="Arial"/>
          <w:i/>
          <w:iCs/>
          <w:color w:val="222222"/>
          <w:sz w:val="20"/>
          <w:szCs w:val="20"/>
          <w:shd w:val="clear" w:color="auto" w:fill="FFFFFF"/>
        </w:rPr>
        <w:t>Risk management in East Asia: Systems and frontier issues</w:t>
      </w:r>
      <w:r w:rsidRPr="00801E77">
        <w:rPr>
          <w:rFonts w:ascii="Arial" w:hAnsi="Arial" w:cs="Arial"/>
          <w:color w:val="222222"/>
          <w:sz w:val="20"/>
          <w:szCs w:val="20"/>
          <w:shd w:val="clear" w:color="auto" w:fill="FFFFFF"/>
        </w:rPr>
        <w:t xml:space="preserve">, 167-195. </w:t>
      </w:r>
      <w:hyperlink r:id="rId31" w:history="1">
        <w:r w:rsidRPr="00801E77">
          <w:rPr>
            <w:rStyle w:val="Hyperlink"/>
            <w:rFonts w:ascii="Arial" w:hAnsi="Arial" w:cs="Arial"/>
            <w:sz w:val="20"/>
            <w:szCs w:val="20"/>
            <w:shd w:val="clear" w:color="auto" w:fill="FFFFFF"/>
          </w:rPr>
          <w:t>https://link.springer.com/chapter/10.1007/978-981-33-4586-7_8</w:t>
        </w:r>
      </w:hyperlink>
    </w:p>
    <w:p w14:paraId="560C7CB7" w14:textId="77777777" w:rsidR="00CD5948" w:rsidRPr="00801E77" w:rsidRDefault="00CD5948" w:rsidP="00CD5948">
      <w:pPr>
        <w:ind w:left="720" w:hanging="720"/>
        <w:rPr>
          <w:rFonts w:ascii="Arial" w:hAnsi="Arial" w:cs="Arial"/>
          <w:color w:val="222222"/>
          <w:sz w:val="20"/>
          <w:szCs w:val="20"/>
          <w:shd w:val="clear" w:color="auto" w:fill="FFFFFF"/>
        </w:rPr>
      </w:pPr>
      <w:r w:rsidRPr="00801E77">
        <w:rPr>
          <w:rFonts w:ascii="Arial" w:hAnsi="Arial" w:cs="Arial"/>
          <w:color w:val="222222"/>
          <w:sz w:val="20"/>
          <w:szCs w:val="20"/>
          <w:shd w:val="clear" w:color="auto" w:fill="FFFFFF"/>
        </w:rPr>
        <w:t>Shah, A. A., Gong, Z., Pal, I., Sun, R., Ullah, W., &amp; Wani, G. F. (2020). Disaster risk management insight on school emergency preparedness–a case study of Khyber Pakhtunkhwa, Pakistan. </w:t>
      </w:r>
      <w:r w:rsidRPr="00801E77">
        <w:rPr>
          <w:rFonts w:ascii="Arial" w:hAnsi="Arial" w:cs="Arial"/>
          <w:i/>
          <w:iCs/>
          <w:color w:val="222222"/>
          <w:sz w:val="20"/>
          <w:szCs w:val="20"/>
          <w:shd w:val="clear" w:color="auto" w:fill="FFFFFF"/>
        </w:rPr>
        <w:t>International Journal of Disaster Risk Reduction</w:t>
      </w:r>
      <w:r w:rsidRPr="00801E77">
        <w:rPr>
          <w:rFonts w:ascii="Arial" w:hAnsi="Arial" w:cs="Arial"/>
          <w:color w:val="222222"/>
          <w:sz w:val="20"/>
          <w:szCs w:val="20"/>
          <w:shd w:val="clear" w:color="auto" w:fill="FFFFFF"/>
        </w:rPr>
        <w:t>, </w:t>
      </w:r>
      <w:r w:rsidRPr="00801E77">
        <w:rPr>
          <w:rFonts w:ascii="Arial" w:hAnsi="Arial" w:cs="Arial"/>
          <w:i/>
          <w:iCs/>
          <w:color w:val="222222"/>
          <w:sz w:val="20"/>
          <w:szCs w:val="20"/>
          <w:shd w:val="clear" w:color="auto" w:fill="FFFFFF"/>
        </w:rPr>
        <w:t>51</w:t>
      </w:r>
      <w:r w:rsidRPr="00801E77">
        <w:rPr>
          <w:rFonts w:ascii="Arial" w:hAnsi="Arial" w:cs="Arial"/>
          <w:color w:val="222222"/>
          <w:sz w:val="20"/>
          <w:szCs w:val="20"/>
          <w:shd w:val="clear" w:color="auto" w:fill="FFFFFF"/>
        </w:rPr>
        <w:t xml:space="preserve">, 101805. </w:t>
      </w:r>
      <w:hyperlink r:id="rId32" w:history="1">
        <w:r w:rsidRPr="00801E77">
          <w:rPr>
            <w:rStyle w:val="Hyperlink"/>
            <w:rFonts w:ascii="Arial" w:hAnsi="Arial" w:cs="Arial"/>
            <w:sz w:val="20"/>
            <w:szCs w:val="20"/>
            <w:shd w:val="clear" w:color="auto" w:fill="FFFFFF"/>
          </w:rPr>
          <w:t>https://www.sciencedirect.com/science/article/pii/S2212420920313078</w:t>
        </w:r>
      </w:hyperlink>
    </w:p>
    <w:p w14:paraId="38196068" w14:textId="77777777" w:rsidR="00CD5948" w:rsidRPr="00801E77" w:rsidRDefault="00CD5948" w:rsidP="00CD5948">
      <w:pPr>
        <w:ind w:left="720" w:hanging="720"/>
        <w:jc w:val="both"/>
        <w:rPr>
          <w:rFonts w:ascii="Arial" w:hAnsi="Arial" w:cs="Arial"/>
          <w:color w:val="222222"/>
          <w:sz w:val="20"/>
          <w:szCs w:val="20"/>
          <w:shd w:val="clear" w:color="auto" w:fill="FFFFFF"/>
        </w:rPr>
      </w:pPr>
      <w:r w:rsidRPr="00801E77">
        <w:rPr>
          <w:rFonts w:ascii="Arial" w:hAnsi="Arial" w:cs="Arial"/>
          <w:color w:val="222222"/>
          <w:sz w:val="20"/>
          <w:szCs w:val="20"/>
          <w:shd w:val="clear" w:color="auto" w:fill="FFFFFF"/>
        </w:rPr>
        <w:t xml:space="preserve">Sims, S., Fletcher-Wood, H., O'Mara-Eves, A., Cottingham, S., Stansfield, C., Van </w:t>
      </w:r>
      <w:proofErr w:type="spellStart"/>
      <w:r w:rsidRPr="00801E77">
        <w:rPr>
          <w:rFonts w:ascii="Arial" w:hAnsi="Arial" w:cs="Arial"/>
          <w:color w:val="222222"/>
          <w:sz w:val="20"/>
          <w:szCs w:val="20"/>
          <w:shd w:val="clear" w:color="auto" w:fill="FFFFFF"/>
        </w:rPr>
        <w:t>Herwegen</w:t>
      </w:r>
      <w:proofErr w:type="spellEnd"/>
      <w:r w:rsidRPr="00801E77">
        <w:rPr>
          <w:rFonts w:ascii="Arial" w:hAnsi="Arial" w:cs="Arial"/>
          <w:color w:val="222222"/>
          <w:sz w:val="20"/>
          <w:szCs w:val="20"/>
          <w:shd w:val="clear" w:color="auto" w:fill="FFFFFF"/>
        </w:rPr>
        <w:t>, J., &amp; Anders, J. (2021). What are the characteristics of teacher professional development that increase pupil achievement? A systematic review and meta-analysis.</w:t>
      </w:r>
      <w:r w:rsidRPr="00801E77">
        <w:rPr>
          <w:sz w:val="20"/>
          <w:szCs w:val="20"/>
        </w:rPr>
        <w:t xml:space="preserve"> </w:t>
      </w:r>
      <w:hyperlink r:id="rId33" w:history="1">
        <w:r w:rsidRPr="00801E77">
          <w:rPr>
            <w:rStyle w:val="Hyperlink"/>
            <w:rFonts w:ascii="Arial" w:hAnsi="Arial" w:cs="Arial"/>
            <w:sz w:val="20"/>
            <w:szCs w:val="20"/>
            <w:shd w:val="clear" w:color="auto" w:fill="FFFFFF"/>
          </w:rPr>
          <w:t>https://discovery.ucl.ac.uk/id/eprint/10136274/1/Teacher-professional-development.pdf</w:t>
        </w:r>
      </w:hyperlink>
    </w:p>
    <w:p w14:paraId="40944D26" w14:textId="77777777" w:rsidR="00CD5948" w:rsidRPr="00801E77" w:rsidRDefault="00CD5948" w:rsidP="00CD5948">
      <w:pPr>
        <w:ind w:left="720" w:hanging="720"/>
        <w:jc w:val="both"/>
        <w:rPr>
          <w:rFonts w:ascii="Arial" w:eastAsia="Arial" w:hAnsi="Arial" w:cs="Arial"/>
          <w:color w:val="000000" w:themeColor="text1"/>
          <w:sz w:val="20"/>
          <w:szCs w:val="20"/>
        </w:rPr>
      </w:pPr>
      <w:r w:rsidRPr="00801E77">
        <w:rPr>
          <w:rFonts w:ascii="Arial" w:eastAsia="Arial" w:hAnsi="Arial" w:cs="Arial"/>
          <w:color w:val="000000" w:themeColor="text1"/>
          <w:sz w:val="20"/>
          <w:szCs w:val="20"/>
        </w:rPr>
        <w:lastRenderedPageBreak/>
        <w:t xml:space="preserve">United Nations Office for Disaster Risk Reduction. (2020). Human cost of disasters: An overview of the last 20 years (2000-2019). </w:t>
      </w:r>
      <w:hyperlink r:id="rId34" w:history="1">
        <w:r w:rsidRPr="00801E77">
          <w:rPr>
            <w:rStyle w:val="Hyperlink"/>
            <w:rFonts w:ascii="Arial" w:eastAsia="Arial" w:hAnsi="Arial" w:cs="Arial"/>
            <w:color w:val="000000" w:themeColor="text1"/>
            <w:sz w:val="20"/>
            <w:szCs w:val="20"/>
          </w:rPr>
          <w:t>https://www.undrr.org/publication/human-cost-disasters-overview-last-20-years-2000-2019 </w:t>
        </w:r>
      </w:hyperlink>
    </w:p>
    <w:p w14:paraId="14607CB4" w14:textId="77777777" w:rsidR="00CD5948" w:rsidRPr="00801E77" w:rsidRDefault="00CD5948" w:rsidP="00CD5948">
      <w:pPr>
        <w:ind w:left="720" w:hanging="720"/>
        <w:jc w:val="both"/>
        <w:rPr>
          <w:rFonts w:ascii="Arial" w:hAnsi="Arial" w:cs="Arial"/>
          <w:color w:val="222222"/>
          <w:sz w:val="20"/>
          <w:szCs w:val="20"/>
          <w:shd w:val="clear" w:color="auto" w:fill="FFFFFF"/>
        </w:rPr>
      </w:pPr>
      <w:r w:rsidRPr="00801E77">
        <w:rPr>
          <w:rFonts w:ascii="Arial" w:hAnsi="Arial" w:cs="Arial"/>
          <w:color w:val="222222"/>
          <w:sz w:val="20"/>
          <w:szCs w:val="20"/>
          <w:shd w:val="clear" w:color="auto" w:fill="FFFFFF"/>
        </w:rPr>
        <w:t xml:space="preserve">Ying, W. A. N. G., Yu, L. I. U., </w:t>
      </w:r>
      <w:proofErr w:type="spellStart"/>
      <w:r w:rsidRPr="00801E77">
        <w:rPr>
          <w:rFonts w:ascii="Arial" w:hAnsi="Arial" w:cs="Arial"/>
          <w:color w:val="222222"/>
          <w:sz w:val="20"/>
          <w:szCs w:val="20"/>
          <w:shd w:val="clear" w:color="auto" w:fill="FFFFFF"/>
        </w:rPr>
        <w:t>Mingfeng</w:t>
      </w:r>
      <w:proofErr w:type="spellEnd"/>
      <w:r w:rsidRPr="00801E77">
        <w:rPr>
          <w:rFonts w:ascii="Arial" w:hAnsi="Arial" w:cs="Arial"/>
          <w:color w:val="222222"/>
          <w:sz w:val="20"/>
          <w:szCs w:val="20"/>
          <w:shd w:val="clear" w:color="auto" w:fill="FFFFFF"/>
        </w:rPr>
        <w:t xml:space="preserve">, Y. U., Hui, W. A. N. G., </w:t>
      </w:r>
      <w:proofErr w:type="spellStart"/>
      <w:r w:rsidRPr="00801E77">
        <w:rPr>
          <w:rFonts w:ascii="Arial" w:hAnsi="Arial" w:cs="Arial"/>
          <w:color w:val="222222"/>
          <w:sz w:val="20"/>
          <w:szCs w:val="20"/>
          <w:shd w:val="clear" w:color="auto" w:fill="FFFFFF"/>
        </w:rPr>
        <w:t>Chaohua</w:t>
      </w:r>
      <w:proofErr w:type="spellEnd"/>
      <w:r w:rsidRPr="00801E77">
        <w:rPr>
          <w:rFonts w:ascii="Arial" w:hAnsi="Arial" w:cs="Arial"/>
          <w:color w:val="222222"/>
          <w:sz w:val="20"/>
          <w:szCs w:val="20"/>
          <w:shd w:val="clear" w:color="auto" w:fill="FFFFFF"/>
        </w:rPr>
        <w:t xml:space="preserve">, P. E. N. G., Xinying, N. I. A. N., ... &amp; </w:t>
      </w:r>
      <w:proofErr w:type="spellStart"/>
      <w:r w:rsidRPr="00801E77">
        <w:rPr>
          <w:rFonts w:ascii="Arial" w:hAnsi="Arial" w:cs="Arial"/>
          <w:color w:val="222222"/>
          <w:sz w:val="20"/>
          <w:szCs w:val="20"/>
          <w:shd w:val="clear" w:color="auto" w:fill="FFFFFF"/>
        </w:rPr>
        <w:t>Changyan</w:t>
      </w:r>
      <w:proofErr w:type="spellEnd"/>
      <w:r w:rsidRPr="00801E77">
        <w:rPr>
          <w:rFonts w:ascii="Arial" w:hAnsi="Arial" w:cs="Arial"/>
          <w:color w:val="222222"/>
          <w:sz w:val="20"/>
          <w:szCs w:val="20"/>
          <w:shd w:val="clear" w:color="auto" w:fill="FFFFFF"/>
        </w:rPr>
        <w:t>, L. I. (2023). Disaster preparedness among nurses in China: a cross-sectional study. </w:t>
      </w:r>
      <w:r w:rsidRPr="00801E77">
        <w:rPr>
          <w:rFonts w:ascii="Arial" w:hAnsi="Arial" w:cs="Arial"/>
          <w:i/>
          <w:iCs/>
          <w:color w:val="222222"/>
          <w:sz w:val="20"/>
          <w:szCs w:val="20"/>
          <w:shd w:val="clear" w:color="auto" w:fill="FFFFFF"/>
        </w:rPr>
        <w:t>Journal of Nursing Research</w:t>
      </w:r>
      <w:r w:rsidRPr="00801E77">
        <w:rPr>
          <w:rFonts w:ascii="Arial" w:hAnsi="Arial" w:cs="Arial"/>
          <w:color w:val="222222"/>
          <w:sz w:val="20"/>
          <w:szCs w:val="20"/>
          <w:shd w:val="clear" w:color="auto" w:fill="FFFFFF"/>
        </w:rPr>
        <w:t>, </w:t>
      </w:r>
      <w:r w:rsidRPr="00801E77">
        <w:rPr>
          <w:rFonts w:ascii="Arial" w:hAnsi="Arial" w:cs="Arial"/>
          <w:i/>
          <w:iCs/>
          <w:color w:val="222222"/>
          <w:sz w:val="20"/>
          <w:szCs w:val="20"/>
          <w:shd w:val="clear" w:color="auto" w:fill="FFFFFF"/>
        </w:rPr>
        <w:t>31</w:t>
      </w:r>
      <w:r w:rsidRPr="00801E77">
        <w:rPr>
          <w:rFonts w:ascii="Arial" w:hAnsi="Arial" w:cs="Arial"/>
          <w:color w:val="222222"/>
          <w:sz w:val="20"/>
          <w:szCs w:val="20"/>
          <w:shd w:val="clear" w:color="auto" w:fill="FFFFFF"/>
        </w:rPr>
        <w:t xml:space="preserve">(1), e255. </w:t>
      </w:r>
      <w:hyperlink r:id="rId35" w:history="1">
        <w:r w:rsidRPr="00801E77">
          <w:rPr>
            <w:rStyle w:val="Hyperlink"/>
            <w:rFonts w:ascii="Arial" w:hAnsi="Arial" w:cs="Arial"/>
            <w:sz w:val="20"/>
            <w:szCs w:val="20"/>
            <w:shd w:val="clear" w:color="auto" w:fill="FFFFFF"/>
          </w:rPr>
          <w:t>https://journals.lww.com/jnr-twna/fulltext/2023/02000/Disaster_Preparedness_Among_Nurses_in_China__A.5.aspx</w:t>
        </w:r>
      </w:hyperlink>
    </w:p>
    <w:p w14:paraId="56C3AF15" w14:textId="77777777" w:rsidR="00106DDD" w:rsidRDefault="00106DDD" w:rsidP="00106DDD"/>
    <w:p w14:paraId="3CF4CA2A" w14:textId="77777777" w:rsidR="007D038D" w:rsidRDefault="007D038D" w:rsidP="007D038D">
      <w:pPr>
        <w:ind w:left="720" w:hanging="720"/>
        <w:rPr>
          <w:rFonts w:ascii="Arial" w:hAnsi="Arial" w:cs="Arial"/>
          <w:color w:val="222222"/>
          <w:sz w:val="20"/>
          <w:szCs w:val="20"/>
          <w:shd w:val="clear" w:color="auto" w:fill="FFFFFF"/>
        </w:rPr>
      </w:pPr>
    </w:p>
    <w:p w14:paraId="15FC8D8B" w14:textId="77777777" w:rsidR="007D038D" w:rsidRDefault="007D038D" w:rsidP="007D038D">
      <w:pPr>
        <w:ind w:left="720" w:hanging="720"/>
        <w:rPr>
          <w:rFonts w:ascii="Arial" w:hAnsi="Arial" w:cs="Arial"/>
          <w:color w:val="222222"/>
          <w:sz w:val="20"/>
          <w:szCs w:val="20"/>
          <w:shd w:val="clear" w:color="auto" w:fill="FFFFFF"/>
        </w:rPr>
      </w:pPr>
    </w:p>
    <w:p w14:paraId="14CED0A3" w14:textId="77777777" w:rsidR="007D038D" w:rsidRDefault="007D038D" w:rsidP="007D038D">
      <w:pPr>
        <w:ind w:left="720" w:hanging="720"/>
        <w:rPr>
          <w:rFonts w:ascii="Arial" w:hAnsi="Arial" w:cs="Arial"/>
          <w:color w:val="222222"/>
          <w:sz w:val="20"/>
          <w:szCs w:val="20"/>
          <w:shd w:val="clear" w:color="auto" w:fill="FFFFFF"/>
        </w:rPr>
      </w:pPr>
    </w:p>
    <w:p w14:paraId="5D26A719" w14:textId="77777777" w:rsidR="007D038D" w:rsidRDefault="007D038D" w:rsidP="007D038D">
      <w:pPr>
        <w:ind w:left="720" w:hanging="720"/>
        <w:rPr>
          <w:rFonts w:ascii="Arial" w:hAnsi="Arial" w:cs="Arial"/>
          <w:color w:val="222222"/>
          <w:sz w:val="20"/>
          <w:szCs w:val="20"/>
          <w:shd w:val="clear" w:color="auto" w:fill="FFFFFF"/>
        </w:rPr>
      </w:pPr>
    </w:p>
    <w:p w14:paraId="2EE55887" w14:textId="77777777" w:rsidR="007D038D" w:rsidRDefault="007D038D" w:rsidP="007D038D">
      <w:pPr>
        <w:ind w:left="720" w:hanging="720"/>
      </w:pPr>
    </w:p>
    <w:p w14:paraId="778677F4" w14:textId="516B2A74" w:rsidR="00C63652" w:rsidRPr="00C63652" w:rsidRDefault="00C63652" w:rsidP="007D038D">
      <w:pPr>
        <w:ind w:left="720" w:hanging="720"/>
      </w:pPr>
    </w:p>
    <w:sectPr w:rsidR="00C63652" w:rsidRPr="00C63652" w:rsidSect="00261430">
      <w:headerReference w:type="even" r:id="rId36"/>
      <w:headerReference w:type="default" r:id="rId37"/>
      <w:footerReference w:type="default" r:id="rId38"/>
      <w:headerReference w:type="first" r:id="rId39"/>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2AF87" w14:textId="77777777" w:rsidR="00B700E1" w:rsidRDefault="00B700E1">
      <w:r>
        <w:separator/>
      </w:r>
    </w:p>
  </w:endnote>
  <w:endnote w:type="continuationSeparator" w:id="0">
    <w:p w14:paraId="531A326C" w14:textId="77777777" w:rsidR="00B700E1" w:rsidRDefault="00B7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19D52" w14:textId="77777777" w:rsidR="00261430" w:rsidRDefault="00261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8308C" w14:textId="77777777" w:rsidR="00261430" w:rsidRDefault="002614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7F36" w14:textId="67AFBF73" w:rsidR="00056E03" w:rsidRPr="00261430" w:rsidRDefault="00056E03" w:rsidP="002614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056E03" w:rsidRDefault="00056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9D467" w14:textId="77777777" w:rsidR="00B700E1" w:rsidRDefault="00B700E1">
      <w:r>
        <w:separator/>
      </w:r>
    </w:p>
  </w:footnote>
  <w:footnote w:type="continuationSeparator" w:id="0">
    <w:p w14:paraId="1B0DD62A" w14:textId="77777777" w:rsidR="00B700E1" w:rsidRDefault="00B70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B0A15" w14:textId="1D0D4ED3" w:rsidR="00261430" w:rsidRDefault="00B700E1">
    <w:pPr>
      <w:pStyle w:val="Header"/>
    </w:pPr>
    <w:r>
      <w:rPr>
        <w:noProof/>
      </w:rPr>
      <w:pict w14:anchorId="22A7DE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134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E0F3D" w14:textId="7A4E009E" w:rsidR="00261430" w:rsidRDefault="00B700E1">
    <w:pPr>
      <w:pStyle w:val="Header"/>
    </w:pPr>
    <w:r>
      <w:rPr>
        <w:noProof/>
      </w:rPr>
      <w:pict w14:anchorId="4753F0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134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2925A029" w:rsidR="00056E03" w:rsidRDefault="00B700E1">
    <w:pPr>
      <w:ind w:left="2160"/>
      <w:jc w:val="center"/>
      <w:rPr>
        <w:rFonts w:eastAsia="Calibri"/>
        <w:i/>
        <w:sz w:val="18"/>
        <w:szCs w:val="22"/>
      </w:rPr>
    </w:pPr>
    <w:r>
      <w:rPr>
        <w:noProof/>
      </w:rPr>
      <w:pict w14:anchorId="3E1E3D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134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2FE390C6" w14:textId="77777777" w:rsidR="00056E03" w:rsidRDefault="00056E03">
    <w:pPr>
      <w:ind w:left="4320"/>
      <w:rPr>
        <w:rFonts w:eastAsia="Calibri"/>
        <w:i/>
        <w:sz w:val="18"/>
        <w:szCs w:val="22"/>
      </w:rPr>
    </w:pPr>
    <w:r>
      <w:rPr>
        <w:rFonts w:eastAsia="Calibri"/>
        <w:i/>
        <w:sz w:val="18"/>
        <w:szCs w:val="22"/>
      </w:rPr>
      <w:t xml:space="preserve">.     </w:t>
    </w:r>
  </w:p>
  <w:p w14:paraId="4835D4B8" w14:textId="77777777" w:rsidR="00056E03" w:rsidRDefault="00056E03">
    <w:pPr>
      <w:jc w:val="center"/>
      <w:rPr>
        <w:rFonts w:eastAsia="Calibri"/>
        <w:i/>
        <w:sz w:val="18"/>
        <w:szCs w:val="22"/>
      </w:rPr>
    </w:pPr>
    <w:r>
      <w:rPr>
        <w:rFonts w:eastAsia="Calibri"/>
        <w:i/>
        <w:sz w:val="18"/>
        <w:szCs w:val="22"/>
      </w:rPr>
      <w:t>.</w:t>
    </w:r>
  </w:p>
  <w:p w14:paraId="542E7A0C" w14:textId="77777777" w:rsidR="00056E03" w:rsidRDefault="00056E03">
    <w:pPr>
      <w:spacing w:after="200"/>
      <w:jc w:val="center"/>
      <w:rPr>
        <w:rFonts w:eastAsia="Calibri"/>
        <w:b/>
        <w:i/>
        <w:sz w:val="32"/>
        <w:szCs w:val="22"/>
      </w:rPr>
    </w:pPr>
    <w:r>
      <w:rPr>
        <w:rFonts w:eastAsia="Calibri"/>
        <w:b/>
        <w:i/>
        <w:sz w:val="32"/>
        <w:szCs w:val="22"/>
      </w:rPr>
      <w:t xml:space="preserve">              . </w:t>
    </w:r>
  </w:p>
  <w:p w14:paraId="160D0B15" w14:textId="77777777" w:rsidR="00056E03" w:rsidRDefault="00056E03">
    <w:pPr>
      <w:jc w:val="center"/>
      <w:rPr>
        <w:rFonts w:eastAsia="Calibri"/>
        <w:i/>
        <w:sz w:val="18"/>
        <w:szCs w:val="22"/>
      </w:rPr>
    </w:pPr>
    <w:r>
      <w:rPr>
        <w:rFonts w:eastAsia="Calibri"/>
        <w:i/>
        <w:sz w:val="18"/>
        <w:szCs w:val="22"/>
      </w:rPr>
      <w:t xml:space="preserve">                     </w:t>
    </w:r>
  </w:p>
  <w:p w14:paraId="0D6EED9D" w14:textId="77777777" w:rsidR="00056E03" w:rsidRDefault="00056E03">
    <w:pPr>
      <w:tabs>
        <w:tab w:val="left" w:pos="2145"/>
      </w:tabs>
      <w:rPr>
        <w:rFonts w:eastAsia="Calibri"/>
        <w:i/>
        <w:sz w:val="18"/>
        <w:szCs w:val="22"/>
      </w:rPr>
    </w:pPr>
    <w:r>
      <w:rPr>
        <w:rFonts w:eastAsia="Calibri"/>
        <w:i/>
        <w:sz w:val="18"/>
        <w:szCs w:val="22"/>
      </w:rPr>
      <w:tab/>
      <w:t>.</w:t>
    </w:r>
  </w:p>
  <w:p w14:paraId="739E505C" w14:textId="77777777" w:rsidR="00056E03" w:rsidRDefault="00056E0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9831" w14:textId="71E4F274" w:rsidR="00261430" w:rsidRDefault="00B700E1">
    <w:pPr>
      <w:pStyle w:val="Header"/>
    </w:pPr>
    <w:r>
      <w:rPr>
        <w:noProof/>
      </w:rPr>
      <w:pict w14:anchorId="1ABA2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134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47963" w14:textId="278240C9" w:rsidR="00261430" w:rsidRDefault="00B700E1">
    <w:pPr>
      <w:pStyle w:val="Header"/>
    </w:pPr>
    <w:r>
      <w:rPr>
        <w:noProof/>
      </w:rPr>
      <w:pict w14:anchorId="1B159F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134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C1086" w14:textId="21CC98B1" w:rsidR="00261430" w:rsidRDefault="00B700E1">
    <w:pPr>
      <w:pStyle w:val="Header"/>
    </w:pPr>
    <w:r>
      <w:rPr>
        <w:noProof/>
      </w:rPr>
      <w:pict w14:anchorId="5AC3BA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134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kFAJlvtEQtAAAA"/>
  </w:docVars>
  <w:rsids>
    <w:rsidRoot w:val="00AA6219"/>
    <w:rsid w:val="00000F8F"/>
    <w:rsid w:val="000017FA"/>
    <w:rsid w:val="00004CD1"/>
    <w:rsid w:val="00005BE3"/>
    <w:rsid w:val="00007102"/>
    <w:rsid w:val="000077E4"/>
    <w:rsid w:val="00007978"/>
    <w:rsid w:val="000110B5"/>
    <w:rsid w:val="00012B12"/>
    <w:rsid w:val="00014095"/>
    <w:rsid w:val="00015AC8"/>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5D31"/>
    <w:rsid w:val="00056E03"/>
    <w:rsid w:val="0005727A"/>
    <w:rsid w:val="00057C65"/>
    <w:rsid w:val="000603D4"/>
    <w:rsid w:val="00061339"/>
    <w:rsid w:val="000628C7"/>
    <w:rsid w:val="000647E2"/>
    <w:rsid w:val="00065B83"/>
    <w:rsid w:val="0006706E"/>
    <w:rsid w:val="0006786A"/>
    <w:rsid w:val="00067A0F"/>
    <w:rsid w:val="00067B98"/>
    <w:rsid w:val="00073A00"/>
    <w:rsid w:val="00073DA5"/>
    <w:rsid w:val="00074927"/>
    <w:rsid w:val="000763D2"/>
    <w:rsid w:val="00081ACB"/>
    <w:rsid w:val="000827FD"/>
    <w:rsid w:val="00084A16"/>
    <w:rsid w:val="00090DFA"/>
    <w:rsid w:val="00092E71"/>
    <w:rsid w:val="00095BAE"/>
    <w:rsid w:val="00095F34"/>
    <w:rsid w:val="00096483"/>
    <w:rsid w:val="00096CB5"/>
    <w:rsid w:val="00096E7E"/>
    <w:rsid w:val="000A2230"/>
    <w:rsid w:val="000A3474"/>
    <w:rsid w:val="000A3EDA"/>
    <w:rsid w:val="000A47FA"/>
    <w:rsid w:val="000A61FE"/>
    <w:rsid w:val="000A65D3"/>
    <w:rsid w:val="000A77F6"/>
    <w:rsid w:val="000B03FC"/>
    <w:rsid w:val="000B1981"/>
    <w:rsid w:val="000B1E33"/>
    <w:rsid w:val="000B25F2"/>
    <w:rsid w:val="000B6BC1"/>
    <w:rsid w:val="000B75B1"/>
    <w:rsid w:val="000B7B2C"/>
    <w:rsid w:val="000C43E4"/>
    <w:rsid w:val="000C5AE7"/>
    <w:rsid w:val="000C6E8D"/>
    <w:rsid w:val="000C70E2"/>
    <w:rsid w:val="000C73EB"/>
    <w:rsid w:val="000D04BF"/>
    <w:rsid w:val="000D2384"/>
    <w:rsid w:val="000D23E6"/>
    <w:rsid w:val="000D31C5"/>
    <w:rsid w:val="000D5F80"/>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097"/>
    <w:rsid w:val="000F64BC"/>
    <w:rsid w:val="000F668F"/>
    <w:rsid w:val="000F7123"/>
    <w:rsid w:val="00100CCE"/>
    <w:rsid w:val="00103357"/>
    <w:rsid w:val="00106DDD"/>
    <w:rsid w:val="00107572"/>
    <w:rsid w:val="0011125C"/>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3F8B"/>
    <w:rsid w:val="00145F26"/>
    <w:rsid w:val="00146358"/>
    <w:rsid w:val="0014660B"/>
    <w:rsid w:val="00147E94"/>
    <w:rsid w:val="00147F5C"/>
    <w:rsid w:val="00151F8F"/>
    <w:rsid w:val="001542F7"/>
    <w:rsid w:val="001550F4"/>
    <w:rsid w:val="001568A2"/>
    <w:rsid w:val="0016056F"/>
    <w:rsid w:val="00161B3A"/>
    <w:rsid w:val="00162528"/>
    <w:rsid w:val="001627B6"/>
    <w:rsid w:val="00163510"/>
    <w:rsid w:val="00163988"/>
    <w:rsid w:val="00163BC4"/>
    <w:rsid w:val="00171A32"/>
    <w:rsid w:val="001720E7"/>
    <w:rsid w:val="001744EE"/>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3779"/>
    <w:rsid w:val="001A5CAA"/>
    <w:rsid w:val="001B0427"/>
    <w:rsid w:val="001B0E69"/>
    <w:rsid w:val="001B1ACC"/>
    <w:rsid w:val="001B41D7"/>
    <w:rsid w:val="001B489B"/>
    <w:rsid w:val="001B785F"/>
    <w:rsid w:val="001B7F30"/>
    <w:rsid w:val="001C12F6"/>
    <w:rsid w:val="001C2FC3"/>
    <w:rsid w:val="001C4AD5"/>
    <w:rsid w:val="001C572B"/>
    <w:rsid w:val="001C71EE"/>
    <w:rsid w:val="001C73EE"/>
    <w:rsid w:val="001D0BDE"/>
    <w:rsid w:val="001D10E2"/>
    <w:rsid w:val="001D3A51"/>
    <w:rsid w:val="001D4380"/>
    <w:rsid w:val="001D7EA8"/>
    <w:rsid w:val="001E10D2"/>
    <w:rsid w:val="001E25B4"/>
    <w:rsid w:val="001E3513"/>
    <w:rsid w:val="001E44FE"/>
    <w:rsid w:val="001E5B29"/>
    <w:rsid w:val="001E6121"/>
    <w:rsid w:val="001E7EB7"/>
    <w:rsid w:val="001F7DC4"/>
    <w:rsid w:val="001F7F3C"/>
    <w:rsid w:val="00200595"/>
    <w:rsid w:val="00200CF7"/>
    <w:rsid w:val="0020136A"/>
    <w:rsid w:val="002039CD"/>
    <w:rsid w:val="00203AF9"/>
    <w:rsid w:val="00204835"/>
    <w:rsid w:val="002074B8"/>
    <w:rsid w:val="00207C55"/>
    <w:rsid w:val="00210C28"/>
    <w:rsid w:val="00211C41"/>
    <w:rsid w:val="002170C0"/>
    <w:rsid w:val="00221348"/>
    <w:rsid w:val="00224DE5"/>
    <w:rsid w:val="002274C1"/>
    <w:rsid w:val="002309B8"/>
    <w:rsid w:val="00231920"/>
    <w:rsid w:val="0023195C"/>
    <w:rsid w:val="0023713E"/>
    <w:rsid w:val="00237589"/>
    <w:rsid w:val="00240CE3"/>
    <w:rsid w:val="00241741"/>
    <w:rsid w:val="0024282C"/>
    <w:rsid w:val="00245CB7"/>
    <w:rsid w:val="002460DC"/>
    <w:rsid w:val="00246DC7"/>
    <w:rsid w:val="00250985"/>
    <w:rsid w:val="0025105D"/>
    <w:rsid w:val="00251748"/>
    <w:rsid w:val="00251946"/>
    <w:rsid w:val="002556F6"/>
    <w:rsid w:val="00256452"/>
    <w:rsid w:val="00256882"/>
    <w:rsid w:val="00261430"/>
    <w:rsid w:val="002622D4"/>
    <w:rsid w:val="00264A59"/>
    <w:rsid w:val="00266E67"/>
    <w:rsid w:val="00267833"/>
    <w:rsid w:val="00271F07"/>
    <w:rsid w:val="00274899"/>
    <w:rsid w:val="002755D7"/>
    <w:rsid w:val="002814B3"/>
    <w:rsid w:val="00283105"/>
    <w:rsid w:val="00283BED"/>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6918"/>
    <w:rsid w:val="002D7B25"/>
    <w:rsid w:val="002E0D56"/>
    <w:rsid w:val="002E2C17"/>
    <w:rsid w:val="002E3D6C"/>
    <w:rsid w:val="002E4205"/>
    <w:rsid w:val="002F2031"/>
    <w:rsid w:val="002F2D06"/>
    <w:rsid w:val="002F3C26"/>
    <w:rsid w:val="002F42EB"/>
    <w:rsid w:val="002F5C4B"/>
    <w:rsid w:val="002F5E64"/>
    <w:rsid w:val="0030202C"/>
    <w:rsid w:val="00303A6C"/>
    <w:rsid w:val="00303E14"/>
    <w:rsid w:val="00304434"/>
    <w:rsid w:val="00304469"/>
    <w:rsid w:val="003074EB"/>
    <w:rsid w:val="003078F7"/>
    <w:rsid w:val="00314853"/>
    <w:rsid w:val="00315186"/>
    <w:rsid w:val="00315729"/>
    <w:rsid w:val="003157D5"/>
    <w:rsid w:val="00315947"/>
    <w:rsid w:val="003207E7"/>
    <w:rsid w:val="00320B81"/>
    <w:rsid w:val="003211AC"/>
    <w:rsid w:val="00321D38"/>
    <w:rsid w:val="003227FA"/>
    <w:rsid w:val="00323BB4"/>
    <w:rsid w:val="003248E3"/>
    <w:rsid w:val="00324CBC"/>
    <w:rsid w:val="00324DE7"/>
    <w:rsid w:val="00325EA8"/>
    <w:rsid w:val="00326909"/>
    <w:rsid w:val="0033158A"/>
    <w:rsid w:val="0033343E"/>
    <w:rsid w:val="00333690"/>
    <w:rsid w:val="003340B8"/>
    <w:rsid w:val="00337044"/>
    <w:rsid w:val="003377DA"/>
    <w:rsid w:val="00340616"/>
    <w:rsid w:val="0034085D"/>
    <w:rsid w:val="0034099F"/>
    <w:rsid w:val="00340BF5"/>
    <w:rsid w:val="0034224A"/>
    <w:rsid w:val="00344502"/>
    <w:rsid w:val="003455D7"/>
    <w:rsid w:val="00346014"/>
    <w:rsid w:val="0034653D"/>
    <w:rsid w:val="003466A1"/>
    <w:rsid w:val="003512C2"/>
    <w:rsid w:val="00351B03"/>
    <w:rsid w:val="00351E2F"/>
    <w:rsid w:val="00351F41"/>
    <w:rsid w:val="0035201E"/>
    <w:rsid w:val="003541EC"/>
    <w:rsid w:val="00356142"/>
    <w:rsid w:val="0036076B"/>
    <w:rsid w:val="00362B79"/>
    <w:rsid w:val="00362D97"/>
    <w:rsid w:val="00363B3A"/>
    <w:rsid w:val="00363CA7"/>
    <w:rsid w:val="00371430"/>
    <w:rsid w:val="00371FB6"/>
    <w:rsid w:val="003731F4"/>
    <w:rsid w:val="003763C1"/>
    <w:rsid w:val="00376A55"/>
    <w:rsid w:val="00376BBE"/>
    <w:rsid w:val="00377430"/>
    <w:rsid w:val="00377AD0"/>
    <w:rsid w:val="0038437D"/>
    <w:rsid w:val="00384B44"/>
    <w:rsid w:val="003872C9"/>
    <w:rsid w:val="0039224F"/>
    <w:rsid w:val="00394EAF"/>
    <w:rsid w:val="00395884"/>
    <w:rsid w:val="00395955"/>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0907"/>
    <w:rsid w:val="003C3D0B"/>
    <w:rsid w:val="003C4335"/>
    <w:rsid w:val="003C44A6"/>
    <w:rsid w:val="003C4C86"/>
    <w:rsid w:val="003C6258"/>
    <w:rsid w:val="003C6363"/>
    <w:rsid w:val="003D154D"/>
    <w:rsid w:val="003D171B"/>
    <w:rsid w:val="003D2D0A"/>
    <w:rsid w:val="003D3677"/>
    <w:rsid w:val="003D4C18"/>
    <w:rsid w:val="003D61C5"/>
    <w:rsid w:val="003D6BA6"/>
    <w:rsid w:val="003D7548"/>
    <w:rsid w:val="003D7E45"/>
    <w:rsid w:val="003E2904"/>
    <w:rsid w:val="003E3399"/>
    <w:rsid w:val="003E37A2"/>
    <w:rsid w:val="003E467A"/>
    <w:rsid w:val="003E49AD"/>
    <w:rsid w:val="003E671C"/>
    <w:rsid w:val="003E7C0F"/>
    <w:rsid w:val="003F10CF"/>
    <w:rsid w:val="003F2281"/>
    <w:rsid w:val="003F3B63"/>
    <w:rsid w:val="003F760A"/>
    <w:rsid w:val="00401927"/>
    <w:rsid w:val="00403CB1"/>
    <w:rsid w:val="004040B3"/>
    <w:rsid w:val="00404135"/>
    <w:rsid w:val="0041027F"/>
    <w:rsid w:val="00410AB7"/>
    <w:rsid w:val="00412475"/>
    <w:rsid w:val="0041280F"/>
    <w:rsid w:val="004138D3"/>
    <w:rsid w:val="00415D76"/>
    <w:rsid w:val="00416DDE"/>
    <w:rsid w:val="00422769"/>
    <w:rsid w:val="00423789"/>
    <w:rsid w:val="00430496"/>
    <w:rsid w:val="00432C42"/>
    <w:rsid w:val="00432DD0"/>
    <w:rsid w:val="00434182"/>
    <w:rsid w:val="004346E5"/>
    <w:rsid w:val="00434ED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A3"/>
    <w:rsid w:val="004653D0"/>
    <w:rsid w:val="004658C8"/>
    <w:rsid w:val="00465C00"/>
    <w:rsid w:val="00465DA5"/>
    <w:rsid w:val="00466478"/>
    <w:rsid w:val="00470E83"/>
    <w:rsid w:val="00471A80"/>
    <w:rsid w:val="004735A4"/>
    <w:rsid w:val="00474519"/>
    <w:rsid w:val="00483372"/>
    <w:rsid w:val="0048547F"/>
    <w:rsid w:val="00486F48"/>
    <w:rsid w:val="00490B0B"/>
    <w:rsid w:val="00491EFD"/>
    <w:rsid w:val="00495915"/>
    <w:rsid w:val="004B0522"/>
    <w:rsid w:val="004B1A50"/>
    <w:rsid w:val="004B1AFD"/>
    <w:rsid w:val="004B72AD"/>
    <w:rsid w:val="004C0CFF"/>
    <w:rsid w:val="004C0FB0"/>
    <w:rsid w:val="004C23DD"/>
    <w:rsid w:val="004C482A"/>
    <w:rsid w:val="004C6530"/>
    <w:rsid w:val="004D07E8"/>
    <w:rsid w:val="004D0827"/>
    <w:rsid w:val="004D0C87"/>
    <w:rsid w:val="004D305E"/>
    <w:rsid w:val="004D4277"/>
    <w:rsid w:val="004D4879"/>
    <w:rsid w:val="004E1DA9"/>
    <w:rsid w:val="004E21A0"/>
    <w:rsid w:val="004E5345"/>
    <w:rsid w:val="004E5924"/>
    <w:rsid w:val="004E6386"/>
    <w:rsid w:val="004F0467"/>
    <w:rsid w:val="004F2D55"/>
    <w:rsid w:val="004F45E4"/>
    <w:rsid w:val="004F7E11"/>
    <w:rsid w:val="00500D35"/>
    <w:rsid w:val="00502516"/>
    <w:rsid w:val="00502C0C"/>
    <w:rsid w:val="00502D46"/>
    <w:rsid w:val="00503ADC"/>
    <w:rsid w:val="00504CAB"/>
    <w:rsid w:val="00505231"/>
    <w:rsid w:val="00505F06"/>
    <w:rsid w:val="00506828"/>
    <w:rsid w:val="0050761B"/>
    <w:rsid w:val="00507A73"/>
    <w:rsid w:val="00517AFC"/>
    <w:rsid w:val="00523F46"/>
    <w:rsid w:val="00524ED0"/>
    <w:rsid w:val="0053056E"/>
    <w:rsid w:val="0053144C"/>
    <w:rsid w:val="00531BB9"/>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7306"/>
    <w:rsid w:val="00570131"/>
    <w:rsid w:val="0057110B"/>
    <w:rsid w:val="00572250"/>
    <w:rsid w:val="00573D3E"/>
    <w:rsid w:val="00574C91"/>
    <w:rsid w:val="00575E98"/>
    <w:rsid w:val="005811D6"/>
    <w:rsid w:val="00581800"/>
    <w:rsid w:val="00582069"/>
    <w:rsid w:val="00587F26"/>
    <w:rsid w:val="00590BF3"/>
    <w:rsid w:val="00591549"/>
    <w:rsid w:val="005923EA"/>
    <w:rsid w:val="00592DF4"/>
    <w:rsid w:val="005A2D10"/>
    <w:rsid w:val="005A463E"/>
    <w:rsid w:val="005A4C3F"/>
    <w:rsid w:val="005A6405"/>
    <w:rsid w:val="005A6625"/>
    <w:rsid w:val="005B0E96"/>
    <w:rsid w:val="005B1BAF"/>
    <w:rsid w:val="005B222E"/>
    <w:rsid w:val="005B2E0E"/>
    <w:rsid w:val="005B3F31"/>
    <w:rsid w:val="005B5EA4"/>
    <w:rsid w:val="005C2662"/>
    <w:rsid w:val="005C2AB0"/>
    <w:rsid w:val="005C3039"/>
    <w:rsid w:val="005C456F"/>
    <w:rsid w:val="005C540B"/>
    <w:rsid w:val="005C5498"/>
    <w:rsid w:val="005C6F1A"/>
    <w:rsid w:val="005C784C"/>
    <w:rsid w:val="005D17F6"/>
    <w:rsid w:val="005D1CBB"/>
    <w:rsid w:val="005D28C5"/>
    <w:rsid w:val="005D2C58"/>
    <w:rsid w:val="005D4AE9"/>
    <w:rsid w:val="005D5C0A"/>
    <w:rsid w:val="005D5F0B"/>
    <w:rsid w:val="005D71AE"/>
    <w:rsid w:val="005E2A7F"/>
    <w:rsid w:val="005E5539"/>
    <w:rsid w:val="005E6376"/>
    <w:rsid w:val="005F3517"/>
    <w:rsid w:val="005F3FD1"/>
    <w:rsid w:val="005F4FB1"/>
    <w:rsid w:val="005F5CD3"/>
    <w:rsid w:val="005F7B39"/>
    <w:rsid w:val="006013F0"/>
    <w:rsid w:val="00602BF5"/>
    <w:rsid w:val="006039E7"/>
    <w:rsid w:val="00604A7A"/>
    <w:rsid w:val="0060632C"/>
    <w:rsid w:val="00606EB7"/>
    <w:rsid w:val="00611918"/>
    <w:rsid w:val="00612546"/>
    <w:rsid w:val="0061357D"/>
    <w:rsid w:val="00613CF9"/>
    <w:rsid w:val="00615452"/>
    <w:rsid w:val="006162E2"/>
    <w:rsid w:val="00617FDD"/>
    <w:rsid w:val="00620108"/>
    <w:rsid w:val="006203C5"/>
    <w:rsid w:val="00621239"/>
    <w:rsid w:val="006214F1"/>
    <w:rsid w:val="00621CBF"/>
    <w:rsid w:val="00622252"/>
    <w:rsid w:val="0062246A"/>
    <w:rsid w:val="00624014"/>
    <w:rsid w:val="006264DB"/>
    <w:rsid w:val="006273A5"/>
    <w:rsid w:val="0063203C"/>
    <w:rsid w:val="00633614"/>
    <w:rsid w:val="00633D23"/>
    <w:rsid w:val="00633F68"/>
    <w:rsid w:val="00635BF6"/>
    <w:rsid w:val="00636EB2"/>
    <w:rsid w:val="006375B8"/>
    <w:rsid w:val="00641362"/>
    <w:rsid w:val="00641364"/>
    <w:rsid w:val="00641370"/>
    <w:rsid w:val="00641BF9"/>
    <w:rsid w:val="00642019"/>
    <w:rsid w:val="00642BE9"/>
    <w:rsid w:val="0064327B"/>
    <w:rsid w:val="0065144C"/>
    <w:rsid w:val="00651627"/>
    <w:rsid w:val="0065364D"/>
    <w:rsid w:val="0065384F"/>
    <w:rsid w:val="00653EC9"/>
    <w:rsid w:val="006543BB"/>
    <w:rsid w:val="00654533"/>
    <w:rsid w:val="00655095"/>
    <w:rsid w:val="00657A66"/>
    <w:rsid w:val="00663234"/>
    <w:rsid w:val="0066510A"/>
    <w:rsid w:val="00665A47"/>
    <w:rsid w:val="00665B52"/>
    <w:rsid w:val="00665BF0"/>
    <w:rsid w:val="00665D1C"/>
    <w:rsid w:val="006706E9"/>
    <w:rsid w:val="00673F9F"/>
    <w:rsid w:val="00681775"/>
    <w:rsid w:val="00681E63"/>
    <w:rsid w:val="00682376"/>
    <w:rsid w:val="00682A06"/>
    <w:rsid w:val="00683035"/>
    <w:rsid w:val="00686953"/>
    <w:rsid w:val="00686A69"/>
    <w:rsid w:val="00687DEA"/>
    <w:rsid w:val="00687E67"/>
    <w:rsid w:val="00687FCD"/>
    <w:rsid w:val="00692B46"/>
    <w:rsid w:val="006944BD"/>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66D1"/>
    <w:rsid w:val="006B7388"/>
    <w:rsid w:val="006B77E9"/>
    <w:rsid w:val="006B77F3"/>
    <w:rsid w:val="006C0110"/>
    <w:rsid w:val="006C24B2"/>
    <w:rsid w:val="006C294F"/>
    <w:rsid w:val="006C3422"/>
    <w:rsid w:val="006C6977"/>
    <w:rsid w:val="006C6D2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4528"/>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D13"/>
    <w:rsid w:val="00742E2C"/>
    <w:rsid w:val="00744278"/>
    <w:rsid w:val="00745358"/>
    <w:rsid w:val="0074551A"/>
    <w:rsid w:val="00746A58"/>
    <w:rsid w:val="00746E59"/>
    <w:rsid w:val="0074780A"/>
    <w:rsid w:val="00754C9A"/>
    <w:rsid w:val="00754DDF"/>
    <w:rsid w:val="0075599A"/>
    <w:rsid w:val="00755B57"/>
    <w:rsid w:val="00756316"/>
    <w:rsid w:val="00756864"/>
    <w:rsid w:val="0075735E"/>
    <w:rsid w:val="00757F7F"/>
    <w:rsid w:val="00761D52"/>
    <w:rsid w:val="00764E58"/>
    <w:rsid w:val="00766500"/>
    <w:rsid w:val="00766599"/>
    <w:rsid w:val="0076770C"/>
    <w:rsid w:val="007701E3"/>
    <w:rsid w:val="00771EA9"/>
    <w:rsid w:val="00772172"/>
    <w:rsid w:val="00776F82"/>
    <w:rsid w:val="0077749E"/>
    <w:rsid w:val="00777894"/>
    <w:rsid w:val="00777EFB"/>
    <w:rsid w:val="00781D5E"/>
    <w:rsid w:val="00781F66"/>
    <w:rsid w:val="00790ADA"/>
    <w:rsid w:val="00791230"/>
    <w:rsid w:val="0079158F"/>
    <w:rsid w:val="00793F54"/>
    <w:rsid w:val="007969E9"/>
    <w:rsid w:val="007A2E32"/>
    <w:rsid w:val="007A351A"/>
    <w:rsid w:val="007A52F2"/>
    <w:rsid w:val="007A5FBD"/>
    <w:rsid w:val="007B0C10"/>
    <w:rsid w:val="007B541F"/>
    <w:rsid w:val="007C102A"/>
    <w:rsid w:val="007C3792"/>
    <w:rsid w:val="007C4C8B"/>
    <w:rsid w:val="007C4E84"/>
    <w:rsid w:val="007C6F64"/>
    <w:rsid w:val="007C7737"/>
    <w:rsid w:val="007D038D"/>
    <w:rsid w:val="007D0606"/>
    <w:rsid w:val="007D2288"/>
    <w:rsid w:val="007D2B80"/>
    <w:rsid w:val="007D30D2"/>
    <w:rsid w:val="007D3FB5"/>
    <w:rsid w:val="007D4CAA"/>
    <w:rsid w:val="007D511A"/>
    <w:rsid w:val="007D6971"/>
    <w:rsid w:val="007D7251"/>
    <w:rsid w:val="007D7C3E"/>
    <w:rsid w:val="007E088F"/>
    <w:rsid w:val="007E36A6"/>
    <w:rsid w:val="007E565A"/>
    <w:rsid w:val="007E5C64"/>
    <w:rsid w:val="007E7A7F"/>
    <w:rsid w:val="007F209D"/>
    <w:rsid w:val="007F2720"/>
    <w:rsid w:val="007F43D3"/>
    <w:rsid w:val="007F6C64"/>
    <w:rsid w:val="007F6D8D"/>
    <w:rsid w:val="007F750C"/>
    <w:rsid w:val="007F7B32"/>
    <w:rsid w:val="007F7FDC"/>
    <w:rsid w:val="00804067"/>
    <w:rsid w:val="00804BC2"/>
    <w:rsid w:val="00805427"/>
    <w:rsid w:val="00810B02"/>
    <w:rsid w:val="0081431A"/>
    <w:rsid w:val="00814943"/>
    <w:rsid w:val="008157DD"/>
    <w:rsid w:val="00817E0E"/>
    <w:rsid w:val="008204D0"/>
    <w:rsid w:val="00821486"/>
    <w:rsid w:val="008216D2"/>
    <w:rsid w:val="008244F8"/>
    <w:rsid w:val="00826162"/>
    <w:rsid w:val="008265A1"/>
    <w:rsid w:val="00830193"/>
    <w:rsid w:val="00830F00"/>
    <w:rsid w:val="00831639"/>
    <w:rsid w:val="00831C82"/>
    <w:rsid w:val="0083216F"/>
    <w:rsid w:val="00833989"/>
    <w:rsid w:val="00834274"/>
    <w:rsid w:val="00836881"/>
    <w:rsid w:val="00836887"/>
    <w:rsid w:val="00837844"/>
    <w:rsid w:val="00844419"/>
    <w:rsid w:val="00844F98"/>
    <w:rsid w:val="008453DD"/>
    <w:rsid w:val="00847952"/>
    <w:rsid w:val="00850E61"/>
    <w:rsid w:val="00851CF6"/>
    <w:rsid w:val="0085546E"/>
    <w:rsid w:val="0085657A"/>
    <w:rsid w:val="00860000"/>
    <w:rsid w:val="00861C50"/>
    <w:rsid w:val="00862163"/>
    <w:rsid w:val="00862875"/>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7E29"/>
    <w:rsid w:val="008B459E"/>
    <w:rsid w:val="008B6AE3"/>
    <w:rsid w:val="008C1E2D"/>
    <w:rsid w:val="008C2330"/>
    <w:rsid w:val="008C3CF9"/>
    <w:rsid w:val="008C5747"/>
    <w:rsid w:val="008C65DE"/>
    <w:rsid w:val="008D0509"/>
    <w:rsid w:val="008D1544"/>
    <w:rsid w:val="008D4CC6"/>
    <w:rsid w:val="008D5531"/>
    <w:rsid w:val="008D6E31"/>
    <w:rsid w:val="008E13AE"/>
    <w:rsid w:val="008E1506"/>
    <w:rsid w:val="008E1D48"/>
    <w:rsid w:val="008E3BFB"/>
    <w:rsid w:val="008E3EFE"/>
    <w:rsid w:val="008E710C"/>
    <w:rsid w:val="008F0221"/>
    <w:rsid w:val="008F2E29"/>
    <w:rsid w:val="008F446C"/>
    <w:rsid w:val="008F5B17"/>
    <w:rsid w:val="008F69D6"/>
    <w:rsid w:val="00902823"/>
    <w:rsid w:val="00907A49"/>
    <w:rsid w:val="00907C80"/>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47E63"/>
    <w:rsid w:val="009500A6"/>
    <w:rsid w:val="00951100"/>
    <w:rsid w:val="00952916"/>
    <w:rsid w:val="00957C18"/>
    <w:rsid w:val="00957C4C"/>
    <w:rsid w:val="00960222"/>
    <w:rsid w:val="00960D9E"/>
    <w:rsid w:val="009628FB"/>
    <w:rsid w:val="00962B44"/>
    <w:rsid w:val="00962C41"/>
    <w:rsid w:val="00962EC8"/>
    <w:rsid w:val="009648BB"/>
    <w:rsid w:val="009659BA"/>
    <w:rsid w:val="0096663E"/>
    <w:rsid w:val="0096697A"/>
    <w:rsid w:val="00966B8A"/>
    <w:rsid w:val="009676BB"/>
    <w:rsid w:val="00970217"/>
    <w:rsid w:val="00972E76"/>
    <w:rsid w:val="00973D3A"/>
    <w:rsid w:val="00973FFA"/>
    <w:rsid w:val="0097678A"/>
    <w:rsid w:val="00976CB2"/>
    <w:rsid w:val="009770DF"/>
    <w:rsid w:val="00982C5E"/>
    <w:rsid w:val="00982CC1"/>
    <w:rsid w:val="00982E47"/>
    <w:rsid w:val="00983040"/>
    <w:rsid w:val="0098668C"/>
    <w:rsid w:val="009913C6"/>
    <w:rsid w:val="00991ABC"/>
    <w:rsid w:val="0099249D"/>
    <w:rsid w:val="00994FC5"/>
    <w:rsid w:val="009950D9"/>
    <w:rsid w:val="00995521"/>
    <w:rsid w:val="009A361E"/>
    <w:rsid w:val="009A4B52"/>
    <w:rsid w:val="009A5463"/>
    <w:rsid w:val="009A5ABF"/>
    <w:rsid w:val="009B02B2"/>
    <w:rsid w:val="009B111C"/>
    <w:rsid w:val="009B2860"/>
    <w:rsid w:val="009B2A64"/>
    <w:rsid w:val="009B3195"/>
    <w:rsid w:val="009B3AB1"/>
    <w:rsid w:val="009B3FB9"/>
    <w:rsid w:val="009B4824"/>
    <w:rsid w:val="009B4BA0"/>
    <w:rsid w:val="009B614E"/>
    <w:rsid w:val="009C0A64"/>
    <w:rsid w:val="009C211B"/>
    <w:rsid w:val="009C2465"/>
    <w:rsid w:val="009C4360"/>
    <w:rsid w:val="009C6219"/>
    <w:rsid w:val="009C66BE"/>
    <w:rsid w:val="009D062A"/>
    <w:rsid w:val="009D346B"/>
    <w:rsid w:val="009D35A0"/>
    <w:rsid w:val="009D5D98"/>
    <w:rsid w:val="009D5F81"/>
    <w:rsid w:val="009D7EB7"/>
    <w:rsid w:val="009E048A"/>
    <w:rsid w:val="009E06BC"/>
    <w:rsid w:val="009E08E9"/>
    <w:rsid w:val="009E115B"/>
    <w:rsid w:val="009E1832"/>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30E"/>
    <w:rsid w:val="00A21D6E"/>
    <w:rsid w:val="00A24E7E"/>
    <w:rsid w:val="00A254E5"/>
    <w:rsid w:val="00A258C3"/>
    <w:rsid w:val="00A313D4"/>
    <w:rsid w:val="00A32872"/>
    <w:rsid w:val="00A34302"/>
    <w:rsid w:val="00A347C0"/>
    <w:rsid w:val="00A40F15"/>
    <w:rsid w:val="00A44B85"/>
    <w:rsid w:val="00A46357"/>
    <w:rsid w:val="00A47C07"/>
    <w:rsid w:val="00A47DC3"/>
    <w:rsid w:val="00A5018A"/>
    <w:rsid w:val="00A50958"/>
    <w:rsid w:val="00A51431"/>
    <w:rsid w:val="00A523B6"/>
    <w:rsid w:val="00A52A80"/>
    <w:rsid w:val="00A539AD"/>
    <w:rsid w:val="00A54DA1"/>
    <w:rsid w:val="00A54DF9"/>
    <w:rsid w:val="00A55529"/>
    <w:rsid w:val="00A561C5"/>
    <w:rsid w:val="00A57115"/>
    <w:rsid w:val="00A574C3"/>
    <w:rsid w:val="00A577B9"/>
    <w:rsid w:val="00A61C0B"/>
    <w:rsid w:val="00A66CD3"/>
    <w:rsid w:val="00A705F7"/>
    <w:rsid w:val="00A73CD6"/>
    <w:rsid w:val="00A74632"/>
    <w:rsid w:val="00A863CA"/>
    <w:rsid w:val="00A9100D"/>
    <w:rsid w:val="00A92B33"/>
    <w:rsid w:val="00A94063"/>
    <w:rsid w:val="00A97CA7"/>
    <w:rsid w:val="00AA021D"/>
    <w:rsid w:val="00AA046F"/>
    <w:rsid w:val="00AA1319"/>
    <w:rsid w:val="00AA2464"/>
    <w:rsid w:val="00AA39D0"/>
    <w:rsid w:val="00AA619C"/>
    <w:rsid w:val="00AA6219"/>
    <w:rsid w:val="00AA74E0"/>
    <w:rsid w:val="00AB03A5"/>
    <w:rsid w:val="00AB0ED9"/>
    <w:rsid w:val="00AB132C"/>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646"/>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0ABE"/>
    <w:rsid w:val="00B211F4"/>
    <w:rsid w:val="00B21345"/>
    <w:rsid w:val="00B23046"/>
    <w:rsid w:val="00B23383"/>
    <w:rsid w:val="00B237FB"/>
    <w:rsid w:val="00B278F0"/>
    <w:rsid w:val="00B31AFA"/>
    <w:rsid w:val="00B32415"/>
    <w:rsid w:val="00B346C5"/>
    <w:rsid w:val="00B346D1"/>
    <w:rsid w:val="00B35882"/>
    <w:rsid w:val="00B35A5F"/>
    <w:rsid w:val="00B364F1"/>
    <w:rsid w:val="00B36CD1"/>
    <w:rsid w:val="00B371EC"/>
    <w:rsid w:val="00B37CEB"/>
    <w:rsid w:val="00B41F6F"/>
    <w:rsid w:val="00B44933"/>
    <w:rsid w:val="00B527D2"/>
    <w:rsid w:val="00B52896"/>
    <w:rsid w:val="00B52A44"/>
    <w:rsid w:val="00B549CE"/>
    <w:rsid w:val="00B55B85"/>
    <w:rsid w:val="00B55D37"/>
    <w:rsid w:val="00B55FCC"/>
    <w:rsid w:val="00B60155"/>
    <w:rsid w:val="00B62947"/>
    <w:rsid w:val="00B64177"/>
    <w:rsid w:val="00B66AB4"/>
    <w:rsid w:val="00B700E1"/>
    <w:rsid w:val="00B70D06"/>
    <w:rsid w:val="00B712CE"/>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549D"/>
    <w:rsid w:val="00BB698A"/>
    <w:rsid w:val="00BB6D95"/>
    <w:rsid w:val="00BB6DA6"/>
    <w:rsid w:val="00BB7A71"/>
    <w:rsid w:val="00BC2A3C"/>
    <w:rsid w:val="00BC53A0"/>
    <w:rsid w:val="00BC57E8"/>
    <w:rsid w:val="00BC78EB"/>
    <w:rsid w:val="00BD07D8"/>
    <w:rsid w:val="00BD504C"/>
    <w:rsid w:val="00BD6DE7"/>
    <w:rsid w:val="00BD7404"/>
    <w:rsid w:val="00BD7576"/>
    <w:rsid w:val="00BD76E4"/>
    <w:rsid w:val="00BE0A38"/>
    <w:rsid w:val="00BE0E4E"/>
    <w:rsid w:val="00BE1295"/>
    <w:rsid w:val="00BE1782"/>
    <w:rsid w:val="00BE230B"/>
    <w:rsid w:val="00BE50CB"/>
    <w:rsid w:val="00BE62AD"/>
    <w:rsid w:val="00BF0798"/>
    <w:rsid w:val="00BF121F"/>
    <w:rsid w:val="00BF1D4D"/>
    <w:rsid w:val="00BF1F80"/>
    <w:rsid w:val="00BF2939"/>
    <w:rsid w:val="00BF2CC9"/>
    <w:rsid w:val="00BF7728"/>
    <w:rsid w:val="00C006D1"/>
    <w:rsid w:val="00C01D17"/>
    <w:rsid w:val="00C05B06"/>
    <w:rsid w:val="00C05F9F"/>
    <w:rsid w:val="00C061D8"/>
    <w:rsid w:val="00C06F68"/>
    <w:rsid w:val="00C07CB7"/>
    <w:rsid w:val="00C11D4D"/>
    <w:rsid w:val="00C1385F"/>
    <w:rsid w:val="00C13D7A"/>
    <w:rsid w:val="00C13DDA"/>
    <w:rsid w:val="00C15151"/>
    <w:rsid w:val="00C15F69"/>
    <w:rsid w:val="00C166EF"/>
    <w:rsid w:val="00C17EB0"/>
    <w:rsid w:val="00C20AB9"/>
    <w:rsid w:val="00C237B6"/>
    <w:rsid w:val="00C23862"/>
    <w:rsid w:val="00C24DF4"/>
    <w:rsid w:val="00C2756B"/>
    <w:rsid w:val="00C275A8"/>
    <w:rsid w:val="00C27F5F"/>
    <w:rsid w:val="00C3075A"/>
    <w:rsid w:val="00C30A0F"/>
    <w:rsid w:val="00C31AEC"/>
    <w:rsid w:val="00C362F5"/>
    <w:rsid w:val="00C37E61"/>
    <w:rsid w:val="00C41063"/>
    <w:rsid w:val="00C417E2"/>
    <w:rsid w:val="00C4218D"/>
    <w:rsid w:val="00C425E7"/>
    <w:rsid w:val="00C43FC7"/>
    <w:rsid w:val="00C4471A"/>
    <w:rsid w:val="00C455E5"/>
    <w:rsid w:val="00C532EF"/>
    <w:rsid w:val="00C5460A"/>
    <w:rsid w:val="00C548AC"/>
    <w:rsid w:val="00C555E5"/>
    <w:rsid w:val="00C56639"/>
    <w:rsid w:val="00C60511"/>
    <w:rsid w:val="00C63652"/>
    <w:rsid w:val="00C63EF9"/>
    <w:rsid w:val="00C65D13"/>
    <w:rsid w:val="00C705A4"/>
    <w:rsid w:val="00C70F1B"/>
    <w:rsid w:val="00C71A47"/>
    <w:rsid w:val="00C72D2D"/>
    <w:rsid w:val="00C72DF1"/>
    <w:rsid w:val="00C73A36"/>
    <w:rsid w:val="00C73E17"/>
    <w:rsid w:val="00C741DB"/>
    <w:rsid w:val="00C7464C"/>
    <w:rsid w:val="00C75625"/>
    <w:rsid w:val="00C8034F"/>
    <w:rsid w:val="00C8198B"/>
    <w:rsid w:val="00C81A14"/>
    <w:rsid w:val="00C838DC"/>
    <w:rsid w:val="00C85588"/>
    <w:rsid w:val="00C85987"/>
    <w:rsid w:val="00C868A2"/>
    <w:rsid w:val="00C90676"/>
    <w:rsid w:val="00C944B7"/>
    <w:rsid w:val="00C94706"/>
    <w:rsid w:val="00C94AFE"/>
    <w:rsid w:val="00C972A1"/>
    <w:rsid w:val="00CA01AA"/>
    <w:rsid w:val="00CA1A21"/>
    <w:rsid w:val="00CA30FF"/>
    <w:rsid w:val="00CA5187"/>
    <w:rsid w:val="00CA7890"/>
    <w:rsid w:val="00CB059F"/>
    <w:rsid w:val="00CB11B3"/>
    <w:rsid w:val="00CB2155"/>
    <w:rsid w:val="00CB37FD"/>
    <w:rsid w:val="00CB4B2D"/>
    <w:rsid w:val="00CB6F3A"/>
    <w:rsid w:val="00CB7AC1"/>
    <w:rsid w:val="00CC582A"/>
    <w:rsid w:val="00CC5ECD"/>
    <w:rsid w:val="00CC701F"/>
    <w:rsid w:val="00CC7073"/>
    <w:rsid w:val="00CD1124"/>
    <w:rsid w:val="00CD1914"/>
    <w:rsid w:val="00CD4D57"/>
    <w:rsid w:val="00CD5948"/>
    <w:rsid w:val="00CD6339"/>
    <w:rsid w:val="00CD6755"/>
    <w:rsid w:val="00CD6856"/>
    <w:rsid w:val="00CD6F56"/>
    <w:rsid w:val="00CD703B"/>
    <w:rsid w:val="00CE0089"/>
    <w:rsid w:val="00CE3176"/>
    <w:rsid w:val="00CE5E13"/>
    <w:rsid w:val="00CE629B"/>
    <w:rsid w:val="00CE793C"/>
    <w:rsid w:val="00CF1243"/>
    <w:rsid w:val="00CF2E29"/>
    <w:rsid w:val="00D00F3E"/>
    <w:rsid w:val="00D01782"/>
    <w:rsid w:val="00D0289A"/>
    <w:rsid w:val="00D03BEB"/>
    <w:rsid w:val="00D04A8F"/>
    <w:rsid w:val="00D065CB"/>
    <w:rsid w:val="00D13BF4"/>
    <w:rsid w:val="00D16A04"/>
    <w:rsid w:val="00D17273"/>
    <w:rsid w:val="00D173F1"/>
    <w:rsid w:val="00D21759"/>
    <w:rsid w:val="00D21D9E"/>
    <w:rsid w:val="00D21E8D"/>
    <w:rsid w:val="00D227D5"/>
    <w:rsid w:val="00D23445"/>
    <w:rsid w:val="00D23B1F"/>
    <w:rsid w:val="00D24440"/>
    <w:rsid w:val="00D246A5"/>
    <w:rsid w:val="00D2770A"/>
    <w:rsid w:val="00D311B1"/>
    <w:rsid w:val="00D31407"/>
    <w:rsid w:val="00D32F12"/>
    <w:rsid w:val="00D341E9"/>
    <w:rsid w:val="00D34F2E"/>
    <w:rsid w:val="00D41A18"/>
    <w:rsid w:val="00D42848"/>
    <w:rsid w:val="00D429C7"/>
    <w:rsid w:val="00D42F2F"/>
    <w:rsid w:val="00D430F1"/>
    <w:rsid w:val="00D453B9"/>
    <w:rsid w:val="00D468AD"/>
    <w:rsid w:val="00D46AD9"/>
    <w:rsid w:val="00D4745C"/>
    <w:rsid w:val="00D5041B"/>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326F"/>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220"/>
    <w:rsid w:val="00D83816"/>
    <w:rsid w:val="00D83D9C"/>
    <w:rsid w:val="00D8415F"/>
    <w:rsid w:val="00D85BAB"/>
    <w:rsid w:val="00D927CC"/>
    <w:rsid w:val="00D92CBE"/>
    <w:rsid w:val="00D95C45"/>
    <w:rsid w:val="00DA28B7"/>
    <w:rsid w:val="00DA3A1E"/>
    <w:rsid w:val="00DA3D24"/>
    <w:rsid w:val="00DB03BF"/>
    <w:rsid w:val="00DB0B12"/>
    <w:rsid w:val="00DB0B8E"/>
    <w:rsid w:val="00DB27EE"/>
    <w:rsid w:val="00DB46B2"/>
    <w:rsid w:val="00DC038B"/>
    <w:rsid w:val="00DC09E0"/>
    <w:rsid w:val="00DC0BFC"/>
    <w:rsid w:val="00DC2754"/>
    <w:rsid w:val="00DC2A65"/>
    <w:rsid w:val="00DD0B2B"/>
    <w:rsid w:val="00DD1370"/>
    <w:rsid w:val="00DD1EA9"/>
    <w:rsid w:val="00DD5EA2"/>
    <w:rsid w:val="00DD6431"/>
    <w:rsid w:val="00DD68C1"/>
    <w:rsid w:val="00DD6A4E"/>
    <w:rsid w:val="00DD733B"/>
    <w:rsid w:val="00DD7E9A"/>
    <w:rsid w:val="00DE15F0"/>
    <w:rsid w:val="00DE32FA"/>
    <w:rsid w:val="00DE3EAB"/>
    <w:rsid w:val="00DE5663"/>
    <w:rsid w:val="00DE7644"/>
    <w:rsid w:val="00DE767A"/>
    <w:rsid w:val="00DE78AA"/>
    <w:rsid w:val="00DF44C1"/>
    <w:rsid w:val="00DF4C95"/>
    <w:rsid w:val="00E009EA"/>
    <w:rsid w:val="00E053D0"/>
    <w:rsid w:val="00E05D72"/>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0DF1"/>
    <w:rsid w:val="00E71A6B"/>
    <w:rsid w:val="00E744D3"/>
    <w:rsid w:val="00E75068"/>
    <w:rsid w:val="00E75538"/>
    <w:rsid w:val="00E769F6"/>
    <w:rsid w:val="00E77BF7"/>
    <w:rsid w:val="00E8043E"/>
    <w:rsid w:val="00E80D52"/>
    <w:rsid w:val="00E8217A"/>
    <w:rsid w:val="00E82357"/>
    <w:rsid w:val="00E824CE"/>
    <w:rsid w:val="00E8407C"/>
    <w:rsid w:val="00E846D3"/>
    <w:rsid w:val="00E84F3C"/>
    <w:rsid w:val="00E855E0"/>
    <w:rsid w:val="00E93880"/>
    <w:rsid w:val="00E94E5E"/>
    <w:rsid w:val="00E9718F"/>
    <w:rsid w:val="00EA012C"/>
    <w:rsid w:val="00EA70C1"/>
    <w:rsid w:val="00EB1CD4"/>
    <w:rsid w:val="00EB1D47"/>
    <w:rsid w:val="00EB2E0E"/>
    <w:rsid w:val="00EB7104"/>
    <w:rsid w:val="00EB7AEC"/>
    <w:rsid w:val="00EC0D56"/>
    <w:rsid w:val="00EC3636"/>
    <w:rsid w:val="00EC7AAE"/>
    <w:rsid w:val="00ED0288"/>
    <w:rsid w:val="00ED2411"/>
    <w:rsid w:val="00ED54F5"/>
    <w:rsid w:val="00ED755D"/>
    <w:rsid w:val="00EE04B6"/>
    <w:rsid w:val="00EE0BC5"/>
    <w:rsid w:val="00EE24BB"/>
    <w:rsid w:val="00EE2A19"/>
    <w:rsid w:val="00EE3755"/>
    <w:rsid w:val="00EE52CB"/>
    <w:rsid w:val="00EE66A5"/>
    <w:rsid w:val="00EF15DE"/>
    <w:rsid w:val="00EF1EB5"/>
    <w:rsid w:val="00EF2383"/>
    <w:rsid w:val="00EF4B2D"/>
    <w:rsid w:val="00EF581D"/>
    <w:rsid w:val="00EF7DF2"/>
    <w:rsid w:val="00EF7FD8"/>
    <w:rsid w:val="00F01B0B"/>
    <w:rsid w:val="00F02CEA"/>
    <w:rsid w:val="00F03243"/>
    <w:rsid w:val="00F04F13"/>
    <w:rsid w:val="00F05FAA"/>
    <w:rsid w:val="00F06947"/>
    <w:rsid w:val="00F06F59"/>
    <w:rsid w:val="00F071D7"/>
    <w:rsid w:val="00F07371"/>
    <w:rsid w:val="00F0739F"/>
    <w:rsid w:val="00F11DDA"/>
    <w:rsid w:val="00F12135"/>
    <w:rsid w:val="00F159E4"/>
    <w:rsid w:val="00F174B8"/>
    <w:rsid w:val="00F17988"/>
    <w:rsid w:val="00F20BD8"/>
    <w:rsid w:val="00F2100D"/>
    <w:rsid w:val="00F21FC5"/>
    <w:rsid w:val="00F23A67"/>
    <w:rsid w:val="00F266FB"/>
    <w:rsid w:val="00F26DEB"/>
    <w:rsid w:val="00F2706C"/>
    <w:rsid w:val="00F303EB"/>
    <w:rsid w:val="00F30D27"/>
    <w:rsid w:val="00F36ABC"/>
    <w:rsid w:val="00F379D4"/>
    <w:rsid w:val="00F40FB0"/>
    <w:rsid w:val="00F41F1C"/>
    <w:rsid w:val="00F4246D"/>
    <w:rsid w:val="00F42FC6"/>
    <w:rsid w:val="00F4685B"/>
    <w:rsid w:val="00F469F0"/>
    <w:rsid w:val="00F51246"/>
    <w:rsid w:val="00F5159C"/>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925"/>
    <w:rsid w:val="00F70BCD"/>
    <w:rsid w:val="00F71CA4"/>
    <w:rsid w:val="00F71EB8"/>
    <w:rsid w:val="00F74F93"/>
    <w:rsid w:val="00F755E4"/>
    <w:rsid w:val="00F759B7"/>
    <w:rsid w:val="00F77D02"/>
    <w:rsid w:val="00F80106"/>
    <w:rsid w:val="00F828E1"/>
    <w:rsid w:val="00F927B2"/>
    <w:rsid w:val="00F947E3"/>
    <w:rsid w:val="00F96071"/>
    <w:rsid w:val="00FA0D6E"/>
    <w:rsid w:val="00FA2543"/>
    <w:rsid w:val="00FA27FC"/>
    <w:rsid w:val="00FA3BB6"/>
    <w:rsid w:val="00FA5606"/>
    <w:rsid w:val="00FB1E60"/>
    <w:rsid w:val="00FB3A86"/>
    <w:rsid w:val="00FB469D"/>
    <w:rsid w:val="00FB6C0F"/>
    <w:rsid w:val="00FB7F6C"/>
    <w:rsid w:val="00FC4F69"/>
    <w:rsid w:val="00FD227E"/>
    <w:rsid w:val="00FD270D"/>
    <w:rsid w:val="00FD2B99"/>
    <w:rsid w:val="00FD36C8"/>
    <w:rsid w:val="00FD5070"/>
    <w:rsid w:val="00FD79D4"/>
    <w:rsid w:val="00FD7D01"/>
    <w:rsid w:val="00FE32B3"/>
    <w:rsid w:val="00FE379F"/>
    <w:rsid w:val="00FE44DE"/>
    <w:rsid w:val="00FE46CD"/>
    <w:rsid w:val="00FE75E5"/>
    <w:rsid w:val="00FF2146"/>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52"/>
    <w:rPr>
      <w:rFonts w:eastAsia="Times New Roman"/>
      <w:sz w:val="24"/>
      <w:szCs w:val="24"/>
      <w:lang w:val="en-PH"/>
    </w:rPr>
  </w:style>
  <w:style w:type="paragraph" w:styleId="Heading1">
    <w:name w:val="heading 1"/>
    <w:basedOn w:val="Normal"/>
    <w:next w:val="Normal"/>
    <w:qFormat/>
    <w:pPr>
      <w:keepNext/>
      <w:spacing w:before="240" w:after="60"/>
      <w:outlineLvl w:val="0"/>
    </w:pPr>
    <w:rPr>
      <w:rFonts w:ascii="Arial" w:hAnsi="Arial"/>
      <w:b/>
      <w:kern w:val="28"/>
      <w:sz w:val="28"/>
      <w:szCs w:val="20"/>
      <w:lang w:val="en-US"/>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lang w:val="en-US"/>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lang w:val="en-US"/>
    </w:rPr>
  </w:style>
  <w:style w:type="paragraph" w:styleId="BodyText">
    <w:name w:val="Body Text"/>
    <w:basedOn w:val="Normal"/>
    <w:link w:val="BodyTextChar"/>
    <w:qFormat/>
    <w:pPr>
      <w:spacing w:after="120"/>
    </w:pPr>
    <w:rPr>
      <w:rFonts w:ascii="Helvetica" w:hAnsi="Helvetica"/>
      <w:sz w:val="20"/>
      <w:szCs w:val="20"/>
      <w:lang w:val="en-US"/>
    </w:rPr>
  </w:style>
  <w:style w:type="paragraph" w:styleId="BodyText2">
    <w:name w:val="Body Text 2"/>
    <w:basedOn w:val="Normal"/>
    <w:link w:val="BodyText2Char"/>
    <w:qFormat/>
    <w:pPr>
      <w:spacing w:after="120" w:line="480" w:lineRule="auto"/>
    </w:pPr>
    <w:rPr>
      <w:rFonts w:ascii="Helvetica" w:hAnsi="Helvetica"/>
      <w:sz w:val="20"/>
      <w:szCs w:val="20"/>
      <w:lang w:val="en-US"/>
    </w:rPr>
  </w:style>
  <w:style w:type="paragraph" w:styleId="BodyText3">
    <w:name w:val="Body Text 3"/>
    <w:basedOn w:val="Normal"/>
    <w:link w:val="BodyText3Char"/>
    <w:qFormat/>
    <w:pPr>
      <w:spacing w:after="120"/>
    </w:pPr>
    <w:rPr>
      <w:rFonts w:ascii="Helvetica" w:hAnsi="Helvetica"/>
      <w:sz w:val="16"/>
      <w:szCs w:val="16"/>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rPr>
      <w:rFonts w:ascii="Helvetica" w:hAnsi="Helvetica"/>
      <w:sz w:val="20"/>
      <w:szCs w:val="20"/>
      <w:lang w:val="en-US"/>
    </w:rPr>
  </w:style>
  <w:style w:type="paragraph" w:styleId="Header">
    <w:name w:val="header"/>
    <w:basedOn w:val="Normal"/>
    <w:pPr>
      <w:tabs>
        <w:tab w:val="center" w:pos="4320"/>
        <w:tab w:val="right" w:pos="8640"/>
      </w:tabs>
    </w:pPr>
    <w:rPr>
      <w:rFonts w:ascii="Helvetica" w:hAnsi="Helvetica"/>
      <w:sz w:val="20"/>
      <w:szCs w:val="20"/>
      <w:lang w:val="en-US"/>
    </w:r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lang w:val="en-US"/>
    </w:rPr>
  </w:style>
  <w:style w:type="paragraph" w:styleId="Signature">
    <w:name w:val="Signature"/>
    <w:basedOn w:val="Normal"/>
    <w:qFormat/>
    <w:pPr>
      <w:ind w:left="4320"/>
    </w:pPr>
    <w:rPr>
      <w:rFonts w:ascii="Helvetica" w:hAnsi="Helvetica"/>
      <w:sz w:val="20"/>
      <w:szCs w:val="20"/>
      <w:lang w:val="en-US"/>
    </w:rPr>
  </w:style>
  <w:style w:type="character" w:styleId="Strong">
    <w:name w:val="Strong"/>
    <w:uiPriority w:val="22"/>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rFonts w:ascii="Helvetica" w:hAnsi="Helvetica"/>
      <w:b/>
      <w:kern w:val="28"/>
      <w:sz w:val="36"/>
      <w:szCs w:val="20"/>
      <w:lang w:val="en-US"/>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rFonts w:ascii="Helvetica" w:hAnsi="Helvetica"/>
      <w:b/>
      <w:caps/>
      <w:sz w:val="20"/>
      <w:szCs w:val="20"/>
      <w:lang w:val="en-U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rFonts w:ascii="Helvetica" w:hAnsi="Helvetica"/>
      <w:b/>
      <w:sz w:val="28"/>
      <w:szCs w:val="20"/>
      <w:lang w:val="en-US"/>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rFonts w:ascii="Helvetica" w:hAnsi="Helvetica"/>
      <w:sz w:val="16"/>
      <w:szCs w:val="20"/>
      <w:lang w:val="en-US"/>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rFonts w:ascii="Helvetica" w:hAnsi="Helvetica"/>
      <w:caps/>
      <w:sz w:val="20"/>
      <w:szCs w:val="20"/>
      <w:lang w:val="en-U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rFonts w:ascii="Helvetica" w:hAnsi="Helvetica"/>
      <w:b/>
      <w:sz w:val="36"/>
      <w:szCs w:val="20"/>
      <w:lang w:val="en-US"/>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rPr>
      <w:rFonts w:ascii="Helvetica" w:hAnsi="Helvetica"/>
      <w:sz w:val="20"/>
      <w:szCs w:val="20"/>
      <w:lang w:val="en-US"/>
    </w:r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lang w:val="en-US"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22">
    <w:name w:val="_Style 22"/>
    <w:basedOn w:val="TableNormal"/>
    <w:qFormat/>
    <w:rsid w:val="009B111C"/>
    <w:tblPr>
      <w:tblCellMar>
        <w:top w:w="15" w:type="dxa"/>
        <w:left w:w="15" w:type="dxa"/>
        <w:bottom w:w="15" w:type="dxa"/>
        <w:right w:w="15" w:type="dxa"/>
      </w:tblCellMar>
    </w:tblPr>
  </w:style>
  <w:style w:type="character" w:customStyle="1" w:styleId="in-toolbar">
    <w:name w:val="in-toolbar"/>
    <w:basedOn w:val="DefaultParagraphFont"/>
    <w:qFormat/>
    <w:rsid w:val="00830193"/>
  </w:style>
  <w:style w:type="character" w:customStyle="1" w:styleId="UnresolvedMention">
    <w:name w:val="Unresolved Mention"/>
    <w:basedOn w:val="DefaultParagraphFont"/>
    <w:uiPriority w:val="99"/>
    <w:semiHidden/>
    <w:unhideWhenUsed/>
    <w:rsid w:val="00BF0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533686651">
      <w:bodyDiv w:val="1"/>
      <w:marLeft w:val="0"/>
      <w:marRight w:val="0"/>
      <w:marTop w:val="0"/>
      <w:marBottom w:val="0"/>
      <w:divBdr>
        <w:top w:val="none" w:sz="0" w:space="0" w:color="auto"/>
        <w:left w:val="none" w:sz="0" w:space="0" w:color="auto"/>
        <w:bottom w:val="none" w:sz="0" w:space="0" w:color="auto"/>
        <w:right w:val="none" w:sz="0" w:space="0" w:color="auto"/>
      </w:divBdr>
    </w:div>
    <w:div w:id="2031756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taylorfrancis.com/chapters/edit/10.4324/9780367854584-51/disaster-risk-reduction-education-glenn-fernandez" TargetMode="External"/><Relationship Id="rId26" Type="http://schemas.openxmlformats.org/officeDocument/2006/relationships/hyperlink" Target="https://journals.sagepub.com/doi/abs/10.3102/00028312241276856" TargetMode="External"/><Relationship Id="rId39" Type="http://schemas.openxmlformats.org/officeDocument/2006/relationships/header" Target="header6.xml"/><Relationship Id="rId21" Type="http://schemas.openxmlformats.org/officeDocument/2006/relationships/hyperlink" Target="https://link.springer.com/article/10.1186/s12889-020-09793-0" TargetMode="External"/><Relationship Id="rId34" Type="http://schemas.openxmlformats.org/officeDocument/2006/relationships/hyperlink" Target="https://www.undrr.org/publication/human-cost-disasters-overview-last-20-years-2000-2019&#819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rhr.dspace-express.com/bitstream/handle/20.500.14041/3385/Gender-Dimensions-of-Disaster-Risk-and-Resilience-Existing-Evidence.pdf?sequence=1" TargetMode="External"/><Relationship Id="rId20" Type="http://schemas.openxmlformats.org/officeDocument/2006/relationships/hyperlink" Target="https://www.emerald.com/insight/content/doi/10.1108/dpm-04-2020-0114/full/html" TargetMode="External"/><Relationship Id="rId29" Type="http://schemas.openxmlformats.org/officeDocument/2006/relationships/hyperlink" Target="https://www.researchgate.net/profile/Sharareh-Kermanshachi/publication/342318008_A_Socioeconomic-Based_Analysis_of_Disaster_Preparedness_Awareness_and_Education/links/5eed1f6c92851ce9e7f48184/A-Socioeconomic-Based-Analysis-of-Disaster-Preparedness-Awareness-and-Education.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ciencedirect.com/science/article/pii/S221242091930411X" TargetMode="External"/><Relationship Id="rId32" Type="http://schemas.openxmlformats.org/officeDocument/2006/relationships/hyperlink" Target="https://www.sciencedirect.com/science/article/pii/S2212420920313078"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nk.springer.com/chapter/10.1007/978-981-19-0725-8_6" TargetMode="External"/><Relationship Id="rId23" Type="http://schemas.openxmlformats.org/officeDocument/2006/relationships/hyperlink" Target="https://www.sciencedirect.com/science/article/abs/pii/S0169204612000989" TargetMode="External"/><Relationship Id="rId28" Type="http://schemas.openxmlformats.org/officeDocument/2006/relationships/hyperlink" Target="https://www.researchgate.net/profile/Jessa-Grace-Manayan/publication/387179463_ASSESSING_DAVAO_CITY'S_URBAN_ROAD_NETWORK_VULNERABILITY_A_SYSTEMATIC_LITERATURE_REVIEW/links/67631a0f8cfcdf077fe476fa/ASSESSING-DAVAO-CITYS-URBAN-ROAD-NETWORK-VULNERABILITY-A-SYSTEMATIC-LITERATURE-REVIEW.pdf" TargetMode="Externa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heinonline.org/hol-cgi-bin/get_pdf.cgi?handle=hein.journals/techssj43&amp;section=49" TargetMode="External"/><Relationship Id="rId31" Type="http://schemas.openxmlformats.org/officeDocument/2006/relationships/hyperlink" Target="https://link.springer.com/chapter/10.1007/978-981-33-4586-7_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dpi.com/1660-4601/20/1/401" TargetMode="External"/><Relationship Id="rId22" Type="http://schemas.openxmlformats.org/officeDocument/2006/relationships/hyperlink" Target="https://www.researchgate.net/publication/366619753" TargetMode="External"/><Relationship Id="rId27" Type="http://schemas.openxmlformats.org/officeDocument/2006/relationships/hyperlink" Target="https://www.mdpi.com/2071-1050/12/9/3574" TargetMode="External"/><Relationship Id="rId30" Type="http://schemas.openxmlformats.org/officeDocument/2006/relationships/hyperlink" Target="https://portals.iucn.org/library/efiles/documents/2022-008-En.pdf" TargetMode="External"/><Relationship Id="rId35" Type="http://schemas.openxmlformats.org/officeDocument/2006/relationships/hyperlink" Target="https://journals.lww.com/jnr-twna/fulltext/2023/02000/Disaster_Preparedness_Among_Nurses_in_China__A.5.aspx"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link.springer.com/article/10.1186/s12912-022-00861-x" TargetMode="External"/><Relationship Id="rId25" Type="http://schemas.openxmlformats.org/officeDocument/2006/relationships/hyperlink" Target="https://www.traumamon.com/article_168215.html" TargetMode="External"/><Relationship Id="rId33" Type="http://schemas.openxmlformats.org/officeDocument/2006/relationships/hyperlink" Target="https://discovery.ucl.ac.uk/id/eprint/10136274/1/Teacher-professional-development.pdf" TargetMode="External"/><Relationship Id="rId38"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43</TotalTime>
  <Pages>14</Pages>
  <Words>6043</Words>
  <Characters>34451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121</cp:revision>
  <cp:lastPrinted>2024-10-20T02:52:00Z</cp:lastPrinted>
  <dcterms:created xsi:type="dcterms:W3CDTF">2025-07-04T03:25:00Z</dcterms:created>
  <dcterms:modified xsi:type="dcterms:W3CDTF">2025-07-09T03:19:00Z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