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74B02" w:rsidRDefault="00087F65">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Reimagining Librarianship: Policy Frameworks for Integrating Library Professionals into Teaching and Digital Literacy Initiatives</w:t>
      </w:r>
    </w:p>
    <w:p w14:paraId="22046A15" w14:textId="77777777" w:rsidR="00376A78" w:rsidRDefault="00376A78">
      <w:pPr>
        <w:spacing w:after="0" w:line="360" w:lineRule="auto"/>
        <w:jc w:val="both"/>
        <w:rPr>
          <w:rFonts w:ascii="Times New Roman" w:eastAsia="Times New Roman" w:hAnsi="Times New Roman" w:cs="Times New Roman"/>
          <w:b/>
        </w:rPr>
      </w:pPr>
    </w:p>
    <w:p w14:paraId="00000009" w14:textId="30D56E23" w:rsidR="00E74B02" w:rsidRDefault="00087F65">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Abstract:</w:t>
      </w:r>
    </w:p>
    <w:p w14:paraId="0000000A" w14:textId="20301A06" w:rsidR="00E74B02" w:rsidRDefault="00FC31B6">
      <w:pPr>
        <w:spacing w:line="360" w:lineRule="auto"/>
        <w:jc w:val="both"/>
        <w:rPr>
          <w:rFonts w:ascii="Times New Roman" w:eastAsia="Times New Roman" w:hAnsi="Times New Roman" w:cs="Times New Roman"/>
        </w:rPr>
      </w:pPr>
      <w:r w:rsidRPr="00FC31B6">
        <w:rPr>
          <w:rFonts w:ascii="Times New Roman" w:eastAsia="Times New Roman" w:hAnsi="Times New Roman" w:cs="Times New Roman"/>
          <w:color w:val="EE0000"/>
        </w:rPr>
        <w:t xml:space="preserve">This study explores how library professionals can be integrated into formal teaching and digital literacy initiatives in India, especially in the context of the National Education Policy (NEP) 2020. </w:t>
      </w:r>
      <w:r w:rsidR="00087F65">
        <w:rPr>
          <w:rFonts w:ascii="Times New Roman" w:eastAsia="Times New Roman" w:hAnsi="Times New Roman" w:cs="Times New Roman"/>
        </w:rPr>
        <w:t xml:space="preserve">The digital transformation of higher education has expanded the role of librarians from resource managers to educators and digital literacy advocates. However, Library and Information Science (LIS) education in India lacks structured pathways for librarians to assume formal teaching roles, limiting their impact on student learning and institutional innovation. Using a mixed-method approach—comprising surveys, interviews, policy analysis, and international case studies—the research explores institutional barriers, policy gaps, and global best practices. Findings reveal that while librarians possess the expertise to lead digital literacy initiatives, systemic reforms in accreditation, curriculum design, and institutional recognition are essential. </w:t>
      </w:r>
      <w:r w:rsidRPr="00FC31B6">
        <w:rPr>
          <w:rFonts w:ascii="Times New Roman" w:eastAsia="Times New Roman" w:hAnsi="Times New Roman" w:cs="Times New Roman"/>
          <w:color w:val="EE0000"/>
        </w:rPr>
        <w:t>The study aims to assess institutional barriers, examine supportive policy frameworks, and identify global best practices that can inform Library and Information Science (LIS) education reform</w:t>
      </w:r>
      <w:r>
        <w:rPr>
          <w:rFonts w:ascii="Times New Roman" w:eastAsia="Times New Roman" w:hAnsi="Times New Roman" w:cs="Times New Roman"/>
          <w:color w:val="EE0000"/>
        </w:rPr>
        <w:t xml:space="preserve">s. </w:t>
      </w:r>
      <w:r w:rsidR="00087F65">
        <w:rPr>
          <w:rFonts w:ascii="Times New Roman" w:eastAsia="Times New Roman" w:hAnsi="Times New Roman" w:cs="Times New Roman"/>
        </w:rPr>
        <w:t>The study proposes a policy roadmap and instructional framework to support librarian-teacher integration. By embedding librarians into teaching structures, academic institutions can enhance digital fluency, foster interdisciplinary learning, and advance inclusive, future-ready education.</w:t>
      </w:r>
    </w:p>
    <w:p w14:paraId="0000000B" w14:textId="16E46213" w:rsidR="00E74B02" w:rsidRPr="00FC31B6" w:rsidRDefault="00087F65">
      <w:pPr>
        <w:spacing w:line="360" w:lineRule="auto"/>
        <w:jc w:val="both"/>
        <w:rPr>
          <w:rFonts w:ascii="Times New Roman" w:eastAsia="Times New Roman" w:hAnsi="Times New Roman" w:cs="Times New Roman"/>
          <w:i/>
          <w:color w:val="EE0000"/>
        </w:rPr>
      </w:pPr>
      <w:r>
        <w:rPr>
          <w:rFonts w:ascii="Times New Roman" w:eastAsia="Times New Roman" w:hAnsi="Times New Roman" w:cs="Times New Roman"/>
          <w:b/>
          <w:i/>
        </w:rPr>
        <w:t xml:space="preserve">Keywords: </w:t>
      </w:r>
      <w:r w:rsidR="00FC31B6" w:rsidRPr="00FC31B6">
        <w:rPr>
          <w:rFonts w:ascii="Times New Roman" w:eastAsia="Times New Roman" w:hAnsi="Times New Roman" w:cs="Times New Roman"/>
          <w:i/>
          <w:color w:val="EE0000"/>
        </w:rPr>
        <w:t>Academic libraries, Digital literacy, Interdisciplinary learning, LIS education reform, NEP 2020, Policy frameworks, Teacher-librarian integration</w:t>
      </w:r>
    </w:p>
    <w:p w14:paraId="0000000C" w14:textId="77777777" w:rsidR="00E74B02" w:rsidRDefault="00087F65">
      <w:pPr>
        <w:numPr>
          <w:ilvl w:val="0"/>
          <w:numId w:val="1"/>
        </w:numPr>
        <w:pBdr>
          <w:top w:val="nil"/>
          <w:left w:val="nil"/>
          <w:bottom w:val="nil"/>
          <w:right w:val="nil"/>
          <w:between w:val="nil"/>
        </w:pBdr>
        <w:spacing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14:paraId="0000000D" w14:textId="77777777" w:rsidR="00E74B02" w:rsidRDefault="00087F65">
      <w:pPr>
        <w:spacing w:before="24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role of librarians in higher education has significantly evolved in response to the digitalization of knowledge systems, the rise of online learning platforms, and the growing complexity of information ecosystems. Once viewed primarily as custodians of physical collections, librarians are now expected to contribute directly to teaching and learning. Their responsibilities increasingly include digital resource curation, research data management, scholarly communication, and—most critically—information and digital literacy instruction. Academic libraries have become hybrid learning environments, positioning librarians as essential partners in the academic enterprise.</w:t>
      </w:r>
    </w:p>
    <w:p w14:paraId="0000000E" w14:textId="77777777" w:rsidR="00E74B02" w:rsidRDefault="00087F65">
      <w:pPr>
        <w:spacing w:before="24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Despite these expanded roles, Library and Information Science (LIS) education in many countries, including India, remains rooted in traditional paradigms. Curricula often emphasize cataloguing and information retrieval, offering limited exposure to pedagogy, instructional design, or interdisciplinary collaboration. This disconnect leaves LIS graduates underprepared for teaching roles and limits their recognition as academic contributors. The absence of formal teaching credentials and policy support further marginalizes librarians from curriculum development and instructional delivery.</w:t>
      </w:r>
    </w:p>
    <w:p w14:paraId="0000000F" w14:textId="77777777" w:rsidR="00E74B02" w:rsidRDefault="00087F65">
      <w:pPr>
        <w:spacing w:before="24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In an era of misinformation, algorithmic bias, and data-driven decision-making, digital literacy has become a foundational academic and civic competency. Librarians, with their expertise in information evaluation and access, are uniquely positioned to lead digital literacy education. Embedding them into formal teaching structures is not only a professional necessity but a strategic imperative for institutions seeking to foster critical thinking and digital fluency.</w:t>
      </w:r>
    </w:p>
    <w:p w14:paraId="00000010" w14:textId="77777777" w:rsidR="00E74B02" w:rsidRDefault="00087F65">
      <w:pPr>
        <w:spacing w:before="24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This study explores the feasibility of integrating librarians into teaching roles under India’s National Education Policy (NEP) 2020. It aims to (1) assess institutional and curricular barriers, (2) examine policy frameworks supporting librarian-led digital literacy initiatives, and (3) </w:t>
      </w:r>
      <w:proofErr w:type="spellStart"/>
      <w:r>
        <w:rPr>
          <w:rFonts w:ascii="Times New Roman" w:eastAsia="Times New Roman" w:hAnsi="Times New Roman" w:cs="Times New Roman"/>
        </w:rPr>
        <w:t>analyze</w:t>
      </w:r>
      <w:proofErr w:type="spellEnd"/>
      <w:r>
        <w:rPr>
          <w:rFonts w:ascii="Times New Roman" w:eastAsia="Times New Roman" w:hAnsi="Times New Roman" w:cs="Times New Roman"/>
        </w:rPr>
        <w:t xml:space="preserve"> global best practices to inform LIS education reform. The research contributes to the broader discourse on digital equity, interdisciplinary learning, and the redefinition of librarianship in the 21st century.</w:t>
      </w:r>
    </w:p>
    <w:p w14:paraId="00000011" w14:textId="77777777" w:rsidR="00E74B02" w:rsidRDefault="00087F65">
      <w:pPr>
        <w:numPr>
          <w:ilvl w:val="0"/>
          <w:numId w:val="1"/>
        </w:numPr>
        <w:pBdr>
          <w:top w:val="nil"/>
          <w:left w:val="nil"/>
          <w:bottom w:val="nil"/>
          <w:right w:val="nil"/>
          <w:between w:val="nil"/>
        </w:pBdr>
        <w:spacing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Literature Review</w:t>
      </w:r>
    </w:p>
    <w:p w14:paraId="00000012" w14:textId="19E7A2E7" w:rsidR="00E74B02" w:rsidRPr="00513022" w:rsidRDefault="00087F65">
      <w:pPr>
        <w:pBdr>
          <w:top w:val="nil"/>
          <w:left w:val="nil"/>
          <w:bottom w:val="nil"/>
          <w:right w:val="nil"/>
          <w:between w:val="nil"/>
        </w:pBdr>
        <w:spacing w:line="360" w:lineRule="auto"/>
        <w:ind w:firstLine="720"/>
        <w:jc w:val="both"/>
        <w:rPr>
          <w:rFonts w:ascii="Times New Roman" w:eastAsia="Times New Roman" w:hAnsi="Times New Roman" w:cs="Times New Roman"/>
          <w:color w:val="EE0000"/>
        </w:rPr>
      </w:pPr>
      <w:r>
        <w:rPr>
          <w:rFonts w:ascii="Times New Roman" w:eastAsia="Times New Roman" w:hAnsi="Times New Roman" w:cs="Times New Roman"/>
        </w:rPr>
        <w:t xml:space="preserve">The literature on Library and Information Science (LIS) education, digital literacy, and librarian-teacher integration reflects a growing recognition of the evolving instructional role of librarians in higher education. Traditionally viewed as custodians of information, librarians are increasingly expected to serve as educators, particularly in digital literacy—a competency critical for navigating misinformation, algorithmic bias, and information overload (Mackey &amp; Jacobson, 2011; </w:t>
      </w:r>
      <w:proofErr w:type="spellStart"/>
      <w:r>
        <w:rPr>
          <w:rFonts w:ascii="Times New Roman" w:eastAsia="Times New Roman" w:hAnsi="Times New Roman" w:cs="Times New Roman"/>
        </w:rPr>
        <w:t>Martzoukou</w:t>
      </w:r>
      <w:proofErr w:type="spellEnd"/>
      <w:r>
        <w:rPr>
          <w:rFonts w:ascii="Times New Roman" w:eastAsia="Times New Roman" w:hAnsi="Times New Roman" w:cs="Times New Roman"/>
        </w:rPr>
        <w:t>, 2021; Johnston, 2020).</w:t>
      </w:r>
      <w:r w:rsidR="00513022">
        <w:rPr>
          <w:rFonts w:ascii="Times New Roman" w:eastAsia="Times New Roman" w:hAnsi="Times New Roman" w:cs="Times New Roman"/>
        </w:rPr>
        <w:t xml:space="preserve"> </w:t>
      </w:r>
      <w:r w:rsidR="00513022" w:rsidRPr="00513022">
        <w:rPr>
          <w:rFonts w:ascii="Times New Roman" w:eastAsia="Times New Roman" w:hAnsi="Times New Roman" w:cs="Times New Roman"/>
          <w:color w:val="EE0000"/>
        </w:rPr>
        <w:t xml:space="preserve">the growing recognition of librarians as active contributors to teaching and digital literacy within higher education, especially in the context of India’s National Education Policy (NEP) 2020. </w:t>
      </w:r>
      <w:proofErr w:type="spellStart"/>
      <w:r w:rsidR="00513022" w:rsidRPr="00513022">
        <w:rPr>
          <w:rFonts w:ascii="Times New Roman" w:eastAsia="Times New Roman" w:hAnsi="Times New Roman" w:cs="Times New Roman"/>
          <w:color w:val="EE0000"/>
        </w:rPr>
        <w:t>Vagdal</w:t>
      </w:r>
      <w:proofErr w:type="spellEnd"/>
      <w:r w:rsidR="00513022" w:rsidRPr="00513022">
        <w:rPr>
          <w:rFonts w:ascii="Times New Roman" w:eastAsia="Times New Roman" w:hAnsi="Times New Roman" w:cs="Times New Roman"/>
          <w:color w:val="EE0000"/>
        </w:rPr>
        <w:t xml:space="preserve"> and Acharya (2023) highlight the transformative potential of NEP 2020 in redefining librarians’ academic roles, while Jayamma et al. (2023) emphasize the library's contribution to interdisciplinary education and digital inclusion. Nazim et al. (2022) provide empirical evidence of high ICT self-efficacy among Indian librarians, reinforcing their readiness for instructional responsibilities in digital </w:t>
      </w:r>
      <w:r w:rsidR="00513022" w:rsidRPr="00513022">
        <w:rPr>
          <w:rFonts w:ascii="Times New Roman" w:eastAsia="Times New Roman" w:hAnsi="Times New Roman" w:cs="Times New Roman"/>
          <w:color w:val="EE0000"/>
        </w:rPr>
        <w:lastRenderedPageBreak/>
        <w:t xml:space="preserve">environments. Mukherjee and Patra (2023) </w:t>
      </w:r>
      <w:proofErr w:type="spellStart"/>
      <w:r w:rsidR="00513022" w:rsidRPr="00513022">
        <w:rPr>
          <w:rFonts w:ascii="Times New Roman" w:eastAsia="Times New Roman" w:hAnsi="Times New Roman" w:cs="Times New Roman"/>
          <w:color w:val="EE0000"/>
        </w:rPr>
        <w:t>analyze</w:t>
      </w:r>
      <w:proofErr w:type="spellEnd"/>
      <w:r w:rsidR="00513022" w:rsidRPr="00513022">
        <w:rPr>
          <w:rFonts w:ascii="Times New Roman" w:eastAsia="Times New Roman" w:hAnsi="Times New Roman" w:cs="Times New Roman"/>
          <w:color w:val="EE0000"/>
        </w:rPr>
        <w:t xml:space="preserve"> digital library initiatives across India, revealing infrastructural gaps and calling for policy-driven support to empower librarians in knowledge dissemination. Rathore (2024) further stresses that the successful implementation of NEP 2020 depends on the institutional recognition of librarians as digital literacy leaders. Collectively, these studies confirm the urgency for policy alignment, curriculum reform, and capacity building to formally integrate librarians into teaching structures in the Indian higher education landscape.</w:t>
      </w:r>
    </w:p>
    <w:p w14:paraId="00000013" w14:textId="77777777" w:rsidR="00E74B02" w:rsidRDefault="00087F65">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However, LIS education frameworks often fall short in preparing professionals for teaching roles. </w:t>
      </w:r>
      <w:proofErr w:type="spellStart"/>
      <w:r>
        <w:rPr>
          <w:rFonts w:ascii="Times New Roman" w:eastAsia="Times New Roman" w:hAnsi="Times New Roman" w:cs="Times New Roman"/>
        </w:rPr>
        <w:t>Corrall</w:t>
      </w:r>
      <w:proofErr w:type="spellEnd"/>
      <w:r>
        <w:rPr>
          <w:rFonts w:ascii="Times New Roman" w:eastAsia="Times New Roman" w:hAnsi="Times New Roman" w:cs="Times New Roman"/>
        </w:rPr>
        <w:t xml:space="preserve"> (2010), Raju (2017), and Hensley (2013) argue that most LIS curricula lack pedagogical training, instructional design, and assessment literacy. Julien and Genuis (2011) and Saunders (2015) further emphasize the need for integrating educational theory and reflective teaching practices into LIS programs. Yukawa (2010) and Bruce (2008) propose blended learning and informed learning models to bridge this gap.</w:t>
      </w:r>
    </w:p>
    <w:p w14:paraId="00000014" w14:textId="77777777" w:rsidR="00E74B02" w:rsidRDefault="00087F65">
      <w:pPr>
        <w:spacing w:after="0" w:line="360" w:lineRule="auto"/>
        <w:ind w:firstLine="630"/>
        <w:jc w:val="both"/>
        <w:rPr>
          <w:rFonts w:ascii="Times New Roman" w:eastAsia="Times New Roman" w:hAnsi="Times New Roman" w:cs="Times New Roman"/>
        </w:rPr>
      </w:pPr>
      <w:r>
        <w:rPr>
          <w:rFonts w:ascii="Times New Roman" w:eastAsia="Times New Roman" w:hAnsi="Times New Roman" w:cs="Times New Roman"/>
        </w:rPr>
        <w:t>Digital literacy initiatives led by academic libraries have gained prominence globally. The ACRL Framework (2014) and the concept of meta literacy (Mackey &amp; Jacobson, 2011) have redefined information literacy as participatory and reflective. Studies by Lloyd (2010), Head (2013), and Jaeger et al. (2012) highlight the strategic role of librarians in fostering digital inclusion. Secker and Coonan (2013), Beetham and Sharpe (2010), and Virkus (2012) explore how digital literacy instruction enhances student engagement and research skills.</w:t>
      </w:r>
    </w:p>
    <w:p w14:paraId="00000015" w14:textId="77777777" w:rsidR="00E74B02" w:rsidRDefault="00087F65">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Internationally, models of librarian-teacher integration offer valuable insights. Shank et al. (2011) introduced “blended librarianship,” advocating for librarians as co-instructors. Wang (2010) proposed a curricular integration model, while Hallam et al. (2018) documented institutional strategies at the University of Queensland. Julien and Given (2003), Oakleaf (2010), and Maybee (2006) examined faculty-librarian collaboration in North America. Klebansky and Fraser (2013) and Johnston (2020) explored curriculum co-design in Australia. Studies from South Africa (Raju, 2017), Singapore (Foo et al., 2011), and the UK (Bent et al., 2007) further illustrate diverse approaches to embedding librarians into teaching roles.</w:t>
      </w:r>
    </w:p>
    <w:p w14:paraId="00000016" w14:textId="77777777" w:rsidR="00E74B02" w:rsidRDefault="00087F65">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Despite these advancements, several gaps persist. Many institutions lack formal policies recognizing librarians as educators (Johnston, 2020; </w:t>
      </w:r>
      <w:proofErr w:type="spellStart"/>
      <w:r>
        <w:rPr>
          <w:rFonts w:ascii="Times New Roman" w:eastAsia="Times New Roman" w:hAnsi="Times New Roman" w:cs="Times New Roman"/>
        </w:rPr>
        <w:t>Martzoukou</w:t>
      </w:r>
      <w:proofErr w:type="spellEnd"/>
      <w:r>
        <w:rPr>
          <w:rFonts w:ascii="Times New Roman" w:eastAsia="Times New Roman" w:hAnsi="Times New Roman" w:cs="Times New Roman"/>
        </w:rPr>
        <w:t>, 2021). LIS programs remain slow to adopt pedagogical training (</w:t>
      </w:r>
      <w:proofErr w:type="spellStart"/>
      <w:r>
        <w:rPr>
          <w:rFonts w:ascii="Times New Roman" w:eastAsia="Times New Roman" w:hAnsi="Times New Roman" w:cs="Times New Roman"/>
        </w:rPr>
        <w:t>Corrall</w:t>
      </w:r>
      <w:proofErr w:type="spellEnd"/>
      <w:r>
        <w:rPr>
          <w:rFonts w:ascii="Times New Roman" w:eastAsia="Times New Roman" w:hAnsi="Times New Roman" w:cs="Times New Roman"/>
        </w:rPr>
        <w:t>, 2010; Raju, 2017), and empirical studies on the long-term impact of librarian-led instruction are limited (Julien &amp; Genuis, 2011; Oakleaf, 2010). These challenges underscore the need for interdisciplinary approaches that integrate LIS, education policy, and digital pedagogy.</w:t>
      </w:r>
    </w:p>
    <w:p w14:paraId="00000017" w14:textId="77777777" w:rsidR="00E74B02" w:rsidRDefault="00087F65">
      <w:pPr>
        <w:spacing w:after="0" w:line="360" w:lineRule="auto"/>
        <w:ind w:left="90" w:firstLine="630"/>
        <w:jc w:val="both"/>
        <w:rPr>
          <w:rFonts w:ascii="Times New Roman" w:eastAsia="Times New Roman" w:hAnsi="Times New Roman" w:cs="Times New Roman"/>
        </w:rPr>
      </w:pPr>
      <w:r>
        <w:rPr>
          <w:rFonts w:ascii="Times New Roman" w:eastAsia="Times New Roman" w:hAnsi="Times New Roman" w:cs="Times New Roman"/>
        </w:rPr>
        <w:lastRenderedPageBreak/>
        <w:t>Frameworks such as TPACK (Mishra &amp; Koehler, 2006), connectivism (Siemens, 2005), and communities of practice (Wenger, 1998) support the integration of librarians into digital learning environments. Gersch et al. (2016) demonstrated how the ACRL Framework and TPACK converge in online instruction. Lewis (2019) and Bruce (2008) emphasized the importance of open infrastructure and informed learning in shaping the future of academic libraries.</w:t>
      </w:r>
    </w:p>
    <w:p w14:paraId="00000018" w14:textId="77777777" w:rsidR="00E74B02" w:rsidRDefault="00087F65">
      <w:pPr>
        <w:spacing w:after="0" w:line="360" w:lineRule="auto"/>
        <w:ind w:left="90" w:firstLine="630"/>
        <w:jc w:val="both"/>
        <w:rPr>
          <w:rFonts w:ascii="Times New Roman" w:eastAsia="Times New Roman" w:hAnsi="Times New Roman" w:cs="Times New Roman"/>
          <w:b/>
        </w:rPr>
      </w:pPr>
      <w:r>
        <w:rPr>
          <w:rFonts w:ascii="Times New Roman" w:eastAsia="Times New Roman" w:hAnsi="Times New Roman" w:cs="Times New Roman"/>
        </w:rPr>
        <w:t>In sum, the literature supports a reimagining of librarianship—one that positions LIS professionals as educators, curriculum collaborators, and digital literacy leaders. Realizing this vision requires systemic reforms in LIS education, institutional policy, and professional recognition.</w:t>
      </w:r>
    </w:p>
    <w:p w14:paraId="00000019" w14:textId="77777777" w:rsidR="00E74B02" w:rsidRDefault="00087F65">
      <w:pPr>
        <w:numPr>
          <w:ilvl w:val="0"/>
          <w:numId w:val="1"/>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Research Objectives and Questions</w:t>
      </w:r>
    </w:p>
    <w:p w14:paraId="0000001A" w14:textId="77777777" w:rsidR="00E74B02" w:rsidRDefault="00087F65">
      <w:pPr>
        <w:numPr>
          <w:ilvl w:val="1"/>
          <w:numId w:val="13"/>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Research Objectives</w:t>
      </w:r>
    </w:p>
    <w:p w14:paraId="0000001B"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The overarching aim of this study is to explore the evolving role of Library and Information Science (LIS) professionals as educators in the context of India’s National Education Policy (NEP) 2020. The study is guided by three interrelated objectives:</w:t>
      </w:r>
    </w:p>
    <w:p w14:paraId="0000001C"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3.1.1. Assessing the Feasibility of Librarian-Teacher Integration under NEP 2020</w:t>
      </w:r>
    </w:p>
    <w:p w14:paraId="0000001D"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NEP 2020 emphasizes multidisciplinary education, digital empowerment, and faculty development—principles that align closely with the emerging instructional roles of academic librarians. This objective seeks to evaluate the structural, curricular, and institutional conditions that either facilitate or hinder the formal integration of librarians into teaching roles. It also examines the extent to which current LIS education equips professionals with the pedagogical competencies required to function as educators in higher education institutions.</w:t>
      </w:r>
    </w:p>
    <w:p w14:paraId="0000001E"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3.1.2. Investigating Policy Frameworks Supporting Digital Literacy in Academic Libraries</w:t>
      </w:r>
    </w:p>
    <w:p w14:paraId="0000001F"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 digital literacy becomes a foundational academic and civic skill, libraries are increasingly expected to lead structured initiatives that promote critical information use, ethical digital </w:t>
      </w:r>
      <w:proofErr w:type="spellStart"/>
      <w:r>
        <w:rPr>
          <w:rFonts w:ascii="Times New Roman" w:eastAsia="Times New Roman" w:hAnsi="Times New Roman" w:cs="Times New Roman"/>
        </w:rPr>
        <w:t>behavior</w:t>
      </w:r>
      <w:proofErr w:type="spellEnd"/>
      <w:r>
        <w:rPr>
          <w:rFonts w:ascii="Times New Roman" w:eastAsia="Times New Roman" w:hAnsi="Times New Roman" w:cs="Times New Roman"/>
        </w:rPr>
        <w:t>, and research fluency. This objective explores existing national and institutional policy frameworks that define, support, or limit the role of librarians in digital literacy education. It also identifies gaps in policy implementation and proposes strategies for embedding librarianship into broader digital inclusion agendas.</w:t>
      </w:r>
    </w:p>
    <w:p w14:paraId="00000020"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3.1.3. Analysing Global Best Practices in LIS Professional Integration</w:t>
      </w:r>
    </w:p>
    <w:p w14:paraId="00000021"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To contextualize the Indian experience, this objective examines international models where librarians have successfully assumed dual roles as educators and information professionals. By analysing case studies from countries such as Australia, the United States, South Africa, and the UK, the study identifies transferable strategies, accreditation mechanisms, and collaborative teaching models that can inform LIS education reform and institutional policy in India.</w:t>
      </w:r>
    </w:p>
    <w:p w14:paraId="00000022" w14:textId="77777777" w:rsidR="00E74B02" w:rsidRDefault="00087F65">
      <w:pPr>
        <w:numPr>
          <w:ilvl w:val="1"/>
          <w:numId w:val="12"/>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Research Questions</w:t>
      </w:r>
    </w:p>
    <w:p w14:paraId="00000023"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To address the above objectives, the study is guided by the following research questions:</w:t>
      </w:r>
    </w:p>
    <w:p w14:paraId="00000024"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3.2.1. How can LIS professionals be formally incorporated into academic teaching structures?</w:t>
      </w:r>
    </w:p>
    <w:p w14:paraId="00000025" w14:textId="77777777" w:rsidR="00E74B02" w:rsidRDefault="00087F65">
      <w:pPr>
        <w:numPr>
          <w:ilvl w:val="0"/>
          <w:numId w:val="9"/>
        </w:numPr>
        <w:spacing w:line="360" w:lineRule="auto"/>
        <w:jc w:val="both"/>
        <w:rPr>
          <w:rFonts w:ascii="Times New Roman" w:eastAsia="Times New Roman" w:hAnsi="Times New Roman" w:cs="Times New Roman"/>
        </w:rPr>
      </w:pPr>
      <w:r>
        <w:rPr>
          <w:rFonts w:ascii="Times New Roman" w:eastAsia="Times New Roman" w:hAnsi="Times New Roman" w:cs="Times New Roman"/>
        </w:rPr>
        <w:t>What institutional reforms, accreditation mechanisms, and curricular changes are necessary to enable librarians to function as educators?</w:t>
      </w:r>
    </w:p>
    <w:p w14:paraId="00000026" w14:textId="77777777" w:rsidR="00E74B02" w:rsidRDefault="00087F65">
      <w:pPr>
        <w:numPr>
          <w:ilvl w:val="0"/>
          <w:numId w:val="9"/>
        </w:numPr>
        <w:spacing w:line="360" w:lineRule="auto"/>
        <w:jc w:val="both"/>
        <w:rPr>
          <w:rFonts w:ascii="Times New Roman" w:eastAsia="Times New Roman" w:hAnsi="Times New Roman" w:cs="Times New Roman"/>
        </w:rPr>
      </w:pPr>
      <w:r>
        <w:rPr>
          <w:rFonts w:ascii="Times New Roman" w:eastAsia="Times New Roman" w:hAnsi="Times New Roman" w:cs="Times New Roman"/>
        </w:rPr>
        <w:t>How can co-teaching models, embedded instruction, and librarian-led courses be institutionalized within higher education frameworks?</w:t>
      </w:r>
    </w:p>
    <w:p w14:paraId="00000027"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3.2.2. What policy frameworks currently exist to support librarians in digital literacy initiatives?</w:t>
      </w:r>
    </w:p>
    <w:p w14:paraId="00000028" w14:textId="77777777" w:rsidR="00E74B02" w:rsidRDefault="00087F65">
      <w:pPr>
        <w:numPr>
          <w:ilvl w:val="0"/>
          <w:numId w:val="10"/>
        </w:numPr>
        <w:spacing w:line="360" w:lineRule="auto"/>
        <w:jc w:val="both"/>
        <w:rPr>
          <w:rFonts w:ascii="Times New Roman" w:eastAsia="Times New Roman" w:hAnsi="Times New Roman" w:cs="Times New Roman"/>
        </w:rPr>
      </w:pPr>
      <w:r>
        <w:rPr>
          <w:rFonts w:ascii="Times New Roman" w:eastAsia="Times New Roman" w:hAnsi="Times New Roman" w:cs="Times New Roman"/>
        </w:rPr>
        <w:t>How do national education policies, such as NEP 2020, define the instructional role of librarians?</w:t>
      </w:r>
    </w:p>
    <w:p w14:paraId="00000029" w14:textId="77777777" w:rsidR="00E74B02" w:rsidRDefault="00087F65">
      <w:pPr>
        <w:numPr>
          <w:ilvl w:val="0"/>
          <w:numId w:val="10"/>
        </w:numPr>
        <w:spacing w:line="360" w:lineRule="auto"/>
        <w:jc w:val="both"/>
        <w:rPr>
          <w:rFonts w:ascii="Times New Roman" w:eastAsia="Times New Roman" w:hAnsi="Times New Roman" w:cs="Times New Roman"/>
        </w:rPr>
      </w:pPr>
      <w:r>
        <w:rPr>
          <w:rFonts w:ascii="Times New Roman" w:eastAsia="Times New Roman" w:hAnsi="Times New Roman" w:cs="Times New Roman"/>
        </w:rPr>
        <w:t>What institutional mandates or funding mechanisms support librarian-led digital literacy programs?</w:t>
      </w:r>
    </w:p>
    <w:p w14:paraId="0000002A" w14:textId="77777777" w:rsidR="00E74B02" w:rsidRDefault="00087F65">
      <w:pPr>
        <w:numPr>
          <w:ilvl w:val="0"/>
          <w:numId w:val="10"/>
        </w:numPr>
        <w:spacing w:line="360" w:lineRule="auto"/>
        <w:jc w:val="both"/>
        <w:rPr>
          <w:rFonts w:ascii="Times New Roman" w:eastAsia="Times New Roman" w:hAnsi="Times New Roman" w:cs="Times New Roman"/>
        </w:rPr>
      </w:pPr>
      <w:r>
        <w:rPr>
          <w:rFonts w:ascii="Times New Roman" w:eastAsia="Times New Roman" w:hAnsi="Times New Roman" w:cs="Times New Roman"/>
        </w:rPr>
        <w:t>What are the barriers to policy implementation at the institutional level?</w:t>
      </w:r>
    </w:p>
    <w:p w14:paraId="0000002B"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3.2.3. How do international LIS education models address librarian-teacher dual identities?</w:t>
      </w:r>
    </w:p>
    <w:p w14:paraId="0000002C" w14:textId="77777777" w:rsidR="00E74B02" w:rsidRDefault="00087F65">
      <w:pPr>
        <w:numPr>
          <w:ilvl w:val="0"/>
          <w:numId w:val="11"/>
        </w:numPr>
        <w:spacing w:line="360" w:lineRule="auto"/>
        <w:jc w:val="both"/>
        <w:rPr>
          <w:rFonts w:ascii="Times New Roman" w:eastAsia="Times New Roman" w:hAnsi="Times New Roman" w:cs="Times New Roman"/>
        </w:rPr>
      </w:pPr>
      <w:r>
        <w:rPr>
          <w:rFonts w:ascii="Times New Roman" w:eastAsia="Times New Roman" w:hAnsi="Times New Roman" w:cs="Times New Roman"/>
        </w:rPr>
        <w:t>What pedagogical competencies are embedded in LIS curricula globally to prepare librarians for teaching roles?</w:t>
      </w:r>
    </w:p>
    <w:p w14:paraId="0000002D" w14:textId="77777777" w:rsidR="00E74B02" w:rsidRDefault="00087F65">
      <w:pPr>
        <w:numPr>
          <w:ilvl w:val="0"/>
          <w:numId w:val="11"/>
        </w:numPr>
        <w:spacing w:line="360" w:lineRule="auto"/>
        <w:jc w:val="both"/>
        <w:rPr>
          <w:rFonts w:ascii="Times New Roman" w:eastAsia="Times New Roman" w:hAnsi="Times New Roman" w:cs="Times New Roman"/>
        </w:rPr>
      </w:pPr>
      <w:r>
        <w:rPr>
          <w:rFonts w:ascii="Times New Roman" w:eastAsia="Times New Roman" w:hAnsi="Times New Roman" w:cs="Times New Roman"/>
        </w:rPr>
        <w:t>How do universities in other countries recognize and support librarians as academic instructors?</w:t>
      </w:r>
    </w:p>
    <w:p w14:paraId="0000002E" w14:textId="77777777" w:rsidR="00E74B02" w:rsidRDefault="00087F65">
      <w:pPr>
        <w:numPr>
          <w:ilvl w:val="0"/>
          <w:numId w:val="11"/>
        </w:numPr>
        <w:spacing w:line="360" w:lineRule="auto"/>
        <w:jc w:val="both"/>
        <w:rPr>
          <w:rFonts w:ascii="Times New Roman" w:eastAsia="Times New Roman" w:hAnsi="Times New Roman" w:cs="Times New Roman"/>
        </w:rPr>
      </w:pPr>
      <w:r>
        <w:rPr>
          <w:rFonts w:ascii="Times New Roman" w:eastAsia="Times New Roman" w:hAnsi="Times New Roman" w:cs="Times New Roman"/>
        </w:rPr>
        <w:t>What lessons can Indian LIS institutions and policymakers draw from these global practices?</w:t>
      </w:r>
    </w:p>
    <w:p w14:paraId="0000002F"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4. Methodology</w:t>
      </w:r>
    </w:p>
    <w:p w14:paraId="00000030"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4.1 Research Design: Mixed-Method Approach</w:t>
      </w:r>
    </w:p>
    <w:p w14:paraId="00000031" w14:textId="61135A25" w:rsidR="00E74B02" w:rsidRDefault="00055946">
      <w:pPr>
        <w:spacing w:line="360" w:lineRule="auto"/>
        <w:jc w:val="both"/>
        <w:rPr>
          <w:rFonts w:ascii="Times New Roman" w:eastAsia="Times New Roman" w:hAnsi="Times New Roman" w:cs="Times New Roman"/>
        </w:rPr>
      </w:pPr>
      <w:r w:rsidRPr="00055946">
        <w:rPr>
          <w:rFonts w:ascii="Times New Roman" w:eastAsia="Times New Roman" w:hAnsi="Times New Roman" w:cs="Times New Roman"/>
          <w:color w:val="EE0000"/>
        </w:rPr>
        <w:t xml:space="preserve">This study involved surveys of some academic librarians across Indian HEIs and in-depth interviews with a few policymakers and educators. </w:t>
      </w:r>
      <w:r w:rsidR="00087F65">
        <w:rPr>
          <w:rFonts w:ascii="Times New Roman" w:eastAsia="Times New Roman" w:hAnsi="Times New Roman" w:cs="Times New Roman"/>
        </w:rPr>
        <w:t>This study adopts a mixed-method research design, integrating both qualitative and comparative approaches to explore the evolving instructional role of librarians. The rationale for this design lies in its ability to capture the complexity of policy, institutional culture, and professional identity formation across diverse educational contexts. The qualitative component provides in-depth insights into stakeholder perspectives, while the comparative policy analysis enables the identification of transferable global practices. This triangulation enhances the validity and applicability of the findings, particularly in the context of India’s National Education Policy (NEP) 2020.</w:t>
      </w:r>
    </w:p>
    <w:p w14:paraId="00000032"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4.2 Data Collection</w:t>
      </w:r>
    </w:p>
    <w:p w14:paraId="00000033"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4.2.1 Surveys and Interviews</w:t>
      </w:r>
    </w:p>
    <w:p w14:paraId="00000034" w14:textId="7C87E12D" w:rsidR="00E74B02" w:rsidRDefault="00055946">
      <w:pPr>
        <w:spacing w:line="360" w:lineRule="auto"/>
        <w:jc w:val="both"/>
        <w:rPr>
          <w:rFonts w:ascii="Times New Roman" w:eastAsia="Times New Roman" w:hAnsi="Times New Roman" w:cs="Times New Roman"/>
        </w:rPr>
      </w:pPr>
      <w:r w:rsidRPr="00055946">
        <w:rPr>
          <w:rFonts w:ascii="Times New Roman" w:eastAsia="Times New Roman" w:hAnsi="Times New Roman" w:cs="Times New Roman"/>
          <w:color w:val="EE0000"/>
        </w:rPr>
        <w:t>The survey revealed that some respondents lacked formal teaching roles, though more respondents are involved in digital literacy initiatives informally.</w:t>
      </w:r>
      <w:r>
        <w:rPr>
          <w:rFonts w:ascii="Times New Roman" w:eastAsia="Times New Roman" w:hAnsi="Times New Roman" w:cs="Times New Roman"/>
        </w:rPr>
        <w:t xml:space="preserve"> </w:t>
      </w:r>
      <w:r w:rsidR="00087F65">
        <w:rPr>
          <w:rFonts w:ascii="Times New Roman" w:eastAsia="Times New Roman" w:hAnsi="Times New Roman" w:cs="Times New Roman"/>
        </w:rPr>
        <w:t>Primary data is collected through structured surveys and semi-structured interviews with three key stakeholder groups:</w:t>
      </w:r>
    </w:p>
    <w:p w14:paraId="00000035" w14:textId="77777777" w:rsidR="00E74B02" w:rsidRDefault="00087F65">
      <w:pPr>
        <w:numPr>
          <w:ilvl w:val="0"/>
          <w:numId w:val="14"/>
        </w:numPr>
        <w:spacing w:line="360" w:lineRule="auto"/>
        <w:jc w:val="both"/>
        <w:rPr>
          <w:rFonts w:ascii="Times New Roman" w:eastAsia="Times New Roman" w:hAnsi="Times New Roman" w:cs="Times New Roman"/>
        </w:rPr>
      </w:pPr>
      <w:r>
        <w:rPr>
          <w:rFonts w:ascii="Times New Roman" w:eastAsia="Times New Roman" w:hAnsi="Times New Roman" w:cs="Times New Roman"/>
        </w:rPr>
        <w:t>Library and Information Science (LIS) professionals working in academic institutions</w:t>
      </w:r>
    </w:p>
    <w:p w14:paraId="00000036" w14:textId="77777777" w:rsidR="00E74B02" w:rsidRDefault="00087F65">
      <w:pPr>
        <w:numPr>
          <w:ilvl w:val="0"/>
          <w:numId w:val="14"/>
        </w:numPr>
        <w:spacing w:line="360" w:lineRule="auto"/>
        <w:jc w:val="both"/>
        <w:rPr>
          <w:rFonts w:ascii="Times New Roman" w:eastAsia="Times New Roman" w:hAnsi="Times New Roman" w:cs="Times New Roman"/>
        </w:rPr>
      </w:pPr>
      <w:r>
        <w:rPr>
          <w:rFonts w:ascii="Times New Roman" w:eastAsia="Times New Roman" w:hAnsi="Times New Roman" w:cs="Times New Roman"/>
        </w:rPr>
        <w:t>Faculty members and academic administrators</w:t>
      </w:r>
    </w:p>
    <w:p w14:paraId="00000037" w14:textId="77777777" w:rsidR="00E74B02" w:rsidRDefault="00087F65">
      <w:pPr>
        <w:numPr>
          <w:ilvl w:val="0"/>
          <w:numId w:val="14"/>
        </w:numPr>
        <w:spacing w:line="360" w:lineRule="auto"/>
        <w:jc w:val="both"/>
        <w:rPr>
          <w:rFonts w:ascii="Times New Roman" w:eastAsia="Times New Roman" w:hAnsi="Times New Roman" w:cs="Times New Roman"/>
        </w:rPr>
      </w:pPr>
      <w:r>
        <w:rPr>
          <w:rFonts w:ascii="Times New Roman" w:eastAsia="Times New Roman" w:hAnsi="Times New Roman" w:cs="Times New Roman"/>
        </w:rPr>
        <w:t>Policymakers and education planners involved in NEP 2020 implementation</w:t>
      </w:r>
    </w:p>
    <w:p w14:paraId="00000038"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The survey instrument includes both closed- and open-ended questions designed to assess perceptions of librarian-teacher integration, digital literacy responsibilities, and institutional support mechanisms. Interviews are conducted to explore nuanced perspectives on policy gaps, professional development needs, and collaborative teaching experiences. Participants are selected using purposive sampling to ensure representation across public and private institutions, geographic regions, and levels of seniority.</w:t>
      </w:r>
    </w:p>
    <w:p w14:paraId="00000039"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4.2.2 Case Studies of International Academic Institutions</w:t>
      </w:r>
    </w:p>
    <w:p w14:paraId="0000003A"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To contextualize the Indian experience, the study includes case studies from academic libraries in Australia, the United States, South Africa, and the United Kingdom. These cases are selected based on documented success in integrating librarians into teaching roles and implementing </w:t>
      </w:r>
      <w:r>
        <w:rPr>
          <w:rFonts w:ascii="Times New Roman" w:eastAsia="Times New Roman" w:hAnsi="Times New Roman" w:cs="Times New Roman"/>
        </w:rPr>
        <w:lastRenderedPageBreak/>
        <w:t>digital literacy programs. Institutional reports, strategic plans, and published evaluations are analysed to extract best practices, accreditation models, and curricular innovations.</w:t>
      </w:r>
    </w:p>
    <w:p w14:paraId="0000003B"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4.3 Data Analysis</w:t>
      </w:r>
    </w:p>
    <w:p w14:paraId="0000003C"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4.3.1 Thematic Coding</w:t>
      </w:r>
    </w:p>
    <w:p w14:paraId="0000003D"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Interview transcripts and open-ended survey responses are </w:t>
      </w:r>
      <w:proofErr w:type="spellStart"/>
      <w:r>
        <w:rPr>
          <w:rFonts w:ascii="Times New Roman" w:eastAsia="Times New Roman" w:hAnsi="Times New Roman" w:cs="Times New Roman"/>
        </w:rPr>
        <w:t>analyzed</w:t>
      </w:r>
      <w:proofErr w:type="spellEnd"/>
      <w:r>
        <w:rPr>
          <w:rFonts w:ascii="Times New Roman" w:eastAsia="Times New Roman" w:hAnsi="Times New Roman" w:cs="Times New Roman"/>
        </w:rPr>
        <w:t xml:space="preserve"> using thematic coding. Codes are developed both inductively (emerging from the data) and deductively (based on the research questions and literature review). Themes include: perceptions of librarian identity, barriers to instructional integration, digital literacy leadership, and policy awareness. NVivo software is used to manage and visualize coding patterns.</w:t>
      </w:r>
    </w:p>
    <w:p w14:paraId="0000003E"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4.3.2 Content and Policy Analysis</w:t>
      </w:r>
    </w:p>
    <w:p w14:paraId="0000003F"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Institutional policies, LIS curricula, and national education documents (including NEP 2020) are subjected to content analysis. The goal is to identify explicit and implicit references to librarians’ instructional roles, digital literacy mandates, and professional development pathways. This analysis helps map the alignment—or lack thereof—between policy intent and institutional practice.</w:t>
      </w:r>
    </w:p>
    <w:p w14:paraId="00000040"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4.3.3 Comparative Evaluation of Global LIS Models</w:t>
      </w:r>
    </w:p>
    <w:p w14:paraId="00000041"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A cross-case comparative framework is used to evaluate international LIS education models. Criteria includes; presence of pedagogical training in LIS curricula, formal recognition of librarians as educators, integration into faculty structures, and institutional support for digital literacy initiatives. Findings are synthesized to identify adaptable strategies for the Indian context.</w:t>
      </w:r>
    </w:p>
    <w:p w14:paraId="00000042"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This methodological framework ensures a comprehensive understanding of the structural, curricular, and policy dimensions of librarian-teacher integration. It also provides a robust foundation for generating evidence-based recommendations that are both contextually grounded and globally informed.</w:t>
      </w:r>
    </w:p>
    <w:p w14:paraId="5845AB69" w14:textId="79E5F0BA" w:rsidR="00055946" w:rsidRPr="00055946" w:rsidRDefault="00055946">
      <w:pPr>
        <w:spacing w:line="360" w:lineRule="auto"/>
        <w:jc w:val="both"/>
        <w:rPr>
          <w:rFonts w:ascii="Times New Roman" w:eastAsia="Times New Roman" w:hAnsi="Times New Roman" w:cs="Times New Roman"/>
          <w:b/>
          <w:bCs/>
          <w:color w:val="EE0000"/>
        </w:rPr>
      </w:pPr>
      <w:r w:rsidRPr="00055946">
        <w:rPr>
          <w:rFonts w:ascii="Times New Roman" w:eastAsia="Times New Roman" w:hAnsi="Times New Roman" w:cs="Times New Roman"/>
          <w:b/>
          <w:bCs/>
          <w:color w:val="EE0000"/>
        </w:rPr>
        <w:t>4.4 Summary of Key Survey/Interview Findings</w:t>
      </w:r>
    </w:p>
    <w:p w14:paraId="36179D3C" w14:textId="537AB2AD" w:rsidR="00055946" w:rsidRPr="00055946" w:rsidRDefault="00055946">
      <w:pPr>
        <w:spacing w:line="360" w:lineRule="auto"/>
        <w:jc w:val="both"/>
        <w:rPr>
          <w:rFonts w:ascii="Times New Roman" w:eastAsia="Times New Roman" w:hAnsi="Times New Roman" w:cs="Times New Roman"/>
          <w:color w:val="EE0000"/>
        </w:rPr>
      </w:pPr>
      <w:r w:rsidRPr="00055946">
        <w:rPr>
          <w:rFonts w:ascii="Times New Roman" w:eastAsia="Times New Roman" w:hAnsi="Times New Roman" w:cs="Times New Roman"/>
          <w:color w:val="EE0000"/>
        </w:rPr>
        <w:t>The qualitative data highlighted institutional ambiguity in defining the instructional role of librarians. Respondents expressed a strong need for national-level policy support, professional training, and academic recognition.</w:t>
      </w:r>
    </w:p>
    <w:p w14:paraId="00000043" w14:textId="77777777" w:rsidR="00E74B02" w:rsidRDefault="00087F65">
      <w:pPr>
        <w:numPr>
          <w:ilvl w:val="1"/>
          <w:numId w:val="10"/>
        </w:numPr>
        <w:pBdr>
          <w:top w:val="nil"/>
          <w:left w:val="nil"/>
          <w:bottom w:val="nil"/>
          <w:right w:val="nil"/>
          <w:between w:val="nil"/>
        </w:pBdr>
        <w:spacing w:line="360"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Significance and Expected Outcomes</w:t>
      </w:r>
    </w:p>
    <w:p w14:paraId="00000044"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This study addresses a critical gap in the evolving landscape of higher education: the underutilization of librarians as educators in digital literacy and information instruction. By aligning its inquiry with the priorities of India’s National Education Policy (NEP) 2020 and drawing from global best practices, the research offers both immediate and long-term contributions to policy, practice, and scholarship.</w:t>
      </w:r>
    </w:p>
    <w:p w14:paraId="00000045"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5.1 Practical Implications</w:t>
      </w:r>
    </w:p>
    <w:p w14:paraId="00000046"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5.1.1. Policy Recommendations for Librarian-Teacher Integration</w:t>
      </w:r>
    </w:p>
    <w:p w14:paraId="00000047"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The study is expected to yield actionable policy recommendations that support the formal integration of librarians into academic teaching structures. These may include:</w:t>
      </w:r>
    </w:p>
    <w:p w14:paraId="00000048" w14:textId="77777777" w:rsidR="00E74B02" w:rsidRDefault="00087F65">
      <w:pPr>
        <w:numPr>
          <w:ilvl w:val="0"/>
          <w:numId w:val="15"/>
        </w:numPr>
        <w:spacing w:line="360" w:lineRule="auto"/>
        <w:jc w:val="both"/>
        <w:rPr>
          <w:rFonts w:ascii="Times New Roman" w:eastAsia="Times New Roman" w:hAnsi="Times New Roman" w:cs="Times New Roman"/>
        </w:rPr>
      </w:pPr>
      <w:r>
        <w:rPr>
          <w:rFonts w:ascii="Times New Roman" w:eastAsia="Times New Roman" w:hAnsi="Times New Roman" w:cs="Times New Roman"/>
        </w:rPr>
        <w:t>Establishing national certification pathways for librarians to qualify as instructors in digital literacy, research methodology, and scholarly communication.</w:t>
      </w:r>
    </w:p>
    <w:p w14:paraId="00000049" w14:textId="77777777" w:rsidR="00E74B02" w:rsidRDefault="00087F65">
      <w:pPr>
        <w:numPr>
          <w:ilvl w:val="0"/>
          <w:numId w:val="15"/>
        </w:numPr>
        <w:spacing w:line="360" w:lineRule="auto"/>
        <w:jc w:val="both"/>
        <w:rPr>
          <w:rFonts w:ascii="Times New Roman" w:eastAsia="Times New Roman" w:hAnsi="Times New Roman" w:cs="Times New Roman"/>
        </w:rPr>
      </w:pPr>
      <w:r>
        <w:rPr>
          <w:rFonts w:ascii="Times New Roman" w:eastAsia="Times New Roman" w:hAnsi="Times New Roman" w:cs="Times New Roman"/>
        </w:rPr>
        <w:t>Revising institutional policies to recognize librarians as academic staff eligible for co-teaching roles and curriculum development.</w:t>
      </w:r>
    </w:p>
    <w:p w14:paraId="0000004A" w14:textId="77777777" w:rsidR="00E74B02" w:rsidRDefault="00087F65">
      <w:pPr>
        <w:numPr>
          <w:ilvl w:val="0"/>
          <w:numId w:val="15"/>
        </w:numPr>
        <w:spacing w:line="360" w:lineRule="auto"/>
        <w:jc w:val="both"/>
        <w:rPr>
          <w:rFonts w:ascii="Times New Roman" w:eastAsia="Times New Roman" w:hAnsi="Times New Roman" w:cs="Times New Roman"/>
        </w:rPr>
      </w:pPr>
      <w:r>
        <w:rPr>
          <w:rFonts w:ascii="Times New Roman" w:eastAsia="Times New Roman" w:hAnsi="Times New Roman" w:cs="Times New Roman"/>
        </w:rPr>
        <w:t>Encouraging regulatory bodies such as the University Grants Commission (UGC) and National Assessment and Accreditation Council (NAAC) to include librarian-led instruction as a quality indicator in institutional evaluations.</w:t>
      </w:r>
    </w:p>
    <w:p w14:paraId="0000004B"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5.1.2. Framework for Librarians as Digital Literacy Educators</w:t>
      </w:r>
    </w:p>
    <w:p w14:paraId="0000004C"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The research will propose a structured framework that positions librarians as central actors in digital literacy education. This framework will:</w:t>
      </w:r>
    </w:p>
    <w:p w14:paraId="0000004D" w14:textId="77777777" w:rsidR="00E74B02" w:rsidRDefault="00087F65">
      <w:pPr>
        <w:numPr>
          <w:ilvl w:val="0"/>
          <w:numId w:val="16"/>
        </w:numPr>
        <w:spacing w:line="360" w:lineRule="auto"/>
        <w:jc w:val="both"/>
        <w:rPr>
          <w:rFonts w:ascii="Times New Roman" w:eastAsia="Times New Roman" w:hAnsi="Times New Roman" w:cs="Times New Roman"/>
        </w:rPr>
      </w:pPr>
      <w:r>
        <w:rPr>
          <w:rFonts w:ascii="Times New Roman" w:eastAsia="Times New Roman" w:hAnsi="Times New Roman" w:cs="Times New Roman"/>
        </w:rPr>
        <w:t>Define core competencies required for librarian-led instruction in digital environments.</w:t>
      </w:r>
    </w:p>
    <w:p w14:paraId="0000004E" w14:textId="77777777" w:rsidR="00E74B02" w:rsidRDefault="00087F65">
      <w:pPr>
        <w:numPr>
          <w:ilvl w:val="0"/>
          <w:numId w:val="16"/>
        </w:numPr>
        <w:spacing w:line="360" w:lineRule="auto"/>
        <w:jc w:val="both"/>
        <w:rPr>
          <w:rFonts w:ascii="Times New Roman" w:eastAsia="Times New Roman" w:hAnsi="Times New Roman" w:cs="Times New Roman"/>
        </w:rPr>
      </w:pPr>
      <w:r>
        <w:rPr>
          <w:rFonts w:ascii="Times New Roman" w:eastAsia="Times New Roman" w:hAnsi="Times New Roman" w:cs="Times New Roman"/>
        </w:rPr>
        <w:t>Recommend models for embedding digital literacy modules into undergraduate and postgraduate curricula.</w:t>
      </w:r>
    </w:p>
    <w:p w14:paraId="0000004F" w14:textId="77777777" w:rsidR="00E74B02" w:rsidRDefault="00087F65">
      <w:pPr>
        <w:numPr>
          <w:ilvl w:val="0"/>
          <w:numId w:val="16"/>
        </w:numPr>
        <w:spacing w:line="360" w:lineRule="auto"/>
        <w:jc w:val="both"/>
        <w:rPr>
          <w:rFonts w:ascii="Times New Roman" w:eastAsia="Times New Roman" w:hAnsi="Times New Roman" w:cs="Times New Roman"/>
        </w:rPr>
      </w:pPr>
      <w:r>
        <w:rPr>
          <w:rFonts w:ascii="Times New Roman" w:eastAsia="Times New Roman" w:hAnsi="Times New Roman" w:cs="Times New Roman"/>
        </w:rPr>
        <w:t>Outline institutional support mechanisms, including funding, training, and cross-departmental collaboration, to sustain librarian-led initiatives.</w:t>
      </w:r>
    </w:p>
    <w:p w14:paraId="00000050"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5.2 Academic Contributions</w:t>
      </w:r>
    </w:p>
    <w:p w14:paraId="00000051"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5.2.1. Expansion of LIS Education Discourse</w:t>
      </w:r>
    </w:p>
    <w:p w14:paraId="00000052"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The study contributes to the ongoing reform of LIS education by advocating for the inclusion of pedagogical training, interdisciplinary collaboration, and policy literacy in LIS curricula. It challenges traditional notions of librarianship and repositions LIS professionals as educators, curriculum designers, and digital literacy advocates. This reconceptualization has the potential to influence curriculum development in LIS schools across India and beyond.</w:t>
      </w:r>
    </w:p>
    <w:p w14:paraId="00000053"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5.2.2. Addressing Institutional Challenges in Librarian Identity Formation</w:t>
      </w:r>
    </w:p>
    <w:p w14:paraId="00000054"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By examining the structural and cultural barriers that hinder librarian-teacher integration, the study sheds light on the identity tensions experienced by LIS professionals. It explores how librarians navigate dual roles—as service providers and educators—and how institutional recognition (or lack thereof) shapes their professional trajectories. The findings will inform strategies for identity affirmation, role clarity, and professional advancement within academic institutions.</w:t>
      </w:r>
    </w:p>
    <w:p w14:paraId="00000055"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In sum, this research not only addresses a pressing educational and policy challenge but also contributes to the broader transformation of academic librarianship in the digital age. It offers a roadmap for institutions seeking to harness the full potential of librarians as educators and change agents in a rapidly evolving knowledge ecosystem.</w:t>
      </w:r>
    </w:p>
    <w:p w14:paraId="00000056"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6. Policy Recommendations</w:t>
      </w:r>
    </w:p>
    <w:p w14:paraId="00000057"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To enable the formal integration of librarians into teaching roles and digital literacy leadership, this study proposes a two-pronged strategy: (1) institutional reforms that align LIS education and professional recognition with national education priorities, and (2) a phased roadmap to guide the transition from current practice to full implementation.</w:t>
      </w:r>
    </w:p>
    <w:p w14:paraId="00000058"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6.1 Institutional Reforms</w:t>
      </w:r>
    </w:p>
    <w:p w14:paraId="00000059"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6.1.1. Accreditation and Certification Pathways</w:t>
      </w:r>
    </w:p>
    <w:p w14:paraId="0000005A"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To legitimize the instructional role of librarians, national and institutional accreditation bodies must establish clear certification mechanisms. These may include:</w:t>
      </w:r>
    </w:p>
    <w:p w14:paraId="0000005B" w14:textId="77777777" w:rsidR="00E74B02" w:rsidRDefault="00087F65">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National-level teaching certification programs for LIS professionals, endorsed by regulatory bodies such as the University Grants Commission (UGC) or National Council for Teacher Education (NCTE).</w:t>
      </w:r>
    </w:p>
    <w:p w14:paraId="0000005C" w14:textId="77777777" w:rsidR="00E74B02" w:rsidRDefault="00087F65">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Micro-credentialing or postgraduate diplomas in digital pedagogy, instructional design, and educational technology tailored for librarians.</w:t>
      </w:r>
    </w:p>
    <w:p w14:paraId="0000005D" w14:textId="77777777" w:rsidR="00E74B02" w:rsidRDefault="00087F65">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Institutional policies that recognize certified librarians as eligible for academic teaching roles, including co-teaching, guest lecturing, and curriculum development.</w:t>
      </w:r>
    </w:p>
    <w:p w14:paraId="0000005E"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6.1.2. LIS Curriculum Enhancement</w:t>
      </w:r>
    </w:p>
    <w:p w14:paraId="0000005F"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LIS education must be restructured to reflect the pedagogical and interdisciplinary demands of modern academic librarianship. Key reforms include:</w:t>
      </w:r>
    </w:p>
    <w:p w14:paraId="00000060" w14:textId="77777777" w:rsidR="00E74B02" w:rsidRDefault="00087F65">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Integration of core courses on teaching and learning theories, curriculum design, assessment strategies, and digital pedagogy into LIS degree programs.</w:t>
      </w:r>
    </w:p>
    <w:p w14:paraId="00000061" w14:textId="77777777" w:rsidR="00E74B02" w:rsidRDefault="00087F65">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Inclusion of practicum components where LIS students co-develop and deliver digital literacy workshops or modules in collaboration with faculty.</w:t>
      </w:r>
    </w:p>
    <w:p w14:paraId="00000062" w14:textId="77777777" w:rsidR="00E74B02" w:rsidRDefault="00087F65">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Development of elective tracks or specializations in instructional librarianship, aligned with NEP 2020’s emphasis on multidisciplinary education.</w:t>
      </w:r>
    </w:p>
    <w:p w14:paraId="00000063"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6.1.3. Institutional Recognition and Role Expansion</w:t>
      </w:r>
    </w:p>
    <w:p w14:paraId="00000064"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Academic institutions must formally acknowledge the evolving instructional role of librarians through structural and cultural reforms:</w:t>
      </w:r>
    </w:p>
    <w:p w14:paraId="00000065" w14:textId="77777777" w:rsidR="00E74B02" w:rsidRDefault="00087F65">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Redefining librarian job descriptions to include teaching responsibilities, curriculum collaboration, and digital literacy leadership.</w:t>
      </w:r>
    </w:p>
    <w:p w14:paraId="00000066" w14:textId="77777777" w:rsidR="00E74B02" w:rsidRDefault="00087F65">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Including librarians in academic planning committees, curriculum boards, and faculty development programs.</w:t>
      </w:r>
    </w:p>
    <w:p w14:paraId="00000067" w14:textId="77777777" w:rsidR="00E74B02" w:rsidRDefault="00087F65">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Creating dedicated positions such as “Instructional Librarian” or “Digital Literacy Coordinator” within university libraries to institutionalize their teaching contributions.</w:t>
      </w:r>
    </w:p>
    <w:p w14:paraId="00000068"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6.2 Roadmap for Transition</w:t>
      </w:r>
    </w:p>
    <w:p w14:paraId="00000069"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To ensure sustainable and scalable implementation, the study proposes a three-phase roadmap that guides institutions and policymakers through the transformation process.</w:t>
      </w:r>
    </w:p>
    <w:p w14:paraId="0000006A"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Phase 1: Foundation Building (Short-Term: 1–2 Years)</w:t>
      </w:r>
    </w:p>
    <w:p w14:paraId="0000006B" w14:textId="77777777" w:rsidR="00E74B02" w:rsidRDefault="00087F65">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Conduct institutional audits to assess current librarian involvement in teaching and digital literacy programs.</w:t>
      </w:r>
    </w:p>
    <w:p w14:paraId="0000006C" w14:textId="77777777" w:rsidR="00E74B02" w:rsidRDefault="00087F65">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Organize professional development workshops on pedagogy, digital tools, and curriculum design for LIS professionals.</w:t>
      </w:r>
    </w:p>
    <w:p w14:paraId="0000006D" w14:textId="77777777" w:rsidR="00E74B02" w:rsidRDefault="00087F65">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Initiate pilot programs where librarians co-teach information literacy modules or lead digital skills workshops in collaboration with faculty.</w:t>
      </w:r>
    </w:p>
    <w:p w14:paraId="0000006E"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Phase 2: Policy Integration (Medium-Term: 3–5 Years)</w:t>
      </w:r>
    </w:p>
    <w:p w14:paraId="0000006F" w14:textId="77777777" w:rsidR="00E74B02" w:rsidRDefault="00087F65">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Develop institutional policies that formally recognize librarians as academic contributors and define their instructional roles.</w:t>
      </w:r>
    </w:p>
    <w:p w14:paraId="00000070" w14:textId="77777777" w:rsidR="00E74B02" w:rsidRDefault="00087F65">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Establish partnerships between LIS departments and schools of education to co-develop teaching-focused LIS curricula.</w:t>
      </w:r>
    </w:p>
    <w:p w14:paraId="00000071" w14:textId="77777777" w:rsidR="00E74B02" w:rsidRDefault="00087F65">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Secure funding for librarian-led digital literacy initiatives through internal grants or national education schemes (e.g., RUSA, PM-USHA).</w:t>
      </w:r>
    </w:p>
    <w:p w14:paraId="00000072" w14:textId="77777777" w:rsidR="00E74B02" w:rsidRDefault="00087F65">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Begin integrating librarian-led modules into undergraduate and postgraduate programs across disciplines.</w:t>
      </w:r>
    </w:p>
    <w:p w14:paraId="00000073"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Phase 3: Full Implementation (Long-Term: 5+ Years)</w:t>
      </w:r>
    </w:p>
    <w:p w14:paraId="00000074" w14:textId="77777777" w:rsidR="00E74B02" w:rsidRDefault="00087F65">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Institutionalize librarian teaching roles through formal appointments, academic ranks, and performance evaluation systems.</w:t>
      </w:r>
    </w:p>
    <w:p w14:paraId="00000075" w14:textId="77777777" w:rsidR="00E74B02" w:rsidRDefault="00087F65">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Embed digital literacy instruction as a mandatory component of general education curricula, led or co-led by librarians.</w:t>
      </w:r>
    </w:p>
    <w:p w14:paraId="00000076" w14:textId="77777777" w:rsidR="00E74B02" w:rsidRDefault="00087F65">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Align institutional practices with national accreditation standards that recognize librarian contributions to teaching, research, and student success.</w:t>
      </w:r>
    </w:p>
    <w:p w14:paraId="00000077" w14:textId="77777777" w:rsidR="00E74B02" w:rsidRDefault="00087F65">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Promote international collaborations to benchmark progress and adopt global best practices in librarian-teacher integration.</w:t>
      </w:r>
    </w:p>
    <w:p w14:paraId="00000078"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By implementing these reforms and following the proposed roadmap, academic institutions can unlock the full potential of librarians as educators, digital literacy advocates, and interdisciplinary collaborators. These policy interventions not only align with NEP 2020’s vision of holistic and inclusive education but also position libraries as central to the academic mission of universities in the digital era.</w:t>
      </w:r>
    </w:p>
    <w:p w14:paraId="1CB168B2" w14:textId="513A55AD" w:rsidR="000E7E1A" w:rsidRPr="000E7E1A" w:rsidRDefault="000E7E1A" w:rsidP="000E7E1A">
      <w:pPr>
        <w:spacing w:line="360" w:lineRule="auto"/>
        <w:jc w:val="both"/>
        <w:rPr>
          <w:rFonts w:ascii="Times New Roman" w:eastAsia="Times New Roman" w:hAnsi="Times New Roman" w:cs="Times New Roman"/>
          <w:b/>
          <w:bCs/>
          <w:color w:val="EE0000"/>
        </w:rPr>
      </w:pPr>
      <w:r w:rsidRPr="000E7E1A">
        <w:rPr>
          <w:rFonts w:ascii="Times New Roman" w:eastAsia="Times New Roman" w:hAnsi="Times New Roman" w:cs="Times New Roman"/>
          <w:b/>
          <w:bCs/>
          <w:color w:val="EE0000"/>
        </w:rPr>
        <w:t xml:space="preserve">7. </w:t>
      </w:r>
      <w:r w:rsidRPr="000E7E1A">
        <w:rPr>
          <w:rFonts w:ascii="Times New Roman" w:eastAsia="Times New Roman" w:hAnsi="Times New Roman" w:cs="Times New Roman"/>
          <w:b/>
          <w:bCs/>
          <w:color w:val="EE0000"/>
        </w:rPr>
        <w:t>Results and Discussion</w:t>
      </w:r>
    </w:p>
    <w:p w14:paraId="5D0A4549" w14:textId="77777777" w:rsidR="000E7E1A" w:rsidRPr="000E7E1A" w:rsidRDefault="000E7E1A" w:rsidP="000E7E1A">
      <w:pPr>
        <w:numPr>
          <w:ilvl w:val="0"/>
          <w:numId w:val="23"/>
        </w:numPr>
        <w:spacing w:line="360" w:lineRule="auto"/>
        <w:jc w:val="both"/>
        <w:rPr>
          <w:rFonts w:ascii="Times New Roman" w:eastAsia="Times New Roman" w:hAnsi="Times New Roman" w:cs="Times New Roman"/>
          <w:color w:val="EE0000"/>
        </w:rPr>
      </w:pPr>
      <w:r w:rsidRPr="000E7E1A">
        <w:rPr>
          <w:rFonts w:ascii="Times New Roman" w:eastAsia="Times New Roman" w:hAnsi="Times New Roman" w:cs="Times New Roman"/>
          <w:b/>
          <w:bCs/>
          <w:color w:val="EE0000"/>
        </w:rPr>
        <w:t>Institutional Ambiguity</w:t>
      </w:r>
      <w:r w:rsidRPr="000E7E1A">
        <w:rPr>
          <w:rFonts w:ascii="Times New Roman" w:eastAsia="Times New Roman" w:hAnsi="Times New Roman" w:cs="Times New Roman"/>
          <w:color w:val="EE0000"/>
        </w:rPr>
        <w:t>: Librarians are informally involved in digital literacy instruction but lack formal teaching roles or recognition within academic structures.</w:t>
      </w:r>
    </w:p>
    <w:p w14:paraId="6E10EC71" w14:textId="77777777" w:rsidR="000E7E1A" w:rsidRPr="000E7E1A" w:rsidRDefault="000E7E1A" w:rsidP="000E7E1A">
      <w:pPr>
        <w:numPr>
          <w:ilvl w:val="0"/>
          <w:numId w:val="23"/>
        </w:numPr>
        <w:spacing w:line="360" w:lineRule="auto"/>
        <w:jc w:val="both"/>
        <w:rPr>
          <w:rFonts w:ascii="Times New Roman" w:eastAsia="Times New Roman" w:hAnsi="Times New Roman" w:cs="Times New Roman"/>
          <w:color w:val="EE0000"/>
        </w:rPr>
      </w:pPr>
      <w:r w:rsidRPr="000E7E1A">
        <w:rPr>
          <w:rFonts w:ascii="Times New Roman" w:eastAsia="Times New Roman" w:hAnsi="Times New Roman" w:cs="Times New Roman"/>
          <w:b/>
          <w:bCs/>
          <w:color w:val="EE0000"/>
        </w:rPr>
        <w:lastRenderedPageBreak/>
        <w:t>Curricular Gaps</w:t>
      </w:r>
      <w:r w:rsidRPr="000E7E1A">
        <w:rPr>
          <w:rFonts w:ascii="Times New Roman" w:eastAsia="Times New Roman" w:hAnsi="Times New Roman" w:cs="Times New Roman"/>
          <w:color w:val="EE0000"/>
        </w:rPr>
        <w:t>: LIS programs in India emphasize technical skills but lack pedagogical training, leaving graduates underprepared for instructional responsibilities.</w:t>
      </w:r>
    </w:p>
    <w:p w14:paraId="1A4B8C9C" w14:textId="77777777" w:rsidR="000E7E1A" w:rsidRPr="000E7E1A" w:rsidRDefault="000E7E1A" w:rsidP="000E7E1A">
      <w:pPr>
        <w:numPr>
          <w:ilvl w:val="0"/>
          <w:numId w:val="23"/>
        </w:numPr>
        <w:spacing w:line="360" w:lineRule="auto"/>
        <w:jc w:val="both"/>
        <w:rPr>
          <w:rFonts w:ascii="Times New Roman" w:eastAsia="Times New Roman" w:hAnsi="Times New Roman" w:cs="Times New Roman"/>
          <w:color w:val="EE0000"/>
        </w:rPr>
      </w:pPr>
      <w:r w:rsidRPr="000E7E1A">
        <w:rPr>
          <w:rFonts w:ascii="Times New Roman" w:eastAsia="Times New Roman" w:hAnsi="Times New Roman" w:cs="Times New Roman"/>
          <w:b/>
          <w:bCs/>
          <w:color w:val="EE0000"/>
        </w:rPr>
        <w:t>Policy-Practice Disconnect</w:t>
      </w:r>
      <w:r w:rsidRPr="000E7E1A">
        <w:rPr>
          <w:rFonts w:ascii="Times New Roman" w:eastAsia="Times New Roman" w:hAnsi="Times New Roman" w:cs="Times New Roman"/>
          <w:color w:val="EE0000"/>
        </w:rPr>
        <w:t>: Although NEP 2020 supports interdisciplinary and digital learning, there are no clear implementation mechanisms to integrate librarians into teaching roles.</w:t>
      </w:r>
    </w:p>
    <w:p w14:paraId="5F5E0354" w14:textId="77777777" w:rsidR="000E7E1A" w:rsidRPr="000E7E1A" w:rsidRDefault="000E7E1A" w:rsidP="000E7E1A">
      <w:pPr>
        <w:numPr>
          <w:ilvl w:val="0"/>
          <w:numId w:val="23"/>
        </w:numPr>
        <w:spacing w:line="360" w:lineRule="auto"/>
        <w:jc w:val="both"/>
        <w:rPr>
          <w:rFonts w:ascii="Times New Roman" w:eastAsia="Times New Roman" w:hAnsi="Times New Roman" w:cs="Times New Roman"/>
          <w:color w:val="EE0000"/>
        </w:rPr>
      </w:pPr>
      <w:r w:rsidRPr="000E7E1A">
        <w:rPr>
          <w:rFonts w:ascii="Times New Roman" w:eastAsia="Times New Roman" w:hAnsi="Times New Roman" w:cs="Times New Roman"/>
          <w:b/>
          <w:bCs/>
          <w:color w:val="EE0000"/>
        </w:rPr>
        <w:t>Global Insights</w:t>
      </w:r>
      <w:r w:rsidRPr="000E7E1A">
        <w:rPr>
          <w:rFonts w:ascii="Times New Roman" w:eastAsia="Times New Roman" w:hAnsi="Times New Roman" w:cs="Times New Roman"/>
          <w:color w:val="EE0000"/>
        </w:rPr>
        <w:t>: International models from Australia, the U.S., and South Africa demonstrate successful librarian-teacher integration through co-teaching, curriculum collaboration, and formal recognition.</w:t>
      </w:r>
    </w:p>
    <w:p w14:paraId="34B2925F" w14:textId="77777777" w:rsidR="000E7E1A" w:rsidRPr="000E7E1A" w:rsidRDefault="000E7E1A" w:rsidP="000E7E1A">
      <w:pPr>
        <w:numPr>
          <w:ilvl w:val="0"/>
          <w:numId w:val="23"/>
        </w:numPr>
        <w:spacing w:line="360" w:lineRule="auto"/>
        <w:jc w:val="both"/>
        <w:rPr>
          <w:rFonts w:ascii="Times New Roman" w:eastAsia="Times New Roman" w:hAnsi="Times New Roman" w:cs="Times New Roman"/>
          <w:color w:val="EE0000"/>
        </w:rPr>
      </w:pPr>
      <w:r w:rsidRPr="000E7E1A">
        <w:rPr>
          <w:rFonts w:ascii="Times New Roman" w:eastAsia="Times New Roman" w:hAnsi="Times New Roman" w:cs="Times New Roman"/>
          <w:b/>
          <w:bCs/>
          <w:color w:val="EE0000"/>
        </w:rPr>
        <w:t>Professional Identity Shift</w:t>
      </w:r>
      <w:r w:rsidRPr="000E7E1A">
        <w:rPr>
          <w:rFonts w:ascii="Times New Roman" w:eastAsia="Times New Roman" w:hAnsi="Times New Roman" w:cs="Times New Roman"/>
          <w:color w:val="EE0000"/>
        </w:rPr>
        <w:t>: Indian librarians are ready to embrace instructional roles, but systemic reforms in certification, curriculum, and institutional policy are essential to support this transition.</w:t>
      </w:r>
    </w:p>
    <w:p w14:paraId="00000079" w14:textId="2D4FAEE8" w:rsidR="00E74B02" w:rsidRDefault="000E7E1A">
      <w:pPr>
        <w:spacing w:line="360" w:lineRule="auto"/>
        <w:jc w:val="both"/>
        <w:rPr>
          <w:rFonts w:ascii="Times New Roman" w:eastAsia="Times New Roman" w:hAnsi="Times New Roman" w:cs="Times New Roman"/>
          <w:b/>
        </w:rPr>
      </w:pPr>
      <w:r>
        <w:rPr>
          <w:rFonts w:ascii="Times New Roman" w:eastAsia="Times New Roman" w:hAnsi="Times New Roman" w:cs="Times New Roman"/>
          <w:b/>
        </w:rPr>
        <w:t>8</w:t>
      </w:r>
      <w:r w:rsidR="00087F65">
        <w:rPr>
          <w:rFonts w:ascii="Times New Roman" w:eastAsia="Times New Roman" w:hAnsi="Times New Roman" w:cs="Times New Roman"/>
          <w:b/>
        </w:rPr>
        <w:t>. Conclusion</w:t>
      </w:r>
    </w:p>
    <w:p w14:paraId="0000007A" w14:textId="44A3E8C5" w:rsidR="00E74B02" w:rsidRDefault="000E7E1A">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8</w:t>
      </w:r>
      <w:r w:rsidR="00087F65">
        <w:rPr>
          <w:rFonts w:ascii="Times New Roman" w:eastAsia="Times New Roman" w:hAnsi="Times New Roman" w:cs="Times New Roman"/>
          <w:b/>
          <w:i/>
        </w:rPr>
        <w:t>.1 Summary of Findings</w:t>
      </w:r>
    </w:p>
    <w:p w14:paraId="0000007B"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This study set out to examine the feasibility and policy mechanisms for integrating Library and Information Science (LIS) professionals into formal teaching roles, with a particular focus on digital literacy education under India’s National Education Policy (NEP) 2020. Through a mixed-method approach involving stakeholder interviews, policy analysis, and international case studies, the research revealed several key findings. </w:t>
      </w:r>
    </w:p>
    <w:p w14:paraId="0000007C"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First, </w:t>
      </w:r>
      <w:r>
        <w:rPr>
          <w:rFonts w:ascii="Times New Roman" w:eastAsia="Times New Roman" w:hAnsi="Times New Roman" w:cs="Times New Roman"/>
        </w:rPr>
        <w:t xml:space="preserve">while librarians are increasingly engaged in instructional activities, their roles remain informally defined and institutionally underrecognized. </w:t>
      </w:r>
    </w:p>
    <w:p w14:paraId="0000007D"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b/>
        </w:rPr>
        <w:t>Second,</w:t>
      </w:r>
      <w:r>
        <w:rPr>
          <w:rFonts w:ascii="Times New Roman" w:eastAsia="Times New Roman" w:hAnsi="Times New Roman" w:cs="Times New Roman"/>
        </w:rPr>
        <w:t xml:space="preserve"> LIS education in India lacks structured pedagogical training, limiting the capacity of graduates to assume teaching responsibilities. </w:t>
      </w:r>
    </w:p>
    <w:p w14:paraId="0000007E"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b/>
        </w:rPr>
        <w:t>Third,</w:t>
      </w:r>
      <w:r>
        <w:rPr>
          <w:rFonts w:ascii="Times New Roman" w:eastAsia="Times New Roman" w:hAnsi="Times New Roman" w:cs="Times New Roman"/>
        </w:rPr>
        <w:t xml:space="preserve"> although NEP 2020 provides a policy window for interdisciplinary and digital learning, there is a disconnect between national policy aspirations and institutional implementation. Finally, global models from countries such as Australia, the United States, and South Africa demonstrate that librarian-teacher integration is both feasible and beneficial when supported by accreditation, curriculum reform, and institutional recognition.</w:t>
      </w:r>
    </w:p>
    <w:p w14:paraId="0000007F" w14:textId="455A1282" w:rsidR="00E74B02" w:rsidRDefault="000E7E1A">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8</w:t>
      </w:r>
      <w:r w:rsidR="00087F65">
        <w:rPr>
          <w:rFonts w:ascii="Times New Roman" w:eastAsia="Times New Roman" w:hAnsi="Times New Roman" w:cs="Times New Roman"/>
          <w:b/>
          <w:i/>
        </w:rPr>
        <w:t>.2 Reinforcement of Research Significance</w:t>
      </w:r>
    </w:p>
    <w:p w14:paraId="00000080"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The significance of this research lies in its timely response to the digital transformation of higher education and the growing demand for critical information literacy. By positioning librarians as educators, the study challenges traditional service-based perceptions of librarianship and advocates for a more integrated, instructional identity. The proposed policy recommendations—including certification pathways, LIS curriculum enhancement, and institutional reforms—offer a roadmap for aligning librarian roles with the pedagogical goals of NEP 2020. Moreover, the study contributes to the global discourse on LIS education reform by highlighting the need for interdisciplinary competencies, policy literacy, and professional identity development among LIS professionals.</w:t>
      </w:r>
    </w:p>
    <w:p w14:paraId="00000081" w14:textId="260C22B7" w:rsidR="00E74B02" w:rsidRDefault="000E7E1A">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8</w:t>
      </w:r>
      <w:r w:rsidR="00087F65">
        <w:rPr>
          <w:rFonts w:ascii="Times New Roman" w:eastAsia="Times New Roman" w:hAnsi="Times New Roman" w:cs="Times New Roman"/>
          <w:b/>
          <w:i/>
        </w:rPr>
        <w:t>.3 Call for Continued Study and Policy Evolution</w:t>
      </w:r>
    </w:p>
    <w:p w14:paraId="00000082" w14:textId="77777777" w:rsidR="00E74B02" w:rsidRDefault="00087F65" w:rsidP="000E7E1A">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While this study provides a foundational framework for librarian-teacher integration, further research is essential to evaluate the long-term impact of such reforms. Future studies should explore:</w:t>
      </w:r>
    </w:p>
    <w:p w14:paraId="00000083" w14:textId="77777777" w:rsidR="00E74B02" w:rsidRDefault="00087F65" w:rsidP="000E7E1A">
      <w:pPr>
        <w:numPr>
          <w:ilvl w:val="0"/>
          <w:numId w:val="8"/>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The effectiveness of librarian-led digital literacy programs on student learning outcomes across disciplines.</w:t>
      </w:r>
    </w:p>
    <w:p w14:paraId="00000084" w14:textId="77777777" w:rsidR="00E74B02" w:rsidRDefault="00087F65" w:rsidP="000E7E1A">
      <w:pPr>
        <w:numPr>
          <w:ilvl w:val="0"/>
          <w:numId w:val="8"/>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Institutional case studies that track the implementation of librarian teaching roles over time.</w:t>
      </w:r>
    </w:p>
    <w:p w14:paraId="00000085" w14:textId="77777777" w:rsidR="00E74B02" w:rsidRDefault="00087F65" w:rsidP="000E7E1A">
      <w:pPr>
        <w:numPr>
          <w:ilvl w:val="0"/>
          <w:numId w:val="8"/>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Comparative analyses of accreditation models that formally recognize librarians as academic faculty.</w:t>
      </w:r>
    </w:p>
    <w:p w14:paraId="00000086" w14:textId="77777777" w:rsidR="00E74B02" w:rsidRDefault="00087F65" w:rsidP="000E7E1A">
      <w:pPr>
        <w:numPr>
          <w:ilvl w:val="0"/>
          <w:numId w:val="8"/>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The role of emerging technologies, such as AI and data analytics, in shaping the instructional responsibilities of librarians.</w:t>
      </w:r>
    </w:p>
    <w:p w14:paraId="00000087" w14:textId="4D1B6594" w:rsidR="00E74B02" w:rsidRPr="00055946" w:rsidRDefault="00087F65" w:rsidP="000E7E1A">
      <w:pPr>
        <w:spacing w:after="0" w:line="360" w:lineRule="auto"/>
        <w:jc w:val="both"/>
        <w:rPr>
          <w:rFonts w:ascii="Times New Roman" w:eastAsia="Times New Roman" w:hAnsi="Times New Roman" w:cs="Times New Roman"/>
          <w:color w:val="EE0000"/>
        </w:rPr>
      </w:pPr>
      <w:r>
        <w:rPr>
          <w:rFonts w:ascii="Times New Roman" w:eastAsia="Times New Roman" w:hAnsi="Times New Roman" w:cs="Times New Roman"/>
        </w:rPr>
        <w:t>Additionally, there is a need for continuous policy dialogue among LIS educators, academic administrators, and government bodies to ensure that reforms are contextually grounded, scalable, and inclusive. As higher education systems worldwide grapple with the challenges of misinformation, digital inequality, and interdisciplinary learning, librarians must be empowered—not only as custodians of knowledge but as educators, collaborators, and leaders in the digital age.</w:t>
      </w:r>
      <w:r w:rsidR="00055946">
        <w:rPr>
          <w:rFonts w:ascii="Times New Roman" w:eastAsia="Times New Roman" w:hAnsi="Times New Roman" w:cs="Times New Roman"/>
        </w:rPr>
        <w:t xml:space="preserve"> </w:t>
      </w:r>
      <w:r w:rsidR="00055946" w:rsidRPr="00055946">
        <w:rPr>
          <w:rFonts w:ascii="Times New Roman" w:eastAsia="Times New Roman" w:hAnsi="Times New Roman" w:cs="Times New Roman"/>
          <w:color w:val="EE0000"/>
        </w:rPr>
        <w:t>Due to limited availability of contemporary literature on librarian-teacher integration in India, this study draws upon both recent and foundational sources. Future research should include empirical evaluations of librarian-led instructional models under NEP 2020.</w:t>
      </w:r>
    </w:p>
    <w:p w14:paraId="52532DAD" w14:textId="77777777" w:rsidR="00513022" w:rsidRPr="00513022" w:rsidRDefault="00513022" w:rsidP="00E46C0D">
      <w:pPr>
        <w:jc w:val="center"/>
        <w:rPr>
          <w:rFonts w:ascii="Times New Roman" w:eastAsia="Times New Roman" w:hAnsi="Times New Roman" w:cs="Times New Roman"/>
          <w:b/>
          <w:bCs/>
          <w:color w:val="EE0000"/>
        </w:rPr>
      </w:pPr>
      <w:r w:rsidRPr="00513022">
        <w:rPr>
          <w:rFonts w:ascii="Times New Roman" w:eastAsia="Times New Roman" w:hAnsi="Times New Roman" w:cs="Times New Roman"/>
          <w:b/>
          <w:bCs/>
          <w:color w:val="EE0000"/>
        </w:rPr>
        <w:t>Disclaimer (Artificial Intelligence Usage)</w:t>
      </w:r>
    </w:p>
    <w:p w14:paraId="5C0C21C9" w14:textId="6A49B5CD" w:rsidR="00513022" w:rsidRPr="00513022" w:rsidRDefault="00513022" w:rsidP="00513022">
      <w:pPr>
        <w:jc w:val="both"/>
        <w:rPr>
          <w:rFonts w:ascii="Times New Roman" w:eastAsia="Times New Roman" w:hAnsi="Times New Roman" w:cs="Times New Roman"/>
          <w:b/>
          <w:color w:val="EE0000"/>
        </w:rPr>
      </w:pPr>
      <w:r w:rsidRPr="00513022">
        <w:rPr>
          <w:rFonts w:ascii="Times New Roman" w:eastAsia="Times New Roman" w:hAnsi="Times New Roman" w:cs="Times New Roman"/>
          <w:b/>
          <w:bCs/>
          <w:color w:val="EE0000"/>
        </w:rPr>
        <w:t xml:space="preserve">Option </w:t>
      </w:r>
      <w:r>
        <w:rPr>
          <w:rFonts w:ascii="Times New Roman" w:eastAsia="Times New Roman" w:hAnsi="Times New Roman" w:cs="Times New Roman"/>
          <w:b/>
          <w:bCs/>
          <w:color w:val="EE0000"/>
        </w:rPr>
        <w:t>2</w:t>
      </w:r>
      <w:r w:rsidRPr="00513022">
        <w:rPr>
          <w:rFonts w:ascii="Times New Roman" w:eastAsia="Times New Roman" w:hAnsi="Times New Roman" w:cs="Times New Roman"/>
          <w:b/>
          <w:bCs/>
          <w:color w:val="EE0000"/>
        </w:rPr>
        <w:t>:</w:t>
      </w:r>
    </w:p>
    <w:p w14:paraId="5878F0FD" w14:textId="29242155" w:rsidR="00513022" w:rsidRPr="00513022" w:rsidRDefault="00513022" w:rsidP="00513022">
      <w:pPr>
        <w:jc w:val="both"/>
        <w:rPr>
          <w:rFonts w:ascii="Times New Roman" w:eastAsia="Times New Roman" w:hAnsi="Times New Roman" w:cs="Times New Roman"/>
          <w:b/>
          <w:color w:val="EE0000"/>
        </w:rPr>
      </w:pPr>
      <w:r w:rsidRPr="00513022">
        <w:rPr>
          <w:rFonts w:ascii="Times New Roman" w:eastAsia="Times New Roman" w:hAnsi="Times New Roman" w:cs="Times New Roman"/>
          <w:b/>
          <w:color w:val="EE0000"/>
        </w:rPr>
        <w:lastRenderedPageBreak/>
        <w:t xml:space="preserve">Author(s) hereby </w:t>
      </w:r>
      <w:r w:rsidR="00E46C0D" w:rsidRPr="00513022">
        <w:rPr>
          <w:rFonts w:ascii="Times New Roman" w:eastAsia="Times New Roman" w:hAnsi="Times New Roman" w:cs="Times New Roman"/>
          <w:b/>
          <w:color w:val="EE0000"/>
        </w:rPr>
        <w:t>declares</w:t>
      </w:r>
      <w:r w:rsidRPr="00513022">
        <w:rPr>
          <w:rFonts w:ascii="Times New Roman" w:eastAsia="Times New Roman" w:hAnsi="Times New Roman" w:cs="Times New Roman"/>
          <w:b/>
          <w:color w:val="EE0000"/>
        </w:rPr>
        <w:t xml:space="preserve"> that generative AI technologies such as Large Language Models have been used during the writing or editing of this manuscript. The following information provides the name, version, model, and source of the generative AI technology, as well as the input prompts provided to the technology.</w:t>
      </w:r>
    </w:p>
    <w:p w14:paraId="32C1F300" w14:textId="77777777" w:rsidR="00513022" w:rsidRPr="00513022" w:rsidRDefault="00513022" w:rsidP="00513022">
      <w:pPr>
        <w:jc w:val="both"/>
        <w:rPr>
          <w:rFonts w:ascii="Times New Roman" w:eastAsia="Times New Roman" w:hAnsi="Times New Roman" w:cs="Times New Roman"/>
          <w:b/>
          <w:color w:val="EE0000"/>
        </w:rPr>
      </w:pPr>
      <w:r w:rsidRPr="00513022">
        <w:rPr>
          <w:rFonts w:ascii="Times New Roman" w:eastAsia="Times New Roman" w:hAnsi="Times New Roman" w:cs="Times New Roman"/>
          <w:b/>
          <w:bCs/>
          <w:color w:val="EE0000"/>
        </w:rPr>
        <w:t>Details of the AI usage are given below:</w:t>
      </w:r>
    </w:p>
    <w:p w14:paraId="55941FB7" w14:textId="77777777" w:rsidR="00513022" w:rsidRPr="00513022" w:rsidRDefault="00513022" w:rsidP="00513022">
      <w:pPr>
        <w:numPr>
          <w:ilvl w:val="0"/>
          <w:numId w:val="19"/>
        </w:numPr>
        <w:jc w:val="both"/>
        <w:rPr>
          <w:rFonts w:ascii="Times New Roman" w:eastAsia="Times New Roman" w:hAnsi="Times New Roman" w:cs="Times New Roman"/>
          <w:b/>
          <w:color w:val="EE0000"/>
        </w:rPr>
      </w:pPr>
      <w:r w:rsidRPr="00513022">
        <w:rPr>
          <w:rFonts w:ascii="Times New Roman" w:eastAsia="Times New Roman" w:hAnsi="Times New Roman" w:cs="Times New Roman"/>
          <w:b/>
          <w:bCs/>
          <w:color w:val="EE0000"/>
        </w:rPr>
        <w:t>Name/Model/Version:</w:t>
      </w:r>
      <w:r w:rsidRPr="00513022">
        <w:rPr>
          <w:rFonts w:ascii="Times New Roman" w:eastAsia="Times New Roman" w:hAnsi="Times New Roman" w:cs="Times New Roman"/>
          <w:b/>
          <w:color w:val="EE0000"/>
        </w:rPr>
        <w:t xml:space="preserve"> ChatGPT (GPT-4.0 by OpenAI)</w:t>
      </w:r>
    </w:p>
    <w:p w14:paraId="2E918BB8" w14:textId="77777777" w:rsidR="00513022" w:rsidRPr="00513022" w:rsidRDefault="00513022" w:rsidP="00513022">
      <w:pPr>
        <w:numPr>
          <w:ilvl w:val="0"/>
          <w:numId w:val="19"/>
        </w:numPr>
        <w:jc w:val="both"/>
        <w:rPr>
          <w:rFonts w:ascii="Times New Roman" w:eastAsia="Times New Roman" w:hAnsi="Times New Roman" w:cs="Times New Roman"/>
          <w:b/>
          <w:color w:val="EE0000"/>
        </w:rPr>
      </w:pPr>
      <w:r w:rsidRPr="00513022">
        <w:rPr>
          <w:rFonts w:ascii="Times New Roman" w:eastAsia="Times New Roman" w:hAnsi="Times New Roman" w:cs="Times New Roman"/>
          <w:b/>
          <w:bCs/>
          <w:color w:val="EE0000"/>
        </w:rPr>
        <w:t>Source:</w:t>
      </w:r>
      <w:r w:rsidRPr="00513022">
        <w:rPr>
          <w:rFonts w:ascii="Times New Roman" w:eastAsia="Times New Roman" w:hAnsi="Times New Roman" w:cs="Times New Roman"/>
          <w:b/>
          <w:color w:val="EE0000"/>
        </w:rPr>
        <w:t xml:space="preserve"> OpenAI platform (</w:t>
      </w:r>
      <w:hyperlink r:id="rId8" w:tgtFrame="_new" w:history="1">
        <w:r w:rsidRPr="00513022">
          <w:rPr>
            <w:rStyle w:val="Hyperlink"/>
            <w:rFonts w:ascii="Times New Roman" w:eastAsia="Times New Roman" w:hAnsi="Times New Roman" w:cs="Times New Roman"/>
            <w:b/>
            <w:color w:val="EE0000"/>
          </w:rPr>
          <w:t>https://chat.openai.com</w:t>
        </w:r>
      </w:hyperlink>
      <w:r w:rsidRPr="00513022">
        <w:rPr>
          <w:rFonts w:ascii="Times New Roman" w:eastAsia="Times New Roman" w:hAnsi="Times New Roman" w:cs="Times New Roman"/>
          <w:b/>
          <w:color w:val="EE0000"/>
        </w:rPr>
        <w:t>)</w:t>
      </w:r>
    </w:p>
    <w:p w14:paraId="20A9DC53" w14:textId="77777777" w:rsidR="00513022" w:rsidRPr="00513022" w:rsidRDefault="00513022" w:rsidP="00E46C0D">
      <w:pPr>
        <w:numPr>
          <w:ilvl w:val="0"/>
          <w:numId w:val="19"/>
        </w:numPr>
        <w:spacing w:after="0"/>
        <w:jc w:val="both"/>
        <w:rPr>
          <w:rFonts w:ascii="Times New Roman" w:eastAsia="Times New Roman" w:hAnsi="Times New Roman" w:cs="Times New Roman"/>
          <w:b/>
          <w:color w:val="EE0000"/>
        </w:rPr>
      </w:pPr>
      <w:r w:rsidRPr="00513022">
        <w:rPr>
          <w:rFonts w:ascii="Times New Roman" w:eastAsia="Times New Roman" w:hAnsi="Times New Roman" w:cs="Times New Roman"/>
          <w:b/>
          <w:bCs/>
          <w:color w:val="EE0000"/>
        </w:rPr>
        <w:t>Purpose and Prompts Used:</w:t>
      </w:r>
    </w:p>
    <w:p w14:paraId="6C16107C" w14:textId="67910DC9" w:rsidR="00E46C0D" w:rsidRPr="00E46C0D" w:rsidRDefault="00E46C0D" w:rsidP="00E46C0D">
      <w:pPr>
        <w:pStyle w:val="NormalWeb"/>
        <w:numPr>
          <w:ilvl w:val="0"/>
          <w:numId w:val="22"/>
        </w:numPr>
        <w:spacing w:line="360" w:lineRule="auto"/>
        <w:rPr>
          <w:color w:val="EE0000"/>
        </w:rPr>
      </w:pPr>
      <w:r w:rsidRPr="00E46C0D">
        <w:rPr>
          <w:color w:val="EE0000"/>
        </w:rPr>
        <w:t>For grammar correction and language refinement.</w:t>
      </w:r>
    </w:p>
    <w:p w14:paraId="25834A80" w14:textId="2F82C5D5" w:rsidR="00E46C0D" w:rsidRPr="00E46C0D" w:rsidRDefault="00E46C0D" w:rsidP="00E46C0D">
      <w:pPr>
        <w:pStyle w:val="NormalWeb"/>
        <w:numPr>
          <w:ilvl w:val="0"/>
          <w:numId w:val="22"/>
        </w:numPr>
        <w:spacing w:line="360" w:lineRule="auto"/>
        <w:rPr>
          <w:color w:val="EE0000"/>
        </w:rPr>
      </w:pPr>
      <w:r w:rsidRPr="00E46C0D">
        <w:rPr>
          <w:color w:val="EE0000"/>
        </w:rPr>
        <w:t>To correct language and structural errors.</w:t>
      </w:r>
    </w:p>
    <w:p w14:paraId="38CDE83E" w14:textId="12E855C5" w:rsidR="00E46C0D" w:rsidRPr="00E46C0D" w:rsidRDefault="00E46C0D" w:rsidP="00E46C0D">
      <w:pPr>
        <w:pStyle w:val="NormalWeb"/>
        <w:numPr>
          <w:ilvl w:val="0"/>
          <w:numId w:val="22"/>
        </w:numPr>
        <w:spacing w:line="360" w:lineRule="auto"/>
        <w:rPr>
          <w:color w:val="EE0000"/>
        </w:rPr>
      </w:pPr>
      <w:r w:rsidRPr="00E46C0D">
        <w:rPr>
          <w:color w:val="EE0000"/>
        </w:rPr>
        <w:t>To format the reference list as per APA 7th edition guidelines.</w:t>
      </w:r>
    </w:p>
    <w:p w14:paraId="00000088" w14:textId="2F9BC14A" w:rsidR="00E74B02" w:rsidRDefault="00087F65">
      <w:pPr>
        <w:jc w:val="both"/>
        <w:rPr>
          <w:rFonts w:ascii="Times New Roman" w:eastAsia="Times New Roman" w:hAnsi="Times New Roman" w:cs="Times New Roman"/>
          <w:b/>
        </w:rPr>
      </w:pPr>
      <w:r>
        <w:rPr>
          <w:rFonts w:ascii="Times New Roman" w:eastAsia="Times New Roman" w:hAnsi="Times New Roman" w:cs="Times New Roman"/>
          <w:b/>
        </w:rPr>
        <w:t>References:</w:t>
      </w:r>
    </w:p>
    <w:p w14:paraId="2A0380AE"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Andretta, S. (2005). </w:t>
      </w:r>
      <w:r w:rsidRPr="00513022">
        <w:rPr>
          <w:rFonts w:ascii="Times New Roman" w:eastAsia="Times New Roman" w:hAnsi="Times New Roman" w:cs="Times New Roman"/>
          <w:i/>
        </w:rPr>
        <w:t>Information literacy: A practitioner’s guide</w:t>
      </w:r>
      <w:r w:rsidRPr="00513022">
        <w:rPr>
          <w:rFonts w:ascii="Times New Roman" w:eastAsia="Times New Roman" w:hAnsi="Times New Roman" w:cs="Times New Roman"/>
        </w:rPr>
        <w:t>. Chandos Publishing.</w:t>
      </w:r>
    </w:p>
    <w:p w14:paraId="636C4D0E"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Association of College &amp; Research Libraries. (2014). </w:t>
      </w:r>
      <w:r w:rsidRPr="00513022">
        <w:rPr>
          <w:rFonts w:ascii="Times New Roman" w:eastAsia="Times New Roman" w:hAnsi="Times New Roman" w:cs="Times New Roman"/>
          <w:i/>
        </w:rPr>
        <w:t>Framework for information literacy for higher education</w:t>
      </w:r>
      <w:r w:rsidRPr="00513022">
        <w:rPr>
          <w:rFonts w:ascii="Times New Roman" w:eastAsia="Times New Roman" w:hAnsi="Times New Roman" w:cs="Times New Roman"/>
        </w:rPr>
        <w:t xml:space="preserve">. American Library Association. </w:t>
      </w:r>
      <w:hyperlink r:id="rId9">
        <w:r w:rsidRPr="00513022">
          <w:rPr>
            <w:rFonts w:ascii="Times New Roman" w:eastAsia="Times New Roman" w:hAnsi="Times New Roman" w:cs="Times New Roman"/>
            <w:color w:val="1155CC"/>
            <w:u w:val="single"/>
          </w:rPr>
          <w:t>http://www.ala.org/acrl/standards/ilframework</w:t>
        </w:r>
      </w:hyperlink>
    </w:p>
    <w:p w14:paraId="4CD4F49E"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Beetham, H., &amp; Sharpe, R. (Eds.). (2010). </w:t>
      </w:r>
      <w:r w:rsidRPr="00513022">
        <w:rPr>
          <w:rFonts w:ascii="Times New Roman" w:eastAsia="Times New Roman" w:hAnsi="Times New Roman" w:cs="Times New Roman"/>
          <w:i/>
        </w:rPr>
        <w:t>Rethinking learning for a digital age: How learners are shaping their own experiences</w:t>
      </w:r>
      <w:r w:rsidRPr="00513022">
        <w:rPr>
          <w:rFonts w:ascii="Times New Roman" w:eastAsia="Times New Roman" w:hAnsi="Times New Roman" w:cs="Times New Roman"/>
        </w:rPr>
        <w:t>. Routledge.</w:t>
      </w:r>
    </w:p>
    <w:p w14:paraId="20B925C5"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Bent, M., Gannon-Leary, P., &amp; Webb, J. (2007). Information literacy in the workplace: A case study. </w:t>
      </w:r>
      <w:r w:rsidRPr="00513022">
        <w:rPr>
          <w:rFonts w:ascii="Times New Roman" w:eastAsia="Times New Roman" w:hAnsi="Times New Roman" w:cs="Times New Roman"/>
          <w:i/>
        </w:rPr>
        <w:t>Journal of Librarianship and Information Science, 39</w:t>
      </w:r>
      <w:r w:rsidRPr="00513022">
        <w:rPr>
          <w:rFonts w:ascii="Times New Roman" w:eastAsia="Times New Roman" w:hAnsi="Times New Roman" w:cs="Times New Roman"/>
        </w:rPr>
        <w:t xml:space="preserve">(4), 187–190. </w:t>
      </w:r>
      <w:hyperlink r:id="rId10">
        <w:r w:rsidRPr="00513022">
          <w:rPr>
            <w:rFonts w:ascii="Times New Roman" w:eastAsia="Times New Roman" w:hAnsi="Times New Roman" w:cs="Times New Roman"/>
            <w:color w:val="467886"/>
            <w:u w:val="single"/>
          </w:rPr>
          <w:t>https://doi.org/10.1177/0961000607080416</w:t>
        </w:r>
      </w:hyperlink>
    </w:p>
    <w:p w14:paraId="79EABE45"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Bruce, C. (2008). </w:t>
      </w:r>
      <w:r w:rsidRPr="00513022">
        <w:rPr>
          <w:rFonts w:ascii="Times New Roman" w:eastAsia="Times New Roman" w:hAnsi="Times New Roman" w:cs="Times New Roman"/>
          <w:i/>
        </w:rPr>
        <w:t>Informed learning</w:t>
      </w:r>
      <w:r w:rsidRPr="00513022">
        <w:rPr>
          <w:rFonts w:ascii="Times New Roman" w:eastAsia="Times New Roman" w:hAnsi="Times New Roman" w:cs="Times New Roman"/>
        </w:rPr>
        <w:t>. Association of College &amp; Research Libraries.</w:t>
      </w:r>
    </w:p>
    <w:p w14:paraId="3D9256C0"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proofErr w:type="spellStart"/>
      <w:r w:rsidRPr="00513022">
        <w:rPr>
          <w:rFonts w:ascii="Times New Roman" w:eastAsia="Times New Roman" w:hAnsi="Times New Roman" w:cs="Times New Roman"/>
        </w:rPr>
        <w:t>Corrall</w:t>
      </w:r>
      <w:proofErr w:type="spellEnd"/>
      <w:r w:rsidRPr="00513022">
        <w:rPr>
          <w:rFonts w:ascii="Times New Roman" w:eastAsia="Times New Roman" w:hAnsi="Times New Roman" w:cs="Times New Roman"/>
        </w:rPr>
        <w:t xml:space="preserve">, S. (2010). Educating the academic librarian as a blended professional: A review and case study. </w:t>
      </w:r>
      <w:r w:rsidRPr="00513022">
        <w:rPr>
          <w:rFonts w:ascii="Times New Roman" w:eastAsia="Times New Roman" w:hAnsi="Times New Roman" w:cs="Times New Roman"/>
          <w:i/>
        </w:rPr>
        <w:t>Library Management, 31</w:t>
      </w:r>
      <w:r w:rsidRPr="00513022">
        <w:rPr>
          <w:rFonts w:ascii="Times New Roman" w:eastAsia="Times New Roman" w:hAnsi="Times New Roman" w:cs="Times New Roman"/>
        </w:rPr>
        <w:t xml:space="preserve">(8/9), 567–593. </w:t>
      </w:r>
      <w:hyperlink r:id="rId11">
        <w:r w:rsidRPr="00513022">
          <w:rPr>
            <w:rFonts w:ascii="Times New Roman" w:eastAsia="Times New Roman" w:hAnsi="Times New Roman" w:cs="Times New Roman"/>
            <w:color w:val="467886"/>
            <w:u w:val="single"/>
          </w:rPr>
          <w:t>https://doi.org/10.1108/01435121011093360</w:t>
        </w:r>
      </w:hyperlink>
    </w:p>
    <w:p w14:paraId="3216DCFE"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Foo, S., Majid, S., &amp; Chang, Y. K. (2011). Information literacy skills of LIS students: A case study of Singapore. </w:t>
      </w:r>
      <w:r w:rsidRPr="00513022">
        <w:rPr>
          <w:rFonts w:ascii="Times New Roman" w:eastAsia="Times New Roman" w:hAnsi="Times New Roman" w:cs="Times New Roman"/>
          <w:i/>
        </w:rPr>
        <w:t>Journal of Information Literacy, 5</w:t>
      </w:r>
      <w:r w:rsidRPr="00513022">
        <w:rPr>
          <w:rFonts w:ascii="Times New Roman" w:eastAsia="Times New Roman" w:hAnsi="Times New Roman" w:cs="Times New Roman"/>
        </w:rPr>
        <w:t xml:space="preserve">(1), 25–40. </w:t>
      </w:r>
      <w:hyperlink r:id="rId12">
        <w:r w:rsidRPr="00513022">
          <w:rPr>
            <w:rFonts w:ascii="Times New Roman" w:eastAsia="Times New Roman" w:hAnsi="Times New Roman" w:cs="Times New Roman"/>
            <w:color w:val="467886"/>
            <w:u w:val="single"/>
          </w:rPr>
          <w:t>https://doi.org/10.11645/5.1.1513</w:t>
        </w:r>
      </w:hyperlink>
    </w:p>
    <w:p w14:paraId="3228BC90"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Gersch, B., </w:t>
      </w:r>
      <w:proofErr w:type="spellStart"/>
      <w:r w:rsidRPr="00513022">
        <w:rPr>
          <w:rFonts w:ascii="Times New Roman" w:eastAsia="Times New Roman" w:hAnsi="Times New Roman" w:cs="Times New Roman"/>
        </w:rPr>
        <w:t>Lampner</w:t>
      </w:r>
      <w:proofErr w:type="spellEnd"/>
      <w:r w:rsidRPr="00513022">
        <w:rPr>
          <w:rFonts w:ascii="Times New Roman" w:eastAsia="Times New Roman" w:hAnsi="Times New Roman" w:cs="Times New Roman"/>
        </w:rPr>
        <w:t xml:space="preserve">, W., &amp; Turner, D. (2016). Collaborative </w:t>
      </w:r>
      <w:proofErr w:type="spellStart"/>
      <w:r w:rsidRPr="00513022">
        <w:rPr>
          <w:rFonts w:ascii="Times New Roman" w:eastAsia="Times New Roman" w:hAnsi="Times New Roman" w:cs="Times New Roman"/>
        </w:rPr>
        <w:t>metaliteracy</w:t>
      </w:r>
      <w:proofErr w:type="spellEnd"/>
      <w:r w:rsidRPr="00513022">
        <w:rPr>
          <w:rFonts w:ascii="Times New Roman" w:eastAsia="Times New Roman" w:hAnsi="Times New Roman" w:cs="Times New Roman"/>
        </w:rPr>
        <w:t xml:space="preserve">: Putting the new information literacy framework into (digital) practice. </w:t>
      </w:r>
      <w:r w:rsidRPr="00513022">
        <w:rPr>
          <w:rFonts w:ascii="Times New Roman" w:eastAsia="Times New Roman" w:hAnsi="Times New Roman" w:cs="Times New Roman"/>
          <w:i/>
        </w:rPr>
        <w:t>Journal of Library &amp; Information Services in Distance Learning, 10</w:t>
      </w:r>
      <w:r w:rsidRPr="00513022">
        <w:rPr>
          <w:rFonts w:ascii="Times New Roman" w:eastAsia="Times New Roman" w:hAnsi="Times New Roman" w:cs="Times New Roman"/>
        </w:rPr>
        <w:t xml:space="preserve">(3), 199–214. </w:t>
      </w:r>
      <w:hyperlink r:id="rId13">
        <w:r w:rsidRPr="00513022">
          <w:rPr>
            <w:rFonts w:ascii="Times New Roman" w:eastAsia="Times New Roman" w:hAnsi="Times New Roman" w:cs="Times New Roman"/>
            <w:color w:val="467886"/>
            <w:u w:val="single"/>
          </w:rPr>
          <w:t>https://doi.org/10.1080/1533290X.2016.1206788</w:t>
        </w:r>
      </w:hyperlink>
    </w:p>
    <w:p w14:paraId="5FD6B44E"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Gross, M., &amp; Latham, D. (2012). What’s skill got to do with it? </w:t>
      </w:r>
      <w:r w:rsidRPr="00513022">
        <w:rPr>
          <w:rFonts w:ascii="Times New Roman" w:eastAsia="Times New Roman" w:hAnsi="Times New Roman" w:cs="Times New Roman"/>
          <w:i/>
        </w:rPr>
        <w:t>Journal of Education for Library and Information Science, 53</w:t>
      </w:r>
      <w:r w:rsidRPr="00513022">
        <w:rPr>
          <w:rFonts w:ascii="Times New Roman" w:eastAsia="Times New Roman" w:hAnsi="Times New Roman" w:cs="Times New Roman"/>
        </w:rPr>
        <w:t xml:space="preserve">(4), 265–278. </w:t>
      </w:r>
      <w:hyperlink r:id="rId14">
        <w:r w:rsidRPr="00513022">
          <w:rPr>
            <w:rFonts w:ascii="Times New Roman" w:eastAsia="Times New Roman" w:hAnsi="Times New Roman" w:cs="Times New Roman"/>
            <w:color w:val="467886"/>
            <w:u w:val="single"/>
          </w:rPr>
          <w:t>https://doi.org/10.3138/jelis.53.4.265</w:t>
        </w:r>
      </w:hyperlink>
    </w:p>
    <w:p w14:paraId="4AD005ED"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Hallam, G., Thomas, A., &amp; Beach, B. (2018). Creating a connected future through information and digital literacy: Strategic directions at The University of Queensland </w:t>
      </w:r>
      <w:r w:rsidRPr="00513022">
        <w:rPr>
          <w:rFonts w:ascii="Times New Roman" w:eastAsia="Times New Roman" w:hAnsi="Times New Roman" w:cs="Times New Roman"/>
        </w:rPr>
        <w:lastRenderedPageBreak/>
        <w:t xml:space="preserve">Library. </w:t>
      </w:r>
      <w:r w:rsidRPr="00513022">
        <w:rPr>
          <w:rFonts w:ascii="Times New Roman" w:eastAsia="Times New Roman" w:hAnsi="Times New Roman" w:cs="Times New Roman"/>
          <w:i/>
        </w:rPr>
        <w:t>Journal of the Australian Library and Information Association, 67</w:t>
      </w:r>
      <w:r w:rsidRPr="00513022">
        <w:rPr>
          <w:rFonts w:ascii="Times New Roman" w:eastAsia="Times New Roman" w:hAnsi="Times New Roman" w:cs="Times New Roman"/>
        </w:rPr>
        <w:t xml:space="preserve">(1), 3–18. </w:t>
      </w:r>
      <w:hyperlink r:id="rId15">
        <w:r w:rsidRPr="00513022">
          <w:rPr>
            <w:rFonts w:ascii="Times New Roman" w:eastAsia="Times New Roman" w:hAnsi="Times New Roman" w:cs="Times New Roman"/>
            <w:color w:val="467886"/>
            <w:u w:val="single"/>
          </w:rPr>
          <w:t>https://doi.org/10.1080/24750158.2018.1426365</w:t>
        </w:r>
      </w:hyperlink>
    </w:p>
    <w:p w14:paraId="29803D06"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Head, A. J. (2013). </w:t>
      </w:r>
      <w:r w:rsidRPr="00513022">
        <w:rPr>
          <w:rFonts w:ascii="Times New Roman" w:eastAsia="Times New Roman" w:hAnsi="Times New Roman" w:cs="Times New Roman"/>
          <w:i/>
        </w:rPr>
        <w:t>Learning the ropes: How freshmen conduct course research once they enter college</w:t>
      </w:r>
      <w:r w:rsidRPr="00513022">
        <w:rPr>
          <w:rFonts w:ascii="Times New Roman" w:eastAsia="Times New Roman" w:hAnsi="Times New Roman" w:cs="Times New Roman"/>
        </w:rPr>
        <w:t xml:space="preserve">. Project Information Literacy. </w:t>
      </w:r>
      <w:hyperlink r:id="rId16">
        <w:r w:rsidRPr="00513022">
          <w:rPr>
            <w:rFonts w:ascii="Times New Roman" w:eastAsia="Times New Roman" w:hAnsi="Times New Roman" w:cs="Times New Roman"/>
            <w:color w:val="467886"/>
            <w:u w:val="single"/>
          </w:rPr>
          <w:t>https://projectinfolit.org</w:t>
        </w:r>
      </w:hyperlink>
    </w:p>
    <w:p w14:paraId="37B1E68C"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Hensley, M. K. (2013). </w:t>
      </w:r>
      <w:r w:rsidRPr="00513022">
        <w:rPr>
          <w:rFonts w:ascii="Times New Roman" w:eastAsia="Times New Roman" w:hAnsi="Times New Roman" w:cs="Times New Roman"/>
          <w:i/>
        </w:rPr>
        <w:t>Improving LIS education in teaching librarians to teach</w:t>
      </w:r>
      <w:r w:rsidRPr="00513022">
        <w:rPr>
          <w:rFonts w:ascii="Times New Roman" w:eastAsia="Times New Roman" w:hAnsi="Times New Roman" w:cs="Times New Roman"/>
        </w:rPr>
        <w:t xml:space="preserve"> [Doctoral dissertation, University of Illinois at Urbana-Champaign].</w:t>
      </w:r>
    </w:p>
    <w:p w14:paraId="3EE65AC2"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Jaeger, P. T., Bertot, J. C., Thompson, K. M., Katz, S. M., &amp; </w:t>
      </w:r>
      <w:proofErr w:type="spellStart"/>
      <w:r w:rsidRPr="00513022">
        <w:rPr>
          <w:rFonts w:ascii="Times New Roman" w:eastAsia="Times New Roman" w:hAnsi="Times New Roman" w:cs="Times New Roman"/>
        </w:rPr>
        <w:t>DeCoster</w:t>
      </w:r>
      <w:proofErr w:type="spellEnd"/>
      <w:r w:rsidRPr="00513022">
        <w:rPr>
          <w:rFonts w:ascii="Times New Roman" w:eastAsia="Times New Roman" w:hAnsi="Times New Roman" w:cs="Times New Roman"/>
        </w:rPr>
        <w:t xml:space="preserve">, E. J. (2012). The intersection of public policy and public access: Digital divides, digital literacy, digital inclusion, and public libraries. </w:t>
      </w:r>
      <w:r w:rsidRPr="00513022">
        <w:rPr>
          <w:rFonts w:ascii="Times New Roman" w:eastAsia="Times New Roman" w:hAnsi="Times New Roman" w:cs="Times New Roman"/>
          <w:i/>
        </w:rPr>
        <w:t>Public Library Quarterly, 31</w:t>
      </w:r>
      <w:r w:rsidRPr="00513022">
        <w:rPr>
          <w:rFonts w:ascii="Times New Roman" w:eastAsia="Times New Roman" w:hAnsi="Times New Roman" w:cs="Times New Roman"/>
        </w:rPr>
        <w:t xml:space="preserve">(1), 1–20. </w:t>
      </w:r>
      <w:hyperlink r:id="rId17">
        <w:r w:rsidRPr="00513022">
          <w:rPr>
            <w:rFonts w:ascii="Times New Roman" w:eastAsia="Times New Roman" w:hAnsi="Times New Roman" w:cs="Times New Roman"/>
            <w:color w:val="467886"/>
            <w:u w:val="single"/>
          </w:rPr>
          <w:t>https://doi.org/10.1080/01616846.2012.654728</w:t>
        </w:r>
      </w:hyperlink>
    </w:p>
    <w:p w14:paraId="26348C69"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color w:val="EE0000"/>
        </w:rPr>
      </w:pPr>
      <w:r w:rsidRPr="00513022">
        <w:rPr>
          <w:rFonts w:ascii="Times New Roman" w:eastAsia="Times New Roman" w:hAnsi="Times New Roman" w:cs="Times New Roman"/>
          <w:b/>
          <w:bCs/>
          <w:color w:val="EE0000"/>
        </w:rPr>
        <w:t>Jayamma, K. V., Mahesh, G. T., &amp; Kotur, M.</w:t>
      </w:r>
      <w:r w:rsidRPr="00513022">
        <w:rPr>
          <w:rFonts w:ascii="Times New Roman" w:eastAsia="Times New Roman" w:hAnsi="Times New Roman" w:cs="Times New Roman"/>
          <w:color w:val="EE0000"/>
        </w:rPr>
        <w:t xml:space="preserve"> (2023). </w:t>
      </w:r>
      <w:r w:rsidRPr="00513022">
        <w:rPr>
          <w:rFonts w:ascii="Times New Roman" w:eastAsia="Times New Roman" w:hAnsi="Times New Roman" w:cs="Times New Roman"/>
          <w:i/>
          <w:iCs/>
          <w:color w:val="EE0000"/>
        </w:rPr>
        <w:t>Role of libraries in implementing the New Education Policy 2020 in higher education in India</w:t>
      </w:r>
      <w:r w:rsidRPr="00513022">
        <w:rPr>
          <w:rFonts w:ascii="Times New Roman" w:eastAsia="Times New Roman" w:hAnsi="Times New Roman" w:cs="Times New Roman"/>
          <w:color w:val="EE0000"/>
        </w:rPr>
        <w:t xml:space="preserve">. </w:t>
      </w:r>
      <w:r w:rsidRPr="00513022">
        <w:rPr>
          <w:rFonts w:ascii="Times New Roman" w:eastAsia="Times New Roman" w:hAnsi="Times New Roman" w:cs="Times New Roman"/>
          <w:i/>
          <w:iCs/>
          <w:color w:val="EE0000"/>
        </w:rPr>
        <w:t>Asian Journal of Information Science and Technology, 13</w:t>
      </w:r>
      <w:r w:rsidRPr="00513022">
        <w:rPr>
          <w:rFonts w:ascii="Times New Roman" w:eastAsia="Times New Roman" w:hAnsi="Times New Roman" w:cs="Times New Roman"/>
          <w:color w:val="EE0000"/>
        </w:rPr>
        <w:t>(2), 66–71. https://doi.org/10.51983/ajist-2023.13.2.3748</w:t>
      </w:r>
    </w:p>
    <w:p w14:paraId="48FB5A02"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Johnston, N. (2020). The shift towards digital literacy in Australian university libraries: Developing a digital literacy framework. </w:t>
      </w:r>
      <w:r w:rsidRPr="00513022">
        <w:rPr>
          <w:rFonts w:ascii="Times New Roman" w:eastAsia="Times New Roman" w:hAnsi="Times New Roman" w:cs="Times New Roman"/>
          <w:i/>
        </w:rPr>
        <w:t>Journal of the Australian Library and Information Association, 69</w:t>
      </w:r>
      <w:r w:rsidRPr="00513022">
        <w:rPr>
          <w:rFonts w:ascii="Times New Roman" w:eastAsia="Times New Roman" w:hAnsi="Times New Roman" w:cs="Times New Roman"/>
        </w:rPr>
        <w:t xml:space="preserve">(1), 93–101. </w:t>
      </w:r>
      <w:hyperlink r:id="rId18">
        <w:r w:rsidRPr="00513022">
          <w:rPr>
            <w:rFonts w:ascii="Times New Roman" w:eastAsia="Times New Roman" w:hAnsi="Times New Roman" w:cs="Times New Roman"/>
            <w:color w:val="467886"/>
            <w:u w:val="single"/>
          </w:rPr>
          <w:t>https://doi.org/10.1080/24750158.2020.1712638</w:t>
        </w:r>
      </w:hyperlink>
    </w:p>
    <w:p w14:paraId="6DB8CB9A"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Julien, H. (2005). Education for information literacy instruction: A global perspective. </w:t>
      </w:r>
      <w:r w:rsidRPr="00513022">
        <w:rPr>
          <w:rFonts w:ascii="Times New Roman" w:eastAsia="Times New Roman" w:hAnsi="Times New Roman" w:cs="Times New Roman"/>
          <w:i/>
        </w:rPr>
        <w:t>Journal of Education for Library and Information Science, 46</w:t>
      </w:r>
      <w:r w:rsidRPr="00513022">
        <w:rPr>
          <w:rFonts w:ascii="Times New Roman" w:eastAsia="Times New Roman" w:hAnsi="Times New Roman" w:cs="Times New Roman"/>
        </w:rPr>
        <w:t xml:space="preserve">(3), 210–216. </w:t>
      </w:r>
      <w:hyperlink r:id="rId19">
        <w:r w:rsidRPr="00513022">
          <w:rPr>
            <w:rFonts w:ascii="Times New Roman" w:eastAsia="Times New Roman" w:hAnsi="Times New Roman" w:cs="Times New Roman"/>
            <w:color w:val="467886"/>
            <w:u w:val="single"/>
          </w:rPr>
          <w:t>https://doi.org/10.2307/40323896</w:t>
        </w:r>
      </w:hyperlink>
    </w:p>
    <w:p w14:paraId="6567BAB8" w14:textId="77777777" w:rsidR="00513022" w:rsidRPr="00513022" w:rsidRDefault="00513022" w:rsidP="00513022">
      <w:pPr>
        <w:pStyle w:val="ListParagraph"/>
        <w:numPr>
          <w:ilvl w:val="0"/>
          <w:numId w:val="18"/>
        </w:numPr>
        <w:spacing w:before="240" w:after="24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Julien, H., &amp; Genuis, S. K. (2011). Librarians’ experiences of teaching: A qualitative study. </w:t>
      </w:r>
      <w:r w:rsidRPr="00513022">
        <w:rPr>
          <w:rFonts w:ascii="Times New Roman" w:eastAsia="Times New Roman" w:hAnsi="Times New Roman" w:cs="Times New Roman"/>
          <w:i/>
        </w:rPr>
        <w:t>Library &amp; Information Science Research, 33</w:t>
      </w:r>
      <w:r w:rsidRPr="00513022">
        <w:rPr>
          <w:rFonts w:ascii="Times New Roman" w:eastAsia="Times New Roman" w:hAnsi="Times New Roman" w:cs="Times New Roman"/>
        </w:rPr>
        <w:t xml:space="preserve">(2), 103–111. </w:t>
      </w:r>
      <w:hyperlink r:id="rId20">
        <w:r w:rsidRPr="00513022">
          <w:rPr>
            <w:rFonts w:ascii="Times New Roman" w:eastAsia="Times New Roman" w:hAnsi="Times New Roman" w:cs="Times New Roman"/>
            <w:color w:val="467886"/>
            <w:u w:val="single"/>
          </w:rPr>
          <w:t>https://doi.org/10.1016/j.lisr.2010.09.005</w:t>
        </w:r>
      </w:hyperlink>
    </w:p>
    <w:p w14:paraId="577314B6" w14:textId="77777777" w:rsidR="00513022" w:rsidRPr="00513022" w:rsidRDefault="00513022" w:rsidP="00513022">
      <w:pPr>
        <w:pStyle w:val="ListParagraph"/>
        <w:numPr>
          <w:ilvl w:val="0"/>
          <w:numId w:val="18"/>
        </w:numPr>
        <w:spacing w:before="240" w:after="24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Julien, H., &amp; Given, L. M. (2003). Faculty-librarian relationships in the information literacy context. College &amp; Research Libraries, 64(6), 514–523. </w:t>
      </w:r>
      <w:hyperlink r:id="rId21">
        <w:r w:rsidRPr="00513022">
          <w:rPr>
            <w:rFonts w:ascii="Times New Roman" w:eastAsia="Times New Roman" w:hAnsi="Times New Roman" w:cs="Times New Roman"/>
            <w:color w:val="1155CC"/>
            <w:u w:val="single"/>
          </w:rPr>
          <w:t>https://doi.org/10.5860/crl.64.6.514</w:t>
        </w:r>
      </w:hyperlink>
    </w:p>
    <w:p w14:paraId="74EE6B39"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Klebansky, A., &amp; Fraser, S. (2013). A strategic approach to curriculum design for information literacy in teacher education. </w:t>
      </w:r>
      <w:r w:rsidRPr="00513022">
        <w:rPr>
          <w:rFonts w:ascii="Times New Roman" w:eastAsia="Times New Roman" w:hAnsi="Times New Roman" w:cs="Times New Roman"/>
          <w:i/>
        </w:rPr>
        <w:t>Australian Journal of Teacher Education, 38</w:t>
      </w:r>
      <w:r w:rsidRPr="00513022">
        <w:rPr>
          <w:rFonts w:ascii="Times New Roman" w:eastAsia="Times New Roman" w:hAnsi="Times New Roman" w:cs="Times New Roman"/>
        </w:rPr>
        <w:t xml:space="preserve">(11), Article 5. </w:t>
      </w:r>
      <w:hyperlink r:id="rId22">
        <w:r w:rsidRPr="00513022">
          <w:rPr>
            <w:rFonts w:ascii="Times New Roman" w:eastAsia="Times New Roman" w:hAnsi="Times New Roman" w:cs="Times New Roman"/>
            <w:color w:val="467886"/>
            <w:u w:val="single"/>
          </w:rPr>
          <w:t>https://doi.org/10.14221/ajte.2013v38n11.5</w:t>
        </w:r>
      </w:hyperlink>
    </w:p>
    <w:p w14:paraId="79945321"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Lewis, D. W. (2019). Reimagining the academic library: What to do next. </w:t>
      </w:r>
      <w:proofErr w:type="spellStart"/>
      <w:r w:rsidRPr="00513022">
        <w:rPr>
          <w:rFonts w:ascii="Times New Roman" w:eastAsia="Times New Roman" w:hAnsi="Times New Roman" w:cs="Times New Roman"/>
          <w:i/>
        </w:rPr>
        <w:t>Profesional</w:t>
      </w:r>
      <w:proofErr w:type="spellEnd"/>
      <w:r w:rsidRPr="00513022">
        <w:rPr>
          <w:rFonts w:ascii="Times New Roman" w:eastAsia="Times New Roman" w:hAnsi="Times New Roman" w:cs="Times New Roman"/>
          <w:i/>
        </w:rPr>
        <w:t xml:space="preserve"> de la </w:t>
      </w:r>
      <w:proofErr w:type="spellStart"/>
      <w:r w:rsidRPr="00513022">
        <w:rPr>
          <w:rFonts w:ascii="Times New Roman" w:eastAsia="Times New Roman" w:hAnsi="Times New Roman" w:cs="Times New Roman"/>
          <w:i/>
        </w:rPr>
        <w:t>Información</w:t>
      </w:r>
      <w:proofErr w:type="spellEnd"/>
      <w:r w:rsidRPr="00513022">
        <w:rPr>
          <w:rFonts w:ascii="Times New Roman" w:eastAsia="Times New Roman" w:hAnsi="Times New Roman" w:cs="Times New Roman"/>
          <w:i/>
        </w:rPr>
        <w:t>, 28</w:t>
      </w:r>
      <w:r w:rsidRPr="00513022">
        <w:rPr>
          <w:rFonts w:ascii="Times New Roman" w:eastAsia="Times New Roman" w:hAnsi="Times New Roman" w:cs="Times New Roman"/>
        </w:rPr>
        <w:t xml:space="preserve">(1). </w:t>
      </w:r>
      <w:hyperlink r:id="rId23">
        <w:r w:rsidRPr="00513022">
          <w:rPr>
            <w:rFonts w:ascii="Times New Roman" w:eastAsia="Times New Roman" w:hAnsi="Times New Roman" w:cs="Times New Roman"/>
            <w:color w:val="467886"/>
            <w:u w:val="single"/>
          </w:rPr>
          <w:t>https://doi.org/10.3145/epi.2019.ene.04</w:t>
        </w:r>
      </w:hyperlink>
    </w:p>
    <w:p w14:paraId="4A4608B5"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Lloyd, A. (2010). </w:t>
      </w:r>
      <w:r w:rsidRPr="00513022">
        <w:rPr>
          <w:rFonts w:ascii="Times New Roman" w:eastAsia="Times New Roman" w:hAnsi="Times New Roman" w:cs="Times New Roman"/>
          <w:i/>
        </w:rPr>
        <w:t>Information literacy landscapes: Information literacy in education, workplace and everyday contexts</w:t>
      </w:r>
      <w:r w:rsidRPr="00513022">
        <w:rPr>
          <w:rFonts w:ascii="Times New Roman" w:eastAsia="Times New Roman" w:hAnsi="Times New Roman" w:cs="Times New Roman"/>
        </w:rPr>
        <w:t>. Chandos Publishing.</w:t>
      </w:r>
    </w:p>
    <w:p w14:paraId="7BC8DAFF"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Mackey, T. P., &amp; Jacobson, T. E. (2011). Reframing information literacy as a </w:t>
      </w:r>
      <w:proofErr w:type="spellStart"/>
      <w:r w:rsidRPr="00513022">
        <w:rPr>
          <w:rFonts w:ascii="Times New Roman" w:eastAsia="Times New Roman" w:hAnsi="Times New Roman" w:cs="Times New Roman"/>
        </w:rPr>
        <w:t>metaliteracy</w:t>
      </w:r>
      <w:proofErr w:type="spellEnd"/>
      <w:r w:rsidRPr="00513022">
        <w:rPr>
          <w:rFonts w:ascii="Times New Roman" w:eastAsia="Times New Roman" w:hAnsi="Times New Roman" w:cs="Times New Roman"/>
        </w:rPr>
        <w:t xml:space="preserve">. </w:t>
      </w:r>
      <w:r w:rsidRPr="00513022">
        <w:rPr>
          <w:rFonts w:ascii="Times New Roman" w:eastAsia="Times New Roman" w:hAnsi="Times New Roman" w:cs="Times New Roman"/>
          <w:i/>
        </w:rPr>
        <w:t>College &amp; Research Libraries, 72</w:t>
      </w:r>
      <w:r w:rsidRPr="00513022">
        <w:rPr>
          <w:rFonts w:ascii="Times New Roman" w:eastAsia="Times New Roman" w:hAnsi="Times New Roman" w:cs="Times New Roman"/>
        </w:rPr>
        <w:t xml:space="preserve">(1), 62–78. </w:t>
      </w:r>
      <w:hyperlink r:id="rId24">
        <w:r w:rsidRPr="00513022">
          <w:rPr>
            <w:rFonts w:ascii="Times New Roman" w:eastAsia="Times New Roman" w:hAnsi="Times New Roman" w:cs="Times New Roman"/>
            <w:color w:val="467886"/>
            <w:u w:val="single"/>
          </w:rPr>
          <w:t>https://doi.org/10.5860/crl-76r1</w:t>
        </w:r>
      </w:hyperlink>
    </w:p>
    <w:p w14:paraId="63866145"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proofErr w:type="spellStart"/>
      <w:r w:rsidRPr="00513022">
        <w:rPr>
          <w:rFonts w:ascii="Times New Roman" w:eastAsia="Times New Roman" w:hAnsi="Times New Roman" w:cs="Times New Roman"/>
        </w:rPr>
        <w:t>Martzoukou</w:t>
      </w:r>
      <w:proofErr w:type="spellEnd"/>
      <w:r w:rsidRPr="00513022">
        <w:rPr>
          <w:rFonts w:ascii="Times New Roman" w:eastAsia="Times New Roman" w:hAnsi="Times New Roman" w:cs="Times New Roman"/>
        </w:rPr>
        <w:t xml:space="preserve">, K. (2021). Academic libraries in COVID-19: A renewed mission for digital literacy. </w:t>
      </w:r>
      <w:r w:rsidRPr="00513022">
        <w:rPr>
          <w:rFonts w:ascii="Times New Roman" w:eastAsia="Times New Roman" w:hAnsi="Times New Roman" w:cs="Times New Roman"/>
          <w:i/>
        </w:rPr>
        <w:t>Library Management, 42</w:t>
      </w:r>
      <w:r w:rsidRPr="00513022">
        <w:rPr>
          <w:rFonts w:ascii="Times New Roman" w:eastAsia="Times New Roman" w:hAnsi="Times New Roman" w:cs="Times New Roman"/>
        </w:rPr>
        <w:t xml:space="preserve">(4/5), 266–276. </w:t>
      </w:r>
      <w:hyperlink r:id="rId25">
        <w:r w:rsidRPr="00513022">
          <w:rPr>
            <w:rFonts w:ascii="Times New Roman" w:eastAsia="Times New Roman" w:hAnsi="Times New Roman" w:cs="Times New Roman"/>
            <w:color w:val="467886"/>
            <w:u w:val="single"/>
          </w:rPr>
          <w:t>https://doi.org/10.1108/LM-09-2020-0131</w:t>
        </w:r>
      </w:hyperlink>
    </w:p>
    <w:p w14:paraId="354E7EFD"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Maybee, C. (2006). Undergraduate perceptions of information use: The basis for creating user-</w:t>
      </w:r>
      <w:proofErr w:type="spellStart"/>
      <w:r w:rsidRPr="00513022">
        <w:rPr>
          <w:rFonts w:ascii="Times New Roman" w:eastAsia="Times New Roman" w:hAnsi="Times New Roman" w:cs="Times New Roman"/>
        </w:rPr>
        <w:t>centered</w:t>
      </w:r>
      <w:proofErr w:type="spellEnd"/>
      <w:r w:rsidRPr="00513022">
        <w:rPr>
          <w:rFonts w:ascii="Times New Roman" w:eastAsia="Times New Roman" w:hAnsi="Times New Roman" w:cs="Times New Roman"/>
        </w:rPr>
        <w:t xml:space="preserve"> student information literacy instruction. </w:t>
      </w:r>
      <w:r w:rsidRPr="00513022">
        <w:rPr>
          <w:rFonts w:ascii="Times New Roman" w:eastAsia="Times New Roman" w:hAnsi="Times New Roman" w:cs="Times New Roman"/>
          <w:i/>
        </w:rPr>
        <w:t>Journal of Academic Librarianship, 32</w:t>
      </w:r>
      <w:r w:rsidRPr="00513022">
        <w:rPr>
          <w:rFonts w:ascii="Times New Roman" w:eastAsia="Times New Roman" w:hAnsi="Times New Roman" w:cs="Times New Roman"/>
        </w:rPr>
        <w:t xml:space="preserve">(1), 79–85. </w:t>
      </w:r>
      <w:hyperlink r:id="rId26">
        <w:r w:rsidRPr="00513022">
          <w:rPr>
            <w:rFonts w:ascii="Times New Roman" w:eastAsia="Times New Roman" w:hAnsi="Times New Roman" w:cs="Times New Roman"/>
            <w:color w:val="467886"/>
            <w:u w:val="single"/>
          </w:rPr>
          <w:t>https://doi.org/10.1016/j.acalib.2005.10.008</w:t>
        </w:r>
      </w:hyperlink>
    </w:p>
    <w:p w14:paraId="1F6A9178"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lastRenderedPageBreak/>
        <w:t xml:space="preserve">Mishra, P., &amp; Koehler, M. J. (2006). Technological pedagogical content knowledge: A framework for teacher knowledge. </w:t>
      </w:r>
      <w:r w:rsidRPr="00513022">
        <w:rPr>
          <w:rFonts w:ascii="Times New Roman" w:eastAsia="Times New Roman" w:hAnsi="Times New Roman" w:cs="Times New Roman"/>
          <w:i/>
        </w:rPr>
        <w:t>Teachers College Record, 108</w:t>
      </w:r>
      <w:r w:rsidRPr="00513022">
        <w:rPr>
          <w:rFonts w:ascii="Times New Roman" w:eastAsia="Times New Roman" w:hAnsi="Times New Roman" w:cs="Times New Roman"/>
        </w:rPr>
        <w:t>(6), 1017–1054.</w:t>
      </w:r>
    </w:p>
    <w:p w14:paraId="565B6F1A"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color w:val="EE0000"/>
        </w:rPr>
      </w:pPr>
      <w:r w:rsidRPr="00513022">
        <w:rPr>
          <w:rFonts w:ascii="Times New Roman" w:eastAsia="Times New Roman" w:hAnsi="Times New Roman" w:cs="Times New Roman"/>
          <w:b/>
          <w:bCs/>
          <w:color w:val="EE0000"/>
        </w:rPr>
        <w:t>Mukherjee, S., &amp; Patra, S. K.</w:t>
      </w:r>
      <w:r w:rsidRPr="00513022">
        <w:rPr>
          <w:rFonts w:ascii="Times New Roman" w:eastAsia="Times New Roman" w:hAnsi="Times New Roman" w:cs="Times New Roman"/>
          <w:color w:val="EE0000"/>
        </w:rPr>
        <w:t xml:space="preserve"> (2023). Digital library initiatives in India: A comprehensive study. </w:t>
      </w:r>
      <w:proofErr w:type="spellStart"/>
      <w:r w:rsidRPr="00513022">
        <w:rPr>
          <w:rFonts w:ascii="Times New Roman" w:eastAsia="Times New Roman" w:hAnsi="Times New Roman" w:cs="Times New Roman"/>
          <w:i/>
          <w:iCs/>
          <w:color w:val="EE0000"/>
        </w:rPr>
        <w:t>arXiv</w:t>
      </w:r>
      <w:proofErr w:type="spellEnd"/>
      <w:r w:rsidRPr="00513022">
        <w:rPr>
          <w:rFonts w:ascii="Times New Roman" w:eastAsia="Times New Roman" w:hAnsi="Times New Roman" w:cs="Times New Roman"/>
          <w:color w:val="EE0000"/>
        </w:rPr>
        <w:t>. https://doi.org/10.48550/arXiv.2303.13594</w:t>
      </w:r>
    </w:p>
    <w:p w14:paraId="0CC20F5E"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color w:val="EE0000"/>
        </w:rPr>
      </w:pPr>
      <w:r w:rsidRPr="00513022">
        <w:rPr>
          <w:rFonts w:ascii="Times New Roman" w:eastAsia="Times New Roman" w:hAnsi="Times New Roman" w:cs="Times New Roman"/>
          <w:b/>
          <w:bCs/>
          <w:color w:val="EE0000"/>
        </w:rPr>
        <w:t>Nazim, M., Munshi, S. A., &amp; Ashar, M.</w:t>
      </w:r>
      <w:r w:rsidRPr="00513022">
        <w:rPr>
          <w:rFonts w:ascii="Times New Roman" w:eastAsia="Times New Roman" w:hAnsi="Times New Roman" w:cs="Times New Roman"/>
          <w:color w:val="EE0000"/>
        </w:rPr>
        <w:t xml:space="preserve"> (2022). Librarians’ self-efficacy in ICT-based library operations and services: A survey of librarians working in libraries of Aligarh Muslim University. </w:t>
      </w:r>
      <w:r w:rsidRPr="00513022">
        <w:rPr>
          <w:rFonts w:ascii="Times New Roman" w:eastAsia="Times New Roman" w:hAnsi="Times New Roman" w:cs="Times New Roman"/>
          <w:i/>
          <w:iCs/>
          <w:color w:val="EE0000"/>
        </w:rPr>
        <w:t>Journal of Librarianship and Information Science, 55</w:t>
      </w:r>
      <w:r w:rsidRPr="00513022">
        <w:rPr>
          <w:rFonts w:ascii="Times New Roman" w:eastAsia="Times New Roman" w:hAnsi="Times New Roman" w:cs="Times New Roman"/>
          <w:color w:val="EE0000"/>
        </w:rPr>
        <w:t>(4). https://doi.org/10.1177/09610006221111199</w:t>
      </w:r>
    </w:p>
    <w:p w14:paraId="0BD4313D"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Oakleaf, M. (2010). </w:t>
      </w:r>
      <w:r w:rsidRPr="00513022">
        <w:rPr>
          <w:rFonts w:ascii="Times New Roman" w:eastAsia="Times New Roman" w:hAnsi="Times New Roman" w:cs="Times New Roman"/>
          <w:i/>
        </w:rPr>
        <w:t>The value of academic libraries: A comprehensive research review and report</w:t>
      </w:r>
      <w:r w:rsidRPr="00513022">
        <w:rPr>
          <w:rFonts w:ascii="Times New Roman" w:eastAsia="Times New Roman" w:hAnsi="Times New Roman" w:cs="Times New Roman"/>
        </w:rPr>
        <w:t>. Association of College &amp; Research Libraries.</w:t>
      </w:r>
    </w:p>
    <w:p w14:paraId="6671AB74"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Raju, J. (2017). To teach or not to teach? The question of the academic librarian’s pedagogical competencies in the digital age. </w:t>
      </w:r>
      <w:r w:rsidRPr="00513022">
        <w:rPr>
          <w:rFonts w:ascii="Times New Roman" w:eastAsia="Times New Roman" w:hAnsi="Times New Roman" w:cs="Times New Roman"/>
          <w:i/>
        </w:rPr>
        <w:t>South African Journal of Higher Education, 31</w:t>
      </w:r>
      <w:r w:rsidRPr="00513022">
        <w:rPr>
          <w:rFonts w:ascii="Times New Roman" w:eastAsia="Times New Roman" w:hAnsi="Times New Roman" w:cs="Times New Roman"/>
        </w:rPr>
        <w:t xml:space="preserve">(2), 251–269. </w:t>
      </w:r>
      <w:hyperlink r:id="rId27">
        <w:r w:rsidRPr="00513022">
          <w:rPr>
            <w:rFonts w:ascii="Times New Roman" w:eastAsia="Times New Roman" w:hAnsi="Times New Roman" w:cs="Times New Roman"/>
            <w:color w:val="467886"/>
            <w:u w:val="single"/>
          </w:rPr>
          <w:t>https://doi.org/10.20853/31-2-1096</w:t>
        </w:r>
      </w:hyperlink>
    </w:p>
    <w:p w14:paraId="31CB671F"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color w:val="EE0000"/>
        </w:rPr>
      </w:pPr>
      <w:r w:rsidRPr="00513022">
        <w:rPr>
          <w:rFonts w:ascii="Times New Roman" w:eastAsia="Times New Roman" w:hAnsi="Times New Roman" w:cs="Times New Roman"/>
          <w:b/>
          <w:bCs/>
          <w:color w:val="EE0000"/>
        </w:rPr>
        <w:t>Rathore, M.</w:t>
      </w:r>
      <w:r w:rsidRPr="00513022">
        <w:rPr>
          <w:rFonts w:ascii="Times New Roman" w:eastAsia="Times New Roman" w:hAnsi="Times New Roman" w:cs="Times New Roman"/>
          <w:color w:val="EE0000"/>
        </w:rPr>
        <w:t xml:space="preserve"> (2024). Implementation of digital libraries in higher education under NEP 2020. </w:t>
      </w:r>
      <w:r w:rsidRPr="00513022">
        <w:rPr>
          <w:rFonts w:ascii="Times New Roman" w:eastAsia="Times New Roman" w:hAnsi="Times New Roman" w:cs="Times New Roman"/>
          <w:i/>
          <w:iCs/>
          <w:color w:val="EE0000"/>
        </w:rPr>
        <w:t>International Scholars Journals, 10</w:t>
      </w:r>
      <w:r w:rsidRPr="00513022">
        <w:rPr>
          <w:rFonts w:ascii="Times New Roman" w:eastAsia="Times New Roman" w:hAnsi="Times New Roman" w:cs="Times New Roman"/>
          <w:color w:val="EE0000"/>
        </w:rPr>
        <w:t>(1).</w:t>
      </w:r>
    </w:p>
    <w:p w14:paraId="633FCBE7"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Rutledge, L., &amp; </w:t>
      </w:r>
      <w:proofErr w:type="spellStart"/>
      <w:r w:rsidRPr="00513022">
        <w:rPr>
          <w:rFonts w:ascii="Times New Roman" w:eastAsia="Times New Roman" w:hAnsi="Times New Roman" w:cs="Times New Roman"/>
        </w:rPr>
        <w:t>LeMire</w:t>
      </w:r>
      <w:proofErr w:type="spellEnd"/>
      <w:r w:rsidRPr="00513022">
        <w:rPr>
          <w:rFonts w:ascii="Times New Roman" w:eastAsia="Times New Roman" w:hAnsi="Times New Roman" w:cs="Times New Roman"/>
        </w:rPr>
        <w:t xml:space="preserve">, S. (2017). Broadening boundaries: Opportunities for information literacy instruction inside and outside the classroom. </w:t>
      </w:r>
      <w:r w:rsidRPr="00513022">
        <w:rPr>
          <w:rFonts w:ascii="Times New Roman" w:eastAsia="Times New Roman" w:hAnsi="Times New Roman" w:cs="Times New Roman"/>
          <w:i/>
        </w:rPr>
        <w:t>portal: Libraries and the Academy, 17</w:t>
      </w:r>
      <w:r w:rsidRPr="00513022">
        <w:rPr>
          <w:rFonts w:ascii="Times New Roman" w:eastAsia="Times New Roman" w:hAnsi="Times New Roman" w:cs="Times New Roman"/>
        </w:rPr>
        <w:t xml:space="preserve">(2), 347–362. </w:t>
      </w:r>
      <w:hyperlink r:id="rId28">
        <w:r w:rsidRPr="00513022">
          <w:rPr>
            <w:rFonts w:ascii="Times New Roman" w:eastAsia="Times New Roman" w:hAnsi="Times New Roman" w:cs="Times New Roman"/>
            <w:color w:val="467886"/>
            <w:u w:val="single"/>
          </w:rPr>
          <w:t>https://doi.org/10.1353/pla.2017.0021</w:t>
        </w:r>
      </w:hyperlink>
    </w:p>
    <w:p w14:paraId="217E4D3D"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Saunders, L. (2015). Professional perspectives on library and information science education. </w:t>
      </w:r>
      <w:r w:rsidRPr="00513022">
        <w:rPr>
          <w:rFonts w:ascii="Times New Roman" w:eastAsia="Times New Roman" w:hAnsi="Times New Roman" w:cs="Times New Roman"/>
          <w:i/>
        </w:rPr>
        <w:t>The Library Quarterly, 85</w:t>
      </w:r>
      <w:r w:rsidRPr="00513022">
        <w:rPr>
          <w:rFonts w:ascii="Times New Roman" w:eastAsia="Times New Roman" w:hAnsi="Times New Roman" w:cs="Times New Roman"/>
        </w:rPr>
        <w:t xml:space="preserve">(4), 427–453. </w:t>
      </w:r>
      <w:hyperlink r:id="rId29">
        <w:r w:rsidRPr="00513022">
          <w:rPr>
            <w:rFonts w:ascii="Times New Roman" w:eastAsia="Times New Roman" w:hAnsi="Times New Roman" w:cs="Times New Roman"/>
            <w:color w:val="467886"/>
            <w:u w:val="single"/>
          </w:rPr>
          <w:t>https://doi.org/10.1086/682735</w:t>
        </w:r>
      </w:hyperlink>
    </w:p>
    <w:p w14:paraId="0565DB5B"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Secker, J., &amp; Coonan, E. (2013). </w:t>
      </w:r>
      <w:r w:rsidRPr="00513022">
        <w:rPr>
          <w:rFonts w:ascii="Times New Roman" w:eastAsia="Times New Roman" w:hAnsi="Times New Roman" w:cs="Times New Roman"/>
          <w:i/>
        </w:rPr>
        <w:t>Rethinking information literacy: A practical framework for supporting learning</w:t>
      </w:r>
      <w:r w:rsidRPr="00513022">
        <w:rPr>
          <w:rFonts w:ascii="Times New Roman" w:eastAsia="Times New Roman" w:hAnsi="Times New Roman" w:cs="Times New Roman"/>
        </w:rPr>
        <w:t>. Facet Publishing.</w:t>
      </w:r>
    </w:p>
    <w:p w14:paraId="2F9CDC65"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Shank, J. D., Bell, S. J., &amp; Zabel, D. (2011). Blended librarianship: [Re]envisioning the role of librarian as educator in the digital information age. </w:t>
      </w:r>
      <w:r w:rsidRPr="00513022">
        <w:rPr>
          <w:rFonts w:ascii="Times New Roman" w:eastAsia="Times New Roman" w:hAnsi="Times New Roman" w:cs="Times New Roman"/>
          <w:i/>
        </w:rPr>
        <w:t>Reference &amp; User Services Quarterly, 51</w:t>
      </w:r>
      <w:r w:rsidRPr="00513022">
        <w:rPr>
          <w:rFonts w:ascii="Times New Roman" w:eastAsia="Times New Roman" w:hAnsi="Times New Roman" w:cs="Times New Roman"/>
        </w:rPr>
        <w:t xml:space="preserve">(2), 105–110. </w:t>
      </w:r>
      <w:hyperlink r:id="rId30">
        <w:r w:rsidRPr="00513022">
          <w:rPr>
            <w:rFonts w:ascii="Times New Roman" w:eastAsia="Times New Roman" w:hAnsi="Times New Roman" w:cs="Times New Roman"/>
            <w:color w:val="467886"/>
            <w:u w:val="single"/>
          </w:rPr>
          <w:t>https://doi.org/10.5860/rusq.51n2.105</w:t>
        </w:r>
      </w:hyperlink>
    </w:p>
    <w:p w14:paraId="2FBFDA38"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Siemens, G. (2005). Connectivism: A learning theory for the digital age. </w:t>
      </w:r>
      <w:r w:rsidRPr="00513022">
        <w:rPr>
          <w:rFonts w:ascii="Times New Roman" w:eastAsia="Times New Roman" w:hAnsi="Times New Roman" w:cs="Times New Roman"/>
          <w:i/>
        </w:rPr>
        <w:t>International Journal of Instructional Technology and Distance Learning, 2</w:t>
      </w:r>
      <w:r w:rsidRPr="00513022">
        <w:rPr>
          <w:rFonts w:ascii="Times New Roman" w:eastAsia="Times New Roman" w:hAnsi="Times New Roman" w:cs="Times New Roman"/>
        </w:rPr>
        <w:t>(1).</w:t>
      </w:r>
    </w:p>
    <w:p w14:paraId="6E2373C7"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color w:val="EE0000"/>
        </w:rPr>
      </w:pPr>
      <w:proofErr w:type="spellStart"/>
      <w:r w:rsidRPr="00513022">
        <w:rPr>
          <w:rFonts w:ascii="Times New Roman" w:eastAsia="Times New Roman" w:hAnsi="Times New Roman" w:cs="Times New Roman"/>
          <w:b/>
          <w:bCs/>
          <w:color w:val="EE0000"/>
        </w:rPr>
        <w:t>Vagdal</w:t>
      </w:r>
      <w:proofErr w:type="spellEnd"/>
      <w:r w:rsidRPr="00513022">
        <w:rPr>
          <w:rFonts w:ascii="Times New Roman" w:eastAsia="Times New Roman" w:hAnsi="Times New Roman" w:cs="Times New Roman"/>
          <w:b/>
          <w:bCs/>
          <w:color w:val="EE0000"/>
        </w:rPr>
        <w:t>, T. S., &amp; Acharya, S.</w:t>
      </w:r>
      <w:r w:rsidRPr="00513022">
        <w:rPr>
          <w:rFonts w:ascii="Times New Roman" w:eastAsia="Times New Roman" w:hAnsi="Times New Roman" w:cs="Times New Roman"/>
          <w:color w:val="EE0000"/>
        </w:rPr>
        <w:t xml:space="preserve"> (2023). </w:t>
      </w:r>
      <w:r w:rsidRPr="00513022">
        <w:rPr>
          <w:rFonts w:ascii="Times New Roman" w:eastAsia="Times New Roman" w:hAnsi="Times New Roman" w:cs="Times New Roman"/>
          <w:i/>
          <w:iCs/>
          <w:color w:val="EE0000"/>
        </w:rPr>
        <w:t>The role of academic libraries in the context of National Education Policy (NEP) 2020</w:t>
      </w:r>
      <w:r w:rsidRPr="00513022">
        <w:rPr>
          <w:rFonts w:ascii="Times New Roman" w:eastAsia="Times New Roman" w:hAnsi="Times New Roman" w:cs="Times New Roman"/>
          <w:color w:val="EE0000"/>
        </w:rPr>
        <w:t xml:space="preserve">. </w:t>
      </w:r>
      <w:r w:rsidRPr="00513022">
        <w:rPr>
          <w:rFonts w:ascii="Times New Roman" w:eastAsia="Times New Roman" w:hAnsi="Times New Roman" w:cs="Times New Roman"/>
          <w:i/>
          <w:iCs/>
          <w:color w:val="EE0000"/>
        </w:rPr>
        <w:t>Indian Journal of Library Science and Information Technology, 8</w:t>
      </w:r>
      <w:r w:rsidRPr="00513022">
        <w:rPr>
          <w:rFonts w:ascii="Times New Roman" w:eastAsia="Times New Roman" w:hAnsi="Times New Roman" w:cs="Times New Roman"/>
          <w:color w:val="EE0000"/>
        </w:rPr>
        <w:t>(1), 32–36. https://doi.org/10.18231/j.ijlsit.2023.006</w:t>
      </w:r>
    </w:p>
    <w:p w14:paraId="611D8689"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Virkus, S. (2012). Information literacy in Europe: Ten years later. </w:t>
      </w:r>
      <w:r w:rsidRPr="00513022">
        <w:rPr>
          <w:rFonts w:ascii="Times New Roman" w:eastAsia="Times New Roman" w:hAnsi="Times New Roman" w:cs="Times New Roman"/>
          <w:i/>
        </w:rPr>
        <w:t>Communications in Information Literacy, 6</w:t>
      </w:r>
      <w:r w:rsidRPr="00513022">
        <w:rPr>
          <w:rFonts w:ascii="Times New Roman" w:eastAsia="Times New Roman" w:hAnsi="Times New Roman" w:cs="Times New Roman"/>
        </w:rPr>
        <w:t xml:space="preserve">(1), 4–17. </w:t>
      </w:r>
      <w:hyperlink r:id="rId31">
        <w:r w:rsidRPr="00513022">
          <w:rPr>
            <w:rFonts w:ascii="Times New Roman" w:eastAsia="Times New Roman" w:hAnsi="Times New Roman" w:cs="Times New Roman"/>
            <w:color w:val="467886"/>
            <w:u w:val="single"/>
          </w:rPr>
          <w:t>https://doi.org/10.15760/comminfolit.2012.6.1.111</w:t>
        </w:r>
      </w:hyperlink>
    </w:p>
    <w:p w14:paraId="44BF2FAE"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Walter, S. (2008). Librarians as teachers: A qualitative inquiry into professional identity. </w:t>
      </w:r>
      <w:r w:rsidRPr="00513022">
        <w:rPr>
          <w:rFonts w:ascii="Times New Roman" w:eastAsia="Times New Roman" w:hAnsi="Times New Roman" w:cs="Times New Roman"/>
          <w:i/>
        </w:rPr>
        <w:t>College &amp; Research Libraries, 69</w:t>
      </w:r>
      <w:r w:rsidRPr="00513022">
        <w:rPr>
          <w:rFonts w:ascii="Times New Roman" w:eastAsia="Times New Roman" w:hAnsi="Times New Roman" w:cs="Times New Roman"/>
        </w:rPr>
        <w:t xml:space="preserve">(1), 52–64. </w:t>
      </w:r>
      <w:hyperlink r:id="rId32">
        <w:r w:rsidRPr="00513022">
          <w:rPr>
            <w:rFonts w:ascii="Times New Roman" w:eastAsia="Times New Roman" w:hAnsi="Times New Roman" w:cs="Times New Roman"/>
            <w:color w:val="467886"/>
            <w:u w:val="single"/>
          </w:rPr>
          <w:t>https://doi.org/10.5860/crl.69.1.52</w:t>
        </w:r>
      </w:hyperlink>
    </w:p>
    <w:p w14:paraId="7594EDFD"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Wang, X. (2010). Integrating information literacy into higher education curricula: An IL curricular integration model. </w:t>
      </w:r>
      <w:r w:rsidRPr="00513022">
        <w:rPr>
          <w:rFonts w:ascii="Times New Roman" w:eastAsia="Times New Roman" w:hAnsi="Times New Roman" w:cs="Times New Roman"/>
          <w:i/>
        </w:rPr>
        <w:t>Journal of Academic Librarianship, 36</w:t>
      </w:r>
      <w:r w:rsidRPr="00513022">
        <w:rPr>
          <w:rFonts w:ascii="Times New Roman" w:eastAsia="Times New Roman" w:hAnsi="Times New Roman" w:cs="Times New Roman"/>
        </w:rPr>
        <w:t xml:space="preserve">(6), 475–482. </w:t>
      </w:r>
      <w:hyperlink r:id="rId33">
        <w:r w:rsidRPr="00513022">
          <w:rPr>
            <w:rFonts w:ascii="Times New Roman" w:eastAsia="Times New Roman" w:hAnsi="Times New Roman" w:cs="Times New Roman"/>
            <w:color w:val="467886"/>
            <w:u w:val="single"/>
          </w:rPr>
          <w:t>https://doi.org/10.1016/j.acalib.2010.08.013</w:t>
        </w:r>
      </w:hyperlink>
    </w:p>
    <w:p w14:paraId="6D7B038F" w14:textId="77777777" w:rsidR="00513022" w:rsidRPr="00513022" w:rsidRDefault="00513022" w:rsidP="00513022">
      <w:pPr>
        <w:pStyle w:val="ListParagraph"/>
        <w:numPr>
          <w:ilvl w:val="0"/>
          <w:numId w:val="18"/>
        </w:numPr>
        <w:spacing w:before="240" w:after="240" w:line="276" w:lineRule="auto"/>
        <w:jc w:val="both"/>
        <w:rPr>
          <w:rFonts w:ascii="Times New Roman" w:eastAsia="Times New Roman" w:hAnsi="Times New Roman" w:cs="Times New Roman"/>
        </w:rPr>
      </w:pPr>
      <w:r w:rsidRPr="00513022">
        <w:rPr>
          <w:rFonts w:ascii="Times New Roman" w:eastAsia="Times New Roman" w:hAnsi="Times New Roman" w:cs="Times New Roman"/>
        </w:rPr>
        <w:t>Wenger, E. (1998). Communities of practice: Learning, meaning, and identity. Cambridge University Press.</w:t>
      </w:r>
    </w:p>
    <w:p w14:paraId="23448082" w14:textId="77777777" w:rsidR="00513022" w:rsidRPr="00513022" w:rsidRDefault="00513022" w:rsidP="00513022">
      <w:pPr>
        <w:pStyle w:val="ListParagraph"/>
        <w:numPr>
          <w:ilvl w:val="0"/>
          <w:numId w:val="18"/>
        </w:numPr>
        <w:spacing w:after="200" w:line="276" w:lineRule="auto"/>
        <w:jc w:val="both"/>
        <w:rPr>
          <w:rFonts w:ascii="Times New Roman" w:eastAsia="Times New Roman" w:hAnsi="Times New Roman" w:cs="Times New Roman"/>
        </w:rPr>
      </w:pPr>
      <w:r w:rsidRPr="00513022">
        <w:rPr>
          <w:rFonts w:ascii="Times New Roman" w:eastAsia="Times New Roman" w:hAnsi="Times New Roman" w:cs="Times New Roman"/>
        </w:rPr>
        <w:t xml:space="preserve">Yukawa, J. (2010). Communities of practice for blended learning: Toward an integrated model for LIS education. </w:t>
      </w:r>
      <w:r w:rsidRPr="00513022">
        <w:rPr>
          <w:rFonts w:ascii="Times New Roman" w:eastAsia="Times New Roman" w:hAnsi="Times New Roman" w:cs="Times New Roman"/>
          <w:i/>
        </w:rPr>
        <w:t>Journal of Education for Library and Information Science, 51</w:t>
      </w:r>
      <w:r w:rsidRPr="00513022">
        <w:rPr>
          <w:rFonts w:ascii="Times New Roman" w:eastAsia="Times New Roman" w:hAnsi="Times New Roman" w:cs="Times New Roman"/>
        </w:rPr>
        <w:t xml:space="preserve">(2), 54–75. </w:t>
      </w:r>
      <w:hyperlink r:id="rId34">
        <w:r w:rsidRPr="00513022">
          <w:rPr>
            <w:rFonts w:ascii="Times New Roman" w:eastAsia="Times New Roman" w:hAnsi="Times New Roman" w:cs="Times New Roman"/>
            <w:color w:val="467886"/>
            <w:u w:val="single"/>
          </w:rPr>
          <w:t>https://doi.org/10.2307/20720485</w:t>
        </w:r>
      </w:hyperlink>
    </w:p>
    <w:p w14:paraId="7F8671FC" w14:textId="77777777" w:rsidR="0048798B" w:rsidRDefault="0048798B" w:rsidP="0048798B">
      <w:pPr>
        <w:spacing w:after="200" w:line="276" w:lineRule="auto"/>
        <w:jc w:val="both"/>
        <w:rPr>
          <w:rFonts w:ascii="Times New Roman" w:eastAsia="Times New Roman" w:hAnsi="Times New Roman" w:cs="Times New Roman"/>
        </w:rPr>
      </w:pPr>
    </w:p>
    <w:sectPr w:rsidR="0048798B">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64F83" w14:textId="77777777" w:rsidR="004A26D5" w:rsidRDefault="004A26D5" w:rsidP="00B20029">
      <w:pPr>
        <w:spacing w:after="0" w:line="240" w:lineRule="auto"/>
      </w:pPr>
      <w:r>
        <w:separator/>
      </w:r>
    </w:p>
  </w:endnote>
  <w:endnote w:type="continuationSeparator" w:id="0">
    <w:p w14:paraId="11CF882E" w14:textId="77777777" w:rsidR="004A26D5" w:rsidRDefault="004A26D5" w:rsidP="00B2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475B" w14:textId="77777777" w:rsidR="00B20029" w:rsidRDefault="00B20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18A9A" w14:textId="77777777" w:rsidR="00B20029" w:rsidRDefault="00B20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D6A8" w14:textId="77777777" w:rsidR="00B20029" w:rsidRDefault="00B20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53B9A" w14:textId="77777777" w:rsidR="004A26D5" w:rsidRDefault="004A26D5" w:rsidP="00B20029">
      <w:pPr>
        <w:spacing w:after="0" w:line="240" w:lineRule="auto"/>
      </w:pPr>
      <w:r>
        <w:separator/>
      </w:r>
    </w:p>
  </w:footnote>
  <w:footnote w:type="continuationSeparator" w:id="0">
    <w:p w14:paraId="50FD0AD8" w14:textId="77777777" w:rsidR="004A26D5" w:rsidRDefault="004A26D5" w:rsidP="00B2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0AB7" w14:textId="68F92615" w:rsidR="00B20029" w:rsidRDefault="00000000">
    <w:pPr>
      <w:pStyle w:val="Header"/>
    </w:pPr>
    <w:r>
      <w:rPr>
        <w:noProof/>
      </w:rPr>
      <w:pict w14:anchorId="7BA44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356282"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AAE7" w14:textId="4DBDE3F4" w:rsidR="00B20029" w:rsidRDefault="00000000">
    <w:pPr>
      <w:pStyle w:val="Header"/>
    </w:pPr>
    <w:r>
      <w:rPr>
        <w:noProof/>
      </w:rPr>
      <w:pict w14:anchorId="16B8E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356283"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383D" w14:textId="67383100" w:rsidR="00B20029" w:rsidRDefault="00000000">
    <w:pPr>
      <w:pStyle w:val="Header"/>
    </w:pPr>
    <w:r>
      <w:rPr>
        <w:noProof/>
      </w:rPr>
      <w:pict w14:anchorId="10996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356281"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223"/>
    <w:multiLevelType w:val="multilevel"/>
    <w:tmpl w:val="EA3C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1EB8"/>
    <w:multiLevelType w:val="multilevel"/>
    <w:tmpl w:val="4C48F6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2E6217"/>
    <w:multiLevelType w:val="multilevel"/>
    <w:tmpl w:val="BC4639DA"/>
    <w:lvl w:ilvl="0">
      <w:start w:val="1"/>
      <w:numFmt w:val="decimal"/>
      <w:lvlText w:val="%1."/>
      <w:lvlJc w:val="left"/>
      <w:pPr>
        <w:ind w:left="720" w:hanging="360"/>
      </w:pPr>
    </w:lvl>
    <w:lvl w:ilvl="1">
      <w:start w:val="1"/>
      <w:numFmt w:val="decimal"/>
      <w:lvlText w:val="%1.%2."/>
      <w:lvlJc w:val="left"/>
      <w:pPr>
        <w:ind w:left="1080" w:hanging="720"/>
      </w:pPr>
      <w:rPr>
        <w:rFonts w:ascii="Quattrocento Sans" w:eastAsia="Quattrocento Sans" w:hAnsi="Quattrocento Sans" w:cs="Quattrocento Sans"/>
      </w:rPr>
    </w:lvl>
    <w:lvl w:ilvl="2">
      <w:start w:val="1"/>
      <w:numFmt w:val="decimal"/>
      <w:lvlText w:val="%1.%2.%3."/>
      <w:lvlJc w:val="left"/>
      <w:pPr>
        <w:ind w:left="1080" w:hanging="720"/>
      </w:pPr>
      <w:rPr>
        <w:rFonts w:ascii="Quattrocento Sans" w:eastAsia="Quattrocento Sans" w:hAnsi="Quattrocento Sans" w:cs="Quattrocento Sans"/>
      </w:rPr>
    </w:lvl>
    <w:lvl w:ilvl="3">
      <w:start w:val="1"/>
      <w:numFmt w:val="decimal"/>
      <w:lvlText w:val="%1.%2.%3.%4."/>
      <w:lvlJc w:val="left"/>
      <w:pPr>
        <w:ind w:left="1440" w:hanging="1080"/>
      </w:pPr>
      <w:rPr>
        <w:rFonts w:ascii="Quattrocento Sans" w:eastAsia="Quattrocento Sans" w:hAnsi="Quattrocento Sans" w:cs="Quattrocento Sans"/>
      </w:rPr>
    </w:lvl>
    <w:lvl w:ilvl="4">
      <w:start w:val="1"/>
      <w:numFmt w:val="decimal"/>
      <w:lvlText w:val="%1.%2.%3.%4.%5."/>
      <w:lvlJc w:val="left"/>
      <w:pPr>
        <w:ind w:left="1440" w:hanging="1080"/>
      </w:pPr>
      <w:rPr>
        <w:rFonts w:ascii="Quattrocento Sans" w:eastAsia="Quattrocento Sans" w:hAnsi="Quattrocento Sans" w:cs="Quattrocento Sans"/>
      </w:rPr>
    </w:lvl>
    <w:lvl w:ilvl="5">
      <w:start w:val="1"/>
      <w:numFmt w:val="decimal"/>
      <w:lvlText w:val="%1.%2.%3.%4.%5.%6."/>
      <w:lvlJc w:val="left"/>
      <w:pPr>
        <w:ind w:left="1800" w:hanging="1440"/>
      </w:pPr>
      <w:rPr>
        <w:rFonts w:ascii="Quattrocento Sans" w:eastAsia="Quattrocento Sans" w:hAnsi="Quattrocento Sans" w:cs="Quattrocento Sans"/>
      </w:rPr>
    </w:lvl>
    <w:lvl w:ilvl="6">
      <w:start w:val="1"/>
      <w:numFmt w:val="decimal"/>
      <w:lvlText w:val="%1.%2.%3.%4.%5.%6.%7."/>
      <w:lvlJc w:val="left"/>
      <w:pPr>
        <w:ind w:left="1800" w:hanging="1440"/>
      </w:pPr>
      <w:rPr>
        <w:rFonts w:ascii="Quattrocento Sans" w:eastAsia="Quattrocento Sans" w:hAnsi="Quattrocento Sans" w:cs="Quattrocento Sans"/>
      </w:rPr>
    </w:lvl>
    <w:lvl w:ilvl="7">
      <w:start w:val="1"/>
      <w:numFmt w:val="decimal"/>
      <w:lvlText w:val="%1.%2.%3.%4.%5.%6.%7.%8."/>
      <w:lvlJc w:val="left"/>
      <w:pPr>
        <w:ind w:left="2160" w:hanging="1800"/>
      </w:pPr>
      <w:rPr>
        <w:rFonts w:ascii="Quattrocento Sans" w:eastAsia="Quattrocento Sans" w:hAnsi="Quattrocento Sans" w:cs="Quattrocento Sans"/>
      </w:rPr>
    </w:lvl>
    <w:lvl w:ilvl="8">
      <w:start w:val="1"/>
      <w:numFmt w:val="decimal"/>
      <w:lvlText w:val="%1.%2.%3.%4.%5.%6.%7.%8.%9."/>
      <w:lvlJc w:val="left"/>
      <w:pPr>
        <w:ind w:left="2520" w:hanging="2160"/>
      </w:pPr>
      <w:rPr>
        <w:rFonts w:ascii="Quattrocento Sans" w:eastAsia="Quattrocento Sans" w:hAnsi="Quattrocento Sans" w:cs="Quattrocento Sans"/>
      </w:rPr>
    </w:lvl>
  </w:abstractNum>
  <w:abstractNum w:abstractNumId="3" w15:restartNumberingAfterBreak="0">
    <w:nsid w:val="073E7567"/>
    <w:multiLevelType w:val="multilevel"/>
    <w:tmpl w:val="7F7C1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283723"/>
    <w:multiLevelType w:val="hybridMultilevel"/>
    <w:tmpl w:val="DD7677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C2C225D"/>
    <w:multiLevelType w:val="multilevel"/>
    <w:tmpl w:val="1EA620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D8E238A"/>
    <w:multiLevelType w:val="multilevel"/>
    <w:tmpl w:val="3DF2F9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33E07"/>
    <w:multiLevelType w:val="multilevel"/>
    <w:tmpl w:val="B7E0B3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8F5317D"/>
    <w:multiLevelType w:val="multilevel"/>
    <w:tmpl w:val="9CFE5C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D516740"/>
    <w:multiLevelType w:val="multilevel"/>
    <w:tmpl w:val="AA76FB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D561EB1"/>
    <w:multiLevelType w:val="multilevel"/>
    <w:tmpl w:val="318420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2337C"/>
    <w:multiLevelType w:val="multilevel"/>
    <w:tmpl w:val="8FAC64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62D1C31"/>
    <w:multiLevelType w:val="multilevel"/>
    <w:tmpl w:val="96802EF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B31E31"/>
    <w:multiLevelType w:val="multilevel"/>
    <w:tmpl w:val="ECC85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803238D"/>
    <w:multiLevelType w:val="multilevel"/>
    <w:tmpl w:val="2C1A70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D357552"/>
    <w:multiLevelType w:val="multilevel"/>
    <w:tmpl w:val="50DA0C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5E971B0B"/>
    <w:multiLevelType w:val="multilevel"/>
    <w:tmpl w:val="6770D338"/>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63556F54"/>
    <w:multiLevelType w:val="multilevel"/>
    <w:tmpl w:val="7D98C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AE36729"/>
    <w:multiLevelType w:val="multilevel"/>
    <w:tmpl w:val="DCDA14CA"/>
    <w:lvl w:ilvl="0">
      <w:start w:val="1"/>
      <w:numFmt w:val="bullet"/>
      <w:lvlText w:val="●"/>
      <w:lvlJc w:val="left"/>
      <w:pPr>
        <w:ind w:left="720" w:hanging="360"/>
      </w:pPr>
      <w:rPr>
        <w:rFonts w:ascii="Noto Sans Symbols" w:eastAsia="Noto Sans Symbols" w:hAnsi="Noto Sans Symbols" w:cs="Noto Sans Symbols"/>
        <w:sz w:val="20"/>
        <w:szCs w:val="20"/>
      </w:rPr>
    </w:lvl>
    <w:lvl w:ilvl="1">
      <w:start w:val="5"/>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D831043"/>
    <w:multiLevelType w:val="multilevel"/>
    <w:tmpl w:val="1DE05F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0720322"/>
    <w:multiLevelType w:val="multilevel"/>
    <w:tmpl w:val="A3EC2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2AF617C"/>
    <w:multiLevelType w:val="multilevel"/>
    <w:tmpl w:val="114618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494321"/>
    <w:multiLevelType w:val="multilevel"/>
    <w:tmpl w:val="FADC4C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69730918">
    <w:abstractNumId w:val="2"/>
  </w:num>
  <w:num w:numId="2" w16cid:durableId="209997841">
    <w:abstractNumId w:val="17"/>
  </w:num>
  <w:num w:numId="3" w16cid:durableId="1985158669">
    <w:abstractNumId w:val="5"/>
  </w:num>
  <w:num w:numId="4" w16cid:durableId="2041391967">
    <w:abstractNumId w:val="13"/>
  </w:num>
  <w:num w:numId="5" w16cid:durableId="583219716">
    <w:abstractNumId w:val="1"/>
  </w:num>
  <w:num w:numId="6" w16cid:durableId="1020160751">
    <w:abstractNumId w:val="19"/>
  </w:num>
  <w:num w:numId="7" w16cid:durableId="229002200">
    <w:abstractNumId w:val="11"/>
  </w:num>
  <w:num w:numId="8" w16cid:durableId="1911572264">
    <w:abstractNumId w:val="14"/>
  </w:num>
  <w:num w:numId="9" w16cid:durableId="1464496645">
    <w:abstractNumId w:val="8"/>
  </w:num>
  <w:num w:numId="10" w16cid:durableId="879366478">
    <w:abstractNumId w:val="18"/>
  </w:num>
  <w:num w:numId="11" w16cid:durableId="793792515">
    <w:abstractNumId w:val="20"/>
  </w:num>
  <w:num w:numId="12" w16cid:durableId="1459685592">
    <w:abstractNumId w:val="16"/>
  </w:num>
  <w:num w:numId="13" w16cid:durableId="1233009628">
    <w:abstractNumId w:val="15"/>
  </w:num>
  <w:num w:numId="14" w16cid:durableId="1301694367">
    <w:abstractNumId w:val="9"/>
  </w:num>
  <w:num w:numId="15" w16cid:durableId="1475562397">
    <w:abstractNumId w:val="22"/>
  </w:num>
  <w:num w:numId="16" w16cid:durableId="739600054">
    <w:abstractNumId w:val="7"/>
  </w:num>
  <w:num w:numId="17" w16cid:durableId="1652758569">
    <w:abstractNumId w:val="3"/>
  </w:num>
  <w:num w:numId="18" w16cid:durableId="840704208">
    <w:abstractNumId w:val="4"/>
  </w:num>
  <w:num w:numId="19" w16cid:durableId="1693919021">
    <w:abstractNumId w:val="10"/>
  </w:num>
  <w:num w:numId="20" w16cid:durableId="936329284">
    <w:abstractNumId w:val="12"/>
  </w:num>
  <w:num w:numId="21" w16cid:durableId="809976899">
    <w:abstractNumId w:val="21"/>
  </w:num>
  <w:num w:numId="22" w16cid:durableId="390037339">
    <w:abstractNumId w:val="6"/>
  </w:num>
  <w:num w:numId="23" w16cid:durableId="171596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B02"/>
    <w:rsid w:val="00055946"/>
    <w:rsid w:val="00087F65"/>
    <w:rsid w:val="000E7E1A"/>
    <w:rsid w:val="00152128"/>
    <w:rsid w:val="00376A78"/>
    <w:rsid w:val="0048798B"/>
    <w:rsid w:val="004A26D5"/>
    <w:rsid w:val="00513022"/>
    <w:rsid w:val="00B20029"/>
    <w:rsid w:val="00B2550D"/>
    <w:rsid w:val="00C33FF5"/>
    <w:rsid w:val="00C54989"/>
    <w:rsid w:val="00D40300"/>
    <w:rsid w:val="00E46C0D"/>
    <w:rsid w:val="00E74B02"/>
    <w:rsid w:val="00F53CBA"/>
    <w:rsid w:val="00F53F4E"/>
    <w:rsid w:val="00FC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DD976"/>
  <w15:docId w15:val="{85A126E1-A360-49D0-857D-4B1771D2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7D4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Play" w:eastAsia="Play" w:hAnsi="Play" w:cs="Play"/>
      <w:sz w:val="56"/>
      <w:szCs w:val="56"/>
    </w:rPr>
  </w:style>
  <w:style w:type="character" w:customStyle="1" w:styleId="Heading1Char">
    <w:name w:val="Heading 1 Char"/>
    <w:basedOn w:val="DefaultParagraphFont"/>
    <w:link w:val="Heading1"/>
    <w:uiPriority w:val="9"/>
    <w:rsid w:val="007D4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A4"/>
    <w:rPr>
      <w:rFonts w:eastAsiaTheme="majorEastAsia" w:cstheme="majorBidi"/>
      <w:color w:val="272727" w:themeColor="text1" w:themeTint="D8"/>
    </w:rPr>
  </w:style>
  <w:style w:type="character" w:customStyle="1" w:styleId="TitleChar">
    <w:name w:val="Title Char"/>
    <w:basedOn w:val="DefaultParagraphFont"/>
    <w:link w:val="Title"/>
    <w:uiPriority w:val="10"/>
    <w:rsid w:val="007D4CA4"/>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7D4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A4"/>
    <w:pPr>
      <w:spacing w:before="160"/>
      <w:jc w:val="center"/>
    </w:pPr>
    <w:rPr>
      <w:i/>
      <w:iCs/>
      <w:color w:val="404040" w:themeColor="text1" w:themeTint="BF"/>
    </w:rPr>
  </w:style>
  <w:style w:type="character" w:customStyle="1" w:styleId="QuoteChar">
    <w:name w:val="Quote Char"/>
    <w:basedOn w:val="DefaultParagraphFont"/>
    <w:link w:val="Quote"/>
    <w:uiPriority w:val="29"/>
    <w:rsid w:val="007D4CA4"/>
    <w:rPr>
      <w:i/>
      <w:iCs/>
      <w:color w:val="404040" w:themeColor="text1" w:themeTint="BF"/>
    </w:rPr>
  </w:style>
  <w:style w:type="paragraph" w:styleId="ListParagraph">
    <w:name w:val="List Paragraph"/>
    <w:basedOn w:val="Normal"/>
    <w:uiPriority w:val="34"/>
    <w:qFormat/>
    <w:rsid w:val="007D4CA4"/>
    <w:pPr>
      <w:ind w:left="720"/>
      <w:contextualSpacing/>
    </w:pPr>
  </w:style>
  <w:style w:type="character" w:styleId="IntenseEmphasis">
    <w:name w:val="Intense Emphasis"/>
    <w:basedOn w:val="DefaultParagraphFont"/>
    <w:uiPriority w:val="21"/>
    <w:qFormat/>
    <w:rsid w:val="007D4CA4"/>
    <w:rPr>
      <w:i/>
      <w:iCs/>
      <w:color w:val="0F4761" w:themeColor="accent1" w:themeShade="BF"/>
    </w:rPr>
  </w:style>
  <w:style w:type="paragraph" w:styleId="IntenseQuote">
    <w:name w:val="Intense Quote"/>
    <w:basedOn w:val="Normal"/>
    <w:next w:val="Normal"/>
    <w:link w:val="IntenseQuoteChar"/>
    <w:uiPriority w:val="30"/>
    <w:qFormat/>
    <w:rsid w:val="007D4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CA4"/>
    <w:rPr>
      <w:i/>
      <w:iCs/>
      <w:color w:val="0F4761" w:themeColor="accent1" w:themeShade="BF"/>
    </w:rPr>
  </w:style>
  <w:style w:type="character" w:styleId="IntenseReference">
    <w:name w:val="Intense Reference"/>
    <w:basedOn w:val="DefaultParagraphFont"/>
    <w:uiPriority w:val="32"/>
    <w:qFormat/>
    <w:rsid w:val="007D4CA4"/>
    <w:rPr>
      <w:b/>
      <w:bCs/>
      <w:smallCaps/>
      <w:color w:val="0F4761" w:themeColor="accent1" w:themeShade="BF"/>
      <w:spacing w:val="5"/>
    </w:rPr>
  </w:style>
  <w:style w:type="character" w:styleId="Hyperlink">
    <w:name w:val="Hyperlink"/>
    <w:basedOn w:val="DefaultParagraphFont"/>
    <w:uiPriority w:val="99"/>
    <w:unhideWhenUsed/>
    <w:rsid w:val="00836696"/>
    <w:rPr>
      <w:color w:val="467886" w:themeColor="hyperlink"/>
      <w:u w:val="single"/>
    </w:rPr>
  </w:style>
  <w:style w:type="character" w:customStyle="1" w:styleId="UnresolvedMention1">
    <w:name w:val="Unresolved Mention1"/>
    <w:basedOn w:val="DefaultParagraphFont"/>
    <w:uiPriority w:val="99"/>
    <w:semiHidden/>
    <w:unhideWhenUsed/>
    <w:rsid w:val="00836696"/>
    <w:rPr>
      <w:color w:val="605E5C"/>
      <w:shd w:val="clear" w:color="auto" w:fill="E1DFDD"/>
    </w:rPr>
  </w:style>
  <w:style w:type="paragraph" w:styleId="Subtitle">
    <w:name w:val="Subtitle"/>
    <w:basedOn w:val="Normal"/>
    <w:next w:val="Normal"/>
    <w:link w:val="SubtitleChar"/>
    <w:uiPriority w:val="11"/>
    <w:qFormat/>
    <w:rPr>
      <w:color w:val="595959"/>
      <w:sz w:val="28"/>
      <w:szCs w:val="28"/>
    </w:rPr>
  </w:style>
  <w:style w:type="paragraph" w:styleId="Header">
    <w:name w:val="header"/>
    <w:basedOn w:val="Normal"/>
    <w:link w:val="HeaderChar"/>
    <w:uiPriority w:val="99"/>
    <w:unhideWhenUsed/>
    <w:rsid w:val="00B2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029"/>
  </w:style>
  <w:style w:type="paragraph" w:styleId="Footer">
    <w:name w:val="footer"/>
    <w:basedOn w:val="Normal"/>
    <w:link w:val="FooterChar"/>
    <w:uiPriority w:val="99"/>
    <w:unhideWhenUsed/>
    <w:rsid w:val="00B2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029"/>
  </w:style>
  <w:style w:type="character" w:styleId="UnresolvedMention">
    <w:name w:val="Unresolved Mention"/>
    <w:basedOn w:val="DefaultParagraphFont"/>
    <w:uiPriority w:val="99"/>
    <w:semiHidden/>
    <w:unhideWhenUsed/>
    <w:rsid w:val="00513022"/>
    <w:rPr>
      <w:color w:val="605E5C"/>
      <w:shd w:val="clear" w:color="auto" w:fill="E1DFDD"/>
    </w:rPr>
  </w:style>
  <w:style w:type="paragraph" w:styleId="NormalWeb">
    <w:name w:val="Normal (Web)"/>
    <w:basedOn w:val="Normal"/>
    <w:uiPriority w:val="99"/>
    <w:semiHidden/>
    <w:unhideWhenUsed/>
    <w:rsid w:val="00E46C0D"/>
    <w:pPr>
      <w:spacing w:before="100" w:beforeAutospacing="1" w:after="100" w:afterAutospacing="1" w:line="240" w:lineRule="auto"/>
    </w:pPr>
    <w:rPr>
      <w:rFonts w:ascii="Times New Roman" w:eastAsia="Times New Roman" w:hAnsi="Times New Roman"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825881">
      <w:bodyDiv w:val="1"/>
      <w:marLeft w:val="0"/>
      <w:marRight w:val="0"/>
      <w:marTop w:val="0"/>
      <w:marBottom w:val="0"/>
      <w:divBdr>
        <w:top w:val="none" w:sz="0" w:space="0" w:color="auto"/>
        <w:left w:val="none" w:sz="0" w:space="0" w:color="auto"/>
        <w:bottom w:val="none" w:sz="0" w:space="0" w:color="auto"/>
        <w:right w:val="none" w:sz="0" w:space="0" w:color="auto"/>
      </w:divBdr>
    </w:div>
    <w:div w:id="640812687">
      <w:bodyDiv w:val="1"/>
      <w:marLeft w:val="0"/>
      <w:marRight w:val="0"/>
      <w:marTop w:val="0"/>
      <w:marBottom w:val="0"/>
      <w:divBdr>
        <w:top w:val="none" w:sz="0" w:space="0" w:color="auto"/>
        <w:left w:val="none" w:sz="0" w:space="0" w:color="auto"/>
        <w:bottom w:val="none" w:sz="0" w:space="0" w:color="auto"/>
        <w:right w:val="none" w:sz="0" w:space="0" w:color="auto"/>
      </w:divBdr>
    </w:div>
    <w:div w:id="1216938583">
      <w:bodyDiv w:val="1"/>
      <w:marLeft w:val="0"/>
      <w:marRight w:val="0"/>
      <w:marTop w:val="0"/>
      <w:marBottom w:val="0"/>
      <w:divBdr>
        <w:top w:val="none" w:sz="0" w:space="0" w:color="auto"/>
        <w:left w:val="none" w:sz="0" w:space="0" w:color="auto"/>
        <w:bottom w:val="none" w:sz="0" w:space="0" w:color="auto"/>
        <w:right w:val="none" w:sz="0" w:space="0" w:color="auto"/>
      </w:divBdr>
    </w:div>
    <w:div w:id="1463230412">
      <w:bodyDiv w:val="1"/>
      <w:marLeft w:val="0"/>
      <w:marRight w:val="0"/>
      <w:marTop w:val="0"/>
      <w:marBottom w:val="0"/>
      <w:divBdr>
        <w:top w:val="none" w:sz="0" w:space="0" w:color="auto"/>
        <w:left w:val="none" w:sz="0" w:space="0" w:color="auto"/>
        <w:bottom w:val="none" w:sz="0" w:space="0" w:color="auto"/>
        <w:right w:val="none" w:sz="0" w:space="0" w:color="auto"/>
      </w:divBdr>
    </w:div>
    <w:div w:id="1491093689">
      <w:bodyDiv w:val="1"/>
      <w:marLeft w:val="0"/>
      <w:marRight w:val="0"/>
      <w:marTop w:val="0"/>
      <w:marBottom w:val="0"/>
      <w:divBdr>
        <w:top w:val="none" w:sz="0" w:space="0" w:color="auto"/>
        <w:left w:val="none" w:sz="0" w:space="0" w:color="auto"/>
        <w:bottom w:val="none" w:sz="0" w:space="0" w:color="auto"/>
        <w:right w:val="none" w:sz="0" w:space="0" w:color="auto"/>
      </w:divBdr>
    </w:div>
    <w:div w:id="1957131505">
      <w:bodyDiv w:val="1"/>
      <w:marLeft w:val="0"/>
      <w:marRight w:val="0"/>
      <w:marTop w:val="0"/>
      <w:marBottom w:val="0"/>
      <w:divBdr>
        <w:top w:val="none" w:sz="0" w:space="0" w:color="auto"/>
        <w:left w:val="none" w:sz="0" w:space="0" w:color="auto"/>
        <w:bottom w:val="none" w:sz="0" w:space="0" w:color="auto"/>
        <w:right w:val="none" w:sz="0" w:space="0" w:color="auto"/>
      </w:divBdr>
    </w:div>
    <w:div w:id="2089499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533290X.2016.1206788" TargetMode="External"/><Relationship Id="rId18" Type="http://schemas.openxmlformats.org/officeDocument/2006/relationships/hyperlink" Target="https://doi.org/10.1080/24750158.2020.1712638" TargetMode="External"/><Relationship Id="rId26" Type="http://schemas.openxmlformats.org/officeDocument/2006/relationships/hyperlink" Target="https://doi.org/10.1016/j.acalib.2005.10.008" TargetMode="External"/><Relationship Id="rId39" Type="http://schemas.openxmlformats.org/officeDocument/2006/relationships/header" Target="header3.xml"/><Relationship Id="rId21" Type="http://schemas.openxmlformats.org/officeDocument/2006/relationships/hyperlink" Target="https://doi.org/10.5860/crl.64.6.514" TargetMode="External"/><Relationship Id="rId34" Type="http://schemas.openxmlformats.org/officeDocument/2006/relationships/hyperlink" Target="https://doi.org/10.2307/20720485"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ojectinfolit.org" TargetMode="External"/><Relationship Id="rId20" Type="http://schemas.openxmlformats.org/officeDocument/2006/relationships/hyperlink" Target="https://doi.org/10.1016/j.lisr.2010.09.005" TargetMode="External"/><Relationship Id="rId29" Type="http://schemas.openxmlformats.org/officeDocument/2006/relationships/hyperlink" Target="https://doi.org/10.1086/68273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01435121011093360" TargetMode="External"/><Relationship Id="rId24" Type="http://schemas.openxmlformats.org/officeDocument/2006/relationships/hyperlink" Target="https://doi.org/10.5860/crl-76r1" TargetMode="External"/><Relationship Id="rId32" Type="http://schemas.openxmlformats.org/officeDocument/2006/relationships/hyperlink" Target="https://doi.org/10.5860/crl.69.1.52"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80/24750158.2018.1426365" TargetMode="External"/><Relationship Id="rId23" Type="http://schemas.openxmlformats.org/officeDocument/2006/relationships/hyperlink" Target="https://doi.org/10.3145/epi.2019.ene.04" TargetMode="External"/><Relationship Id="rId28" Type="http://schemas.openxmlformats.org/officeDocument/2006/relationships/hyperlink" Target="https://doi.org/10.1353/pla.2017.0021" TargetMode="External"/><Relationship Id="rId36" Type="http://schemas.openxmlformats.org/officeDocument/2006/relationships/header" Target="header2.xml"/><Relationship Id="rId10" Type="http://schemas.openxmlformats.org/officeDocument/2006/relationships/hyperlink" Target="https://doi.org/10.1177/0961000607080416" TargetMode="External"/><Relationship Id="rId19" Type="http://schemas.openxmlformats.org/officeDocument/2006/relationships/hyperlink" Target="https://doi.org/10.2307/40323896" TargetMode="External"/><Relationship Id="rId31" Type="http://schemas.openxmlformats.org/officeDocument/2006/relationships/hyperlink" Target="https://doi.org/10.15760/comminfolit.2012.6.1.111" TargetMode="External"/><Relationship Id="rId4" Type="http://schemas.openxmlformats.org/officeDocument/2006/relationships/settings" Target="settings.xml"/><Relationship Id="rId9" Type="http://schemas.openxmlformats.org/officeDocument/2006/relationships/hyperlink" Target="http://www.ala.org/acrl/standards/ilframework" TargetMode="External"/><Relationship Id="rId14" Type="http://schemas.openxmlformats.org/officeDocument/2006/relationships/hyperlink" Target="https://doi.org/10.3138/jelis.53.4.265" TargetMode="External"/><Relationship Id="rId22" Type="http://schemas.openxmlformats.org/officeDocument/2006/relationships/hyperlink" Target="https://doi.org/10.14221/ajte.2013v38n11.5" TargetMode="External"/><Relationship Id="rId27" Type="http://schemas.openxmlformats.org/officeDocument/2006/relationships/hyperlink" Target="https://doi.org/10.20853/31-2-1096" TargetMode="External"/><Relationship Id="rId30" Type="http://schemas.openxmlformats.org/officeDocument/2006/relationships/hyperlink" Target="https://doi.org/10.5860/rusq.51n2.105" TargetMode="External"/><Relationship Id="rId35" Type="http://schemas.openxmlformats.org/officeDocument/2006/relationships/header" Target="header1.xml"/><Relationship Id="rId8" Type="http://schemas.openxmlformats.org/officeDocument/2006/relationships/hyperlink" Target="https://chat.openai.com" TargetMode="External"/><Relationship Id="rId3" Type="http://schemas.openxmlformats.org/officeDocument/2006/relationships/styles" Target="styles.xml"/><Relationship Id="rId12" Type="http://schemas.openxmlformats.org/officeDocument/2006/relationships/hyperlink" Target="https://doi.org/10.11645/5.1.1513" TargetMode="External"/><Relationship Id="rId17" Type="http://schemas.openxmlformats.org/officeDocument/2006/relationships/hyperlink" Target="https://doi.org/10.1080/01616846.2012.654728" TargetMode="External"/><Relationship Id="rId25" Type="http://schemas.openxmlformats.org/officeDocument/2006/relationships/hyperlink" Target="https://doi.org/10.1108/LM-09-2020-0131" TargetMode="External"/><Relationship Id="rId33" Type="http://schemas.openxmlformats.org/officeDocument/2006/relationships/hyperlink" Target="https://doi.org/10.1016/j.acalib.2010.08.013"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bkZwUxP8q30CuFUkg8R9C/22g==">CgMxLjA4AHIhMXdGTmxoSTZGMXdLZTlFUi1vbEVpWkVadGlGem5LNFph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5749</Words>
  <Characters>32772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Girish Rathod MS</dc:creator>
  <cp:lastModifiedBy>Office</cp:lastModifiedBy>
  <cp:revision>10</cp:revision>
  <dcterms:created xsi:type="dcterms:W3CDTF">2025-06-28T06:49:00Z</dcterms:created>
  <dcterms:modified xsi:type="dcterms:W3CDTF">2025-07-03T10:41:00Z</dcterms:modified>
</cp:coreProperties>
</file>