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54747" w14:textId="33087770" w:rsidR="00754C9A" w:rsidRDefault="00F264CD" w:rsidP="00B471E8">
      <w:pPr>
        <w:pStyle w:val="Title"/>
        <w:spacing w:after="0"/>
        <w:jc w:val="both"/>
        <w:rPr>
          <w:rFonts w:ascii="Arial" w:hAnsi="Arial" w:cs="Arial"/>
        </w:rPr>
      </w:pPr>
      <w:r w:rsidRPr="00F264CD">
        <w:rPr>
          <w:rFonts w:ascii="Arial" w:hAnsi="Arial" w:cs="Arial"/>
        </w:rPr>
        <w:t>Case report</w:t>
      </w:r>
    </w:p>
    <w:p w14:paraId="54C39E06" w14:textId="77777777" w:rsidR="00F264CD" w:rsidRDefault="00F264CD" w:rsidP="00B471E8">
      <w:pPr>
        <w:pStyle w:val="Title"/>
        <w:spacing w:after="0"/>
        <w:jc w:val="both"/>
        <w:rPr>
          <w:rFonts w:ascii="Arial" w:hAnsi="Arial" w:cs="Arial"/>
        </w:rPr>
      </w:pPr>
    </w:p>
    <w:p w14:paraId="6C3C6148" w14:textId="77777777" w:rsidR="001C1449" w:rsidRDefault="002F208C" w:rsidP="00B471E8">
      <w:pPr>
        <w:pStyle w:val="Author"/>
        <w:spacing w:line="240" w:lineRule="auto"/>
        <w:jc w:val="both"/>
        <w:rPr>
          <w:rFonts w:ascii="Arial" w:hAnsi="Arial" w:cs="Arial"/>
          <w:bCs/>
          <w:iCs/>
          <w:kern w:val="28"/>
          <w:sz w:val="36"/>
        </w:rPr>
      </w:pPr>
      <w:r w:rsidRPr="002F208C">
        <w:rPr>
          <w:rFonts w:ascii="Arial" w:hAnsi="Arial" w:cs="Arial"/>
          <w:bCs/>
          <w:iCs/>
          <w:kern w:val="28"/>
          <w:sz w:val="36"/>
        </w:rPr>
        <w:t>Diffuse Large B-Cell Lymphoma Presenting as Pancreatic and Mediastinal Masses in a Young Female: A Diagnostic Challenge</w:t>
      </w:r>
    </w:p>
    <w:p w14:paraId="636CF5F9" w14:textId="77777777" w:rsidR="001C1449" w:rsidRPr="001C1449" w:rsidRDefault="001C1449" w:rsidP="00B471E8">
      <w:pPr>
        <w:pStyle w:val="Author"/>
        <w:spacing w:line="240" w:lineRule="auto"/>
        <w:jc w:val="both"/>
        <w:rPr>
          <w:rFonts w:ascii="Arial" w:hAnsi="Arial" w:cs="Arial"/>
          <w:bCs/>
          <w:iCs/>
          <w:kern w:val="28"/>
          <w:sz w:val="36"/>
        </w:rPr>
      </w:pPr>
    </w:p>
    <w:p w14:paraId="412F8A40" w14:textId="77777777" w:rsidR="00790ADA" w:rsidRDefault="00790ADA" w:rsidP="00B471E8">
      <w:pPr>
        <w:pStyle w:val="Affiliation"/>
        <w:spacing w:after="0" w:line="240" w:lineRule="auto"/>
        <w:jc w:val="both"/>
        <w:rPr>
          <w:rFonts w:ascii="Arial" w:hAnsi="Arial" w:cs="Arial"/>
        </w:rPr>
      </w:pPr>
    </w:p>
    <w:p w14:paraId="57D79F4D" w14:textId="77777777" w:rsidR="002C57D2" w:rsidRPr="00FB3A86" w:rsidRDefault="002C57D2" w:rsidP="00B471E8">
      <w:pPr>
        <w:pStyle w:val="Affiliation"/>
        <w:spacing w:after="0" w:line="240" w:lineRule="auto"/>
        <w:jc w:val="both"/>
        <w:rPr>
          <w:rFonts w:ascii="Arial" w:hAnsi="Arial" w:cs="Arial"/>
        </w:rPr>
      </w:pPr>
    </w:p>
    <w:p w14:paraId="060735F3" w14:textId="77777777" w:rsidR="00B01FCD" w:rsidRPr="00FB3A86" w:rsidRDefault="00AC52E7" w:rsidP="00B471E8">
      <w:pPr>
        <w:pStyle w:val="Copyright"/>
        <w:spacing w:after="0" w:line="240" w:lineRule="auto"/>
        <w:jc w:val="both"/>
        <w:rPr>
          <w:rFonts w:ascii="Arial" w:hAnsi="Arial" w:cs="Arial"/>
        </w:rPr>
        <w:sectPr w:rsidR="00B01FCD" w:rsidRPr="00FB3A86" w:rsidSect="0055309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76F46F2">
          <v:shapetype id="_x0000_t32" coordsize="21600,21600" o:spt="32" o:oned="t" path="m,l21600,21600e" filled="f">
            <v:path arrowok="t" fillok="f" o:connecttype="none"/>
            <o:lock v:ext="edit" shapetype="t"/>
          </v:shapetype>
          <v:shape id="_x0000_s1029"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5DAD711C" w14:textId="7BE654C4" w:rsidR="00B01FCD" w:rsidRDefault="00B01FCD" w:rsidP="00B471E8">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1D92419" w14:textId="77777777" w:rsidR="00790ADA" w:rsidRPr="00FB3A86" w:rsidRDefault="00790ADA" w:rsidP="00B471E8">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9B29F0C" w14:textId="77777777" w:rsidTr="001E44FE">
        <w:tc>
          <w:tcPr>
            <w:tcW w:w="9576" w:type="dxa"/>
            <w:shd w:val="clear" w:color="auto" w:fill="F2F2F2"/>
          </w:tcPr>
          <w:p w14:paraId="624AC69F" w14:textId="1D4BB727" w:rsidR="0005276C" w:rsidRPr="0005276C" w:rsidRDefault="0005276C" w:rsidP="00B471E8">
            <w:pPr>
              <w:spacing w:before="100" w:beforeAutospacing="1" w:after="100" w:afterAutospacing="1"/>
              <w:jc w:val="both"/>
              <w:rPr>
                <w:rFonts w:ascii="Arial" w:hAnsi="Arial" w:cs="Arial"/>
                <w:sz w:val="22"/>
                <w:szCs w:val="22"/>
              </w:rPr>
            </w:pPr>
            <w:r w:rsidRPr="0005276C">
              <w:rPr>
                <w:rFonts w:ascii="Arial" w:hAnsi="Arial" w:cs="Arial"/>
                <w:sz w:val="22"/>
                <w:szCs w:val="22"/>
              </w:rPr>
              <w:t>Diffuse large B-cell lymphoma (DLBCL) is the most common subtype of non-Hodgkin lymphoma (NHL), which usually manifests as nodal involvement. However, secondary pancreatic involvement is rare, occurs in only 0.2%–2% of NHL cases.</w:t>
            </w:r>
            <w:r>
              <w:rPr>
                <w:rFonts w:ascii="Arial" w:hAnsi="Arial" w:cs="Arial"/>
                <w:sz w:val="22"/>
                <w:szCs w:val="22"/>
              </w:rPr>
              <w:t xml:space="preserve"> </w:t>
            </w:r>
            <w:r w:rsidR="00FA582F" w:rsidRPr="00BB5ABC">
              <w:rPr>
                <w:rFonts w:ascii="Arial" w:hAnsi="Arial" w:cs="Arial"/>
                <w:sz w:val="22"/>
                <w:szCs w:val="22"/>
                <w:highlight w:val="yellow"/>
              </w:rPr>
              <w:t>DLBCL can develop in the lymph nodes or in “</w:t>
            </w:r>
            <w:proofErr w:type="spellStart"/>
            <w:r w:rsidR="00FA582F" w:rsidRPr="00BB5ABC">
              <w:rPr>
                <w:rFonts w:ascii="Arial" w:hAnsi="Arial" w:cs="Arial"/>
                <w:sz w:val="22"/>
                <w:szCs w:val="22"/>
                <w:highlight w:val="yellow"/>
              </w:rPr>
              <w:t>extranodal</w:t>
            </w:r>
            <w:proofErr w:type="spellEnd"/>
            <w:r w:rsidR="00FA582F" w:rsidRPr="00BB5ABC">
              <w:rPr>
                <w:rFonts w:ascii="Arial" w:hAnsi="Arial" w:cs="Arial"/>
                <w:sz w:val="22"/>
                <w:szCs w:val="22"/>
                <w:highlight w:val="yellow"/>
              </w:rPr>
              <w:t xml:space="preserve"> sites” (areas outside the lymph nodes) such as the gastrointestinal tract, testes, thyroid, skin, breast, bone, brain, or essentially any organ of the body. It may be localized (in one spot) or generalized (spread throughout the body). Despite being an aggressive lymphoma, DLBCL is considered potentially curable</w:t>
            </w:r>
            <w:r w:rsidR="00FA582F" w:rsidRPr="00FA582F">
              <w:rPr>
                <w:rFonts w:ascii="Arial" w:hAnsi="Arial" w:cs="Arial"/>
                <w:sz w:val="22"/>
                <w:szCs w:val="22"/>
              </w:rPr>
              <w:t>.</w:t>
            </w:r>
            <w:r w:rsidR="00FA582F">
              <w:rPr>
                <w:rFonts w:ascii="Arial" w:hAnsi="Arial" w:cs="Arial"/>
                <w:sz w:val="22"/>
                <w:szCs w:val="22"/>
              </w:rPr>
              <w:t xml:space="preserve"> </w:t>
            </w:r>
            <w:r w:rsidRPr="0005276C">
              <w:rPr>
                <w:rFonts w:ascii="Arial" w:hAnsi="Arial" w:cs="Arial"/>
                <w:sz w:val="22"/>
                <w:szCs w:val="22"/>
              </w:rPr>
              <w:t xml:space="preserve">We report the case of an 18-year-old female with no prior significant medical history admitted for a 15-day history of progressive jaundice without abdominal pain, associated with retrosternal chest pain and left shoulder pain evolving over a month, in a context of a general physical decline. Physical examination revealed a </w:t>
            </w:r>
            <w:proofErr w:type="spellStart"/>
            <w:r w:rsidR="0070585E" w:rsidRPr="00BB5ABC">
              <w:rPr>
                <w:rFonts w:ascii="Arial" w:hAnsi="Arial" w:cs="Arial"/>
                <w:sz w:val="22"/>
                <w:szCs w:val="22"/>
                <w:highlight w:val="yellow"/>
              </w:rPr>
              <w:t>generalised</w:t>
            </w:r>
            <w:proofErr w:type="spellEnd"/>
            <w:r w:rsidR="0070585E" w:rsidRPr="00BB5ABC">
              <w:rPr>
                <w:rFonts w:ascii="Arial" w:hAnsi="Arial" w:cs="Arial"/>
                <w:sz w:val="22"/>
                <w:szCs w:val="22"/>
                <w:highlight w:val="yellow"/>
              </w:rPr>
              <w:t xml:space="preserve"> </w:t>
            </w:r>
            <w:r w:rsidRPr="00BB5ABC">
              <w:rPr>
                <w:rFonts w:ascii="Arial" w:hAnsi="Arial" w:cs="Arial"/>
                <w:sz w:val="22"/>
                <w:szCs w:val="22"/>
                <w:highlight w:val="yellow"/>
              </w:rPr>
              <w:t>jaundice, no</w:t>
            </w:r>
            <w:r w:rsidRPr="0005276C">
              <w:rPr>
                <w:rFonts w:ascii="Arial" w:hAnsi="Arial" w:cs="Arial"/>
                <w:sz w:val="22"/>
                <w:szCs w:val="22"/>
              </w:rPr>
              <w:t xml:space="preserve"> enlarged superficial lymph nodes or abdominal masses. Cardiopulmonary examinations were unremarkable. Liver function tests were abnormal</w:t>
            </w:r>
            <w:r w:rsidR="0070585E">
              <w:rPr>
                <w:rFonts w:ascii="Arial" w:hAnsi="Arial" w:cs="Arial"/>
                <w:sz w:val="22"/>
                <w:szCs w:val="22"/>
              </w:rPr>
              <w:t>,</w:t>
            </w:r>
            <w:r w:rsidRPr="0005276C">
              <w:rPr>
                <w:rFonts w:ascii="Arial" w:hAnsi="Arial" w:cs="Arial"/>
                <w:sz w:val="22"/>
                <w:szCs w:val="22"/>
              </w:rPr>
              <w:t xml:space="preserve"> with a normal lipase. A contrast-enhanced thoraco-abdomino-pelvic CT scan revealed multiple, irregular, hypodense and locally advanced masses in the pancreatic head and isthmus (largest 27.7 × 19 mm), with significant biliary tree dilatation</w:t>
            </w:r>
            <w:r>
              <w:rPr>
                <w:rFonts w:ascii="Arial" w:hAnsi="Arial" w:cs="Arial"/>
                <w:sz w:val="22"/>
                <w:szCs w:val="22"/>
              </w:rPr>
              <w:t>.</w:t>
            </w:r>
            <w:r w:rsidRPr="0005276C">
              <w:rPr>
                <w:rFonts w:ascii="Arial" w:hAnsi="Arial" w:cs="Arial"/>
                <w:sz w:val="22"/>
                <w:szCs w:val="22"/>
              </w:rPr>
              <w:t xml:space="preserve"> Additional findings included splenic nodules and a mediastinal-pulmonary mass extending 60 mm vertically. Endoscopic ultrasound (EUS) with fine-needle biopsy detected two hypoechoic pancreatic lesions (19 × 27.7 mm) and two nodular splenic lesions (13 × 16 mm and 8 × 11 mm), suspicious for lymphomatous involvement. Histopathological examination revealed a proliferation of large atypical lymphoid cells. Immunohistochemistry confirmed a B-cell lymphoma, with strong CD20 and BCL6 expression, Ki-67 &gt;95%, and absence of CD10, BCL2, and </w:t>
            </w:r>
            <w:proofErr w:type="spellStart"/>
            <w:r w:rsidRPr="0005276C">
              <w:rPr>
                <w:rFonts w:ascii="Arial" w:hAnsi="Arial" w:cs="Arial"/>
                <w:sz w:val="22"/>
                <w:szCs w:val="22"/>
              </w:rPr>
              <w:t>TdT</w:t>
            </w:r>
            <w:proofErr w:type="spellEnd"/>
            <w:r w:rsidRPr="0005276C">
              <w:rPr>
                <w:rFonts w:ascii="Arial" w:hAnsi="Arial" w:cs="Arial"/>
                <w:sz w:val="22"/>
                <w:szCs w:val="22"/>
              </w:rPr>
              <w:t>. Scattered reactive T-cells were also noted. The patient started intensive chemotherapy with a good clinical improvement.</w:t>
            </w:r>
            <w:r>
              <w:rPr>
                <w:rFonts w:ascii="Arial" w:hAnsi="Arial" w:cs="Arial"/>
                <w:sz w:val="22"/>
                <w:szCs w:val="22"/>
              </w:rPr>
              <w:t xml:space="preserve"> </w:t>
            </w:r>
            <w:r w:rsidRPr="0005276C">
              <w:rPr>
                <w:rFonts w:ascii="Arial" w:hAnsi="Arial" w:cs="Arial"/>
                <w:sz w:val="22"/>
                <w:szCs w:val="22"/>
              </w:rPr>
              <w:t>Although rare, secondary pancreatic involvement in DLBCL should be considered when evaluating pancreatic masses, especially in young patients.</w:t>
            </w:r>
            <w:r w:rsidR="003C5BA2">
              <w:rPr>
                <w:rFonts w:ascii="Arial" w:hAnsi="Arial" w:cs="Arial"/>
                <w:sz w:val="22"/>
                <w:szCs w:val="22"/>
              </w:rPr>
              <w:t xml:space="preserve"> </w:t>
            </w:r>
            <w:r w:rsidR="003C5BA2" w:rsidRPr="00BB5ABC">
              <w:rPr>
                <w:rFonts w:ascii="Arial" w:hAnsi="Arial" w:cs="Arial"/>
                <w:sz w:val="22"/>
                <w:szCs w:val="22"/>
                <w:highlight w:val="yellow"/>
              </w:rPr>
              <w:t>The study points out the importance of considering lymphomatous disease in the differential diagnosis of pancreatic masses and bring out the diagnostic value of endoscopic ultrasound-guided biopsy in establishing a timely and accurate diagnosis.</w:t>
            </w:r>
          </w:p>
        </w:tc>
      </w:tr>
    </w:tbl>
    <w:p w14:paraId="048C6EAC" w14:textId="77777777" w:rsidR="00636EB2" w:rsidRDefault="00636EB2" w:rsidP="00B471E8">
      <w:pPr>
        <w:pStyle w:val="Body"/>
        <w:spacing w:after="0"/>
        <w:rPr>
          <w:rFonts w:ascii="Arial" w:hAnsi="Arial" w:cs="Arial"/>
          <w:i/>
        </w:rPr>
      </w:pPr>
    </w:p>
    <w:p w14:paraId="1A7E71C3" w14:textId="77777777" w:rsidR="00790ADA" w:rsidRDefault="00A24E7E" w:rsidP="00B471E8">
      <w:pPr>
        <w:pStyle w:val="Body"/>
        <w:spacing w:after="0"/>
        <w:rPr>
          <w:rFonts w:ascii="Times New Roman" w:hAnsi="Times New Roman"/>
          <w:sz w:val="28"/>
          <w:szCs w:val="28"/>
        </w:rPr>
      </w:pPr>
      <w:r>
        <w:rPr>
          <w:rFonts w:ascii="Arial" w:hAnsi="Arial" w:cs="Arial"/>
          <w:i/>
        </w:rPr>
        <w:t xml:space="preserve">Keywords: </w:t>
      </w:r>
      <w:r w:rsidR="009538CD" w:rsidRPr="0048590B">
        <w:rPr>
          <w:rFonts w:ascii="Arial" w:hAnsi="Arial" w:cs="Arial"/>
          <w:i/>
        </w:rPr>
        <w:t>Obstructive jaundice, Pancreatic mass, Diffuse large B-cell lymphoma</w:t>
      </w:r>
      <w:r w:rsidR="009538CD">
        <w:rPr>
          <w:rFonts w:ascii="Arial" w:hAnsi="Arial" w:cs="Arial"/>
          <w:i/>
        </w:rPr>
        <w:t>,</w:t>
      </w:r>
      <w:r w:rsidR="009538CD" w:rsidRPr="0048590B">
        <w:rPr>
          <w:rFonts w:ascii="Arial" w:hAnsi="Arial" w:cs="Arial"/>
          <w:i/>
        </w:rPr>
        <w:t xml:space="preserve"> Secondary pancreatic </w:t>
      </w:r>
      <w:r w:rsidR="0005276C" w:rsidRPr="0048590B">
        <w:rPr>
          <w:rFonts w:ascii="Arial" w:hAnsi="Arial" w:cs="Arial"/>
          <w:i/>
        </w:rPr>
        <w:t>involvement, Adolescent</w:t>
      </w:r>
      <w:r w:rsidR="009538CD">
        <w:rPr>
          <w:rFonts w:ascii="Arial" w:hAnsi="Arial" w:cs="Arial"/>
          <w:i/>
        </w:rPr>
        <w:t>.</w:t>
      </w:r>
    </w:p>
    <w:p w14:paraId="7FDEFEEE" w14:textId="77777777" w:rsidR="0024282C" w:rsidRDefault="0024282C" w:rsidP="00B471E8">
      <w:pPr>
        <w:pStyle w:val="Body"/>
        <w:spacing w:after="0"/>
        <w:rPr>
          <w:rFonts w:ascii="Arial" w:hAnsi="Arial" w:cs="Arial"/>
          <w:i/>
          <w:sz w:val="18"/>
        </w:rPr>
      </w:pPr>
    </w:p>
    <w:p w14:paraId="28E70066" w14:textId="77777777" w:rsidR="00505F06" w:rsidRPr="00A24E7E" w:rsidRDefault="00505F06" w:rsidP="00B471E8">
      <w:pPr>
        <w:pStyle w:val="Body"/>
        <w:spacing w:after="0"/>
        <w:rPr>
          <w:rFonts w:ascii="Arial" w:hAnsi="Arial" w:cs="Arial"/>
          <w:i/>
        </w:rPr>
      </w:pPr>
    </w:p>
    <w:p w14:paraId="41072059" w14:textId="77777777" w:rsidR="00B95236" w:rsidRDefault="00902823" w:rsidP="00B471E8">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05276C">
        <w:rPr>
          <w:rFonts w:ascii="Arial" w:hAnsi="Arial" w:cs="Arial"/>
        </w:rPr>
        <w:t xml:space="preserve"> </w:t>
      </w:r>
    </w:p>
    <w:p w14:paraId="4970C143" w14:textId="77777777" w:rsidR="00505F06" w:rsidRDefault="00505F06" w:rsidP="00B471E8">
      <w:pPr>
        <w:pStyle w:val="Body"/>
        <w:spacing w:after="0"/>
        <w:rPr>
          <w:rFonts w:ascii="Arial" w:hAnsi="Arial" w:cs="Arial"/>
        </w:rPr>
      </w:pPr>
    </w:p>
    <w:p w14:paraId="05B2F365" w14:textId="4E2B3A12" w:rsidR="0005276C" w:rsidRDefault="00B471E8" w:rsidP="00B471E8">
      <w:pPr>
        <w:pStyle w:val="Body"/>
        <w:rPr>
          <w:rFonts w:ascii="Arial" w:hAnsi="Arial" w:cs="Arial"/>
        </w:rPr>
      </w:pPr>
      <w:r w:rsidRPr="00BB5ABC">
        <w:rPr>
          <w:rFonts w:ascii="Arial" w:hAnsi="Arial" w:cs="Arial"/>
          <w:highlight w:val="yellow"/>
        </w:rPr>
        <w:lastRenderedPageBreak/>
        <w:t xml:space="preserve">Pancreatitis is an inflammatory pancreatic disease; common etiologies include infection, anatomic abnormalities, biliary, inborn errors of metabolism, trauma, and rarely malignancy. Primary mediastinal large B-cell lymphoma commonly presents in younger women with principally mediastinal involvement. Primary mediastinal large B-cell lymphoma (PMBCL) is a rare and aggressive subtype of a non-Hodgkin B-cell lymphoma that originates in the mediastinum. Less than half of PMBCL arise from </w:t>
      </w:r>
      <w:proofErr w:type="spellStart"/>
      <w:r w:rsidRPr="00BB5ABC">
        <w:rPr>
          <w:rFonts w:ascii="Arial" w:hAnsi="Arial" w:cs="Arial"/>
          <w:highlight w:val="yellow"/>
        </w:rPr>
        <w:t>extranodal</w:t>
      </w:r>
      <w:proofErr w:type="spellEnd"/>
      <w:r w:rsidRPr="00BB5ABC">
        <w:rPr>
          <w:rFonts w:ascii="Arial" w:hAnsi="Arial" w:cs="Arial"/>
          <w:highlight w:val="yellow"/>
        </w:rPr>
        <w:t xml:space="preserve"> sites, including the gastrointestinal tract, skin, soft tissues, genitourinary tract, and rarely bone marrow</w:t>
      </w:r>
      <w:r w:rsidRPr="003B1467">
        <w:rPr>
          <w:rFonts w:ascii="Arial" w:hAnsi="Arial" w:cs="Arial"/>
          <w:highlight w:val="yellow"/>
        </w:rPr>
        <w:t xml:space="preserve"> (</w:t>
      </w:r>
      <w:r w:rsidRPr="00BB5ABC">
        <w:rPr>
          <w:rFonts w:ascii="Arial" w:hAnsi="Arial" w:cs="Arial"/>
          <w:highlight w:val="yellow"/>
        </w:rPr>
        <w:t>Ahmed et al., 2021;</w:t>
      </w:r>
      <w:r>
        <w:rPr>
          <w:rFonts w:ascii="Arial" w:hAnsi="Arial" w:cs="Arial"/>
        </w:rPr>
        <w:t xml:space="preserve"> </w:t>
      </w:r>
      <w:r w:rsidRPr="00BB5ABC">
        <w:rPr>
          <w:rFonts w:ascii="Arial" w:hAnsi="Arial" w:cs="Arial"/>
          <w:highlight w:val="yellow"/>
        </w:rPr>
        <w:t>Krawczyk et al., 2024</w:t>
      </w:r>
      <w:r>
        <w:rPr>
          <w:rFonts w:ascii="Arial" w:hAnsi="Arial" w:cs="Arial"/>
          <w:highlight w:val="yellow"/>
        </w:rPr>
        <w:t>)</w:t>
      </w:r>
      <w:r w:rsidRPr="00BB5ABC">
        <w:rPr>
          <w:rFonts w:ascii="Arial" w:hAnsi="Arial" w:cs="Arial"/>
          <w:highlight w:val="yellow"/>
        </w:rPr>
        <w:t>.</w:t>
      </w:r>
      <w:r>
        <w:rPr>
          <w:rFonts w:ascii="Arial" w:hAnsi="Arial" w:cs="Arial"/>
        </w:rPr>
        <w:t xml:space="preserve"> </w:t>
      </w:r>
      <w:r w:rsidR="0005276C" w:rsidRPr="0005276C">
        <w:rPr>
          <w:rFonts w:ascii="Arial" w:hAnsi="Arial" w:cs="Arial"/>
        </w:rPr>
        <w:t xml:space="preserve">Diffuse large B-cell lymphoma (DLBCL) is the most common subtype of non-Hodgkin lymphoma (NHL), which usually manifests as nodal involvement. However, </w:t>
      </w:r>
      <w:proofErr w:type="spellStart"/>
      <w:r w:rsidR="0005276C" w:rsidRPr="0005276C">
        <w:rPr>
          <w:rFonts w:ascii="Arial" w:hAnsi="Arial" w:cs="Arial"/>
        </w:rPr>
        <w:t>extranodal</w:t>
      </w:r>
      <w:proofErr w:type="spellEnd"/>
      <w:r w:rsidR="0005276C" w:rsidRPr="0005276C">
        <w:rPr>
          <w:rFonts w:ascii="Arial" w:hAnsi="Arial" w:cs="Arial"/>
        </w:rPr>
        <w:t xml:space="preserve"> disease is observed in approximately 50% of </w:t>
      </w:r>
      <w:r w:rsidR="00336326" w:rsidRPr="0005276C">
        <w:rPr>
          <w:rFonts w:ascii="Arial" w:hAnsi="Arial" w:cs="Arial"/>
        </w:rPr>
        <w:t>cases</w:t>
      </w:r>
      <w:r w:rsidR="001032DA">
        <w:rPr>
          <w:rFonts w:ascii="Arial" w:hAnsi="Arial" w:cs="Arial"/>
        </w:rPr>
        <w:t xml:space="preserve"> (</w:t>
      </w:r>
      <w:r w:rsidR="001032DA" w:rsidRPr="003C2285">
        <w:rPr>
          <w:rFonts w:ascii="Arial" w:hAnsi="Arial" w:cs="Arial"/>
        </w:rPr>
        <w:t xml:space="preserve">Fujinaga, et </w:t>
      </w:r>
      <w:proofErr w:type="gramStart"/>
      <w:r w:rsidR="001032DA" w:rsidRPr="003C2285">
        <w:rPr>
          <w:rFonts w:ascii="Arial" w:hAnsi="Arial" w:cs="Arial"/>
        </w:rPr>
        <w:t>al ,</w:t>
      </w:r>
      <w:proofErr w:type="gramEnd"/>
      <w:r w:rsidR="001032DA" w:rsidRPr="003C2285">
        <w:rPr>
          <w:rFonts w:ascii="Arial" w:hAnsi="Arial" w:cs="Arial"/>
        </w:rPr>
        <w:t xml:space="preserve"> 2013)</w:t>
      </w:r>
      <w:r w:rsidR="001032DA" w:rsidRPr="00C85D3A">
        <w:rPr>
          <w:rFonts w:ascii="Arial" w:hAnsi="Arial" w:cs="Arial"/>
        </w:rPr>
        <w:t>.</w:t>
      </w:r>
      <w:r w:rsidR="001032DA">
        <w:rPr>
          <w:rFonts w:ascii="Arial" w:hAnsi="Arial" w:cs="Arial"/>
        </w:rPr>
        <w:t xml:space="preserve"> </w:t>
      </w:r>
      <w:r w:rsidR="0005276C" w:rsidRPr="0005276C">
        <w:rPr>
          <w:rFonts w:ascii="Arial" w:hAnsi="Arial" w:cs="Arial"/>
        </w:rPr>
        <w:t xml:space="preserve">Among these, secondary pancreatic </w:t>
      </w:r>
      <w:r w:rsidR="0005276C" w:rsidRPr="00BB5ABC">
        <w:rPr>
          <w:rFonts w:ascii="Arial" w:hAnsi="Arial" w:cs="Arial"/>
          <w:highlight w:val="yellow"/>
        </w:rPr>
        <w:t>involvement</w:t>
      </w:r>
      <w:r w:rsidR="0070585E" w:rsidRPr="00BB5ABC">
        <w:rPr>
          <w:rFonts w:ascii="Arial" w:hAnsi="Arial" w:cs="Arial"/>
          <w:highlight w:val="yellow"/>
        </w:rPr>
        <w:t>,</w:t>
      </w:r>
      <w:r w:rsidR="0005276C" w:rsidRPr="00BB5ABC">
        <w:rPr>
          <w:rFonts w:ascii="Arial" w:hAnsi="Arial" w:cs="Arial"/>
          <w:highlight w:val="yellow"/>
        </w:rPr>
        <w:t xml:space="preserve"> whic</w:t>
      </w:r>
      <w:r w:rsidR="0005276C" w:rsidRPr="0005276C">
        <w:rPr>
          <w:rFonts w:ascii="Arial" w:hAnsi="Arial" w:cs="Arial"/>
        </w:rPr>
        <w:t xml:space="preserve">h is particularly rare, occurring in only 0.2%–2% of NHL cases and has been infrequently documented in the </w:t>
      </w:r>
      <w:r w:rsidR="00336326" w:rsidRPr="0005276C">
        <w:rPr>
          <w:rFonts w:ascii="Arial" w:hAnsi="Arial" w:cs="Arial"/>
        </w:rPr>
        <w:t>literature</w:t>
      </w:r>
      <w:r w:rsidR="000F49A8">
        <w:rPr>
          <w:rFonts w:ascii="Arial" w:hAnsi="Arial" w:cs="Arial"/>
        </w:rPr>
        <w:t xml:space="preserve"> (Saif et al ,2007</w:t>
      </w:r>
      <w:r w:rsidR="001032DA">
        <w:rPr>
          <w:rFonts w:ascii="Arial" w:hAnsi="Arial" w:cs="Arial"/>
        </w:rPr>
        <w:t>).</w:t>
      </w:r>
      <w:r w:rsidR="0005276C" w:rsidRPr="0005276C">
        <w:rPr>
          <w:rFonts w:ascii="Arial" w:hAnsi="Arial" w:cs="Arial"/>
        </w:rPr>
        <w:t xml:space="preserve"> This atypical presentation can be easily mistaken for pancreatic adenocarcinoma, potentially leading to inappropriate treatment strategies</w:t>
      </w:r>
      <w:r w:rsidR="000D11B7">
        <w:rPr>
          <w:rFonts w:ascii="Arial" w:hAnsi="Arial" w:cs="Arial"/>
        </w:rPr>
        <w:t xml:space="preserve"> (</w:t>
      </w:r>
      <w:proofErr w:type="spellStart"/>
      <w:r w:rsidR="000D11B7">
        <w:rPr>
          <w:rFonts w:ascii="Arial" w:hAnsi="Arial" w:cs="Arial"/>
        </w:rPr>
        <w:t>Behrns</w:t>
      </w:r>
      <w:proofErr w:type="spellEnd"/>
      <w:r w:rsidR="000D11B7">
        <w:rPr>
          <w:rFonts w:ascii="Arial" w:hAnsi="Arial" w:cs="Arial"/>
        </w:rPr>
        <w:t xml:space="preserve"> et al ,1994</w:t>
      </w:r>
      <w:r w:rsidR="001032DA">
        <w:rPr>
          <w:rFonts w:ascii="Arial" w:hAnsi="Arial" w:cs="Arial"/>
        </w:rPr>
        <w:t>).</w:t>
      </w:r>
      <w:r>
        <w:rPr>
          <w:rFonts w:ascii="Arial" w:hAnsi="Arial" w:cs="Arial"/>
        </w:rPr>
        <w:t xml:space="preserve"> </w:t>
      </w:r>
      <w:r w:rsidR="003B1467" w:rsidRPr="00BB5ABC">
        <w:rPr>
          <w:rFonts w:ascii="Arial" w:hAnsi="Arial" w:cs="Arial"/>
          <w:highlight w:val="yellow"/>
        </w:rPr>
        <w:t>The treatment strategies for Primary pancreatic lymphoma include surgery, chemotherapy, radiotherapy, or comprehensive treatment; however, chemotherapy remains the standard treatment option</w:t>
      </w:r>
      <w:r w:rsidR="0076085D" w:rsidRPr="00E50911">
        <w:rPr>
          <w:rFonts w:ascii="Arial" w:hAnsi="Arial" w:cs="Arial"/>
          <w:highlight w:val="yellow"/>
        </w:rPr>
        <w:t xml:space="preserve"> (</w:t>
      </w:r>
      <w:proofErr w:type="spellStart"/>
      <w:r w:rsidR="00E50911" w:rsidRPr="00BB5ABC">
        <w:rPr>
          <w:rFonts w:ascii="Arial" w:hAnsi="Arial" w:cs="Arial"/>
          <w:highlight w:val="yellow"/>
        </w:rPr>
        <w:t>Venkitakrishnan</w:t>
      </w:r>
      <w:proofErr w:type="spellEnd"/>
      <w:r w:rsidR="00E50911" w:rsidRPr="00E50911">
        <w:rPr>
          <w:rFonts w:ascii="Arial" w:hAnsi="Arial" w:cs="Arial"/>
          <w:highlight w:val="yellow"/>
        </w:rPr>
        <w:t xml:space="preserve"> </w:t>
      </w:r>
      <w:r w:rsidR="00E50911" w:rsidRPr="003C5BA2">
        <w:rPr>
          <w:rFonts w:ascii="Arial" w:hAnsi="Arial" w:cs="Arial"/>
          <w:highlight w:val="yellow"/>
        </w:rPr>
        <w:t xml:space="preserve">et al., </w:t>
      </w:r>
      <w:r w:rsidR="00E50911">
        <w:rPr>
          <w:rFonts w:ascii="Arial" w:hAnsi="Arial" w:cs="Arial"/>
          <w:highlight w:val="yellow"/>
        </w:rPr>
        <w:t xml:space="preserve">2021; </w:t>
      </w:r>
      <w:r w:rsidR="0076085D" w:rsidRPr="00BB5ABC">
        <w:rPr>
          <w:rFonts w:ascii="Arial" w:hAnsi="Arial" w:cs="Arial"/>
          <w:highlight w:val="yellow"/>
        </w:rPr>
        <w:t>Shi et al., 2023</w:t>
      </w:r>
      <w:r w:rsidR="0076085D">
        <w:rPr>
          <w:rFonts w:ascii="Arial" w:hAnsi="Arial" w:cs="Arial"/>
          <w:highlight w:val="yellow"/>
        </w:rPr>
        <w:t>)</w:t>
      </w:r>
      <w:r w:rsidR="003B1467" w:rsidRPr="00BB5ABC">
        <w:rPr>
          <w:rFonts w:ascii="Arial" w:hAnsi="Arial" w:cs="Arial"/>
          <w:highlight w:val="yellow"/>
        </w:rPr>
        <w:t>.</w:t>
      </w:r>
    </w:p>
    <w:p w14:paraId="3D302B2E" w14:textId="7CBE04EB" w:rsidR="00790ADA" w:rsidRPr="00FB3A86" w:rsidRDefault="0005276C" w:rsidP="00B471E8">
      <w:pPr>
        <w:pStyle w:val="Body"/>
        <w:rPr>
          <w:rFonts w:ascii="Arial" w:hAnsi="Arial" w:cs="Arial"/>
        </w:rPr>
      </w:pPr>
      <w:r w:rsidRPr="0005276C">
        <w:rPr>
          <w:rFonts w:ascii="Arial" w:hAnsi="Arial" w:cs="Arial"/>
        </w:rPr>
        <w:t xml:space="preserve">We report here a rare case of secondary pancreatic involvement by lymphoma in a young patient. The endoscopic ultrasound-guided fine needle aspiration was crucial for establishing the diagnosis, as it is a minimally invasive and effective technique for evaluating pancreatic masses. This </w:t>
      </w:r>
      <w:r w:rsidRPr="00BB5ABC">
        <w:rPr>
          <w:rFonts w:ascii="Arial" w:hAnsi="Arial" w:cs="Arial"/>
          <w:highlight w:val="yellow"/>
        </w:rPr>
        <w:t xml:space="preserve">case </w:t>
      </w:r>
      <w:proofErr w:type="spellStart"/>
      <w:r w:rsidR="0070585E" w:rsidRPr="00BB5ABC">
        <w:rPr>
          <w:rFonts w:ascii="Arial" w:hAnsi="Arial" w:cs="Arial"/>
          <w:highlight w:val="yellow"/>
        </w:rPr>
        <w:t>emphasises</w:t>
      </w:r>
      <w:proofErr w:type="spellEnd"/>
      <w:r w:rsidR="0070585E" w:rsidRPr="00BB5ABC">
        <w:rPr>
          <w:rFonts w:ascii="Arial" w:hAnsi="Arial" w:cs="Arial"/>
          <w:highlight w:val="yellow"/>
        </w:rPr>
        <w:t xml:space="preserve"> </w:t>
      </w:r>
      <w:r w:rsidRPr="00BB5ABC">
        <w:rPr>
          <w:rFonts w:ascii="Arial" w:hAnsi="Arial" w:cs="Arial"/>
          <w:highlight w:val="yellow"/>
        </w:rPr>
        <w:t>the critical importance of including lymphoma in the differential diagnosis of pancreatic lesions, as accurate identification signific</w:t>
      </w:r>
      <w:r w:rsidRPr="0005276C">
        <w:rPr>
          <w:rFonts w:ascii="Arial" w:hAnsi="Arial" w:cs="Arial"/>
        </w:rPr>
        <w:t xml:space="preserve">antly changes the therapeutic management. </w:t>
      </w:r>
    </w:p>
    <w:p w14:paraId="7BF5541B" w14:textId="253AF008" w:rsidR="007F7B32" w:rsidRDefault="00902823" w:rsidP="00B471E8">
      <w:pPr>
        <w:pStyle w:val="AbstHead"/>
        <w:spacing w:after="0"/>
        <w:jc w:val="both"/>
        <w:rPr>
          <w:rFonts w:ascii="Arial" w:hAnsi="Arial" w:cs="Arial"/>
        </w:rPr>
      </w:pPr>
      <w:r w:rsidRPr="00BB5ABC">
        <w:rPr>
          <w:rFonts w:ascii="Arial" w:hAnsi="Arial" w:cs="Arial"/>
          <w:highlight w:val="yellow"/>
        </w:rPr>
        <w:t xml:space="preserve">2. </w:t>
      </w:r>
      <w:r w:rsidR="00336326" w:rsidRPr="00BB5ABC">
        <w:rPr>
          <w:rFonts w:ascii="Arial" w:hAnsi="Arial" w:cs="Arial"/>
          <w:highlight w:val="yellow"/>
        </w:rPr>
        <w:t>CASE</w:t>
      </w:r>
      <w:r w:rsidR="0076085D" w:rsidRPr="00BB5ABC">
        <w:rPr>
          <w:rFonts w:ascii="Arial" w:hAnsi="Arial" w:cs="Arial"/>
          <w:highlight w:val="yellow"/>
        </w:rPr>
        <w:t xml:space="preserve"> PRESENTATION</w:t>
      </w:r>
    </w:p>
    <w:p w14:paraId="0DA88C31" w14:textId="77777777" w:rsidR="00790ADA" w:rsidRDefault="00790ADA" w:rsidP="00B471E8">
      <w:pPr>
        <w:pStyle w:val="Body"/>
        <w:spacing w:after="0"/>
        <w:rPr>
          <w:rFonts w:ascii="Arial" w:hAnsi="Arial" w:cs="Arial"/>
        </w:rPr>
      </w:pPr>
    </w:p>
    <w:p w14:paraId="1616FB5C" w14:textId="516B951D" w:rsidR="00336326" w:rsidRPr="00336326" w:rsidRDefault="00336326" w:rsidP="00B471E8">
      <w:pPr>
        <w:pStyle w:val="Body"/>
        <w:rPr>
          <w:rFonts w:ascii="Arial" w:hAnsi="Arial" w:cs="Arial"/>
        </w:rPr>
      </w:pPr>
      <w:r w:rsidRPr="00336326">
        <w:rPr>
          <w:rFonts w:ascii="Arial" w:hAnsi="Arial" w:cs="Arial"/>
        </w:rPr>
        <w:t xml:space="preserve">An 18-year-old </w:t>
      </w:r>
      <w:r w:rsidR="0070585E">
        <w:rPr>
          <w:rFonts w:ascii="Arial" w:hAnsi="Arial" w:cs="Arial"/>
        </w:rPr>
        <w:t>North A</w:t>
      </w:r>
      <w:r w:rsidR="00880C6C">
        <w:rPr>
          <w:rFonts w:ascii="Arial" w:hAnsi="Arial" w:cs="Arial"/>
        </w:rPr>
        <w:t xml:space="preserve">frican </w:t>
      </w:r>
      <w:r w:rsidRPr="00336326">
        <w:rPr>
          <w:rFonts w:ascii="Arial" w:hAnsi="Arial" w:cs="Arial"/>
        </w:rPr>
        <w:t>female with no prior significant medical history</w:t>
      </w:r>
      <w:r w:rsidR="00880C6C">
        <w:rPr>
          <w:rFonts w:ascii="Arial" w:hAnsi="Arial" w:cs="Arial"/>
        </w:rPr>
        <w:t xml:space="preserve"> nor family history of hematologic malignancies or lymphoma </w:t>
      </w:r>
      <w:r w:rsidRPr="00336326">
        <w:rPr>
          <w:rFonts w:ascii="Arial" w:hAnsi="Arial" w:cs="Arial"/>
        </w:rPr>
        <w:t>admitted for a 15-day history of progressive jaundice, accompanied by pruritus and fatigue, unintentional weight loss, and general physical decline. She denied fever, abdominal pain or night sweats.  The patient also reported retrosternal chest pain and left shoulder pain for 1 month.</w:t>
      </w:r>
    </w:p>
    <w:p w14:paraId="0AB5BDCF" w14:textId="03115D9F" w:rsidR="00336326" w:rsidRPr="00336326" w:rsidRDefault="00336326" w:rsidP="00B471E8">
      <w:pPr>
        <w:pStyle w:val="Body"/>
        <w:rPr>
          <w:rFonts w:ascii="Arial" w:hAnsi="Arial" w:cs="Arial"/>
        </w:rPr>
      </w:pPr>
      <w:r w:rsidRPr="00336326">
        <w:rPr>
          <w:rFonts w:ascii="Arial" w:hAnsi="Arial" w:cs="Arial"/>
        </w:rPr>
        <w:t xml:space="preserve">Physical examination revealed that her performance status was 2, and BMI was 19.5 kg/m². She </w:t>
      </w:r>
      <w:r w:rsidRPr="00BB5ABC">
        <w:rPr>
          <w:rFonts w:ascii="Arial" w:hAnsi="Arial" w:cs="Arial"/>
          <w:highlight w:val="yellow"/>
        </w:rPr>
        <w:t xml:space="preserve">had </w:t>
      </w:r>
      <w:proofErr w:type="spellStart"/>
      <w:r w:rsidR="0070585E" w:rsidRPr="00336326">
        <w:rPr>
          <w:rFonts w:ascii="Arial" w:hAnsi="Arial" w:cs="Arial"/>
        </w:rPr>
        <w:t>generali</w:t>
      </w:r>
      <w:r w:rsidR="0070585E">
        <w:rPr>
          <w:rFonts w:ascii="Arial" w:hAnsi="Arial" w:cs="Arial"/>
        </w:rPr>
        <w:t>s</w:t>
      </w:r>
      <w:r w:rsidR="0070585E" w:rsidRPr="00336326">
        <w:rPr>
          <w:rFonts w:ascii="Arial" w:hAnsi="Arial" w:cs="Arial"/>
        </w:rPr>
        <w:t>ed</w:t>
      </w:r>
      <w:proofErr w:type="spellEnd"/>
      <w:r w:rsidR="0070585E" w:rsidRPr="00336326">
        <w:rPr>
          <w:rFonts w:ascii="Arial" w:hAnsi="Arial" w:cs="Arial"/>
        </w:rPr>
        <w:t xml:space="preserve"> </w:t>
      </w:r>
      <w:r w:rsidRPr="00336326">
        <w:rPr>
          <w:rFonts w:ascii="Arial" w:hAnsi="Arial" w:cs="Arial"/>
        </w:rPr>
        <w:t>jaundice with no enlarged superficial lymph nodes or palpable masses in her upper abdomen. Cardiovascular and pulmonary examinations were unremarkable, with normal breath sounds and no signs of respiratory distress at rest.</w:t>
      </w:r>
    </w:p>
    <w:p w14:paraId="793F6951" w14:textId="77777777" w:rsidR="00336326" w:rsidRPr="00336326" w:rsidRDefault="00336326" w:rsidP="00B471E8">
      <w:pPr>
        <w:pStyle w:val="Body"/>
        <w:spacing w:after="0"/>
        <w:rPr>
          <w:rFonts w:ascii="Arial" w:hAnsi="Arial" w:cs="Arial"/>
        </w:rPr>
      </w:pPr>
      <w:r w:rsidRPr="00336326">
        <w:rPr>
          <w:rFonts w:ascii="Arial" w:hAnsi="Arial" w:cs="Arial"/>
        </w:rPr>
        <w:t xml:space="preserve">Laboratory investigations confirmed abnormal liver function tests:  </w:t>
      </w:r>
    </w:p>
    <w:p w14:paraId="10B82E55" w14:textId="77777777" w:rsidR="00336326" w:rsidRPr="00336326" w:rsidRDefault="00336326" w:rsidP="00B471E8">
      <w:pPr>
        <w:pStyle w:val="Body"/>
        <w:spacing w:after="0"/>
        <w:rPr>
          <w:rFonts w:ascii="Arial" w:hAnsi="Arial" w:cs="Arial"/>
        </w:rPr>
      </w:pPr>
      <w:r w:rsidRPr="00336326">
        <w:rPr>
          <w:rFonts w:ascii="Arial" w:hAnsi="Arial" w:cs="Arial"/>
        </w:rPr>
        <w:t xml:space="preserve">Total bilirubin: ↑ 85,5 </w:t>
      </w:r>
      <w:proofErr w:type="spellStart"/>
      <w:r w:rsidRPr="00336326">
        <w:rPr>
          <w:rFonts w:ascii="Arial" w:hAnsi="Arial" w:cs="Arial"/>
        </w:rPr>
        <w:t>μmol</w:t>
      </w:r>
      <w:proofErr w:type="spellEnd"/>
      <w:r w:rsidRPr="00336326">
        <w:rPr>
          <w:rFonts w:ascii="Arial" w:hAnsi="Arial" w:cs="Arial"/>
        </w:rPr>
        <w:t>/</w:t>
      </w:r>
      <w:proofErr w:type="gramStart"/>
      <w:r w:rsidRPr="00336326">
        <w:rPr>
          <w:rFonts w:ascii="Arial" w:hAnsi="Arial" w:cs="Arial"/>
        </w:rPr>
        <w:t>L ;</w:t>
      </w:r>
      <w:proofErr w:type="gramEnd"/>
      <w:r w:rsidRPr="00336326">
        <w:rPr>
          <w:rFonts w:ascii="Arial" w:hAnsi="Arial" w:cs="Arial"/>
        </w:rPr>
        <w:t xml:space="preserve"> </w:t>
      </w:r>
      <w:r>
        <w:rPr>
          <w:rFonts w:ascii="Arial" w:hAnsi="Arial" w:cs="Arial"/>
        </w:rPr>
        <w:t xml:space="preserve">  </w:t>
      </w:r>
      <w:r w:rsidRPr="00336326">
        <w:rPr>
          <w:rFonts w:ascii="Arial" w:hAnsi="Arial" w:cs="Arial"/>
        </w:rPr>
        <w:t xml:space="preserve">AST (Aspartate Aminotransferase): ↑188 UI/L; </w:t>
      </w:r>
    </w:p>
    <w:p w14:paraId="04D6278F" w14:textId="77777777" w:rsidR="00336326" w:rsidRPr="00336326" w:rsidRDefault="00336326" w:rsidP="00B471E8">
      <w:pPr>
        <w:pStyle w:val="Body"/>
        <w:spacing w:after="0"/>
        <w:rPr>
          <w:rFonts w:ascii="Arial" w:hAnsi="Arial" w:cs="Arial"/>
        </w:rPr>
      </w:pPr>
      <w:r w:rsidRPr="00336326">
        <w:rPr>
          <w:rFonts w:ascii="Arial" w:hAnsi="Arial" w:cs="Arial"/>
        </w:rPr>
        <w:t>ALT (Alanine Aminotransferase</w:t>
      </w:r>
      <w:proofErr w:type="gramStart"/>
      <w:r w:rsidRPr="00336326">
        <w:rPr>
          <w:rFonts w:ascii="Arial" w:hAnsi="Arial" w:cs="Arial"/>
        </w:rPr>
        <w:t>) :</w:t>
      </w:r>
      <w:proofErr w:type="gramEnd"/>
      <w:r w:rsidRPr="00336326">
        <w:rPr>
          <w:rFonts w:ascii="Arial" w:hAnsi="Arial" w:cs="Arial"/>
        </w:rPr>
        <w:t xml:space="preserve"> ↑488 UI/L;</w:t>
      </w:r>
      <w:r w:rsidR="00FA57A3">
        <w:rPr>
          <w:rFonts w:ascii="Arial" w:hAnsi="Arial" w:cs="Arial"/>
        </w:rPr>
        <w:t xml:space="preserve"> </w:t>
      </w:r>
      <w:r w:rsidRPr="00336326">
        <w:rPr>
          <w:rFonts w:ascii="Arial" w:hAnsi="Arial" w:cs="Arial"/>
        </w:rPr>
        <w:t>ALP (Alkaline Phosphatase): ↑354 UI/L ;</w:t>
      </w:r>
    </w:p>
    <w:p w14:paraId="26B840AA" w14:textId="77777777" w:rsidR="001032DA" w:rsidRDefault="00336326" w:rsidP="00B471E8">
      <w:pPr>
        <w:pStyle w:val="Body"/>
        <w:spacing w:after="0"/>
        <w:rPr>
          <w:rFonts w:ascii="Arial" w:hAnsi="Arial" w:cs="Arial"/>
        </w:rPr>
      </w:pPr>
      <w:proofErr w:type="gramStart"/>
      <w:r w:rsidRPr="00336326">
        <w:rPr>
          <w:rFonts w:ascii="Arial" w:hAnsi="Arial" w:cs="Arial"/>
        </w:rPr>
        <w:t>GGT(</w:t>
      </w:r>
      <w:proofErr w:type="gramEnd"/>
      <w:r w:rsidRPr="00336326">
        <w:rPr>
          <w:rFonts w:ascii="Arial" w:hAnsi="Arial" w:cs="Arial"/>
        </w:rPr>
        <w:t>Gamma-Glutamyl Transferase) : ↑ 578 UI/L;</w:t>
      </w:r>
      <w:r w:rsidR="00FA57A3">
        <w:rPr>
          <w:rFonts w:ascii="Arial" w:hAnsi="Arial" w:cs="Arial"/>
        </w:rPr>
        <w:t xml:space="preserve">   </w:t>
      </w:r>
      <w:r w:rsidRPr="00336326">
        <w:rPr>
          <w:rFonts w:ascii="Arial" w:hAnsi="Arial" w:cs="Arial"/>
        </w:rPr>
        <w:t>Lipase correct at 38.</w:t>
      </w:r>
    </w:p>
    <w:p w14:paraId="05957794" w14:textId="77777777" w:rsidR="001032DA" w:rsidRPr="00336326" w:rsidRDefault="001032DA" w:rsidP="00B471E8">
      <w:pPr>
        <w:pStyle w:val="Body"/>
        <w:spacing w:after="0"/>
        <w:rPr>
          <w:rFonts w:ascii="Arial" w:hAnsi="Arial" w:cs="Arial"/>
        </w:rPr>
      </w:pPr>
    </w:p>
    <w:p w14:paraId="5219169F" w14:textId="77777777" w:rsidR="00336326" w:rsidRPr="00336326" w:rsidRDefault="00336326" w:rsidP="00B471E8">
      <w:pPr>
        <w:pStyle w:val="Body"/>
        <w:rPr>
          <w:rFonts w:ascii="Arial" w:hAnsi="Arial" w:cs="Arial"/>
        </w:rPr>
      </w:pPr>
      <w:r w:rsidRPr="00336326">
        <w:rPr>
          <w:rFonts w:ascii="Arial" w:hAnsi="Arial" w:cs="Arial"/>
        </w:rPr>
        <w:t>A contrast-enhanced thoracoabdominopelvic CT scan revealed</w:t>
      </w:r>
      <w:r w:rsidR="00FA57A3">
        <w:rPr>
          <w:rFonts w:ascii="Arial" w:hAnsi="Arial" w:cs="Arial"/>
        </w:rPr>
        <w:t xml:space="preserve"> </w:t>
      </w:r>
      <w:proofErr w:type="gramStart"/>
      <w:r w:rsidR="00FA57A3">
        <w:rPr>
          <w:rFonts w:ascii="Arial" w:hAnsi="Arial" w:cs="Arial"/>
        </w:rPr>
        <w:t>( fig</w:t>
      </w:r>
      <w:proofErr w:type="gramEnd"/>
      <w:r w:rsidR="00FA57A3">
        <w:rPr>
          <w:rFonts w:ascii="Arial" w:hAnsi="Arial" w:cs="Arial"/>
        </w:rPr>
        <w:t xml:space="preserve"> 1) </w:t>
      </w:r>
      <w:r w:rsidRPr="00336326">
        <w:rPr>
          <w:rFonts w:ascii="Arial" w:hAnsi="Arial" w:cs="Arial"/>
        </w:rPr>
        <w:t>:</w:t>
      </w:r>
    </w:p>
    <w:p w14:paraId="2785B1E6" w14:textId="77777777" w:rsidR="00336326" w:rsidRDefault="00336326" w:rsidP="00B471E8">
      <w:pPr>
        <w:pStyle w:val="Body"/>
        <w:numPr>
          <w:ilvl w:val="0"/>
          <w:numId w:val="31"/>
        </w:numPr>
        <w:spacing w:after="0"/>
        <w:rPr>
          <w:rFonts w:ascii="Arial" w:hAnsi="Arial" w:cs="Arial"/>
        </w:rPr>
      </w:pPr>
      <w:r w:rsidRPr="00336326">
        <w:rPr>
          <w:rFonts w:ascii="Arial" w:hAnsi="Arial" w:cs="Arial"/>
        </w:rPr>
        <w:t>Multiple, locally advanced pancreatic masses irregular in shape, hypodense, in the pancreatic head and isthmus, the largest measuring approximately 27.7 mm × 19 mm</w:t>
      </w:r>
    </w:p>
    <w:p w14:paraId="4F0679C1" w14:textId="77777777" w:rsidR="00336326" w:rsidRDefault="00336326" w:rsidP="00B471E8">
      <w:pPr>
        <w:pStyle w:val="Body"/>
        <w:numPr>
          <w:ilvl w:val="0"/>
          <w:numId w:val="31"/>
        </w:numPr>
        <w:spacing w:after="0"/>
        <w:rPr>
          <w:rFonts w:ascii="Arial" w:hAnsi="Arial" w:cs="Arial"/>
        </w:rPr>
      </w:pPr>
      <w:r w:rsidRPr="00336326">
        <w:rPr>
          <w:rFonts w:ascii="Arial" w:hAnsi="Arial" w:cs="Arial"/>
        </w:rPr>
        <w:t>Significant dilation of the biliary tree, with a common bile duct (CBD) diameter of 12 mm</w:t>
      </w:r>
    </w:p>
    <w:p w14:paraId="4679B99B" w14:textId="77777777" w:rsidR="00336326" w:rsidRDefault="00336326" w:rsidP="00B471E8">
      <w:pPr>
        <w:pStyle w:val="Body"/>
        <w:numPr>
          <w:ilvl w:val="0"/>
          <w:numId w:val="31"/>
        </w:numPr>
        <w:spacing w:after="0"/>
        <w:rPr>
          <w:rFonts w:ascii="Arial" w:hAnsi="Arial" w:cs="Arial"/>
        </w:rPr>
      </w:pPr>
      <w:r w:rsidRPr="00336326">
        <w:rPr>
          <w:rFonts w:ascii="Arial" w:hAnsi="Arial" w:cs="Arial"/>
        </w:rPr>
        <w:t>Several splenic nodules.</w:t>
      </w:r>
    </w:p>
    <w:p w14:paraId="46D236A4" w14:textId="77777777" w:rsidR="00336326" w:rsidRDefault="00336326" w:rsidP="00B471E8">
      <w:pPr>
        <w:pStyle w:val="Body"/>
        <w:numPr>
          <w:ilvl w:val="0"/>
          <w:numId w:val="31"/>
        </w:numPr>
        <w:spacing w:after="0"/>
        <w:rPr>
          <w:rFonts w:ascii="Arial" w:hAnsi="Arial" w:cs="Arial"/>
        </w:rPr>
      </w:pPr>
      <w:r w:rsidRPr="00336326">
        <w:rPr>
          <w:rFonts w:ascii="Arial" w:hAnsi="Arial" w:cs="Arial"/>
        </w:rPr>
        <w:t>A mediastinal-pulmonary mass in the apicodorsal and lingular regions measuring 63 x 20 mm, extending over 60 mm in height, encompassing the upper lobe and lingular branches.</w:t>
      </w:r>
    </w:p>
    <w:p w14:paraId="0987086C" w14:textId="77777777" w:rsidR="00336326" w:rsidRDefault="00336326" w:rsidP="00B471E8">
      <w:pPr>
        <w:pStyle w:val="Body"/>
        <w:numPr>
          <w:ilvl w:val="0"/>
          <w:numId w:val="31"/>
        </w:numPr>
        <w:spacing w:after="0"/>
        <w:rPr>
          <w:rFonts w:ascii="Arial" w:hAnsi="Arial" w:cs="Arial"/>
        </w:rPr>
      </w:pPr>
      <w:r w:rsidRPr="00336326">
        <w:rPr>
          <w:rFonts w:ascii="Arial" w:hAnsi="Arial" w:cs="Arial"/>
        </w:rPr>
        <w:t>Mediastinal, hilar, and subcarinal lymphadenopathy with extensive necrosis.</w:t>
      </w:r>
    </w:p>
    <w:p w14:paraId="1C5ADEB8" w14:textId="77777777" w:rsidR="00790ADA" w:rsidRDefault="00336326" w:rsidP="00B471E8">
      <w:pPr>
        <w:pStyle w:val="Body"/>
        <w:numPr>
          <w:ilvl w:val="0"/>
          <w:numId w:val="31"/>
        </w:numPr>
        <w:spacing w:after="0"/>
        <w:rPr>
          <w:rFonts w:ascii="Arial" w:hAnsi="Arial" w:cs="Arial"/>
        </w:rPr>
      </w:pPr>
      <w:r w:rsidRPr="00336326">
        <w:rPr>
          <w:rFonts w:ascii="Arial" w:hAnsi="Arial" w:cs="Arial"/>
        </w:rPr>
        <w:t>Low-volume pericardial effusion.</w:t>
      </w:r>
    </w:p>
    <w:p w14:paraId="651EF742" w14:textId="5D9D736F" w:rsidR="00FA57A3" w:rsidRPr="00336326" w:rsidRDefault="00AC52E7" w:rsidP="00B471E8">
      <w:pPr>
        <w:pStyle w:val="Body"/>
        <w:rPr>
          <w:rFonts w:ascii="Arial" w:hAnsi="Arial" w:cs="Arial"/>
        </w:rPr>
      </w:pPr>
      <w:r>
        <w:rPr>
          <w:noProof/>
        </w:rPr>
        <w:pict w14:anchorId="209A54DE">
          <v:shapetype id="_x0000_t202" coordsize="21600,21600" o:spt="202" path="m,l,21600r21600,l21600,xe">
            <v:stroke joinstyle="miter"/>
            <v:path gradientshapeok="t" o:connecttype="rect"/>
          </v:shapetype>
          <v:shape id="Zone de texte 3" o:spid="_x0000_s1028" type="#_x0000_t202" style="position:absolute;left:0;text-align:left;margin-left:241.15pt;margin-top:1.9pt;width:21.95pt;height:2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" fillcolor="black" strokeweight=".5pt">
            <v:textbox>
              <w:txbxContent>
                <w:p w14:paraId="5AB1F1AE" w14:textId="77777777" w:rsidR="00FA57A3" w:rsidRPr="00FA57A3" w:rsidRDefault="00FA57A3" w:rsidP="00FA57A3">
                  <w:pPr>
                    <w:rPr>
                      <w:sz w:val="40"/>
                      <w:szCs w:val="40"/>
                      <w:lang w:val="it-IT"/>
                    </w:rPr>
                  </w:pPr>
                  <w:r w:rsidRPr="006C43DC">
                    <w:rPr>
                      <w:sz w:val="28"/>
                      <w:szCs w:val="28"/>
                      <w:lang w:val="it-IT"/>
                    </w:rPr>
                    <w:t>B</w:t>
                  </w:r>
                </w:p>
              </w:txbxContent>
            </v:textbox>
          </v:shape>
        </w:pict>
      </w:r>
      <w:r>
        <w:rPr>
          <w:noProof/>
        </w:rPr>
        <w:pict w14:anchorId="438F5753">
          <v:shape id="Zone de texte 2" o:spid="_x0000_s1027" type="#_x0000_t202" style="position:absolute;left:0;text-align:left;margin-left:5.45pt;margin-top:3.65pt;width:27.4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" fillcolor="black" strokeweight=".5pt">
            <v:textbox>
              <w:txbxContent>
                <w:p w14:paraId="25685ADA" w14:textId="77777777" w:rsidR="00FA57A3" w:rsidRPr="00FA57A3" w:rsidRDefault="00FA57A3" w:rsidP="00FA57A3">
                  <w:pPr>
                    <w:rPr>
                      <w:color w:val="FFFFFF" w:themeColor="background1"/>
                      <w:sz w:val="28"/>
                      <w:szCs w:val="28"/>
                      <w:lang w:val="it-IT"/>
                    </w:rPr>
                  </w:pPr>
                  <w:r w:rsidRPr="00FA57A3">
                    <w:rPr>
                      <w:color w:val="FFFFFF" w:themeColor="background1"/>
                      <w:sz w:val="28"/>
                      <w:szCs w:val="28"/>
                      <w:lang w:val="it-IT"/>
                    </w:rPr>
                    <w:t>A</w:t>
                  </w:r>
                </w:p>
              </w:txbxContent>
            </v:textbox>
          </v:shape>
        </w:pict>
      </w:r>
      <w:r w:rsidR="00FA57A3">
        <w:rPr>
          <w:rFonts w:ascii="Times New Roman" w:hAnsi="Times New Roman"/>
          <w:noProof/>
          <w:sz w:val="28"/>
          <w:szCs w:val="28"/>
        </w:rPr>
        <w:drawing>
          <wp:inline distT="0" distB="0" distL="0" distR="0" wp14:anchorId="11F65B0C" wp14:editId="330F95E1">
            <wp:extent cx="6028089" cy="2030241"/>
            <wp:effectExtent l="0" t="0" r="0" b="0"/>
            <wp:docPr id="29979011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90112" name="Image 299790112"/>
                    <pic:cNvPicPr/>
                  </pic:nvPicPr>
                  <pic:blipFill>
                    <a:blip r:embed="rId14">
                      <a:extLst>
                        <a:ext uri="{28A0092B-C50C-407E-A947-70E740481C1C}">
                          <a14:useLocalDpi xmlns:a14="http://schemas.microsoft.com/office/drawing/2010/main" val="0"/>
                        </a:ext>
                      </a:extLst>
                    </a:blip>
                    <a:stretch>
                      <a:fillRect/>
                    </a:stretch>
                  </pic:blipFill>
                  <pic:spPr>
                    <a:xfrm>
                      <a:off x="0" y="0"/>
                      <a:ext cx="6083744" cy="2048985"/>
                    </a:xfrm>
                    <a:prstGeom prst="rect">
                      <a:avLst/>
                    </a:prstGeom>
                  </pic:spPr>
                </pic:pic>
              </a:graphicData>
            </a:graphic>
          </wp:inline>
        </w:drawing>
      </w:r>
    </w:p>
    <w:p w14:paraId="70008494" w14:textId="77777777" w:rsidR="00A03B96" w:rsidRPr="00C85D3A" w:rsidRDefault="00FA57A3" w:rsidP="00B471E8">
      <w:pPr>
        <w:jc w:val="both"/>
        <w:rPr>
          <w:rFonts w:ascii="Arial" w:hAnsi="Arial" w:cs="Arial"/>
          <w:b/>
          <w:bCs/>
          <w:szCs w:val="22"/>
        </w:rPr>
      </w:pPr>
      <w:r w:rsidRPr="00C85D3A">
        <w:rPr>
          <w:rFonts w:ascii="Arial" w:hAnsi="Arial" w:cs="Arial"/>
          <w:b/>
          <w:bCs/>
          <w:szCs w:val="22"/>
        </w:rPr>
        <w:lastRenderedPageBreak/>
        <w:t>Fig. 1. CT (computed tomography) scan showing pancreatic masses in the pancreatic head (A) and splenic nodules (B).</w:t>
      </w:r>
    </w:p>
    <w:p w14:paraId="5EEB074B" w14:textId="77777777" w:rsidR="00A03B96" w:rsidRDefault="00A03B96" w:rsidP="00B471E8">
      <w:pPr>
        <w:pStyle w:val="Body"/>
        <w:spacing w:after="0"/>
        <w:rPr>
          <w:rFonts w:ascii="Arial" w:hAnsi="Arial" w:cs="Arial"/>
        </w:rPr>
      </w:pPr>
    </w:p>
    <w:p w14:paraId="7983A6E1" w14:textId="77777777" w:rsidR="00FA57A3" w:rsidRPr="00FA57A3" w:rsidRDefault="00FA57A3" w:rsidP="00B471E8">
      <w:pPr>
        <w:pStyle w:val="Body"/>
        <w:rPr>
          <w:rFonts w:ascii="Arial" w:hAnsi="Arial" w:cs="Arial"/>
        </w:rPr>
      </w:pPr>
      <w:r w:rsidRPr="00FA57A3">
        <w:rPr>
          <w:rFonts w:ascii="Arial" w:hAnsi="Arial" w:cs="Arial"/>
        </w:rPr>
        <w:t xml:space="preserve">She underwent flexible bronchoscopy, which revealed second-degree diffuse inflammation of the bronchial tree and a significant reduction in the caliber of the lingular bronchus. </w:t>
      </w:r>
    </w:p>
    <w:p w14:paraId="5ADD874C" w14:textId="77777777" w:rsidR="00A03B96" w:rsidRDefault="00FA57A3" w:rsidP="00B471E8">
      <w:pPr>
        <w:pStyle w:val="Body"/>
        <w:spacing w:after="0"/>
        <w:rPr>
          <w:rFonts w:ascii="Arial" w:hAnsi="Arial" w:cs="Arial"/>
        </w:rPr>
      </w:pPr>
      <w:r w:rsidRPr="00FA57A3">
        <w:rPr>
          <w:rFonts w:ascii="Arial" w:hAnsi="Arial" w:cs="Arial"/>
        </w:rPr>
        <w:t>Additionally, an endoscopic retrograde cholangiopancreatography</w:t>
      </w:r>
      <w:r>
        <w:rPr>
          <w:rFonts w:ascii="Arial" w:hAnsi="Arial" w:cs="Arial"/>
        </w:rPr>
        <w:t xml:space="preserve"> (ERCP) (fig 2) </w:t>
      </w:r>
      <w:r w:rsidRPr="00FA57A3">
        <w:rPr>
          <w:rFonts w:ascii="Arial" w:hAnsi="Arial" w:cs="Arial"/>
        </w:rPr>
        <w:t>that showed a distal biliary stricture extending to the hilar confluence, likely due to extrinsic compression of the third portion of the duodenum (D3). A biliary stent was successfully placed, resulting in clinical and biochemical improvement.</w:t>
      </w:r>
    </w:p>
    <w:p w14:paraId="7F9C62BF" w14:textId="77777777" w:rsidR="00790ADA" w:rsidRPr="00FB3A86" w:rsidRDefault="00790ADA" w:rsidP="00B471E8">
      <w:pPr>
        <w:pStyle w:val="Body"/>
        <w:spacing w:after="0"/>
        <w:rPr>
          <w:rFonts w:ascii="Arial" w:hAnsi="Arial" w:cs="Arial"/>
        </w:rPr>
      </w:pPr>
    </w:p>
    <w:p w14:paraId="2D85280F" w14:textId="77777777" w:rsidR="00790ADA" w:rsidRPr="00FB3A86" w:rsidRDefault="00FA57A3" w:rsidP="00B471E8">
      <w:pPr>
        <w:pStyle w:val="Body"/>
        <w:spacing w:after="0"/>
        <w:rPr>
          <w:rFonts w:ascii="Arial" w:hAnsi="Arial" w:cs="Arial"/>
        </w:rPr>
      </w:pPr>
      <w:r w:rsidRPr="00693252">
        <w:rPr>
          <w:rFonts w:ascii="Times New Roman" w:hAnsi="Times New Roman"/>
          <w:noProof/>
          <w:sz w:val="28"/>
          <w:szCs w:val="28"/>
        </w:rPr>
        <w:drawing>
          <wp:inline distT="0" distB="0" distL="0" distR="0" wp14:anchorId="77F5AD41" wp14:editId="704249E5">
            <wp:extent cx="3124264" cy="2832410"/>
            <wp:effectExtent l="0" t="0" r="0" b="0"/>
            <wp:docPr id="8" name="Espace réservé du contenu 7">
              <a:extLst xmlns:a="http://schemas.openxmlformats.org/drawingml/2006/main">
                <a:ext uri="{FF2B5EF4-FFF2-40B4-BE49-F238E27FC236}">
                  <a16:creationId xmlns:a16="http://schemas.microsoft.com/office/drawing/2014/main" id="{315DC0F7-7DC4-479B-95C9-006E6C9595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Espace réservé du contenu 7">
                      <a:extLst>
                        <a:ext uri="{FF2B5EF4-FFF2-40B4-BE49-F238E27FC236}">
                          <a16:creationId xmlns:a16="http://schemas.microsoft.com/office/drawing/2014/main" id="{315DC0F7-7DC4-479B-95C9-006E6C9595C2}"/>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t="24662" r="16188" b="18349"/>
                    <a:stretch/>
                  </pic:blipFill>
                  <pic:spPr bwMode="auto">
                    <a:xfrm>
                      <a:off x="0" y="0"/>
                      <a:ext cx="3162483" cy="2867059"/>
                    </a:xfrm>
                    <a:prstGeom prst="rect">
                      <a:avLst/>
                    </a:prstGeom>
                    <a:ln>
                      <a:noFill/>
                    </a:ln>
                    <a:extLst>
                      <a:ext uri="{53640926-AAD7-44D8-BBD7-CCE9431645EC}">
                        <a14:shadowObscured xmlns:a14="http://schemas.microsoft.com/office/drawing/2010/main"/>
                      </a:ext>
                    </a:extLst>
                  </pic:spPr>
                </pic:pic>
              </a:graphicData>
            </a:graphic>
          </wp:inline>
        </w:drawing>
      </w:r>
    </w:p>
    <w:p w14:paraId="685E85DD" w14:textId="77777777" w:rsidR="00FA57A3" w:rsidRPr="00C85D3A" w:rsidRDefault="00FA57A3" w:rsidP="00B471E8">
      <w:pPr>
        <w:jc w:val="both"/>
        <w:rPr>
          <w:rFonts w:ascii="Arial" w:hAnsi="Arial" w:cs="Arial"/>
          <w:b/>
          <w:bCs/>
          <w:szCs w:val="22"/>
        </w:rPr>
      </w:pPr>
      <w:r w:rsidRPr="00C85D3A">
        <w:rPr>
          <w:rFonts w:ascii="Arial" w:hAnsi="Arial" w:cs="Arial"/>
          <w:b/>
          <w:bCs/>
          <w:szCs w:val="22"/>
        </w:rPr>
        <w:t>Fig. 2. ERCP distal biliary stricture extending being catheterize</w:t>
      </w:r>
    </w:p>
    <w:p w14:paraId="0D4254E4" w14:textId="77777777" w:rsidR="00FA57A3" w:rsidRPr="00C85D3A" w:rsidRDefault="00FA57A3" w:rsidP="00B471E8">
      <w:pPr>
        <w:jc w:val="both"/>
        <w:rPr>
          <w:rFonts w:ascii="Arial" w:hAnsi="Arial" w:cs="Arial"/>
          <w:b/>
          <w:bCs/>
          <w:szCs w:val="22"/>
        </w:rPr>
      </w:pPr>
    </w:p>
    <w:p w14:paraId="44BF6DFE" w14:textId="77777777" w:rsidR="00FA57A3" w:rsidRDefault="00FA57A3" w:rsidP="00B471E8">
      <w:pPr>
        <w:jc w:val="both"/>
        <w:rPr>
          <w:rFonts w:ascii="Arial" w:hAnsi="Arial" w:cs="Arial"/>
          <w:color w:val="000000"/>
          <w:lang w:eastAsia="fr-FR"/>
        </w:rPr>
      </w:pPr>
    </w:p>
    <w:p w14:paraId="7EEB87D4" w14:textId="77777777" w:rsidR="00FA57A3" w:rsidRPr="00FA57A3" w:rsidRDefault="00FA57A3" w:rsidP="00B471E8">
      <w:pPr>
        <w:jc w:val="both"/>
        <w:rPr>
          <w:rFonts w:ascii="Arial" w:hAnsi="Arial" w:cs="Arial"/>
          <w:color w:val="000000"/>
          <w:lang w:eastAsia="fr-FR"/>
        </w:rPr>
      </w:pPr>
      <w:r w:rsidRPr="00FA57A3">
        <w:rPr>
          <w:rFonts w:ascii="Arial" w:hAnsi="Arial" w:cs="Arial"/>
          <w:color w:val="000000"/>
          <w:lang w:eastAsia="fr-FR"/>
        </w:rPr>
        <w:t>Follow-up laboratory results, obtained two days post-drainage, demonstrated:</w:t>
      </w:r>
    </w:p>
    <w:p w14:paraId="2CC6D910" w14:textId="77777777" w:rsidR="00FA57A3" w:rsidRDefault="00FA57A3" w:rsidP="00B471E8">
      <w:pPr>
        <w:pStyle w:val="ListParagraph"/>
        <w:numPr>
          <w:ilvl w:val="0"/>
          <w:numId w:val="32"/>
        </w:numPr>
        <w:jc w:val="both"/>
        <w:rPr>
          <w:rFonts w:ascii="Arial" w:hAnsi="Arial" w:cs="Arial"/>
          <w:color w:val="000000"/>
          <w:lang w:eastAsia="fr-FR"/>
        </w:rPr>
      </w:pPr>
      <w:r w:rsidRPr="00FA57A3">
        <w:rPr>
          <w:rFonts w:ascii="Arial" w:hAnsi="Arial" w:cs="Arial"/>
          <w:color w:val="000000"/>
          <w:lang w:eastAsia="fr-FR"/>
        </w:rPr>
        <w:t xml:space="preserve">Total bilirubin: decreased from 85.5 to 35 </w:t>
      </w:r>
      <w:proofErr w:type="spellStart"/>
      <w:r w:rsidRPr="00FA57A3">
        <w:rPr>
          <w:rFonts w:ascii="Arial" w:hAnsi="Arial" w:cs="Arial"/>
          <w:color w:val="000000"/>
          <w:lang w:eastAsia="fr-FR"/>
        </w:rPr>
        <w:t>μmol</w:t>
      </w:r>
      <w:proofErr w:type="spellEnd"/>
      <w:r w:rsidRPr="00FA57A3">
        <w:rPr>
          <w:rFonts w:ascii="Arial" w:hAnsi="Arial" w:cs="Arial"/>
          <w:color w:val="000000"/>
          <w:lang w:eastAsia="fr-FR"/>
        </w:rPr>
        <w:t>/L</w:t>
      </w:r>
    </w:p>
    <w:p w14:paraId="6381F6D4" w14:textId="77777777" w:rsidR="00FA57A3" w:rsidRDefault="00FA57A3" w:rsidP="00B471E8">
      <w:pPr>
        <w:pStyle w:val="ListParagraph"/>
        <w:numPr>
          <w:ilvl w:val="0"/>
          <w:numId w:val="32"/>
        </w:numPr>
        <w:jc w:val="both"/>
        <w:rPr>
          <w:rFonts w:ascii="Arial" w:hAnsi="Arial" w:cs="Arial"/>
          <w:color w:val="000000"/>
          <w:lang w:eastAsia="fr-FR"/>
        </w:rPr>
      </w:pPr>
      <w:r w:rsidRPr="00FA57A3">
        <w:rPr>
          <w:rFonts w:ascii="Arial" w:hAnsi="Arial" w:cs="Arial"/>
          <w:color w:val="000000"/>
          <w:lang w:eastAsia="fr-FR"/>
        </w:rPr>
        <w:t>AST: from 188 to 90 U/L</w:t>
      </w:r>
    </w:p>
    <w:p w14:paraId="0BE70FD1" w14:textId="77777777" w:rsidR="00FA57A3" w:rsidRDefault="00FA57A3" w:rsidP="00B471E8">
      <w:pPr>
        <w:pStyle w:val="ListParagraph"/>
        <w:numPr>
          <w:ilvl w:val="0"/>
          <w:numId w:val="32"/>
        </w:numPr>
        <w:jc w:val="both"/>
        <w:rPr>
          <w:rFonts w:ascii="Arial" w:hAnsi="Arial" w:cs="Arial"/>
          <w:color w:val="000000"/>
          <w:lang w:eastAsia="fr-FR"/>
        </w:rPr>
      </w:pPr>
      <w:r w:rsidRPr="00FA57A3">
        <w:rPr>
          <w:rFonts w:ascii="Arial" w:hAnsi="Arial" w:cs="Arial"/>
          <w:color w:val="000000"/>
          <w:lang w:eastAsia="fr-FR"/>
        </w:rPr>
        <w:t>ALT: from 488 to 144 U/L</w:t>
      </w:r>
    </w:p>
    <w:p w14:paraId="3A566E83" w14:textId="77777777" w:rsidR="00FA57A3" w:rsidRDefault="00FA57A3" w:rsidP="00B471E8">
      <w:pPr>
        <w:pStyle w:val="ListParagraph"/>
        <w:numPr>
          <w:ilvl w:val="0"/>
          <w:numId w:val="32"/>
        </w:numPr>
        <w:jc w:val="both"/>
        <w:rPr>
          <w:rFonts w:ascii="Arial" w:hAnsi="Arial" w:cs="Arial"/>
          <w:color w:val="000000"/>
          <w:lang w:eastAsia="fr-FR"/>
        </w:rPr>
      </w:pPr>
      <w:r w:rsidRPr="00FA57A3">
        <w:rPr>
          <w:rFonts w:ascii="Arial" w:hAnsi="Arial" w:cs="Arial"/>
          <w:color w:val="000000"/>
          <w:lang w:eastAsia="fr-FR"/>
        </w:rPr>
        <w:t>ALP: from 354 to 218 U/L</w:t>
      </w:r>
    </w:p>
    <w:p w14:paraId="20DA6A2A" w14:textId="77777777" w:rsidR="00FA57A3" w:rsidRDefault="00FA57A3" w:rsidP="00B471E8">
      <w:pPr>
        <w:pStyle w:val="ListParagraph"/>
        <w:numPr>
          <w:ilvl w:val="0"/>
          <w:numId w:val="32"/>
        </w:numPr>
        <w:jc w:val="both"/>
        <w:rPr>
          <w:rFonts w:ascii="Arial" w:hAnsi="Arial" w:cs="Arial"/>
          <w:color w:val="000000"/>
          <w:lang w:eastAsia="fr-FR"/>
        </w:rPr>
      </w:pPr>
      <w:r w:rsidRPr="00FA57A3">
        <w:rPr>
          <w:rFonts w:ascii="Arial" w:hAnsi="Arial" w:cs="Arial"/>
          <w:color w:val="000000"/>
          <w:lang w:eastAsia="fr-FR"/>
        </w:rPr>
        <w:t>GGT: from 578 to 192 U/L</w:t>
      </w:r>
    </w:p>
    <w:p w14:paraId="7627872D" w14:textId="77777777" w:rsidR="00FA57A3" w:rsidRPr="00FA57A3" w:rsidRDefault="00FA57A3" w:rsidP="00B471E8">
      <w:pPr>
        <w:pStyle w:val="ListParagraph"/>
        <w:jc w:val="both"/>
        <w:rPr>
          <w:rFonts w:ascii="Arial" w:hAnsi="Arial" w:cs="Arial"/>
          <w:color w:val="000000"/>
          <w:lang w:eastAsia="fr-FR"/>
        </w:rPr>
      </w:pPr>
    </w:p>
    <w:p w14:paraId="6579B2D8" w14:textId="77777777" w:rsidR="00FA57A3" w:rsidRDefault="00FA57A3" w:rsidP="00B471E8">
      <w:pPr>
        <w:jc w:val="both"/>
        <w:rPr>
          <w:rFonts w:ascii="Arial" w:hAnsi="Arial" w:cs="Arial"/>
          <w:color w:val="000000"/>
          <w:lang w:eastAsia="fr-FR"/>
        </w:rPr>
      </w:pPr>
      <w:r w:rsidRPr="00FA57A3">
        <w:rPr>
          <w:rFonts w:ascii="Arial" w:hAnsi="Arial" w:cs="Arial"/>
          <w:color w:val="000000"/>
          <w:lang w:eastAsia="fr-FR"/>
        </w:rPr>
        <w:t>An endoscopic ultrasound (EUS)</w:t>
      </w:r>
      <w:r>
        <w:rPr>
          <w:rFonts w:ascii="Arial" w:hAnsi="Arial" w:cs="Arial"/>
          <w:color w:val="000000"/>
          <w:lang w:eastAsia="fr-FR"/>
        </w:rPr>
        <w:t xml:space="preserve"> (fig 3) </w:t>
      </w:r>
      <w:r w:rsidRPr="00FA57A3">
        <w:rPr>
          <w:rFonts w:ascii="Arial" w:hAnsi="Arial" w:cs="Arial"/>
          <w:color w:val="000000"/>
          <w:lang w:eastAsia="fr-FR"/>
        </w:rPr>
        <w:t xml:space="preserve"> with fine-needle biopsy was performed and identified two hypoechoic pancreatic lesions (19 x 27.7 mm) in the head and isthmus, as well as two nodular splenic lesions ( 13 x 16 mm and 8x 11 mm ) , all suspicious for lymphomatous involvement .</w:t>
      </w:r>
    </w:p>
    <w:p w14:paraId="08CEFF15" w14:textId="77777777" w:rsidR="00FA57A3" w:rsidRDefault="00FA57A3" w:rsidP="00B471E8">
      <w:pPr>
        <w:jc w:val="both"/>
        <w:rPr>
          <w:rFonts w:ascii="Arial" w:hAnsi="Arial" w:cs="Arial"/>
          <w:color w:val="000000"/>
          <w:lang w:eastAsia="fr-FR"/>
        </w:rPr>
      </w:pPr>
    </w:p>
    <w:p w14:paraId="081C90B7" w14:textId="433E35C9" w:rsidR="00FA57A3" w:rsidRPr="00FB1AB7" w:rsidRDefault="00AC52E7" w:rsidP="00B471E8">
      <w:pPr>
        <w:jc w:val="both"/>
        <w:rPr>
          <w:rFonts w:ascii="Arial" w:hAnsi="Arial" w:cs="Arial"/>
          <w:color w:val="000000"/>
          <w:lang w:eastAsia="fr-FR"/>
        </w:rPr>
      </w:pPr>
      <w:r>
        <w:rPr>
          <w:noProof/>
        </w:rPr>
        <w:lastRenderedPageBreak/>
        <w:pict w14:anchorId="3649B6E2">
          <v:oval id="Ellipse 1" o:spid="_x0000_s1026" style="position:absolute;left:0;text-align:left;margin-left:140.9pt;margin-top:63.4pt;width:64.55pt;height: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" filled="f" strokecolor="#c00000" strokeweight="3pt">
            <v:stroke dashstyle="1 1"/>
          </v:oval>
        </w:pict>
      </w:r>
      <w:r w:rsidR="00FA57A3" w:rsidRPr="00FA57A3">
        <w:rPr>
          <w:rFonts w:ascii="Arial" w:hAnsi="Arial" w:cs="Arial"/>
          <w:color w:val="000000"/>
          <w:lang w:eastAsia="fr-FR"/>
        </w:rPr>
        <w:t xml:space="preserve">  </w:t>
      </w:r>
      <w:r w:rsidR="00FA57A3">
        <w:rPr>
          <w:rFonts w:ascii="Times New Roman" w:hAnsi="Times New Roman"/>
          <w:noProof/>
          <w:sz w:val="28"/>
          <w:szCs w:val="28"/>
        </w:rPr>
        <w:drawing>
          <wp:inline distT="0" distB="0" distL="0" distR="0" wp14:anchorId="7EEF545D" wp14:editId="3E84799C">
            <wp:extent cx="3381136" cy="2520176"/>
            <wp:effectExtent l="0" t="0" r="0" b="0"/>
            <wp:docPr id="1917794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94738" name="Image 1917794738"/>
                    <pic:cNvPicPr/>
                  </pic:nvPicPr>
                  <pic:blipFill rotWithShape="1">
                    <a:blip r:embed="rId16">
                      <a:extLst>
                        <a:ext uri="{28A0092B-C50C-407E-A947-70E740481C1C}">
                          <a14:useLocalDpi xmlns:a14="http://schemas.microsoft.com/office/drawing/2010/main" val="0"/>
                        </a:ext>
                      </a:extLst>
                    </a:blip>
                    <a:srcRect l="13702" t="36221" r="9203" b="37292"/>
                    <a:stretch/>
                  </pic:blipFill>
                  <pic:spPr bwMode="auto">
                    <a:xfrm>
                      <a:off x="0" y="0"/>
                      <a:ext cx="3468670" cy="2585421"/>
                    </a:xfrm>
                    <a:prstGeom prst="rect">
                      <a:avLst/>
                    </a:prstGeom>
                    <a:ln>
                      <a:noFill/>
                    </a:ln>
                    <a:extLst>
                      <a:ext uri="{53640926-AAD7-44D8-BBD7-CCE9431645EC}">
                        <a14:shadowObscured xmlns:a14="http://schemas.microsoft.com/office/drawing/2010/main"/>
                      </a:ext>
                    </a:extLst>
                  </pic:spPr>
                </pic:pic>
              </a:graphicData>
            </a:graphic>
          </wp:inline>
        </w:drawing>
      </w:r>
    </w:p>
    <w:p w14:paraId="4AE865EA" w14:textId="77777777" w:rsidR="00FA57A3" w:rsidRPr="00C85D3A" w:rsidRDefault="00FA57A3" w:rsidP="00B471E8">
      <w:pPr>
        <w:jc w:val="both"/>
        <w:rPr>
          <w:rFonts w:ascii="Arial" w:hAnsi="Arial" w:cs="Arial"/>
          <w:b/>
          <w:bCs/>
          <w:szCs w:val="22"/>
        </w:rPr>
      </w:pPr>
      <w:r w:rsidRPr="00C85D3A">
        <w:rPr>
          <w:rFonts w:ascii="Arial" w:hAnsi="Arial" w:cs="Arial"/>
          <w:b/>
          <w:bCs/>
          <w:szCs w:val="22"/>
        </w:rPr>
        <w:t>Fig. 3. endoscopic ultrasound (EUS) showing pancreatic lesions</w:t>
      </w:r>
    </w:p>
    <w:p w14:paraId="509AAD01" w14:textId="77777777" w:rsidR="00FA57A3" w:rsidRPr="00C85D3A" w:rsidRDefault="00FA57A3" w:rsidP="00B471E8">
      <w:pPr>
        <w:jc w:val="both"/>
        <w:rPr>
          <w:rFonts w:ascii="Arial" w:hAnsi="Arial" w:cs="Arial"/>
          <w:b/>
          <w:bCs/>
          <w:szCs w:val="22"/>
        </w:rPr>
      </w:pPr>
    </w:p>
    <w:p w14:paraId="58EBE7E3" w14:textId="77777777" w:rsidR="00FA57A3" w:rsidRPr="00FA57A3" w:rsidRDefault="00FA57A3" w:rsidP="00B471E8">
      <w:pPr>
        <w:jc w:val="both"/>
        <w:rPr>
          <w:rFonts w:ascii="Arial" w:hAnsi="Arial" w:cs="Arial"/>
          <w:color w:val="000000"/>
          <w:lang w:eastAsia="fr-FR"/>
        </w:rPr>
      </w:pPr>
      <w:r w:rsidRPr="00FA57A3">
        <w:rPr>
          <w:rFonts w:ascii="Arial" w:hAnsi="Arial" w:cs="Arial"/>
          <w:color w:val="000000"/>
          <w:lang w:eastAsia="fr-FR"/>
        </w:rPr>
        <w:t xml:space="preserve">Histopathological examination revealed a proliferation of large atypical lymphoid cells. Immunohistochemistry demonstrated diffuse expression of CD20 and BCL6, with negative staining for CD10, BCL2, and </w:t>
      </w:r>
      <w:proofErr w:type="spellStart"/>
      <w:r w:rsidRPr="00FA57A3">
        <w:rPr>
          <w:rFonts w:ascii="Arial" w:hAnsi="Arial" w:cs="Arial"/>
          <w:color w:val="000000"/>
          <w:lang w:eastAsia="fr-FR"/>
        </w:rPr>
        <w:t>TdT</w:t>
      </w:r>
      <w:proofErr w:type="spellEnd"/>
      <w:r w:rsidRPr="00FA57A3">
        <w:rPr>
          <w:rFonts w:ascii="Arial" w:hAnsi="Arial" w:cs="Arial"/>
          <w:color w:val="000000"/>
          <w:lang w:eastAsia="fr-FR"/>
        </w:rPr>
        <w:t xml:space="preserve">. The Ki-67 proliferation index exceeded 95%, and CD3 highlighted scattered reactive T lymphocytes. </w:t>
      </w:r>
    </w:p>
    <w:p w14:paraId="6D2BD836" w14:textId="77777777" w:rsidR="00FA57A3" w:rsidRPr="00FA57A3" w:rsidRDefault="00FA57A3" w:rsidP="00B471E8">
      <w:pPr>
        <w:jc w:val="both"/>
        <w:rPr>
          <w:rFonts w:ascii="Arial" w:hAnsi="Arial" w:cs="Arial"/>
          <w:color w:val="000000"/>
          <w:lang w:eastAsia="fr-FR"/>
        </w:rPr>
      </w:pPr>
    </w:p>
    <w:p w14:paraId="46128D46" w14:textId="77777777" w:rsidR="00FA57A3" w:rsidRDefault="00FA57A3" w:rsidP="00B471E8">
      <w:pPr>
        <w:jc w:val="both"/>
        <w:rPr>
          <w:rFonts w:ascii="Arial" w:hAnsi="Arial" w:cs="Arial"/>
          <w:color w:val="000000"/>
          <w:lang w:eastAsia="fr-FR"/>
        </w:rPr>
      </w:pPr>
      <w:r w:rsidRPr="00FA57A3">
        <w:rPr>
          <w:rFonts w:ascii="Arial" w:hAnsi="Arial" w:cs="Arial"/>
          <w:color w:val="000000"/>
          <w:lang w:eastAsia="fr-FR"/>
        </w:rPr>
        <w:t>The patient received three courses of LMB 02 Protocol and showed a marked improvement of symptoms.</w:t>
      </w:r>
    </w:p>
    <w:p w14:paraId="50C2816F" w14:textId="77777777" w:rsidR="00FA57A3" w:rsidRDefault="00FA57A3" w:rsidP="00B471E8">
      <w:pPr>
        <w:pStyle w:val="Head1"/>
        <w:spacing w:after="0"/>
        <w:jc w:val="both"/>
        <w:rPr>
          <w:rFonts w:ascii="Arial" w:hAnsi="Arial" w:cs="Arial"/>
        </w:rPr>
      </w:pPr>
    </w:p>
    <w:p w14:paraId="50EC5258" w14:textId="77777777" w:rsidR="00FA57A3" w:rsidRDefault="00FA57A3" w:rsidP="00B471E8">
      <w:pPr>
        <w:pStyle w:val="Head1"/>
        <w:spacing w:after="0"/>
        <w:jc w:val="both"/>
        <w:rPr>
          <w:rFonts w:ascii="Arial" w:hAnsi="Arial" w:cs="Arial"/>
        </w:rPr>
      </w:pPr>
    </w:p>
    <w:p w14:paraId="151FDDB4" w14:textId="77777777" w:rsidR="00902823" w:rsidRDefault="00000F8F" w:rsidP="00B471E8">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288ECCE" w14:textId="77777777" w:rsidR="00E053D0" w:rsidRPr="00E053D0" w:rsidRDefault="00E053D0" w:rsidP="00B471E8">
      <w:pPr>
        <w:jc w:val="both"/>
        <w:rPr>
          <w:rFonts w:ascii="Arial" w:hAnsi="Arial" w:cs="Arial"/>
          <w:lang w:val="en-GB" w:eastAsia="en-GB"/>
        </w:rPr>
      </w:pPr>
    </w:p>
    <w:p w14:paraId="59F146F8" w14:textId="77777777" w:rsidR="00C85D3A" w:rsidRPr="00C85D3A" w:rsidRDefault="00C85D3A" w:rsidP="00B471E8">
      <w:pPr>
        <w:pStyle w:val="Body"/>
        <w:rPr>
          <w:rFonts w:ascii="Arial" w:hAnsi="Arial" w:cs="Arial"/>
        </w:rPr>
      </w:pPr>
      <w:r w:rsidRPr="00C85D3A">
        <w:rPr>
          <w:rFonts w:ascii="Arial" w:hAnsi="Arial" w:cs="Arial"/>
        </w:rPr>
        <w:t>The most frequent form of non-Hodgkin lymphoma is Diffuse large B-cell lymphoma (DLBCL)</w:t>
      </w:r>
      <w:r w:rsidR="00544EBB">
        <w:rPr>
          <w:rFonts w:ascii="Arial" w:hAnsi="Arial" w:cs="Arial"/>
        </w:rPr>
        <w:t xml:space="preserve"> (Martelli et al , 2013)</w:t>
      </w:r>
      <w:r w:rsidRPr="00C85D3A">
        <w:rPr>
          <w:rFonts w:ascii="Arial" w:hAnsi="Arial" w:cs="Arial"/>
        </w:rPr>
        <w:t>,it mainly affects older adults, but it can also occur in adolescents and young adults, though this is less common</w:t>
      </w:r>
      <w:r w:rsidR="001032DA">
        <w:rPr>
          <w:rFonts w:ascii="Arial" w:hAnsi="Arial" w:cs="Arial"/>
        </w:rPr>
        <w:t xml:space="preserve"> </w:t>
      </w:r>
      <w:r w:rsidR="00544EBB">
        <w:rPr>
          <w:rFonts w:ascii="Arial" w:hAnsi="Arial" w:cs="Arial"/>
        </w:rPr>
        <w:t>(national cancer institute , 2022)</w:t>
      </w:r>
      <w:r w:rsidRPr="00C85D3A">
        <w:rPr>
          <w:rFonts w:ascii="Arial" w:hAnsi="Arial" w:cs="Arial"/>
        </w:rPr>
        <w:t>.</w:t>
      </w:r>
    </w:p>
    <w:p w14:paraId="183C716A" w14:textId="77777777" w:rsidR="00C85D3A" w:rsidRPr="00C85D3A" w:rsidRDefault="00C85D3A" w:rsidP="00B471E8">
      <w:pPr>
        <w:pStyle w:val="Body"/>
        <w:rPr>
          <w:rFonts w:ascii="Arial" w:hAnsi="Arial" w:cs="Arial"/>
        </w:rPr>
      </w:pPr>
      <w:r w:rsidRPr="00C85D3A">
        <w:rPr>
          <w:rFonts w:ascii="Arial" w:hAnsi="Arial" w:cs="Arial"/>
        </w:rPr>
        <w:t xml:space="preserve">Pancreatic lymphoma is rare and accounting for less than 1% of all pancreatic tumors and less than 2% of </w:t>
      </w:r>
      <w:proofErr w:type="spellStart"/>
      <w:r w:rsidRPr="00C85D3A">
        <w:rPr>
          <w:rFonts w:ascii="Arial" w:hAnsi="Arial" w:cs="Arial"/>
        </w:rPr>
        <w:t>extranodal</w:t>
      </w:r>
      <w:proofErr w:type="spellEnd"/>
      <w:r w:rsidRPr="00C85D3A">
        <w:rPr>
          <w:rFonts w:ascii="Arial" w:hAnsi="Arial" w:cs="Arial"/>
        </w:rPr>
        <w:t xml:space="preserve"> sites in cases of primary </w:t>
      </w:r>
      <w:r w:rsidR="001032DA" w:rsidRPr="00C85D3A">
        <w:rPr>
          <w:rFonts w:ascii="Arial" w:hAnsi="Arial" w:cs="Arial"/>
        </w:rPr>
        <w:t>lymphoma,</w:t>
      </w:r>
      <w:r w:rsidR="001032DA">
        <w:rPr>
          <w:rFonts w:ascii="Arial" w:hAnsi="Arial" w:cs="Arial"/>
        </w:rPr>
        <w:t xml:space="preserve"> however </w:t>
      </w:r>
      <w:r w:rsidRPr="00C85D3A">
        <w:rPr>
          <w:rFonts w:ascii="Arial" w:hAnsi="Arial" w:cs="Arial"/>
        </w:rPr>
        <w:t>secondary involvement of the pancreas may be seen in as many as 30% of patients with systemic lymphoproliferative disorders, although in this context, a predominant involvement of the pancreas is rare</w:t>
      </w:r>
      <w:r w:rsidR="00931D07">
        <w:rPr>
          <w:rFonts w:ascii="Arial" w:hAnsi="Arial" w:cs="Arial"/>
        </w:rPr>
        <w:t xml:space="preserve"> </w:t>
      </w:r>
      <w:bookmarkStart w:id="0" w:name="_Hlk201090714"/>
      <w:proofErr w:type="gramStart"/>
      <w:r w:rsidR="00931D07">
        <w:rPr>
          <w:rFonts w:ascii="Arial" w:hAnsi="Arial" w:cs="Arial"/>
        </w:rPr>
        <w:t xml:space="preserve">( </w:t>
      </w:r>
      <w:r w:rsidR="00931D07" w:rsidRPr="003C2285">
        <w:rPr>
          <w:rFonts w:ascii="Arial" w:hAnsi="Arial" w:cs="Arial"/>
        </w:rPr>
        <w:t>Fujinaga</w:t>
      </w:r>
      <w:proofErr w:type="gramEnd"/>
      <w:r w:rsidR="00931D07" w:rsidRPr="003C2285">
        <w:rPr>
          <w:rFonts w:ascii="Arial" w:hAnsi="Arial" w:cs="Arial"/>
        </w:rPr>
        <w:t xml:space="preserve">, et al , </w:t>
      </w:r>
      <w:r w:rsidR="003C2285" w:rsidRPr="003C2285">
        <w:rPr>
          <w:rFonts w:ascii="Arial" w:hAnsi="Arial" w:cs="Arial"/>
        </w:rPr>
        <w:t>2013)</w:t>
      </w:r>
      <w:r w:rsidRPr="00C85D3A">
        <w:rPr>
          <w:rFonts w:ascii="Arial" w:hAnsi="Arial" w:cs="Arial"/>
        </w:rPr>
        <w:t>.</w:t>
      </w:r>
      <w:bookmarkEnd w:id="0"/>
    </w:p>
    <w:p w14:paraId="61D7A767" w14:textId="77777777" w:rsidR="00C85D3A" w:rsidRPr="00C85D3A" w:rsidRDefault="00C85D3A" w:rsidP="00B471E8">
      <w:pPr>
        <w:pStyle w:val="Body"/>
        <w:rPr>
          <w:rFonts w:ascii="Arial" w:hAnsi="Arial" w:cs="Arial"/>
        </w:rPr>
      </w:pPr>
      <w:r w:rsidRPr="00C85D3A">
        <w:rPr>
          <w:rFonts w:ascii="Arial" w:hAnsi="Arial" w:cs="Arial"/>
        </w:rPr>
        <w:t>The secondary pancreatic involvement by lymphoma, though rare, should be given serious consideration in the differential diagnosis of pancreatic masses, particularly in patients with established or suspected systemic lymphoma. The current gold standard diagnostic approach requires an imaging and a histopathological confirmation, usually involving an endoscopic ultrasound-guided fine-needle aspiration (EUS-FNA)</w:t>
      </w:r>
      <w:r w:rsidR="003C2285">
        <w:rPr>
          <w:rFonts w:ascii="Arial" w:hAnsi="Arial" w:cs="Arial"/>
        </w:rPr>
        <w:t xml:space="preserve"> (Friedman et al,2009).</w:t>
      </w:r>
    </w:p>
    <w:p w14:paraId="293E0797" w14:textId="4C4144FF" w:rsidR="00C85D3A" w:rsidRPr="00C85D3A" w:rsidRDefault="00C85D3A" w:rsidP="00B471E8">
      <w:pPr>
        <w:pStyle w:val="Body"/>
        <w:rPr>
          <w:rFonts w:ascii="Arial" w:hAnsi="Arial" w:cs="Arial"/>
        </w:rPr>
      </w:pPr>
      <w:r w:rsidRPr="00C85D3A">
        <w:rPr>
          <w:rFonts w:ascii="Arial" w:hAnsi="Arial" w:cs="Arial"/>
        </w:rPr>
        <w:t xml:space="preserve">EUS is thus an extremely valuable modality given its high-resolution imaging capability to optimally target pancreatic lesions and peri-pancreatic lymphadenopathy. When considering lymphoma in a secondary involvement context, it is often imperative to differentiate lymphomatous infiltration from other pancreatic </w:t>
      </w:r>
      <w:r w:rsidR="0070585E" w:rsidRPr="00BB5ABC">
        <w:rPr>
          <w:rFonts w:ascii="Arial" w:hAnsi="Arial" w:cs="Arial"/>
          <w:highlight w:val="yellow"/>
        </w:rPr>
        <w:t>pathologies</w:t>
      </w:r>
      <w:r w:rsidR="0070585E" w:rsidRPr="00C85D3A">
        <w:rPr>
          <w:rFonts w:ascii="Arial" w:hAnsi="Arial" w:cs="Arial"/>
        </w:rPr>
        <w:t xml:space="preserve"> </w:t>
      </w:r>
      <w:r w:rsidRPr="00C85D3A">
        <w:rPr>
          <w:rFonts w:ascii="Arial" w:hAnsi="Arial" w:cs="Arial"/>
        </w:rPr>
        <w:t xml:space="preserve">like pancreatic </w:t>
      </w:r>
      <w:r w:rsidRPr="00BB5ABC">
        <w:rPr>
          <w:rFonts w:ascii="Arial" w:hAnsi="Arial" w:cs="Arial"/>
          <w:highlight w:val="yellow"/>
        </w:rPr>
        <w:t>cancer</w:t>
      </w:r>
      <w:r w:rsidR="0070585E" w:rsidRPr="00BB5ABC">
        <w:rPr>
          <w:rFonts w:ascii="Arial" w:hAnsi="Arial" w:cs="Arial"/>
          <w:highlight w:val="yellow"/>
        </w:rPr>
        <w:t>,</w:t>
      </w:r>
      <w:r w:rsidRPr="00BB5ABC">
        <w:rPr>
          <w:rFonts w:ascii="Arial" w:hAnsi="Arial" w:cs="Arial"/>
          <w:highlight w:val="yellow"/>
        </w:rPr>
        <w:t xml:space="preserve"> given the</w:t>
      </w:r>
      <w:r w:rsidRPr="00C85D3A">
        <w:rPr>
          <w:rFonts w:ascii="Arial" w:hAnsi="Arial" w:cs="Arial"/>
        </w:rPr>
        <w:t xml:space="preserve"> dramatically different management strategies</w:t>
      </w:r>
      <w:r w:rsidR="001032DA">
        <w:rPr>
          <w:rFonts w:ascii="Arial" w:hAnsi="Arial" w:cs="Arial"/>
        </w:rPr>
        <w:t xml:space="preserve"> </w:t>
      </w:r>
      <w:r w:rsidR="003C2285">
        <w:rPr>
          <w:rFonts w:ascii="Arial" w:hAnsi="Arial" w:cs="Arial"/>
        </w:rPr>
        <w:t xml:space="preserve">(Johnsson et al,2014) (Sadaf et </w:t>
      </w:r>
      <w:proofErr w:type="gramStart"/>
      <w:r w:rsidR="003C2285">
        <w:rPr>
          <w:rFonts w:ascii="Arial" w:hAnsi="Arial" w:cs="Arial"/>
        </w:rPr>
        <w:t>al ,</w:t>
      </w:r>
      <w:proofErr w:type="gramEnd"/>
      <w:r w:rsidR="003C2285">
        <w:rPr>
          <w:rFonts w:ascii="Arial" w:hAnsi="Arial" w:cs="Arial"/>
        </w:rPr>
        <w:t xml:space="preserve"> 2017)</w:t>
      </w:r>
      <w:r w:rsidR="003C2285" w:rsidRPr="00C85D3A">
        <w:rPr>
          <w:rFonts w:ascii="Arial" w:hAnsi="Arial" w:cs="Arial"/>
        </w:rPr>
        <w:t xml:space="preserve"> </w:t>
      </w:r>
      <w:r w:rsidRPr="00C85D3A">
        <w:rPr>
          <w:rFonts w:ascii="Arial" w:hAnsi="Arial" w:cs="Arial"/>
        </w:rPr>
        <w:t>.</w:t>
      </w:r>
    </w:p>
    <w:p w14:paraId="4BB5F848" w14:textId="5E9AA12C" w:rsidR="00C85D3A" w:rsidRPr="00C85D3A" w:rsidRDefault="00C85D3A" w:rsidP="00B471E8">
      <w:pPr>
        <w:pStyle w:val="Body"/>
        <w:rPr>
          <w:rFonts w:ascii="Arial" w:hAnsi="Arial" w:cs="Arial"/>
        </w:rPr>
      </w:pPr>
      <w:r w:rsidRPr="00C85D3A">
        <w:rPr>
          <w:rFonts w:ascii="Arial" w:hAnsi="Arial" w:cs="Arial"/>
        </w:rPr>
        <w:t xml:space="preserve">A pertinent case that supports this approach involved a 34-year-old woman who presented with obstructive jaundice and right upper quadrant pain. Initial imaging did not show a mass on the pancreas, but as her symptoms worsened, further imaging and EUS revealed a lesion at the head of the pancreas. A biopsy of the duodenum, as well as FNA, confirmed the diagnosis of DLBCL affecting both the pancreas and the duodenum. Additional findings revealed a right adrenal tumor and a left lower lobe lung lesion, indicating disseminated disease </w:t>
      </w:r>
      <w:r w:rsidR="003C2285">
        <w:rPr>
          <w:rFonts w:ascii="Arial" w:hAnsi="Arial" w:cs="Arial"/>
        </w:rPr>
        <w:t>(Friedman et al,2009).</w:t>
      </w:r>
    </w:p>
    <w:p w14:paraId="1F02C67D" w14:textId="77777777" w:rsidR="00C85D3A" w:rsidRPr="00C85D3A" w:rsidRDefault="00C85D3A" w:rsidP="00B471E8">
      <w:pPr>
        <w:pStyle w:val="Body"/>
        <w:rPr>
          <w:rFonts w:ascii="Arial" w:hAnsi="Arial" w:cs="Arial"/>
        </w:rPr>
      </w:pPr>
      <w:r w:rsidRPr="00C85D3A">
        <w:rPr>
          <w:rFonts w:ascii="Arial" w:hAnsi="Arial" w:cs="Arial"/>
        </w:rPr>
        <w:t>This case reinforces the diagnostic value of EUS-FNA and the need for high clinical suspicion, especially in atypical or unclear presentations.</w:t>
      </w:r>
    </w:p>
    <w:p w14:paraId="48856534" w14:textId="6D25EED2" w:rsidR="00C85D3A" w:rsidRPr="00C85D3A" w:rsidRDefault="00C85D3A" w:rsidP="00B471E8">
      <w:pPr>
        <w:pStyle w:val="Body"/>
        <w:rPr>
          <w:rFonts w:ascii="Arial" w:hAnsi="Arial" w:cs="Arial"/>
        </w:rPr>
      </w:pPr>
      <w:r w:rsidRPr="00C85D3A">
        <w:rPr>
          <w:rFonts w:ascii="Arial" w:hAnsi="Arial" w:cs="Arial"/>
        </w:rPr>
        <w:t xml:space="preserve">And </w:t>
      </w:r>
      <w:r w:rsidR="001032DA" w:rsidRPr="00C85D3A">
        <w:rPr>
          <w:rFonts w:ascii="Arial" w:hAnsi="Arial" w:cs="Arial"/>
        </w:rPr>
        <w:t>another</w:t>
      </w:r>
      <w:r w:rsidRPr="00C85D3A">
        <w:rPr>
          <w:rFonts w:ascii="Arial" w:hAnsi="Arial" w:cs="Arial"/>
        </w:rPr>
        <w:t xml:space="preserve"> case</w:t>
      </w:r>
      <w:r>
        <w:rPr>
          <w:rFonts w:ascii="Arial" w:hAnsi="Arial" w:cs="Arial"/>
        </w:rPr>
        <w:t xml:space="preserve"> </w:t>
      </w:r>
      <w:r w:rsidRPr="00C85D3A">
        <w:rPr>
          <w:rFonts w:ascii="Arial" w:hAnsi="Arial" w:cs="Arial"/>
        </w:rPr>
        <w:t>(</w:t>
      </w:r>
      <w:r w:rsidR="003C2285" w:rsidRPr="00912B8A">
        <w:rPr>
          <w:rFonts w:ascii="Calibri" w:hAnsiTheme="minorHAnsi" w:cs="Calibri"/>
          <w:sz w:val="24"/>
        </w:rPr>
        <w:t>Krawczyk</w:t>
      </w:r>
      <w:r w:rsidR="003C2285" w:rsidRPr="00C85D3A">
        <w:rPr>
          <w:rFonts w:ascii="Arial" w:hAnsi="Arial" w:cs="Arial"/>
        </w:rPr>
        <w:t xml:space="preserve"> </w:t>
      </w:r>
      <w:r w:rsidR="003C2285">
        <w:rPr>
          <w:rFonts w:ascii="Arial" w:hAnsi="Arial" w:cs="Arial"/>
        </w:rPr>
        <w:t>et al ,2024</w:t>
      </w:r>
      <w:r w:rsidR="001032DA" w:rsidRPr="00BB5ABC">
        <w:rPr>
          <w:rFonts w:ascii="Arial" w:hAnsi="Arial" w:cs="Arial"/>
          <w:highlight w:val="yellow"/>
        </w:rPr>
        <w:t>) that</w:t>
      </w:r>
      <w:r w:rsidRPr="00BB5ABC">
        <w:rPr>
          <w:rFonts w:ascii="Arial" w:hAnsi="Arial" w:cs="Arial"/>
          <w:highlight w:val="yellow"/>
        </w:rPr>
        <w:t xml:space="preserve"> reinforce</w:t>
      </w:r>
      <w:r w:rsidR="0070585E" w:rsidRPr="00BB5ABC">
        <w:rPr>
          <w:rFonts w:ascii="Arial" w:hAnsi="Arial" w:cs="Arial"/>
          <w:highlight w:val="yellow"/>
        </w:rPr>
        <w:t>s</w:t>
      </w:r>
      <w:r w:rsidRPr="00BB5ABC">
        <w:rPr>
          <w:rFonts w:ascii="Arial" w:hAnsi="Arial" w:cs="Arial"/>
          <w:highlight w:val="yellow"/>
        </w:rPr>
        <w:t xml:space="preserve"> our presentation</w:t>
      </w:r>
      <w:r w:rsidRPr="00C85D3A">
        <w:rPr>
          <w:rFonts w:ascii="Arial" w:hAnsi="Arial" w:cs="Arial"/>
        </w:rPr>
        <w:t xml:space="preserve"> described a 16-year-old girl with no medical history admitted with acute pancreatitis (epigastric pain and significantly elevated lipase level (2,524 U/L)</w:t>
      </w:r>
      <w:r w:rsidR="00880C6C">
        <w:rPr>
          <w:rFonts w:ascii="Arial" w:hAnsi="Arial" w:cs="Arial"/>
        </w:rPr>
        <w:t>)</w:t>
      </w:r>
      <w:r w:rsidRPr="00C85D3A">
        <w:rPr>
          <w:rFonts w:ascii="Arial" w:hAnsi="Arial" w:cs="Arial"/>
        </w:rPr>
        <w:t xml:space="preserve">. The imaging revealed a pancreatic head mass, splenic lesion, and a large necrotic mediastinal mass. A biopsy of the mediastinal mass </w:t>
      </w:r>
      <w:r w:rsidRPr="00C85D3A">
        <w:rPr>
          <w:rFonts w:ascii="Arial" w:hAnsi="Arial" w:cs="Arial"/>
        </w:rPr>
        <w:lastRenderedPageBreak/>
        <w:t xml:space="preserve">confirmed primary mediastinal B-cell lymphoma (PMBCL) with rare </w:t>
      </w:r>
      <w:r w:rsidR="0070585E" w:rsidRPr="00BB5ABC">
        <w:rPr>
          <w:rFonts w:ascii="Arial" w:hAnsi="Arial" w:cs="Arial"/>
          <w:highlight w:val="yellow"/>
        </w:rPr>
        <w:t>extra-</w:t>
      </w:r>
      <w:r w:rsidR="00880C6C" w:rsidRPr="00BB5ABC">
        <w:rPr>
          <w:rFonts w:ascii="Arial" w:hAnsi="Arial" w:cs="Arial"/>
          <w:highlight w:val="yellow"/>
        </w:rPr>
        <w:t>thoracic</w:t>
      </w:r>
      <w:r w:rsidRPr="00BB5ABC">
        <w:rPr>
          <w:rFonts w:ascii="Arial" w:hAnsi="Arial" w:cs="Arial"/>
          <w:highlight w:val="yellow"/>
        </w:rPr>
        <w:t xml:space="preserve"> spread</w:t>
      </w:r>
      <w:r w:rsidRPr="00C85D3A">
        <w:rPr>
          <w:rFonts w:ascii="Arial" w:hAnsi="Arial" w:cs="Arial"/>
        </w:rPr>
        <w:t xml:space="preserve"> to the pancreas and spleen. This case too highlights the rare but possible metastatic spread of PMBCL beyond the thoracic cavity, underlining the value of taking lymphoma into account when making a differential diagnosis for pancreatic masses in pediatric patients.</w:t>
      </w:r>
    </w:p>
    <w:p w14:paraId="408853C8" w14:textId="252A0227" w:rsidR="00E053D0" w:rsidRDefault="00C85D3A" w:rsidP="00B471E8">
      <w:pPr>
        <w:pStyle w:val="Body"/>
        <w:spacing w:after="0"/>
        <w:rPr>
          <w:rFonts w:ascii="Arial" w:hAnsi="Arial" w:cs="Arial"/>
        </w:rPr>
      </w:pPr>
      <w:r w:rsidRPr="00C85D3A">
        <w:rPr>
          <w:rFonts w:ascii="Arial" w:hAnsi="Arial" w:cs="Arial"/>
        </w:rPr>
        <w:t xml:space="preserve">Our case is unique not only because of the rare young age of the </w:t>
      </w:r>
      <w:r w:rsidRPr="00BB5ABC">
        <w:rPr>
          <w:rFonts w:ascii="Arial" w:hAnsi="Arial" w:cs="Arial"/>
          <w:highlight w:val="yellow"/>
        </w:rPr>
        <w:t xml:space="preserve">patient, but </w:t>
      </w:r>
      <w:r w:rsidR="0070585E" w:rsidRPr="00BB5ABC">
        <w:rPr>
          <w:rFonts w:ascii="Arial" w:hAnsi="Arial" w:cs="Arial"/>
          <w:highlight w:val="yellow"/>
        </w:rPr>
        <w:t xml:space="preserve">also </w:t>
      </w:r>
      <w:r w:rsidRPr="00BB5ABC">
        <w:rPr>
          <w:rFonts w:ascii="Arial" w:hAnsi="Arial" w:cs="Arial"/>
          <w:highlight w:val="yellow"/>
        </w:rPr>
        <w:t>in the significant</w:t>
      </w:r>
      <w:r w:rsidRPr="00C85D3A">
        <w:rPr>
          <w:rFonts w:ascii="Arial" w:hAnsi="Arial" w:cs="Arial"/>
        </w:rPr>
        <w:t xml:space="preserve"> involvement of multiple organ systems</w:t>
      </w:r>
      <w:r w:rsidR="0070585E">
        <w:rPr>
          <w:rFonts w:ascii="Arial" w:hAnsi="Arial" w:cs="Arial"/>
        </w:rPr>
        <w:t>,</w:t>
      </w:r>
      <w:r w:rsidRPr="00C85D3A">
        <w:rPr>
          <w:rFonts w:ascii="Arial" w:hAnsi="Arial" w:cs="Arial"/>
        </w:rPr>
        <w:t xml:space="preserve"> </w:t>
      </w:r>
      <w:r w:rsidRPr="00BB5ABC">
        <w:rPr>
          <w:rFonts w:ascii="Arial" w:hAnsi="Arial" w:cs="Arial"/>
          <w:highlight w:val="yellow"/>
        </w:rPr>
        <w:t>including the pancreas</w:t>
      </w:r>
      <w:r w:rsidRPr="00C85D3A">
        <w:rPr>
          <w:rFonts w:ascii="Arial" w:hAnsi="Arial" w:cs="Arial"/>
        </w:rPr>
        <w:t>, mediastinum and spleen</w:t>
      </w:r>
      <w:r w:rsidR="0070585E">
        <w:rPr>
          <w:rFonts w:ascii="Arial" w:hAnsi="Arial" w:cs="Arial"/>
        </w:rPr>
        <w:t>,</w:t>
      </w:r>
      <w:r w:rsidRPr="00C85D3A">
        <w:rPr>
          <w:rFonts w:ascii="Arial" w:hAnsi="Arial" w:cs="Arial"/>
        </w:rPr>
        <w:t xml:space="preserve"> which is rare in such presentations of lymphoma. These atypical presentations underline the need for a careful diagnostic strategy, including modern imaging modalities like EUS.</w:t>
      </w:r>
    </w:p>
    <w:p w14:paraId="4902FBF8" w14:textId="77777777" w:rsidR="00376BBE" w:rsidRDefault="00376BBE" w:rsidP="00B471E8">
      <w:pPr>
        <w:pStyle w:val="Body"/>
        <w:spacing w:after="0"/>
        <w:rPr>
          <w:rFonts w:ascii="Arial" w:hAnsi="Arial" w:cs="Arial"/>
        </w:rPr>
      </w:pPr>
    </w:p>
    <w:p w14:paraId="12892A8B" w14:textId="77777777" w:rsidR="00790ADA" w:rsidRPr="00FB3A86" w:rsidRDefault="00790ADA" w:rsidP="00B471E8">
      <w:pPr>
        <w:pStyle w:val="Body"/>
        <w:spacing w:after="0"/>
        <w:rPr>
          <w:rFonts w:ascii="Arial" w:hAnsi="Arial" w:cs="Arial"/>
        </w:rPr>
      </w:pPr>
    </w:p>
    <w:p w14:paraId="3331DAFB" w14:textId="77777777" w:rsidR="00B01FCD" w:rsidRDefault="00000F8F" w:rsidP="00B471E8">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AAAA9C6" w14:textId="77777777" w:rsidR="00790ADA" w:rsidRPr="00FB3A86" w:rsidRDefault="00790ADA" w:rsidP="00B471E8">
      <w:pPr>
        <w:pStyle w:val="ConcHead"/>
        <w:spacing w:after="0"/>
        <w:jc w:val="both"/>
        <w:rPr>
          <w:rFonts w:ascii="Arial" w:hAnsi="Arial" w:cs="Arial"/>
        </w:rPr>
      </w:pPr>
    </w:p>
    <w:p w14:paraId="203FDB8F" w14:textId="57A14DF6" w:rsidR="00B01FCD" w:rsidRDefault="00C85D3A" w:rsidP="00B471E8">
      <w:pPr>
        <w:pStyle w:val="Body"/>
        <w:spacing w:after="0"/>
        <w:rPr>
          <w:rFonts w:ascii="Arial" w:hAnsi="Arial" w:cs="Arial"/>
        </w:rPr>
      </w:pPr>
      <w:r w:rsidRPr="00C85D3A">
        <w:rPr>
          <w:rFonts w:ascii="Arial" w:hAnsi="Arial" w:cs="Arial"/>
        </w:rPr>
        <w:t xml:space="preserve">This case displays a rare presentation of secondary pancreatic involvement by aggressive diffuse large B-cell lymphoma in a young patient. It points out the importance of considering lymphomatous disease in the differential diagnosis of pancreatic masses and </w:t>
      </w:r>
      <w:r w:rsidRPr="00BB5ABC">
        <w:rPr>
          <w:rFonts w:ascii="Arial" w:hAnsi="Arial" w:cs="Arial"/>
          <w:highlight w:val="yellow"/>
        </w:rPr>
        <w:t>bring</w:t>
      </w:r>
      <w:r w:rsidR="0070585E" w:rsidRPr="00BB5ABC">
        <w:rPr>
          <w:rFonts w:ascii="Arial" w:hAnsi="Arial" w:cs="Arial"/>
          <w:highlight w:val="yellow"/>
        </w:rPr>
        <w:t>s</w:t>
      </w:r>
      <w:r w:rsidRPr="00BB5ABC">
        <w:rPr>
          <w:rFonts w:ascii="Arial" w:hAnsi="Arial" w:cs="Arial"/>
          <w:highlight w:val="yellow"/>
        </w:rPr>
        <w:t xml:space="preserve"> out the diagnostic</w:t>
      </w:r>
      <w:r w:rsidRPr="00C85D3A">
        <w:rPr>
          <w:rFonts w:ascii="Arial" w:hAnsi="Arial" w:cs="Arial"/>
        </w:rPr>
        <w:t xml:space="preserve"> value of endoscopic ultrasound-guided biopsy in establishing a timely and accurate diagnosis.</w:t>
      </w:r>
    </w:p>
    <w:p w14:paraId="4CD6D37E" w14:textId="77777777" w:rsidR="00790ADA" w:rsidRPr="00FB3A86" w:rsidRDefault="00790ADA" w:rsidP="00B471E8">
      <w:pPr>
        <w:pStyle w:val="Body"/>
        <w:spacing w:after="0"/>
        <w:rPr>
          <w:rFonts w:ascii="Arial" w:hAnsi="Arial" w:cs="Arial"/>
        </w:rPr>
      </w:pPr>
    </w:p>
    <w:p w14:paraId="2301345B" w14:textId="77777777" w:rsidR="003849B9" w:rsidRDefault="003849B9" w:rsidP="003849B9">
      <w:pPr>
        <w:jc w:val="both"/>
      </w:pPr>
      <w:r>
        <w:t>Disclaimer (Artificial intelligence)</w:t>
      </w:r>
    </w:p>
    <w:p w14:paraId="004250CB" w14:textId="77777777" w:rsidR="003849B9" w:rsidRDefault="003849B9" w:rsidP="003849B9">
      <w:pPr>
        <w:jc w:val="both"/>
      </w:pPr>
      <w:r>
        <w:t xml:space="preserve">Option 1: </w:t>
      </w:r>
    </w:p>
    <w:p w14:paraId="0B222509" w14:textId="77777777" w:rsidR="003849B9" w:rsidRDefault="003849B9" w:rsidP="003849B9">
      <w:pPr>
        <w:jc w:val="both"/>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37F380F8" w14:textId="77777777" w:rsidR="003849B9" w:rsidRDefault="003849B9" w:rsidP="003849B9">
      <w:pPr>
        <w:jc w:val="both"/>
      </w:pPr>
      <w:r>
        <w:t xml:space="preserve">Option 2: </w:t>
      </w:r>
    </w:p>
    <w:p w14:paraId="13A782E1" w14:textId="77777777" w:rsidR="003849B9" w:rsidRDefault="003849B9" w:rsidP="003849B9">
      <w:pPr>
        <w:jc w:val="both"/>
      </w:pPr>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C549F4C" w14:textId="77777777" w:rsidR="003849B9" w:rsidRDefault="003849B9" w:rsidP="003849B9">
      <w:pPr>
        <w:jc w:val="both"/>
      </w:pPr>
      <w:r>
        <w:t>Details of the AI usage are given below:</w:t>
      </w:r>
    </w:p>
    <w:p w14:paraId="756FEADE" w14:textId="77777777" w:rsidR="003849B9" w:rsidRDefault="003849B9" w:rsidP="003849B9">
      <w:pPr>
        <w:jc w:val="both"/>
      </w:pPr>
      <w:r>
        <w:t>1.</w:t>
      </w:r>
    </w:p>
    <w:p w14:paraId="619232B1" w14:textId="77777777" w:rsidR="003849B9" w:rsidRDefault="003849B9" w:rsidP="003849B9">
      <w:pPr>
        <w:jc w:val="both"/>
      </w:pPr>
      <w:r>
        <w:t>2.</w:t>
      </w:r>
    </w:p>
    <w:p w14:paraId="687C5ABE" w14:textId="40AFADCE" w:rsidR="00315186" w:rsidRPr="00315186" w:rsidRDefault="003849B9" w:rsidP="003849B9">
      <w:pPr>
        <w:jc w:val="both"/>
      </w:pPr>
      <w:r>
        <w:t>3.</w:t>
      </w:r>
    </w:p>
    <w:p w14:paraId="05B2204A" w14:textId="77777777" w:rsidR="00315186" w:rsidRPr="00315186" w:rsidRDefault="00315186" w:rsidP="00B471E8">
      <w:pPr>
        <w:jc w:val="both"/>
      </w:pPr>
    </w:p>
    <w:p w14:paraId="7FBFD590" w14:textId="77777777" w:rsidR="002B685A" w:rsidRDefault="002B685A" w:rsidP="00B471E8">
      <w:pPr>
        <w:pStyle w:val="ReferHead"/>
        <w:spacing w:after="0"/>
        <w:jc w:val="both"/>
        <w:rPr>
          <w:rFonts w:ascii="Arial" w:hAnsi="Arial" w:cs="Arial"/>
          <w:b w:val="0"/>
          <w:caps w:val="0"/>
          <w:sz w:val="20"/>
        </w:rPr>
      </w:pPr>
    </w:p>
    <w:p w14:paraId="7D710253" w14:textId="566E7D76" w:rsidR="002B685A" w:rsidRDefault="002B685A" w:rsidP="00B471E8">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737324A8" w14:textId="77777777" w:rsidR="001A29D8" w:rsidRDefault="001A29D8" w:rsidP="00B471E8">
      <w:pPr>
        <w:pStyle w:val="ReferHead"/>
        <w:spacing w:after="0"/>
        <w:jc w:val="both"/>
        <w:rPr>
          <w:rFonts w:ascii="Arial" w:hAnsi="Arial" w:cs="Arial"/>
          <w:b w:val="0"/>
          <w:caps w:val="0"/>
          <w:sz w:val="20"/>
        </w:rPr>
      </w:pPr>
    </w:p>
    <w:p w14:paraId="25866D95" w14:textId="53390432" w:rsidR="005C784C" w:rsidRDefault="006A64D9" w:rsidP="00B471E8">
      <w:pPr>
        <w:pStyle w:val="ReferHead"/>
        <w:spacing w:after="0"/>
        <w:jc w:val="both"/>
        <w:rPr>
          <w:rFonts w:ascii="Arial" w:hAnsi="Arial" w:cs="Arial"/>
          <w:b w:val="0"/>
          <w:caps w:val="0"/>
          <w:sz w:val="20"/>
        </w:rPr>
      </w:pPr>
      <w:r w:rsidRPr="006A64D9">
        <w:rPr>
          <w:rFonts w:ascii="Arial" w:hAnsi="Arial" w:cs="Arial"/>
          <w:b w:val="0"/>
          <w:caps w:val="0"/>
          <w:sz w:val="20"/>
        </w:rPr>
        <w:t>As per international standards or university standards, patient(s) written consent has been collected and preserved by the author(s).</w:t>
      </w:r>
    </w:p>
    <w:p w14:paraId="4D62D1B2" w14:textId="77777777" w:rsidR="006A64D9" w:rsidRDefault="006A64D9" w:rsidP="00B471E8">
      <w:pPr>
        <w:pStyle w:val="ReferHead"/>
        <w:spacing w:after="0"/>
        <w:jc w:val="both"/>
        <w:rPr>
          <w:rFonts w:ascii="Arial" w:hAnsi="Arial" w:cs="Arial"/>
          <w:b w:val="0"/>
          <w:caps w:val="0"/>
          <w:sz w:val="20"/>
        </w:rPr>
      </w:pPr>
      <w:bookmarkStart w:id="1" w:name="_GoBack"/>
      <w:bookmarkEnd w:id="1"/>
    </w:p>
    <w:p w14:paraId="3126A1BB" w14:textId="480C6787" w:rsidR="005C784C" w:rsidRDefault="005C784C" w:rsidP="00B471E8">
      <w:pPr>
        <w:pStyle w:val="ReferHead"/>
        <w:spacing w:after="0"/>
        <w:jc w:val="both"/>
        <w:rPr>
          <w:rFonts w:ascii="Arial" w:hAnsi="Arial" w:cs="Arial"/>
          <w:bCs/>
        </w:rPr>
      </w:pPr>
      <w:r>
        <w:rPr>
          <w:rFonts w:ascii="Arial" w:hAnsi="Arial" w:cs="Arial"/>
          <w:bCs/>
        </w:rPr>
        <w:t xml:space="preserve">Ethical approval </w:t>
      </w:r>
    </w:p>
    <w:p w14:paraId="32174A0B" w14:textId="428E677E" w:rsidR="005C784C" w:rsidRDefault="008F6263" w:rsidP="00B471E8">
      <w:pPr>
        <w:pStyle w:val="ReferHead"/>
        <w:spacing w:after="0"/>
        <w:jc w:val="both"/>
        <w:rPr>
          <w:rFonts w:ascii="Arial" w:hAnsi="Arial" w:cs="Arial"/>
          <w:b w:val="0"/>
          <w:caps w:val="0"/>
          <w:sz w:val="20"/>
        </w:rPr>
      </w:pPr>
      <w:r w:rsidRPr="008F6263">
        <w:rPr>
          <w:rFonts w:ascii="Arial" w:hAnsi="Arial" w:cs="Arial"/>
          <w:b w:val="0"/>
          <w:caps w:val="0"/>
          <w:sz w:val="20"/>
        </w:rPr>
        <w:t>As   per   international   standards   or   university standards   written   ethical   approval has   been collected and preserved by the author(s).</w:t>
      </w:r>
    </w:p>
    <w:p w14:paraId="37D2A0CD" w14:textId="77777777" w:rsidR="002F4725" w:rsidRPr="008F6263" w:rsidRDefault="002F4725" w:rsidP="00B471E8">
      <w:pPr>
        <w:pStyle w:val="ReferHead"/>
        <w:spacing w:after="0"/>
        <w:jc w:val="both"/>
        <w:rPr>
          <w:rFonts w:ascii="Arial" w:hAnsi="Arial" w:cs="Arial"/>
          <w:b w:val="0"/>
          <w:caps w:val="0"/>
          <w:sz w:val="20"/>
        </w:rPr>
      </w:pPr>
    </w:p>
    <w:p w14:paraId="428049EF" w14:textId="77777777" w:rsidR="00860000" w:rsidRDefault="00860000" w:rsidP="00B471E8">
      <w:pPr>
        <w:pStyle w:val="ReferHead"/>
        <w:spacing w:after="0"/>
        <w:jc w:val="both"/>
        <w:rPr>
          <w:rFonts w:ascii="Arial" w:hAnsi="Arial" w:cs="Arial"/>
        </w:rPr>
      </w:pPr>
    </w:p>
    <w:p w14:paraId="4EA129AB" w14:textId="77777777" w:rsidR="00B01FCD" w:rsidRDefault="00B01FCD" w:rsidP="00B471E8">
      <w:pPr>
        <w:pStyle w:val="ReferHead"/>
        <w:spacing w:after="0"/>
        <w:jc w:val="both"/>
        <w:rPr>
          <w:rFonts w:ascii="Arial" w:hAnsi="Arial" w:cs="Arial"/>
        </w:rPr>
      </w:pPr>
      <w:r w:rsidRPr="00FB3A86">
        <w:rPr>
          <w:rFonts w:ascii="Arial" w:hAnsi="Arial" w:cs="Arial"/>
        </w:rPr>
        <w:t>References</w:t>
      </w:r>
    </w:p>
    <w:p w14:paraId="17C868C7" w14:textId="77777777" w:rsidR="00284C4C" w:rsidRPr="00284C4C" w:rsidRDefault="00284C4C" w:rsidP="00B471E8">
      <w:pPr>
        <w:pStyle w:val="Body"/>
        <w:spacing w:after="0"/>
        <w:rPr>
          <w:rFonts w:ascii="Arial" w:hAnsi="Arial" w:cs="Arial"/>
          <w:i/>
          <w:u w:val="single"/>
        </w:rPr>
      </w:pPr>
    </w:p>
    <w:p w14:paraId="7E686418" w14:textId="77777777" w:rsidR="001C1449" w:rsidRPr="001C1449" w:rsidRDefault="001C1449" w:rsidP="00B471E8">
      <w:pPr>
        <w:pStyle w:val="Body"/>
        <w:rPr>
          <w:rFonts w:ascii="Arial" w:hAnsi="Arial" w:cs="Arial"/>
        </w:rPr>
      </w:pPr>
      <w:r w:rsidRPr="001C1449">
        <w:rPr>
          <w:rFonts w:ascii="Arial" w:hAnsi="Arial" w:cs="Arial"/>
        </w:rPr>
        <w:t xml:space="preserve">Fujinaga, Y., Lall, C., Patel, A. et al. MR features of primary and secondary malignant lymphoma of the pancreas: a pictorial review. Insights Imaging 4, 321–329 (2013). https://doi.org/10.1007/s13244-013-0242-z. </w:t>
      </w:r>
    </w:p>
    <w:p w14:paraId="05D4E9B4" w14:textId="77777777" w:rsidR="001C1449" w:rsidRPr="001C1449" w:rsidRDefault="001C1449" w:rsidP="00B471E8">
      <w:pPr>
        <w:pStyle w:val="Body"/>
        <w:rPr>
          <w:rFonts w:ascii="Arial" w:hAnsi="Arial" w:cs="Arial"/>
        </w:rPr>
      </w:pPr>
      <w:r w:rsidRPr="001C1449">
        <w:rPr>
          <w:rFonts w:ascii="Arial" w:hAnsi="Arial" w:cs="Arial"/>
        </w:rPr>
        <w:t xml:space="preserve">Saif MW, Khubchandani S, Walczak M. Secondary pancreatic involvement by a diffuse large B-cell lymphoma presenting as acute pancreatitis. World J Gastroenterol 2007; 13(36): 4909-4911. </w:t>
      </w:r>
    </w:p>
    <w:p w14:paraId="541650F7" w14:textId="77777777" w:rsidR="001C1449" w:rsidRPr="001C1449" w:rsidRDefault="001C1449" w:rsidP="00B471E8">
      <w:pPr>
        <w:pStyle w:val="Body"/>
        <w:rPr>
          <w:rFonts w:ascii="Arial" w:hAnsi="Arial" w:cs="Arial"/>
          <w:lang w:val="it-IT"/>
        </w:rPr>
      </w:pPr>
      <w:r w:rsidRPr="001C1449">
        <w:rPr>
          <w:rFonts w:ascii="Arial" w:hAnsi="Arial" w:cs="Arial"/>
        </w:rPr>
        <w:t xml:space="preserve">Behrns KE, Sarr MG, Strickler JG. Pancreatic lymphoma: is it a surgical disease? </w:t>
      </w:r>
      <w:r w:rsidRPr="001C1449">
        <w:rPr>
          <w:rFonts w:ascii="Arial" w:hAnsi="Arial" w:cs="Arial"/>
          <w:lang w:val="it-IT"/>
        </w:rPr>
        <w:t xml:space="preserve">Pancreas. 1994;9:662Y667. </w:t>
      </w:r>
    </w:p>
    <w:p w14:paraId="772D04DF" w14:textId="77777777" w:rsidR="001C1449" w:rsidRPr="001C1449" w:rsidRDefault="001C1449" w:rsidP="00B471E8">
      <w:pPr>
        <w:pStyle w:val="Body"/>
        <w:rPr>
          <w:rFonts w:ascii="Arial" w:hAnsi="Arial" w:cs="Arial"/>
        </w:rPr>
      </w:pPr>
      <w:r w:rsidRPr="001C1449">
        <w:rPr>
          <w:rFonts w:ascii="Arial" w:hAnsi="Arial" w:cs="Arial"/>
          <w:lang w:val="it-IT"/>
        </w:rPr>
        <w:t xml:space="preserve">Martelli M, Ferreri AJ, Agostinelli C, Di Rocco A, Pfreundschuh M, Pileri SA. </w:t>
      </w:r>
      <w:r w:rsidRPr="001C1449">
        <w:rPr>
          <w:rFonts w:ascii="Arial" w:hAnsi="Arial" w:cs="Arial"/>
        </w:rPr>
        <w:t xml:space="preserve">Diffuse large B-cell lymphoma. Crit Rev Oncol Hematol. 2013;87(2):146–71. </w:t>
      </w:r>
    </w:p>
    <w:p w14:paraId="1520C37E" w14:textId="77777777" w:rsidR="001C1449" w:rsidRPr="001C1449" w:rsidRDefault="001C1449" w:rsidP="00B471E8">
      <w:pPr>
        <w:pStyle w:val="Body"/>
        <w:rPr>
          <w:rFonts w:ascii="Arial" w:hAnsi="Arial" w:cs="Arial"/>
        </w:rPr>
      </w:pPr>
      <w:r w:rsidRPr="001C1449">
        <w:rPr>
          <w:rFonts w:ascii="Arial" w:hAnsi="Arial" w:cs="Arial"/>
        </w:rPr>
        <w:t xml:space="preserve">National Cancer Institute. Surveillance, Epidemiology, and End Results (SEER) Program. seer.cancer.gov. Released Apr 2020, based on the Nov 2019 submission (1975–2017). Accessed August 2022. </w:t>
      </w:r>
    </w:p>
    <w:p w14:paraId="24F88294" w14:textId="77777777" w:rsidR="001C1449" w:rsidRPr="001C1449" w:rsidRDefault="001C1449" w:rsidP="00B471E8">
      <w:pPr>
        <w:pStyle w:val="Body"/>
        <w:rPr>
          <w:rFonts w:ascii="Arial" w:hAnsi="Arial" w:cs="Arial"/>
        </w:rPr>
      </w:pPr>
      <w:r w:rsidRPr="001C1449">
        <w:rPr>
          <w:rFonts w:ascii="Arial" w:hAnsi="Arial" w:cs="Arial"/>
        </w:rPr>
        <w:t>Friedman M, Mohan I, Brodsky G, Sood V. Diffuse Large B-cell Lymphoma Presenting with Obstructive Jaundice from a Biliary Stricture. American Journal of Gastroenterology. 2009;104(Suppl</w:t>
      </w:r>
      <w:proofErr w:type="gramStart"/>
      <w:r w:rsidRPr="001C1449">
        <w:rPr>
          <w:rFonts w:ascii="Arial" w:hAnsi="Arial" w:cs="Arial"/>
        </w:rPr>
        <w:t>):S</w:t>
      </w:r>
      <w:proofErr w:type="gramEnd"/>
      <w:r w:rsidRPr="001C1449">
        <w:rPr>
          <w:rFonts w:ascii="Arial" w:hAnsi="Arial" w:cs="Arial"/>
        </w:rPr>
        <w:t xml:space="preserve">232. </w:t>
      </w:r>
    </w:p>
    <w:p w14:paraId="6CB63E61" w14:textId="77777777" w:rsidR="001C1449" w:rsidRPr="001C1449" w:rsidRDefault="001C1449" w:rsidP="00B471E8">
      <w:pPr>
        <w:pStyle w:val="Body"/>
        <w:rPr>
          <w:rFonts w:ascii="Arial" w:hAnsi="Arial" w:cs="Arial"/>
        </w:rPr>
      </w:pPr>
      <w:r w:rsidRPr="001C1449">
        <w:rPr>
          <w:rFonts w:ascii="Arial" w:hAnsi="Arial" w:cs="Arial"/>
        </w:rPr>
        <w:lastRenderedPageBreak/>
        <w:t xml:space="preserve">Sadaf S, Loya A, Akhtar N, Yusuf MA. Role of endoscopic ultrasound-guided-fine needle aspiration biopsy in the diagnosis of lymphoma of the pancreas: A clinicopathological study of nine cases. Cytopathology 2017; 28:536-541. </w:t>
      </w:r>
    </w:p>
    <w:p w14:paraId="26840E8B" w14:textId="77777777" w:rsidR="001C1449" w:rsidRPr="001C1449" w:rsidRDefault="001C1449" w:rsidP="00B471E8">
      <w:pPr>
        <w:pStyle w:val="Body"/>
        <w:rPr>
          <w:rFonts w:ascii="Arial" w:hAnsi="Arial" w:cs="Arial"/>
        </w:rPr>
      </w:pPr>
      <w:r w:rsidRPr="001C1449">
        <w:rPr>
          <w:rFonts w:ascii="Arial" w:hAnsi="Arial" w:cs="Arial"/>
        </w:rPr>
        <w:t xml:space="preserve">Johnson EA, Benson ME, Guda N, Pfau PR, Frick TJ, Gopal DV. Differentiating primary pancreatic lymphoma from adenocarcinoma using endoscopic ultrasound characteristics and flow cytometry: A case-control study. </w:t>
      </w:r>
      <w:proofErr w:type="spellStart"/>
      <w:r w:rsidRPr="001C1449">
        <w:rPr>
          <w:rFonts w:ascii="Arial" w:hAnsi="Arial" w:cs="Arial"/>
        </w:rPr>
        <w:t>Endosc</w:t>
      </w:r>
      <w:proofErr w:type="spellEnd"/>
      <w:r w:rsidRPr="001C1449">
        <w:rPr>
          <w:rFonts w:ascii="Arial" w:hAnsi="Arial" w:cs="Arial"/>
        </w:rPr>
        <w:t xml:space="preserve"> Ultrasound </w:t>
      </w:r>
      <w:r w:rsidRPr="00880C6C">
        <w:rPr>
          <w:rFonts w:ascii="Arial" w:hAnsi="Arial" w:cs="Arial"/>
          <w:b/>
          <w:bCs/>
        </w:rPr>
        <w:t>2014</w:t>
      </w:r>
      <w:r w:rsidRPr="001C1449">
        <w:rPr>
          <w:rFonts w:ascii="Arial" w:hAnsi="Arial" w:cs="Arial"/>
        </w:rPr>
        <w:t xml:space="preserve">; 3:221-5. </w:t>
      </w:r>
    </w:p>
    <w:p w14:paraId="41E5817F" w14:textId="77777777" w:rsidR="00B471E8" w:rsidRDefault="001C1449" w:rsidP="00B471E8">
      <w:pPr>
        <w:pStyle w:val="Body"/>
        <w:rPr>
          <w:rFonts w:ascii="Arial" w:hAnsi="Arial" w:cs="Arial"/>
        </w:rPr>
      </w:pPr>
      <w:r w:rsidRPr="001C1449">
        <w:rPr>
          <w:rFonts w:ascii="Arial" w:hAnsi="Arial" w:cs="Arial"/>
        </w:rPr>
        <w:t xml:space="preserve">Krawczyk, Karolina MD1; Kwak, Angelika MD, MPH2; </w:t>
      </w:r>
      <w:proofErr w:type="spellStart"/>
      <w:r w:rsidRPr="001C1449">
        <w:rPr>
          <w:rFonts w:ascii="Arial" w:hAnsi="Arial" w:cs="Arial"/>
        </w:rPr>
        <w:t>Kujalowicz</w:t>
      </w:r>
      <w:proofErr w:type="spellEnd"/>
      <w:r w:rsidRPr="001C1449">
        <w:rPr>
          <w:rFonts w:ascii="Arial" w:hAnsi="Arial" w:cs="Arial"/>
        </w:rPr>
        <w:t xml:space="preserve">, Christopher BS, BA2; </w:t>
      </w:r>
      <w:proofErr w:type="spellStart"/>
      <w:r w:rsidRPr="001C1449">
        <w:rPr>
          <w:rFonts w:ascii="Arial" w:hAnsi="Arial" w:cs="Arial"/>
        </w:rPr>
        <w:t>Truszkowska</w:t>
      </w:r>
      <w:proofErr w:type="spellEnd"/>
      <w:r w:rsidRPr="001C1449">
        <w:rPr>
          <w:rFonts w:ascii="Arial" w:hAnsi="Arial" w:cs="Arial"/>
        </w:rPr>
        <w:t xml:space="preserve">, Karolina BS2; </w:t>
      </w:r>
      <w:proofErr w:type="spellStart"/>
      <w:r w:rsidRPr="001C1449">
        <w:rPr>
          <w:rFonts w:ascii="Arial" w:hAnsi="Arial" w:cs="Arial"/>
        </w:rPr>
        <w:t>Biank</w:t>
      </w:r>
      <w:proofErr w:type="spellEnd"/>
      <w:r w:rsidRPr="001C1449">
        <w:rPr>
          <w:rFonts w:ascii="Arial" w:hAnsi="Arial" w:cs="Arial"/>
        </w:rPr>
        <w:t xml:space="preserve">, Vincent MD3; </w:t>
      </w:r>
      <w:proofErr w:type="spellStart"/>
      <w:r w:rsidRPr="001C1449">
        <w:rPr>
          <w:rFonts w:ascii="Arial" w:hAnsi="Arial" w:cs="Arial"/>
        </w:rPr>
        <w:t>Kamberos</w:t>
      </w:r>
      <w:proofErr w:type="spellEnd"/>
      <w:r w:rsidRPr="001C1449">
        <w:rPr>
          <w:rFonts w:ascii="Arial" w:hAnsi="Arial" w:cs="Arial"/>
        </w:rPr>
        <w:t>, Natalie DO4. Primary Mediastinal Large B-Cell Lymphoma Presenting as Acute Pancreatitis. ACG Case Reports Journal 11(6</w:t>
      </w:r>
      <w:proofErr w:type="gramStart"/>
      <w:r w:rsidRPr="001C1449">
        <w:rPr>
          <w:rFonts w:ascii="Arial" w:hAnsi="Arial" w:cs="Arial"/>
        </w:rPr>
        <w:t>):p</w:t>
      </w:r>
      <w:proofErr w:type="gramEnd"/>
      <w:r w:rsidRPr="001C1449">
        <w:rPr>
          <w:rFonts w:ascii="Arial" w:hAnsi="Arial" w:cs="Arial"/>
        </w:rPr>
        <w:t xml:space="preserve"> e01394, </w:t>
      </w:r>
      <w:r w:rsidRPr="00880C6C">
        <w:rPr>
          <w:rFonts w:ascii="Arial" w:hAnsi="Arial" w:cs="Arial"/>
          <w:b/>
          <w:bCs/>
        </w:rPr>
        <w:t>June 2024</w:t>
      </w:r>
      <w:r w:rsidRPr="001C1449">
        <w:rPr>
          <w:rFonts w:ascii="Arial" w:hAnsi="Arial" w:cs="Arial"/>
        </w:rPr>
        <w:t xml:space="preserve">. | DOI: 10.14309/crj.0000000000001394. </w:t>
      </w:r>
    </w:p>
    <w:p w14:paraId="21F002C8" w14:textId="1EEC7F96" w:rsidR="00441B6F" w:rsidRDefault="00B471E8" w:rsidP="00B471E8">
      <w:pPr>
        <w:pStyle w:val="Body"/>
        <w:spacing w:after="0"/>
      </w:pPr>
      <w:r w:rsidRPr="00BB5ABC">
        <w:rPr>
          <w:rFonts w:ascii="Arial" w:hAnsi="Arial" w:cs="Arial"/>
          <w:highlight w:val="yellow"/>
        </w:rPr>
        <w:t xml:space="preserve">Ahmed Z, Afridi SS, Shahid Z, et al. Primary mediastinal B-cell lymphoma: A 2021 update on genetics, diagnosis, and novel therapeutics. Clin Lymphoma Myeloma </w:t>
      </w:r>
      <w:proofErr w:type="spellStart"/>
      <w:r w:rsidRPr="00BB5ABC">
        <w:rPr>
          <w:rFonts w:ascii="Arial" w:hAnsi="Arial" w:cs="Arial"/>
          <w:highlight w:val="yellow"/>
        </w:rPr>
        <w:t>Leuk</w:t>
      </w:r>
      <w:proofErr w:type="spellEnd"/>
      <w:r w:rsidRPr="00BB5ABC">
        <w:rPr>
          <w:rFonts w:ascii="Arial" w:hAnsi="Arial" w:cs="Arial"/>
          <w:highlight w:val="yellow"/>
        </w:rPr>
        <w:t>. 2021;21(11</w:t>
      </w:r>
      <w:proofErr w:type="gramStart"/>
      <w:r w:rsidRPr="00BB5ABC">
        <w:rPr>
          <w:rFonts w:ascii="Arial" w:hAnsi="Arial" w:cs="Arial"/>
          <w:highlight w:val="yellow"/>
        </w:rPr>
        <w:t>):e</w:t>
      </w:r>
      <w:proofErr w:type="gramEnd"/>
      <w:r w:rsidRPr="00BB5ABC">
        <w:rPr>
          <w:rFonts w:ascii="Arial" w:hAnsi="Arial" w:cs="Arial"/>
          <w:highlight w:val="yellow"/>
        </w:rPr>
        <w:t>865–e875. [DOI] [PubMed] [Google Scholar]</w:t>
      </w:r>
    </w:p>
    <w:p w14:paraId="0FA77845" w14:textId="118FB5EA" w:rsidR="00441B6F" w:rsidRDefault="003B1467" w:rsidP="00B471E8">
      <w:pPr>
        <w:pStyle w:val="Body"/>
        <w:spacing w:after="0"/>
        <w:rPr>
          <w:rFonts w:ascii="Arial" w:hAnsi="Arial" w:cs="Arial"/>
        </w:rPr>
      </w:pPr>
      <w:r w:rsidRPr="00BB5ABC">
        <w:rPr>
          <w:rFonts w:ascii="Arial" w:hAnsi="Arial" w:cs="Arial"/>
          <w:highlight w:val="yellow"/>
        </w:rPr>
        <w:t>Shi, L., Wang, J., Wei, L., Ma, Z., &amp; Liu, X. (2023). Pancreatic diffuse large B-cell lymphoma: a case report and literature review. Frontiers in Oncology, 13, 1294385.</w:t>
      </w:r>
    </w:p>
    <w:p w14:paraId="26BD98BA" w14:textId="77777777" w:rsidR="00B01FCD" w:rsidRPr="00FB3A86" w:rsidRDefault="00B01FCD" w:rsidP="00B471E8">
      <w:pPr>
        <w:pStyle w:val="Reference"/>
        <w:numPr>
          <w:ilvl w:val="0"/>
          <w:numId w:val="0"/>
        </w:numPr>
        <w:spacing w:line="240" w:lineRule="auto"/>
        <w:rPr>
          <w:rFonts w:ascii="Arial" w:hAnsi="Arial" w:cs="Arial"/>
        </w:rPr>
      </w:pPr>
    </w:p>
    <w:p w14:paraId="5298F11C" w14:textId="74AF0FEC" w:rsidR="00790ADA" w:rsidRPr="00FB3A86" w:rsidRDefault="00251A56" w:rsidP="00BB5ABC">
      <w:pPr>
        <w:pStyle w:val="Body"/>
        <w:tabs>
          <w:tab w:val="left" w:pos="4420"/>
        </w:tabs>
        <w:spacing w:after="0"/>
        <w:rPr>
          <w:rFonts w:ascii="Arial" w:hAnsi="Arial" w:cs="Arial"/>
        </w:rPr>
      </w:pPr>
      <w:proofErr w:type="spellStart"/>
      <w:r w:rsidRPr="00BB5ABC">
        <w:rPr>
          <w:rFonts w:ascii="Arial" w:hAnsi="Arial" w:cs="Arial"/>
          <w:highlight w:val="yellow"/>
        </w:rPr>
        <w:t>Venkitakrishnan</w:t>
      </w:r>
      <w:proofErr w:type="spellEnd"/>
      <w:r w:rsidRPr="00BB5ABC">
        <w:rPr>
          <w:rFonts w:ascii="Arial" w:hAnsi="Arial" w:cs="Arial"/>
          <w:highlight w:val="yellow"/>
        </w:rPr>
        <w:t xml:space="preserve">, R., Paul, M., </w:t>
      </w:r>
      <w:proofErr w:type="spellStart"/>
      <w:r w:rsidRPr="00BB5ABC">
        <w:rPr>
          <w:rFonts w:ascii="Arial" w:hAnsi="Arial" w:cs="Arial"/>
          <w:highlight w:val="yellow"/>
        </w:rPr>
        <w:t>Sleeba</w:t>
      </w:r>
      <w:proofErr w:type="spellEnd"/>
      <w:r w:rsidRPr="00BB5ABC">
        <w:rPr>
          <w:rFonts w:ascii="Arial" w:hAnsi="Arial" w:cs="Arial"/>
          <w:highlight w:val="yellow"/>
        </w:rPr>
        <w:t>, T., Abraham, L., Joshi, M., Augustine, J., ... &amp; Vijay, A. (2021). Expecting the unexpected–primary mediastinal large B cell lymphoma presenting as huge lung parenchymal mass. Respiratory Medicine Case Reports, 32, 101370.</w:t>
      </w:r>
      <w:r w:rsidR="0076085D">
        <w:rPr>
          <w:rFonts w:ascii="Arial" w:hAnsi="Arial" w:cs="Arial"/>
        </w:rPr>
        <w:tab/>
      </w:r>
    </w:p>
    <w:p w14:paraId="0B61F5C2" w14:textId="77777777" w:rsidR="00B01FCD" w:rsidRPr="00FB3A86" w:rsidRDefault="00B01FCD" w:rsidP="00B471E8">
      <w:pPr>
        <w:pStyle w:val="Appendix"/>
        <w:spacing w:after="0"/>
        <w:jc w:val="both"/>
        <w:rPr>
          <w:rFonts w:ascii="Arial" w:hAnsi="Arial" w:cs="Arial"/>
          <w:b w:val="0"/>
        </w:rPr>
      </w:pPr>
    </w:p>
    <w:sectPr w:rsidR="00B01FCD" w:rsidRPr="00FB3A86" w:rsidSect="00553094">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04DFA" w14:textId="77777777" w:rsidR="00AC52E7" w:rsidRDefault="00AC52E7" w:rsidP="00C37E61">
      <w:r>
        <w:separator/>
      </w:r>
    </w:p>
  </w:endnote>
  <w:endnote w:type="continuationSeparator" w:id="0">
    <w:p w14:paraId="30B1096C" w14:textId="77777777" w:rsidR="00AC52E7" w:rsidRDefault="00AC52E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DBC7E" w14:textId="77777777" w:rsidR="00553094" w:rsidRDefault="00553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A4927" w14:textId="77777777" w:rsidR="00553094" w:rsidRDefault="005530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7196B" w14:textId="5571E0DF" w:rsidR="00754C9A" w:rsidRPr="00553094" w:rsidRDefault="00754C9A" w:rsidP="005530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CA95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68EB9" w14:textId="77777777" w:rsidR="00AC52E7" w:rsidRDefault="00AC52E7" w:rsidP="00C37E61">
      <w:r>
        <w:separator/>
      </w:r>
    </w:p>
  </w:footnote>
  <w:footnote w:type="continuationSeparator" w:id="0">
    <w:p w14:paraId="31CEA730" w14:textId="77777777" w:rsidR="00AC52E7" w:rsidRDefault="00AC52E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083161" w14:textId="39568583" w:rsidR="00553094" w:rsidRDefault="00AC52E7">
    <w:pPr>
      <w:pStyle w:val="Header"/>
    </w:pPr>
    <w:r>
      <w:rPr>
        <w:noProof/>
      </w:rPr>
      <w:pict w14:anchorId="1CC7D5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5" o:spid="_x0000_s2054" type="#_x0000_t136" alt="" style="position:absolute;margin-left:0;margin-top:0;width:685.25pt;height:76.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ECB05" w14:textId="028BC936" w:rsidR="000F49A8" w:rsidRPr="000F49A8" w:rsidRDefault="00AC52E7">
    <w:pPr>
      <w:pStyle w:val="Header"/>
      <w:rPr>
        <w:lang w:val="it-IT"/>
      </w:rPr>
    </w:pPr>
    <w:r>
      <w:rPr>
        <w:noProof/>
      </w:rPr>
      <w:pict w14:anchorId="3384A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6" o:spid="_x0000_s2053" type="#_x0000_t136" alt="" style="position:absolute;margin-left:0;margin-top:0;width:685.25pt;height:76.1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r w:rsidR="000F49A8">
      <w:rPr>
        <w:lang w:val="it-IT"/>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0B0CE" w14:textId="229FBCEF" w:rsidR="00296529" w:rsidRPr="00296529" w:rsidRDefault="00AC52E7" w:rsidP="00296529">
    <w:pPr>
      <w:ind w:left="2160"/>
      <w:jc w:val="center"/>
      <w:rPr>
        <w:rFonts w:ascii="Times New Roman" w:eastAsia="Calibri" w:hAnsi="Times New Roman"/>
        <w:i/>
        <w:sz w:val="18"/>
        <w:szCs w:val="22"/>
      </w:rPr>
    </w:pPr>
    <w:r>
      <w:rPr>
        <w:noProof/>
      </w:rPr>
      <w:pict w14:anchorId="697759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4" o:spid="_x0000_s2052" type="#_x0000_t136" alt="" style="position:absolute;left:0;text-align:left;margin-left:0;margin-top:0;width:685.25pt;height:76.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18BA04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490D50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4861F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AE2A3B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3B031D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742CE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078A6" w14:textId="2E719891" w:rsidR="00553094" w:rsidRDefault="00AC52E7">
    <w:pPr>
      <w:pStyle w:val="Header"/>
    </w:pPr>
    <w:r>
      <w:rPr>
        <w:noProof/>
      </w:rPr>
      <w:pict w14:anchorId="5CB1D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8" o:spid="_x0000_s2051" type="#_x0000_t136" alt="" style="position:absolute;margin-left:0;margin-top:0;width:685.25pt;height:76.1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8F3D0" w14:textId="3B2D5710" w:rsidR="00553094" w:rsidRDefault="00AC52E7">
    <w:pPr>
      <w:pStyle w:val="Header"/>
    </w:pPr>
    <w:r>
      <w:rPr>
        <w:noProof/>
      </w:rPr>
      <w:pict w14:anchorId="34BFB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9" o:spid="_x0000_s2050" type="#_x0000_t136" alt="" style="position:absolute;margin-left:0;margin-top:0;width:685.25pt;height:76.1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CDE67" w14:textId="2EF1396D" w:rsidR="00553094" w:rsidRDefault="00AC52E7">
    <w:pPr>
      <w:pStyle w:val="Header"/>
    </w:pPr>
    <w:r>
      <w:rPr>
        <w:noProof/>
      </w:rPr>
      <w:pict w14:anchorId="6332CD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884487" o:spid="_x0000_s2049" type="#_x0000_t136" alt="" style="position:absolute;margin-left:0;margin-top:0;width:685.25pt;height:76.1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03432"/>
    <w:multiLevelType w:val="hybridMultilevel"/>
    <w:tmpl w:val="589CD4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5C26E8B"/>
    <w:multiLevelType w:val="hybridMultilevel"/>
    <w:tmpl w:val="39C827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20"/>
  </w:num>
  <w:num w:numId="24">
    <w:abstractNumId w:val="28"/>
  </w:num>
  <w:num w:numId="25">
    <w:abstractNumId w:val="4"/>
  </w:num>
  <w:num w:numId="26">
    <w:abstractNumId w:val="16"/>
  </w:num>
  <w:num w:numId="27">
    <w:abstractNumId w:val="21"/>
  </w:num>
  <w:num w:numId="28">
    <w:abstractNumId w:val="29"/>
  </w:num>
  <w:num w:numId="29">
    <w:abstractNumId w:val="26"/>
  </w:num>
  <w:num w:numId="30">
    <w:abstractNumId w:val="10"/>
  </w:num>
  <w:num w:numId="31">
    <w:abstractNumId w:val="25"/>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UxsDQyNDUxNjY3MjRS0lEKTi0uzszPAykwrAUA0nqEwSwAAAA="/>
  </w:docVars>
  <w:rsids>
    <w:rsidRoot w:val="00AA6219"/>
    <w:rsid w:val="00000F8F"/>
    <w:rsid w:val="00030174"/>
    <w:rsid w:val="0004579C"/>
    <w:rsid w:val="0005276C"/>
    <w:rsid w:val="000A47FA"/>
    <w:rsid w:val="000A65D3"/>
    <w:rsid w:val="000B1E33"/>
    <w:rsid w:val="000D11B7"/>
    <w:rsid w:val="000D689F"/>
    <w:rsid w:val="000E7B7B"/>
    <w:rsid w:val="000E7D62"/>
    <w:rsid w:val="000F49A8"/>
    <w:rsid w:val="001032DA"/>
    <w:rsid w:val="00103357"/>
    <w:rsid w:val="00123C9F"/>
    <w:rsid w:val="00126190"/>
    <w:rsid w:val="00130F17"/>
    <w:rsid w:val="001320BF"/>
    <w:rsid w:val="00163BC4"/>
    <w:rsid w:val="00171847"/>
    <w:rsid w:val="00191062"/>
    <w:rsid w:val="00192B72"/>
    <w:rsid w:val="001A29D8"/>
    <w:rsid w:val="001A5CAA"/>
    <w:rsid w:val="001B0427"/>
    <w:rsid w:val="001C1449"/>
    <w:rsid w:val="001D3A51"/>
    <w:rsid w:val="001E10D2"/>
    <w:rsid w:val="001E25B4"/>
    <w:rsid w:val="001E44FE"/>
    <w:rsid w:val="00200595"/>
    <w:rsid w:val="00204835"/>
    <w:rsid w:val="00231920"/>
    <w:rsid w:val="0023195C"/>
    <w:rsid w:val="0024282C"/>
    <w:rsid w:val="002460DC"/>
    <w:rsid w:val="00250985"/>
    <w:rsid w:val="00251A56"/>
    <w:rsid w:val="002556F6"/>
    <w:rsid w:val="00255A10"/>
    <w:rsid w:val="00283105"/>
    <w:rsid w:val="00284C4C"/>
    <w:rsid w:val="00287E68"/>
    <w:rsid w:val="00296529"/>
    <w:rsid w:val="002B27FB"/>
    <w:rsid w:val="002B685A"/>
    <w:rsid w:val="002C57D2"/>
    <w:rsid w:val="002E0D56"/>
    <w:rsid w:val="002F1859"/>
    <w:rsid w:val="002F208C"/>
    <w:rsid w:val="002F4725"/>
    <w:rsid w:val="00315186"/>
    <w:rsid w:val="0033343E"/>
    <w:rsid w:val="00336326"/>
    <w:rsid w:val="003512C2"/>
    <w:rsid w:val="00371FB6"/>
    <w:rsid w:val="003763C1"/>
    <w:rsid w:val="00376BBE"/>
    <w:rsid w:val="003849B9"/>
    <w:rsid w:val="0039224F"/>
    <w:rsid w:val="003A43A4"/>
    <w:rsid w:val="003A7E18"/>
    <w:rsid w:val="003B043C"/>
    <w:rsid w:val="003B1467"/>
    <w:rsid w:val="003C2285"/>
    <w:rsid w:val="003C4C86"/>
    <w:rsid w:val="003C5BA2"/>
    <w:rsid w:val="003C6258"/>
    <w:rsid w:val="003E2904"/>
    <w:rsid w:val="00401927"/>
    <w:rsid w:val="0041027F"/>
    <w:rsid w:val="00412475"/>
    <w:rsid w:val="00423789"/>
    <w:rsid w:val="004245A9"/>
    <w:rsid w:val="00440F43"/>
    <w:rsid w:val="00441B6F"/>
    <w:rsid w:val="00446221"/>
    <w:rsid w:val="00450E62"/>
    <w:rsid w:val="004539DB"/>
    <w:rsid w:val="00471A80"/>
    <w:rsid w:val="004D305E"/>
    <w:rsid w:val="004D4277"/>
    <w:rsid w:val="00502516"/>
    <w:rsid w:val="00505F06"/>
    <w:rsid w:val="00506828"/>
    <w:rsid w:val="0053056E"/>
    <w:rsid w:val="00544EBB"/>
    <w:rsid w:val="00553094"/>
    <w:rsid w:val="00554FDA"/>
    <w:rsid w:val="005C784C"/>
    <w:rsid w:val="005D17F6"/>
    <w:rsid w:val="005E5539"/>
    <w:rsid w:val="00601298"/>
    <w:rsid w:val="00602BF5"/>
    <w:rsid w:val="00617FDD"/>
    <w:rsid w:val="00633614"/>
    <w:rsid w:val="00633F68"/>
    <w:rsid w:val="00636EB2"/>
    <w:rsid w:val="006375B8"/>
    <w:rsid w:val="006417A8"/>
    <w:rsid w:val="0066510A"/>
    <w:rsid w:val="00673F0A"/>
    <w:rsid w:val="00673F9F"/>
    <w:rsid w:val="00686953"/>
    <w:rsid w:val="00687DEA"/>
    <w:rsid w:val="00687E67"/>
    <w:rsid w:val="006967F7"/>
    <w:rsid w:val="006A250C"/>
    <w:rsid w:val="006A64D9"/>
    <w:rsid w:val="006B21D3"/>
    <w:rsid w:val="006B57D0"/>
    <w:rsid w:val="006D30FF"/>
    <w:rsid w:val="006D6940"/>
    <w:rsid w:val="006F11EC"/>
    <w:rsid w:val="0070082C"/>
    <w:rsid w:val="0070585E"/>
    <w:rsid w:val="007369E6"/>
    <w:rsid w:val="00741777"/>
    <w:rsid w:val="00746E59"/>
    <w:rsid w:val="00754C9A"/>
    <w:rsid w:val="0075599A"/>
    <w:rsid w:val="0076085D"/>
    <w:rsid w:val="00761D52"/>
    <w:rsid w:val="0077749E"/>
    <w:rsid w:val="00790ADA"/>
    <w:rsid w:val="007C223B"/>
    <w:rsid w:val="007D2288"/>
    <w:rsid w:val="007E088F"/>
    <w:rsid w:val="007F7B32"/>
    <w:rsid w:val="00804BC2"/>
    <w:rsid w:val="0081431A"/>
    <w:rsid w:val="00817835"/>
    <w:rsid w:val="0083216F"/>
    <w:rsid w:val="00860000"/>
    <w:rsid w:val="00863BD3"/>
    <w:rsid w:val="008641ED"/>
    <w:rsid w:val="00866D66"/>
    <w:rsid w:val="008671C6"/>
    <w:rsid w:val="00875803"/>
    <w:rsid w:val="00880C6C"/>
    <w:rsid w:val="008B459E"/>
    <w:rsid w:val="008E13AE"/>
    <w:rsid w:val="008E1506"/>
    <w:rsid w:val="008E710C"/>
    <w:rsid w:val="008F6263"/>
    <w:rsid w:val="008F69D6"/>
    <w:rsid w:val="00902823"/>
    <w:rsid w:val="00915CA6"/>
    <w:rsid w:val="00927834"/>
    <w:rsid w:val="00931D07"/>
    <w:rsid w:val="009500A6"/>
    <w:rsid w:val="00952E13"/>
    <w:rsid w:val="009538CD"/>
    <w:rsid w:val="00957C18"/>
    <w:rsid w:val="009659BA"/>
    <w:rsid w:val="00983040"/>
    <w:rsid w:val="009A24D3"/>
    <w:rsid w:val="009B0912"/>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52E7"/>
    <w:rsid w:val="00AC6BB8"/>
    <w:rsid w:val="00AE008F"/>
    <w:rsid w:val="00B01FCD"/>
    <w:rsid w:val="00B05D98"/>
    <w:rsid w:val="00B1776C"/>
    <w:rsid w:val="00B471E8"/>
    <w:rsid w:val="00B52583"/>
    <w:rsid w:val="00B52896"/>
    <w:rsid w:val="00B95236"/>
    <w:rsid w:val="00B96BD9"/>
    <w:rsid w:val="00BA1B01"/>
    <w:rsid w:val="00BA2641"/>
    <w:rsid w:val="00BB37AA"/>
    <w:rsid w:val="00BB5ABC"/>
    <w:rsid w:val="00BB68E5"/>
    <w:rsid w:val="00BC53A0"/>
    <w:rsid w:val="00BE62AD"/>
    <w:rsid w:val="00BF121F"/>
    <w:rsid w:val="00BF1F80"/>
    <w:rsid w:val="00C166EF"/>
    <w:rsid w:val="00C17EB0"/>
    <w:rsid w:val="00C27F5F"/>
    <w:rsid w:val="00C30A0F"/>
    <w:rsid w:val="00C37E61"/>
    <w:rsid w:val="00C70F1B"/>
    <w:rsid w:val="00C71A47"/>
    <w:rsid w:val="00C7464C"/>
    <w:rsid w:val="00C85588"/>
    <w:rsid w:val="00C85D3A"/>
    <w:rsid w:val="00C92770"/>
    <w:rsid w:val="00CD6755"/>
    <w:rsid w:val="00CD6856"/>
    <w:rsid w:val="00CE0089"/>
    <w:rsid w:val="00CE793C"/>
    <w:rsid w:val="00CF193C"/>
    <w:rsid w:val="00D173F1"/>
    <w:rsid w:val="00D74CB0"/>
    <w:rsid w:val="00D8295D"/>
    <w:rsid w:val="00DC2A65"/>
    <w:rsid w:val="00DE15F0"/>
    <w:rsid w:val="00DE5663"/>
    <w:rsid w:val="00DE78AA"/>
    <w:rsid w:val="00E053D0"/>
    <w:rsid w:val="00E15675"/>
    <w:rsid w:val="00E15994"/>
    <w:rsid w:val="00E3114E"/>
    <w:rsid w:val="00E31A70"/>
    <w:rsid w:val="00E35B02"/>
    <w:rsid w:val="00E50911"/>
    <w:rsid w:val="00E66496"/>
    <w:rsid w:val="00E66B35"/>
    <w:rsid w:val="00E66E10"/>
    <w:rsid w:val="00E769F6"/>
    <w:rsid w:val="00E8407C"/>
    <w:rsid w:val="00E84F3C"/>
    <w:rsid w:val="00EA012C"/>
    <w:rsid w:val="00EA7143"/>
    <w:rsid w:val="00EB25BE"/>
    <w:rsid w:val="00EC6A55"/>
    <w:rsid w:val="00ED0288"/>
    <w:rsid w:val="00EE52CB"/>
    <w:rsid w:val="00EF581D"/>
    <w:rsid w:val="00EF7FD8"/>
    <w:rsid w:val="00F06F59"/>
    <w:rsid w:val="00F17988"/>
    <w:rsid w:val="00F264CD"/>
    <w:rsid w:val="00F469F0"/>
    <w:rsid w:val="00F53273"/>
    <w:rsid w:val="00F755E4"/>
    <w:rsid w:val="00F77D02"/>
    <w:rsid w:val="00FA1A41"/>
    <w:rsid w:val="00FA57A3"/>
    <w:rsid w:val="00FA582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9"/>
      </o:rules>
    </o:shapelayout>
  </w:shapeDefaults>
  <w:decimalSymbol w:val="."/>
  <w:listSeparator w:val=","/>
  <w14:docId w14:val="66E37A5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FA57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27290304">
      <w:bodyDiv w:val="1"/>
      <w:marLeft w:val="0"/>
      <w:marRight w:val="0"/>
      <w:marTop w:val="0"/>
      <w:marBottom w:val="0"/>
      <w:divBdr>
        <w:top w:val="none" w:sz="0" w:space="0" w:color="auto"/>
        <w:left w:val="none" w:sz="0" w:space="0" w:color="auto"/>
        <w:bottom w:val="none" w:sz="0" w:space="0" w:color="auto"/>
        <w:right w:val="none" w:sz="0" w:space="0" w:color="auto"/>
      </w:divBdr>
    </w:div>
    <w:div w:id="4271655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800946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8716B-B4C9-4B34-B02B-40442720F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TotalTime>
  <Pages>6</Pages>
  <Words>2278</Words>
  <Characters>12990</Characters>
  <Application>Microsoft Office Word</Application>
  <DocSecurity>0</DocSecurity>
  <Lines>108</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15238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16</cp:revision>
  <cp:lastPrinted>1999-07-06T11:00:00Z</cp:lastPrinted>
  <dcterms:created xsi:type="dcterms:W3CDTF">2025-06-25T23:26:00Z</dcterms:created>
  <dcterms:modified xsi:type="dcterms:W3CDTF">2025-06-27T10:27:00Z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id="N7z3AhxN"/&gt;&lt;style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