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8F6C4" w14:textId="77777777" w:rsidR="00754C9A" w:rsidRDefault="00754C9A" w:rsidP="00441B6F">
      <w:pPr>
        <w:pStyle w:val="Title"/>
        <w:spacing w:after="0"/>
        <w:jc w:val="both"/>
        <w:rPr>
          <w:rFonts w:ascii="Arial" w:hAnsi="Arial" w:cs="Arial"/>
        </w:rPr>
      </w:pPr>
    </w:p>
    <w:p w14:paraId="3436FCEA" w14:textId="77777777" w:rsidR="00993BE9" w:rsidRPr="00E250D4" w:rsidRDefault="00993BE9" w:rsidP="00993BE9">
      <w:pPr>
        <w:pStyle w:val="Author"/>
        <w:spacing w:line="240" w:lineRule="auto"/>
        <w:jc w:val="center"/>
        <w:rPr>
          <w:rFonts w:asciiTheme="minorBidi" w:hAnsiTheme="minorBidi" w:cstheme="minorBidi"/>
          <w:bCs/>
          <w:szCs w:val="24"/>
        </w:rPr>
      </w:pPr>
      <w:r w:rsidRPr="00E250D4">
        <w:rPr>
          <w:rFonts w:asciiTheme="minorBidi" w:hAnsiTheme="minorBidi" w:cstheme="minorBidi"/>
          <w:bCs/>
          <w:szCs w:val="24"/>
        </w:rPr>
        <w:t>Effect of Different Organic Nutrient Sources on the Germination and Seedling Growth of Jowar (</w:t>
      </w:r>
      <w:r w:rsidRPr="00E250D4">
        <w:rPr>
          <w:rFonts w:asciiTheme="minorBidi" w:hAnsiTheme="minorBidi" w:cstheme="minorBidi"/>
          <w:bCs/>
          <w:i/>
          <w:iCs/>
          <w:szCs w:val="24"/>
        </w:rPr>
        <w:t>Sorghum bicolor</w:t>
      </w:r>
      <w:r w:rsidRPr="00E250D4">
        <w:rPr>
          <w:rFonts w:asciiTheme="minorBidi" w:hAnsiTheme="minorBidi" w:cstheme="minorBidi"/>
          <w:bCs/>
          <w:szCs w:val="24"/>
        </w:rPr>
        <w:t>) and Bajra (</w:t>
      </w:r>
      <w:r w:rsidRPr="00E250D4">
        <w:rPr>
          <w:rFonts w:asciiTheme="minorBidi" w:hAnsiTheme="minorBidi" w:cstheme="minorBidi"/>
          <w:bCs/>
          <w:i/>
          <w:iCs/>
          <w:szCs w:val="24"/>
        </w:rPr>
        <w:t>Pennisetum glaucum</w:t>
      </w:r>
      <w:r w:rsidRPr="00E250D4">
        <w:rPr>
          <w:rFonts w:asciiTheme="minorBidi" w:hAnsiTheme="minorBidi" w:cstheme="minorBidi"/>
          <w:bCs/>
          <w:szCs w:val="24"/>
        </w:rPr>
        <w:t>)</w:t>
      </w:r>
    </w:p>
    <w:p w14:paraId="0544A0FA" w14:textId="77777777" w:rsidR="00745613" w:rsidRDefault="00745613" w:rsidP="00B63F28">
      <w:pPr>
        <w:spacing w:line="276" w:lineRule="auto"/>
        <w:ind w:left="-142" w:right="-330"/>
        <w:jc w:val="both"/>
        <w:rPr>
          <w:rFonts w:ascii="Times New Roman" w:hAnsi="Times New Roman"/>
          <w:b/>
          <w:bCs/>
          <w:sz w:val="24"/>
          <w:szCs w:val="24"/>
        </w:rPr>
      </w:pPr>
    </w:p>
    <w:p w14:paraId="3ADAE450" w14:textId="117D0C11" w:rsidR="00B63F28" w:rsidRPr="00335110" w:rsidRDefault="001B5814" w:rsidP="00B63F28">
      <w:pPr>
        <w:spacing w:line="276" w:lineRule="auto"/>
        <w:ind w:left="-142" w:right="-330"/>
        <w:jc w:val="both"/>
        <w:rPr>
          <w:rFonts w:ascii="Times New Roman" w:hAnsi="Times New Roman"/>
          <w:b/>
          <w:bCs/>
          <w:sz w:val="24"/>
          <w:szCs w:val="24"/>
        </w:rPr>
      </w:pPr>
      <w:r>
        <w:rPr>
          <w:rFonts w:ascii="Arial" w:hAnsi="Arial" w:cs="Arial"/>
          <w:noProof/>
        </w:rPr>
        <mc:AlternateContent>
          <mc:Choice Requires="wps">
            <w:drawing>
              <wp:inline distT="0" distB="0" distL="0" distR="0" wp14:anchorId="4E7FDF39" wp14:editId="4BDEF9AD">
                <wp:extent cx="5303520" cy="635"/>
                <wp:effectExtent l="14605" t="16510" r="15875" b="12065"/>
                <wp:docPr id="10796201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0971562" id="_x0000_t32" coordsize="21600,21600" o:spt="32" o:oned="t" path="m,l21600,21600e" filled="f">
                <v:path arrowok="t" fillok="f" o:connecttype="none"/>
                <o:lock v:ext="edit" shapetype="t"/>
              </v:shapetype>
              <v:shape id="AutoShape 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E4898F1" w14:textId="77777777" w:rsidR="00790ADA" w:rsidRDefault="00790ADA" w:rsidP="00441B6F">
      <w:pPr>
        <w:pStyle w:val="Affiliation"/>
        <w:spacing w:after="0" w:line="240" w:lineRule="auto"/>
        <w:jc w:val="both"/>
        <w:rPr>
          <w:rFonts w:ascii="Arial" w:hAnsi="Arial" w:cs="Arial"/>
        </w:rPr>
      </w:pPr>
    </w:p>
    <w:p w14:paraId="75685C49" w14:textId="5B00CF09" w:rsidR="00B01FCD" w:rsidRPr="00FB3A86" w:rsidRDefault="00B01FCD" w:rsidP="00441B6F">
      <w:pPr>
        <w:pStyle w:val="Copyright"/>
        <w:spacing w:after="0" w:line="240" w:lineRule="auto"/>
        <w:jc w:val="both"/>
        <w:rPr>
          <w:rFonts w:ascii="Arial" w:hAnsi="Arial" w:cs="Arial"/>
        </w:rPr>
        <w:sectPr w:rsidR="00B01FCD" w:rsidRPr="00FB3A86" w:rsidSect="00745613">
          <w:headerReference w:type="even" r:id="rId8"/>
          <w:headerReference w:type="default" r:id="rId9"/>
          <w:headerReference w:type="first" r:id="rId10"/>
          <w:pgSz w:w="12240" w:h="15840" w:code="1"/>
          <w:pgMar w:top="1440" w:right="2016" w:bottom="2016" w:left="2016" w:header="720" w:footer="1296" w:gutter="0"/>
          <w:cols w:space="720"/>
          <w:docGrid w:linePitch="272"/>
        </w:sectPr>
      </w:pPr>
    </w:p>
    <w:p w14:paraId="3FA94F76" w14:textId="7EEA6E08" w:rsidR="00B01FCD" w:rsidRDefault="00B01FCD" w:rsidP="00441B6F">
      <w:pPr>
        <w:pStyle w:val="AbstHead"/>
        <w:spacing w:after="0"/>
        <w:jc w:val="both"/>
        <w:rPr>
          <w:rFonts w:ascii="Arial" w:hAnsi="Arial" w:cs="Arial"/>
        </w:rPr>
      </w:pPr>
      <w:r w:rsidRPr="00FB3A86">
        <w:rPr>
          <w:rFonts w:ascii="Arial" w:hAnsi="Arial" w:cs="Arial"/>
        </w:rPr>
        <w:t>ABSTRACT</w:t>
      </w:r>
    </w:p>
    <w:p w14:paraId="5D5A2DE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B78A79B" w14:textId="77777777" w:rsidTr="001E44FE">
        <w:tc>
          <w:tcPr>
            <w:tcW w:w="9576" w:type="dxa"/>
            <w:shd w:val="clear" w:color="auto" w:fill="F2F2F2"/>
          </w:tcPr>
          <w:p w14:paraId="0E4410DD" w14:textId="77777777" w:rsidR="00E3114E" w:rsidRDefault="00E3114E" w:rsidP="00441B6F">
            <w:pPr>
              <w:pStyle w:val="Body"/>
              <w:spacing w:after="0"/>
              <w:rPr>
                <w:rFonts w:ascii="Arial" w:eastAsia="Calibri" w:hAnsi="Arial" w:cs="Arial"/>
                <w:b/>
                <w:szCs w:val="22"/>
              </w:rPr>
            </w:pPr>
          </w:p>
          <w:p w14:paraId="5795587C" w14:textId="77777777" w:rsidR="00993BE9" w:rsidRDefault="00993BE9" w:rsidP="00993BE9">
            <w:pPr>
              <w:spacing w:line="276" w:lineRule="auto"/>
              <w:jc w:val="both"/>
              <w:rPr>
                <w:rFonts w:ascii="Arial" w:eastAsia="Calibri" w:hAnsi="Arial" w:cs="Arial"/>
                <w:bCs/>
                <w:szCs w:val="22"/>
              </w:rPr>
            </w:pPr>
            <w:r>
              <w:rPr>
                <w:rFonts w:ascii="Arial" w:eastAsia="Calibri" w:hAnsi="Arial" w:cs="Arial"/>
                <w:b/>
                <w:szCs w:val="22"/>
              </w:rPr>
              <w:t xml:space="preserve">Aim: </w:t>
            </w:r>
            <w:r w:rsidRPr="007B51CA">
              <w:rPr>
                <w:rFonts w:ascii="Arial" w:eastAsia="Calibri" w:hAnsi="Arial" w:cs="Arial"/>
                <w:bCs/>
                <w:szCs w:val="22"/>
              </w:rPr>
              <w:t>T</w:t>
            </w:r>
            <w:r w:rsidRPr="00706F3B">
              <w:rPr>
                <w:rFonts w:ascii="Arial" w:eastAsia="Calibri" w:hAnsi="Arial" w:cs="Arial"/>
                <w:bCs/>
                <w:szCs w:val="22"/>
              </w:rPr>
              <w:t xml:space="preserve">his study is to examine how different organic and inorganic variations, such as </w:t>
            </w:r>
            <w:r>
              <w:rPr>
                <w:rFonts w:ascii="Arial" w:eastAsia="Calibri" w:hAnsi="Arial" w:cs="Arial"/>
                <w:bCs/>
                <w:szCs w:val="22"/>
              </w:rPr>
              <w:t>sand</w:t>
            </w:r>
            <w:r w:rsidRPr="00706F3B">
              <w:rPr>
                <w:rFonts w:ascii="Arial" w:eastAsia="Calibri" w:hAnsi="Arial" w:cs="Arial"/>
                <w:bCs/>
                <w:szCs w:val="22"/>
              </w:rPr>
              <w:t>, cow dung, vermicompost, and cocopeat, affect the germination of jowar (Sorghum bicolor) and bajra (Pennisetum glaucum) seeds in a growth chamber environment.</w:t>
            </w:r>
          </w:p>
          <w:p w14:paraId="17706ED5" w14:textId="77777777" w:rsidR="00993BE9" w:rsidRPr="00706F3B" w:rsidRDefault="00993BE9" w:rsidP="00993BE9">
            <w:pPr>
              <w:spacing w:line="276" w:lineRule="auto"/>
              <w:jc w:val="both"/>
              <w:rPr>
                <w:rFonts w:ascii="Arial" w:eastAsia="Calibri" w:hAnsi="Arial" w:cs="Arial"/>
                <w:bCs/>
                <w:szCs w:val="22"/>
              </w:rPr>
            </w:pPr>
            <w:r w:rsidRPr="009C322D">
              <w:rPr>
                <w:rFonts w:asciiTheme="minorBidi" w:hAnsiTheme="minorBidi" w:cstheme="minorBidi"/>
                <w:b/>
                <w:bCs/>
              </w:rPr>
              <w:t>Study Design</w:t>
            </w:r>
            <w:r>
              <w:rPr>
                <w:rFonts w:asciiTheme="minorBidi" w:hAnsiTheme="minorBidi" w:cstheme="minorBidi"/>
              </w:rPr>
              <w:t>:</w:t>
            </w:r>
            <w:r w:rsidRPr="00CC7B1E">
              <w:rPr>
                <w:rFonts w:asciiTheme="minorBidi" w:hAnsiTheme="minorBidi" w:cstheme="minorBidi"/>
              </w:rPr>
              <w:t xml:space="preserve"> The study was conducted using a completely randomized design (CRD) with three replications</w:t>
            </w:r>
            <w:r w:rsidRPr="00706F3B">
              <w:rPr>
                <w:rFonts w:ascii="Arial" w:eastAsia="Calibri" w:hAnsi="Arial" w:cs="Arial"/>
                <w:bCs/>
                <w:szCs w:val="22"/>
              </w:rPr>
              <w:t xml:space="preserve">  </w:t>
            </w:r>
          </w:p>
          <w:p w14:paraId="4F58966D" w14:textId="77777777" w:rsidR="00993BE9" w:rsidRPr="00706F3B" w:rsidRDefault="00993BE9" w:rsidP="00993BE9">
            <w:pPr>
              <w:spacing w:line="276" w:lineRule="auto"/>
              <w:jc w:val="both"/>
              <w:rPr>
                <w:rFonts w:ascii="Arial" w:eastAsia="Calibri" w:hAnsi="Arial" w:cs="Arial"/>
                <w:bCs/>
                <w:szCs w:val="22"/>
              </w:rPr>
            </w:pPr>
            <w:r w:rsidRPr="00F77F34">
              <w:rPr>
                <w:rFonts w:ascii="Arial" w:eastAsia="Calibri" w:hAnsi="Arial" w:cs="Arial"/>
                <w:b/>
                <w:szCs w:val="22"/>
              </w:rPr>
              <w:t xml:space="preserve">Location and Length of Study:  </w:t>
            </w:r>
            <w:r w:rsidRPr="00706F3B">
              <w:rPr>
                <w:rFonts w:ascii="Arial" w:eastAsia="Calibri" w:hAnsi="Arial" w:cs="Arial"/>
                <w:bCs/>
                <w:szCs w:val="22"/>
              </w:rPr>
              <w:t xml:space="preserve">April–May 2025, Department of Botany, Mata Jijabai Govt PG Girls College, Indore, Madhya Pradesh, India.  </w:t>
            </w:r>
          </w:p>
          <w:p w14:paraId="47A40C4C" w14:textId="148FC484" w:rsidR="00505F06" w:rsidRPr="00BA1B01" w:rsidRDefault="00993BE9" w:rsidP="00993BE9">
            <w:pPr>
              <w:pStyle w:val="Body"/>
              <w:spacing w:after="0"/>
              <w:rPr>
                <w:rFonts w:ascii="Arial" w:eastAsia="Calibri" w:hAnsi="Arial" w:cs="Arial"/>
                <w:szCs w:val="22"/>
              </w:rPr>
            </w:pPr>
            <w:r w:rsidRPr="00F77F34">
              <w:rPr>
                <w:rFonts w:ascii="Arial" w:eastAsia="Calibri" w:hAnsi="Arial" w:cs="Arial"/>
                <w:b/>
                <w:szCs w:val="22"/>
              </w:rPr>
              <w:t xml:space="preserve">Methodology: </w:t>
            </w:r>
            <w:r w:rsidRPr="00706F3B">
              <w:rPr>
                <w:rFonts w:ascii="Arial" w:eastAsia="Calibri" w:hAnsi="Arial" w:cs="Arial"/>
                <w:bCs/>
                <w:szCs w:val="22"/>
                <w:lang w:val="en-IN"/>
              </w:rPr>
              <w:t xml:space="preserve">In this study, the germination and early seedling development of two drought-tolerant cereal crops—jowar (Sorghum </w:t>
            </w:r>
            <w:proofErr w:type="spellStart"/>
            <w:r w:rsidRPr="00706F3B">
              <w:rPr>
                <w:rFonts w:ascii="Arial" w:eastAsia="Calibri" w:hAnsi="Arial" w:cs="Arial"/>
                <w:bCs/>
                <w:szCs w:val="22"/>
                <w:lang w:val="en-IN"/>
              </w:rPr>
              <w:t>bicolor</w:t>
            </w:r>
            <w:proofErr w:type="spellEnd"/>
            <w:r w:rsidRPr="00706F3B">
              <w:rPr>
                <w:rFonts w:ascii="Arial" w:eastAsia="Calibri" w:hAnsi="Arial" w:cs="Arial"/>
                <w:bCs/>
                <w:szCs w:val="22"/>
                <w:lang w:val="en-IN"/>
              </w:rPr>
              <w:t xml:space="preserve">) and bajra (Pennisetum glaucum)—are examined in relation to various organic and natural growing media, including vermicompost, cow dung, cocopeat, </w:t>
            </w:r>
            <w:r>
              <w:rPr>
                <w:rFonts w:ascii="Arial" w:eastAsia="Calibri" w:hAnsi="Arial" w:cs="Arial"/>
                <w:bCs/>
                <w:szCs w:val="22"/>
                <w:lang w:val="en-IN"/>
              </w:rPr>
              <w:t>sand</w:t>
            </w:r>
            <w:r w:rsidRPr="00706F3B">
              <w:rPr>
                <w:rFonts w:ascii="Arial" w:eastAsia="Calibri" w:hAnsi="Arial" w:cs="Arial"/>
                <w:bCs/>
                <w:szCs w:val="22"/>
                <w:lang w:val="en-IN"/>
              </w:rPr>
              <w:t xml:space="preserve">, and their combinations. Under carefully monitored laboratory conditions, germination speed, and germination percentage. </w:t>
            </w:r>
            <w:r w:rsidRPr="00706F3B">
              <w:rPr>
                <w:rFonts w:ascii="Arial" w:eastAsia="Calibri" w:hAnsi="Arial" w:cs="Arial"/>
                <w:bCs/>
                <w:szCs w:val="22"/>
                <w:lang w:val="en-IN"/>
              </w:rPr>
              <w:br/>
            </w:r>
            <w:r>
              <w:rPr>
                <w:rFonts w:ascii="Arial" w:eastAsia="Calibri" w:hAnsi="Arial" w:cs="Arial"/>
                <w:b/>
                <w:szCs w:val="22"/>
                <w:lang w:val="en-IN"/>
              </w:rPr>
              <w:t>Results</w:t>
            </w:r>
            <w:r w:rsidRPr="00706F3B">
              <w:rPr>
                <w:rFonts w:ascii="Arial" w:eastAsia="Calibri" w:hAnsi="Arial" w:cs="Arial"/>
                <w:b/>
                <w:szCs w:val="22"/>
                <w:lang w:val="en-IN"/>
              </w:rPr>
              <w:t xml:space="preserve">: </w:t>
            </w:r>
            <w:r w:rsidRPr="00706F3B">
              <w:rPr>
                <w:rFonts w:ascii="Arial" w:eastAsia="Calibri" w:hAnsi="Arial" w:cs="Arial"/>
                <w:bCs/>
                <w:szCs w:val="22"/>
                <w:lang w:val="en-IN"/>
              </w:rPr>
              <w:t xml:space="preserve">Vermicompost and cocopeat together greatly improved seedling </w:t>
            </w:r>
            <w:proofErr w:type="spellStart"/>
            <w:r w:rsidRPr="00706F3B">
              <w:rPr>
                <w:rFonts w:ascii="Arial" w:eastAsia="Calibri" w:hAnsi="Arial" w:cs="Arial"/>
                <w:bCs/>
                <w:szCs w:val="22"/>
                <w:lang w:val="en-IN"/>
              </w:rPr>
              <w:t>vigor</w:t>
            </w:r>
            <w:proofErr w:type="spellEnd"/>
            <w:r w:rsidRPr="00706F3B">
              <w:rPr>
                <w:rFonts w:ascii="Arial" w:eastAsia="Calibri" w:hAnsi="Arial" w:cs="Arial"/>
                <w:bCs/>
                <w:szCs w:val="22"/>
                <w:lang w:val="en-IN"/>
              </w:rPr>
              <w:t xml:space="preserve"> and germination performance, demonstrating the synergistic effects of high nutrient availability and moisture retention. While cocopeat maintained rapid germination rates, vermicompost alone showed strong support for root and shoot growth. Despite being high in organic matter, cow dung promoted moderate to strong seedling growth but produced relatively lower germination percentages. While cocopeat maintained rapid germination rates, vermicompost alone showed strong support for root and shoot growth. Despite being high in organic matter, cow dung promoted moderate to strong seedling growth but produced relatively lower germination percentages. Although </w:t>
            </w:r>
            <w:r>
              <w:rPr>
                <w:rFonts w:ascii="Arial" w:eastAsia="Calibri" w:hAnsi="Arial" w:cs="Arial"/>
                <w:bCs/>
                <w:szCs w:val="22"/>
                <w:lang w:val="en-IN"/>
              </w:rPr>
              <w:t>sand</w:t>
            </w:r>
            <w:r w:rsidRPr="00706F3B">
              <w:rPr>
                <w:rFonts w:ascii="Arial" w:eastAsia="Calibri" w:hAnsi="Arial" w:cs="Arial"/>
                <w:bCs/>
                <w:szCs w:val="22"/>
                <w:lang w:val="en-IN"/>
              </w:rPr>
              <w:t xml:space="preserve"> had the highest initial germination rate, its low nutrient and water-holding capacity prevented it from supporting the growth of subsequent seedlings. The results highlight how crucial it is to choose the right growing media for the best seedling performance and imply that a vermicompost and cocopeat mixture provides an affordable, sustainable substitute for enhancing crop establishment and germination in rainfed and low-input agricultural systems. </w:t>
            </w:r>
            <w:r w:rsidRPr="00706F3B">
              <w:rPr>
                <w:rFonts w:ascii="Arial" w:eastAsia="Calibri" w:hAnsi="Arial" w:cs="Arial"/>
                <w:bCs/>
                <w:szCs w:val="22"/>
                <w:lang w:val="en-IN"/>
              </w:rPr>
              <w:br/>
            </w:r>
            <w:r w:rsidRPr="00706F3B">
              <w:rPr>
                <w:rFonts w:ascii="Arial" w:eastAsia="Calibri" w:hAnsi="Arial" w:cs="Arial"/>
                <w:b/>
                <w:szCs w:val="22"/>
                <w:lang w:val="en-IN"/>
              </w:rPr>
              <w:t>conclusion</w:t>
            </w:r>
            <w:r>
              <w:rPr>
                <w:rFonts w:ascii="Arial" w:eastAsia="Calibri" w:hAnsi="Arial" w:cs="Arial"/>
                <w:b/>
                <w:szCs w:val="22"/>
                <w:lang w:val="en-IN"/>
              </w:rPr>
              <w:t xml:space="preserve">: </w:t>
            </w:r>
            <w:r w:rsidRPr="00706F3B">
              <w:rPr>
                <w:rFonts w:ascii="Arial" w:eastAsia="Calibri" w:hAnsi="Arial" w:cs="Arial"/>
                <w:bCs/>
                <w:szCs w:val="22"/>
                <w:lang w:val="en-IN"/>
              </w:rPr>
              <w:t>These observations can improve the yield of resilient crops in marginal soils and guide organic farming methods.</w:t>
            </w:r>
          </w:p>
        </w:tc>
      </w:tr>
    </w:tbl>
    <w:p w14:paraId="5EC2EA01" w14:textId="77777777" w:rsidR="00636EB2" w:rsidRDefault="00636EB2" w:rsidP="00441B6F">
      <w:pPr>
        <w:pStyle w:val="Body"/>
        <w:spacing w:after="0"/>
        <w:rPr>
          <w:rFonts w:ascii="Arial" w:hAnsi="Arial" w:cs="Arial"/>
          <w:i/>
        </w:rPr>
      </w:pPr>
    </w:p>
    <w:p w14:paraId="448D290A" w14:textId="57A6E7AA" w:rsidR="00790ADA" w:rsidRDefault="00A24E7E" w:rsidP="00A91490">
      <w:pPr>
        <w:pStyle w:val="Body"/>
        <w:spacing w:after="0"/>
        <w:rPr>
          <w:rFonts w:ascii="Arial" w:hAnsi="Arial" w:cs="Arial"/>
          <w:i/>
        </w:rPr>
      </w:pPr>
      <w:r>
        <w:rPr>
          <w:rFonts w:ascii="Arial" w:hAnsi="Arial" w:cs="Arial"/>
          <w:i/>
        </w:rPr>
        <w:t xml:space="preserve">Keywords: </w:t>
      </w:r>
      <w:r w:rsidR="00A91490" w:rsidRPr="00A91490">
        <w:rPr>
          <w:rFonts w:ascii="Arial" w:hAnsi="Arial" w:cs="Arial"/>
          <w:i/>
        </w:rPr>
        <w:t>Germination, Seedling Vigor, Jowar (</w:t>
      </w:r>
      <w:r w:rsidR="00A91490" w:rsidRPr="00A91490">
        <w:rPr>
          <w:rFonts w:ascii="Arial" w:hAnsi="Arial" w:cs="Arial"/>
          <w:i/>
          <w:iCs/>
        </w:rPr>
        <w:t>Sorghum bicolor</w:t>
      </w:r>
      <w:r w:rsidR="00A91490" w:rsidRPr="00A91490">
        <w:rPr>
          <w:rFonts w:ascii="Arial" w:hAnsi="Arial" w:cs="Arial"/>
          <w:i/>
        </w:rPr>
        <w:t>), Bajra (</w:t>
      </w:r>
      <w:r w:rsidR="00A91490" w:rsidRPr="00A91490">
        <w:rPr>
          <w:rFonts w:ascii="Arial" w:hAnsi="Arial" w:cs="Arial"/>
          <w:i/>
          <w:iCs/>
        </w:rPr>
        <w:t>Pennisetum glaucum</w:t>
      </w:r>
      <w:r w:rsidR="00A91490" w:rsidRPr="00A91490">
        <w:rPr>
          <w:rFonts w:ascii="Arial" w:hAnsi="Arial" w:cs="Arial"/>
          <w:i/>
        </w:rPr>
        <w:t>), Vermicompost, Cow Dung, Cocopeat, Sand Soil, Organic Amendments, Growing Media, Sustainable Agriculture, Seed Emergence, Rainfed Cropping Systems, Soil Fertility.</w:t>
      </w:r>
    </w:p>
    <w:p w14:paraId="51AAC8F7" w14:textId="77777777" w:rsidR="00A91490" w:rsidRDefault="00A91490" w:rsidP="00A91490">
      <w:pPr>
        <w:pStyle w:val="Body"/>
        <w:spacing w:after="0"/>
        <w:rPr>
          <w:rFonts w:ascii="Arial" w:hAnsi="Arial" w:cs="Arial"/>
          <w:i/>
        </w:rPr>
      </w:pPr>
    </w:p>
    <w:p w14:paraId="7DD03835" w14:textId="77777777" w:rsidR="00505F06" w:rsidRPr="00A24E7E" w:rsidRDefault="00505F06" w:rsidP="00441B6F">
      <w:pPr>
        <w:pStyle w:val="Body"/>
        <w:spacing w:after="0"/>
        <w:rPr>
          <w:rFonts w:ascii="Arial" w:hAnsi="Arial" w:cs="Arial"/>
          <w:i/>
        </w:rPr>
      </w:pPr>
    </w:p>
    <w:p w14:paraId="380952D3" w14:textId="0B439E53" w:rsidR="007F7B32" w:rsidRDefault="00902823" w:rsidP="006C6856">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BB2F02" w14:textId="77777777" w:rsidR="00790ADA" w:rsidRPr="00FB3A86" w:rsidRDefault="00790ADA" w:rsidP="00441B6F">
      <w:pPr>
        <w:pStyle w:val="AbstHead"/>
        <w:spacing w:after="0"/>
        <w:jc w:val="both"/>
        <w:rPr>
          <w:rFonts w:ascii="Arial" w:hAnsi="Arial" w:cs="Arial"/>
        </w:rPr>
      </w:pPr>
    </w:p>
    <w:p w14:paraId="14FABC72" w14:textId="77777777" w:rsidR="00993BE9" w:rsidRPr="00932CA9" w:rsidRDefault="00993BE9" w:rsidP="00993BE9">
      <w:pPr>
        <w:spacing w:line="276" w:lineRule="auto"/>
        <w:ind w:right="-581"/>
        <w:jc w:val="both"/>
        <w:rPr>
          <w:rFonts w:asciiTheme="minorBidi" w:hAnsiTheme="minorBidi" w:cstheme="minorBidi"/>
        </w:rPr>
      </w:pPr>
      <w:r w:rsidRPr="00932CA9">
        <w:rPr>
          <w:rFonts w:asciiTheme="minorBidi" w:hAnsiTheme="minorBidi" w:cstheme="minorBidi"/>
        </w:rPr>
        <w:t xml:space="preserve">Germination is a crucial stage in a plant's life cycle. It greatly affects future growth and productivity. Successful germination leads to even crop establishment, which is essential for maximizing yield. This process depends on both internal factors, like seed viability, and external environmental </w:t>
      </w:r>
      <w:r w:rsidRPr="00932CA9">
        <w:rPr>
          <w:rFonts w:asciiTheme="minorBidi" w:hAnsiTheme="minorBidi" w:cstheme="minorBidi"/>
        </w:rPr>
        <w:lastRenderedPageBreak/>
        <w:t>conditions. The physical and chemical properties of the soil or growing medium play a key role (Bewley et al., 2013</w:t>
      </w:r>
      <w:r>
        <w:rPr>
          <w:rFonts w:asciiTheme="minorBidi" w:hAnsiTheme="minorBidi" w:cstheme="minorBidi"/>
        </w:rPr>
        <w:t xml:space="preserve">; </w:t>
      </w:r>
      <w:r w:rsidRPr="00B52E18">
        <w:rPr>
          <w:rFonts w:asciiTheme="minorBidi" w:hAnsiTheme="minorBidi" w:cstheme="minorBidi"/>
          <w:lang w:val="en-IN"/>
        </w:rPr>
        <w:t>Keerthana</w:t>
      </w:r>
      <w:r>
        <w:rPr>
          <w:rFonts w:asciiTheme="minorBidi" w:hAnsiTheme="minorBidi" w:cstheme="minorBidi"/>
          <w:lang w:val="en-IN"/>
        </w:rPr>
        <w:t xml:space="preserve"> et al., 2024; Chauhan et al., 2025</w:t>
      </w:r>
      <w:r w:rsidRPr="00932CA9">
        <w:rPr>
          <w:rFonts w:asciiTheme="minorBidi" w:hAnsiTheme="minorBidi" w:cstheme="minorBidi"/>
        </w:rPr>
        <w:t>). Among the external factors, nutrient availability, moisture retention, aeration, and microbial activity in the germination medium are especially important for seed emergence and seedling health.</w:t>
      </w:r>
    </w:p>
    <w:p w14:paraId="721C3029" w14:textId="77777777" w:rsidR="00993BE9" w:rsidRPr="00932CA9" w:rsidRDefault="00993BE9" w:rsidP="00993BE9">
      <w:pPr>
        <w:spacing w:line="276" w:lineRule="auto"/>
        <w:ind w:right="-581"/>
        <w:jc w:val="both"/>
        <w:rPr>
          <w:rFonts w:asciiTheme="minorBidi" w:hAnsiTheme="minorBidi" w:cstheme="minorBidi"/>
        </w:rPr>
      </w:pPr>
    </w:p>
    <w:p w14:paraId="3E70916D" w14:textId="77777777" w:rsidR="00993BE9" w:rsidRDefault="00993BE9" w:rsidP="00993BE9">
      <w:pPr>
        <w:spacing w:line="276" w:lineRule="auto"/>
        <w:ind w:right="-581"/>
        <w:jc w:val="both"/>
        <w:rPr>
          <w:rFonts w:asciiTheme="minorBidi" w:hAnsiTheme="minorBidi" w:cstheme="minorBidi"/>
        </w:rPr>
      </w:pPr>
      <w:r w:rsidRPr="00932CA9">
        <w:rPr>
          <w:rFonts w:asciiTheme="minorBidi" w:hAnsiTheme="minorBidi" w:cstheme="minorBidi"/>
        </w:rPr>
        <w:t>Cereal crops such as jowar (Sorghum bicolor) and bajra (Pennisetum glaucum) are key grains grown in semi-arid and arid areas. These crops resist drought and need little input, making them suitable for rainfed agriculture (Rao et al., 2014). However, improving soil fertility and structure with organic amendments can greatly boost their germination and early seedling development. Poor germination caused by degraded soils or unsuitable media can result in low plant population density and reduced yields, even in hardy crops like jowar and bajra.</w:t>
      </w:r>
    </w:p>
    <w:p w14:paraId="7F87D83D" w14:textId="77777777" w:rsidR="00993BE9" w:rsidRPr="00A91490" w:rsidRDefault="00993BE9" w:rsidP="00993BE9">
      <w:pPr>
        <w:spacing w:line="276" w:lineRule="auto"/>
        <w:jc w:val="both"/>
        <w:rPr>
          <w:rFonts w:asciiTheme="minorBidi" w:hAnsiTheme="minorBidi" w:cstheme="minorBidi"/>
        </w:rPr>
      </w:pPr>
    </w:p>
    <w:p w14:paraId="197F8D9B" w14:textId="77777777" w:rsidR="00993BE9" w:rsidRPr="00A91490" w:rsidRDefault="00993BE9" w:rsidP="00993BE9">
      <w:pPr>
        <w:spacing w:line="276" w:lineRule="auto"/>
        <w:jc w:val="both"/>
        <w:rPr>
          <w:rFonts w:asciiTheme="minorBidi" w:hAnsiTheme="minorBidi" w:cstheme="minorBidi"/>
          <w:b/>
          <w:bCs/>
        </w:rPr>
      </w:pPr>
      <w:r w:rsidRPr="00A91490">
        <w:rPr>
          <w:rFonts w:asciiTheme="minorBidi" w:hAnsiTheme="minorBidi" w:cstheme="minorBidi"/>
          <w:b/>
          <w:bCs/>
        </w:rPr>
        <w:t>Importance of Organic Amendments and Growing Media</w:t>
      </w:r>
    </w:p>
    <w:p w14:paraId="4D682715" w14:textId="77777777" w:rsidR="00993BE9" w:rsidRPr="0062427B" w:rsidRDefault="00993BE9" w:rsidP="00993BE9">
      <w:pPr>
        <w:pStyle w:val="AbstHead"/>
        <w:ind w:right="-581"/>
        <w:jc w:val="both"/>
        <w:rPr>
          <w:rFonts w:asciiTheme="minorBidi" w:hAnsiTheme="minorBidi" w:cstheme="minorBidi"/>
          <w:b w:val="0"/>
          <w:caps w:val="0"/>
          <w:sz w:val="20"/>
        </w:rPr>
      </w:pPr>
      <w:r w:rsidRPr="0062427B">
        <w:rPr>
          <w:rFonts w:asciiTheme="minorBidi" w:hAnsiTheme="minorBidi" w:cstheme="minorBidi"/>
          <w:b w:val="0"/>
          <w:caps w:val="0"/>
          <w:sz w:val="20"/>
        </w:rPr>
        <w:t>The use of organic fertilizers and alternative growing media has gained more attention as a sustainable way to improve germination and early growth</w:t>
      </w:r>
      <w:r>
        <w:rPr>
          <w:rFonts w:asciiTheme="minorBidi" w:hAnsiTheme="minorBidi" w:cstheme="minorBidi"/>
          <w:b w:val="0"/>
          <w:caps w:val="0"/>
          <w:sz w:val="20"/>
        </w:rPr>
        <w:t xml:space="preserve"> (Ahmed &amp; Jha,2023)</w:t>
      </w:r>
      <w:r w:rsidRPr="0062427B">
        <w:rPr>
          <w:rFonts w:asciiTheme="minorBidi" w:hAnsiTheme="minorBidi" w:cstheme="minorBidi"/>
          <w:b w:val="0"/>
          <w:caps w:val="0"/>
          <w:sz w:val="20"/>
        </w:rPr>
        <w:t xml:space="preserve">. Among these, vermicompost, cow dung, cocopeat, and </w:t>
      </w:r>
      <w:r>
        <w:rPr>
          <w:rFonts w:asciiTheme="minorBidi" w:hAnsiTheme="minorBidi" w:cstheme="minorBidi"/>
          <w:b w:val="0"/>
          <w:caps w:val="0"/>
          <w:sz w:val="20"/>
        </w:rPr>
        <w:t>sand</w:t>
      </w:r>
      <w:r w:rsidRPr="0062427B">
        <w:rPr>
          <w:rFonts w:asciiTheme="minorBidi" w:hAnsiTheme="minorBidi" w:cstheme="minorBidi"/>
          <w:b w:val="0"/>
          <w:caps w:val="0"/>
          <w:sz w:val="20"/>
        </w:rPr>
        <w:t xml:space="preserve"> are often studied for their effects on seed germination</w:t>
      </w:r>
      <w:r>
        <w:rPr>
          <w:rFonts w:asciiTheme="minorBidi" w:hAnsiTheme="minorBidi" w:cstheme="minorBidi"/>
          <w:b w:val="0"/>
          <w:caps w:val="0"/>
          <w:sz w:val="20"/>
        </w:rPr>
        <w:t>.  (Das &amp; Senapati, 2022)</w:t>
      </w:r>
    </w:p>
    <w:p w14:paraId="2FB03E2D" w14:textId="77777777" w:rsidR="00993BE9" w:rsidRPr="0062427B" w:rsidRDefault="00993BE9" w:rsidP="00993BE9">
      <w:pPr>
        <w:pStyle w:val="AbstHead"/>
        <w:ind w:right="-581"/>
        <w:jc w:val="both"/>
        <w:rPr>
          <w:rFonts w:asciiTheme="minorBidi" w:hAnsiTheme="minorBidi" w:cstheme="minorBidi"/>
          <w:b w:val="0"/>
          <w:caps w:val="0"/>
          <w:sz w:val="20"/>
        </w:rPr>
      </w:pPr>
      <w:r w:rsidRPr="0062427B">
        <w:rPr>
          <w:rFonts w:asciiTheme="minorBidi" w:hAnsiTheme="minorBidi" w:cstheme="minorBidi"/>
          <w:b w:val="0"/>
          <w:caps w:val="0"/>
          <w:sz w:val="20"/>
        </w:rPr>
        <w:t xml:space="preserve">Vermicompost is an organic fertilizer made from the breakdown of organic waste by earthworms. It offers readily available nutrients, plant growth-promoting substances like auxins and </w:t>
      </w:r>
      <w:proofErr w:type="spellStart"/>
      <w:r w:rsidRPr="0062427B">
        <w:rPr>
          <w:rFonts w:asciiTheme="minorBidi" w:hAnsiTheme="minorBidi" w:cstheme="minorBidi"/>
          <w:b w:val="0"/>
          <w:caps w:val="0"/>
          <w:sz w:val="20"/>
        </w:rPr>
        <w:t>cytokinins</w:t>
      </w:r>
      <w:proofErr w:type="spellEnd"/>
      <w:r w:rsidRPr="0062427B">
        <w:rPr>
          <w:rFonts w:asciiTheme="minorBidi" w:hAnsiTheme="minorBidi" w:cstheme="minorBidi"/>
          <w:b w:val="0"/>
          <w:caps w:val="0"/>
          <w:sz w:val="20"/>
        </w:rPr>
        <w:t>, and a helpful microbial population. These elements improve soil structure and nutrient availability, which leads to better seed germination and stronger seedlings (</w:t>
      </w:r>
      <w:proofErr w:type="spellStart"/>
      <w:r w:rsidRPr="0062427B">
        <w:rPr>
          <w:rFonts w:asciiTheme="minorBidi" w:hAnsiTheme="minorBidi" w:cstheme="minorBidi"/>
          <w:b w:val="0"/>
          <w:caps w:val="0"/>
          <w:sz w:val="20"/>
        </w:rPr>
        <w:t>Arancon</w:t>
      </w:r>
      <w:proofErr w:type="spellEnd"/>
      <w:r w:rsidRPr="0062427B">
        <w:rPr>
          <w:rFonts w:asciiTheme="minorBidi" w:hAnsiTheme="minorBidi" w:cstheme="minorBidi"/>
          <w:b w:val="0"/>
          <w:caps w:val="0"/>
          <w:sz w:val="20"/>
        </w:rPr>
        <w:t xml:space="preserve"> et al., 2004). Vermicompost also increases moisture retention and aeration in the root zone. Both are crucial during the early stages of crop establishment.</w:t>
      </w:r>
    </w:p>
    <w:p w14:paraId="174E0D41" w14:textId="77777777" w:rsidR="00993BE9" w:rsidRPr="0062427B" w:rsidRDefault="00993BE9" w:rsidP="00993BE9">
      <w:pPr>
        <w:pStyle w:val="AbstHead"/>
        <w:ind w:right="-581"/>
        <w:jc w:val="both"/>
        <w:rPr>
          <w:rFonts w:asciiTheme="minorBidi" w:hAnsiTheme="minorBidi" w:cstheme="minorBidi"/>
          <w:b w:val="0"/>
          <w:caps w:val="0"/>
          <w:sz w:val="20"/>
        </w:rPr>
      </w:pPr>
      <w:r w:rsidRPr="0062427B">
        <w:rPr>
          <w:rFonts w:asciiTheme="minorBidi" w:hAnsiTheme="minorBidi" w:cstheme="minorBidi"/>
          <w:b w:val="0"/>
          <w:caps w:val="0"/>
          <w:sz w:val="20"/>
        </w:rPr>
        <w:t>Cow dung is a traditional organic manure that contains high levels of organic carbon and beneficial microbes. It provides a slow but steady release of essential nutrients like nitrogen, phosphorus, and potassium. Well-decomposed cow dung enhances the physical properties of the soil by improving aeration and water-holding capacity. Studies show that cow dung positively affects the germination and early growth of cereals by boosting microbial activity and improving conditions in the root zone (Sahu &amp; Mittra, 2017).</w:t>
      </w:r>
    </w:p>
    <w:p w14:paraId="285F4657" w14:textId="77777777" w:rsidR="00993BE9" w:rsidRPr="0062427B" w:rsidRDefault="00993BE9" w:rsidP="00993BE9">
      <w:pPr>
        <w:pStyle w:val="AbstHead"/>
        <w:ind w:right="-581"/>
        <w:jc w:val="both"/>
        <w:rPr>
          <w:rFonts w:asciiTheme="minorBidi" w:hAnsiTheme="minorBidi" w:cstheme="minorBidi"/>
          <w:b w:val="0"/>
          <w:caps w:val="0"/>
          <w:sz w:val="20"/>
        </w:rPr>
      </w:pPr>
      <w:r w:rsidRPr="0062427B">
        <w:rPr>
          <w:rFonts w:asciiTheme="minorBidi" w:hAnsiTheme="minorBidi" w:cstheme="minorBidi"/>
          <w:b w:val="0"/>
          <w:caps w:val="0"/>
          <w:sz w:val="20"/>
        </w:rPr>
        <w:t>Cocopeat is a spongy material made from coconut husk. It is widely used as a soil-less growing medium in horticulture and seedling production. It features high water retention, excellent aeration, and low bulk density. Though low in nutrients, cocopeat acts as a neutral, disease-free medium ideal for seed germination, especially when mixed with nutrient-rich materials like vermicompost or cow dung (Yadav et al., 2018). Its inert nature helps maintain a stable environment around the seed and reduces water stress during imbibition and radicle emergence.</w:t>
      </w:r>
    </w:p>
    <w:p w14:paraId="6A1A3545" w14:textId="77777777" w:rsidR="00993BE9" w:rsidRPr="0062427B" w:rsidRDefault="00993BE9" w:rsidP="00993BE9">
      <w:pPr>
        <w:pStyle w:val="AbstHead"/>
        <w:ind w:right="-581"/>
        <w:jc w:val="both"/>
        <w:rPr>
          <w:rFonts w:asciiTheme="minorBidi" w:hAnsiTheme="minorBidi" w:cstheme="minorBidi"/>
          <w:b w:val="0"/>
          <w:caps w:val="0"/>
          <w:sz w:val="20"/>
        </w:rPr>
      </w:pPr>
      <w:r>
        <w:rPr>
          <w:rFonts w:asciiTheme="minorBidi" w:hAnsiTheme="minorBidi" w:cstheme="minorBidi"/>
          <w:b w:val="0"/>
          <w:caps w:val="0"/>
          <w:sz w:val="20"/>
        </w:rPr>
        <w:t>Sand</w:t>
      </w:r>
      <w:r w:rsidRPr="0062427B">
        <w:rPr>
          <w:rFonts w:asciiTheme="minorBidi" w:hAnsiTheme="minorBidi" w:cstheme="minorBidi"/>
          <w:b w:val="0"/>
          <w:caps w:val="0"/>
          <w:sz w:val="20"/>
        </w:rPr>
        <w:t xml:space="preserve"> consists of large particles, making it highly permeable but low in water-holding capacity. While it is not ideal as a standalone growing medium due to its limited nutrient content, it can support germination when combined with organic materials. The loose texture of sandy soil improves drainage and helps prevent waterlogging, which can hinder germination and encourage fungal infections. Its effectiveness increases significantly when mixed with compost or manure (Lehmann &amp; Joseph, 2009).</w:t>
      </w:r>
    </w:p>
    <w:p w14:paraId="0A7A84B7" w14:textId="77777777" w:rsidR="00993BE9" w:rsidRPr="005C6630" w:rsidRDefault="00993BE9" w:rsidP="00993BE9">
      <w:pPr>
        <w:pStyle w:val="AbstHead"/>
        <w:ind w:right="-581"/>
        <w:jc w:val="both"/>
        <w:rPr>
          <w:rFonts w:asciiTheme="minorBidi" w:hAnsiTheme="minorBidi" w:cstheme="minorBidi"/>
          <w:lang w:val="en-IN"/>
        </w:rPr>
      </w:pPr>
      <w:r>
        <w:rPr>
          <w:rFonts w:asciiTheme="minorBidi" w:hAnsiTheme="minorBidi" w:cstheme="minorBidi"/>
          <w:b w:val="0"/>
          <w:bCs/>
          <w:caps w:val="0"/>
          <w:sz w:val="20"/>
          <w:szCs w:val="18"/>
          <w:lang w:val="en-IN"/>
        </w:rPr>
        <w:t>T</w:t>
      </w:r>
      <w:r w:rsidRPr="005C6630">
        <w:rPr>
          <w:rFonts w:asciiTheme="minorBidi" w:hAnsiTheme="minorBidi" w:cstheme="minorBidi"/>
          <w:b w:val="0"/>
          <w:bCs/>
          <w:caps w:val="0"/>
          <w:sz w:val="20"/>
          <w:szCs w:val="18"/>
          <w:lang w:val="en-IN"/>
        </w:rPr>
        <w:t xml:space="preserve">hus, choosing a suitable germination medium enhanced with organic inputs can be very important for improving seed performance, particularly in situations where resources are scarce. improving crop establishment in marginal environments requires an understanding of how various media affect germination and early seedling growth in crops like bajra and jowar. </w:t>
      </w:r>
      <w:proofErr w:type="gramStart"/>
      <w:r>
        <w:rPr>
          <w:rFonts w:asciiTheme="minorBidi" w:hAnsiTheme="minorBidi" w:cstheme="minorBidi"/>
          <w:b w:val="0"/>
          <w:bCs/>
          <w:caps w:val="0"/>
          <w:sz w:val="20"/>
          <w:szCs w:val="18"/>
          <w:lang w:val="en-IN"/>
        </w:rPr>
        <w:t>In</w:t>
      </w:r>
      <w:r w:rsidRPr="005C6630">
        <w:rPr>
          <w:rFonts w:asciiTheme="minorBidi" w:hAnsiTheme="minorBidi" w:cstheme="minorBidi"/>
          <w:b w:val="0"/>
          <w:bCs/>
          <w:caps w:val="0"/>
          <w:sz w:val="20"/>
          <w:szCs w:val="18"/>
          <w:lang w:val="en-IN"/>
        </w:rPr>
        <w:t xml:space="preserve"> order to</w:t>
      </w:r>
      <w:proofErr w:type="gramEnd"/>
      <w:r w:rsidRPr="005C6630">
        <w:rPr>
          <w:rFonts w:asciiTheme="minorBidi" w:hAnsiTheme="minorBidi" w:cstheme="minorBidi"/>
          <w:b w:val="0"/>
          <w:bCs/>
          <w:caps w:val="0"/>
          <w:sz w:val="20"/>
          <w:szCs w:val="18"/>
          <w:lang w:val="en-IN"/>
        </w:rPr>
        <w:t xml:space="preserve"> find affordable and sustainable ways to increase crop productivity, this study will assess how different germination media </w:t>
      </w:r>
      <w:r w:rsidRPr="005C6630">
        <w:rPr>
          <w:rFonts w:asciiTheme="minorBidi" w:hAnsiTheme="minorBidi" w:cstheme="minorBidi"/>
          <w:b w:val="0"/>
          <w:bCs/>
          <w:caps w:val="0"/>
          <w:sz w:val="20"/>
          <w:szCs w:val="18"/>
          <w:lang w:val="en-IN"/>
        </w:rPr>
        <w:lastRenderedPageBreak/>
        <w:t xml:space="preserve">affect the </w:t>
      </w:r>
      <w:proofErr w:type="spellStart"/>
      <w:r w:rsidRPr="005C6630">
        <w:rPr>
          <w:rFonts w:asciiTheme="minorBidi" w:hAnsiTheme="minorBidi" w:cstheme="minorBidi"/>
          <w:b w:val="0"/>
          <w:bCs/>
          <w:caps w:val="0"/>
          <w:sz w:val="20"/>
          <w:szCs w:val="18"/>
          <w:lang w:val="en-IN"/>
        </w:rPr>
        <w:t>vigor</w:t>
      </w:r>
      <w:proofErr w:type="spellEnd"/>
      <w:r w:rsidRPr="005C6630">
        <w:rPr>
          <w:rFonts w:asciiTheme="minorBidi" w:hAnsiTheme="minorBidi" w:cstheme="minorBidi"/>
          <w:b w:val="0"/>
          <w:bCs/>
          <w:caps w:val="0"/>
          <w:sz w:val="20"/>
          <w:szCs w:val="18"/>
          <w:lang w:val="en-IN"/>
        </w:rPr>
        <w:t xml:space="preserve">, initial growth, and seed germination rate of sorghum </w:t>
      </w:r>
      <w:proofErr w:type="spellStart"/>
      <w:r w:rsidRPr="005C6630">
        <w:rPr>
          <w:rFonts w:asciiTheme="minorBidi" w:hAnsiTheme="minorBidi" w:cstheme="minorBidi"/>
          <w:b w:val="0"/>
          <w:bCs/>
          <w:caps w:val="0"/>
          <w:sz w:val="20"/>
          <w:szCs w:val="18"/>
          <w:lang w:val="en-IN"/>
        </w:rPr>
        <w:t>bicolor</w:t>
      </w:r>
      <w:proofErr w:type="spellEnd"/>
      <w:r w:rsidRPr="005C6630">
        <w:rPr>
          <w:rFonts w:asciiTheme="minorBidi" w:hAnsiTheme="minorBidi" w:cstheme="minorBidi"/>
          <w:b w:val="0"/>
          <w:bCs/>
          <w:caps w:val="0"/>
          <w:sz w:val="20"/>
          <w:szCs w:val="18"/>
          <w:lang w:val="en-IN"/>
        </w:rPr>
        <w:t xml:space="preserve"> and </w:t>
      </w:r>
      <w:proofErr w:type="spellStart"/>
      <w:r w:rsidRPr="005C6630">
        <w:rPr>
          <w:rFonts w:asciiTheme="minorBidi" w:hAnsiTheme="minorBidi" w:cstheme="minorBidi"/>
          <w:b w:val="0"/>
          <w:bCs/>
          <w:caps w:val="0"/>
          <w:sz w:val="20"/>
          <w:szCs w:val="18"/>
          <w:lang w:val="en-IN"/>
        </w:rPr>
        <w:t>pennisetum</w:t>
      </w:r>
      <w:proofErr w:type="spellEnd"/>
      <w:r w:rsidRPr="005C6630">
        <w:rPr>
          <w:rFonts w:asciiTheme="minorBidi" w:hAnsiTheme="minorBidi" w:cstheme="minorBidi"/>
          <w:b w:val="0"/>
          <w:bCs/>
          <w:caps w:val="0"/>
          <w:sz w:val="20"/>
          <w:szCs w:val="18"/>
          <w:lang w:val="en-IN"/>
        </w:rPr>
        <w:t xml:space="preserve"> glaucum</w:t>
      </w:r>
      <w:r w:rsidRPr="005C6630">
        <w:rPr>
          <w:rFonts w:asciiTheme="minorBidi" w:hAnsiTheme="minorBidi" w:cstheme="minorBidi"/>
          <w:lang w:val="en-IN"/>
        </w:rPr>
        <w:t>.</w:t>
      </w:r>
    </w:p>
    <w:p w14:paraId="3371C8EB" w14:textId="77777777" w:rsidR="00A91490" w:rsidRPr="00993BE9" w:rsidRDefault="00A91490" w:rsidP="00441B6F">
      <w:pPr>
        <w:pStyle w:val="Body"/>
        <w:spacing w:after="0"/>
        <w:rPr>
          <w:rFonts w:ascii="Arial" w:hAnsi="Arial" w:cs="Arial"/>
          <w:lang w:val="en-IN"/>
        </w:rPr>
      </w:pPr>
    </w:p>
    <w:p w14:paraId="3F851CCD" w14:textId="77777777" w:rsidR="00993BE9" w:rsidRDefault="00993BE9" w:rsidP="00993BE9">
      <w:pPr>
        <w:pStyle w:val="AbstHead"/>
        <w:spacing w:after="0"/>
        <w:ind w:right="-581"/>
        <w:jc w:val="both"/>
        <w:rPr>
          <w:rFonts w:ascii="Arial" w:hAnsi="Arial" w:cs="Arial"/>
        </w:rPr>
      </w:pPr>
      <w:r w:rsidRPr="0062427B">
        <w:rPr>
          <w:rFonts w:asciiTheme="minorBidi" w:hAnsiTheme="minorBidi" w:cstheme="minorBidi"/>
          <w:b w:val="0"/>
          <w:caps w:val="0"/>
          <w:sz w:val="20"/>
        </w:rPr>
        <w:t>.</w:t>
      </w:r>
      <w:r>
        <w:rPr>
          <w:rFonts w:ascii="Arial" w:hAnsi="Arial" w:cs="Arial"/>
        </w:rPr>
        <w:t xml:space="preserve">2. material and methods </w:t>
      </w:r>
    </w:p>
    <w:p w14:paraId="70AEAA74" w14:textId="77777777" w:rsidR="00993BE9" w:rsidRPr="00FB3A86" w:rsidRDefault="00993BE9" w:rsidP="00993BE9">
      <w:pPr>
        <w:pStyle w:val="AbstHead"/>
        <w:spacing w:after="0"/>
        <w:jc w:val="both"/>
        <w:rPr>
          <w:rFonts w:ascii="Arial" w:hAnsi="Arial" w:cs="Arial"/>
        </w:rPr>
      </w:pPr>
    </w:p>
    <w:p w14:paraId="77CE1701" w14:textId="77777777" w:rsidR="00993BE9" w:rsidRPr="00335110" w:rsidRDefault="00993BE9" w:rsidP="00993BE9">
      <w:pPr>
        <w:spacing w:line="276" w:lineRule="auto"/>
        <w:ind w:right="-581"/>
        <w:jc w:val="both"/>
        <w:rPr>
          <w:rFonts w:ascii="Times New Roman" w:hAnsi="Times New Roman"/>
          <w:sz w:val="24"/>
          <w:szCs w:val="24"/>
        </w:rPr>
      </w:pPr>
      <w:r>
        <w:rPr>
          <w:rFonts w:ascii="Times New Roman" w:hAnsi="Times New Roman"/>
          <w:sz w:val="24"/>
          <w:szCs w:val="24"/>
        </w:rPr>
        <w:t>2.</w:t>
      </w:r>
      <w:r w:rsidRPr="00335110">
        <w:rPr>
          <w:rFonts w:ascii="Times New Roman" w:hAnsi="Times New Roman"/>
          <w:sz w:val="24"/>
          <w:szCs w:val="24"/>
        </w:rPr>
        <w:t>1.</w:t>
      </w:r>
      <w:r>
        <w:rPr>
          <w:rFonts w:ascii="Times New Roman" w:hAnsi="Times New Roman"/>
          <w:sz w:val="24"/>
          <w:szCs w:val="24"/>
        </w:rPr>
        <w:t xml:space="preserve"> </w:t>
      </w:r>
      <w:r w:rsidRPr="00335110">
        <w:rPr>
          <w:rFonts w:ascii="Times New Roman" w:hAnsi="Times New Roman"/>
          <w:sz w:val="24"/>
          <w:szCs w:val="24"/>
        </w:rPr>
        <w:t xml:space="preserve"> </w:t>
      </w:r>
      <w:r w:rsidRPr="00335110">
        <w:rPr>
          <w:rFonts w:ascii="Times New Roman" w:hAnsi="Times New Roman"/>
          <w:b/>
          <w:bCs/>
          <w:sz w:val="24"/>
          <w:szCs w:val="24"/>
        </w:rPr>
        <w:t>Experimental Site and Duration</w:t>
      </w:r>
    </w:p>
    <w:p w14:paraId="38556CBC" w14:textId="77777777" w:rsidR="00993BE9" w:rsidRPr="007B51CA" w:rsidRDefault="00993BE9" w:rsidP="00993BE9">
      <w:pPr>
        <w:spacing w:line="276" w:lineRule="auto"/>
        <w:ind w:left="142" w:right="-581"/>
        <w:jc w:val="both"/>
        <w:rPr>
          <w:rFonts w:asciiTheme="minorBidi" w:hAnsiTheme="minorBidi" w:cstheme="minorBidi"/>
        </w:rPr>
      </w:pPr>
      <w:r w:rsidRPr="007B51CA">
        <w:rPr>
          <w:rFonts w:asciiTheme="minorBidi" w:hAnsiTheme="minorBidi" w:cstheme="minorBidi"/>
        </w:rPr>
        <w:t>The experiment was conducted under controlled conditions in the laboratory at Department of Botany, Mata Jijabai Govt PG Girls College, Indore during the 2025. The study was carried out for a period sufficient to capture germination and early seedling development (typically 10–15 days).</w:t>
      </w:r>
    </w:p>
    <w:p w14:paraId="40394D60" w14:textId="77777777" w:rsidR="00993BE9" w:rsidRPr="007B51CA" w:rsidRDefault="00993BE9" w:rsidP="00993BE9">
      <w:pPr>
        <w:spacing w:line="276" w:lineRule="auto"/>
        <w:ind w:right="-581"/>
        <w:jc w:val="both"/>
        <w:rPr>
          <w:rFonts w:asciiTheme="minorBidi" w:hAnsiTheme="minorBidi" w:cstheme="minorBidi"/>
        </w:rPr>
      </w:pPr>
      <w:r w:rsidRPr="007B51CA">
        <w:rPr>
          <w:rFonts w:asciiTheme="minorBidi" w:hAnsiTheme="minorBidi" w:cstheme="minorBidi"/>
        </w:rPr>
        <w:t>2. 2</w:t>
      </w:r>
      <w:r w:rsidRPr="007B51CA">
        <w:rPr>
          <w:rFonts w:asciiTheme="minorBidi" w:hAnsiTheme="minorBidi" w:cstheme="minorBidi"/>
          <w:b/>
          <w:bCs/>
        </w:rPr>
        <w:t xml:space="preserve">.  </w:t>
      </w:r>
      <w:r>
        <w:rPr>
          <w:rFonts w:asciiTheme="minorBidi" w:hAnsiTheme="minorBidi" w:cstheme="minorBidi"/>
          <w:b/>
          <w:bCs/>
        </w:rPr>
        <w:t>Seed</w:t>
      </w:r>
      <w:r w:rsidRPr="007B51CA">
        <w:rPr>
          <w:rFonts w:asciiTheme="minorBidi" w:hAnsiTheme="minorBidi" w:cstheme="minorBidi"/>
          <w:b/>
          <w:bCs/>
        </w:rPr>
        <w:t xml:space="preserve"> Material</w:t>
      </w:r>
    </w:p>
    <w:p w14:paraId="715A36FC" w14:textId="77777777" w:rsidR="00993BE9" w:rsidRPr="007B51CA" w:rsidRDefault="00993BE9" w:rsidP="00993BE9">
      <w:pPr>
        <w:spacing w:after="160"/>
        <w:ind w:left="142" w:right="-581"/>
        <w:jc w:val="both"/>
        <w:rPr>
          <w:rFonts w:asciiTheme="minorBidi" w:hAnsiTheme="minorBidi" w:cstheme="minorBidi"/>
        </w:rPr>
      </w:pPr>
      <w:r w:rsidRPr="007B51CA">
        <w:rPr>
          <w:rFonts w:asciiTheme="minorBidi" w:hAnsiTheme="minorBidi" w:cstheme="minorBidi"/>
        </w:rPr>
        <w:t>Certified seeds of two cereal crops</w:t>
      </w:r>
      <w:r>
        <w:rPr>
          <w:rFonts w:asciiTheme="minorBidi" w:hAnsiTheme="minorBidi" w:cstheme="minorBidi"/>
        </w:rPr>
        <w:t>,</w:t>
      </w:r>
      <w:r w:rsidRPr="007B51CA">
        <w:rPr>
          <w:rFonts w:asciiTheme="minorBidi" w:hAnsiTheme="minorBidi" w:cstheme="minorBidi"/>
        </w:rPr>
        <w:t xml:space="preserve"> were obtained from a reputable agricultural seed supplier or local agricultural university. All seeds were uniform in size, free from visible defects, and tested for viability before sowing.</w:t>
      </w:r>
    </w:p>
    <w:p w14:paraId="2CFC5CF5" w14:textId="77777777" w:rsidR="00993BE9" w:rsidRPr="007B51CA" w:rsidRDefault="00993BE9" w:rsidP="00993BE9">
      <w:pPr>
        <w:numPr>
          <w:ilvl w:val="0"/>
          <w:numId w:val="31"/>
        </w:numPr>
        <w:spacing w:after="160"/>
        <w:jc w:val="both"/>
        <w:rPr>
          <w:rFonts w:asciiTheme="minorBidi" w:hAnsiTheme="minorBidi" w:cstheme="minorBidi"/>
        </w:rPr>
      </w:pPr>
      <w:r w:rsidRPr="007B51CA">
        <w:rPr>
          <w:rFonts w:asciiTheme="minorBidi" w:hAnsiTheme="minorBidi" w:cstheme="minorBidi"/>
        </w:rPr>
        <w:t>Jowar (</w:t>
      </w:r>
      <w:r w:rsidRPr="007B51CA">
        <w:rPr>
          <w:rFonts w:asciiTheme="minorBidi" w:hAnsiTheme="minorBidi" w:cstheme="minorBidi"/>
          <w:i/>
          <w:iCs/>
        </w:rPr>
        <w:t>Sorghum</w:t>
      </w:r>
      <w:r w:rsidRPr="007B51CA">
        <w:rPr>
          <w:rFonts w:asciiTheme="minorBidi" w:hAnsiTheme="minorBidi" w:cstheme="minorBidi"/>
        </w:rPr>
        <w:t>)</w:t>
      </w:r>
    </w:p>
    <w:p w14:paraId="6886DCC5" w14:textId="77777777" w:rsidR="00993BE9" w:rsidRDefault="00993BE9" w:rsidP="00993BE9">
      <w:pPr>
        <w:numPr>
          <w:ilvl w:val="0"/>
          <w:numId w:val="31"/>
        </w:numPr>
        <w:spacing w:after="160" w:line="276" w:lineRule="auto"/>
        <w:ind w:right="237"/>
        <w:jc w:val="both"/>
        <w:rPr>
          <w:rFonts w:asciiTheme="minorBidi" w:hAnsiTheme="minorBidi" w:cstheme="minorBidi"/>
        </w:rPr>
      </w:pPr>
      <w:r w:rsidRPr="007B51CA">
        <w:rPr>
          <w:rFonts w:asciiTheme="minorBidi" w:hAnsiTheme="minorBidi" w:cstheme="minorBidi"/>
        </w:rPr>
        <w:t>Bajra (</w:t>
      </w:r>
      <w:r w:rsidRPr="007B51CA">
        <w:rPr>
          <w:rFonts w:asciiTheme="minorBidi" w:hAnsiTheme="minorBidi" w:cstheme="minorBidi"/>
          <w:i/>
          <w:iCs/>
        </w:rPr>
        <w:t>Pennisetum glaucum</w:t>
      </w:r>
      <w:r w:rsidRPr="007B51CA">
        <w:rPr>
          <w:rFonts w:asciiTheme="minorBidi" w:hAnsiTheme="minorBidi" w:cstheme="minorBidi"/>
        </w:rPr>
        <w:t xml:space="preserve">) </w:t>
      </w:r>
    </w:p>
    <w:p w14:paraId="18D0737F" w14:textId="77777777" w:rsidR="00993BE9" w:rsidRPr="007B51CA" w:rsidRDefault="00993BE9" w:rsidP="00993BE9">
      <w:pPr>
        <w:spacing w:after="160" w:line="276" w:lineRule="auto"/>
        <w:ind w:right="237"/>
        <w:jc w:val="both"/>
        <w:rPr>
          <w:rFonts w:asciiTheme="minorBidi" w:hAnsiTheme="minorBidi" w:cstheme="minorBidi"/>
        </w:rPr>
      </w:pPr>
      <w:r w:rsidRPr="007B51CA">
        <w:rPr>
          <w:rFonts w:asciiTheme="minorBidi" w:hAnsiTheme="minorBidi" w:cstheme="minorBidi"/>
        </w:rPr>
        <w:t xml:space="preserve">2.3. </w:t>
      </w:r>
      <w:r w:rsidRPr="007B51CA">
        <w:rPr>
          <w:rFonts w:asciiTheme="minorBidi" w:hAnsiTheme="minorBidi" w:cstheme="minorBidi"/>
          <w:b/>
          <w:bCs/>
        </w:rPr>
        <w:t>Growing Media</w:t>
      </w:r>
      <w:r w:rsidRPr="007B51CA">
        <w:rPr>
          <w:rFonts w:asciiTheme="minorBidi" w:hAnsiTheme="minorBidi" w:cstheme="minorBidi"/>
        </w:rPr>
        <w:t xml:space="preserve"> (Treatments)</w:t>
      </w:r>
    </w:p>
    <w:p w14:paraId="0FEB8144" w14:textId="77777777" w:rsidR="00993BE9" w:rsidRDefault="00993BE9" w:rsidP="00993BE9">
      <w:pPr>
        <w:jc w:val="both"/>
        <w:rPr>
          <w:rFonts w:asciiTheme="minorBidi" w:hAnsiTheme="minorBidi" w:cstheme="minorBidi"/>
        </w:rPr>
      </w:pPr>
      <w:r w:rsidRPr="007B51CA">
        <w:rPr>
          <w:rFonts w:asciiTheme="minorBidi" w:hAnsiTheme="minorBidi" w:cstheme="minorBidi"/>
        </w:rPr>
        <w:t>Four different growing media were prepared using the following materials:</w:t>
      </w:r>
    </w:p>
    <w:p w14:paraId="58CAD509" w14:textId="77777777" w:rsidR="00993BE9" w:rsidRPr="007B51CA" w:rsidRDefault="00993BE9" w:rsidP="00993BE9">
      <w:pPr>
        <w:jc w:val="both"/>
        <w:rPr>
          <w:rFonts w:asciiTheme="minorBidi" w:hAnsiTheme="minorBidi" w:cstheme="minorBidi"/>
        </w:rPr>
      </w:pPr>
    </w:p>
    <w:p w14:paraId="785B911C" w14:textId="77777777" w:rsidR="00993BE9" w:rsidRPr="007B51CA" w:rsidRDefault="00993BE9" w:rsidP="00993BE9">
      <w:pPr>
        <w:numPr>
          <w:ilvl w:val="0"/>
          <w:numId w:val="32"/>
        </w:numPr>
        <w:spacing w:after="160"/>
        <w:jc w:val="both"/>
        <w:rPr>
          <w:rFonts w:asciiTheme="minorBidi" w:hAnsiTheme="minorBidi" w:cstheme="minorBidi"/>
        </w:rPr>
      </w:pPr>
      <w:r w:rsidRPr="007B51CA">
        <w:rPr>
          <w:rFonts w:asciiTheme="minorBidi" w:hAnsiTheme="minorBidi" w:cstheme="minorBidi"/>
        </w:rPr>
        <w:t>Vermicompost (well-decomposed and mature)</w:t>
      </w:r>
    </w:p>
    <w:p w14:paraId="6BDACD04" w14:textId="77777777" w:rsidR="00993BE9" w:rsidRPr="007B51CA" w:rsidRDefault="00993BE9" w:rsidP="00993BE9">
      <w:pPr>
        <w:numPr>
          <w:ilvl w:val="0"/>
          <w:numId w:val="32"/>
        </w:numPr>
        <w:spacing w:after="160"/>
        <w:jc w:val="both"/>
        <w:rPr>
          <w:rFonts w:asciiTheme="minorBidi" w:hAnsiTheme="minorBidi" w:cstheme="minorBidi"/>
        </w:rPr>
      </w:pPr>
      <w:r w:rsidRPr="007B51CA">
        <w:rPr>
          <w:rFonts w:asciiTheme="minorBidi" w:hAnsiTheme="minorBidi" w:cstheme="minorBidi"/>
        </w:rPr>
        <w:t>Cow dung manure (air-dried and decomposed)</w:t>
      </w:r>
    </w:p>
    <w:p w14:paraId="43F7F762" w14:textId="77777777" w:rsidR="00993BE9" w:rsidRPr="007B51CA" w:rsidRDefault="00993BE9" w:rsidP="00993BE9">
      <w:pPr>
        <w:numPr>
          <w:ilvl w:val="0"/>
          <w:numId w:val="32"/>
        </w:numPr>
        <w:spacing w:after="160"/>
        <w:jc w:val="both"/>
        <w:rPr>
          <w:rFonts w:asciiTheme="minorBidi" w:hAnsiTheme="minorBidi" w:cstheme="minorBidi"/>
        </w:rPr>
      </w:pPr>
      <w:r w:rsidRPr="007B51CA">
        <w:rPr>
          <w:rFonts w:asciiTheme="minorBidi" w:hAnsiTheme="minorBidi" w:cstheme="minorBidi"/>
        </w:rPr>
        <w:t>Cocopeat (washed to remove salts)</w:t>
      </w:r>
    </w:p>
    <w:p w14:paraId="1ADA37DB" w14:textId="77777777" w:rsidR="00993BE9" w:rsidRDefault="00993BE9" w:rsidP="00993BE9">
      <w:pPr>
        <w:numPr>
          <w:ilvl w:val="0"/>
          <w:numId w:val="32"/>
        </w:numPr>
        <w:spacing w:after="160"/>
        <w:jc w:val="both"/>
        <w:rPr>
          <w:rFonts w:asciiTheme="minorBidi" w:hAnsiTheme="minorBidi" w:cstheme="minorBidi"/>
        </w:rPr>
      </w:pPr>
      <w:r w:rsidRPr="007B51CA">
        <w:rPr>
          <w:rFonts w:asciiTheme="minorBidi" w:hAnsiTheme="minorBidi" w:cstheme="minorBidi"/>
        </w:rPr>
        <w:t>Sand (sterilized and sieved to remove impurities)</w:t>
      </w:r>
    </w:p>
    <w:p w14:paraId="409D8A73" w14:textId="77777777" w:rsidR="00993BE9" w:rsidRPr="007B51CA" w:rsidRDefault="00993BE9" w:rsidP="00993BE9">
      <w:pPr>
        <w:numPr>
          <w:ilvl w:val="0"/>
          <w:numId w:val="32"/>
        </w:numPr>
        <w:spacing w:after="160"/>
        <w:jc w:val="both"/>
        <w:rPr>
          <w:rFonts w:asciiTheme="minorBidi" w:hAnsiTheme="minorBidi" w:cstheme="minorBidi"/>
        </w:rPr>
      </w:pPr>
      <w:r w:rsidRPr="007B51CA">
        <w:rPr>
          <w:rFonts w:asciiTheme="minorBidi" w:hAnsiTheme="minorBidi" w:cstheme="minorBidi"/>
        </w:rPr>
        <w:t>Vermicompost</w:t>
      </w:r>
      <w:r>
        <w:rPr>
          <w:rFonts w:asciiTheme="minorBidi" w:hAnsiTheme="minorBidi" w:cstheme="minorBidi"/>
        </w:rPr>
        <w:t xml:space="preserve"> +</w:t>
      </w:r>
      <w:r w:rsidRPr="000C76E5">
        <w:rPr>
          <w:rFonts w:asciiTheme="minorBidi" w:hAnsiTheme="minorBidi" w:cstheme="minorBidi"/>
        </w:rPr>
        <w:t xml:space="preserve"> </w:t>
      </w:r>
      <w:r w:rsidRPr="007B51CA">
        <w:rPr>
          <w:rFonts w:asciiTheme="minorBidi" w:hAnsiTheme="minorBidi" w:cstheme="minorBidi"/>
        </w:rPr>
        <w:t>Cocopeat</w:t>
      </w:r>
      <w:r>
        <w:rPr>
          <w:rFonts w:asciiTheme="minorBidi" w:hAnsiTheme="minorBidi" w:cstheme="minorBidi"/>
        </w:rPr>
        <w:t xml:space="preserve"> (1:1)</w:t>
      </w:r>
    </w:p>
    <w:p w14:paraId="76D538F6" w14:textId="77777777" w:rsidR="00993BE9" w:rsidRPr="006C6856" w:rsidRDefault="00993BE9" w:rsidP="00993BE9">
      <w:pPr>
        <w:spacing w:line="276" w:lineRule="auto"/>
        <w:jc w:val="both"/>
        <w:rPr>
          <w:rFonts w:asciiTheme="minorBidi" w:hAnsiTheme="minorBidi" w:cstheme="minorBidi"/>
        </w:rPr>
      </w:pPr>
      <w:r>
        <w:rPr>
          <w:rFonts w:ascii="Arial" w:hAnsi="Arial" w:cs="Arial"/>
        </w:rPr>
        <w:t>2.5</w:t>
      </w:r>
      <w:r w:rsidRPr="00335110">
        <w:rPr>
          <w:rFonts w:ascii="Times New Roman" w:hAnsi="Times New Roman"/>
          <w:sz w:val="24"/>
          <w:szCs w:val="24"/>
        </w:rPr>
        <w:t xml:space="preserve">. </w:t>
      </w:r>
      <w:r w:rsidRPr="006C6856">
        <w:rPr>
          <w:rFonts w:asciiTheme="minorBidi" w:hAnsiTheme="minorBidi" w:cstheme="minorBidi"/>
          <w:b/>
          <w:bCs/>
        </w:rPr>
        <w:t>Experimental Design</w:t>
      </w:r>
    </w:p>
    <w:p w14:paraId="6CF737BD" w14:textId="77777777" w:rsidR="00993BE9" w:rsidRPr="006C6856" w:rsidRDefault="00993BE9" w:rsidP="00993BE9">
      <w:pPr>
        <w:spacing w:line="276" w:lineRule="auto"/>
        <w:jc w:val="both"/>
        <w:rPr>
          <w:rFonts w:asciiTheme="minorBidi" w:hAnsiTheme="minorBidi" w:cstheme="minorBidi"/>
        </w:rPr>
      </w:pPr>
      <w:r w:rsidRPr="006C6856">
        <w:rPr>
          <w:rFonts w:asciiTheme="minorBidi" w:hAnsiTheme="minorBidi" w:cstheme="minorBidi"/>
        </w:rPr>
        <w:t>The experiment was laid out in a with 3 replications per treatment, for both jowar and bajra separately.</w:t>
      </w:r>
    </w:p>
    <w:p w14:paraId="63224FF5" w14:textId="77777777" w:rsidR="00993BE9" w:rsidRPr="006C6856" w:rsidRDefault="00993BE9" w:rsidP="00993BE9">
      <w:pPr>
        <w:spacing w:line="276" w:lineRule="auto"/>
        <w:jc w:val="both"/>
        <w:rPr>
          <w:rFonts w:asciiTheme="minorBidi" w:hAnsiTheme="minorBidi" w:cstheme="minorBidi"/>
        </w:rPr>
      </w:pPr>
      <w:r w:rsidRPr="006C6856">
        <w:rPr>
          <w:rFonts w:asciiTheme="minorBidi" w:hAnsiTheme="minorBidi" w:cstheme="minorBidi"/>
        </w:rPr>
        <w:t xml:space="preserve">2.6. </w:t>
      </w:r>
      <w:r w:rsidRPr="006C6856">
        <w:rPr>
          <w:rFonts w:asciiTheme="minorBidi" w:hAnsiTheme="minorBidi" w:cstheme="minorBidi"/>
          <w:b/>
          <w:bCs/>
        </w:rPr>
        <w:t>Sowing Procedure</w:t>
      </w:r>
    </w:p>
    <w:p w14:paraId="36626569" w14:textId="77777777" w:rsidR="00993BE9" w:rsidRPr="006C6856" w:rsidRDefault="00993BE9" w:rsidP="00993BE9">
      <w:pPr>
        <w:numPr>
          <w:ilvl w:val="0"/>
          <w:numId w:val="34"/>
        </w:numPr>
        <w:spacing w:after="160" w:line="276" w:lineRule="auto"/>
        <w:jc w:val="both"/>
        <w:rPr>
          <w:rFonts w:asciiTheme="minorBidi" w:hAnsiTheme="minorBidi" w:cstheme="minorBidi"/>
        </w:rPr>
      </w:pPr>
      <w:r w:rsidRPr="006C6856">
        <w:rPr>
          <w:rFonts w:asciiTheme="minorBidi" w:hAnsiTheme="minorBidi" w:cstheme="minorBidi"/>
        </w:rPr>
        <w:t>Seeds were surface sterilized using 1% sodium hypochlorite solution for 1–2 minutes and rinsed with distilled water.</w:t>
      </w:r>
    </w:p>
    <w:p w14:paraId="77D94D33" w14:textId="77777777" w:rsidR="00993BE9" w:rsidRPr="006C6856" w:rsidRDefault="00993BE9" w:rsidP="00993BE9">
      <w:pPr>
        <w:numPr>
          <w:ilvl w:val="0"/>
          <w:numId w:val="34"/>
        </w:numPr>
        <w:spacing w:after="160" w:line="276" w:lineRule="auto"/>
        <w:jc w:val="both"/>
        <w:rPr>
          <w:rFonts w:asciiTheme="minorBidi" w:hAnsiTheme="minorBidi" w:cstheme="minorBidi"/>
        </w:rPr>
      </w:pPr>
      <w:r w:rsidRPr="006C6856">
        <w:rPr>
          <w:rFonts w:asciiTheme="minorBidi" w:hAnsiTheme="minorBidi" w:cstheme="minorBidi"/>
        </w:rPr>
        <w:t>In each replicate, 10 seeds were sown uniformly in seed pots.</w:t>
      </w:r>
    </w:p>
    <w:p w14:paraId="6673987C" w14:textId="77777777" w:rsidR="00993BE9" w:rsidRPr="006C6856" w:rsidRDefault="00993BE9" w:rsidP="00993BE9">
      <w:pPr>
        <w:numPr>
          <w:ilvl w:val="0"/>
          <w:numId w:val="34"/>
        </w:numPr>
        <w:spacing w:after="160" w:line="276" w:lineRule="auto"/>
        <w:jc w:val="both"/>
        <w:rPr>
          <w:rFonts w:asciiTheme="minorBidi" w:hAnsiTheme="minorBidi" w:cstheme="minorBidi"/>
        </w:rPr>
      </w:pPr>
      <w:r w:rsidRPr="006C6856">
        <w:rPr>
          <w:rFonts w:asciiTheme="minorBidi" w:hAnsiTheme="minorBidi" w:cstheme="minorBidi"/>
        </w:rPr>
        <w:t>Pots were kept under ambient room temperature conditions.</w:t>
      </w:r>
    </w:p>
    <w:p w14:paraId="7BADA9BB" w14:textId="77777777" w:rsidR="00993BE9" w:rsidRDefault="00993BE9" w:rsidP="00993BE9">
      <w:pPr>
        <w:numPr>
          <w:ilvl w:val="0"/>
          <w:numId w:val="34"/>
        </w:numPr>
        <w:spacing w:after="160" w:line="276" w:lineRule="auto"/>
        <w:jc w:val="both"/>
        <w:rPr>
          <w:rFonts w:asciiTheme="minorBidi" w:hAnsiTheme="minorBidi" w:cstheme="minorBidi"/>
        </w:rPr>
      </w:pPr>
      <w:r w:rsidRPr="006C6856">
        <w:rPr>
          <w:rFonts w:asciiTheme="minorBidi" w:hAnsiTheme="minorBidi" w:cstheme="minorBidi"/>
        </w:rPr>
        <w:t>Watering was done regularly using distilled water to maintain optimum moisture levels (without waterlogging).</w:t>
      </w:r>
    </w:p>
    <w:p w14:paraId="50555F39" w14:textId="77777777" w:rsidR="00993BE9" w:rsidRDefault="00993BE9" w:rsidP="00993BE9">
      <w:pPr>
        <w:spacing w:line="276" w:lineRule="auto"/>
        <w:rPr>
          <w:rFonts w:ascii="Times New Roman" w:hAnsi="Times New Roman"/>
          <w:b/>
          <w:bCs/>
          <w:sz w:val="24"/>
          <w:szCs w:val="24"/>
        </w:rPr>
      </w:pPr>
    </w:p>
    <w:p w14:paraId="075013CE" w14:textId="77777777" w:rsidR="00993BE9" w:rsidRDefault="00993BE9" w:rsidP="00993BE9">
      <w:pPr>
        <w:spacing w:line="276" w:lineRule="auto"/>
        <w:rPr>
          <w:rFonts w:ascii="Times New Roman" w:hAnsi="Times New Roman"/>
          <w:b/>
          <w:bCs/>
          <w:sz w:val="24"/>
          <w:szCs w:val="24"/>
        </w:rPr>
      </w:pPr>
    </w:p>
    <w:p w14:paraId="7925D340" w14:textId="77777777" w:rsidR="00993BE9" w:rsidRDefault="00993BE9" w:rsidP="00993BE9">
      <w:pPr>
        <w:spacing w:line="276" w:lineRule="auto"/>
        <w:rPr>
          <w:rFonts w:ascii="Times New Roman" w:hAnsi="Times New Roman"/>
          <w:b/>
          <w:bCs/>
          <w:sz w:val="24"/>
          <w:szCs w:val="24"/>
        </w:rPr>
      </w:pPr>
    </w:p>
    <w:p w14:paraId="448481E8" w14:textId="77777777" w:rsidR="00993BE9" w:rsidRDefault="00993BE9" w:rsidP="00993BE9">
      <w:pPr>
        <w:spacing w:line="276" w:lineRule="auto"/>
        <w:rPr>
          <w:rFonts w:ascii="Times New Roman" w:hAnsi="Times New Roman"/>
          <w:b/>
          <w:bCs/>
          <w:sz w:val="24"/>
          <w:szCs w:val="24"/>
        </w:rPr>
      </w:pPr>
    </w:p>
    <w:p w14:paraId="6A1E112F" w14:textId="77777777" w:rsidR="00993BE9" w:rsidRDefault="00993BE9" w:rsidP="00993BE9">
      <w:pPr>
        <w:spacing w:line="276" w:lineRule="auto"/>
        <w:rPr>
          <w:rFonts w:ascii="Times New Roman" w:hAnsi="Times New Roman"/>
          <w:b/>
          <w:bCs/>
          <w:sz w:val="24"/>
          <w:szCs w:val="24"/>
        </w:rPr>
      </w:pPr>
    </w:p>
    <w:p w14:paraId="7B7E5739" w14:textId="08739930" w:rsidR="0031735C" w:rsidRPr="00993BE9" w:rsidRDefault="00993BE9" w:rsidP="0031735C">
      <w:pPr>
        <w:spacing w:line="276" w:lineRule="auto"/>
        <w:rPr>
          <w:rFonts w:asciiTheme="minorBidi" w:hAnsiTheme="minorBidi" w:cstheme="minorBidi"/>
          <w:b/>
          <w:bCs/>
        </w:rPr>
      </w:pPr>
      <w:r>
        <w:rPr>
          <w:rFonts w:asciiTheme="minorBidi" w:hAnsiTheme="minorBidi" w:cstheme="minorBidi"/>
          <w:b/>
          <w:bCs/>
        </w:rPr>
        <w:lastRenderedPageBreak/>
        <w:t xml:space="preserve">           </w:t>
      </w:r>
      <w:r w:rsidR="0031735C" w:rsidRPr="00993BE9">
        <w:rPr>
          <w:rFonts w:asciiTheme="minorBidi" w:hAnsiTheme="minorBidi" w:cstheme="minorBidi"/>
          <w:b/>
          <w:bCs/>
        </w:rPr>
        <w:t>Table 1: The experiment included the following six treatment groups:</w:t>
      </w:r>
    </w:p>
    <w:tbl>
      <w:tblPr>
        <w:tblStyle w:val="GridTable6Colorful"/>
        <w:tblW w:w="8712" w:type="dxa"/>
        <w:tblLook w:val="04A0" w:firstRow="1" w:lastRow="0" w:firstColumn="1" w:lastColumn="0" w:noHBand="0" w:noVBand="1"/>
      </w:tblPr>
      <w:tblGrid>
        <w:gridCol w:w="1397"/>
        <w:gridCol w:w="2292"/>
        <w:gridCol w:w="5023"/>
      </w:tblGrid>
      <w:tr w:rsidR="0031735C" w:rsidRPr="00335110" w14:paraId="3D20D279" w14:textId="77777777" w:rsidTr="00EA1B3D">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397" w:type="dxa"/>
          </w:tcPr>
          <w:p w14:paraId="40C8ACB4" w14:textId="77777777" w:rsidR="0031735C" w:rsidRPr="00993BE9" w:rsidRDefault="0031735C" w:rsidP="00EA1B3D">
            <w:pPr>
              <w:spacing w:line="276" w:lineRule="auto"/>
              <w:ind w:left="360"/>
              <w:jc w:val="both"/>
              <w:rPr>
                <w:rFonts w:asciiTheme="minorBidi" w:hAnsiTheme="minorBidi"/>
                <w:sz w:val="20"/>
              </w:rPr>
            </w:pPr>
            <w:r w:rsidRPr="00993BE9">
              <w:rPr>
                <w:rFonts w:asciiTheme="minorBidi" w:hAnsiTheme="minorBidi"/>
                <w:sz w:val="20"/>
              </w:rPr>
              <w:t>S. No</w:t>
            </w:r>
          </w:p>
        </w:tc>
        <w:tc>
          <w:tcPr>
            <w:tcW w:w="2292" w:type="dxa"/>
            <w:hideMark/>
          </w:tcPr>
          <w:p w14:paraId="6D9644D0" w14:textId="77777777" w:rsidR="0031735C" w:rsidRPr="00993BE9"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Treatment Code</w:t>
            </w:r>
          </w:p>
        </w:tc>
        <w:tc>
          <w:tcPr>
            <w:tcW w:w="5023" w:type="dxa"/>
            <w:hideMark/>
          </w:tcPr>
          <w:p w14:paraId="38DACE15" w14:textId="77777777" w:rsidR="0031735C" w:rsidRPr="00993BE9"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Composition</w:t>
            </w:r>
          </w:p>
        </w:tc>
      </w:tr>
      <w:tr w:rsidR="0031735C" w:rsidRPr="00335110" w14:paraId="5FE436E8" w14:textId="77777777" w:rsidTr="00EA1B3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397" w:type="dxa"/>
          </w:tcPr>
          <w:p w14:paraId="2F373371" w14:textId="77777777" w:rsidR="0031735C" w:rsidRPr="00993BE9" w:rsidRDefault="0031735C" w:rsidP="0031735C">
            <w:pPr>
              <w:pStyle w:val="ListParagraph"/>
              <w:numPr>
                <w:ilvl w:val="0"/>
                <w:numId w:val="33"/>
              </w:numPr>
              <w:spacing w:after="0" w:line="276" w:lineRule="auto"/>
              <w:jc w:val="both"/>
              <w:rPr>
                <w:rFonts w:asciiTheme="minorBidi" w:hAnsiTheme="minorBidi"/>
                <w:sz w:val="20"/>
              </w:rPr>
            </w:pPr>
          </w:p>
        </w:tc>
        <w:tc>
          <w:tcPr>
            <w:tcW w:w="2292" w:type="dxa"/>
            <w:hideMark/>
          </w:tcPr>
          <w:p w14:paraId="73BD3477"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0"/>
              </w:rPr>
            </w:pPr>
            <w:r w:rsidRPr="00993BE9">
              <w:rPr>
                <w:rFonts w:asciiTheme="minorBidi" w:hAnsiTheme="minorBidi"/>
                <w:sz w:val="20"/>
              </w:rPr>
              <w:t>T1</w:t>
            </w:r>
          </w:p>
        </w:tc>
        <w:tc>
          <w:tcPr>
            <w:tcW w:w="5023" w:type="dxa"/>
            <w:hideMark/>
          </w:tcPr>
          <w:p w14:paraId="3C929ED5"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0"/>
              </w:rPr>
            </w:pPr>
            <w:r w:rsidRPr="00993BE9">
              <w:rPr>
                <w:rFonts w:asciiTheme="minorBidi" w:hAnsiTheme="minorBidi"/>
                <w:sz w:val="20"/>
              </w:rPr>
              <w:t>100% Vermicompost</w:t>
            </w:r>
          </w:p>
        </w:tc>
      </w:tr>
      <w:tr w:rsidR="0031735C" w:rsidRPr="00335110" w14:paraId="04025CFC" w14:textId="77777777" w:rsidTr="00EA1B3D">
        <w:trPr>
          <w:trHeight w:val="322"/>
        </w:trPr>
        <w:tc>
          <w:tcPr>
            <w:cnfStyle w:val="001000000000" w:firstRow="0" w:lastRow="0" w:firstColumn="1" w:lastColumn="0" w:oddVBand="0" w:evenVBand="0" w:oddHBand="0" w:evenHBand="0" w:firstRowFirstColumn="0" w:firstRowLastColumn="0" w:lastRowFirstColumn="0" w:lastRowLastColumn="0"/>
            <w:tcW w:w="1397" w:type="dxa"/>
          </w:tcPr>
          <w:p w14:paraId="511B40D7" w14:textId="77777777" w:rsidR="0031735C" w:rsidRPr="00993BE9" w:rsidRDefault="0031735C" w:rsidP="0031735C">
            <w:pPr>
              <w:pStyle w:val="ListParagraph"/>
              <w:numPr>
                <w:ilvl w:val="0"/>
                <w:numId w:val="33"/>
              </w:numPr>
              <w:spacing w:after="0" w:line="276" w:lineRule="auto"/>
              <w:jc w:val="both"/>
              <w:rPr>
                <w:rFonts w:asciiTheme="minorBidi" w:hAnsiTheme="minorBidi"/>
                <w:sz w:val="20"/>
              </w:rPr>
            </w:pPr>
          </w:p>
        </w:tc>
        <w:tc>
          <w:tcPr>
            <w:tcW w:w="2292" w:type="dxa"/>
            <w:hideMark/>
          </w:tcPr>
          <w:p w14:paraId="1D935ACA"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T2</w:t>
            </w:r>
          </w:p>
        </w:tc>
        <w:tc>
          <w:tcPr>
            <w:tcW w:w="5023" w:type="dxa"/>
            <w:hideMark/>
          </w:tcPr>
          <w:p w14:paraId="390EB354"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100% Cow dung</w:t>
            </w:r>
          </w:p>
        </w:tc>
      </w:tr>
      <w:tr w:rsidR="0031735C" w:rsidRPr="00335110" w14:paraId="68153B1A" w14:textId="77777777" w:rsidTr="00EA1B3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397" w:type="dxa"/>
          </w:tcPr>
          <w:p w14:paraId="69B5DD40" w14:textId="77777777" w:rsidR="0031735C" w:rsidRPr="00993BE9" w:rsidRDefault="0031735C" w:rsidP="0031735C">
            <w:pPr>
              <w:pStyle w:val="ListParagraph"/>
              <w:numPr>
                <w:ilvl w:val="0"/>
                <w:numId w:val="33"/>
              </w:numPr>
              <w:spacing w:after="0" w:line="276" w:lineRule="auto"/>
              <w:jc w:val="both"/>
              <w:rPr>
                <w:rFonts w:asciiTheme="minorBidi" w:hAnsiTheme="minorBidi"/>
                <w:sz w:val="20"/>
              </w:rPr>
            </w:pPr>
          </w:p>
        </w:tc>
        <w:tc>
          <w:tcPr>
            <w:tcW w:w="2292" w:type="dxa"/>
            <w:hideMark/>
          </w:tcPr>
          <w:p w14:paraId="00F5D8D0"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0"/>
              </w:rPr>
            </w:pPr>
            <w:r w:rsidRPr="00993BE9">
              <w:rPr>
                <w:rFonts w:asciiTheme="minorBidi" w:hAnsiTheme="minorBidi"/>
                <w:sz w:val="20"/>
              </w:rPr>
              <w:t>T3</w:t>
            </w:r>
          </w:p>
        </w:tc>
        <w:tc>
          <w:tcPr>
            <w:tcW w:w="5023" w:type="dxa"/>
            <w:hideMark/>
          </w:tcPr>
          <w:p w14:paraId="728B6100"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0"/>
              </w:rPr>
            </w:pPr>
            <w:r w:rsidRPr="00993BE9">
              <w:rPr>
                <w:rFonts w:asciiTheme="minorBidi" w:hAnsiTheme="minorBidi"/>
                <w:sz w:val="20"/>
              </w:rPr>
              <w:t>100% Cocopeat</w:t>
            </w:r>
          </w:p>
        </w:tc>
      </w:tr>
      <w:tr w:rsidR="0031735C" w:rsidRPr="00335110" w14:paraId="0B683340" w14:textId="77777777" w:rsidTr="00EA1B3D">
        <w:trPr>
          <w:trHeight w:val="493"/>
        </w:trPr>
        <w:tc>
          <w:tcPr>
            <w:cnfStyle w:val="001000000000" w:firstRow="0" w:lastRow="0" w:firstColumn="1" w:lastColumn="0" w:oddVBand="0" w:evenVBand="0" w:oddHBand="0" w:evenHBand="0" w:firstRowFirstColumn="0" w:firstRowLastColumn="0" w:lastRowFirstColumn="0" w:lastRowLastColumn="0"/>
            <w:tcW w:w="1397" w:type="dxa"/>
          </w:tcPr>
          <w:p w14:paraId="118954CD" w14:textId="77777777" w:rsidR="0031735C" w:rsidRPr="00993BE9" w:rsidRDefault="0031735C" w:rsidP="0031735C">
            <w:pPr>
              <w:pStyle w:val="ListParagraph"/>
              <w:numPr>
                <w:ilvl w:val="0"/>
                <w:numId w:val="33"/>
              </w:numPr>
              <w:spacing w:after="0" w:line="276" w:lineRule="auto"/>
              <w:jc w:val="both"/>
              <w:rPr>
                <w:rFonts w:asciiTheme="minorBidi" w:hAnsiTheme="minorBidi"/>
                <w:sz w:val="20"/>
              </w:rPr>
            </w:pPr>
          </w:p>
        </w:tc>
        <w:tc>
          <w:tcPr>
            <w:tcW w:w="2292" w:type="dxa"/>
            <w:hideMark/>
          </w:tcPr>
          <w:p w14:paraId="5C86F5B7"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T4</w:t>
            </w:r>
          </w:p>
        </w:tc>
        <w:tc>
          <w:tcPr>
            <w:tcW w:w="5023" w:type="dxa"/>
            <w:hideMark/>
          </w:tcPr>
          <w:p w14:paraId="408D64FE"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100% Sand soil</w:t>
            </w:r>
          </w:p>
        </w:tc>
      </w:tr>
      <w:tr w:rsidR="0031735C" w:rsidRPr="00335110" w14:paraId="2A72B2DF" w14:textId="77777777" w:rsidTr="00EA1B3D">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397" w:type="dxa"/>
          </w:tcPr>
          <w:p w14:paraId="3782E2F6" w14:textId="77777777" w:rsidR="0031735C" w:rsidRPr="00993BE9" w:rsidRDefault="0031735C" w:rsidP="0031735C">
            <w:pPr>
              <w:pStyle w:val="ListParagraph"/>
              <w:numPr>
                <w:ilvl w:val="0"/>
                <w:numId w:val="33"/>
              </w:numPr>
              <w:spacing w:after="0" w:line="276" w:lineRule="auto"/>
              <w:jc w:val="both"/>
              <w:rPr>
                <w:rFonts w:asciiTheme="minorBidi" w:hAnsiTheme="minorBidi"/>
                <w:sz w:val="20"/>
              </w:rPr>
            </w:pPr>
          </w:p>
        </w:tc>
        <w:tc>
          <w:tcPr>
            <w:tcW w:w="2292" w:type="dxa"/>
            <w:hideMark/>
          </w:tcPr>
          <w:p w14:paraId="3349C080"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0"/>
              </w:rPr>
            </w:pPr>
            <w:r w:rsidRPr="00993BE9">
              <w:rPr>
                <w:rFonts w:asciiTheme="minorBidi" w:hAnsiTheme="minorBidi"/>
                <w:sz w:val="20"/>
              </w:rPr>
              <w:t>T5</w:t>
            </w:r>
          </w:p>
        </w:tc>
        <w:tc>
          <w:tcPr>
            <w:tcW w:w="5023" w:type="dxa"/>
            <w:hideMark/>
          </w:tcPr>
          <w:p w14:paraId="2F6AACC4" w14:textId="7297993A"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0"/>
              </w:rPr>
            </w:pPr>
            <w:r w:rsidRPr="00993BE9">
              <w:rPr>
                <w:rFonts w:asciiTheme="minorBidi" w:hAnsiTheme="minorBidi"/>
                <w:sz w:val="20"/>
              </w:rPr>
              <w:t>50% Vermicompost + 50% Cocopeat</w:t>
            </w:r>
            <w:r w:rsidR="00993BE9" w:rsidRPr="00993BE9">
              <w:rPr>
                <w:rFonts w:asciiTheme="minorBidi" w:hAnsiTheme="minorBidi"/>
                <w:sz w:val="20"/>
              </w:rPr>
              <w:t xml:space="preserve"> (1:1)</w:t>
            </w:r>
          </w:p>
        </w:tc>
      </w:tr>
    </w:tbl>
    <w:p w14:paraId="0DD09DA4" w14:textId="77777777" w:rsidR="0031735C" w:rsidRDefault="0031735C" w:rsidP="0031735C">
      <w:pPr>
        <w:spacing w:after="160" w:line="276" w:lineRule="auto"/>
        <w:jc w:val="both"/>
        <w:rPr>
          <w:rFonts w:asciiTheme="minorBidi" w:hAnsiTheme="minorBidi" w:cstheme="minorBidi"/>
        </w:rPr>
      </w:pPr>
    </w:p>
    <w:p w14:paraId="42436550" w14:textId="77777777" w:rsidR="00993BE9" w:rsidRPr="00335110" w:rsidRDefault="00993BE9" w:rsidP="00993BE9">
      <w:pPr>
        <w:spacing w:line="276" w:lineRule="auto"/>
        <w:jc w:val="both"/>
        <w:rPr>
          <w:rFonts w:ascii="Times New Roman" w:hAnsi="Times New Roman"/>
          <w:sz w:val="24"/>
          <w:szCs w:val="24"/>
        </w:rPr>
      </w:pPr>
      <w:r>
        <w:rPr>
          <w:rFonts w:ascii="Times New Roman" w:hAnsi="Times New Roman"/>
          <w:b/>
          <w:bCs/>
          <w:sz w:val="24"/>
          <w:szCs w:val="24"/>
        </w:rPr>
        <w:t xml:space="preserve">2.7 </w:t>
      </w:r>
      <w:r w:rsidRPr="00335110">
        <w:rPr>
          <w:rFonts w:ascii="Times New Roman" w:hAnsi="Times New Roman"/>
          <w:b/>
          <w:bCs/>
          <w:sz w:val="24"/>
          <w:szCs w:val="24"/>
        </w:rPr>
        <w:t>Observations Recorded</w:t>
      </w:r>
    </w:p>
    <w:p w14:paraId="2E927313" w14:textId="77777777" w:rsidR="00993BE9" w:rsidRPr="00335110" w:rsidRDefault="00993BE9" w:rsidP="00993BE9">
      <w:pPr>
        <w:spacing w:line="276" w:lineRule="auto"/>
        <w:jc w:val="both"/>
        <w:rPr>
          <w:rFonts w:ascii="Times New Roman" w:hAnsi="Times New Roman"/>
          <w:sz w:val="24"/>
          <w:szCs w:val="24"/>
        </w:rPr>
      </w:pPr>
      <w:r w:rsidRPr="00335110">
        <w:rPr>
          <w:rFonts w:ascii="Times New Roman" w:hAnsi="Times New Roman"/>
          <w:sz w:val="24"/>
          <w:szCs w:val="24"/>
        </w:rPr>
        <w:t>The following parameters were recorded at regular intervals:</w:t>
      </w:r>
    </w:p>
    <w:p w14:paraId="43555E8B" w14:textId="77777777" w:rsidR="00993BE9" w:rsidRPr="00335110" w:rsidRDefault="00993BE9" w:rsidP="00993BE9">
      <w:pPr>
        <w:spacing w:line="276" w:lineRule="auto"/>
        <w:jc w:val="both"/>
        <w:rPr>
          <w:rFonts w:ascii="Times New Roman" w:hAnsi="Times New Roman"/>
          <w:sz w:val="24"/>
          <w:szCs w:val="24"/>
        </w:rPr>
      </w:pPr>
      <w:r w:rsidRPr="00335110">
        <w:rPr>
          <w:rFonts w:ascii="Times New Roman" w:hAnsi="Times New Roman"/>
          <w:sz w:val="24"/>
          <w:szCs w:val="24"/>
        </w:rPr>
        <w:t>a) Germination Parameters</w:t>
      </w:r>
    </w:p>
    <w:p w14:paraId="3D18CEA4" w14:textId="77777777" w:rsidR="00993BE9" w:rsidRPr="00335110" w:rsidRDefault="00993BE9" w:rsidP="00993BE9">
      <w:pPr>
        <w:numPr>
          <w:ilvl w:val="0"/>
          <w:numId w:val="35"/>
        </w:numPr>
        <w:spacing w:after="160"/>
        <w:jc w:val="both"/>
        <w:rPr>
          <w:rFonts w:ascii="Times New Roman" w:hAnsi="Times New Roman"/>
          <w:sz w:val="24"/>
          <w:szCs w:val="24"/>
        </w:rPr>
      </w:pPr>
      <w:r w:rsidRPr="00335110">
        <w:rPr>
          <w:rFonts w:ascii="Times New Roman" w:hAnsi="Times New Roman"/>
          <w:sz w:val="24"/>
          <w:szCs w:val="24"/>
        </w:rPr>
        <w:t>Germination percentage (%) – Number of seeds germinated / Total seeds × 100</w:t>
      </w:r>
    </w:p>
    <w:p w14:paraId="7BBC42BD" w14:textId="77777777" w:rsidR="00993BE9" w:rsidRPr="00335110" w:rsidRDefault="00993BE9" w:rsidP="00993BE9">
      <w:pPr>
        <w:numPr>
          <w:ilvl w:val="0"/>
          <w:numId w:val="35"/>
        </w:numPr>
        <w:spacing w:after="160"/>
        <w:jc w:val="both"/>
        <w:rPr>
          <w:rFonts w:ascii="Times New Roman" w:hAnsi="Times New Roman"/>
          <w:sz w:val="24"/>
          <w:szCs w:val="24"/>
        </w:rPr>
      </w:pPr>
      <w:r w:rsidRPr="00335110">
        <w:rPr>
          <w:rFonts w:ascii="Times New Roman" w:hAnsi="Times New Roman"/>
          <w:sz w:val="24"/>
          <w:szCs w:val="24"/>
        </w:rPr>
        <w:t>Mean Germination Time (MGT) – Average time taken for seeds to germinate</w:t>
      </w:r>
    </w:p>
    <w:p w14:paraId="005952B6" w14:textId="77777777" w:rsidR="00993BE9" w:rsidRPr="00335110" w:rsidRDefault="00993BE9" w:rsidP="00993BE9">
      <w:pPr>
        <w:numPr>
          <w:ilvl w:val="0"/>
          <w:numId w:val="35"/>
        </w:numPr>
        <w:spacing w:after="160"/>
        <w:jc w:val="both"/>
        <w:rPr>
          <w:rFonts w:ascii="Times New Roman" w:hAnsi="Times New Roman"/>
          <w:sz w:val="24"/>
          <w:szCs w:val="24"/>
        </w:rPr>
      </w:pPr>
      <w:r w:rsidRPr="00335110">
        <w:rPr>
          <w:rFonts w:ascii="Times New Roman" w:hAnsi="Times New Roman"/>
          <w:sz w:val="24"/>
          <w:szCs w:val="24"/>
        </w:rPr>
        <w:t>Germination rate – Seeds germinated per day</w:t>
      </w:r>
    </w:p>
    <w:p w14:paraId="2FE3F327" w14:textId="77777777" w:rsidR="00993BE9" w:rsidRDefault="00993BE9" w:rsidP="006C6856">
      <w:pPr>
        <w:pStyle w:val="Head1"/>
        <w:spacing w:after="0"/>
        <w:jc w:val="both"/>
        <w:rPr>
          <w:rFonts w:ascii="Arial" w:hAnsi="Arial" w:cs="Arial"/>
        </w:rPr>
      </w:pPr>
    </w:p>
    <w:p w14:paraId="3D82A47C" w14:textId="3303B282" w:rsidR="006C6856" w:rsidRDefault="006C6856" w:rsidP="006C6856">
      <w:pPr>
        <w:pStyle w:val="Head1"/>
        <w:spacing w:after="0"/>
        <w:jc w:val="both"/>
        <w:rPr>
          <w:rFonts w:ascii="Arial" w:hAnsi="Arial" w:cs="Arial"/>
        </w:rPr>
      </w:pPr>
      <w:r>
        <w:rPr>
          <w:rFonts w:ascii="Arial" w:hAnsi="Arial" w:cs="Arial"/>
        </w:rPr>
        <w:t>3. results and discussion</w:t>
      </w:r>
    </w:p>
    <w:p w14:paraId="5B298E6F" w14:textId="77777777" w:rsidR="006C6856" w:rsidRDefault="006C6856" w:rsidP="006C6856">
      <w:pPr>
        <w:pStyle w:val="Head1"/>
        <w:spacing w:after="0"/>
        <w:jc w:val="both"/>
        <w:rPr>
          <w:rFonts w:ascii="Arial" w:hAnsi="Arial" w:cs="Arial"/>
        </w:rPr>
      </w:pPr>
    </w:p>
    <w:p w14:paraId="551DDE2D" w14:textId="57895B15" w:rsidR="0031735C" w:rsidRPr="00A91490" w:rsidRDefault="0031735C" w:rsidP="0031735C">
      <w:pPr>
        <w:spacing w:line="276" w:lineRule="auto"/>
        <w:jc w:val="center"/>
        <w:rPr>
          <w:rFonts w:ascii="Times New Roman" w:hAnsi="Times New Roman"/>
          <w:b/>
          <w:bCs/>
          <w:sz w:val="24"/>
          <w:szCs w:val="24"/>
        </w:rPr>
      </w:pPr>
      <w:r>
        <w:rPr>
          <w:rFonts w:ascii="Times New Roman" w:hAnsi="Times New Roman"/>
          <w:b/>
          <w:bCs/>
          <w:sz w:val="24"/>
          <w:szCs w:val="24"/>
        </w:rPr>
        <w:t>Fig</w:t>
      </w:r>
      <w:r w:rsidRPr="00A91490">
        <w:rPr>
          <w:rFonts w:ascii="Times New Roman" w:hAnsi="Times New Roman"/>
          <w:b/>
          <w:bCs/>
          <w:sz w:val="24"/>
          <w:szCs w:val="24"/>
        </w:rPr>
        <w:t xml:space="preserve"> 1: </w:t>
      </w:r>
      <w:r>
        <w:rPr>
          <w:rFonts w:ascii="Times New Roman" w:hAnsi="Times New Roman"/>
          <w:b/>
          <w:bCs/>
          <w:sz w:val="24"/>
          <w:szCs w:val="24"/>
        </w:rPr>
        <w:t>Germination with different composition</w:t>
      </w:r>
    </w:p>
    <w:p w14:paraId="735831D4" w14:textId="5A658922" w:rsidR="006C6856" w:rsidRDefault="001B5814" w:rsidP="006C6856">
      <w:pPr>
        <w:pStyle w:val="Head1"/>
        <w:spacing w:after="0"/>
        <w:jc w:val="both"/>
        <w:rPr>
          <w:rFonts w:ascii="Arial" w:hAnsi="Arial" w:cs="Arial"/>
        </w:rPr>
      </w:pPr>
      <w:r>
        <w:rPr>
          <w:rFonts w:asciiTheme="minorBidi" w:hAnsiTheme="minorBidi" w:cstheme="minorBidi"/>
          <w:noProof/>
        </w:rPr>
        <mc:AlternateContent>
          <mc:Choice Requires="wps">
            <w:drawing>
              <wp:anchor distT="0" distB="0" distL="114300" distR="114300" simplePos="0" relativeHeight="251658240" behindDoc="0" locked="0" layoutInCell="1" allowOverlap="1" wp14:anchorId="508C2DD7" wp14:editId="2B54419A">
                <wp:simplePos x="0" y="0"/>
                <wp:positionH relativeFrom="column">
                  <wp:posOffset>30480</wp:posOffset>
                </wp:positionH>
                <wp:positionV relativeFrom="paragraph">
                  <wp:posOffset>89535</wp:posOffset>
                </wp:positionV>
                <wp:extent cx="5692140" cy="2545715"/>
                <wp:effectExtent l="5715" t="5080" r="7620" b="11430"/>
                <wp:wrapNone/>
                <wp:docPr id="1641695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545715"/>
                        </a:xfrm>
                        <a:prstGeom prst="rect">
                          <a:avLst/>
                        </a:prstGeom>
                        <a:solidFill>
                          <a:srgbClr val="FFFFFF"/>
                        </a:solidFill>
                        <a:ln w="9525">
                          <a:solidFill>
                            <a:srgbClr val="000000"/>
                          </a:solidFill>
                          <a:miter lim="800000"/>
                          <a:headEnd/>
                          <a:tailEnd/>
                        </a:ln>
                      </wps:spPr>
                      <wps:txbx>
                        <w:txbxContent>
                          <w:p w14:paraId="7F48108C" w14:textId="27D4580B" w:rsidR="006C6856" w:rsidRDefault="006C6856">
                            <w:r>
                              <w:rPr>
                                <w:noProof/>
                              </w:rPr>
                              <w:drawing>
                                <wp:inline distT="0" distB="0" distL="0" distR="0" wp14:anchorId="6602311B" wp14:editId="703727CC">
                                  <wp:extent cx="1308743" cy="1188720"/>
                                  <wp:effectExtent l="0" t="0" r="0" b="0"/>
                                  <wp:docPr id="627328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56" cy="1211258"/>
                                          </a:xfrm>
                                          <a:prstGeom prst="rect">
                                            <a:avLst/>
                                          </a:prstGeom>
                                          <a:noFill/>
                                          <a:ln>
                                            <a:noFill/>
                                          </a:ln>
                                        </pic:spPr>
                                      </pic:pic>
                                    </a:graphicData>
                                  </a:graphic>
                                </wp:inline>
                              </w:drawing>
                            </w:r>
                            <w:r>
                              <w:rPr>
                                <w:noProof/>
                              </w:rPr>
                              <w:drawing>
                                <wp:inline distT="0" distB="0" distL="0" distR="0" wp14:anchorId="2E2EE1C7" wp14:editId="0CEEA91E">
                                  <wp:extent cx="1418903" cy="1201783"/>
                                  <wp:effectExtent l="0" t="0" r="0" b="0"/>
                                  <wp:docPr id="91697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076" cy="1228186"/>
                                          </a:xfrm>
                                          <a:prstGeom prst="rect">
                                            <a:avLst/>
                                          </a:prstGeom>
                                          <a:noFill/>
                                          <a:ln>
                                            <a:noFill/>
                                          </a:ln>
                                        </pic:spPr>
                                      </pic:pic>
                                    </a:graphicData>
                                  </a:graphic>
                                </wp:inline>
                              </w:drawing>
                            </w:r>
                            <w:r>
                              <w:rPr>
                                <w:noProof/>
                              </w:rPr>
                              <w:drawing>
                                <wp:inline distT="0" distB="0" distL="0" distR="0" wp14:anchorId="2C885271" wp14:editId="093D8F37">
                                  <wp:extent cx="1419225" cy="1188214"/>
                                  <wp:effectExtent l="0" t="0" r="0" b="0"/>
                                  <wp:docPr id="12239857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912" cy="1213906"/>
                                          </a:xfrm>
                                          <a:prstGeom prst="rect">
                                            <a:avLst/>
                                          </a:prstGeom>
                                          <a:noFill/>
                                          <a:ln>
                                            <a:noFill/>
                                          </a:ln>
                                        </pic:spPr>
                                      </pic:pic>
                                    </a:graphicData>
                                  </a:graphic>
                                </wp:inline>
                              </w:drawing>
                            </w:r>
                            <w:r>
                              <w:rPr>
                                <w:noProof/>
                              </w:rPr>
                              <w:drawing>
                                <wp:inline distT="0" distB="0" distL="0" distR="0" wp14:anchorId="7A44FF80" wp14:editId="382ED0D3">
                                  <wp:extent cx="1219200" cy="1160780"/>
                                  <wp:effectExtent l="0" t="0" r="0" b="1270"/>
                                  <wp:docPr id="306755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847" cy="1187102"/>
                                          </a:xfrm>
                                          <a:prstGeom prst="rect">
                                            <a:avLst/>
                                          </a:prstGeom>
                                          <a:noFill/>
                                          <a:ln>
                                            <a:noFill/>
                                          </a:ln>
                                        </pic:spPr>
                                      </pic:pic>
                                    </a:graphicData>
                                  </a:graphic>
                                </wp:inline>
                              </w:drawing>
                            </w:r>
                            <w:r>
                              <w:rPr>
                                <w:noProof/>
                              </w:rPr>
                              <w:drawing>
                                <wp:inline distT="0" distB="0" distL="0" distR="0" wp14:anchorId="11A5E315" wp14:editId="4C0BA6A8">
                                  <wp:extent cx="1503495" cy="1162050"/>
                                  <wp:effectExtent l="0" t="0" r="0" b="0"/>
                                  <wp:docPr id="1232837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218" cy="1188888"/>
                                          </a:xfrm>
                                          <a:prstGeom prst="rect">
                                            <a:avLst/>
                                          </a:prstGeom>
                                          <a:noFill/>
                                          <a:ln>
                                            <a:noFill/>
                                          </a:ln>
                                        </pic:spPr>
                                      </pic:pic>
                                    </a:graphicData>
                                  </a:graphic>
                                </wp:inline>
                              </w:drawing>
                            </w:r>
                            <w:r>
                              <w:rPr>
                                <w:noProof/>
                              </w:rPr>
                              <w:drawing>
                                <wp:inline distT="0" distB="0" distL="0" distR="0" wp14:anchorId="286859C3" wp14:editId="5C114422">
                                  <wp:extent cx="1235206" cy="1188720"/>
                                  <wp:effectExtent l="0" t="0" r="0" b="0"/>
                                  <wp:docPr id="1395051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849" cy="1202811"/>
                                          </a:xfrm>
                                          <a:prstGeom prst="rect">
                                            <a:avLst/>
                                          </a:prstGeom>
                                          <a:noFill/>
                                          <a:ln>
                                            <a:noFill/>
                                          </a:ln>
                                        </pic:spPr>
                                      </pic:pic>
                                    </a:graphicData>
                                  </a:graphic>
                                </wp:inline>
                              </w:drawing>
                            </w:r>
                            <w:r>
                              <w:rPr>
                                <w:noProof/>
                              </w:rPr>
                              <w:drawing>
                                <wp:inline distT="0" distB="0" distL="0" distR="0" wp14:anchorId="72D6E5F8" wp14:editId="16A6469B">
                                  <wp:extent cx="1344930" cy="1161710"/>
                                  <wp:effectExtent l="0" t="0" r="0" b="0"/>
                                  <wp:docPr id="412099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3063" cy="1186010"/>
                                          </a:xfrm>
                                          <a:prstGeom prst="rect">
                                            <a:avLst/>
                                          </a:prstGeom>
                                          <a:noFill/>
                                          <a:ln>
                                            <a:noFill/>
                                          </a:ln>
                                        </pic:spPr>
                                      </pic:pic>
                                    </a:graphicData>
                                  </a:graphic>
                                </wp:inline>
                              </w:drawing>
                            </w:r>
                            <w:r>
                              <w:rPr>
                                <w:noProof/>
                              </w:rPr>
                              <w:drawing>
                                <wp:inline distT="0" distB="0" distL="0" distR="0" wp14:anchorId="18426E3F" wp14:editId="005C1B04">
                                  <wp:extent cx="1358174" cy="1214755"/>
                                  <wp:effectExtent l="0" t="0" r="0" b="0"/>
                                  <wp:docPr id="71134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0901" cy="12350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C2DD7" id="_x0000_t202" coordsize="21600,21600" o:spt="202" path="m,l,21600r21600,l21600,xe">
                <v:stroke joinstyle="miter"/>
                <v:path gradientshapeok="t" o:connecttype="rect"/>
              </v:shapetype>
              <v:shape id="Text Box 4" o:spid="_x0000_s1026" type="#_x0000_t202" style="position:absolute;left:0;text-align:left;margin-left:2.4pt;margin-top:7.05pt;width:448.2pt;height:20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">
                <v:textbox>
                  <w:txbxContent>
                    <w:p w14:paraId="7F48108C" w14:textId="27D4580B" w:rsidR="006C6856" w:rsidRDefault="006C6856">
                      <w:r>
                        <w:rPr>
                          <w:noProof/>
                        </w:rPr>
                        <w:drawing>
                          <wp:inline distT="0" distB="0" distL="0" distR="0" wp14:anchorId="6602311B" wp14:editId="703727CC">
                            <wp:extent cx="1308743" cy="1188720"/>
                            <wp:effectExtent l="0" t="0" r="0" b="0"/>
                            <wp:docPr id="627328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56" cy="1211258"/>
                                    </a:xfrm>
                                    <a:prstGeom prst="rect">
                                      <a:avLst/>
                                    </a:prstGeom>
                                    <a:noFill/>
                                    <a:ln>
                                      <a:noFill/>
                                    </a:ln>
                                  </pic:spPr>
                                </pic:pic>
                              </a:graphicData>
                            </a:graphic>
                          </wp:inline>
                        </w:drawing>
                      </w:r>
                      <w:r>
                        <w:rPr>
                          <w:noProof/>
                        </w:rPr>
                        <w:drawing>
                          <wp:inline distT="0" distB="0" distL="0" distR="0" wp14:anchorId="2E2EE1C7" wp14:editId="0CEEA91E">
                            <wp:extent cx="1418903" cy="1201783"/>
                            <wp:effectExtent l="0" t="0" r="0" b="0"/>
                            <wp:docPr id="91697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076" cy="1228186"/>
                                    </a:xfrm>
                                    <a:prstGeom prst="rect">
                                      <a:avLst/>
                                    </a:prstGeom>
                                    <a:noFill/>
                                    <a:ln>
                                      <a:noFill/>
                                    </a:ln>
                                  </pic:spPr>
                                </pic:pic>
                              </a:graphicData>
                            </a:graphic>
                          </wp:inline>
                        </w:drawing>
                      </w:r>
                      <w:r>
                        <w:rPr>
                          <w:noProof/>
                        </w:rPr>
                        <w:drawing>
                          <wp:inline distT="0" distB="0" distL="0" distR="0" wp14:anchorId="2C885271" wp14:editId="093D8F37">
                            <wp:extent cx="1419225" cy="1188214"/>
                            <wp:effectExtent l="0" t="0" r="0" b="0"/>
                            <wp:docPr id="12239857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912" cy="1213906"/>
                                    </a:xfrm>
                                    <a:prstGeom prst="rect">
                                      <a:avLst/>
                                    </a:prstGeom>
                                    <a:noFill/>
                                    <a:ln>
                                      <a:noFill/>
                                    </a:ln>
                                  </pic:spPr>
                                </pic:pic>
                              </a:graphicData>
                            </a:graphic>
                          </wp:inline>
                        </w:drawing>
                      </w:r>
                      <w:r>
                        <w:rPr>
                          <w:noProof/>
                        </w:rPr>
                        <w:drawing>
                          <wp:inline distT="0" distB="0" distL="0" distR="0" wp14:anchorId="7A44FF80" wp14:editId="382ED0D3">
                            <wp:extent cx="1219200" cy="1160780"/>
                            <wp:effectExtent l="0" t="0" r="0" b="1270"/>
                            <wp:docPr id="306755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847" cy="1187102"/>
                                    </a:xfrm>
                                    <a:prstGeom prst="rect">
                                      <a:avLst/>
                                    </a:prstGeom>
                                    <a:noFill/>
                                    <a:ln>
                                      <a:noFill/>
                                    </a:ln>
                                  </pic:spPr>
                                </pic:pic>
                              </a:graphicData>
                            </a:graphic>
                          </wp:inline>
                        </w:drawing>
                      </w:r>
                      <w:r>
                        <w:rPr>
                          <w:noProof/>
                        </w:rPr>
                        <w:drawing>
                          <wp:inline distT="0" distB="0" distL="0" distR="0" wp14:anchorId="11A5E315" wp14:editId="4C0BA6A8">
                            <wp:extent cx="1503495" cy="1162050"/>
                            <wp:effectExtent l="0" t="0" r="0" b="0"/>
                            <wp:docPr id="1232837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218" cy="1188888"/>
                                    </a:xfrm>
                                    <a:prstGeom prst="rect">
                                      <a:avLst/>
                                    </a:prstGeom>
                                    <a:noFill/>
                                    <a:ln>
                                      <a:noFill/>
                                    </a:ln>
                                  </pic:spPr>
                                </pic:pic>
                              </a:graphicData>
                            </a:graphic>
                          </wp:inline>
                        </w:drawing>
                      </w:r>
                      <w:r>
                        <w:rPr>
                          <w:noProof/>
                        </w:rPr>
                        <w:drawing>
                          <wp:inline distT="0" distB="0" distL="0" distR="0" wp14:anchorId="286859C3" wp14:editId="5C114422">
                            <wp:extent cx="1235206" cy="1188720"/>
                            <wp:effectExtent l="0" t="0" r="0" b="0"/>
                            <wp:docPr id="1395051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849" cy="1202811"/>
                                    </a:xfrm>
                                    <a:prstGeom prst="rect">
                                      <a:avLst/>
                                    </a:prstGeom>
                                    <a:noFill/>
                                    <a:ln>
                                      <a:noFill/>
                                    </a:ln>
                                  </pic:spPr>
                                </pic:pic>
                              </a:graphicData>
                            </a:graphic>
                          </wp:inline>
                        </w:drawing>
                      </w:r>
                      <w:r>
                        <w:rPr>
                          <w:noProof/>
                        </w:rPr>
                        <w:drawing>
                          <wp:inline distT="0" distB="0" distL="0" distR="0" wp14:anchorId="72D6E5F8" wp14:editId="16A6469B">
                            <wp:extent cx="1344930" cy="1161710"/>
                            <wp:effectExtent l="0" t="0" r="0" b="0"/>
                            <wp:docPr id="412099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3063" cy="1186010"/>
                                    </a:xfrm>
                                    <a:prstGeom prst="rect">
                                      <a:avLst/>
                                    </a:prstGeom>
                                    <a:noFill/>
                                    <a:ln>
                                      <a:noFill/>
                                    </a:ln>
                                  </pic:spPr>
                                </pic:pic>
                              </a:graphicData>
                            </a:graphic>
                          </wp:inline>
                        </w:drawing>
                      </w:r>
                      <w:r>
                        <w:rPr>
                          <w:noProof/>
                        </w:rPr>
                        <w:drawing>
                          <wp:inline distT="0" distB="0" distL="0" distR="0" wp14:anchorId="18426E3F" wp14:editId="005C1B04">
                            <wp:extent cx="1358174" cy="1214755"/>
                            <wp:effectExtent l="0" t="0" r="0" b="0"/>
                            <wp:docPr id="71134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0901" cy="1235082"/>
                                    </a:xfrm>
                                    <a:prstGeom prst="rect">
                                      <a:avLst/>
                                    </a:prstGeom>
                                    <a:noFill/>
                                    <a:ln>
                                      <a:noFill/>
                                    </a:ln>
                                  </pic:spPr>
                                </pic:pic>
                              </a:graphicData>
                            </a:graphic>
                          </wp:inline>
                        </w:drawing>
                      </w:r>
                    </w:p>
                  </w:txbxContent>
                </v:textbox>
              </v:shape>
            </w:pict>
          </mc:Fallback>
        </mc:AlternateContent>
      </w:r>
    </w:p>
    <w:p w14:paraId="1F4B03B2" w14:textId="4D7656E1" w:rsidR="006C6856" w:rsidRPr="006C6856" w:rsidRDefault="006C6856" w:rsidP="006C6856">
      <w:pPr>
        <w:spacing w:after="160" w:line="276" w:lineRule="auto"/>
        <w:ind w:left="720"/>
        <w:jc w:val="both"/>
        <w:rPr>
          <w:rFonts w:asciiTheme="minorBidi" w:hAnsiTheme="minorBidi" w:cstheme="minorBidi"/>
        </w:rPr>
      </w:pPr>
    </w:p>
    <w:p w14:paraId="4FF03A81" w14:textId="77777777" w:rsidR="0031735C" w:rsidRDefault="0031735C" w:rsidP="0031735C">
      <w:pPr>
        <w:spacing w:line="276" w:lineRule="auto"/>
        <w:jc w:val="both"/>
        <w:rPr>
          <w:rFonts w:ascii="Times New Roman" w:hAnsi="Times New Roman"/>
          <w:sz w:val="24"/>
          <w:szCs w:val="24"/>
        </w:rPr>
      </w:pPr>
    </w:p>
    <w:p w14:paraId="1B0C520B" w14:textId="77777777" w:rsidR="0031735C" w:rsidRDefault="0031735C" w:rsidP="0031735C">
      <w:pPr>
        <w:spacing w:line="276" w:lineRule="auto"/>
        <w:jc w:val="both"/>
        <w:rPr>
          <w:rFonts w:ascii="Times New Roman" w:hAnsi="Times New Roman"/>
          <w:sz w:val="24"/>
          <w:szCs w:val="24"/>
        </w:rPr>
      </w:pPr>
    </w:p>
    <w:p w14:paraId="30C46BC6" w14:textId="77777777" w:rsidR="0031735C" w:rsidRDefault="0031735C" w:rsidP="0031735C">
      <w:pPr>
        <w:spacing w:line="276" w:lineRule="auto"/>
        <w:jc w:val="both"/>
        <w:rPr>
          <w:rFonts w:ascii="Times New Roman" w:hAnsi="Times New Roman"/>
          <w:sz w:val="24"/>
          <w:szCs w:val="24"/>
        </w:rPr>
      </w:pPr>
    </w:p>
    <w:p w14:paraId="4E5201AD" w14:textId="77777777" w:rsidR="0031735C" w:rsidRDefault="0031735C" w:rsidP="0031735C">
      <w:pPr>
        <w:spacing w:line="276" w:lineRule="auto"/>
        <w:jc w:val="both"/>
        <w:rPr>
          <w:rFonts w:ascii="Times New Roman" w:hAnsi="Times New Roman"/>
          <w:sz w:val="24"/>
          <w:szCs w:val="24"/>
        </w:rPr>
      </w:pPr>
    </w:p>
    <w:p w14:paraId="41AB8877" w14:textId="77777777" w:rsidR="0031735C" w:rsidRDefault="0031735C" w:rsidP="0031735C">
      <w:pPr>
        <w:spacing w:line="276" w:lineRule="auto"/>
        <w:jc w:val="both"/>
        <w:rPr>
          <w:rFonts w:ascii="Times New Roman" w:hAnsi="Times New Roman"/>
          <w:sz w:val="24"/>
          <w:szCs w:val="24"/>
        </w:rPr>
      </w:pPr>
    </w:p>
    <w:p w14:paraId="13B688DB" w14:textId="77777777" w:rsidR="0031735C" w:rsidRDefault="0031735C" w:rsidP="0031735C">
      <w:pPr>
        <w:spacing w:line="276" w:lineRule="auto"/>
        <w:jc w:val="both"/>
        <w:rPr>
          <w:rFonts w:ascii="Times New Roman" w:hAnsi="Times New Roman"/>
          <w:sz w:val="24"/>
          <w:szCs w:val="24"/>
        </w:rPr>
      </w:pPr>
    </w:p>
    <w:p w14:paraId="45085997" w14:textId="77777777" w:rsidR="0031735C" w:rsidRDefault="0031735C" w:rsidP="0031735C">
      <w:pPr>
        <w:spacing w:line="276" w:lineRule="auto"/>
        <w:jc w:val="both"/>
        <w:rPr>
          <w:rFonts w:ascii="Times New Roman" w:hAnsi="Times New Roman"/>
          <w:sz w:val="24"/>
          <w:szCs w:val="24"/>
        </w:rPr>
      </w:pPr>
    </w:p>
    <w:p w14:paraId="25B515B9" w14:textId="77777777" w:rsidR="0031735C" w:rsidRDefault="0031735C" w:rsidP="0031735C">
      <w:pPr>
        <w:spacing w:line="276" w:lineRule="auto"/>
        <w:jc w:val="both"/>
        <w:rPr>
          <w:rFonts w:ascii="Times New Roman" w:hAnsi="Times New Roman"/>
          <w:sz w:val="24"/>
          <w:szCs w:val="24"/>
        </w:rPr>
      </w:pPr>
    </w:p>
    <w:p w14:paraId="1E328D57" w14:textId="77777777" w:rsidR="0031735C" w:rsidRDefault="0031735C" w:rsidP="0031735C">
      <w:pPr>
        <w:spacing w:line="276" w:lineRule="auto"/>
        <w:jc w:val="both"/>
        <w:rPr>
          <w:rFonts w:ascii="Times New Roman" w:hAnsi="Times New Roman"/>
          <w:sz w:val="24"/>
          <w:szCs w:val="24"/>
        </w:rPr>
      </w:pPr>
    </w:p>
    <w:p w14:paraId="727D26C5" w14:textId="77777777" w:rsidR="0031735C" w:rsidRDefault="0031735C" w:rsidP="0031735C">
      <w:pPr>
        <w:spacing w:line="276" w:lineRule="auto"/>
        <w:jc w:val="both"/>
        <w:rPr>
          <w:rFonts w:ascii="Times New Roman" w:hAnsi="Times New Roman"/>
          <w:sz w:val="24"/>
          <w:szCs w:val="24"/>
        </w:rPr>
      </w:pPr>
    </w:p>
    <w:p w14:paraId="08F34E59" w14:textId="77777777" w:rsidR="0031735C" w:rsidRDefault="0031735C" w:rsidP="0031735C">
      <w:pPr>
        <w:spacing w:line="276" w:lineRule="auto"/>
        <w:jc w:val="both"/>
        <w:rPr>
          <w:rFonts w:ascii="Times New Roman" w:hAnsi="Times New Roman"/>
          <w:sz w:val="24"/>
          <w:szCs w:val="24"/>
        </w:rPr>
      </w:pPr>
    </w:p>
    <w:p w14:paraId="022C3449" w14:textId="77777777" w:rsidR="0031735C" w:rsidRDefault="0031735C" w:rsidP="0031735C">
      <w:pPr>
        <w:spacing w:line="276" w:lineRule="auto"/>
        <w:jc w:val="both"/>
        <w:rPr>
          <w:rFonts w:ascii="Times New Roman" w:hAnsi="Times New Roman"/>
          <w:sz w:val="24"/>
          <w:szCs w:val="24"/>
        </w:rPr>
      </w:pPr>
    </w:p>
    <w:p w14:paraId="25972640" w14:textId="77777777" w:rsidR="0031735C" w:rsidRDefault="0031735C" w:rsidP="0031735C">
      <w:pPr>
        <w:spacing w:line="276" w:lineRule="auto"/>
        <w:jc w:val="both"/>
        <w:rPr>
          <w:rFonts w:ascii="Times New Roman" w:hAnsi="Times New Roman"/>
          <w:sz w:val="24"/>
          <w:szCs w:val="24"/>
        </w:rPr>
      </w:pPr>
    </w:p>
    <w:p w14:paraId="02FB2124" w14:textId="77777777" w:rsidR="0031735C" w:rsidRDefault="0031735C" w:rsidP="0031735C">
      <w:pPr>
        <w:spacing w:line="276" w:lineRule="auto"/>
        <w:jc w:val="both"/>
        <w:rPr>
          <w:rFonts w:ascii="Times New Roman" w:hAnsi="Times New Roman"/>
          <w:sz w:val="24"/>
          <w:szCs w:val="24"/>
        </w:rPr>
      </w:pPr>
    </w:p>
    <w:p w14:paraId="1D583BB3" w14:textId="77777777" w:rsidR="00993BE9" w:rsidRDefault="00993BE9" w:rsidP="00993BE9">
      <w:pPr>
        <w:spacing w:line="276" w:lineRule="auto"/>
        <w:ind w:right="-864"/>
        <w:jc w:val="both"/>
        <w:rPr>
          <w:rFonts w:asciiTheme="minorBidi" w:hAnsiTheme="minorBidi" w:cstheme="minorBidi"/>
        </w:rPr>
      </w:pPr>
      <w:r w:rsidRPr="005C6630">
        <w:rPr>
          <w:rFonts w:asciiTheme="minorBidi" w:hAnsiTheme="minorBidi" w:cstheme="minorBidi"/>
        </w:rPr>
        <w:lastRenderedPageBreak/>
        <w:t>Vermicompost and cocopeat (T5) was the most successful combination of the five germination media treatments in terms of encouraging seed germination and seedling growth. In terms of germination percentage, germination speed, and the overall Seedling Vigor Index (SVI), this medium continuously performed better than the others. The complementary physical and chemical characteristics of vermicompost and cocopeat are responsible for T5's superior performance.</w:t>
      </w:r>
    </w:p>
    <w:p w14:paraId="5CF7010A" w14:textId="77777777" w:rsidR="00993BE9" w:rsidRDefault="00993BE9" w:rsidP="00993BE9">
      <w:pPr>
        <w:spacing w:line="276" w:lineRule="auto"/>
        <w:ind w:right="-864"/>
        <w:jc w:val="both"/>
        <w:rPr>
          <w:rFonts w:asciiTheme="minorBidi" w:hAnsiTheme="minorBidi" w:cstheme="minorBidi"/>
          <w:lang w:val="en-IN"/>
        </w:rPr>
      </w:pPr>
    </w:p>
    <w:p w14:paraId="0AEFD39F" w14:textId="77777777" w:rsidR="00993BE9" w:rsidRPr="005C6630" w:rsidRDefault="00993BE9" w:rsidP="00993BE9">
      <w:pPr>
        <w:spacing w:line="276" w:lineRule="auto"/>
        <w:ind w:right="-864"/>
        <w:jc w:val="both"/>
        <w:rPr>
          <w:rFonts w:asciiTheme="minorBidi" w:hAnsiTheme="minorBidi" w:cstheme="minorBidi"/>
          <w:lang w:val="en-IN"/>
        </w:rPr>
      </w:pPr>
      <w:r w:rsidRPr="005C6630">
        <w:rPr>
          <w:rFonts w:asciiTheme="minorBidi" w:hAnsiTheme="minorBidi" w:cstheme="minorBidi"/>
          <w:lang w:val="en-IN"/>
        </w:rPr>
        <w:t>Cocopeat is renowned for its high porosity and exceptional moisture-retention ability, which provide the ideal conditions for gas exchange and seed hydration. These qualities are crucial in the early phases of germination because they allow the seeds to absorb water uniformly while maintaining a sufficient supply of oxygen for the developing embryo. Vermicompost, on the other hand, is abundant in easily accessible macro- and micronutrients, such as potassium, phosphorus, nitrogen, and trace elements, as well as growth-promoting compounds like humic acids and advantageous microbial populations. Faster germination rates, more vigorous root and shoot growth, and an overall higher SVI in the T5 treatment were probably caused by the synergistic interaction of these materials.</w:t>
      </w:r>
    </w:p>
    <w:p w14:paraId="2D963F53" w14:textId="77777777" w:rsidR="00993BE9" w:rsidRDefault="00993BE9" w:rsidP="00993BE9">
      <w:pPr>
        <w:spacing w:line="276" w:lineRule="auto"/>
        <w:ind w:right="-864"/>
        <w:jc w:val="both"/>
        <w:rPr>
          <w:rFonts w:asciiTheme="minorBidi" w:hAnsiTheme="minorBidi" w:cstheme="minorBidi"/>
          <w:lang w:val="en-IN"/>
        </w:rPr>
      </w:pPr>
    </w:p>
    <w:p w14:paraId="78080E58" w14:textId="77777777" w:rsidR="00993BE9" w:rsidRPr="005C6630" w:rsidRDefault="00993BE9" w:rsidP="00993BE9">
      <w:pPr>
        <w:spacing w:line="276" w:lineRule="auto"/>
        <w:ind w:right="-864"/>
        <w:jc w:val="both"/>
        <w:rPr>
          <w:rFonts w:asciiTheme="minorBidi" w:hAnsiTheme="minorBidi" w:cstheme="minorBidi"/>
          <w:lang w:val="en-IN"/>
        </w:rPr>
      </w:pPr>
      <w:r w:rsidRPr="005C6630">
        <w:rPr>
          <w:rFonts w:asciiTheme="minorBidi" w:hAnsiTheme="minorBidi" w:cstheme="minorBidi"/>
          <w:lang w:val="en-IN"/>
        </w:rPr>
        <w:t xml:space="preserve">The findings of this study are in line with those of </w:t>
      </w:r>
      <w:r w:rsidRPr="00976C67">
        <w:rPr>
          <w:rFonts w:asciiTheme="minorBidi" w:hAnsiTheme="minorBidi" w:cstheme="minorBidi"/>
          <w:color w:val="000000" w:themeColor="text1"/>
          <w:lang w:val="en-IN"/>
        </w:rPr>
        <w:t>Kumar,</w:t>
      </w:r>
      <w:r>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M.</w:t>
      </w:r>
      <w:r>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&amp;</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Roy,</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D</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(2024)</w:t>
      </w:r>
      <w:r w:rsidRPr="0091411A">
        <w:rPr>
          <w:rFonts w:asciiTheme="minorBidi" w:hAnsiTheme="minorBidi" w:cstheme="minorBidi"/>
          <w:color w:val="000000" w:themeColor="text1"/>
          <w:lang w:val="en-IN"/>
        </w:rPr>
        <w:t xml:space="preserve">, </w:t>
      </w:r>
      <w:r w:rsidRPr="005C6630">
        <w:rPr>
          <w:rFonts w:asciiTheme="minorBidi" w:hAnsiTheme="minorBidi" w:cstheme="minorBidi"/>
          <w:lang w:val="en-IN"/>
        </w:rPr>
        <w:t xml:space="preserve">Kavitha </w:t>
      </w:r>
      <w:r>
        <w:rPr>
          <w:rFonts w:asciiTheme="minorBidi" w:hAnsiTheme="minorBidi" w:cstheme="minorBidi"/>
          <w:lang w:val="en-IN"/>
        </w:rPr>
        <w:t xml:space="preserve">&amp; </w:t>
      </w:r>
      <w:r w:rsidRPr="005C6630">
        <w:rPr>
          <w:rFonts w:asciiTheme="minorBidi" w:hAnsiTheme="minorBidi" w:cstheme="minorBidi"/>
          <w:lang w:val="en-IN"/>
        </w:rPr>
        <w:t xml:space="preserve">Subramanian (2007) and </w:t>
      </w:r>
      <w:proofErr w:type="spellStart"/>
      <w:r w:rsidRPr="005C6630">
        <w:rPr>
          <w:rFonts w:asciiTheme="minorBidi" w:hAnsiTheme="minorBidi" w:cstheme="minorBidi"/>
          <w:lang w:val="en-IN"/>
        </w:rPr>
        <w:t>Arancon</w:t>
      </w:r>
      <w:proofErr w:type="spellEnd"/>
      <w:r w:rsidRPr="005C6630">
        <w:rPr>
          <w:rFonts w:asciiTheme="minorBidi" w:hAnsiTheme="minorBidi" w:cstheme="minorBidi"/>
          <w:lang w:val="en-IN"/>
        </w:rPr>
        <w:t xml:space="preserve"> et al. (2004), who showed that organic growing media blends, especially those that included vermicompost, improved biomass accumulation, nutrient uptake, and seedling emergence in a range of crops. Additionally, their research demonstrated how organic substrates support early root development and enhance stress tolerance by encouraging microbial colonization around the rhizosphere.</w:t>
      </w:r>
    </w:p>
    <w:p w14:paraId="681B32D6" w14:textId="77777777" w:rsidR="00993BE9" w:rsidRDefault="00993BE9" w:rsidP="00993BE9">
      <w:pPr>
        <w:spacing w:line="276" w:lineRule="auto"/>
        <w:ind w:right="-864"/>
        <w:jc w:val="both"/>
        <w:rPr>
          <w:rFonts w:asciiTheme="minorBidi" w:hAnsiTheme="minorBidi" w:cstheme="minorBidi"/>
          <w:lang w:val="en-IN"/>
        </w:rPr>
      </w:pPr>
    </w:p>
    <w:p w14:paraId="767A3918" w14:textId="77777777" w:rsidR="00993BE9" w:rsidRPr="005C6630" w:rsidRDefault="00993BE9" w:rsidP="00993BE9">
      <w:pPr>
        <w:spacing w:line="276" w:lineRule="auto"/>
        <w:ind w:right="-864"/>
        <w:jc w:val="both"/>
        <w:rPr>
          <w:rFonts w:asciiTheme="minorBidi" w:hAnsiTheme="minorBidi" w:cstheme="minorBidi"/>
          <w:lang w:val="en-IN"/>
        </w:rPr>
      </w:pPr>
      <w:r w:rsidRPr="005C6630">
        <w:rPr>
          <w:rFonts w:asciiTheme="minorBidi" w:hAnsiTheme="minorBidi" w:cstheme="minorBidi"/>
          <w:lang w:val="en-IN"/>
        </w:rPr>
        <w:t>Vermicompost by itself (T1), on the other hand, promoted strong seedling growth as well, although it performed marginally worse than the T5 combination. The seeds that germinated in pure vermicompost showed healthy seedling morphology, with well-developed roots and shoots, and moderately high germination percentages. Vermicompost's rich nutritional profile, which provides vital nutrients in a form that plants can absorb, is responsible for this. Additionally, its microbial activity probably increased the enzymatic activity involved in nutrient assimilation and stimulated root elongation. However, compared to the mixture enhanced with cocopeat, the comparatively denser texture of vermicompost might have slightly limited aeration and moisture movement around the seed, which could account for the slight delay in germination speed.</w:t>
      </w:r>
    </w:p>
    <w:p w14:paraId="49ED4980" w14:textId="77777777" w:rsidR="00993BE9" w:rsidRPr="000C76E5" w:rsidRDefault="00993BE9" w:rsidP="00993BE9">
      <w:pPr>
        <w:spacing w:line="276" w:lineRule="auto"/>
        <w:ind w:right="-864"/>
        <w:jc w:val="both"/>
        <w:rPr>
          <w:rFonts w:asciiTheme="minorBidi" w:hAnsiTheme="minorBidi" w:cstheme="minorBidi"/>
          <w:lang w:val="en-IN"/>
        </w:rPr>
      </w:pPr>
      <w:r w:rsidRPr="000C76E5">
        <w:rPr>
          <w:rFonts w:asciiTheme="minorBidi" w:hAnsiTheme="minorBidi" w:cstheme="minorBidi"/>
          <w:lang w:val="en-IN"/>
        </w:rPr>
        <w:t>Because of its lightweight structure, high water-holding capacity, and superior aeration qualities, cocopeat alone (T3) demonstrated quick and consistent germination. In contrast to T1 and T5, the seedlings generated under this treatment, however, exhibited poorer root and shoot development. This implies that cocopeat does not contain enough nutrients to support vigorous seedling growth past the initial sprouting phase, even though it supports the physical requirements for germination. These results are consistent with those of Singh et al. (2014)</w:t>
      </w:r>
      <w:r>
        <w:rPr>
          <w:rFonts w:asciiTheme="minorBidi" w:hAnsiTheme="minorBidi" w:cstheme="minorBidi"/>
          <w:lang w:val="en-IN"/>
        </w:rPr>
        <w:t xml:space="preserve"> and </w:t>
      </w:r>
      <w:r w:rsidRPr="0047530F">
        <w:rPr>
          <w:rFonts w:asciiTheme="minorBidi" w:hAnsiTheme="minorBidi" w:cstheme="minorBidi"/>
          <w:color w:val="000000" w:themeColor="text1"/>
        </w:rPr>
        <w:t>Patel &amp; Desai (2022)</w:t>
      </w:r>
      <w:r w:rsidRPr="000C76E5">
        <w:rPr>
          <w:rFonts w:asciiTheme="minorBidi" w:hAnsiTheme="minorBidi" w:cstheme="minorBidi"/>
          <w:lang w:val="en-IN"/>
        </w:rPr>
        <w:t>, who highlighted the necessity of nutrient supplementation when using cocopeat as a stand-alone medium, especially when growing crops that require a lot of nutrients.</w:t>
      </w:r>
    </w:p>
    <w:p w14:paraId="2F29900A" w14:textId="77777777" w:rsidR="00993BE9" w:rsidRPr="000C76E5" w:rsidRDefault="00993BE9" w:rsidP="00993BE9">
      <w:pPr>
        <w:spacing w:line="276" w:lineRule="auto"/>
        <w:ind w:right="-864"/>
        <w:jc w:val="both"/>
        <w:rPr>
          <w:rFonts w:asciiTheme="minorBidi" w:hAnsiTheme="minorBidi" w:cstheme="minorBidi"/>
          <w:lang w:val="en-IN"/>
        </w:rPr>
      </w:pPr>
      <w:r w:rsidRPr="000C76E5">
        <w:rPr>
          <w:rFonts w:asciiTheme="minorBidi" w:hAnsiTheme="minorBidi" w:cstheme="minorBidi"/>
          <w:lang w:val="en-IN"/>
        </w:rPr>
        <w:t xml:space="preserve">The cow dung treatment (T2) showed an intriguing but somewhat contradictory trend. Although cow dung is frequently thought of as a good organic fertilizer because of its microbial diversity and slow-release nutrient content, it performed the worst out of all the treatments in terms of germination percentage. Cow dung may effectively support post-germination development, as evidenced by the relatively strong shoot and root growth of the seedlings that did emerge from T2. The existence of germination inhibitors or ammonia toxicity in raw or insufficiently decomposed cow dung, which can prevent seed sprouting, is one reasonable explanation for this pattern. Furthermore, the availability of </w:t>
      </w:r>
      <w:r w:rsidRPr="000C76E5">
        <w:rPr>
          <w:rFonts w:asciiTheme="minorBidi" w:hAnsiTheme="minorBidi" w:cstheme="minorBidi"/>
          <w:lang w:val="en-IN"/>
        </w:rPr>
        <w:lastRenderedPageBreak/>
        <w:t>nutrients during the crucial early stages of germination may be delayed due to the slow mineralization of cow dung.</w:t>
      </w:r>
      <w:r w:rsidRPr="000C76E5">
        <w:t xml:space="preserve"> </w:t>
      </w:r>
      <w:r w:rsidRPr="000C76E5">
        <w:rPr>
          <w:rFonts w:asciiTheme="minorBidi" w:hAnsiTheme="minorBidi" w:cstheme="minorBidi"/>
          <w:lang w:val="en-IN"/>
        </w:rPr>
        <w:t>These findings are consistent with those of Sahu and Mittra (2017), who found that unless cow dung-rich substrates are properly composted or amended, seed emergence is delayed and seedling establishment is uneven.</w:t>
      </w:r>
    </w:p>
    <w:p w14:paraId="68878F9F" w14:textId="77777777" w:rsidR="00993BE9" w:rsidRPr="005C6630" w:rsidRDefault="00993BE9" w:rsidP="00993BE9">
      <w:pPr>
        <w:spacing w:line="276" w:lineRule="auto"/>
        <w:ind w:right="-864"/>
        <w:jc w:val="both"/>
        <w:rPr>
          <w:rFonts w:asciiTheme="minorBidi" w:hAnsiTheme="minorBidi" w:cstheme="minorBidi"/>
          <w:lang w:val="en-IN"/>
        </w:rPr>
      </w:pPr>
      <w:r w:rsidRPr="000C76E5">
        <w:rPr>
          <w:rFonts w:asciiTheme="minorBidi" w:hAnsiTheme="minorBidi" w:cstheme="minorBidi"/>
          <w:lang w:val="en-IN"/>
        </w:rPr>
        <w:t xml:space="preserve">Sand, on the other hand, permits quick water uptake and unhindered gas exchange, as evidenced by the surprisingly high germination percentage of </w:t>
      </w:r>
      <w:r>
        <w:rPr>
          <w:rFonts w:asciiTheme="minorBidi" w:hAnsiTheme="minorBidi" w:cstheme="minorBidi"/>
          <w:lang w:val="en-IN"/>
        </w:rPr>
        <w:t>sand</w:t>
      </w:r>
      <w:r w:rsidRPr="000C76E5">
        <w:rPr>
          <w:rFonts w:asciiTheme="minorBidi" w:hAnsiTheme="minorBidi" w:cstheme="minorBidi"/>
          <w:lang w:val="en-IN"/>
        </w:rPr>
        <w:t xml:space="preserve"> (T4). However, with shallow root systems and thin, pale shoots, the overall </w:t>
      </w:r>
      <w:proofErr w:type="spellStart"/>
      <w:r w:rsidRPr="000C76E5">
        <w:rPr>
          <w:rFonts w:asciiTheme="minorBidi" w:hAnsiTheme="minorBidi" w:cstheme="minorBidi"/>
          <w:lang w:val="en-IN"/>
        </w:rPr>
        <w:t>vigor</w:t>
      </w:r>
      <w:proofErr w:type="spellEnd"/>
      <w:r w:rsidRPr="000C76E5">
        <w:rPr>
          <w:rFonts w:asciiTheme="minorBidi" w:hAnsiTheme="minorBidi" w:cstheme="minorBidi"/>
          <w:lang w:val="en-IN"/>
        </w:rPr>
        <w:t xml:space="preserve"> of the seedlings was noticeably low. Sand's low nutrient-holding capacity and propensity to drain water too quickly are the causes of this underperformance, which results in an environment that is both nutrient-deficient and inconsistent in moisture for long-term seedling growth. Furthermore, the organic and microbial support that is usually found in more enriched media is absent from sand.</w:t>
      </w:r>
      <w:r w:rsidRPr="000C76E5">
        <w:t xml:space="preserve"> </w:t>
      </w:r>
      <w:r w:rsidRPr="000C76E5">
        <w:rPr>
          <w:rFonts w:asciiTheme="minorBidi" w:hAnsiTheme="minorBidi" w:cstheme="minorBidi"/>
          <w:lang w:val="en-IN"/>
        </w:rPr>
        <w:t xml:space="preserve">These findings support the findings of </w:t>
      </w:r>
      <w:proofErr w:type="spellStart"/>
      <w:r w:rsidRPr="000C76E5">
        <w:rPr>
          <w:rFonts w:asciiTheme="minorBidi" w:hAnsiTheme="minorBidi" w:cstheme="minorBidi"/>
          <w:lang w:val="en-IN"/>
        </w:rPr>
        <w:t>Maheswarappa</w:t>
      </w:r>
      <w:proofErr w:type="spellEnd"/>
      <w:r w:rsidRPr="000C76E5">
        <w:rPr>
          <w:rFonts w:asciiTheme="minorBidi" w:hAnsiTheme="minorBidi" w:cstheme="minorBidi"/>
          <w:lang w:val="en-IN"/>
        </w:rPr>
        <w:t xml:space="preserve"> et al. (2002)</w:t>
      </w:r>
      <w:r>
        <w:rPr>
          <w:rFonts w:asciiTheme="minorBidi" w:hAnsiTheme="minorBidi" w:cstheme="minorBidi"/>
          <w:lang w:val="en-IN"/>
        </w:rPr>
        <w:t xml:space="preserve"> and </w:t>
      </w:r>
      <w:r w:rsidRPr="0047530F">
        <w:rPr>
          <w:rFonts w:asciiTheme="minorBidi" w:hAnsiTheme="minorBidi" w:cstheme="minorBidi"/>
          <w:color w:val="000000" w:themeColor="text1"/>
        </w:rPr>
        <w:t>Sharma et al., 2023</w:t>
      </w:r>
      <w:r w:rsidRPr="000C76E5">
        <w:rPr>
          <w:rFonts w:asciiTheme="minorBidi" w:hAnsiTheme="minorBidi" w:cstheme="minorBidi"/>
          <w:lang w:val="en-IN"/>
        </w:rPr>
        <w:t>, who pointed out that although sand can be a useful physical medium for early germination, it is inappropriate for ongoing seedling development in the absence of organic or mineral supplementation.</w:t>
      </w:r>
    </w:p>
    <w:p w14:paraId="339DA53F" w14:textId="77777777" w:rsidR="00993BE9" w:rsidRPr="000C76E5" w:rsidRDefault="00993BE9" w:rsidP="00993BE9">
      <w:pPr>
        <w:spacing w:line="276" w:lineRule="auto"/>
        <w:ind w:right="-864"/>
        <w:jc w:val="both"/>
        <w:rPr>
          <w:rFonts w:asciiTheme="minorBidi" w:hAnsiTheme="minorBidi" w:cstheme="minorBidi"/>
          <w:lang w:val="en-IN"/>
        </w:rPr>
      </w:pPr>
      <w:r w:rsidRPr="000C76E5">
        <w:rPr>
          <w:rFonts w:asciiTheme="minorBidi" w:hAnsiTheme="minorBidi" w:cstheme="minorBidi"/>
          <w:lang w:val="en-IN"/>
        </w:rPr>
        <w:t>When combined, the outcomes of every treatment highlight how crucial it is to have a balanced growing medium that meets the nutritional and physical requirements of growing seedlings, including aeration and water retention. Media that only provide one of these characteristics, such as sand or cocopeat, may be effective in certain germination-related aspects but insufficient in promoting the full development of seedlings. On the other hand, nutrient-rich media like vermicompost might require structural improvement to maximize germination conditions.</w:t>
      </w:r>
    </w:p>
    <w:p w14:paraId="41D93D99" w14:textId="77777777" w:rsidR="00993BE9" w:rsidRPr="000C76E5" w:rsidRDefault="00993BE9" w:rsidP="00993BE9">
      <w:pPr>
        <w:spacing w:line="276" w:lineRule="auto"/>
        <w:ind w:right="-864"/>
        <w:jc w:val="both"/>
        <w:rPr>
          <w:rFonts w:asciiTheme="minorBidi" w:hAnsiTheme="minorBidi" w:cstheme="minorBidi"/>
          <w:lang w:val="en-IN"/>
        </w:rPr>
      </w:pPr>
      <w:r w:rsidRPr="000C76E5">
        <w:rPr>
          <w:rFonts w:asciiTheme="minorBidi" w:hAnsiTheme="minorBidi" w:cstheme="minorBidi"/>
          <w:lang w:val="en-IN"/>
        </w:rPr>
        <w:t>These advantages are successfully combined in the vermicompost + cocopeat combination (T5), which produces a synergistic environment that promotes both vigorous seedling growth and quick and consistent germination. Along with improving early plant establishment, these combinations may also increase resistance to transplant shock, which would ultimately improve field conditions for plant survival and yield. Particularly in semi-arid areas where crops like jowar and bajra are frequently grown, the combination of locally accessible, affordable, and sustainable organic materials like vermicompost and cocopeat offers a promising approach for nursery practices and resource-constrained agricultural systems.</w:t>
      </w:r>
    </w:p>
    <w:p w14:paraId="461CFD02" w14:textId="77777777" w:rsidR="00993BE9" w:rsidRPr="000C76E5" w:rsidRDefault="00993BE9" w:rsidP="00993BE9">
      <w:pPr>
        <w:spacing w:line="276" w:lineRule="auto"/>
        <w:ind w:right="-864"/>
        <w:jc w:val="both"/>
        <w:rPr>
          <w:rFonts w:asciiTheme="minorBidi" w:hAnsiTheme="minorBidi" w:cstheme="minorBidi"/>
          <w:lang w:val="en-IN"/>
        </w:rPr>
      </w:pPr>
      <w:r w:rsidRPr="000C76E5">
        <w:rPr>
          <w:rFonts w:asciiTheme="minorBidi" w:hAnsiTheme="minorBidi" w:cstheme="minorBidi"/>
          <w:lang w:val="en-IN"/>
        </w:rPr>
        <w:t>Additionally, the results of this study highlight how important media selection is to agricultural output and suggest a sustainable crop propagation model that reduces reliance on artificial inputs. Over time, adding well-balanced organic media to seedling production systems can also enhance soil health, lessen environmental deterioration, and foster ecological resilience.</w:t>
      </w:r>
      <w:r w:rsidRPr="000C76E5">
        <w:rPr>
          <w:rFonts w:asciiTheme="minorBidi" w:hAnsiTheme="minorBidi" w:cstheme="minorBidi"/>
          <w:lang w:val="en-IN"/>
        </w:rPr>
        <w:br/>
      </w:r>
      <w:r w:rsidRPr="000C76E5">
        <w:rPr>
          <w:rFonts w:asciiTheme="minorBidi" w:hAnsiTheme="minorBidi" w:cstheme="minorBidi"/>
          <w:lang w:val="en-IN"/>
        </w:rPr>
        <w:br/>
        <w:t>In summary, the blend of vermicompost and cocopeat produced the best results for every germination and growth metric assessed in this study. For farmers and nursery operators looking to improve seedling quality and field performance at a reasonable cost, it provides a practical, environmentally friendly substitute for traditional growing media.</w:t>
      </w:r>
      <w:r w:rsidRPr="000C76E5">
        <w:t xml:space="preserve"> </w:t>
      </w:r>
      <w:r w:rsidRPr="000C76E5">
        <w:rPr>
          <w:rFonts w:asciiTheme="minorBidi" w:hAnsiTheme="minorBidi" w:cstheme="minorBidi"/>
          <w:lang w:val="en-IN"/>
        </w:rPr>
        <w:t>Future studies should concentrate on maximizing the ratios of these media and investigating how they affect a larger variety of crops in a range of environmental circumstances.</w:t>
      </w:r>
    </w:p>
    <w:p w14:paraId="7CA60430" w14:textId="23933F2E" w:rsidR="0031735C" w:rsidRDefault="0031735C" w:rsidP="0031735C">
      <w:pPr>
        <w:spacing w:line="276" w:lineRule="auto"/>
        <w:jc w:val="both"/>
        <w:rPr>
          <w:rFonts w:ascii="Times New Roman" w:hAnsi="Times New Roman"/>
          <w:sz w:val="24"/>
          <w:szCs w:val="24"/>
        </w:rPr>
      </w:pPr>
    </w:p>
    <w:p w14:paraId="3503D9E7" w14:textId="62EB9675" w:rsidR="0031735C" w:rsidRPr="00335110" w:rsidRDefault="00993BE9" w:rsidP="0031735C">
      <w:pPr>
        <w:spacing w:line="276" w:lineRule="auto"/>
        <w:jc w:val="both"/>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14:anchorId="49FF5C1E" wp14:editId="04EBDD60">
                <wp:simplePos x="0" y="0"/>
                <wp:positionH relativeFrom="margin">
                  <wp:posOffset>632460</wp:posOffset>
                </wp:positionH>
                <wp:positionV relativeFrom="paragraph">
                  <wp:posOffset>129540</wp:posOffset>
                </wp:positionV>
                <wp:extent cx="4663440" cy="339725"/>
                <wp:effectExtent l="0" t="0" r="3810" b="3175"/>
                <wp:wrapNone/>
                <wp:docPr id="5165841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3440" cy="339725"/>
                        </a:xfrm>
                        <a:prstGeom prst="rect">
                          <a:avLst/>
                        </a:prstGeom>
                        <a:solidFill>
                          <a:schemeClr val="lt1"/>
                        </a:solidFill>
                        <a:ln w="6350">
                          <a:noFill/>
                        </a:ln>
                      </wps:spPr>
                      <wps:txbx>
                        <w:txbxContent>
                          <w:p w14:paraId="183BB451" w14:textId="659BAFEB" w:rsidR="0031735C" w:rsidRPr="00C36BCC" w:rsidRDefault="0031735C" w:rsidP="00993BE9">
                            <w:pPr>
                              <w:rPr>
                                <w:rFonts w:ascii="Times New Roman" w:hAnsi="Times New Roman"/>
                                <w:b/>
                                <w:bCs/>
                                <w:sz w:val="24"/>
                                <w:szCs w:val="22"/>
                              </w:rPr>
                            </w:pPr>
                            <w:r w:rsidRPr="00993BE9">
                              <w:rPr>
                                <w:rFonts w:asciiTheme="minorBidi" w:hAnsiTheme="minorBidi" w:cstheme="minorBidi"/>
                                <w:b/>
                                <w:bCs/>
                                <w:szCs w:val="18"/>
                              </w:rPr>
                              <w:t>Table 2:</w:t>
                            </w:r>
                            <w:r w:rsidRPr="00993BE9">
                              <w:rPr>
                                <w:rFonts w:ascii="Times New Roman" w:hAnsi="Times New Roman"/>
                                <w:b/>
                                <w:bCs/>
                                <w:szCs w:val="18"/>
                              </w:rPr>
                              <w:t xml:space="preserve"> </w:t>
                            </w:r>
                            <w:r w:rsidR="00993BE9" w:rsidRPr="005C6630">
                              <w:rPr>
                                <w:rFonts w:asciiTheme="minorBidi" w:hAnsiTheme="minorBidi" w:cstheme="minorBidi"/>
                                <w:b/>
                                <w:bCs/>
                                <w:szCs w:val="18"/>
                              </w:rPr>
                              <w:t>Germination with different composition</w:t>
                            </w:r>
                            <w:r w:rsidR="00993BE9">
                              <w:rPr>
                                <w:rFonts w:asciiTheme="minorBidi" w:hAnsiTheme="minorBidi" w:cstheme="minorBidi"/>
                                <w:b/>
                                <w:bCs/>
                                <w:szCs w:val="18"/>
                              </w:rPr>
                              <w:t xml:space="preserve"> based on 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F5C1E" id="Text Box 1" o:spid="_x0000_s1027" type="#_x0000_t202" style="position:absolute;left:0;text-align:left;margin-left:49.8pt;margin-top:10.2pt;width:367.2pt;height:2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" fillcolor="white [3201]" stroked="f" strokeweight=".5pt">
                <v:textbox>
                  <w:txbxContent>
                    <w:p w14:paraId="183BB451" w14:textId="659BAFEB" w:rsidR="0031735C" w:rsidRPr="00C36BCC" w:rsidRDefault="0031735C" w:rsidP="00993BE9">
                      <w:pPr>
                        <w:rPr>
                          <w:rFonts w:ascii="Times New Roman" w:hAnsi="Times New Roman"/>
                          <w:b/>
                          <w:bCs/>
                          <w:sz w:val="24"/>
                          <w:szCs w:val="22"/>
                        </w:rPr>
                      </w:pPr>
                      <w:r w:rsidRPr="00993BE9">
                        <w:rPr>
                          <w:rFonts w:asciiTheme="minorBidi" w:hAnsiTheme="minorBidi" w:cstheme="minorBidi"/>
                          <w:b/>
                          <w:bCs/>
                          <w:szCs w:val="18"/>
                        </w:rPr>
                        <w:t>Table 2:</w:t>
                      </w:r>
                      <w:r w:rsidRPr="00993BE9">
                        <w:rPr>
                          <w:rFonts w:ascii="Times New Roman" w:hAnsi="Times New Roman"/>
                          <w:b/>
                          <w:bCs/>
                          <w:szCs w:val="18"/>
                        </w:rPr>
                        <w:t xml:space="preserve"> </w:t>
                      </w:r>
                      <w:r w:rsidR="00993BE9" w:rsidRPr="005C6630">
                        <w:rPr>
                          <w:rFonts w:asciiTheme="minorBidi" w:hAnsiTheme="minorBidi" w:cstheme="minorBidi"/>
                          <w:b/>
                          <w:bCs/>
                          <w:szCs w:val="18"/>
                        </w:rPr>
                        <w:t>Germination with different composition</w:t>
                      </w:r>
                      <w:r w:rsidR="00993BE9">
                        <w:rPr>
                          <w:rFonts w:asciiTheme="minorBidi" w:hAnsiTheme="minorBidi" w:cstheme="minorBidi"/>
                          <w:b/>
                          <w:bCs/>
                          <w:szCs w:val="18"/>
                        </w:rPr>
                        <w:t xml:space="preserve"> based on observation</w:t>
                      </w:r>
                    </w:p>
                  </w:txbxContent>
                </v:textbox>
                <w10:wrap anchorx="margin"/>
              </v:shape>
            </w:pict>
          </mc:Fallback>
        </mc:AlternateContent>
      </w:r>
    </w:p>
    <w:p w14:paraId="692CFE92" w14:textId="7B4BD918" w:rsidR="00A91490" w:rsidRDefault="00A91490" w:rsidP="00441B6F">
      <w:pPr>
        <w:pStyle w:val="Head1"/>
        <w:spacing w:after="0"/>
        <w:jc w:val="both"/>
        <w:rPr>
          <w:rFonts w:ascii="Arial" w:hAnsi="Arial" w:cs="Arial"/>
        </w:rPr>
      </w:pPr>
    </w:p>
    <w:p w14:paraId="47CD8415" w14:textId="77777777" w:rsidR="00A91490" w:rsidRDefault="00A91490" w:rsidP="00441B6F">
      <w:pPr>
        <w:pStyle w:val="Head1"/>
        <w:spacing w:after="0"/>
        <w:jc w:val="both"/>
        <w:rPr>
          <w:rFonts w:ascii="Arial" w:hAnsi="Arial" w:cs="Arial"/>
        </w:rPr>
      </w:pPr>
    </w:p>
    <w:tbl>
      <w:tblPr>
        <w:tblStyle w:val="GridTable6Colorful-Accent1"/>
        <w:tblW w:w="9356" w:type="dxa"/>
        <w:tblInd w:w="-147" w:type="dxa"/>
        <w:tblLook w:val="04A0" w:firstRow="1" w:lastRow="0" w:firstColumn="1" w:lastColumn="0" w:noHBand="0" w:noVBand="1"/>
      </w:tblPr>
      <w:tblGrid>
        <w:gridCol w:w="703"/>
        <w:gridCol w:w="2327"/>
        <w:gridCol w:w="1931"/>
        <w:gridCol w:w="1556"/>
        <w:gridCol w:w="1537"/>
        <w:gridCol w:w="1302"/>
      </w:tblGrid>
      <w:tr w:rsidR="0031735C" w:rsidRPr="00335110" w14:paraId="25D3C6B5" w14:textId="77777777" w:rsidTr="00EA1B3D">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03" w:type="dxa"/>
          </w:tcPr>
          <w:p w14:paraId="722950E0" w14:textId="77777777" w:rsidR="0031735C" w:rsidRPr="00993BE9" w:rsidRDefault="0031735C" w:rsidP="00EA1B3D">
            <w:pPr>
              <w:spacing w:line="276" w:lineRule="auto"/>
              <w:jc w:val="both"/>
              <w:rPr>
                <w:rFonts w:asciiTheme="minorBidi" w:hAnsiTheme="minorBidi"/>
                <w:sz w:val="20"/>
              </w:rPr>
            </w:pPr>
            <w:proofErr w:type="gramStart"/>
            <w:r w:rsidRPr="00993BE9">
              <w:rPr>
                <w:rFonts w:asciiTheme="minorBidi" w:hAnsiTheme="minorBidi"/>
                <w:sz w:val="20"/>
              </w:rPr>
              <w:t>S.No</w:t>
            </w:r>
            <w:proofErr w:type="gramEnd"/>
          </w:p>
        </w:tc>
        <w:tc>
          <w:tcPr>
            <w:tcW w:w="2327" w:type="dxa"/>
            <w:hideMark/>
          </w:tcPr>
          <w:p w14:paraId="3610A2ED" w14:textId="77777777" w:rsidR="0031735C" w:rsidRPr="00993BE9"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Treatment</w:t>
            </w:r>
          </w:p>
        </w:tc>
        <w:tc>
          <w:tcPr>
            <w:tcW w:w="1931" w:type="dxa"/>
            <w:hideMark/>
          </w:tcPr>
          <w:p w14:paraId="37473A2F" w14:textId="77777777" w:rsidR="0031735C" w:rsidRPr="00993BE9"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Germination %</w:t>
            </w:r>
          </w:p>
        </w:tc>
        <w:tc>
          <w:tcPr>
            <w:tcW w:w="1556" w:type="dxa"/>
            <w:hideMark/>
          </w:tcPr>
          <w:p w14:paraId="428FFFFB" w14:textId="77777777" w:rsidR="0031735C" w:rsidRPr="00993BE9"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Germination Speed</w:t>
            </w:r>
          </w:p>
        </w:tc>
        <w:tc>
          <w:tcPr>
            <w:tcW w:w="1537" w:type="dxa"/>
            <w:hideMark/>
          </w:tcPr>
          <w:p w14:paraId="295C1108" w14:textId="77777777" w:rsidR="0031735C" w:rsidRPr="00993BE9"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Root/Shoot Growth</w:t>
            </w:r>
          </w:p>
        </w:tc>
        <w:tc>
          <w:tcPr>
            <w:tcW w:w="1302" w:type="dxa"/>
            <w:hideMark/>
          </w:tcPr>
          <w:p w14:paraId="4C06395F" w14:textId="77777777" w:rsidR="0031735C" w:rsidRPr="00993BE9" w:rsidRDefault="0031735C" w:rsidP="00EA1B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0"/>
              </w:rPr>
            </w:pPr>
            <w:r w:rsidRPr="00993BE9">
              <w:rPr>
                <w:rFonts w:asciiTheme="minorBidi" w:hAnsiTheme="minorBidi"/>
                <w:sz w:val="20"/>
              </w:rPr>
              <w:t>Seedling Vigor</w:t>
            </w:r>
          </w:p>
        </w:tc>
      </w:tr>
      <w:tr w:rsidR="0031735C" w:rsidRPr="00335110" w14:paraId="3944C0A2" w14:textId="77777777" w:rsidTr="00EA1B3D">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703" w:type="dxa"/>
          </w:tcPr>
          <w:p w14:paraId="487AD563" w14:textId="77777777" w:rsidR="0031735C" w:rsidRPr="00993BE9" w:rsidRDefault="0031735C" w:rsidP="00EA1B3D">
            <w:pPr>
              <w:spacing w:line="276" w:lineRule="auto"/>
              <w:jc w:val="both"/>
              <w:rPr>
                <w:rFonts w:asciiTheme="minorBidi" w:hAnsiTheme="minorBidi"/>
                <w:b w:val="0"/>
                <w:bCs w:val="0"/>
                <w:sz w:val="20"/>
              </w:rPr>
            </w:pPr>
            <w:r w:rsidRPr="00993BE9">
              <w:rPr>
                <w:rFonts w:asciiTheme="minorBidi" w:hAnsiTheme="minorBidi"/>
                <w:b w:val="0"/>
                <w:bCs w:val="0"/>
                <w:sz w:val="20"/>
              </w:rPr>
              <w:t>1</w:t>
            </w:r>
          </w:p>
        </w:tc>
        <w:tc>
          <w:tcPr>
            <w:tcW w:w="2327" w:type="dxa"/>
            <w:hideMark/>
          </w:tcPr>
          <w:p w14:paraId="2B590352"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Vermicompost</w:t>
            </w:r>
          </w:p>
        </w:tc>
        <w:tc>
          <w:tcPr>
            <w:tcW w:w="1931" w:type="dxa"/>
            <w:hideMark/>
          </w:tcPr>
          <w:p w14:paraId="10E117CA"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Moderate</w:t>
            </w:r>
          </w:p>
        </w:tc>
        <w:tc>
          <w:tcPr>
            <w:tcW w:w="1556" w:type="dxa"/>
            <w:hideMark/>
          </w:tcPr>
          <w:p w14:paraId="265A604C"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Fast</w:t>
            </w:r>
          </w:p>
        </w:tc>
        <w:tc>
          <w:tcPr>
            <w:tcW w:w="1537" w:type="dxa"/>
            <w:hideMark/>
          </w:tcPr>
          <w:p w14:paraId="742D1B1F"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Strong</w:t>
            </w:r>
          </w:p>
        </w:tc>
        <w:tc>
          <w:tcPr>
            <w:tcW w:w="1302" w:type="dxa"/>
            <w:hideMark/>
          </w:tcPr>
          <w:p w14:paraId="01767A76"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High</w:t>
            </w:r>
          </w:p>
        </w:tc>
      </w:tr>
      <w:tr w:rsidR="0031735C" w:rsidRPr="00335110" w14:paraId="62AF34E6" w14:textId="77777777" w:rsidTr="00EA1B3D">
        <w:trPr>
          <w:trHeight w:val="86"/>
        </w:trPr>
        <w:tc>
          <w:tcPr>
            <w:cnfStyle w:val="001000000000" w:firstRow="0" w:lastRow="0" w:firstColumn="1" w:lastColumn="0" w:oddVBand="0" w:evenVBand="0" w:oddHBand="0" w:evenHBand="0" w:firstRowFirstColumn="0" w:firstRowLastColumn="0" w:lastRowFirstColumn="0" w:lastRowLastColumn="0"/>
            <w:tcW w:w="703" w:type="dxa"/>
          </w:tcPr>
          <w:p w14:paraId="1D9ED06F" w14:textId="77777777" w:rsidR="0031735C" w:rsidRPr="00993BE9" w:rsidRDefault="0031735C" w:rsidP="00EA1B3D">
            <w:pPr>
              <w:spacing w:line="276" w:lineRule="auto"/>
              <w:jc w:val="both"/>
              <w:rPr>
                <w:rFonts w:asciiTheme="minorBidi" w:hAnsiTheme="minorBidi"/>
                <w:b w:val="0"/>
                <w:bCs w:val="0"/>
                <w:sz w:val="20"/>
              </w:rPr>
            </w:pPr>
            <w:r w:rsidRPr="00993BE9">
              <w:rPr>
                <w:rFonts w:asciiTheme="minorBidi" w:hAnsiTheme="minorBidi"/>
                <w:b w:val="0"/>
                <w:bCs w:val="0"/>
                <w:sz w:val="20"/>
              </w:rPr>
              <w:lastRenderedPageBreak/>
              <w:t>2</w:t>
            </w:r>
          </w:p>
        </w:tc>
        <w:tc>
          <w:tcPr>
            <w:tcW w:w="2327" w:type="dxa"/>
            <w:hideMark/>
          </w:tcPr>
          <w:p w14:paraId="70AEFF7F"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Cow Dung</w:t>
            </w:r>
          </w:p>
        </w:tc>
        <w:tc>
          <w:tcPr>
            <w:tcW w:w="1931" w:type="dxa"/>
            <w:hideMark/>
          </w:tcPr>
          <w:p w14:paraId="048CAECA"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Low</w:t>
            </w:r>
          </w:p>
        </w:tc>
        <w:tc>
          <w:tcPr>
            <w:tcW w:w="1556" w:type="dxa"/>
            <w:hideMark/>
          </w:tcPr>
          <w:p w14:paraId="241A3468"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Moderate</w:t>
            </w:r>
          </w:p>
        </w:tc>
        <w:tc>
          <w:tcPr>
            <w:tcW w:w="1537" w:type="dxa"/>
            <w:hideMark/>
          </w:tcPr>
          <w:p w14:paraId="1C593607"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Moderate–Strong</w:t>
            </w:r>
          </w:p>
        </w:tc>
        <w:tc>
          <w:tcPr>
            <w:tcW w:w="1302" w:type="dxa"/>
            <w:hideMark/>
          </w:tcPr>
          <w:p w14:paraId="257A5F85"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Moderate–High</w:t>
            </w:r>
          </w:p>
        </w:tc>
      </w:tr>
      <w:tr w:rsidR="0031735C" w:rsidRPr="00335110" w14:paraId="71531186" w14:textId="77777777" w:rsidTr="00EA1B3D">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703" w:type="dxa"/>
          </w:tcPr>
          <w:p w14:paraId="768D559C" w14:textId="77777777" w:rsidR="0031735C" w:rsidRPr="00993BE9" w:rsidRDefault="0031735C" w:rsidP="00EA1B3D">
            <w:pPr>
              <w:spacing w:line="276" w:lineRule="auto"/>
              <w:jc w:val="both"/>
              <w:rPr>
                <w:rFonts w:asciiTheme="minorBidi" w:hAnsiTheme="minorBidi"/>
                <w:b w:val="0"/>
                <w:bCs w:val="0"/>
                <w:sz w:val="20"/>
              </w:rPr>
            </w:pPr>
            <w:r w:rsidRPr="00993BE9">
              <w:rPr>
                <w:rFonts w:asciiTheme="minorBidi" w:hAnsiTheme="minorBidi"/>
                <w:b w:val="0"/>
                <w:bCs w:val="0"/>
                <w:sz w:val="20"/>
              </w:rPr>
              <w:t>3</w:t>
            </w:r>
          </w:p>
        </w:tc>
        <w:tc>
          <w:tcPr>
            <w:tcW w:w="2327" w:type="dxa"/>
            <w:hideMark/>
          </w:tcPr>
          <w:p w14:paraId="271A3DC1"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Cocopeat</w:t>
            </w:r>
          </w:p>
        </w:tc>
        <w:tc>
          <w:tcPr>
            <w:tcW w:w="1931" w:type="dxa"/>
            <w:hideMark/>
          </w:tcPr>
          <w:p w14:paraId="34BFE729"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Moderate</w:t>
            </w:r>
          </w:p>
        </w:tc>
        <w:tc>
          <w:tcPr>
            <w:tcW w:w="1556" w:type="dxa"/>
            <w:hideMark/>
          </w:tcPr>
          <w:p w14:paraId="4113E5C3"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Fast</w:t>
            </w:r>
          </w:p>
        </w:tc>
        <w:tc>
          <w:tcPr>
            <w:tcW w:w="1537" w:type="dxa"/>
            <w:hideMark/>
          </w:tcPr>
          <w:p w14:paraId="336249D3"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Moderate</w:t>
            </w:r>
          </w:p>
        </w:tc>
        <w:tc>
          <w:tcPr>
            <w:tcW w:w="1302" w:type="dxa"/>
            <w:hideMark/>
          </w:tcPr>
          <w:p w14:paraId="5CB6F147"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Moderate</w:t>
            </w:r>
          </w:p>
        </w:tc>
      </w:tr>
      <w:tr w:rsidR="0031735C" w:rsidRPr="00335110" w14:paraId="01BD1F54" w14:textId="77777777" w:rsidTr="00EA1B3D">
        <w:trPr>
          <w:trHeight w:val="47"/>
        </w:trPr>
        <w:tc>
          <w:tcPr>
            <w:cnfStyle w:val="001000000000" w:firstRow="0" w:lastRow="0" w:firstColumn="1" w:lastColumn="0" w:oddVBand="0" w:evenVBand="0" w:oddHBand="0" w:evenHBand="0" w:firstRowFirstColumn="0" w:firstRowLastColumn="0" w:lastRowFirstColumn="0" w:lastRowLastColumn="0"/>
            <w:tcW w:w="703" w:type="dxa"/>
          </w:tcPr>
          <w:p w14:paraId="1AD42EA1" w14:textId="77777777" w:rsidR="0031735C" w:rsidRPr="00993BE9" w:rsidRDefault="0031735C" w:rsidP="00EA1B3D">
            <w:pPr>
              <w:spacing w:line="276" w:lineRule="auto"/>
              <w:jc w:val="both"/>
              <w:rPr>
                <w:rFonts w:asciiTheme="minorBidi" w:hAnsiTheme="minorBidi"/>
                <w:b w:val="0"/>
                <w:bCs w:val="0"/>
                <w:sz w:val="20"/>
              </w:rPr>
            </w:pPr>
            <w:r w:rsidRPr="00993BE9">
              <w:rPr>
                <w:rFonts w:asciiTheme="minorBidi" w:hAnsiTheme="minorBidi"/>
                <w:b w:val="0"/>
                <w:bCs w:val="0"/>
                <w:sz w:val="20"/>
              </w:rPr>
              <w:t>4</w:t>
            </w:r>
          </w:p>
        </w:tc>
        <w:tc>
          <w:tcPr>
            <w:tcW w:w="2327" w:type="dxa"/>
            <w:hideMark/>
          </w:tcPr>
          <w:p w14:paraId="590D8E29"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proofErr w:type="spellStart"/>
            <w:r w:rsidRPr="00993BE9">
              <w:rPr>
                <w:rFonts w:asciiTheme="minorBidi" w:hAnsiTheme="minorBidi"/>
                <w:b/>
                <w:bCs/>
                <w:sz w:val="20"/>
              </w:rPr>
              <w:t>Sand</w:t>
            </w:r>
            <w:proofErr w:type="spellEnd"/>
            <w:r w:rsidRPr="00993BE9">
              <w:rPr>
                <w:rFonts w:asciiTheme="minorBidi" w:hAnsiTheme="minorBidi"/>
                <w:b/>
                <w:bCs/>
                <w:sz w:val="20"/>
              </w:rPr>
              <w:t xml:space="preserve"> Soil</w:t>
            </w:r>
          </w:p>
        </w:tc>
        <w:tc>
          <w:tcPr>
            <w:tcW w:w="1931" w:type="dxa"/>
            <w:hideMark/>
          </w:tcPr>
          <w:p w14:paraId="78139328"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High</w:t>
            </w:r>
          </w:p>
        </w:tc>
        <w:tc>
          <w:tcPr>
            <w:tcW w:w="1556" w:type="dxa"/>
            <w:hideMark/>
          </w:tcPr>
          <w:p w14:paraId="220164B0"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Slow</w:t>
            </w:r>
          </w:p>
        </w:tc>
        <w:tc>
          <w:tcPr>
            <w:tcW w:w="1537" w:type="dxa"/>
            <w:hideMark/>
          </w:tcPr>
          <w:p w14:paraId="2A8070DB"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Weak</w:t>
            </w:r>
          </w:p>
        </w:tc>
        <w:tc>
          <w:tcPr>
            <w:tcW w:w="1302" w:type="dxa"/>
            <w:hideMark/>
          </w:tcPr>
          <w:p w14:paraId="1C764EE3" w14:textId="77777777" w:rsidR="0031735C" w:rsidRPr="00993BE9" w:rsidRDefault="0031735C" w:rsidP="00EA1B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Low</w:t>
            </w:r>
          </w:p>
        </w:tc>
      </w:tr>
      <w:tr w:rsidR="0031735C" w:rsidRPr="00335110" w14:paraId="1B304945" w14:textId="77777777" w:rsidTr="00EA1B3D">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703" w:type="dxa"/>
          </w:tcPr>
          <w:p w14:paraId="4F678A38" w14:textId="77777777" w:rsidR="0031735C" w:rsidRPr="00993BE9" w:rsidRDefault="0031735C" w:rsidP="00EA1B3D">
            <w:pPr>
              <w:spacing w:line="276" w:lineRule="auto"/>
              <w:jc w:val="both"/>
              <w:rPr>
                <w:rFonts w:asciiTheme="minorBidi" w:hAnsiTheme="minorBidi"/>
                <w:b w:val="0"/>
                <w:bCs w:val="0"/>
                <w:sz w:val="20"/>
              </w:rPr>
            </w:pPr>
            <w:r w:rsidRPr="00993BE9">
              <w:rPr>
                <w:rFonts w:asciiTheme="minorBidi" w:hAnsiTheme="minorBidi"/>
                <w:b w:val="0"/>
                <w:bCs w:val="0"/>
                <w:sz w:val="20"/>
              </w:rPr>
              <w:t>5</w:t>
            </w:r>
          </w:p>
        </w:tc>
        <w:tc>
          <w:tcPr>
            <w:tcW w:w="2327" w:type="dxa"/>
            <w:hideMark/>
          </w:tcPr>
          <w:p w14:paraId="522E62BB" w14:textId="77777777" w:rsidR="0031735C" w:rsidRPr="00993BE9" w:rsidRDefault="0031735C" w:rsidP="00EA1B3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Vermicompost</w:t>
            </w:r>
          </w:p>
          <w:p w14:paraId="588E8F5A" w14:textId="77777777" w:rsidR="0031735C" w:rsidRPr="00993BE9" w:rsidRDefault="0031735C" w:rsidP="00EA1B3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 xml:space="preserve">         +  </w:t>
            </w:r>
          </w:p>
          <w:p w14:paraId="701E4D5A"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 xml:space="preserve">  Cocopeat</w:t>
            </w:r>
          </w:p>
        </w:tc>
        <w:tc>
          <w:tcPr>
            <w:tcW w:w="1931" w:type="dxa"/>
            <w:hideMark/>
          </w:tcPr>
          <w:p w14:paraId="558A77D8"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Very High</w:t>
            </w:r>
          </w:p>
        </w:tc>
        <w:tc>
          <w:tcPr>
            <w:tcW w:w="1556" w:type="dxa"/>
            <w:hideMark/>
          </w:tcPr>
          <w:p w14:paraId="3C2486F1"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Very Fast</w:t>
            </w:r>
          </w:p>
        </w:tc>
        <w:tc>
          <w:tcPr>
            <w:tcW w:w="1537" w:type="dxa"/>
            <w:hideMark/>
          </w:tcPr>
          <w:p w14:paraId="60598D7C"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Very Strong</w:t>
            </w:r>
          </w:p>
        </w:tc>
        <w:tc>
          <w:tcPr>
            <w:tcW w:w="1302" w:type="dxa"/>
            <w:hideMark/>
          </w:tcPr>
          <w:p w14:paraId="6695C841" w14:textId="77777777" w:rsidR="0031735C" w:rsidRPr="00993BE9" w:rsidRDefault="0031735C" w:rsidP="00EA1B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rPr>
            </w:pPr>
            <w:r w:rsidRPr="00993BE9">
              <w:rPr>
                <w:rFonts w:asciiTheme="minorBidi" w:hAnsiTheme="minorBidi"/>
                <w:b/>
                <w:bCs/>
                <w:sz w:val="20"/>
              </w:rPr>
              <w:t>Very High</w:t>
            </w:r>
          </w:p>
        </w:tc>
      </w:tr>
    </w:tbl>
    <w:p w14:paraId="4031C4B0" w14:textId="77777777" w:rsidR="00A91490" w:rsidRDefault="00A91490" w:rsidP="00441B6F">
      <w:pPr>
        <w:pStyle w:val="Head1"/>
        <w:spacing w:after="0"/>
        <w:jc w:val="both"/>
        <w:rPr>
          <w:rFonts w:ascii="Arial" w:hAnsi="Arial" w:cs="Arial"/>
        </w:rPr>
      </w:pPr>
    </w:p>
    <w:p w14:paraId="431E3CC7" w14:textId="74D715F1" w:rsidR="00902823" w:rsidRDefault="00902823" w:rsidP="00441B6F">
      <w:pPr>
        <w:pStyle w:val="Head1"/>
        <w:spacing w:after="0"/>
        <w:jc w:val="both"/>
        <w:rPr>
          <w:rFonts w:ascii="Arial" w:hAnsi="Arial" w:cs="Arial"/>
        </w:rPr>
      </w:pPr>
    </w:p>
    <w:p w14:paraId="487C9A8A" w14:textId="36B96971" w:rsidR="0031735C" w:rsidRPr="00335110" w:rsidRDefault="0031735C" w:rsidP="0031735C">
      <w:pPr>
        <w:spacing w:line="276" w:lineRule="auto"/>
        <w:jc w:val="both"/>
        <w:rPr>
          <w:rFonts w:ascii="Times New Roman" w:hAnsi="Times New Roman"/>
          <w:b/>
          <w:bCs/>
          <w:sz w:val="24"/>
          <w:szCs w:val="24"/>
        </w:rPr>
      </w:pPr>
      <w:r w:rsidRPr="00335110">
        <w:rPr>
          <w:rFonts w:ascii="Times New Roman" w:hAnsi="Times New Roman"/>
          <w:b/>
          <w:bCs/>
          <w:sz w:val="24"/>
          <w:szCs w:val="24"/>
        </w:rPr>
        <w:t>Conclusion</w:t>
      </w:r>
    </w:p>
    <w:p w14:paraId="4601497A" w14:textId="77777777" w:rsidR="00993BE9" w:rsidRPr="005C6630" w:rsidRDefault="00993BE9" w:rsidP="00993BE9">
      <w:pPr>
        <w:spacing w:line="276" w:lineRule="auto"/>
        <w:ind w:right="-723"/>
        <w:jc w:val="both"/>
        <w:rPr>
          <w:rFonts w:asciiTheme="minorBidi" w:hAnsiTheme="minorBidi" w:cstheme="minorBidi"/>
          <w:sz w:val="16"/>
          <w:szCs w:val="16"/>
        </w:rPr>
      </w:pPr>
      <w:r w:rsidRPr="00FD5FEC">
        <w:rPr>
          <w:rFonts w:asciiTheme="minorBidi" w:hAnsiTheme="minorBidi" w:cstheme="minorBidi"/>
          <w:lang w:val="en-IN"/>
        </w:rPr>
        <w:t xml:space="preserve">The study shows that seed germination, growth rate, and overall seedling </w:t>
      </w:r>
      <w:proofErr w:type="spellStart"/>
      <w:r w:rsidRPr="00FD5FEC">
        <w:rPr>
          <w:rFonts w:asciiTheme="minorBidi" w:hAnsiTheme="minorBidi" w:cstheme="minorBidi"/>
          <w:lang w:val="en-IN"/>
        </w:rPr>
        <w:t>vigor</w:t>
      </w:r>
      <w:proofErr w:type="spellEnd"/>
      <w:r w:rsidRPr="00FD5FEC">
        <w:rPr>
          <w:rFonts w:asciiTheme="minorBidi" w:hAnsiTheme="minorBidi" w:cstheme="minorBidi"/>
          <w:lang w:val="en-IN"/>
        </w:rPr>
        <w:t xml:space="preserve"> are all greatly impacted by the type of growing medium used. The most successful combination of treatments was Vermicompost and Cocopeat, which supported very high germination percentage, very fast germination speed, and very strong root and shoot development, all of which led to very high seedling </w:t>
      </w:r>
      <w:proofErr w:type="spellStart"/>
      <w:r w:rsidRPr="00FD5FEC">
        <w:rPr>
          <w:rFonts w:asciiTheme="minorBidi" w:hAnsiTheme="minorBidi" w:cstheme="minorBidi"/>
          <w:lang w:val="en-IN"/>
        </w:rPr>
        <w:t>vigor</w:t>
      </w:r>
      <w:proofErr w:type="spellEnd"/>
      <w:r w:rsidRPr="00FD5FEC">
        <w:rPr>
          <w:rFonts w:asciiTheme="minorBidi" w:hAnsiTheme="minorBidi" w:cstheme="minorBidi"/>
          <w:lang w:val="en-IN"/>
        </w:rPr>
        <w:t xml:space="preserve">. </w:t>
      </w:r>
      <w:r w:rsidRPr="00FD5FEC">
        <w:rPr>
          <w:rFonts w:asciiTheme="minorBidi" w:hAnsiTheme="minorBidi" w:cstheme="minorBidi"/>
          <w:lang w:val="en-IN"/>
        </w:rPr>
        <w:br/>
        <w:t xml:space="preserve">Although vermicompost and cocopeat were only moderately effective on their own, when combined, they had a synergistic effect that improved </w:t>
      </w:r>
      <w:proofErr w:type="gramStart"/>
      <w:r w:rsidRPr="00FD5FEC">
        <w:rPr>
          <w:rFonts w:asciiTheme="minorBidi" w:hAnsiTheme="minorBidi" w:cstheme="minorBidi"/>
          <w:lang w:val="en-IN"/>
        </w:rPr>
        <w:t>performance as a whole</w:t>
      </w:r>
      <w:proofErr w:type="gramEnd"/>
      <w:r w:rsidRPr="00FD5FEC">
        <w:rPr>
          <w:rFonts w:asciiTheme="minorBidi" w:hAnsiTheme="minorBidi" w:cstheme="minorBidi"/>
          <w:lang w:val="en-IN"/>
        </w:rPr>
        <w:t xml:space="preserve">. Cow dung, on the other hand, encouraged robust growth but was unable to facilitate effective germination, and </w:t>
      </w:r>
      <w:r>
        <w:rPr>
          <w:rFonts w:asciiTheme="minorBidi" w:hAnsiTheme="minorBidi" w:cstheme="minorBidi"/>
          <w:lang w:val="en-IN"/>
        </w:rPr>
        <w:t>sand</w:t>
      </w:r>
      <w:r w:rsidRPr="00FD5FEC">
        <w:rPr>
          <w:rFonts w:asciiTheme="minorBidi" w:hAnsiTheme="minorBidi" w:cstheme="minorBidi"/>
          <w:lang w:val="en-IN"/>
        </w:rPr>
        <w:t>, while facilitating high germination, was unable to maintain the development of healthy seedlings.</w:t>
      </w:r>
      <w:r w:rsidRPr="005C6630">
        <w:rPr>
          <w:rFonts w:asciiTheme="minorBidi" w:hAnsiTheme="minorBidi" w:cstheme="minorBidi"/>
          <w:sz w:val="16"/>
          <w:szCs w:val="16"/>
        </w:rPr>
        <w:t xml:space="preserve"> </w:t>
      </w:r>
    </w:p>
    <w:p w14:paraId="3A6CB998" w14:textId="77777777" w:rsidR="00993BE9" w:rsidRPr="00FD5FEC" w:rsidRDefault="00993BE9" w:rsidP="00993BE9">
      <w:pPr>
        <w:spacing w:line="276" w:lineRule="auto"/>
        <w:ind w:right="-723"/>
        <w:jc w:val="both"/>
        <w:rPr>
          <w:rFonts w:asciiTheme="minorBidi" w:hAnsiTheme="minorBidi" w:cstheme="minorBidi"/>
          <w:lang w:val="en-IN"/>
        </w:rPr>
      </w:pPr>
      <w:r w:rsidRPr="005C6630">
        <w:rPr>
          <w:rFonts w:asciiTheme="minorBidi" w:hAnsiTheme="minorBidi" w:cstheme="minorBidi"/>
          <w:lang w:val="en-IN"/>
        </w:rPr>
        <w:t xml:space="preserve">As a result, the study </w:t>
      </w:r>
      <w:proofErr w:type="gramStart"/>
      <w:r w:rsidRPr="005C6630">
        <w:rPr>
          <w:rFonts w:asciiTheme="minorBidi" w:hAnsiTheme="minorBidi" w:cstheme="minorBidi"/>
          <w:lang w:val="en-IN"/>
        </w:rPr>
        <w:t>comes to the conclusion</w:t>
      </w:r>
      <w:proofErr w:type="gramEnd"/>
      <w:r w:rsidRPr="005C6630">
        <w:rPr>
          <w:rFonts w:asciiTheme="minorBidi" w:hAnsiTheme="minorBidi" w:cstheme="minorBidi"/>
          <w:lang w:val="en-IN"/>
        </w:rPr>
        <w:t xml:space="preserve"> that a composite medium consisting of vermicompost and cocopeat is the best option for nursery and agricultural applications because it provides the best results for seed germination and seedling growth.</w:t>
      </w:r>
    </w:p>
    <w:p w14:paraId="7818C1C0" w14:textId="77777777" w:rsidR="00993BE9" w:rsidRPr="00FD5FEC" w:rsidRDefault="00993BE9" w:rsidP="00993BE9">
      <w:pPr>
        <w:spacing w:line="276" w:lineRule="auto"/>
        <w:jc w:val="both"/>
        <w:rPr>
          <w:rFonts w:ascii="Times New Roman" w:hAnsi="Times New Roman"/>
          <w:color w:val="C0504D" w:themeColor="accent2"/>
          <w:sz w:val="24"/>
          <w:szCs w:val="24"/>
          <w:lang w:val="en-IN"/>
        </w:rPr>
      </w:pPr>
    </w:p>
    <w:p w14:paraId="74BD4D22" w14:textId="77777777" w:rsidR="00A03766" w:rsidRDefault="00A03766" w:rsidP="00D535B2">
      <w:pPr>
        <w:pStyle w:val="ReferHead"/>
        <w:spacing w:after="0"/>
        <w:jc w:val="both"/>
        <w:rPr>
          <w:rFonts w:ascii="Arial" w:hAnsi="Arial" w:cs="Arial"/>
          <w:b w:val="0"/>
          <w:caps w:val="0"/>
          <w:sz w:val="20"/>
          <w:u w:val="single"/>
        </w:rPr>
      </w:pPr>
    </w:p>
    <w:p w14:paraId="69A525A7" w14:textId="77777777" w:rsidR="00A03766" w:rsidRPr="00A03766" w:rsidRDefault="00A03766" w:rsidP="00A03766">
      <w:pPr>
        <w:pStyle w:val="ReferHead"/>
        <w:jc w:val="both"/>
        <w:rPr>
          <w:rFonts w:ascii="Arial" w:hAnsi="Arial" w:cs="Arial"/>
          <w:b w:val="0"/>
          <w:caps w:val="0"/>
          <w:sz w:val="20"/>
        </w:rPr>
      </w:pPr>
      <w:r w:rsidRPr="00A03766">
        <w:rPr>
          <w:rFonts w:ascii="Arial" w:hAnsi="Arial" w:cs="Arial"/>
          <w:b w:val="0"/>
          <w:caps w:val="0"/>
          <w:sz w:val="20"/>
        </w:rPr>
        <w:t>COMPETING INTERESTS DISCLAIMER:</w:t>
      </w:r>
    </w:p>
    <w:p w14:paraId="56CEB387" w14:textId="0A3CEAB2" w:rsidR="00A03766" w:rsidRDefault="00A03766" w:rsidP="00A03766">
      <w:pPr>
        <w:pStyle w:val="ReferHead"/>
        <w:spacing w:after="0"/>
        <w:jc w:val="both"/>
        <w:rPr>
          <w:rFonts w:ascii="Arial" w:hAnsi="Arial" w:cs="Arial"/>
          <w:b w:val="0"/>
          <w:caps w:val="0"/>
          <w:sz w:val="20"/>
        </w:rPr>
      </w:pPr>
      <w:r w:rsidRPr="00A03766">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5E0460DD" w14:textId="6904F2F2" w:rsidR="002F0983" w:rsidRDefault="002F0983" w:rsidP="00A03766">
      <w:pPr>
        <w:pStyle w:val="ReferHead"/>
        <w:spacing w:after="0"/>
        <w:jc w:val="both"/>
        <w:rPr>
          <w:rFonts w:ascii="Arial" w:hAnsi="Arial" w:cs="Arial"/>
          <w:b w:val="0"/>
          <w:caps w:val="0"/>
          <w:sz w:val="20"/>
        </w:rPr>
      </w:pPr>
    </w:p>
    <w:p w14:paraId="7489F2DA" w14:textId="77777777" w:rsidR="002F0983" w:rsidRPr="00993BE9" w:rsidRDefault="002F0983" w:rsidP="002F0983">
      <w:pPr>
        <w:rPr>
          <w:rFonts w:ascii="Calibri" w:eastAsia="Calibri" w:hAnsi="Calibri"/>
          <w:kern w:val="2"/>
        </w:rPr>
      </w:pPr>
      <w:bookmarkStart w:id="0" w:name="_Hlk197682619"/>
      <w:bookmarkStart w:id="1" w:name="_Hlk180402183"/>
      <w:bookmarkStart w:id="2" w:name="_Hlk183680988"/>
      <w:r w:rsidRPr="00993BE9">
        <w:rPr>
          <w:rFonts w:ascii="Calibri" w:eastAsia="Calibri" w:hAnsi="Calibri"/>
          <w:kern w:val="2"/>
        </w:rPr>
        <w:t>Disclaimer (Artificial intelligence)</w:t>
      </w:r>
    </w:p>
    <w:p w14:paraId="6B369CE3" w14:textId="77777777" w:rsidR="002F0983" w:rsidRPr="00993BE9" w:rsidRDefault="002F0983" w:rsidP="002F0983">
      <w:pPr>
        <w:rPr>
          <w:rFonts w:ascii="Calibri" w:eastAsia="Calibri" w:hAnsi="Calibri"/>
          <w:b/>
          <w:bCs/>
          <w:kern w:val="2"/>
        </w:rPr>
      </w:pPr>
      <w:r w:rsidRPr="00993BE9">
        <w:rPr>
          <w:rFonts w:ascii="Calibri" w:eastAsia="Calibri" w:hAnsi="Calibri"/>
          <w:b/>
          <w:bCs/>
          <w:kern w:val="2"/>
        </w:rPr>
        <w:t xml:space="preserve">Option 1: </w:t>
      </w:r>
    </w:p>
    <w:p w14:paraId="292DAEDF" w14:textId="77777777" w:rsidR="002F0983" w:rsidRPr="00993BE9" w:rsidRDefault="002F0983" w:rsidP="00993BE9">
      <w:pPr>
        <w:jc w:val="both"/>
        <w:rPr>
          <w:rFonts w:asciiTheme="minorBidi" w:eastAsia="Calibri" w:hAnsiTheme="minorBidi" w:cstheme="minorBidi"/>
          <w:kern w:val="2"/>
        </w:rPr>
      </w:pPr>
      <w:r w:rsidRPr="00993BE9">
        <w:rPr>
          <w:rFonts w:asciiTheme="minorBidi" w:eastAsia="Calibri" w:hAnsiTheme="minorBidi" w:cstheme="minorBidi"/>
          <w:kern w:val="2"/>
        </w:rPr>
        <w:t xml:space="preserve">Author(s) hereby </w:t>
      </w:r>
      <w:proofErr w:type="gramStart"/>
      <w:r w:rsidRPr="00993BE9">
        <w:rPr>
          <w:rFonts w:asciiTheme="minorBidi" w:eastAsia="Calibri" w:hAnsiTheme="minorBidi" w:cstheme="minorBidi"/>
          <w:kern w:val="2"/>
        </w:rPr>
        <w:t>declare</w:t>
      </w:r>
      <w:proofErr w:type="gramEnd"/>
      <w:r w:rsidRPr="00993BE9">
        <w:rPr>
          <w:rFonts w:asciiTheme="minorBidi" w:eastAsia="Calibri" w:hAnsiTheme="minorBidi" w:cstheme="minorBidi"/>
          <w:kern w:val="2"/>
        </w:rPr>
        <w:t xml:space="preserve"> that NO generative AI technologies such as Large Language Models (ChatGPT, COPILOT, etc.) and text-to-image generators have been used during the writing or editing of this manuscript. </w:t>
      </w:r>
    </w:p>
    <w:bookmarkEnd w:id="0"/>
    <w:bookmarkEnd w:id="1"/>
    <w:bookmarkEnd w:id="2"/>
    <w:p w14:paraId="7DE926FF" w14:textId="77777777" w:rsidR="002F0983" w:rsidRDefault="002F0983" w:rsidP="00A03766">
      <w:pPr>
        <w:pStyle w:val="ReferHead"/>
        <w:spacing w:after="0"/>
        <w:jc w:val="both"/>
        <w:rPr>
          <w:rFonts w:ascii="Arial" w:hAnsi="Arial" w:cs="Arial"/>
          <w:b w:val="0"/>
          <w:caps w:val="0"/>
          <w:sz w:val="20"/>
        </w:rPr>
      </w:pPr>
    </w:p>
    <w:p w14:paraId="632C1D6B" w14:textId="77777777" w:rsidR="00D535B2" w:rsidRDefault="00D535B2" w:rsidP="00441B6F">
      <w:pPr>
        <w:pStyle w:val="ReferHead"/>
        <w:spacing w:after="0"/>
        <w:jc w:val="both"/>
        <w:rPr>
          <w:rFonts w:ascii="Arial" w:hAnsi="Arial" w:cs="Arial"/>
        </w:rPr>
      </w:pPr>
    </w:p>
    <w:p w14:paraId="0292D0F2" w14:textId="5FE8059C" w:rsidR="00B01FCD" w:rsidRDefault="00B01FCD" w:rsidP="00441B6F">
      <w:pPr>
        <w:pStyle w:val="ReferHead"/>
        <w:spacing w:after="0"/>
        <w:jc w:val="both"/>
        <w:rPr>
          <w:rFonts w:ascii="Arial" w:hAnsi="Arial" w:cs="Arial"/>
        </w:rPr>
      </w:pPr>
      <w:r w:rsidRPr="00FB3A86">
        <w:rPr>
          <w:rFonts w:ascii="Arial" w:hAnsi="Arial" w:cs="Arial"/>
        </w:rPr>
        <w:t>References</w:t>
      </w:r>
    </w:p>
    <w:p w14:paraId="55667C13" w14:textId="77777777" w:rsidR="00790ADA" w:rsidRPr="00FB3A86" w:rsidRDefault="00790ADA" w:rsidP="00441B6F">
      <w:pPr>
        <w:pStyle w:val="ReferHead"/>
        <w:spacing w:after="0"/>
        <w:jc w:val="both"/>
        <w:rPr>
          <w:rFonts w:ascii="Arial" w:hAnsi="Arial" w:cs="Arial"/>
        </w:rPr>
      </w:pPr>
    </w:p>
    <w:p w14:paraId="456B6D9F" w14:textId="77777777" w:rsidR="00993BE9" w:rsidRPr="00976C67" w:rsidRDefault="00993BE9" w:rsidP="00993BE9">
      <w:pPr>
        <w:pStyle w:val="Body"/>
        <w:numPr>
          <w:ilvl w:val="0"/>
          <w:numId w:val="36"/>
        </w:numPr>
        <w:spacing w:after="0"/>
        <w:rPr>
          <w:rFonts w:asciiTheme="minorBidi" w:hAnsiTheme="minorBidi" w:cstheme="minorBidi"/>
          <w:color w:val="000000" w:themeColor="text1"/>
          <w:lang w:val="en-IN"/>
        </w:rPr>
      </w:pPr>
      <w:r w:rsidRPr="00976C67">
        <w:rPr>
          <w:rFonts w:asciiTheme="minorBidi" w:hAnsiTheme="minorBidi" w:cstheme="minorBidi"/>
          <w:color w:val="000000" w:themeColor="text1"/>
          <w:lang w:val="en-IN"/>
        </w:rPr>
        <w:t>Ahmed,</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S.&amp;</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Jha,</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A.</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K.</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(2023).</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Use of sustainable organic materials in nursery media to</w:t>
      </w:r>
      <w:r>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improve crop establishment in dryland agriculture.</w:t>
      </w:r>
      <w:r w:rsidRPr="00976C67">
        <w:rPr>
          <w:rFonts w:asciiTheme="minorBidi" w:hAnsiTheme="minorBidi" w:cstheme="minorBidi"/>
          <w:color w:val="000000" w:themeColor="text1"/>
          <w:lang w:val="en-IN"/>
        </w:rPr>
        <w:br/>
      </w:r>
      <w:r w:rsidRPr="00976C67">
        <w:rPr>
          <w:rFonts w:asciiTheme="minorBidi" w:hAnsiTheme="minorBidi" w:cstheme="minorBidi"/>
          <w:i/>
          <w:iCs/>
          <w:color w:val="000000" w:themeColor="text1"/>
          <w:lang w:val="en-IN"/>
        </w:rPr>
        <w:t>Indian Journal of Agronomy</w:t>
      </w:r>
      <w:r w:rsidRPr="00976C67">
        <w:rPr>
          <w:rFonts w:asciiTheme="minorBidi" w:hAnsiTheme="minorBidi" w:cstheme="minorBidi"/>
          <w:color w:val="000000" w:themeColor="text1"/>
          <w:lang w:val="en-IN"/>
        </w:rPr>
        <w:t>, 68(4), 321–328.</w:t>
      </w:r>
      <w:r w:rsidRPr="00976C67">
        <w:rPr>
          <w:rFonts w:asciiTheme="minorBidi" w:hAnsiTheme="minorBidi" w:cstheme="minorBidi"/>
          <w:color w:val="000000" w:themeColor="text1"/>
          <w:lang w:val="en-IN"/>
        </w:rPr>
        <w:br/>
        <w:t>https://doi.org/10.5958/0974-7406.2023.</w:t>
      </w:r>
    </w:p>
    <w:p w14:paraId="455937EA" w14:textId="77777777" w:rsidR="00993BE9" w:rsidRPr="0091411A" w:rsidRDefault="00993BE9" w:rsidP="00993BE9">
      <w:pPr>
        <w:pStyle w:val="Body"/>
        <w:spacing w:after="0"/>
        <w:ind w:left="720"/>
        <w:rPr>
          <w:rFonts w:asciiTheme="minorBidi" w:hAnsiTheme="minorBidi" w:cstheme="minorBidi"/>
          <w:color w:val="000000" w:themeColor="text1"/>
          <w:lang w:val="en-IN"/>
        </w:rPr>
      </w:pPr>
    </w:p>
    <w:p w14:paraId="0AC2ECF8" w14:textId="77777777" w:rsidR="00993BE9" w:rsidRPr="005C6630" w:rsidRDefault="00993BE9" w:rsidP="00993BE9">
      <w:pPr>
        <w:pStyle w:val="Body"/>
        <w:numPr>
          <w:ilvl w:val="0"/>
          <w:numId w:val="36"/>
        </w:numPr>
        <w:spacing w:after="0"/>
        <w:rPr>
          <w:rFonts w:asciiTheme="minorBidi" w:hAnsiTheme="minorBidi" w:cstheme="minorBidi"/>
          <w:lang w:val="en-IN"/>
        </w:rPr>
      </w:pPr>
      <w:proofErr w:type="spellStart"/>
      <w:r w:rsidRPr="005C6630">
        <w:rPr>
          <w:rFonts w:asciiTheme="minorBidi" w:hAnsiTheme="minorBidi" w:cstheme="minorBidi"/>
          <w:lang w:val="en-IN"/>
        </w:rPr>
        <w:t>Arancon</w:t>
      </w:r>
      <w:proofErr w:type="spellEnd"/>
      <w:r w:rsidRPr="005C6630">
        <w:rPr>
          <w:rFonts w:asciiTheme="minorBidi" w:hAnsiTheme="minorBidi" w:cstheme="minorBidi"/>
          <w:lang w:val="en-IN"/>
        </w:rPr>
        <w:t xml:space="preserve">, N. Q., Edwards, C. A., Bierman, P., Welch, C., &amp; Metzger, J. D. (2004). Influences of </w:t>
      </w:r>
      <w:proofErr w:type="spellStart"/>
      <w:r w:rsidRPr="005C6630">
        <w:rPr>
          <w:rFonts w:asciiTheme="minorBidi" w:hAnsiTheme="minorBidi" w:cstheme="minorBidi"/>
          <w:lang w:val="en-IN"/>
        </w:rPr>
        <w:t>vermicomposts</w:t>
      </w:r>
      <w:proofErr w:type="spellEnd"/>
      <w:r w:rsidRPr="005C6630">
        <w:rPr>
          <w:rFonts w:asciiTheme="minorBidi" w:hAnsiTheme="minorBidi" w:cstheme="minorBidi"/>
          <w:lang w:val="en-IN"/>
        </w:rPr>
        <w:t xml:space="preserve"> on field strawberries: Part 1. Effects on growth and yield. </w:t>
      </w:r>
      <w:r w:rsidRPr="005C6630">
        <w:rPr>
          <w:rFonts w:asciiTheme="minorBidi" w:hAnsiTheme="minorBidi" w:cstheme="minorBidi"/>
          <w:i/>
          <w:iCs/>
          <w:lang w:val="en-IN"/>
        </w:rPr>
        <w:lastRenderedPageBreak/>
        <w:t>Bioresource Technology</w:t>
      </w:r>
      <w:r w:rsidRPr="005C6630">
        <w:rPr>
          <w:rFonts w:asciiTheme="minorBidi" w:hAnsiTheme="minorBidi" w:cstheme="minorBidi"/>
          <w:lang w:val="en-IN"/>
        </w:rPr>
        <w:t>, 93(2), 145–153. https://doi.org/10.1016/j.biortech.2003.10.014</w:t>
      </w:r>
    </w:p>
    <w:p w14:paraId="73099B37" w14:textId="77777777" w:rsidR="00993BE9" w:rsidRPr="005C6630" w:rsidRDefault="00993BE9" w:rsidP="00993BE9">
      <w:pPr>
        <w:pStyle w:val="Body"/>
        <w:numPr>
          <w:ilvl w:val="0"/>
          <w:numId w:val="36"/>
        </w:numPr>
        <w:spacing w:after="0"/>
        <w:rPr>
          <w:rFonts w:asciiTheme="minorBidi" w:hAnsiTheme="minorBidi" w:cstheme="minorBidi"/>
          <w:lang w:val="en-IN"/>
        </w:rPr>
      </w:pPr>
      <w:proofErr w:type="spellStart"/>
      <w:r w:rsidRPr="005C6630">
        <w:rPr>
          <w:rFonts w:asciiTheme="minorBidi" w:hAnsiTheme="minorBidi" w:cstheme="minorBidi"/>
          <w:lang w:val="en-IN"/>
        </w:rPr>
        <w:t>Arancon</w:t>
      </w:r>
      <w:proofErr w:type="spellEnd"/>
      <w:r w:rsidRPr="005C6630">
        <w:rPr>
          <w:rFonts w:asciiTheme="minorBidi" w:hAnsiTheme="minorBidi" w:cstheme="minorBidi"/>
          <w:lang w:val="en-IN"/>
        </w:rPr>
        <w:t xml:space="preserve">, N. Q., Edwards, C. A., Bierman, P., Welch, C., &amp; Metzger, J. D. (2004). Influences of </w:t>
      </w:r>
      <w:proofErr w:type="spellStart"/>
      <w:r w:rsidRPr="005C6630">
        <w:rPr>
          <w:rFonts w:asciiTheme="minorBidi" w:hAnsiTheme="minorBidi" w:cstheme="minorBidi"/>
          <w:lang w:val="en-IN"/>
        </w:rPr>
        <w:t>vermicomposts</w:t>
      </w:r>
      <w:proofErr w:type="spellEnd"/>
      <w:r w:rsidRPr="005C6630">
        <w:rPr>
          <w:rFonts w:asciiTheme="minorBidi" w:hAnsiTheme="minorBidi" w:cstheme="minorBidi"/>
          <w:lang w:val="en-IN"/>
        </w:rPr>
        <w:t xml:space="preserve"> on field strawberries: Part 1. Effects on growth and yield. </w:t>
      </w:r>
      <w:r w:rsidRPr="005C6630">
        <w:rPr>
          <w:rFonts w:asciiTheme="minorBidi" w:hAnsiTheme="minorBidi" w:cstheme="minorBidi"/>
          <w:i/>
          <w:iCs/>
          <w:lang w:val="en-IN"/>
        </w:rPr>
        <w:t>Bioresource Technology</w:t>
      </w:r>
      <w:r w:rsidRPr="005C6630">
        <w:rPr>
          <w:rFonts w:asciiTheme="minorBidi" w:hAnsiTheme="minorBidi" w:cstheme="minorBidi"/>
          <w:lang w:val="en-IN"/>
        </w:rPr>
        <w:t xml:space="preserve">, 93(2), 145–153. </w:t>
      </w:r>
      <w:hyperlink r:id="rId16" w:history="1">
        <w:r w:rsidRPr="005C6630">
          <w:rPr>
            <w:rStyle w:val="Hyperlink"/>
            <w:rFonts w:asciiTheme="minorBidi" w:hAnsiTheme="minorBidi" w:cstheme="minorBidi"/>
            <w:lang w:val="en-IN"/>
          </w:rPr>
          <w:t>https://doi.org/10.1016/j.biortech.2003.10.014</w:t>
        </w:r>
      </w:hyperlink>
    </w:p>
    <w:p w14:paraId="529484DD"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Bansal, S., &amp; Kapoor, K. K. (2000). Vermicomposting of crop residues and cattle dung with Eisenia </w:t>
      </w:r>
      <w:proofErr w:type="spellStart"/>
      <w:r w:rsidRPr="005C6630">
        <w:rPr>
          <w:rFonts w:asciiTheme="minorBidi" w:hAnsiTheme="minorBidi" w:cstheme="minorBidi"/>
          <w:lang w:val="en-IN"/>
        </w:rPr>
        <w:t>fetida</w:t>
      </w:r>
      <w:proofErr w:type="spellEnd"/>
      <w:r w:rsidRPr="005C6630">
        <w:rPr>
          <w:rFonts w:asciiTheme="minorBidi" w:hAnsiTheme="minorBidi" w:cstheme="minorBidi"/>
          <w:lang w:val="en-IN"/>
        </w:rPr>
        <w:t xml:space="preserve">. </w:t>
      </w:r>
      <w:r w:rsidRPr="005C6630">
        <w:rPr>
          <w:rFonts w:asciiTheme="minorBidi" w:hAnsiTheme="minorBidi" w:cstheme="minorBidi"/>
          <w:i/>
          <w:iCs/>
          <w:lang w:val="en-IN"/>
        </w:rPr>
        <w:t>Bioresource Technology</w:t>
      </w:r>
      <w:r w:rsidRPr="005C6630">
        <w:rPr>
          <w:rFonts w:asciiTheme="minorBidi" w:hAnsiTheme="minorBidi" w:cstheme="minorBidi"/>
          <w:lang w:val="en-IN"/>
        </w:rPr>
        <w:t>, 73(2), 95–98. https://doi.org/10.1016/S0960-8524(99)00137-1</w:t>
      </w:r>
    </w:p>
    <w:p w14:paraId="26BA041A" w14:textId="77777777" w:rsidR="00993BE9"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Bewley, J. D., Bradford, K., </w:t>
      </w:r>
      <w:proofErr w:type="spellStart"/>
      <w:r w:rsidRPr="005C6630">
        <w:rPr>
          <w:rFonts w:asciiTheme="minorBidi" w:hAnsiTheme="minorBidi" w:cstheme="minorBidi"/>
          <w:lang w:val="en-IN"/>
        </w:rPr>
        <w:t>Hilhorst</w:t>
      </w:r>
      <w:proofErr w:type="spellEnd"/>
      <w:r w:rsidRPr="005C6630">
        <w:rPr>
          <w:rFonts w:asciiTheme="minorBidi" w:hAnsiTheme="minorBidi" w:cstheme="minorBidi"/>
          <w:lang w:val="en-IN"/>
        </w:rPr>
        <w:t xml:space="preserve">, H., &amp; </w:t>
      </w:r>
      <w:proofErr w:type="spellStart"/>
      <w:r w:rsidRPr="005C6630">
        <w:rPr>
          <w:rFonts w:asciiTheme="minorBidi" w:hAnsiTheme="minorBidi" w:cstheme="minorBidi"/>
          <w:lang w:val="en-IN"/>
        </w:rPr>
        <w:t>Nonogaki</w:t>
      </w:r>
      <w:proofErr w:type="spellEnd"/>
      <w:r w:rsidRPr="005C6630">
        <w:rPr>
          <w:rFonts w:asciiTheme="minorBidi" w:hAnsiTheme="minorBidi" w:cstheme="minorBidi"/>
          <w:lang w:val="en-IN"/>
        </w:rPr>
        <w:t>, H. (2013). Seeds: Physiology of Development, Germination and Dormancy (3rd ed.). Springer.</w:t>
      </w:r>
    </w:p>
    <w:p w14:paraId="493C2FEA" w14:textId="77777777" w:rsidR="00993BE9" w:rsidRDefault="00993BE9" w:rsidP="00993BE9">
      <w:pPr>
        <w:pStyle w:val="Body"/>
        <w:numPr>
          <w:ilvl w:val="0"/>
          <w:numId w:val="36"/>
        </w:numPr>
        <w:spacing w:after="0"/>
        <w:rPr>
          <w:rFonts w:asciiTheme="minorBidi" w:hAnsiTheme="minorBidi" w:cstheme="minorBidi"/>
          <w:lang w:val="en-IN"/>
        </w:rPr>
      </w:pPr>
      <w:proofErr w:type="spellStart"/>
      <w:proofErr w:type="gramStart"/>
      <w:r w:rsidRPr="00B26F10">
        <w:rPr>
          <w:rFonts w:asciiTheme="minorBidi" w:hAnsiTheme="minorBidi" w:cstheme="minorBidi"/>
          <w:lang w:val="en-IN"/>
        </w:rPr>
        <w:t>Chauhan,R</w:t>
      </w:r>
      <w:proofErr w:type="spellEnd"/>
      <w:proofErr w:type="gramEnd"/>
      <w:r w:rsidRPr="00B26F10">
        <w:rPr>
          <w:rFonts w:asciiTheme="minorBidi" w:hAnsiTheme="minorBidi" w:cstheme="minorBidi"/>
          <w:lang w:val="en-IN"/>
        </w:rPr>
        <w:t xml:space="preserve">; </w:t>
      </w:r>
      <w:proofErr w:type="spellStart"/>
      <w:proofErr w:type="gramStart"/>
      <w:r w:rsidRPr="00B26F10">
        <w:rPr>
          <w:rFonts w:asciiTheme="minorBidi" w:hAnsiTheme="minorBidi" w:cstheme="minorBidi"/>
          <w:lang w:val="en-IN"/>
        </w:rPr>
        <w:t>Sahu,K</w:t>
      </w:r>
      <w:proofErr w:type="spellEnd"/>
      <w:proofErr w:type="gramEnd"/>
      <w:r w:rsidRPr="00B26F10">
        <w:rPr>
          <w:rFonts w:asciiTheme="minorBidi" w:hAnsiTheme="minorBidi" w:cstheme="minorBidi"/>
          <w:lang w:val="en-IN"/>
        </w:rPr>
        <w:t xml:space="preserve">; Majumder, S.K &amp; Yadav, P (2025). Light as a Key Abiotic Driver in Enhancing Germination and Phytochemicals of Chickpea Cultivars. Environment and Ecology. 43(1),169-174. </w:t>
      </w:r>
    </w:p>
    <w:p w14:paraId="2506EF03" w14:textId="77777777" w:rsidR="00993BE9" w:rsidRPr="00976C67" w:rsidRDefault="00993BE9" w:rsidP="00993BE9">
      <w:pPr>
        <w:pStyle w:val="Body"/>
        <w:numPr>
          <w:ilvl w:val="0"/>
          <w:numId w:val="36"/>
        </w:numPr>
        <w:spacing w:after="0"/>
        <w:rPr>
          <w:rFonts w:asciiTheme="minorBidi" w:hAnsiTheme="minorBidi" w:cstheme="minorBidi"/>
          <w:color w:val="000000" w:themeColor="text1"/>
          <w:lang w:val="en-IN"/>
        </w:rPr>
      </w:pPr>
      <w:proofErr w:type="spellStart"/>
      <w:proofErr w:type="gramStart"/>
      <w:r w:rsidRPr="00976C67">
        <w:rPr>
          <w:rFonts w:asciiTheme="minorBidi" w:hAnsiTheme="minorBidi" w:cstheme="minorBidi"/>
          <w:color w:val="000000" w:themeColor="text1"/>
          <w:lang w:val="en-IN"/>
        </w:rPr>
        <w:t>Das,B</w:t>
      </w:r>
      <w:proofErr w:type="spellEnd"/>
      <w:r w:rsidRPr="00976C67">
        <w:rPr>
          <w:rFonts w:asciiTheme="minorBidi" w:hAnsiTheme="minorBidi" w:cstheme="minorBidi"/>
          <w:color w:val="000000" w:themeColor="text1"/>
          <w:lang w:val="en-IN"/>
        </w:rPr>
        <w:t>.</w:t>
      </w:r>
      <w:proofErr w:type="gramEnd"/>
      <w:r w:rsidRPr="00976C67">
        <w:rPr>
          <w:rFonts w:asciiTheme="minorBidi" w:hAnsiTheme="minorBidi" w:cstheme="minorBidi"/>
          <w:color w:val="000000" w:themeColor="text1"/>
          <w:lang w:val="en-IN"/>
        </w:rPr>
        <w:t>,&amp;</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Senapati,</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A</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(2022)</w:t>
      </w:r>
      <w:r w:rsidRPr="0091411A">
        <w:rPr>
          <w:rFonts w:asciiTheme="minorBidi" w:hAnsiTheme="minorBidi" w:cstheme="minorBidi"/>
          <w:color w:val="000000" w:themeColor="text1"/>
          <w:lang w:val="en-IN"/>
        </w:rPr>
        <w:t xml:space="preserve">. </w:t>
      </w:r>
      <w:proofErr w:type="gramStart"/>
      <w:r w:rsidRPr="00976C67">
        <w:rPr>
          <w:rFonts w:asciiTheme="minorBidi" w:hAnsiTheme="minorBidi" w:cstheme="minorBidi"/>
          <w:color w:val="000000" w:themeColor="text1"/>
          <w:lang w:val="en-IN"/>
        </w:rPr>
        <w:t>.Optimizing</w:t>
      </w:r>
      <w:proofErr w:type="gramEnd"/>
      <w:r w:rsidRPr="00976C67">
        <w:rPr>
          <w:rFonts w:asciiTheme="minorBidi" w:hAnsiTheme="minorBidi" w:cstheme="minorBidi"/>
          <w:color w:val="000000" w:themeColor="text1"/>
          <w:lang w:val="en-IN"/>
        </w:rPr>
        <w:t xml:space="preserve"> germination media for enhanced seedling growth in climate-resilient</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crops.</w:t>
      </w:r>
      <w:r w:rsidRPr="0091411A">
        <w:rPr>
          <w:rFonts w:asciiTheme="minorBidi" w:hAnsiTheme="minorBidi" w:cstheme="minorBidi"/>
          <w:color w:val="000000" w:themeColor="text1"/>
          <w:lang w:val="en-IN"/>
        </w:rPr>
        <w:t xml:space="preserve"> </w:t>
      </w:r>
      <w:r w:rsidRPr="00976C67">
        <w:rPr>
          <w:rFonts w:asciiTheme="minorBidi" w:hAnsiTheme="minorBidi" w:cstheme="minorBidi"/>
          <w:i/>
          <w:iCs/>
          <w:color w:val="000000" w:themeColor="text1"/>
          <w:lang w:val="en-IN"/>
        </w:rPr>
        <w:t>Sustainable Agriculture Reviews</w:t>
      </w:r>
      <w:r w:rsidRPr="00976C67">
        <w:rPr>
          <w:rFonts w:asciiTheme="minorBidi" w:hAnsiTheme="minorBidi" w:cstheme="minorBidi"/>
          <w:color w:val="000000" w:themeColor="text1"/>
          <w:lang w:val="en-IN"/>
        </w:rPr>
        <w:t>, 59, 211–225.</w:t>
      </w:r>
      <w:r w:rsidRPr="00976C67">
        <w:rPr>
          <w:rFonts w:asciiTheme="minorBidi" w:hAnsiTheme="minorBidi" w:cstheme="minorBidi"/>
          <w:color w:val="000000" w:themeColor="text1"/>
          <w:lang w:val="en-IN"/>
        </w:rPr>
        <w:br/>
        <w:t>https://doi.org/10.1007/978-3-030</w:t>
      </w:r>
    </w:p>
    <w:p w14:paraId="160C191D" w14:textId="77777777" w:rsidR="00993BE9" w:rsidRPr="0091411A" w:rsidRDefault="00993BE9" w:rsidP="00993BE9">
      <w:pPr>
        <w:pStyle w:val="Body"/>
        <w:spacing w:after="0"/>
        <w:ind w:left="720"/>
        <w:rPr>
          <w:rFonts w:asciiTheme="minorBidi" w:hAnsiTheme="minorBidi" w:cstheme="minorBidi"/>
          <w:color w:val="000000" w:themeColor="text1"/>
          <w:lang w:val="en-IN"/>
        </w:rPr>
      </w:pPr>
    </w:p>
    <w:p w14:paraId="692C2AE6" w14:textId="77777777" w:rsidR="00993BE9" w:rsidRPr="00B26F10" w:rsidRDefault="00993BE9" w:rsidP="00993BE9">
      <w:pPr>
        <w:pStyle w:val="Body"/>
        <w:numPr>
          <w:ilvl w:val="0"/>
          <w:numId w:val="36"/>
        </w:numPr>
        <w:spacing w:after="0"/>
        <w:rPr>
          <w:rFonts w:asciiTheme="minorBidi" w:hAnsiTheme="minorBidi" w:cstheme="minorBidi"/>
          <w:lang w:val="en-IN"/>
        </w:rPr>
      </w:pPr>
      <w:r w:rsidRPr="00B26F10">
        <w:rPr>
          <w:rFonts w:asciiTheme="minorBidi" w:hAnsiTheme="minorBidi" w:cstheme="minorBidi"/>
          <w:lang w:val="en-IN"/>
        </w:rPr>
        <w:t xml:space="preserve">Edwards, C. A., </w:t>
      </w:r>
      <w:proofErr w:type="spellStart"/>
      <w:r w:rsidRPr="00B26F10">
        <w:rPr>
          <w:rFonts w:asciiTheme="minorBidi" w:hAnsiTheme="minorBidi" w:cstheme="minorBidi"/>
          <w:lang w:val="en-IN"/>
        </w:rPr>
        <w:t>Arancon</w:t>
      </w:r>
      <w:proofErr w:type="spellEnd"/>
      <w:r w:rsidRPr="00B26F10">
        <w:rPr>
          <w:rFonts w:asciiTheme="minorBidi" w:hAnsiTheme="minorBidi" w:cstheme="minorBidi"/>
          <w:lang w:val="en-IN"/>
        </w:rPr>
        <w:t>, N. Q., &amp; Sherman, R. (2007). Vermiculture Technology: Earthworms, Organic Wastes, and Environmental Management. CRC Press.</w:t>
      </w:r>
    </w:p>
    <w:p w14:paraId="5E76B0B0"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Joshi, R., Singh, J., &amp; </w:t>
      </w:r>
      <w:proofErr w:type="spellStart"/>
      <w:r w:rsidRPr="005C6630">
        <w:rPr>
          <w:rFonts w:asciiTheme="minorBidi" w:hAnsiTheme="minorBidi" w:cstheme="minorBidi"/>
          <w:lang w:val="en-IN"/>
        </w:rPr>
        <w:t>Vig</w:t>
      </w:r>
      <w:proofErr w:type="spellEnd"/>
      <w:r w:rsidRPr="005C6630">
        <w:rPr>
          <w:rFonts w:asciiTheme="minorBidi" w:hAnsiTheme="minorBidi" w:cstheme="minorBidi"/>
          <w:lang w:val="en-IN"/>
        </w:rPr>
        <w:t xml:space="preserve">, A. P. (2016). Vermicompost as an effective organic fertilizer and biocontrol agent: Effect on growth, </w:t>
      </w:r>
      <w:proofErr w:type="gramStart"/>
      <w:r w:rsidRPr="005C6630">
        <w:rPr>
          <w:rFonts w:asciiTheme="minorBidi" w:hAnsiTheme="minorBidi" w:cstheme="minorBidi"/>
          <w:lang w:val="en-IN"/>
        </w:rPr>
        <w:t>yield</w:t>
      </w:r>
      <w:proofErr w:type="gramEnd"/>
      <w:r w:rsidRPr="005C6630">
        <w:rPr>
          <w:rFonts w:asciiTheme="minorBidi" w:hAnsiTheme="minorBidi" w:cstheme="minorBidi"/>
          <w:lang w:val="en-IN"/>
        </w:rPr>
        <w:t xml:space="preserve"> and quality of plants. </w:t>
      </w:r>
      <w:r w:rsidRPr="005C6630">
        <w:rPr>
          <w:rFonts w:asciiTheme="minorBidi" w:hAnsiTheme="minorBidi" w:cstheme="minorBidi"/>
          <w:i/>
          <w:iCs/>
          <w:lang w:val="en-IN"/>
        </w:rPr>
        <w:t>Reviews in Environmental Science and Bio/Technology</w:t>
      </w:r>
      <w:r w:rsidRPr="005C6630">
        <w:rPr>
          <w:rFonts w:asciiTheme="minorBidi" w:hAnsiTheme="minorBidi" w:cstheme="minorBidi"/>
          <w:lang w:val="en-IN"/>
        </w:rPr>
        <w:t>, 15, 137–159. https://doi.org/10.1007/s11157-015-9390-3</w:t>
      </w:r>
    </w:p>
    <w:p w14:paraId="0A6548CD" w14:textId="77777777" w:rsidR="00993BE9"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Joshi, R., Singh, J., &amp; </w:t>
      </w:r>
      <w:proofErr w:type="spellStart"/>
      <w:r w:rsidRPr="005C6630">
        <w:rPr>
          <w:rFonts w:asciiTheme="minorBidi" w:hAnsiTheme="minorBidi" w:cstheme="minorBidi"/>
          <w:lang w:val="en-IN"/>
        </w:rPr>
        <w:t>Vig</w:t>
      </w:r>
      <w:proofErr w:type="spellEnd"/>
      <w:r w:rsidRPr="005C6630">
        <w:rPr>
          <w:rFonts w:asciiTheme="minorBidi" w:hAnsiTheme="minorBidi" w:cstheme="minorBidi"/>
          <w:lang w:val="en-IN"/>
        </w:rPr>
        <w:t xml:space="preserve">, A. P. (2016). Vermicompost as an effective organic fertilizer and biocontrol agent: Effect on growth, </w:t>
      </w:r>
      <w:proofErr w:type="gramStart"/>
      <w:r w:rsidRPr="005C6630">
        <w:rPr>
          <w:rFonts w:asciiTheme="minorBidi" w:hAnsiTheme="minorBidi" w:cstheme="minorBidi"/>
          <w:lang w:val="en-IN"/>
        </w:rPr>
        <w:t>yield</w:t>
      </w:r>
      <w:proofErr w:type="gramEnd"/>
      <w:r w:rsidRPr="005C6630">
        <w:rPr>
          <w:rFonts w:asciiTheme="minorBidi" w:hAnsiTheme="minorBidi" w:cstheme="minorBidi"/>
          <w:lang w:val="en-IN"/>
        </w:rPr>
        <w:t xml:space="preserve"> and quality of plants. </w:t>
      </w:r>
      <w:r w:rsidRPr="005C6630">
        <w:rPr>
          <w:rFonts w:asciiTheme="minorBidi" w:hAnsiTheme="minorBidi" w:cstheme="minorBidi"/>
          <w:i/>
          <w:iCs/>
          <w:lang w:val="en-IN"/>
        </w:rPr>
        <w:t>Reviews in Environmental Science and Bio/Technology</w:t>
      </w:r>
      <w:r w:rsidRPr="005C6630">
        <w:rPr>
          <w:rFonts w:asciiTheme="minorBidi" w:hAnsiTheme="minorBidi" w:cstheme="minorBidi"/>
          <w:lang w:val="en-IN"/>
        </w:rPr>
        <w:t xml:space="preserve">, 15, 137–159. </w:t>
      </w:r>
      <w:hyperlink r:id="rId17" w:history="1">
        <w:r w:rsidRPr="00EB4447">
          <w:rPr>
            <w:rStyle w:val="Hyperlink"/>
            <w:rFonts w:asciiTheme="minorBidi" w:hAnsiTheme="minorBidi" w:cstheme="minorBidi"/>
            <w:lang w:val="en-IN"/>
          </w:rPr>
          <w:t>https://doi.org/10.1007/s11157-015-9390-3</w:t>
        </w:r>
      </w:hyperlink>
      <w:r>
        <w:rPr>
          <w:rFonts w:asciiTheme="minorBidi" w:hAnsiTheme="minorBidi" w:cstheme="minorBidi"/>
          <w:lang w:val="en-IN"/>
        </w:rPr>
        <w:t>.</w:t>
      </w:r>
    </w:p>
    <w:p w14:paraId="6AA6936C"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Kavitha, P., &amp; Subramanian, P. (2007). Effect of Vermicompost on the growth and yield of sorghum. </w:t>
      </w:r>
      <w:r w:rsidRPr="005C6630">
        <w:rPr>
          <w:rFonts w:asciiTheme="minorBidi" w:hAnsiTheme="minorBidi" w:cstheme="minorBidi"/>
          <w:i/>
          <w:iCs/>
          <w:lang w:val="en-IN"/>
        </w:rPr>
        <w:t xml:space="preserve">Journal of </w:t>
      </w:r>
      <w:proofErr w:type="spellStart"/>
      <w:r w:rsidRPr="005C6630">
        <w:rPr>
          <w:rFonts w:asciiTheme="minorBidi" w:hAnsiTheme="minorBidi" w:cstheme="minorBidi"/>
          <w:i/>
          <w:iCs/>
          <w:lang w:val="en-IN"/>
        </w:rPr>
        <w:t>Ecobiology</w:t>
      </w:r>
      <w:proofErr w:type="spellEnd"/>
      <w:r w:rsidRPr="005C6630">
        <w:rPr>
          <w:rFonts w:asciiTheme="minorBidi" w:hAnsiTheme="minorBidi" w:cstheme="minorBidi"/>
          <w:lang w:val="en-IN"/>
        </w:rPr>
        <w:t>, 21(4), 361–365.</w:t>
      </w:r>
    </w:p>
    <w:p w14:paraId="137283DC"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Kavitha, P., &amp; Subramanian, P. (2007). Effect of vermicompost on the growth and yield of sorghum. </w:t>
      </w:r>
      <w:r w:rsidRPr="005C6630">
        <w:rPr>
          <w:rFonts w:asciiTheme="minorBidi" w:hAnsiTheme="minorBidi" w:cstheme="minorBidi"/>
          <w:i/>
          <w:iCs/>
          <w:lang w:val="en-IN"/>
        </w:rPr>
        <w:t xml:space="preserve">Journal of </w:t>
      </w:r>
      <w:proofErr w:type="spellStart"/>
      <w:r w:rsidRPr="005C6630">
        <w:rPr>
          <w:rFonts w:asciiTheme="minorBidi" w:hAnsiTheme="minorBidi" w:cstheme="minorBidi"/>
          <w:i/>
          <w:iCs/>
          <w:lang w:val="en-IN"/>
        </w:rPr>
        <w:t>Ecobiology</w:t>
      </w:r>
      <w:proofErr w:type="spellEnd"/>
      <w:r w:rsidRPr="005C6630">
        <w:rPr>
          <w:rFonts w:asciiTheme="minorBidi" w:hAnsiTheme="minorBidi" w:cstheme="minorBidi"/>
          <w:lang w:val="en-IN"/>
        </w:rPr>
        <w:t>, 21(4), 361–365.</w:t>
      </w:r>
    </w:p>
    <w:p w14:paraId="2B39386F" w14:textId="77777777" w:rsidR="00993BE9" w:rsidRDefault="00993BE9" w:rsidP="00993BE9">
      <w:pPr>
        <w:pStyle w:val="Body"/>
        <w:numPr>
          <w:ilvl w:val="0"/>
          <w:numId w:val="36"/>
        </w:numPr>
        <w:spacing w:after="0"/>
        <w:rPr>
          <w:rFonts w:asciiTheme="minorBidi" w:hAnsiTheme="minorBidi" w:cstheme="minorBidi"/>
          <w:lang w:val="en-IN"/>
        </w:rPr>
      </w:pPr>
      <w:r w:rsidRPr="00B52E18">
        <w:rPr>
          <w:rFonts w:asciiTheme="minorBidi" w:hAnsiTheme="minorBidi" w:cstheme="minorBidi"/>
          <w:lang w:val="en-IN"/>
        </w:rPr>
        <w:t xml:space="preserve">Keerthana, D., Kumar, P., &amp; </w:t>
      </w:r>
      <w:proofErr w:type="spellStart"/>
      <w:r w:rsidRPr="00B52E18">
        <w:rPr>
          <w:rFonts w:asciiTheme="minorBidi" w:hAnsiTheme="minorBidi" w:cstheme="minorBidi"/>
          <w:lang w:val="en-IN"/>
        </w:rPr>
        <w:t>Mehera</w:t>
      </w:r>
      <w:proofErr w:type="spellEnd"/>
      <w:r w:rsidRPr="00B52E18">
        <w:rPr>
          <w:rFonts w:asciiTheme="minorBidi" w:hAnsiTheme="minorBidi" w:cstheme="minorBidi"/>
          <w:lang w:val="en-IN"/>
        </w:rPr>
        <w:t xml:space="preserve">, B. (2024). Effect of Vermicompost and Molybdenum on Growth and Yield of Groundnut (Arachis </w:t>
      </w:r>
      <w:proofErr w:type="spellStart"/>
      <w:r w:rsidRPr="00B52E18">
        <w:rPr>
          <w:rFonts w:asciiTheme="minorBidi" w:hAnsiTheme="minorBidi" w:cstheme="minorBidi"/>
          <w:lang w:val="en-IN"/>
        </w:rPr>
        <w:t>hypogaeal</w:t>
      </w:r>
      <w:proofErr w:type="spellEnd"/>
      <w:r w:rsidRPr="00B52E18">
        <w:rPr>
          <w:rFonts w:asciiTheme="minorBidi" w:hAnsiTheme="minorBidi" w:cstheme="minorBidi"/>
          <w:lang w:val="en-IN"/>
        </w:rPr>
        <w:t xml:space="preserve"> L.). Journal of Advances in Biology &amp; Biotechnology, 27(5), 948–953. </w:t>
      </w:r>
      <w:hyperlink r:id="rId18" w:history="1">
        <w:r w:rsidRPr="00EB4447">
          <w:rPr>
            <w:rStyle w:val="Hyperlink"/>
            <w:rFonts w:asciiTheme="minorBidi" w:hAnsiTheme="minorBidi" w:cstheme="minorBidi"/>
            <w:lang w:val="en-IN"/>
          </w:rPr>
          <w:t>https://doi.org/10.9734/jabb/2024/v27i5856</w:t>
        </w:r>
      </w:hyperlink>
      <w:r>
        <w:rPr>
          <w:rFonts w:asciiTheme="minorBidi" w:hAnsiTheme="minorBidi" w:cstheme="minorBidi"/>
          <w:lang w:val="en-IN"/>
        </w:rPr>
        <w:t>.</w:t>
      </w:r>
    </w:p>
    <w:p w14:paraId="4D36C5ED" w14:textId="77777777" w:rsidR="00993BE9" w:rsidRDefault="00993BE9" w:rsidP="00993BE9">
      <w:pPr>
        <w:pStyle w:val="Body"/>
        <w:numPr>
          <w:ilvl w:val="0"/>
          <w:numId w:val="36"/>
        </w:numPr>
        <w:spacing w:after="0"/>
        <w:rPr>
          <w:rFonts w:asciiTheme="minorBidi" w:hAnsiTheme="minorBidi" w:cstheme="minorBidi"/>
          <w:color w:val="000000" w:themeColor="text1"/>
          <w:lang w:val="en-IN"/>
        </w:rPr>
      </w:pPr>
      <w:proofErr w:type="spellStart"/>
      <w:proofErr w:type="gramStart"/>
      <w:r w:rsidRPr="00976C67">
        <w:rPr>
          <w:rFonts w:asciiTheme="minorBidi" w:hAnsiTheme="minorBidi" w:cstheme="minorBidi"/>
          <w:color w:val="000000" w:themeColor="text1"/>
          <w:lang w:val="en-IN"/>
        </w:rPr>
        <w:t>Kumar,M</w:t>
      </w:r>
      <w:proofErr w:type="spellEnd"/>
      <w:r w:rsidRPr="00976C67">
        <w:rPr>
          <w:rFonts w:asciiTheme="minorBidi" w:hAnsiTheme="minorBidi" w:cstheme="minorBidi"/>
          <w:color w:val="000000" w:themeColor="text1"/>
          <w:lang w:val="en-IN"/>
        </w:rPr>
        <w:t>.</w:t>
      </w:r>
      <w:proofErr w:type="gramEnd"/>
      <w:r w:rsidRPr="00976C67">
        <w:rPr>
          <w:rFonts w:asciiTheme="minorBidi" w:hAnsiTheme="minorBidi" w:cstheme="minorBidi"/>
          <w:color w:val="000000" w:themeColor="text1"/>
          <w:lang w:val="en-IN"/>
        </w:rPr>
        <w:t>,&amp;</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Roy,</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D</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(2024).</w:t>
      </w:r>
      <w:r w:rsidRPr="0091411A">
        <w:rPr>
          <w:rFonts w:asciiTheme="minorBidi" w:hAnsiTheme="minorBidi" w:cstheme="minorBidi"/>
          <w:color w:val="000000" w:themeColor="text1"/>
          <w:lang w:val="en-IN"/>
        </w:rPr>
        <w:t xml:space="preserve"> </w:t>
      </w:r>
      <w:r w:rsidRPr="00976C67">
        <w:rPr>
          <w:rFonts w:asciiTheme="minorBidi" w:hAnsiTheme="minorBidi" w:cstheme="minorBidi"/>
          <w:color w:val="000000" w:themeColor="text1"/>
          <w:lang w:val="en-IN"/>
        </w:rPr>
        <w:t xml:space="preserve">Influence of organic growing media on early seedling </w:t>
      </w:r>
      <w:proofErr w:type="spellStart"/>
      <w:r w:rsidRPr="00976C67">
        <w:rPr>
          <w:rFonts w:asciiTheme="minorBidi" w:hAnsiTheme="minorBidi" w:cstheme="minorBidi"/>
          <w:color w:val="000000" w:themeColor="text1"/>
          <w:lang w:val="en-IN"/>
        </w:rPr>
        <w:t>vigor</w:t>
      </w:r>
      <w:proofErr w:type="spellEnd"/>
      <w:r w:rsidRPr="00976C67">
        <w:rPr>
          <w:rFonts w:asciiTheme="minorBidi" w:hAnsiTheme="minorBidi" w:cstheme="minorBidi"/>
          <w:color w:val="000000" w:themeColor="text1"/>
          <w:lang w:val="en-IN"/>
        </w:rPr>
        <w:t xml:space="preserve"> of pearl millet (Pennisetum glaucum) under stress conditions.</w:t>
      </w:r>
      <w:r w:rsidRPr="00976C67">
        <w:rPr>
          <w:rFonts w:asciiTheme="minorBidi" w:hAnsiTheme="minorBidi" w:cstheme="minorBidi"/>
          <w:color w:val="000000" w:themeColor="text1"/>
          <w:lang w:val="en-IN"/>
        </w:rPr>
        <w:br/>
      </w:r>
      <w:r w:rsidRPr="00976C67">
        <w:rPr>
          <w:rFonts w:asciiTheme="minorBidi" w:hAnsiTheme="minorBidi" w:cstheme="minorBidi"/>
          <w:i/>
          <w:iCs/>
          <w:color w:val="000000" w:themeColor="text1"/>
          <w:lang w:val="en-IN"/>
        </w:rPr>
        <w:t>Journal of Environmental Biology</w:t>
      </w:r>
      <w:r w:rsidRPr="00976C67">
        <w:rPr>
          <w:rFonts w:asciiTheme="minorBidi" w:hAnsiTheme="minorBidi" w:cstheme="minorBidi"/>
          <w:color w:val="000000" w:themeColor="text1"/>
          <w:lang w:val="en-IN"/>
        </w:rPr>
        <w:t>, 45(1), 89–97.</w:t>
      </w:r>
      <w:r w:rsidRPr="00976C67">
        <w:rPr>
          <w:rFonts w:asciiTheme="minorBidi" w:hAnsiTheme="minorBidi" w:cstheme="minorBidi"/>
          <w:color w:val="000000" w:themeColor="text1"/>
          <w:lang w:val="en-IN"/>
        </w:rPr>
        <w:br/>
      </w:r>
      <w:hyperlink r:id="rId19" w:history="1">
        <w:r w:rsidRPr="00976C67">
          <w:rPr>
            <w:rStyle w:val="Hyperlink"/>
            <w:rFonts w:asciiTheme="minorBidi" w:hAnsiTheme="minorBidi" w:cstheme="minorBidi"/>
            <w:lang w:val="en-IN"/>
          </w:rPr>
          <w:t>https://doi.org/10.22438/jeb/45/1/MRN</w:t>
        </w:r>
      </w:hyperlink>
      <w:r>
        <w:rPr>
          <w:rFonts w:asciiTheme="minorBidi" w:hAnsiTheme="minorBidi" w:cstheme="minorBidi"/>
          <w:color w:val="000000" w:themeColor="text1"/>
          <w:lang w:val="en-IN"/>
        </w:rPr>
        <w:t>.</w:t>
      </w:r>
    </w:p>
    <w:p w14:paraId="4953F980" w14:textId="77777777" w:rsidR="00993BE9" w:rsidRPr="0091411A" w:rsidRDefault="00993BE9" w:rsidP="00993BE9">
      <w:pPr>
        <w:pStyle w:val="Body"/>
        <w:numPr>
          <w:ilvl w:val="0"/>
          <w:numId w:val="36"/>
        </w:numPr>
        <w:spacing w:after="0"/>
        <w:rPr>
          <w:rFonts w:asciiTheme="minorBidi" w:hAnsiTheme="minorBidi" w:cstheme="minorBidi"/>
          <w:color w:val="000000" w:themeColor="text1"/>
          <w:lang w:val="en-IN"/>
        </w:rPr>
      </w:pPr>
      <w:r w:rsidRPr="0091411A">
        <w:rPr>
          <w:rFonts w:asciiTheme="minorBidi" w:hAnsiTheme="minorBidi" w:cstheme="minorBidi"/>
          <w:lang w:val="en-IN"/>
        </w:rPr>
        <w:t xml:space="preserve">Kumar, S., Bhargava, R., &amp; Singh, D. (2015). Effect of organic and inorganic fertilizers on growth and yield of wheat. </w:t>
      </w:r>
      <w:r w:rsidRPr="0091411A">
        <w:rPr>
          <w:rFonts w:asciiTheme="minorBidi" w:hAnsiTheme="minorBidi" w:cstheme="minorBidi"/>
          <w:i/>
          <w:iCs/>
          <w:lang w:val="en-IN"/>
        </w:rPr>
        <w:t>Annals of Agricultural Research</w:t>
      </w:r>
      <w:r w:rsidRPr="0091411A">
        <w:rPr>
          <w:rFonts w:asciiTheme="minorBidi" w:hAnsiTheme="minorBidi" w:cstheme="minorBidi"/>
          <w:lang w:val="en-IN"/>
        </w:rPr>
        <w:t>, 36(3), 259–264.</w:t>
      </w:r>
    </w:p>
    <w:p w14:paraId="35978CA0"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Lehmann, J., &amp; Joseph, S. (2009). Biochar for Environmental Management: Science and Technology. Earthscan Publications Ltd.</w:t>
      </w:r>
    </w:p>
    <w:p w14:paraId="11FAA9E6" w14:textId="77777777" w:rsidR="00993BE9" w:rsidRPr="005C6630" w:rsidRDefault="00993BE9" w:rsidP="00993BE9">
      <w:pPr>
        <w:pStyle w:val="Body"/>
        <w:numPr>
          <w:ilvl w:val="0"/>
          <w:numId w:val="36"/>
        </w:numPr>
        <w:spacing w:after="0"/>
        <w:rPr>
          <w:rFonts w:asciiTheme="minorBidi" w:hAnsiTheme="minorBidi" w:cstheme="minorBidi"/>
          <w:lang w:val="en-IN"/>
        </w:rPr>
      </w:pPr>
      <w:proofErr w:type="spellStart"/>
      <w:r w:rsidRPr="005C6630">
        <w:rPr>
          <w:rFonts w:asciiTheme="minorBidi" w:hAnsiTheme="minorBidi" w:cstheme="minorBidi"/>
          <w:lang w:val="en-IN"/>
        </w:rPr>
        <w:t>Maheswarappa</w:t>
      </w:r>
      <w:proofErr w:type="spellEnd"/>
      <w:r w:rsidRPr="005C6630">
        <w:rPr>
          <w:rFonts w:asciiTheme="minorBidi" w:hAnsiTheme="minorBidi" w:cstheme="minorBidi"/>
          <w:lang w:val="en-IN"/>
        </w:rPr>
        <w:t xml:space="preserve">, H. P., </w:t>
      </w:r>
      <w:proofErr w:type="spellStart"/>
      <w:r w:rsidRPr="005C6630">
        <w:rPr>
          <w:rFonts w:asciiTheme="minorBidi" w:hAnsiTheme="minorBidi" w:cstheme="minorBidi"/>
          <w:lang w:val="en-IN"/>
        </w:rPr>
        <w:t>Nanjappa</w:t>
      </w:r>
      <w:proofErr w:type="spellEnd"/>
      <w:r w:rsidRPr="005C6630">
        <w:rPr>
          <w:rFonts w:asciiTheme="minorBidi" w:hAnsiTheme="minorBidi" w:cstheme="minorBidi"/>
          <w:lang w:val="en-IN"/>
        </w:rPr>
        <w:t xml:space="preserve">, H. V., &amp; Hegde, M. R. (2002). Influence of organic manures on the yield of bajra and ragi under rainfed condition. </w:t>
      </w:r>
      <w:r w:rsidRPr="005C6630">
        <w:rPr>
          <w:rFonts w:asciiTheme="minorBidi" w:hAnsiTheme="minorBidi" w:cstheme="minorBidi"/>
          <w:i/>
          <w:iCs/>
          <w:lang w:val="en-IN"/>
        </w:rPr>
        <w:t>Indian Journal of Agronomy</w:t>
      </w:r>
      <w:r w:rsidRPr="005C6630">
        <w:rPr>
          <w:rFonts w:asciiTheme="minorBidi" w:hAnsiTheme="minorBidi" w:cstheme="minorBidi"/>
          <w:lang w:val="en-IN"/>
        </w:rPr>
        <w:t>, 47(2), 185–188.</w:t>
      </w:r>
    </w:p>
    <w:p w14:paraId="585492E0" w14:textId="77777777" w:rsidR="00993BE9" w:rsidRPr="005C6630" w:rsidRDefault="00993BE9" w:rsidP="00993BE9">
      <w:pPr>
        <w:pStyle w:val="Body"/>
        <w:numPr>
          <w:ilvl w:val="0"/>
          <w:numId w:val="36"/>
        </w:numPr>
        <w:spacing w:after="0"/>
        <w:rPr>
          <w:rFonts w:asciiTheme="minorBidi" w:hAnsiTheme="minorBidi" w:cstheme="minorBidi"/>
          <w:lang w:val="en-IN"/>
        </w:rPr>
      </w:pPr>
      <w:proofErr w:type="spellStart"/>
      <w:r w:rsidRPr="005C6630">
        <w:rPr>
          <w:rFonts w:asciiTheme="minorBidi" w:hAnsiTheme="minorBidi" w:cstheme="minorBidi"/>
          <w:lang w:val="en-IN"/>
        </w:rPr>
        <w:t>Maheswarappa</w:t>
      </w:r>
      <w:proofErr w:type="spellEnd"/>
      <w:r w:rsidRPr="005C6630">
        <w:rPr>
          <w:rFonts w:asciiTheme="minorBidi" w:hAnsiTheme="minorBidi" w:cstheme="minorBidi"/>
          <w:lang w:val="en-IN"/>
        </w:rPr>
        <w:t xml:space="preserve">, H. P., </w:t>
      </w:r>
      <w:proofErr w:type="spellStart"/>
      <w:r w:rsidRPr="005C6630">
        <w:rPr>
          <w:rFonts w:asciiTheme="minorBidi" w:hAnsiTheme="minorBidi" w:cstheme="minorBidi"/>
          <w:lang w:val="en-IN"/>
        </w:rPr>
        <w:t>Nanjappa</w:t>
      </w:r>
      <w:proofErr w:type="spellEnd"/>
      <w:r w:rsidRPr="005C6630">
        <w:rPr>
          <w:rFonts w:asciiTheme="minorBidi" w:hAnsiTheme="minorBidi" w:cstheme="minorBidi"/>
          <w:lang w:val="en-IN"/>
        </w:rPr>
        <w:t xml:space="preserve">, H. V., &amp; Hegde, M. R. (2002). Influence of organic manures on the yield of bajra and ragi under rainfed condition. </w:t>
      </w:r>
      <w:r w:rsidRPr="005C6630">
        <w:rPr>
          <w:rFonts w:asciiTheme="minorBidi" w:hAnsiTheme="minorBidi" w:cstheme="minorBidi"/>
          <w:i/>
          <w:iCs/>
          <w:lang w:val="en-IN"/>
        </w:rPr>
        <w:t>Indian Journal of Agronomy</w:t>
      </w:r>
      <w:r w:rsidRPr="005C6630">
        <w:rPr>
          <w:rFonts w:asciiTheme="minorBidi" w:hAnsiTheme="minorBidi" w:cstheme="minorBidi"/>
          <w:lang w:val="en-IN"/>
        </w:rPr>
        <w:t>, 47(2), 185–188.</w:t>
      </w:r>
      <w:r w:rsidRPr="005C6630">
        <w:rPr>
          <w:rFonts w:asciiTheme="minorBidi" w:hAnsiTheme="minorBidi" w:cstheme="minorBidi"/>
          <w:lang w:val="en-IN"/>
        </w:rPr>
        <w:br/>
      </w:r>
    </w:p>
    <w:p w14:paraId="3F938FAA" w14:textId="77777777" w:rsidR="00993BE9"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Mishra, A., &amp; Singh, R. (2012). Effect of vermicompost on growth parameters of wheat and jowar. </w:t>
      </w:r>
      <w:r w:rsidRPr="005C6630">
        <w:rPr>
          <w:rFonts w:asciiTheme="minorBidi" w:hAnsiTheme="minorBidi" w:cstheme="minorBidi"/>
          <w:i/>
          <w:iCs/>
          <w:lang w:val="en-IN"/>
        </w:rPr>
        <w:t>Journal of Environmental Science</w:t>
      </w:r>
      <w:r w:rsidRPr="005C6630">
        <w:rPr>
          <w:rFonts w:asciiTheme="minorBidi" w:hAnsiTheme="minorBidi" w:cstheme="minorBidi"/>
          <w:lang w:val="en-IN"/>
        </w:rPr>
        <w:t>, 28, 95–99.</w:t>
      </w:r>
    </w:p>
    <w:p w14:paraId="1AFB4301" w14:textId="77777777" w:rsidR="00993BE9" w:rsidRDefault="00993BE9" w:rsidP="00993BE9">
      <w:pPr>
        <w:pStyle w:val="Body"/>
        <w:spacing w:after="0"/>
        <w:ind w:left="720"/>
        <w:rPr>
          <w:rFonts w:asciiTheme="minorBidi" w:hAnsiTheme="minorBidi" w:cstheme="minorBidi"/>
          <w:lang w:val="en-IN"/>
        </w:rPr>
      </w:pPr>
    </w:p>
    <w:p w14:paraId="34463376" w14:textId="77777777" w:rsidR="00993BE9" w:rsidRPr="0047530F" w:rsidRDefault="00993BE9" w:rsidP="00993BE9">
      <w:pPr>
        <w:pStyle w:val="Body"/>
        <w:numPr>
          <w:ilvl w:val="0"/>
          <w:numId w:val="36"/>
        </w:numPr>
        <w:spacing w:after="0"/>
        <w:ind w:right="-14"/>
        <w:rPr>
          <w:rFonts w:asciiTheme="minorBidi" w:hAnsiTheme="minorBidi" w:cstheme="minorBidi"/>
          <w:color w:val="000000" w:themeColor="text1"/>
          <w:lang w:val="en-IN"/>
        </w:rPr>
      </w:pPr>
      <w:r w:rsidRPr="0047530F">
        <w:rPr>
          <w:rFonts w:asciiTheme="minorBidi" w:hAnsiTheme="minorBidi" w:cstheme="minorBidi"/>
          <w:color w:val="000000" w:themeColor="text1"/>
        </w:rPr>
        <w:t>Patel, N., &amp; Desai, R. (2022). Comparative assessment of vermicompost, cow dung, and cocopeat on seed germination in cereals.</w:t>
      </w:r>
      <w:r w:rsidRPr="0047530F">
        <w:rPr>
          <w:rFonts w:asciiTheme="minorBidi" w:hAnsiTheme="minorBidi" w:cstheme="minorBidi"/>
          <w:color w:val="000000" w:themeColor="text1"/>
        </w:rPr>
        <w:br/>
      </w:r>
      <w:r w:rsidRPr="0047530F">
        <w:rPr>
          <w:rFonts w:asciiTheme="minorBidi" w:hAnsiTheme="minorBidi" w:cstheme="minorBidi"/>
          <w:i/>
          <w:iCs/>
          <w:color w:val="000000" w:themeColor="text1"/>
        </w:rPr>
        <w:t>Agricultural Research Journal</w:t>
      </w:r>
      <w:r w:rsidRPr="0047530F">
        <w:rPr>
          <w:rFonts w:asciiTheme="minorBidi" w:hAnsiTheme="minorBidi" w:cstheme="minorBidi"/>
          <w:color w:val="000000" w:themeColor="text1"/>
        </w:rPr>
        <w:t>,59(1),55–61.</w:t>
      </w:r>
      <w:r w:rsidRPr="0047530F">
        <w:rPr>
          <w:rFonts w:asciiTheme="minorBidi" w:hAnsiTheme="minorBidi" w:cstheme="minorBidi"/>
          <w:color w:val="000000" w:themeColor="text1"/>
        </w:rPr>
        <w:br/>
        <w:t>https://doi.org/10.18805/arj.2022.</w:t>
      </w:r>
    </w:p>
    <w:p w14:paraId="04311541" w14:textId="77777777" w:rsidR="00993BE9" w:rsidRPr="00976C67" w:rsidRDefault="00993BE9" w:rsidP="00993BE9">
      <w:pPr>
        <w:pStyle w:val="Body"/>
        <w:spacing w:after="0"/>
        <w:ind w:left="720"/>
        <w:rPr>
          <w:rFonts w:asciiTheme="minorBidi" w:hAnsiTheme="minorBidi" w:cstheme="minorBidi"/>
          <w:lang w:val="en-IN"/>
        </w:rPr>
      </w:pPr>
    </w:p>
    <w:p w14:paraId="6A091ADA"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Ramesh, P., Singh, M., &amp; Subba Rao, A. (2010). Organic farming: Its relevance in India. </w:t>
      </w:r>
      <w:r w:rsidRPr="005C6630">
        <w:rPr>
          <w:rFonts w:asciiTheme="minorBidi" w:hAnsiTheme="minorBidi" w:cstheme="minorBidi"/>
          <w:i/>
          <w:iCs/>
          <w:lang w:val="en-IN"/>
        </w:rPr>
        <w:t>Current Science</w:t>
      </w:r>
      <w:r w:rsidRPr="005C6630">
        <w:rPr>
          <w:rFonts w:asciiTheme="minorBidi" w:hAnsiTheme="minorBidi" w:cstheme="minorBidi"/>
          <w:lang w:val="en-IN"/>
        </w:rPr>
        <w:t>, 88(4), 561–568.</w:t>
      </w:r>
    </w:p>
    <w:p w14:paraId="7A581EE5"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Rao, S. S., Singh, R., &amp; Shetty, S. V. (2014). Dryland Agriculture in India: Issues and Perspectives. </w:t>
      </w:r>
      <w:r w:rsidRPr="005C6630">
        <w:rPr>
          <w:rFonts w:asciiTheme="minorBidi" w:hAnsiTheme="minorBidi" w:cstheme="minorBidi"/>
          <w:i/>
          <w:iCs/>
          <w:lang w:val="en-IN"/>
        </w:rPr>
        <w:t>Indian Journal of Agronomy</w:t>
      </w:r>
      <w:r w:rsidRPr="005C6630">
        <w:rPr>
          <w:rFonts w:asciiTheme="minorBidi" w:hAnsiTheme="minorBidi" w:cstheme="minorBidi"/>
          <w:lang w:val="en-IN"/>
        </w:rPr>
        <w:t>, 59(3), 405–412.</w:t>
      </w:r>
    </w:p>
    <w:p w14:paraId="21A62124"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Sahu, P. K., &amp; Mittra, B. N. (2017). Effect of farmyard manure and cow dung on growth and productivity of cereals. </w:t>
      </w:r>
      <w:r w:rsidRPr="005C6630">
        <w:rPr>
          <w:rFonts w:asciiTheme="minorBidi" w:hAnsiTheme="minorBidi" w:cstheme="minorBidi"/>
          <w:i/>
          <w:iCs/>
          <w:lang w:val="en-IN"/>
        </w:rPr>
        <w:t>International Journal of Agricultural Sciences</w:t>
      </w:r>
      <w:r w:rsidRPr="005C6630">
        <w:rPr>
          <w:rFonts w:asciiTheme="minorBidi" w:hAnsiTheme="minorBidi" w:cstheme="minorBidi"/>
          <w:lang w:val="en-IN"/>
        </w:rPr>
        <w:t>, 9(2), 569–573.</w:t>
      </w:r>
    </w:p>
    <w:p w14:paraId="7D5235EB" w14:textId="77777777" w:rsidR="00993BE9"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Sahu, P. K., &amp; Mittra, B. N. (2017). Effect of farmyard manure and cow dung on growth and productivity of cereals. </w:t>
      </w:r>
      <w:r w:rsidRPr="005C6630">
        <w:rPr>
          <w:rFonts w:asciiTheme="minorBidi" w:hAnsiTheme="minorBidi" w:cstheme="minorBidi"/>
          <w:i/>
          <w:iCs/>
          <w:lang w:val="en-IN"/>
        </w:rPr>
        <w:t>International Journal of Agricultural Sciences</w:t>
      </w:r>
      <w:r w:rsidRPr="005C6630">
        <w:rPr>
          <w:rFonts w:asciiTheme="minorBidi" w:hAnsiTheme="minorBidi" w:cstheme="minorBidi"/>
          <w:lang w:val="en-IN"/>
        </w:rPr>
        <w:t>, 9(2), 569–573.</w:t>
      </w:r>
    </w:p>
    <w:p w14:paraId="55EB8263" w14:textId="77777777" w:rsidR="00993BE9" w:rsidRPr="007C3269" w:rsidRDefault="00993BE9" w:rsidP="00993BE9">
      <w:pPr>
        <w:pStyle w:val="Body"/>
        <w:numPr>
          <w:ilvl w:val="0"/>
          <w:numId w:val="36"/>
        </w:numPr>
        <w:spacing w:after="0"/>
        <w:ind w:right="-14"/>
        <w:rPr>
          <w:rFonts w:asciiTheme="minorBidi" w:hAnsiTheme="minorBidi" w:cstheme="minorBidi"/>
          <w:color w:val="C0504D" w:themeColor="accent2"/>
          <w:lang w:val="en-IN"/>
        </w:rPr>
      </w:pPr>
      <w:r w:rsidRPr="00E478A1">
        <w:rPr>
          <w:rFonts w:asciiTheme="minorBidi" w:hAnsiTheme="minorBidi" w:cstheme="minorBidi"/>
          <w:color w:val="000000" w:themeColor="text1"/>
        </w:rPr>
        <w:t>Sharma, A., Singh, R., &amp; Yadav, V. (2023)</w:t>
      </w:r>
      <w:r w:rsidRPr="00E478A1">
        <w:rPr>
          <w:rFonts w:asciiTheme="minorBidi" w:hAnsiTheme="minorBidi" w:cstheme="minorBidi"/>
          <w:b/>
          <w:bCs/>
          <w:color w:val="000000" w:themeColor="text1"/>
        </w:rPr>
        <w:t>.</w:t>
      </w:r>
      <w:r w:rsidRPr="00E478A1">
        <w:rPr>
          <w:rFonts w:asciiTheme="minorBidi" w:hAnsiTheme="minorBidi" w:cstheme="minorBidi"/>
          <w:color w:val="000000" w:themeColor="text1"/>
        </w:rPr>
        <w:t xml:space="preserve"> Effect of organic substrates on seed germination and seedling growth of sorghum under semi-arid conditions.</w:t>
      </w:r>
      <w:r w:rsidRPr="00E478A1">
        <w:rPr>
          <w:rFonts w:asciiTheme="minorBidi" w:hAnsiTheme="minorBidi" w:cstheme="minorBidi"/>
          <w:color w:val="000000" w:themeColor="text1"/>
        </w:rPr>
        <w:br/>
      </w:r>
      <w:r w:rsidRPr="00E478A1">
        <w:rPr>
          <w:rFonts w:asciiTheme="minorBidi" w:hAnsiTheme="minorBidi" w:cstheme="minorBidi"/>
          <w:i/>
          <w:iCs/>
          <w:color w:val="000000" w:themeColor="text1"/>
        </w:rPr>
        <w:t>Journal of Crop Improvement</w:t>
      </w:r>
      <w:r w:rsidRPr="00E478A1">
        <w:rPr>
          <w:rFonts w:asciiTheme="minorBidi" w:hAnsiTheme="minorBidi" w:cstheme="minorBidi"/>
          <w:color w:val="000000" w:themeColor="text1"/>
        </w:rPr>
        <w:t>, 37(2), 178–192.</w:t>
      </w:r>
      <w:r w:rsidRPr="00E478A1">
        <w:rPr>
          <w:rFonts w:asciiTheme="minorBidi" w:hAnsiTheme="minorBidi" w:cstheme="minorBidi"/>
          <w:color w:val="000000" w:themeColor="text1"/>
        </w:rPr>
        <w:br/>
        <w:t>https://doi.org/10.1080/15427528.2023</w:t>
      </w:r>
      <w:r w:rsidRPr="007C3269">
        <w:rPr>
          <w:rFonts w:asciiTheme="minorBidi" w:hAnsiTheme="minorBidi" w:cstheme="minorBidi"/>
          <w:color w:val="C0504D" w:themeColor="accent2"/>
        </w:rPr>
        <w:t>.</w:t>
      </w:r>
    </w:p>
    <w:p w14:paraId="46F60048" w14:textId="77777777" w:rsidR="00993BE9" w:rsidRPr="005C6630" w:rsidRDefault="00993BE9" w:rsidP="00993BE9">
      <w:pPr>
        <w:pStyle w:val="Body"/>
        <w:spacing w:after="0"/>
        <w:ind w:left="720"/>
        <w:rPr>
          <w:rFonts w:asciiTheme="minorBidi" w:hAnsiTheme="minorBidi" w:cstheme="minorBidi"/>
          <w:lang w:val="en-IN"/>
        </w:rPr>
      </w:pPr>
    </w:p>
    <w:p w14:paraId="6675AEB5" w14:textId="77777777" w:rsidR="00993BE9"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Sharma, D., &amp; Mehta, P. (2013). Comparative evaluation of media for seedling growth in bajra. </w:t>
      </w:r>
      <w:r w:rsidRPr="005C6630">
        <w:rPr>
          <w:rFonts w:asciiTheme="minorBidi" w:hAnsiTheme="minorBidi" w:cstheme="minorBidi"/>
          <w:i/>
          <w:iCs/>
          <w:lang w:val="en-IN"/>
        </w:rPr>
        <w:t>Agricultural Science Digest</w:t>
      </w:r>
      <w:r w:rsidRPr="005C6630">
        <w:rPr>
          <w:rFonts w:asciiTheme="minorBidi" w:hAnsiTheme="minorBidi" w:cstheme="minorBidi"/>
          <w:lang w:val="en-IN"/>
        </w:rPr>
        <w:t>, 33(4), 287–290.</w:t>
      </w:r>
    </w:p>
    <w:p w14:paraId="4BBC4CD1" w14:textId="77777777" w:rsidR="00993BE9" w:rsidRDefault="00993BE9" w:rsidP="00993BE9">
      <w:pPr>
        <w:pStyle w:val="Body"/>
        <w:spacing w:after="0"/>
        <w:ind w:left="720"/>
        <w:rPr>
          <w:rFonts w:asciiTheme="minorBidi" w:hAnsiTheme="minorBidi" w:cstheme="minorBidi"/>
          <w:lang w:val="en-IN"/>
        </w:rPr>
      </w:pPr>
    </w:p>
    <w:p w14:paraId="11DBB975"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Singh, A., Yadav, P. K., &amp; Kumar, A. (2014). Comparative study of cocopeat and soil media on seed germination of cereals. </w:t>
      </w:r>
      <w:r w:rsidRPr="005C6630">
        <w:rPr>
          <w:rFonts w:asciiTheme="minorBidi" w:hAnsiTheme="minorBidi" w:cstheme="minorBidi"/>
          <w:i/>
          <w:iCs/>
          <w:lang w:val="en-IN"/>
        </w:rPr>
        <w:t>Research Journal of Agricultural Sciences</w:t>
      </w:r>
      <w:r w:rsidRPr="005C6630">
        <w:rPr>
          <w:rFonts w:asciiTheme="minorBidi" w:hAnsiTheme="minorBidi" w:cstheme="minorBidi"/>
          <w:lang w:val="en-IN"/>
        </w:rPr>
        <w:t>, 5(3), 521–524.</w:t>
      </w:r>
    </w:p>
    <w:p w14:paraId="35667494"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Singh, A., Yadav, P. K., &amp; Kumar, A. (2014). Comparative study of cocopeat and soil media on seed germination of cereals. </w:t>
      </w:r>
      <w:r w:rsidRPr="005C6630">
        <w:rPr>
          <w:rFonts w:asciiTheme="minorBidi" w:hAnsiTheme="minorBidi" w:cstheme="minorBidi"/>
          <w:i/>
          <w:iCs/>
          <w:lang w:val="en-IN"/>
        </w:rPr>
        <w:t>Research Journal of Agricultural Sciences</w:t>
      </w:r>
      <w:r w:rsidRPr="005C6630">
        <w:rPr>
          <w:rFonts w:asciiTheme="minorBidi" w:hAnsiTheme="minorBidi" w:cstheme="minorBidi"/>
          <w:lang w:val="en-IN"/>
        </w:rPr>
        <w:t>, 5(3),521–524.</w:t>
      </w:r>
      <w:r w:rsidRPr="005C6630">
        <w:rPr>
          <w:rFonts w:asciiTheme="minorBidi" w:hAnsiTheme="minorBidi" w:cstheme="minorBidi"/>
          <w:lang w:val="en-IN"/>
        </w:rPr>
        <w:br/>
      </w:r>
    </w:p>
    <w:p w14:paraId="369318A6" w14:textId="77777777" w:rsidR="00993BE9" w:rsidRPr="005C6630"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Singh, R., &amp; Singh, A. (2016). Influence of different organic media on germination and seedling growth of bajra (Pennisetum glaucum). </w:t>
      </w:r>
      <w:r w:rsidRPr="005C6630">
        <w:rPr>
          <w:rFonts w:asciiTheme="minorBidi" w:hAnsiTheme="minorBidi" w:cstheme="minorBidi"/>
          <w:i/>
          <w:iCs/>
          <w:lang w:val="en-IN"/>
        </w:rPr>
        <w:t>Journal of Eco-Friendly Agriculture</w:t>
      </w:r>
      <w:r w:rsidRPr="005C6630">
        <w:rPr>
          <w:rFonts w:asciiTheme="minorBidi" w:hAnsiTheme="minorBidi" w:cstheme="minorBidi"/>
          <w:lang w:val="en-IN"/>
        </w:rPr>
        <w:t>, 11(2), 153–156.</w:t>
      </w:r>
    </w:p>
    <w:p w14:paraId="44256BB3" w14:textId="77777777" w:rsidR="00993BE9"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Thakur, A., Sharma, R., &amp; Kaur, S. (2015). Effect of seed priming and soil amendments on germination and growth of sorghum and pearl millet. </w:t>
      </w:r>
      <w:r w:rsidRPr="005C6630">
        <w:rPr>
          <w:rFonts w:asciiTheme="minorBidi" w:hAnsiTheme="minorBidi" w:cstheme="minorBidi"/>
          <w:i/>
          <w:iCs/>
          <w:lang w:val="en-IN"/>
        </w:rPr>
        <w:t>Journal of Applied and Natural Science</w:t>
      </w:r>
      <w:r w:rsidRPr="005C6630">
        <w:rPr>
          <w:rFonts w:asciiTheme="minorBidi" w:hAnsiTheme="minorBidi" w:cstheme="minorBidi"/>
          <w:lang w:val="en-IN"/>
        </w:rPr>
        <w:t xml:space="preserve">, 7(2), 829–834. </w:t>
      </w:r>
      <w:hyperlink r:id="rId20" w:history="1">
        <w:r w:rsidRPr="00EB4447">
          <w:rPr>
            <w:rStyle w:val="Hyperlink"/>
            <w:rFonts w:asciiTheme="minorBidi" w:hAnsiTheme="minorBidi" w:cstheme="minorBidi"/>
            <w:lang w:val="en-IN"/>
          </w:rPr>
          <w:t>https://doi.org/10.31018/jans.v7i2.723</w:t>
        </w:r>
      </w:hyperlink>
      <w:r>
        <w:rPr>
          <w:rFonts w:asciiTheme="minorBidi" w:hAnsiTheme="minorBidi" w:cstheme="minorBidi"/>
          <w:lang w:val="en-IN"/>
        </w:rPr>
        <w:t>.</w:t>
      </w:r>
    </w:p>
    <w:p w14:paraId="6AA1923C" w14:textId="77777777" w:rsidR="00993BE9" w:rsidRPr="005C6630" w:rsidRDefault="00993BE9" w:rsidP="00993BE9">
      <w:pPr>
        <w:pStyle w:val="Body"/>
        <w:spacing w:after="0"/>
        <w:ind w:left="720"/>
        <w:rPr>
          <w:rFonts w:asciiTheme="minorBidi" w:hAnsiTheme="minorBidi" w:cstheme="minorBidi"/>
          <w:lang w:val="en-IN"/>
        </w:rPr>
      </w:pPr>
    </w:p>
    <w:p w14:paraId="5373EA54" w14:textId="77777777" w:rsidR="00993BE9" w:rsidRDefault="00993BE9" w:rsidP="00993BE9">
      <w:pPr>
        <w:pStyle w:val="Body"/>
        <w:numPr>
          <w:ilvl w:val="0"/>
          <w:numId w:val="36"/>
        </w:numPr>
        <w:spacing w:after="0"/>
        <w:rPr>
          <w:rFonts w:asciiTheme="minorBidi" w:hAnsiTheme="minorBidi" w:cstheme="minorBidi"/>
          <w:lang w:val="en-IN"/>
        </w:rPr>
      </w:pPr>
      <w:r w:rsidRPr="005C6630">
        <w:rPr>
          <w:rFonts w:asciiTheme="minorBidi" w:hAnsiTheme="minorBidi" w:cstheme="minorBidi"/>
          <w:lang w:val="en-IN"/>
        </w:rPr>
        <w:t xml:space="preserve">Yadav, M., Yadav, J. P., &amp; Singh, A. (2018). Cocopeat as an effective growing medium for horticultural crops: A review. </w:t>
      </w:r>
      <w:r w:rsidRPr="005C6630">
        <w:rPr>
          <w:rFonts w:asciiTheme="minorBidi" w:hAnsiTheme="minorBidi" w:cstheme="minorBidi"/>
          <w:i/>
          <w:iCs/>
          <w:lang w:val="en-IN"/>
        </w:rPr>
        <w:t>Plant Archives</w:t>
      </w:r>
      <w:r w:rsidRPr="005C6630">
        <w:rPr>
          <w:rFonts w:asciiTheme="minorBidi" w:hAnsiTheme="minorBidi" w:cstheme="minorBidi"/>
          <w:lang w:val="en-IN"/>
        </w:rPr>
        <w:t>, 18(2), 2151–2158.</w:t>
      </w:r>
    </w:p>
    <w:p w14:paraId="20F16CE3" w14:textId="77777777" w:rsidR="00993BE9" w:rsidRDefault="00993BE9" w:rsidP="00993BE9">
      <w:pPr>
        <w:pStyle w:val="Body"/>
        <w:spacing w:after="0"/>
        <w:rPr>
          <w:rFonts w:asciiTheme="minorBidi" w:hAnsiTheme="minorBidi" w:cstheme="minorBidi"/>
          <w:lang w:val="en-IN"/>
        </w:rPr>
      </w:pPr>
    </w:p>
    <w:p w14:paraId="68EB082B" w14:textId="77777777" w:rsidR="00993BE9" w:rsidRDefault="00993BE9" w:rsidP="00993BE9">
      <w:pPr>
        <w:pStyle w:val="Body"/>
        <w:spacing w:after="0"/>
        <w:rPr>
          <w:rFonts w:asciiTheme="minorBidi" w:hAnsiTheme="minorBidi" w:cstheme="minorBidi"/>
          <w:lang w:val="en-IN"/>
        </w:rPr>
      </w:pPr>
    </w:p>
    <w:p w14:paraId="7308E8F0" w14:textId="799E3530" w:rsidR="00AD2774" w:rsidRPr="00AD2774" w:rsidRDefault="00AD2774" w:rsidP="00993BE9">
      <w:pPr>
        <w:pStyle w:val="Body"/>
        <w:spacing w:after="0"/>
        <w:ind w:left="720"/>
        <w:rPr>
          <w:rFonts w:ascii="Arial" w:hAnsi="Arial" w:cs="Arial"/>
          <w:lang w:val="en-IN"/>
        </w:rPr>
      </w:pPr>
    </w:p>
    <w:sectPr w:rsidR="00AD2774" w:rsidRPr="00AD2774" w:rsidSect="0074561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1F7A5" w14:textId="77777777" w:rsidR="002231BD" w:rsidRDefault="002231BD" w:rsidP="00C37E61">
      <w:r>
        <w:separator/>
      </w:r>
    </w:p>
  </w:endnote>
  <w:endnote w:type="continuationSeparator" w:id="0">
    <w:p w14:paraId="30108B1F" w14:textId="77777777" w:rsidR="002231BD" w:rsidRDefault="002231B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E3892" w14:textId="77777777" w:rsidR="002231BD" w:rsidRDefault="002231BD" w:rsidP="00C37E61">
      <w:r>
        <w:separator/>
      </w:r>
    </w:p>
  </w:footnote>
  <w:footnote w:type="continuationSeparator" w:id="0">
    <w:p w14:paraId="0A40CBFD" w14:textId="77777777" w:rsidR="002231BD" w:rsidRDefault="002231B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0BE4" w14:textId="141C63A4" w:rsidR="00745613" w:rsidRDefault="00000000">
    <w:pPr>
      <w:pStyle w:val="Header"/>
    </w:pPr>
    <w:r>
      <w:rPr>
        <w:noProof/>
      </w:rPr>
      <w:pict w14:anchorId="68796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021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6C09C" w14:textId="7A0F05AC" w:rsidR="00745613" w:rsidRDefault="00000000">
    <w:pPr>
      <w:pStyle w:val="Header"/>
    </w:pPr>
    <w:r>
      <w:rPr>
        <w:noProof/>
      </w:rPr>
      <w:pict w14:anchorId="57A1E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022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0BFC" w14:textId="41104B2D" w:rsidR="00296529" w:rsidRPr="00296529" w:rsidRDefault="00000000" w:rsidP="00296529">
    <w:pPr>
      <w:ind w:left="2160"/>
      <w:jc w:val="center"/>
      <w:rPr>
        <w:rFonts w:ascii="Times New Roman" w:eastAsia="Calibri" w:hAnsi="Times New Roman"/>
        <w:i/>
        <w:sz w:val="18"/>
        <w:szCs w:val="22"/>
      </w:rPr>
    </w:pPr>
    <w:r>
      <w:rPr>
        <w:noProof/>
      </w:rPr>
      <w:pict w14:anchorId="54A7B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021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7E8B78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5D4E4D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5B2A0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680AF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1785C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177CC8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E97326"/>
    <w:multiLevelType w:val="multilevel"/>
    <w:tmpl w:val="797C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857C21"/>
    <w:multiLevelType w:val="hybridMultilevel"/>
    <w:tmpl w:val="82126F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75F5591"/>
    <w:multiLevelType w:val="multilevel"/>
    <w:tmpl w:val="DFEE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0E312E"/>
    <w:multiLevelType w:val="multilevel"/>
    <w:tmpl w:val="D952A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0AC7C79"/>
    <w:multiLevelType w:val="multilevel"/>
    <w:tmpl w:val="193E9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4735C1"/>
    <w:multiLevelType w:val="multilevel"/>
    <w:tmpl w:val="D9343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8160C2"/>
    <w:multiLevelType w:val="multilevel"/>
    <w:tmpl w:val="5E54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05B2E"/>
    <w:multiLevelType w:val="multilevel"/>
    <w:tmpl w:val="6DF8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1044539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18642906">
    <w:abstractNumId w:val="18"/>
  </w:num>
  <w:num w:numId="3" w16cid:durableId="1841768353">
    <w:abstractNumId w:val="30"/>
  </w:num>
  <w:num w:numId="4" w16cid:durableId="10003446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90221893">
    <w:abstractNumId w:val="8"/>
  </w:num>
  <w:num w:numId="6" w16cid:durableId="146869304">
    <w:abstractNumId w:val="6"/>
  </w:num>
  <w:num w:numId="7" w16cid:durableId="910233755">
    <w:abstractNumId w:val="1"/>
  </w:num>
  <w:num w:numId="8" w16cid:durableId="975599958">
    <w:abstractNumId w:val="13"/>
  </w:num>
  <w:num w:numId="9" w16cid:durableId="855847496">
    <w:abstractNumId w:val="32"/>
  </w:num>
  <w:num w:numId="10" w16cid:durableId="1966231862">
    <w:abstractNumId w:val="2"/>
  </w:num>
  <w:num w:numId="11" w16cid:durableId="1690984063">
    <w:abstractNumId w:val="25"/>
  </w:num>
  <w:num w:numId="12" w16cid:durableId="322199276">
    <w:abstractNumId w:val="3"/>
  </w:num>
  <w:num w:numId="13" w16cid:durableId="1912932688">
    <w:abstractNumId w:val="21"/>
  </w:num>
  <w:num w:numId="14" w16cid:durableId="543954824">
    <w:abstractNumId w:val="9"/>
  </w:num>
  <w:num w:numId="15" w16cid:durableId="2004241930">
    <w:abstractNumId w:val="28"/>
  </w:num>
  <w:num w:numId="16" w16cid:durableId="469320823">
    <w:abstractNumId w:val="5"/>
  </w:num>
  <w:num w:numId="17" w16cid:durableId="611278721">
    <w:abstractNumId w:val="29"/>
  </w:num>
  <w:num w:numId="18" w16cid:durableId="1124151281">
    <w:abstractNumId w:val="16"/>
  </w:num>
  <w:num w:numId="19" w16cid:durableId="2099599299">
    <w:abstractNumId w:val="36"/>
  </w:num>
  <w:num w:numId="20" w16cid:durableId="1657681844">
    <w:abstractNumId w:val="12"/>
  </w:num>
  <w:num w:numId="21" w16cid:durableId="1703743619">
    <w:abstractNumId w:val="10"/>
  </w:num>
  <w:num w:numId="22" w16cid:durableId="1202551712">
    <w:abstractNumId w:val="15"/>
  </w:num>
  <w:num w:numId="23" w16cid:durableId="676153859">
    <w:abstractNumId w:val="26"/>
  </w:num>
  <w:num w:numId="24" w16cid:durableId="538856007">
    <w:abstractNumId w:val="34"/>
  </w:num>
  <w:num w:numId="25" w16cid:durableId="126318476">
    <w:abstractNumId w:val="4"/>
  </w:num>
  <w:num w:numId="26" w16cid:durableId="748118139">
    <w:abstractNumId w:val="19"/>
  </w:num>
  <w:num w:numId="27" w16cid:durableId="207424510">
    <w:abstractNumId w:val="27"/>
  </w:num>
  <w:num w:numId="28" w16cid:durableId="2049060615">
    <w:abstractNumId w:val="35"/>
  </w:num>
  <w:num w:numId="29" w16cid:durableId="561721050">
    <w:abstractNumId w:val="31"/>
  </w:num>
  <w:num w:numId="30" w16cid:durableId="1732000305">
    <w:abstractNumId w:val="11"/>
  </w:num>
  <w:num w:numId="31" w16cid:durableId="1306617152">
    <w:abstractNumId w:val="17"/>
  </w:num>
  <w:num w:numId="32" w16cid:durableId="1818573816">
    <w:abstractNumId w:val="24"/>
  </w:num>
  <w:num w:numId="33" w16cid:durableId="257641438">
    <w:abstractNumId w:val="14"/>
  </w:num>
  <w:num w:numId="34" w16cid:durableId="261768846">
    <w:abstractNumId w:val="33"/>
  </w:num>
  <w:num w:numId="35" w16cid:durableId="1227182077">
    <w:abstractNumId w:val="7"/>
  </w:num>
  <w:num w:numId="36" w16cid:durableId="600798072">
    <w:abstractNumId w:val="23"/>
  </w:num>
  <w:num w:numId="37" w16cid:durableId="1220441975">
    <w:abstractNumId w:val="20"/>
  </w:num>
  <w:num w:numId="38" w16cid:durableId="16696726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269CE"/>
    <w:rsid w:val="00130F17"/>
    <w:rsid w:val="001320BF"/>
    <w:rsid w:val="00163BC4"/>
    <w:rsid w:val="00191062"/>
    <w:rsid w:val="00192B72"/>
    <w:rsid w:val="001A0342"/>
    <w:rsid w:val="001A29D8"/>
    <w:rsid w:val="001A5CAA"/>
    <w:rsid w:val="001B0427"/>
    <w:rsid w:val="001B5814"/>
    <w:rsid w:val="001C5D48"/>
    <w:rsid w:val="001D3A51"/>
    <w:rsid w:val="001E10D2"/>
    <w:rsid w:val="001E25B4"/>
    <w:rsid w:val="001E44FE"/>
    <w:rsid w:val="00200595"/>
    <w:rsid w:val="00204835"/>
    <w:rsid w:val="002231BD"/>
    <w:rsid w:val="00231920"/>
    <w:rsid w:val="0023195C"/>
    <w:rsid w:val="0024282C"/>
    <w:rsid w:val="002460DC"/>
    <w:rsid w:val="00250985"/>
    <w:rsid w:val="002556F6"/>
    <w:rsid w:val="00283105"/>
    <w:rsid w:val="00284C4C"/>
    <w:rsid w:val="00287E68"/>
    <w:rsid w:val="00296529"/>
    <w:rsid w:val="002A64C0"/>
    <w:rsid w:val="002B27FB"/>
    <w:rsid w:val="002B685A"/>
    <w:rsid w:val="002C57D2"/>
    <w:rsid w:val="002E0D56"/>
    <w:rsid w:val="002F0983"/>
    <w:rsid w:val="00315186"/>
    <w:rsid w:val="0031735C"/>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0021"/>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974B8"/>
    <w:rsid w:val="006A250C"/>
    <w:rsid w:val="006B21D3"/>
    <w:rsid w:val="006B57D0"/>
    <w:rsid w:val="006C6856"/>
    <w:rsid w:val="006D30FF"/>
    <w:rsid w:val="006D6940"/>
    <w:rsid w:val="006F11EC"/>
    <w:rsid w:val="0070082C"/>
    <w:rsid w:val="00713722"/>
    <w:rsid w:val="007369E6"/>
    <w:rsid w:val="00745613"/>
    <w:rsid w:val="00746E59"/>
    <w:rsid w:val="00754C9A"/>
    <w:rsid w:val="0075599A"/>
    <w:rsid w:val="00761D52"/>
    <w:rsid w:val="007761B7"/>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93BE9"/>
    <w:rsid w:val="009B3FB9"/>
    <w:rsid w:val="009C2465"/>
    <w:rsid w:val="009D35A0"/>
    <w:rsid w:val="009D7EB7"/>
    <w:rsid w:val="009E048A"/>
    <w:rsid w:val="009E08E9"/>
    <w:rsid w:val="009E3DB9"/>
    <w:rsid w:val="009E6E35"/>
    <w:rsid w:val="009F0EDA"/>
    <w:rsid w:val="00A029E6"/>
    <w:rsid w:val="00A03766"/>
    <w:rsid w:val="00A03B96"/>
    <w:rsid w:val="00A05B19"/>
    <w:rsid w:val="00A1134E"/>
    <w:rsid w:val="00A24E7E"/>
    <w:rsid w:val="00A258C3"/>
    <w:rsid w:val="00A347C0"/>
    <w:rsid w:val="00A51431"/>
    <w:rsid w:val="00A539AD"/>
    <w:rsid w:val="00A91490"/>
    <w:rsid w:val="00A94063"/>
    <w:rsid w:val="00AA6219"/>
    <w:rsid w:val="00AA74E0"/>
    <w:rsid w:val="00AB703F"/>
    <w:rsid w:val="00AC6BB8"/>
    <w:rsid w:val="00AD2774"/>
    <w:rsid w:val="00AE008F"/>
    <w:rsid w:val="00B01FCD"/>
    <w:rsid w:val="00B1776C"/>
    <w:rsid w:val="00B33A09"/>
    <w:rsid w:val="00B52583"/>
    <w:rsid w:val="00B52896"/>
    <w:rsid w:val="00B63F28"/>
    <w:rsid w:val="00B95236"/>
    <w:rsid w:val="00B96BD9"/>
    <w:rsid w:val="00BA1B01"/>
    <w:rsid w:val="00BA2641"/>
    <w:rsid w:val="00BB37AA"/>
    <w:rsid w:val="00BC53A0"/>
    <w:rsid w:val="00BE62AD"/>
    <w:rsid w:val="00BF121F"/>
    <w:rsid w:val="00BF1F80"/>
    <w:rsid w:val="00C166EF"/>
    <w:rsid w:val="00C17EB0"/>
    <w:rsid w:val="00C215E3"/>
    <w:rsid w:val="00C27F5F"/>
    <w:rsid w:val="00C30A0F"/>
    <w:rsid w:val="00C37E61"/>
    <w:rsid w:val="00C70F1B"/>
    <w:rsid w:val="00C71A47"/>
    <w:rsid w:val="00C7464C"/>
    <w:rsid w:val="00C85588"/>
    <w:rsid w:val="00CA0E50"/>
    <w:rsid w:val="00CD6755"/>
    <w:rsid w:val="00CD6856"/>
    <w:rsid w:val="00CE0089"/>
    <w:rsid w:val="00CE793C"/>
    <w:rsid w:val="00CF193C"/>
    <w:rsid w:val="00D173F1"/>
    <w:rsid w:val="00D535B2"/>
    <w:rsid w:val="00D74CB0"/>
    <w:rsid w:val="00D8295D"/>
    <w:rsid w:val="00DC2A65"/>
    <w:rsid w:val="00DE15F0"/>
    <w:rsid w:val="00DE5663"/>
    <w:rsid w:val="00DE78AA"/>
    <w:rsid w:val="00E02A98"/>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5E6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660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35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D277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semiHidden/>
    <w:unhideWhenUsed/>
    <w:qFormat/>
    <w:rsid w:val="00AD277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D277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1"/>
    <w:qFormat/>
    <w:rsid w:val="00A91490"/>
    <w:pPr>
      <w:spacing w:after="160" w:line="259" w:lineRule="auto"/>
      <w:ind w:left="720"/>
      <w:contextualSpacing/>
    </w:pPr>
    <w:rPr>
      <w:rFonts w:asciiTheme="minorHAnsi" w:eastAsiaTheme="minorHAnsi" w:hAnsiTheme="minorHAnsi" w:cstheme="minorBidi"/>
      <w:kern w:val="2"/>
      <w:sz w:val="22"/>
      <w:lang w:val="en-IN" w:bidi="hi-IN"/>
    </w:rPr>
  </w:style>
  <w:style w:type="table" w:styleId="GridTable6Colorful">
    <w:name w:val="Grid Table 6 Colorful"/>
    <w:basedOn w:val="TableNormal"/>
    <w:uiPriority w:val="51"/>
    <w:rsid w:val="00A91490"/>
    <w:rPr>
      <w:rFonts w:asciiTheme="minorHAnsi" w:eastAsiaTheme="minorHAnsi" w:hAnsiTheme="minorHAnsi" w:cstheme="minorBidi"/>
      <w:color w:val="000000" w:themeColor="text1"/>
      <w:kern w:val="2"/>
      <w:sz w:val="22"/>
      <w:lang w:val="en-IN" w:bidi="hi-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1735C"/>
    <w:rPr>
      <w:rFonts w:asciiTheme="minorHAnsi" w:eastAsiaTheme="minorHAnsi" w:hAnsiTheme="minorHAnsi" w:cstheme="minorBidi"/>
      <w:color w:val="365F91" w:themeColor="accent1" w:themeShade="BF"/>
      <w:kern w:val="2"/>
      <w:sz w:val="22"/>
      <w:lang w:val="en-IN" w:bidi="hi-I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semiHidden/>
    <w:rsid w:val="00AD27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semiHidden/>
    <w:rsid w:val="00AD27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AD277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1721084">
      <w:bodyDiv w:val="1"/>
      <w:marLeft w:val="0"/>
      <w:marRight w:val="0"/>
      <w:marTop w:val="0"/>
      <w:marBottom w:val="0"/>
      <w:divBdr>
        <w:top w:val="none" w:sz="0" w:space="0" w:color="auto"/>
        <w:left w:val="none" w:sz="0" w:space="0" w:color="auto"/>
        <w:bottom w:val="none" w:sz="0" w:space="0" w:color="auto"/>
        <w:right w:val="none" w:sz="0" w:space="0" w:color="auto"/>
      </w:divBdr>
      <w:divsChild>
        <w:div w:id="1778523602">
          <w:marLeft w:val="0"/>
          <w:marRight w:val="0"/>
          <w:marTop w:val="0"/>
          <w:marBottom w:val="0"/>
          <w:divBdr>
            <w:top w:val="none" w:sz="0" w:space="0" w:color="auto"/>
            <w:left w:val="none" w:sz="0" w:space="0" w:color="auto"/>
            <w:bottom w:val="none" w:sz="0" w:space="0" w:color="auto"/>
            <w:right w:val="none" w:sz="0" w:space="0" w:color="auto"/>
          </w:divBdr>
          <w:divsChild>
            <w:div w:id="2141413172">
              <w:marLeft w:val="0"/>
              <w:marRight w:val="0"/>
              <w:marTop w:val="0"/>
              <w:marBottom w:val="0"/>
              <w:divBdr>
                <w:top w:val="none" w:sz="0" w:space="0" w:color="auto"/>
                <w:left w:val="none" w:sz="0" w:space="0" w:color="auto"/>
                <w:bottom w:val="none" w:sz="0" w:space="0" w:color="auto"/>
                <w:right w:val="none" w:sz="0" w:space="0" w:color="auto"/>
              </w:divBdr>
              <w:divsChild>
                <w:div w:id="65347499">
                  <w:marLeft w:val="0"/>
                  <w:marRight w:val="0"/>
                  <w:marTop w:val="0"/>
                  <w:marBottom w:val="0"/>
                  <w:divBdr>
                    <w:top w:val="none" w:sz="0" w:space="0" w:color="auto"/>
                    <w:left w:val="none" w:sz="0" w:space="0" w:color="auto"/>
                    <w:bottom w:val="none" w:sz="0" w:space="0" w:color="auto"/>
                    <w:right w:val="none" w:sz="0" w:space="0" w:color="auto"/>
                  </w:divBdr>
                  <w:divsChild>
                    <w:div w:id="565845357">
                      <w:marLeft w:val="0"/>
                      <w:marRight w:val="0"/>
                      <w:marTop w:val="0"/>
                      <w:marBottom w:val="0"/>
                      <w:divBdr>
                        <w:top w:val="none" w:sz="0" w:space="0" w:color="auto"/>
                        <w:left w:val="none" w:sz="0" w:space="0" w:color="auto"/>
                        <w:bottom w:val="none" w:sz="0" w:space="0" w:color="auto"/>
                        <w:right w:val="none" w:sz="0" w:space="0" w:color="auto"/>
                      </w:divBdr>
                      <w:divsChild>
                        <w:div w:id="335962733">
                          <w:marLeft w:val="0"/>
                          <w:marRight w:val="0"/>
                          <w:marTop w:val="0"/>
                          <w:marBottom w:val="0"/>
                          <w:divBdr>
                            <w:top w:val="none" w:sz="0" w:space="0" w:color="auto"/>
                            <w:left w:val="none" w:sz="0" w:space="0" w:color="auto"/>
                            <w:bottom w:val="none" w:sz="0" w:space="0" w:color="auto"/>
                            <w:right w:val="none" w:sz="0" w:space="0" w:color="auto"/>
                          </w:divBdr>
                          <w:divsChild>
                            <w:div w:id="1083143887">
                              <w:marLeft w:val="0"/>
                              <w:marRight w:val="0"/>
                              <w:marTop w:val="0"/>
                              <w:marBottom w:val="0"/>
                              <w:divBdr>
                                <w:top w:val="none" w:sz="0" w:space="0" w:color="auto"/>
                                <w:left w:val="none" w:sz="0" w:space="0" w:color="auto"/>
                                <w:bottom w:val="none" w:sz="0" w:space="0" w:color="auto"/>
                                <w:right w:val="none" w:sz="0" w:space="0" w:color="auto"/>
                              </w:divBdr>
                              <w:divsChild>
                                <w:div w:id="1192185099">
                                  <w:marLeft w:val="0"/>
                                  <w:marRight w:val="0"/>
                                  <w:marTop w:val="0"/>
                                  <w:marBottom w:val="0"/>
                                  <w:divBdr>
                                    <w:top w:val="none" w:sz="0" w:space="0" w:color="auto"/>
                                    <w:left w:val="none" w:sz="0" w:space="0" w:color="auto"/>
                                    <w:bottom w:val="none" w:sz="0" w:space="0" w:color="auto"/>
                                    <w:right w:val="none" w:sz="0" w:space="0" w:color="auto"/>
                                  </w:divBdr>
                                  <w:divsChild>
                                    <w:div w:id="14976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97876">
                      <w:marLeft w:val="0"/>
                      <w:marRight w:val="0"/>
                      <w:marTop w:val="0"/>
                      <w:marBottom w:val="0"/>
                      <w:divBdr>
                        <w:top w:val="none" w:sz="0" w:space="0" w:color="auto"/>
                        <w:left w:val="none" w:sz="0" w:space="0" w:color="auto"/>
                        <w:bottom w:val="none" w:sz="0" w:space="0" w:color="auto"/>
                        <w:right w:val="none" w:sz="0" w:space="0" w:color="auto"/>
                      </w:divBdr>
                      <w:divsChild>
                        <w:div w:id="19486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1670072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3062052">
      <w:bodyDiv w:val="1"/>
      <w:marLeft w:val="0"/>
      <w:marRight w:val="0"/>
      <w:marTop w:val="0"/>
      <w:marBottom w:val="0"/>
      <w:divBdr>
        <w:top w:val="none" w:sz="0" w:space="0" w:color="auto"/>
        <w:left w:val="none" w:sz="0" w:space="0" w:color="auto"/>
        <w:bottom w:val="none" w:sz="0" w:space="0" w:color="auto"/>
        <w:right w:val="none" w:sz="0" w:space="0" w:color="auto"/>
      </w:divBdr>
      <w:divsChild>
        <w:div w:id="1592465527">
          <w:marLeft w:val="0"/>
          <w:marRight w:val="0"/>
          <w:marTop w:val="0"/>
          <w:marBottom w:val="0"/>
          <w:divBdr>
            <w:top w:val="none" w:sz="0" w:space="0" w:color="auto"/>
            <w:left w:val="none" w:sz="0" w:space="0" w:color="auto"/>
            <w:bottom w:val="none" w:sz="0" w:space="0" w:color="auto"/>
            <w:right w:val="none" w:sz="0" w:space="0" w:color="auto"/>
          </w:divBdr>
          <w:divsChild>
            <w:div w:id="917712284">
              <w:marLeft w:val="0"/>
              <w:marRight w:val="0"/>
              <w:marTop w:val="0"/>
              <w:marBottom w:val="0"/>
              <w:divBdr>
                <w:top w:val="none" w:sz="0" w:space="0" w:color="auto"/>
                <w:left w:val="none" w:sz="0" w:space="0" w:color="auto"/>
                <w:bottom w:val="none" w:sz="0" w:space="0" w:color="auto"/>
                <w:right w:val="none" w:sz="0" w:space="0" w:color="auto"/>
              </w:divBdr>
              <w:divsChild>
                <w:div w:id="1191337638">
                  <w:marLeft w:val="0"/>
                  <w:marRight w:val="0"/>
                  <w:marTop w:val="0"/>
                  <w:marBottom w:val="0"/>
                  <w:divBdr>
                    <w:top w:val="none" w:sz="0" w:space="0" w:color="auto"/>
                    <w:left w:val="none" w:sz="0" w:space="0" w:color="auto"/>
                    <w:bottom w:val="none" w:sz="0" w:space="0" w:color="auto"/>
                    <w:right w:val="none" w:sz="0" w:space="0" w:color="auto"/>
                  </w:divBdr>
                  <w:divsChild>
                    <w:div w:id="1363482101">
                      <w:marLeft w:val="0"/>
                      <w:marRight w:val="0"/>
                      <w:marTop w:val="0"/>
                      <w:marBottom w:val="0"/>
                      <w:divBdr>
                        <w:top w:val="none" w:sz="0" w:space="0" w:color="auto"/>
                        <w:left w:val="none" w:sz="0" w:space="0" w:color="auto"/>
                        <w:bottom w:val="none" w:sz="0" w:space="0" w:color="auto"/>
                        <w:right w:val="none" w:sz="0" w:space="0" w:color="auto"/>
                      </w:divBdr>
                      <w:divsChild>
                        <w:div w:id="84156183">
                          <w:marLeft w:val="0"/>
                          <w:marRight w:val="0"/>
                          <w:marTop w:val="0"/>
                          <w:marBottom w:val="0"/>
                          <w:divBdr>
                            <w:top w:val="none" w:sz="0" w:space="0" w:color="auto"/>
                            <w:left w:val="none" w:sz="0" w:space="0" w:color="auto"/>
                            <w:bottom w:val="none" w:sz="0" w:space="0" w:color="auto"/>
                            <w:right w:val="none" w:sz="0" w:space="0" w:color="auto"/>
                          </w:divBdr>
                          <w:divsChild>
                            <w:div w:id="1643001463">
                              <w:marLeft w:val="0"/>
                              <w:marRight w:val="0"/>
                              <w:marTop w:val="0"/>
                              <w:marBottom w:val="0"/>
                              <w:divBdr>
                                <w:top w:val="none" w:sz="0" w:space="0" w:color="auto"/>
                                <w:left w:val="none" w:sz="0" w:space="0" w:color="auto"/>
                                <w:bottom w:val="none" w:sz="0" w:space="0" w:color="auto"/>
                                <w:right w:val="none" w:sz="0" w:space="0" w:color="auto"/>
                              </w:divBdr>
                              <w:divsChild>
                                <w:div w:id="1777940136">
                                  <w:marLeft w:val="0"/>
                                  <w:marRight w:val="0"/>
                                  <w:marTop w:val="0"/>
                                  <w:marBottom w:val="0"/>
                                  <w:divBdr>
                                    <w:top w:val="none" w:sz="0" w:space="0" w:color="auto"/>
                                    <w:left w:val="none" w:sz="0" w:space="0" w:color="auto"/>
                                    <w:bottom w:val="none" w:sz="0" w:space="0" w:color="auto"/>
                                    <w:right w:val="none" w:sz="0" w:space="0" w:color="auto"/>
                                  </w:divBdr>
                                  <w:divsChild>
                                    <w:div w:id="18236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4579">
                      <w:marLeft w:val="0"/>
                      <w:marRight w:val="0"/>
                      <w:marTop w:val="0"/>
                      <w:marBottom w:val="0"/>
                      <w:divBdr>
                        <w:top w:val="none" w:sz="0" w:space="0" w:color="auto"/>
                        <w:left w:val="none" w:sz="0" w:space="0" w:color="auto"/>
                        <w:bottom w:val="none" w:sz="0" w:space="0" w:color="auto"/>
                        <w:right w:val="none" w:sz="0" w:space="0" w:color="auto"/>
                      </w:divBdr>
                      <w:divsChild>
                        <w:div w:id="18984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0218">
      <w:bodyDiv w:val="1"/>
      <w:marLeft w:val="0"/>
      <w:marRight w:val="0"/>
      <w:marTop w:val="0"/>
      <w:marBottom w:val="0"/>
      <w:divBdr>
        <w:top w:val="none" w:sz="0" w:space="0" w:color="auto"/>
        <w:left w:val="none" w:sz="0" w:space="0" w:color="auto"/>
        <w:bottom w:val="none" w:sz="0" w:space="0" w:color="auto"/>
        <w:right w:val="none" w:sz="0" w:space="0" w:color="auto"/>
      </w:divBdr>
    </w:div>
    <w:div w:id="923881854">
      <w:bodyDiv w:val="1"/>
      <w:marLeft w:val="0"/>
      <w:marRight w:val="0"/>
      <w:marTop w:val="0"/>
      <w:marBottom w:val="0"/>
      <w:divBdr>
        <w:top w:val="none" w:sz="0" w:space="0" w:color="auto"/>
        <w:left w:val="none" w:sz="0" w:space="0" w:color="auto"/>
        <w:bottom w:val="none" w:sz="0" w:space="0" w:color="auto"/>
        <w:right w:val="none" w:sz="0" w:space="0" w:color="auto"/>
      </w:divBdr>
      <w:divsChild>
        <w:div w:id="2027441863">
          <w:marLeft w:val="0"/>
          <w:marRight w:val="0"/>
          <w:marTop w:val="0"/>
          <w:marBottom w:val="0"/>
          <w:divBdr>
            <w:top w:val="none" w:sz="0" w:space="0" w:color="auto"/>
            <w:left w:val="none" w:sz="0" w:space="0" w:color="auto"/>
            <w:bottom w:val="none" w:sz="0" w:space="0" w:color="auto"/>
            <w:right w:val="none" w:sz="0" w:space="0" w:color="auto"/>
          </w:divBdr>
          <w:divsChild>
            <w:div w:id="1804342900">
              <w:marLeft w:val="0"/>
              <w:marRight w:val="0"/>
              <w:marTop w:val="0"/>
              <w:marBottom w:val="0"/>
              <w:divBdr>
                <w:top w:val="none" w:sz="0" w:space="0" w:color="auto"/>
                <w:left w:val="none" w:sz="0" w:space="0" w:color="auto"/>
                <w:bottom w:val="none" w:sz="0" w:space="0" w:color="auto"/>
                <w:right w:val="none" w:sz="0" w:space="0" w:color="auto"/>
              </w:divBdr>
              <w:divsChild>
                <w:div w:id="1697728156">
                  <w:marLeft w:val="0"/>
                  <w:marRight w:val="0"/>
                  <w:marTop w:val="0"/>
                  <w:marBottom w:val="0"/>
                  <w:divBdr>
                    <w:top w:val="none" w:sz="0" w:space="0" w:color="auto"/>
                    <w:left w:val="none" w:sz="0" w:space="0" w:color="auto"/>
                    <w:bottom w:val="none" w:sz="0" w:space="0" w:color="auto"/>
                    <w:right w:val="none" w:sz="0" w:space="0" w:color="auto"/>
                  </w:divBdr>
                  <w:divsChild>
                    <w:div w:id="8413806">
                      <w:marLeft w:val="0"/>
                      <w:marRight w:val="0"/>
                      <w:marTop w:val="0"/>
                      <w:marBottom w:val="0"/>
                      <w:divBdr>
                        <w:top w:val="none" w:sz="0" w:space="0" w:color="auto"/>
                        <w:left w:val="none" w:sz="0" w:space="0" w:color="auto"/>
                        <w:bottom w:val="none" w:sz="0" w:space="0" w:color="auto"/>
                        <w:right w:val="none" w:sz="0" w:space="0" w:color="auto"/>
                      </w:divBdr>
                      <w:divsChild>
                        <w:div w:id="1033312480">
                          <w:marLeft w:val="0"/>
                          <w:marRight w:val="0"/>
                          <w:marTop w:val="0"/>
                          <w:marBottom w:val="0"/>
                          <w:divBdr>
                            <w:top w:val="none" w:sz="0" w:space="0" w:color="auto"/>
                            <w:left w:val="none" w:sz="0" w:space="0" w:color="auto"/>
                            <w:bottom w:val="none" w:sz="0" w:space="0" w:color="auto"/>
                            <w:right w:val="none" w:sz="0" w:space="0" w:color="auto"/>
                          </w:divBdr>
                          <w:divsChild>
                            <w:div w:id="1281254956">
                              <w:marLeft w:val="0"/>
                              <w:marRight w:val="0"/>
                              <w:marTop w:val="0"/>
                              <w:marBottom w:val="0"/>
                              <w:divBdr>
                                <w:top w:val="none" w:sz="0" w:space="0" w:color="auto"/>
                                <w:left w:val="none" w:sz="0" w:space="0" w:color="auto"/>
                                <w:bottom w:val="none" w:sz="0" w:space="0" w:color="auto"/>
                                <w:right w:val="none" w:sz="0" w:space="0" w:color="auto"/>
                              </w:divBdr>
                              <w:divsChild>
                                <w:div w:id="436758500">
                                  <w:marLeft w:val="0"/>
                                  <w:marRight w:val="0"/>
                                  <w:marTop w:val="0"/>
                                  <w:marBottom w:val="0"/>
                                  <w:divBdr>
                                    <w:top w:val="none" w:sz="0" w:space="0" w:color="auto"/>
                                    <w:left w:val="none" w:sz="0" w:space="0" w:color="auto"/>
                                    <w:bottom w:val="none" w:sz="0" w:space="0" w:color="auto"/>
                                    <w:right w:val="none" w:sz="0" w:space="0" w:color="auto"/>
                                  </w:divBdr>
                                  <w:divsChild>
                                    <w:div w:id="858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056795">
                          <w:marLeft w:val="0"/>
                          <w:marRight w:val="0"/>
                          <w:marTop w:val="0"/>
                          <w:marBottom w:val="0"/>
                          <w:divBdr>
                            <w:top w:val="none" w:sz="0" w:space="0" w:color="auto"/>
                            <w:left w:val="none" w:sz="0" w:space="0" w:color="auto"/>
                            <w:bottom w:val="none" w:sz="0" w:space="0" w:color="auto"/>
                            <w:right w:val="none" w:sz="0" w:space="0" w:color="auto"/>
                          </w:divBdr>
                          <w:divsChild>
                            <w:div w:id="1199197480">
                              <w:marLeft w:val="0"/>
                              <w:marRight w:val="0"/>
                              <w:marTop w:val="0"/>
                              <w:marBottom w:val="0"/>
                              <w:divBdr>
                                <w:top w:val="none" w:sz="0" w:space="0" w:color="auto"/>
                                <w:left w:val="none" w:sz="0" w:space="0" w:color="auto"/>
                                <w:bottom w:val="none" w:sz="0" w:space="0" w:color="auto"/>
                                <w:right w:val="none" w:sz="0" w:space="0" w:color="auto"/>
                              </w:divBdr>
                              <w:divsChild>
                                <w:div w:id="589703136">
                                  <w:marLeft w:val="0"/>
                                  <w:marRight w:val="0"/>
                                  <w:marTop w:val="0"/>
                                  <w:marBottom w:val="0"/>
                                  <w:divBdr>
                                    <w:top w:val="none" w:sz="0" w:space="0" w:color="auto"/>
                                    <w:left w:val="none" w:sz="0" w:space="0" w:color="auto"/>
                                    <w:bottom w:val="none" w:sz="0" w:space="0" w:color="auto"/>
                                    <w:right w:val="none" w:sz="0" w:space="0" w:color="auto"/>
                                  </w:divBdr>
                                  <w:divsChild>
                                    <w:div w:id="1517886804">
                                      <w:marLeft w:val="0"/>
                                      <w:marRight w:val="0"/>
                                      <w:marTop w:val="0"/>
                                      <w:marBottom w:val="0"/>
                                      <w:divBdr>
                                        <w:top w:val="none" w:sz="0" w:space="0" w:color="auto"/>
                                        <w:left w:val="none" w:sz="0" w:space="0" w:color="auto"/>
                                        <w:bottom w:val="none" w:sz="0" w:space="0" w:color="auto"/>
                                        <w:right w:val="none" w:sz="0" w:space="0" w:color="auto"/>
                                      </w:divBdr>
                                      <w:divsChild>
                                        <w:div w:id="14290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52067">
                      <w:marLeft w:val="0"/>
                      <w:marRight w:val="0"/>
                      <w:marTop w:val="0"/>
                      <w:marBottom w:val="0"/>
                      <w:divBdr>
                        <w:top w:val="none" w:sz="0" w:space="0" w:color="auto"/>
                        <w:left w:val="none" w:sz="0" w:space="0" w:color="auto"/>
                        <w:bottom w:val="none" w:sz="0" w:space="0" w:color="auto"/>
                        <w:right w:val="none" w:sz="0" w:space="0" w:color="auto"/>
                      </w:divBdr>
                      <w:divsChild>
                        <w:div w:id="10501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0443165">
      <w:bodyDiv w:val="1"/>
      <w:marLeft w:val="0"/>
      <w:marRight w:val="0"/>
      <w:marTop w:val="0"/>
      <w:marBottom w:val="0"/>
      <w:divBdr>
        <w:top w:val="none" w:sz="0" w:space="0" w:color="auto"/>
        <w:left w:val="none" w:sz="0" w:space="0" w:color="auto"/>
        <w:bottom w:val="none" w:sz="0" w:space="0" w:color="auto"/>
        <w:right w:val="none" w:sz="0" w:space="0" w:color="auto"/>
      </w:divBdr>
      <w:divsChild>
        <w:div w:id="166334182">
          <w:marLeft w:val="0"/>
          <w:marRight w:val="0"/>
          <w:marTop w:val="0"/>
          <w:marBottom w:val="0"/>
          <w:divBdr>
            <w:top w:val="none" w:sz="0" w:space="0" w:color="auto"/>
            <w:left w:val="none" w:sz="0" w:space="0" w:color="auto"/>
            <w:bottom w:val="none" w:sz="0" w:space="0" w:color="auto"/>
            <w:right w:val="none" w:sz="0" w:space="0" w:color="auto"/>
          </w:divBdr>
          <w:divsChild>
            <w:div w:id="1369835044">
              <w:marLeft w:val="0"/>
              <w:marRight w:val="0"/>
              <w:marTop w:val="0"/>
              <w:marBottom w:val="0"/>
              <w:divBdr>
                <w:top w:val="none" w:sz="0" w:space="0" w:color="auto"/>
                <w:left w:val="none" w:sz="0" w:space="0" w:color="auto"/>
                <w:bottom w:val="none" w:sz="0" w:space="0" w:color="auto"/>
                <w:right w:val="none" w:sz="0" w:space="0" w:color="auto"/>
              </w:divBdr>
              <w:divsChild>
                <w:div w:id="1416438602">
                  <w:marLeft w:val="0"/>
                  <w:marRight w:val="0"/>
                  <w:marTop w:val="0"/>
                  <w:marBottom w:val="0"/>
                  <w:divBdr>
                    <w:top w:val="none" w:sz="0" w:space="0" w:color="auto"/>
                    <w:left w:val="none" w:sz="0" w:space="0" w:color="auto"/>
                    <w:bottom w:val="none" w:sz="0" w:space="0" w:color="auto"/>
                    <w:right w:val="none" w:sz="0" w:space="0" w:color="auto"/>
                  </w:divBdr>
                  <w:divsChild>
                    <w:div w:id="980230382">
                      <w:marLeft w:val="0"/>
                      <w:marRight w:val="0"/>
                      <w:marTop w:val="0"/>
                      <w:marBottom w:val="0"/>
                      <w:divBdr>
                        <w:top w:val="none" w:sz="0" w:space="0" w:color="auto"/>
                        <w:left w:val="none" w:sz="0" w:space="0" w:color="auto"/>
                        <w:bottom w:val="none" w:sz="0" w:space="0" w:color="auto"/>
                        <w:right w:val="none" w:sz="0" w:space="0" w:color="auto"/>
                      </w:divBdr>
                      <w:divsChild>
                        <w:div w:id="639193135">
                          <w:marLeft w:val="0"/>
                          <w:marRight w:val="0"/>
                          <w:marTop w:val="0"/>
                          <w:marBottom w:val="0"/>
                          <w:divBdr>
                            <w:top w:val="none" w:sz="0" w:space="0" w:color="auto"/>
                            <w:left w:val="none" w:sz="0" w:space="0" w:color="auto"/>
                            <w:bottom w:val="none" w:sz="0" w:space="0" w:color="auto"/>
                            <w:right w:val="none" w:sz="0" w:space="0" w:color="auto"/>
                          </w:divBdr>
                          <w:divsChild>
                            <w:div w:id="995647973">
                              <w:marLeft w:val="0"/>
                              <w:marRight w:val="0"/>
                              <w:marTop w:val="0"/>
                              <w:marBottom w:val="0"/>
                              <w:divBdr>
                                <w:top w:val="none" w:sz="0" w:space="0" w:color="auto"/>
                                <w:left w:val="none" w:sz="0" w:space="0" w:color="auto"/>
                                <w:bottom w:val="none" w:sz="0" w:space="0" w:color="auto"/>
                                <w:right w:val="none" w:sz="0" w:space="0" w:color="auto"/>
                              </w:divBdr>
                              <w:divsChild>
                                <w:div w:id="1536428748">
                                  <w:marLeft w:val="0"/>
                                  <w:marRight w:val="0"/>
                                  <w:marTop w:val="0"/>
                                  <w:marBottom w:val="0"/>
                                  <w:divBdr>
                                    <w:top w:val="none" w:sz="0" w:space="0" w:color="auto"/>
                                    <w:left w:val="none" w:sz="0" w:space="0" w:color="auto"/>
                                    <w:bottom w:val="none" w:sz="0" w:space="0" w:color="auto"/>
                                    <w:right w:val="none" w:sz="0" w:space="0" w:color="auto"/>
                                  </w:divBdr>
                                  <w:divsChild>
                                    <w:div w:id="7444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368831">
          <w:marLeft w:val="0"/>
          <w:marRight w:val="0"/>
          <w:marTop w:val="0"/>
          <w:marBottom w:val="0"/>
          <w:divBdr>
            <w:top w:val="none" w:sz="0" w:space="0" w:color="auto"/>
            <w:left w:val="none" w:sz="0" w:space="0" w:color="auto"/>
            <w:bottom w:val="none" w:sz="0" w:space="0" w:color="auto"/>
            <w:right w:val="none" w:sz="0" w:space="0" w:color="auto"/>
          </w:divBdr>
          <w:divsChild>
            <w:div w:id="1330523322">
              <w:marLeft w:val="0"/>
              <w:marRight w:val="0"/>
              <w:marTop w:val="0"/>
              <w:marBottom w:val="0"/>
              <w:divBdr>
                <w:top w:val="none" w:sz="0" w:space="0" w:color="auto"/>
                <w:left w:val="none" w:sz="0" w:space="0" w:color="auto"/>
                <w:bottom w:val="none" w:sz="0" w:space="0" w:color="auto"/>
                <w:right w:val="none" w:sz="0" w:space="0" w:color="auto"/>
              </w:divBdr>
              <w:divsChild>
                <w:div w:id="237978591">
                  <w:marLeft w:val="0"/>
                  <w:marRight w:val="0"/>
                  <w:marTop w:val="0"/>
                  <w:marBottom w:val="0"/>
                  <w:divBdr>
                    <w:top w:val="none" w:sz="0" w:space="0" w:color="auto"/>
                    <w:left w:val="none" w:sz="0" w:space="0" w:color="auto"/>
                    <w:bottom w:val="none" w:sz="0" w:space="0" w:color="auto"/>
                    <w:right w:val="none" w:sz="0" w:space="0" w:color="auto"/>
                  </w:divBdr>
                  <w:divsChild>
                    <w:div w:id="1306348953">
                      <w:marLeft w:val="0"/>
                      <w:marRight w:val="0"/>
                      <w:marTop w:val="0"/>
                      <w:marBottom w:val="0"/>
                      <w:divBdr>
                        <w:top w:val="none" w:sz="0" w:space="0" w:color="auto"/>
                        <w:left w:val="none" w:sz="0" w:space="0" w:color="auto"/>
                        <w:bottom w:val="none" w:sz="0" w:space="0" w:color="auto"/>
                        <w:right w:val="none" w:sz="0" w:space="0" w:color="auto"/>
                      </w:divBdr>
                      <w:divsChild>
                        <w:div w:id="1659654292">
                          <w:marLeft w:val="0"/>
                          <w:marRight w:val="0"/>
                          <w:marTop w:val="0"/>
                          <w:marBottom w:val="0"/>
                          <w:divBdr>
                            <w:top w:val="none" w:sz="0" w:space="0" w:color="auto"/>
                            <w:left w:val="none" w:sz="0" w:space="0" w:color="auto"/>
                            <w:bottom w:val="none" w:sz="0" w:space="0" w:color="auto"/>
                            <w:right w:val="none" w:sz="0" w:space="0" w:color="auto"/>
                          </w:divBdr>
                          <w:divsChild>
                            <w:div w:id="1466310837">
                              <w:marLeft w:val="0"/>
                              <w:marRight w:val="0"/>
                              <w:marTop w:val="0"/>
                              <w:marBottom w:val="0"/>
                              <w:divBdr>
                                <w:top w:val="none" w:sz="0" w:space="0" w:color="auto"/>
                                <w:left w:val="none" w:sz="0" w:space="0" w:color="auto"/>
                                <w:bottom w:val="none" w:sz="0" w:space="0" w:color="auto"/>
                                <w:right w:val="none" w:sz="0" w:space="0" w:color="auto"/>
                              </w:divBdr>
                              <w:divsChild>
                                <w:div w:id="1880241201">
                                  <w:marLeft w:val="0"/>
                                  <w:marRight w:val="0"/>
                                  <w:marTop w:val="0"/>
                                  <w:marBottom w:val="0"/>
                                  <w:divBdr>
                                    <w:top w:val="none" w:sz="0" w:space="0" w:color="auto"/>
                                    <w:left w:val="none" w:sz="0" w:space="0" w:color="auto"/>
                                    <w:bottom w:val="none" w:sz="0" w:space="0" w:color="auto"/>
                                    <w:right w:val="none" w:sz="0" w:space="0" w:color="auto"/>
                                  </w:divBdr>
                                  <w:divsChild>
                                    <w:div w:id="94055463">
                                      <w:marLeft w:val="0"/>
                                      <w:marRight w:val="0"/>
                                      <w:marTop w:val="0"/>
                                      <w:marBottom w:val="0"/>
                                      <w:divBdr>
                                        <w:top w:val="none" w:sz="0" w:space="0" w:color="auto"/>
                                        <w:left w:val="none" w:sz="0" w:space="0" w:color="auto"/>
                                        <w:bottom w:val="none" w:sz="0" w:space="0" w:color="auto"/>
                                        <w:right w:val="none" w:sz="0" w:space="0" w:color="auto"/>
                                      </w:divBdr>
                                      <w:divsChild>
                                        <w:div w:id="5833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386288">
          <w:marLeft w:val="0"/>
          <w:marRight w:val="0"/>
          <w:marTop w:val="0"/>
          <w:marBottom w:val="0"/>
          <w:divBdr>
            <w:top w:val="none" w:sz="0" w:space="0" w:color="auto"/>
            <w:left w:val="none" w:sz="0" w:space="0" w:color="auto"/>
            <w:bottom w:val="none" w:sz="0" w:space="0" w:color="auto"/>
            <w:right w:val="none" w:sz="0" w:space="0" w:color="auto"/>
          </w:divBdr>
          <w:divsChild>
            <w:div w:id="1208831894">
              <w:marLeft w:val="0"/>
              <w:marRight w:val="0"/>
              <w:marTop w:val="0"/>
              <w:marBottom w:val="0"/>
              <w:divBdr>
                <w:top w:val="none" w:sz="0" w:space="0" w:color="auto"/>
                <w:left w:val="none" w:sz="0" w:space="0" w:color="auto"/>
                <w:bottom w:val="none" w:sz="0" w:space="0" w:color="auto"/>
                <w:right w:val="none" w:sz="0" w:space="0" w:color="auto"/>
              </w:divBdr>
              <w:divsChild>
                <w:div w:id="1998220497">
                  <w:marLeft w:val="0"/>
                  <w:marRight w:val="0"/>
                  <w:marTop w:val="0"/>
                  <w:marBottom w:val="0"/>
                  <w:divBdr>
                    <w:top w:val="none" w:sz="0" w:space="0" w:color="auto"/>
                    <w:left w:val="none" w:sz="0" w:space="0" w:color="auto"/>
                    <w:bottom w:val="none" w:sz="0" w:space="0" w:color="auto"/>
                    <w:right w:val="none" w:sz="0" w:space="0" w:color="auto"/>
                  </w:divBdr>
                  <w:divsChild>
                    <w:div w:id="1118525055">
                      <w:marLeft w:val="0"/>
                      <w:marRight w:val="0"/>
                      <w:marTop w:val="0"/>
                      <w:marBottom w:val="0"/>
                      <w:divBdr>
                        <w:top w:val="none" w:sz="0" w:space="0" w:color="auto"/>
                        <w:left w:val="none" w:sz="0" w:space="0" w:color="auto"/>
                        <w:bottom w:val="none" w:sz="0" w:space="0" w:color="auto"/>
                        <w:right w:val="none" w:sz="0" w:space="0" w:color="auto"/>
                      </w:divBdr>
                      <w:divsChild>
                        <w:div w:id="860972858">
                          <w:marLeft w:val="0"/>
                          <w:marRight w:val="0"/>
                          <w:marTop w:val="0"/>
                          <w:marBottom w:val="0"/>
                          <w:divBdr>
                            <w:top w:val="none" w:sz="0" w:space="0" w:color="auto"/>
                            <w:left w:val="none" w:sz="0" w:space="0" w:color="auto"/>
                            <w:bottom w:val="none" w:sz="0" w:space="0" w:color="auto"/>
                            <w:right w:val="none" w:sz="0" w:space="0" w:color="auto"/>
                          </w:divBdr>
                          <w:divsChild>
                            <w:div w:id="406805405">
                              <w:marLeft w:val="0"/>
                              <w:marRight w:val="0"/>
                              <w:marTop w:val="0"/>
                              <w:marBottom w:val="0"/>
                              <w:divBdr>
                                <w:top w:val="none" w:sz="0" w:space="0" w:color="auto"/>
                                <w:left w:val="none" w:sz="0" w:space="0" w:color="auto"/>
                                <w:bottom w:val="none" w:sz="0" w:space="0" w:color="auto"/>
                                <w:right w:val="none" w:sz="0" w:space="0" w:color="auto"/>
                              </w:divBdr>
                              <w:divsChild>
                                <w:div w:id="1140465366">
                                  <w:marLeft w:val="0"/>
                                  <w:marRight w:val="0"/>
                                  <w:marTop w:val="0"/>
                                  <w:marBottom w:val="0"/>
                                  <w:divBdr>
                                    <w:top w:val="none" w:sz="0" w:space="0" w:color="auto"/>
                                    <w:left w:val="none" w:sz="0" w:space="0" w:color="auto"/>
                                    <w:bottom w:val="none" w:sz="0" w:space="0" w:color="auto"/>
                                    <w:right w:val="none" w:sz="0" w:space="0" w:color="auto"/>
                                  </w:divBdr>
                                  <w:divsChild>
                                    <w:div w:id="12096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813055">
      <w:bodyDiv w:val="1"/>
      <w:marLeft w:val="0"/>
      <w:marRight w:val="0"/>
      <w:marTop w:val="0"/>
      <w:marBottom w:val="0"/>
      <w:divBdr>
        <w:top w:val="none" w:sz="0" w:space="0" w:color="auto"/>
        <w:left w:val="none" w:sz="0" w:space="0" w:color="auto"/>
        <w:bottom w:val="none" w:sz="0" w:space="0" w:color="auto"/>
        <w:right w:val="none" w:sz="0" w:space="0" w:color="auto"/>
      </w:divBdr>
    </w:div>
    <w:div w:id="1355614197">
      <w:bodyDiv w:val="1"/>
      <w:marLeft w:val="0"/>
      <w:marRight w:val="0"/>
      <w:marTop w:val="0"/>
      <w:marBottom w:val="0"/>
      <w:divBdr>
        <w:top w:val="none" w:sz="0" w:space="0" w:color="auto"/>
        <w:left w:val="none" w:sz="0" w:space="0" w:color="auto"/>
        <w:bottom w:val="none" w:sz="0" w:space="0" w:color="auto"/>
        <w:right w:val="none" w:sz="0" w:space="0" w:color="auto"/>
      </w:divBdr>
    </w:div>
    <w:div w:id="1420711060">
      <w:bodyDiv w:val="1"/>
      <w:marLeft w:val="0"/>
      <w:marRight w:val="0"/>
      <w:marTop w:val="0"/>
      <w:marBottom w:val="0"/>
      <w:divBdr>
        <w:top w:val="none" w:sz="0" w:space="0" w:color="auto"/>
        <w:left w:val="none" w:sz="0" w:space="0" w:color="auto"/>
        <w:bottom w:val="none" w:sz="0" w:space="0" w:color="auto"/>
        <w:right w:val="none" w:sz="0" w:space="0" w:color="auto"/>
      </w:divBdr>
      <w:divsChild>
        <w:div w:id="1906716874">
          <w:marLeft w:val="0"/>
          <w:marRight w:val="0"/>
          <w:marTop w:val="0"/>
          <w:marBottom w:val="0"/>
          <w:divBdr>
            <w:top w:val="none" w:sz="0" w:space="0" w:color="auto"/>
            <w:left w:val="none" w:sz="0" w:space="0" w:color="auto"/>
            <w:bottom w:val="none" w:sz="0" w:space="0" w:color="auto"/>
            <w:right w:val="none" w:sz="0" w:space="0" w:color="auto"/>
          </w:divBdr>
          <w:divsChild>
            <w:div w:id="430514585">
              <w:marLeft w:val="0"/>
              <w:marRight w:val="0"/>
              <w:marTop w:val="0"/>
              <w:marBottom w:val="0"/>
              <w:divBdr>
                <w:top w:val="none" w:sz="0" w:space="0" w:color="auto"/>
                <w:left w:val="none" w:sz="0" w:space="0" w:color="auto"/>
                <w:bottom w:val="none" w:sz="0" w:space="0" w:color="auto"/>
                <w:right w:val="none" w:sz="0" w:space="0" w:color="auto"/>
              </w:divBdr>
              <w:divsChild>
                <w:div w:id="1420911754">
                  <w:marLeft w:val="0"/>
                  <w:marRight w:val="0"/>
                  <w:marTop w:val="0"/>
                  <w:marBottom w:val="0"/>
                  <w:divBdr>
                    <w:top w:val="none" w:sz="0" w:space="0" w:color="auto"/>
                    <w:left w:val="none" w:sz="0" w:space="0" w:color="auto"/>
                    <w:bottom w:val="none" w:sz="0" w:space="0" w:color="auto"/>
                    <w:right w:val="none" w:sz="0" w:space="0" w:color="auto"/>
                  </w:divBdr>
                  <w:divsChild>
                    <w:div w:id="1718700703">
                      <w:marLeft w:val="0"/>
                      <w:marRight w:val="0"/>
                      <w:marTop w:val="0"/>
                      <w:marBottom w:val="0"/>
                      <w:divBdr>
                        <w:top w:val="none" w:sz="0" w:space="0" w:color="auto"/>
                        <w:left w:val="none" w:sz="0" w:space="0" w:color="auto"/>
                        <w:bottom w:val="none" w:sz="0" w:space="0" w:color="auto"/>
                        <w:right w:val="none" w:sz="0" w:space="0" w:color="auto"/>
                      </w:divBdr>
                      <w:divsChild>
                        <w:div w:id="527067564">
                          <w:marLeft w:val="0"/>
                          <w:marRight w:val="0"/>
                          <w:marTop w:val="0"/>
                          <w:marBottom w:val="0"/>
                          <w:divBdr>
                            <w:top w:val="none" w:sz="0" w:space="0" w:color="auto"/>
                            <w:left w:val="none" w:sz="0" w:space="0" w:color="auto"/>
                            <w:bottom w:val="none" w:sz="0" w:space="0" w:color="auto"/>
                            <w:right w:val="none" w:sz="0" w:space="0" w:color="auto"/>
                          </w:divBdr>
                          <w:divsChild>
                            <w:div w:id="851141289">
                              <w:marLeft w:val="0"/>
                              <w:marRight w:val="0"/>
                              <w:marTop w:val="0"/>
                              <w:marBottom w:val="0"/>
                              <w:divBdr>
                                <w:top w:val="none" w:sz="0" w:space="0" w:color="auto"/>
                                <w:left w:val="none" w:sz="0" w:space="0" w:color="auto"/>
                                <w:bottom w:val="none" w:sz="0" w:space="0" w:color="auto"/>
                                <w:right w:val="none" w:sz="0" w:space="0" w:color="auto"/>
                              </w:divBdr>
                              <w:divsChild>
                                <w:div w:id="249050908">
                                  <w:marLeft w:val="0"/>
                                  <w:marRight w:val="0"/>
                                  <w:marTop w:val="0"/>
                                  <w:marBottom w:val="0"/>
                                  <w:divBdr>
                                    <w:top w:val="none" w:sz="0" w:space="0" w:color="auto"/>
                                    <w:left w:val="none" w:sz="0" w:space="0" w:color="auto"/>
                                    <w:bottom w:val="none" w:sz="0" w:space="0" w:color="auto"/>
                                    <w:right w:val="none" w:sz="0" w:space="0" w:color="auto"/>
                                  </w:divBdr>
                                  <w:divsChild>
                                    <w:div w:id="17614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414">
                          <w:marLeft w:val="0"/>
                          <w:marRight w:val="0"/>
                          <w:marTop w:val="0"/>
                          <w:marBottom w:val="0"/>
                          <w:divBdr>
                            <w:top w:val="none" w:sz="0" w:space="0" w:color="auto"/>
                            <w:left w:val="none" w:sz="0" w:space="0" w:color="auto"/>
                            <w:bottom w:val="none" w:sz="0" w:space="0" w:color="auto"/>
                            <w:right w:val="none" w:sz="0" w:space="0" w:color="auto"/>
                          </w:divBdr>
                          <w:divsChild>
                            <w:div w:id="374237644">
                              <w:marLeft w:val="0"/>
                              <w:marRight w:val="0"/>
                              <w:marTop w:val="0"/>
                              <w:marBottom w:val="0"/>
                              <w:divBdr>
                                <w:top w:val="none" w:sz="0" w:space="0" w:color="auto"/>
                                <w:left w:val="none" w:sz="0" w:space="0" w:color="auto"/>
                                <w:bottom w:val="none" w:sz="0" w:space="0" w:color="auto"/>
                                <w:right w:val="none" w:sz="0" w:space="0" w:color="auto"/>
                              </w:divBdr>
                              <w:divsChild>
                                <w:div w:id="505554016">
                                  <w:marLeft w:val="0"/>
                                  <w:marRight w:val="0"/>
                                  <w:marTop w:val="0"/>
                                  <w:marBottom w:val="0"/>
                                  <w:divBdr>
                                    <w:top w:val="none" w:sz="0" w:space="0" w:color="auto"/>
                                    <w:left w:val="none" w:sz="0" w:space="0" w:color="auto"/>
                                    <w:bottom w:val="none" w:sz="0" w:space="0" w:color="auto"/>
                                    <w:right w:val="none" w:sz="0" w:space="0" w:color="auto"/>
                                  </w:divBdr>
                                  <w:divsChild>
                                    <w:div w:id="654532532">
                                      <w:marLeft w:val="0"/>
                                      <w:marRight w:val="0"/>
                                      <w:marTop w:val="0"/>
                                      <w:marBottom w:val="0"/>
                                      <w:divBdr>
                                        <w:top w:val="none" w:sz="0" w:space="0" w:color="auto"/>
                                        <w:left w:val="none" w:sz="0" w:space="0" w:color="auto"/>
                                        <w:bottom w:val="none" w:sz="0" w:space="0" w:color="auto"/>
                                        <w:right w:val="none" w:sz="0" w:space="0" w:color="auto"/>
                                      </w:divBdr>
                                      <w:divsChild>
                                        <w:div w:id="2934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63223">
                      <w:marLeft w:val="0"/>
                      <w:marRight w:val="0"/>
                      <w:marTop w:val="0"/>
                      <w:marBottom w:val="0"/>
                      <w:divBdr>
                        <w:top w:val="none" w:sz="0" w:space="0" w:color="auto"/>
                        <w:left w:val="none" w:sz="0" w:space="0" w:color="auto"/>
                        <w:bottom w:val="none" w:sz="0" w:space="0" w:color="auto"/>
                        <w:right w:val="none" w:sz="0" w:space="0" w:color="auto"/>
                      </w:divBdr>
                      <w:divsChild>
                        <w:div w:id="16005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746402">
      <w:bodyDiv w:val="1"/>
      <w:marLeft w:val="0"/>
      <w:marRight w:val="0"/>
      <w:marTop w:val="0"/>
      <w:marBottom w:val="0"/>
      <w:divBdr>
        <w:top w:val="none" w:sz="0" w:space="0" w:color="auto"/>
        <w:left w:val="none" w:sz="0" w:space="0" w:color="auto"/>
        <w:bottom w:val="none" w:sz="0" w:space="0" w:color="auto"/>
        <w:right w:val="none" w:sz="0" w:space="0" w:color="auto"/>
      </w:divBdr>
    </w:div>
    <w:div w:id="172513388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5105578">
      <w:bodyDiv w:val="1"/>
      <w:marLeft w:val="0"/>
      <w:marRight w:val="0"/>
      <w:marTop w:val="0"/>
      <w:marBottom w:val="0"/>
      <w:divBdr>
        <w:top w:val="none" w:sz="0" w:space="0" w:color="auto"/>
        <w:left w:val="none" w:sz="0" w:space="0" w:color="auto"/>
        <w:bottom w:val="none" w:sz="0" w:space="0" w:color="auto"/>
        <w:right w:val="none" w:sz="0" w:space="0" w:color="auto"/>
      </w:divBdr>
      <w:divsChild>
        <w:div w:id="2006663590">
          <w:marLeft w:val="0"/>
          <w:marRight w:val="0"/>
          <w:marTop w:val="0"/>
          <w:marBottom w:val="0"/>
          <w:divBdr>
            <w:top w:val="none" w:sz="0" w:space="0" w:color="auto"/>
            <w:left w:val="none" w:sz="0" w:space="0" w:color="auto"/>
            <w:bottom w:val="none" w:sz="0" w:space="0" w:color="auto"/>
            <w:right w:val="none" w:sz="0" w:space="0" w:color="auto"/>
          </w:divBdr>
          <w:divsChild>
            <w:div w:id="583608463">
              <w:marLeft w:val="0"/>
              <w:marRight w:val="0"/>
              <w:marTop w:val="0"/>
              <w:marBottom w:val="0"/>
              <w:divBdr>
                <w:top w:val="none" w:sz="0" w:space="0" w:color="auto"/>
                <w:left w:val="none" w:sz="0" w:space="0" w:color="auto"/>
                <w:bottom w:val="none" w:sz="0" w:space="0" w:color="auto"/>
                <w:right w:val="none" w:sz="0" w:space="0" w:color="auto"/>
              </w:divBdr>
              <w:divsChild>
                <w:div w:id="2122726765">
                  <w:marLeft w:val="0"/>
                  <w:marRight w:val="0"/>
                  <w:marTop w:val="0"/>
                  <w:marBottom w:val="0"/>
                  <w:divBdr>
                    <w:top w:val="none" w:sz="0" w:space="0" w:color="auto"/>
                    <w:left w:val="none" w:sz="0" w:space="0" w:color="auto"/>
                    <w:bottom w:val="none" w:sz="0" w:space="0" w:color="auto"/>
                    <w:right w:val="none" w:sz="0" w:space="0" w:color="auto"/>
                  </w:divBdr>
                  <w:divsChild>
                    <w:div w:id="1559584461">
                      <w:marLeft w:val="0"/>
                      <w:marRight w:val="0"/>
                      <w:marTop w:val="0"/>
                      <w:marBottom w:val="0"/>
                      <w:divBdr>
                        <w:top w:val="none" w:sz="0" w:space="0" w:color="auto"/>
                        <w:left w:val="none" w:sz="0" w:space="0" w:color="auto"/>
                        <w:bottom w:val="none" w:sz="0" w:space="0" w:color="auto"/>
                        <w:right w:val="none" w:sz="0" w:space="0" w:color="auto"/>
                      </w:divBdr>
                      <w:divsChild>
                        <w:div w:id="1746874167">
                          <w:marLeft w:val="0"/>
                          <w:marRight w:val="0"/>
                          <w:marTop w:val="0"/>
                          <w:marBottom w:val="0"/>
                          <w:divBdr>
                            <w:top w:val="none" w:sz="0" w:space="0" w:color="auto"/>
                            <w:left w:val="none" w:sz="0" w:space="0" w:color="auto"/>
                            <w:bottom w:val="none" w:sz="0" w:space="0" w:color="auto"/>
                            <w:right w:val="none" w:sz="0" w:space="0" w:color="auto"/>
                          </w:divBdr>
                          <w:divsChild>
                            <w:div w:id="1912041759">
                              <w:marLeft w:val="0"/>
                              <w:marRight w:val="0"/>
                              <w:marTop w:val="0"/>
                              <w:marBottom w:val="0"/>
                              <w:divBdr>
                                <w:top w:val="none" w:sz="0" w:space="0" w:color="auto"/>
                                <w:left w:val="none" w:sz="0" w:space="0" w:color="auto"/>
                                <w:bottom w:val="none" w:sz="0" w:space="0" w:color="auto"/>
                                <w:right w:val="none" w:sz="0" w:space="0" w:color="auto"/>
                              </w:divBdr>
                              <w:divsChild>
                                <w:div w:id="1284918080">
                                  <w:marLeft w:val="0"/>
                                  <w:marRight w:val="0"/>
                                  <w:marTop w:val="0"/>
                                  <w:marBottom w:val="0"/>
                                  <w:divBdr>
                                    <w:top w:val="none" w:sz="0" w:space="0" w:color="auto"/>
                                    <w:left w:val="none" w:sz="0" w:space="0" w:color="auto"/>
                                    <w:bottom w:val="none" w:sz="0" w:space="0" w:color="auto"/>
                                    <w:right w:val="none" w:sz="0" w:space="0" w:color="auto"/>
                                  </w:divBdr>
                                  <w:divsChild>
                                    <w:div w:id="17866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520738">
          <w:marLeft w:val="0"/>
          <w:marRight w:val="0"/>
          <w:marTop w:val="0"/>
          <w:marBottom w:val="0"/>
          <w:divBdr>
            <w:top w:val="none" w:sz="0" w:space="0" w:color="auto"/>
            <w:left w:val="none" w:sz="0" w:space="0" w:color="auto"/>
            <w:bottom w:val="none" w:sz="0" w:space="0" w:color="auto"/>
            <w:right w:val="none" w:sz="0" w:space="0" w:color="auto"/>
          </w:divBdr>
          <w:divsChild>
            <w:div w:id="1970627892">
              <w:marLeft w:val="0"/>
              <w:marRight w:val="0"/>
              <w:marTop w:val="0"/>
              <w:marBottom w:val="0"/>
              <w:divBdr>
                <w:top w:val="none" w:sz="0" w:space="0" w:color="auto"/>
                <w:left w:val="none" w:sz="0" w:space="0" w:color="auto"/>
                <w:bottom w:val="none" w:sz="0" w:space="0" w:color="auto"/>
                <w:right w:val="none" w:sz="0" w:space="0" w:color="auto"/>
              </w:divBdr>
              <w:divsChild>
                <w:div w:id="1237782038">
                  <w:marLeft w:val="0"/>
                  <w:marRight w:val="0"/>
                  <w:marTop w:val="0"/>
                  <w:marBottom w:val="0"/>
                  <w:divBdr>
                    <w:top w:val="none" w:sz="0" w:space="0" w:color="auto"/>
                    <w:left w:val="none" w:sz="0" w:space="0" w:color="auto"/>
                    <w:bottom w:val="none" w:sz="0" w:space="0" w:color="auto"/>
                    <w:right w:val="none" w:sz="0" w:space="0" w:color="auto"/>
                  </w:divBdr>
                  <w:divsChild>
                    <w:div w:id="1775634461">
                      <w:marLeft w:val="0"/>
                      <w:marRight w:val="0"/>
                      <w:marTop w:val="0"/>
                      <w:marBottom w:val="0"/>
                      <w:divBdr>
                        <w:top w:val="none" w:sz="0" w:space="0" w:color="auto"/>
                        <w:left w:val="none" w:sz="0" w:space="0" w:color="auto"/>
                        <w:bottom w:val="none" w:sz="0" w:space="0" w:color="auto"/>
                        <w:right w:val="none" w:sz="0" w:space="0" w:color="auto"/>
                      </w:divBdr>
                      <w:divsChild>
                        <w:div w:id="415858313">
                          <w:marLeft w:val="0"/>
                          <w:marRight w:val="0"/>
                          <w:marTop w:val="0"/>
                          <w:marBottom w:val="0"/>
                          <w:divBdr>
                            <w:top w:val="none" w:sz="0" w:space="0" w:color="auto"/>
                            <w:left w:val="none" w:sz="0" w:space="0" w:color="auto"/>
                            <w:bottom w:val="none" w:sz="0" w:space="0" w:color="auto"/>
                            <w:right w:val="none" w:sz="0" w:space="0" w:color="auto"/>
                          </w:divBdr>
                          <w:divsChild>
                            <w:div w:id="593320496">
                              <w:marLeft w:val="0"/>
                              <w:marRight w:val="0"/>
                              <w:marTop w:val="0"/>
                              <w:marBottom w:val="0"/>
                              <w:divBdr>
                                <w:top w:val="none" w:sz="0" w:space="0" w:color="auto"/>
                                <w:left w:val="none" w:sz="0" w:space="0" w:color="auto"/>
                                <w:bottom w:val="none" w:sz="0" w:space="0" w:color="auto"/>
                                <w:right w:val="none" w:sz="0" w:space="0" w:color="auto"/>
                              </w:divBdr>
                              <w:divsChild>
                                <w:div w:id="889153921">
                                  <w:marLeft w:val="0"/>
                                  <w:marRight w:val="0"/>
                                  <w:marTop w:val="0"/>
                                  <w:marBottom w:val="0"/>
                                  <w:divBdr>
                                    <w:top w:val="none" w:sz="0" w:space="0" w:color="auto"/>
                                    <w:left w:val="none" w:sz="0" w:space="0" w:color="auto"/>
                                    <w:bottom w:val="none" w:sz="0" w:space="0" w:color="auto"/>
                                    <w:right w:val="none" w:sz="0" w:space="0" w:color="auto"/>
                                  </w:divBdr>
                                  <w:divsChild>
                                    <w:div w:id="805011116">
                                      <w:marLeft w:val="0"/>
                                      <w:marRight w:val="0"/>
                                      <w:marTop w:val="0"/>
                                      <w:marBottom w:val="0"/>
                                      <w:divBdr>
                                        <w:top w:val="none" w:sz="0" w:space="0" w:color="auto"/>
                                        <w:left w:val="none" w:sz="0" w:space="0" w:color="auto"/>
                                        <w:bottom w:val="none" w:sz="0" w:space="0" w:color="auto"/>
                                        <w:right w:val="none" w:sz="0" w:space="0" w:color="auto"/>
                                      </w:divBdr>
                                      <w:divsChild>
                                        <w:div w:id="1453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078978">
          <w:marLeft w:val="0"/>
          <w:marRight w:val="0"/>
          <w:marTop w:val="0"/>
          <w:marBottom w:val="0"/>
          <w:divBdr>
            <w:top w:val="none" w:sz="0" w:space="0" w:color="auto"/>
            <w:left w:val="none" w:sz="0" w:space="0" w:color="auto"/>
            <w:bottom w:val="none" w:sz="0" w:space="0" w:color="auto"/>
            <w:right w:val="none" w:sz="0" w:space="0" w:color="auto"/>
          </w:divBdr>
          <w:divsChild>
            <w:div w:id="1277712021">
              <w:marLeft w:val="0"/>
              <w:marRight w:val="0"/>
              <w:marTop w:val="0"/>
              <w:marBottom w:val="0"/>
              <w:divBdr>
                <w:top w:val="none" w:sz="0" w:space="0" w:color="auto"/>
                <w:left w:val="none" w:sz="0" w:space="0" w:color="auto"/>
                <w:bottom w:val="none" w:sz="0" w:space="0" w:color="auto"/>
                <w:right w:val="none" w:sz="0" w:space="0" w:color="auto"/>
              </w:divBdr>
              <w:divsChild>
                <w:div w:id="104808184">
                  <w:marLeft w:val="0"/>
                  <w:marRight w:val="0"/>
                  <w:marTop w:val="0"/>
                  <w:marBottom w:val="0"/>
                  <w:divBdr>
                    <w:top w:val="none" w:sz="0" w:space="0" w:color="auto"/>
                    <w:left w:val="none" w:sz="0" w:space="0" w:color="auto"/>
                    <w:bottom w:val="none" w:sz="0" w:space="0" w:color="auto"/>
                    <w:right w:val="none" w:sz="0" w:space="0" w:color="auto"/>
                  </w:divBdr>
                  <w:divsChild>
                    <w:div w:id="827017158">
                      <w:marLeft w:val="0"/>
                      <w:marRight w:val="0"/>
                      <w:marTop w:val="0"/>
                      <w:marBottom w:val="0"/>
                      <w:divBdr>
                        <w:top w:val="none" w:sz="0" w:space="0" w:color="auto"/>
                        <w:left w:val="none" w:sz="0" w:space="0" w:color="auto"/>
                        <w:bottom w:val="none" w:sz="0" w:space="0" w:color="auto"/>
                        <w:right w:val="none" w:sz="0" w:space="0" w:color="auto"/>
                      </w:divBdr>
                      <w:divsChild>
                        <w:div w:id="1538928061">
                          <w:marLeft w:val="0"/>
                          <w:marRight w:val="0"/>
                          <w:marTop w:val="0"/>
                          <w:marBottom w:val="0"/>
                          <w:divBdr>
                            <w:top w:val="none" w:sz="0" w:space="0" w:color="auto"/>
                            <w:left w:val="none" w:sz="0" w:space="0" w:color="auto"/>
                            <w:bottom w:val="none" w:sz="0" w:space="0" w:color="auto"/>
                            <w:right w:val="none" w:sz="0" w:space="0" w:color="auto"/>
                          </w:divBdr>
                          <w:divsChild>
                            <w:div w:id="184557809">
                              <w:marLeft w:val="0"/>
                              <w:marRight w:val="0"/>
                              <w:marTop w:val="0"/>
                              <w:marBottom w:val="0"/>
                              <w:divBdr>
                                <w:top w:val="none" w:sz="0" w:space="0" w:color="auto"/>
                                <w:left w:val="none" w:sz="0" w:space="0" w:color="auto"/>
                                <w:bottom w:val="none" w:sz="0" w:space="0" w:color="auto"/>
                                <w:right w:val="none" w:sz="0" w:space="0" w:color="auto"/>
                              </w:divBdr>
                              <w:divsChild>
                                <w:div w:id="1513883539">
                                  <w:marLeft w:val="0"/>
                                  <w:marRight w:val="0"/>
                                  <w:marTop w:val="0"/>
                                  <w:marBottom w:val="0"/>
                                  <w:divBdr>
                                    <w:top w:val="none" w:sz="0" w:space="0" w:color="auto"/>
                                    <w:left w:val="none" w:sz="0" w:space="0" w:color="auto"/>
                                    <w:bottom w:val="none" w:sz="0" w:space="0" w:color="auto"/>
                                    <w:right w:val="none" w:sz="0" w:space="0" w:color="auto"/>
                                  </w:divBdr>
                                  <w:divsChild>
                                    <w:div w:id="4027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doi.org/10.9734/jabb/2024/v27i585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oi.org/10.1007/s11157-015-9390-3" TargetMode="External"/><Relationship Id="rId2" Type="http://schemas.openxmlformats.org/officeDocument/2006/relationships/numbering" Target="numbering.xml"/><Relationship Id="rId16" Type="http://schemas.openxmlformats.org/officeDocument/2006/relationships/hyperlink" Target="https://doi.org/10.1016/j.biortech.2003.10.014" TargetMode="External"/><Relationship Id="rId20" Type="http://schemas.openxmlformats.org/officeDocument/2006/relationships/hyperlink" Target="https://doi.org/10.31018/jans.v7i2.7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hyperlink" Target="https://doi.org/10.22438/jeb/45/1/MR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FF6E7-1704-4760-A061-8AE84A72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9</Pages>
  <Words>3652</Words>
  <Characters>20821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24425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Pratibha Yadav</cp:lastModifiedBy>
  <cp:revision>10</cp:revision>
  <cp:lastPrinted>1999-07-06T11:00:00Z</cp:lastPrinted>
  <dcterms:created xsi:type="dcterms:W3CDTF">2025-06-28T10:10:00Z</dcterms:created>
  <dcterms:modified xsi:type="dcterms:W3CDTF">2025-07-07T09:35:00Z</dcterms:modified>
</cp:coreProperties>
</file>