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28C" w:rsidRDefault="001A6566">
      <w:pPr>
        <w:spacing w:after="0" w:line="220" w:lineRule="exact"/>
        <w:ind w:left="463"/>
        <w:jc w:val="center"/>
        <w:rPr>
          <w:rFonts w:ascii="Times New Roman" w:eastAsia="Times New Roman" w:hAnsi="Times New Roman"/>
          <w:sz w:val="20"/>
          <w:szCs w:val="20"/>
          <w:lang w:eastAsia="en-US"/>
        </w:rPr>
      </w:pPr>
      <w:r>
        <w:rPr>
          <w:rFonts w:ascii="Times New Roman" w:eastAsia="Times New Roman" w:hAnsi="Times New Roman"/>
          <w:b/>
          <w:sz w:val="20"/>
          <w:szCs w:val="20"/>
          <w:lang w:eastAsia="en-US"/>
        </w:rPr>
        <w:t>AS</w:t>
      </w:r>
      <w:r>
        <w:rPr>
          <w:rFonts w:ascii="Times New Roman" w:eastAsia="Times New Roman" w:hAnsi="Times New Roman"/>
          <w:b/>
          <w:spacing w:val="-1"/>
          <w:sz w:val="20"/>
          <w:szCs w:val="20"/>
          <w:lang w:eastAsia="en-US"/>
        </w:rPr>
        <w:t>S</w:t>
      </w:r>
      <w:r>
        <w:rPr>
          <w:rFonts w:ascii="Times New Roman" w:eastAsia="Times New Roman" w:hAnsi="Times New Roman"/>
          <w:b/>
          <w:spacing w:val="3"/>
          <w:sz w:val="20"/>
          <w:szCs w:val="20"/>
          <w:lang w:eastAsia="en-US"/>
        </w:rPr>
        <w:t>E</w:t>
      </w:r>
      <w:r>
        <w:rPr>
          <w:rFonts w:ascii="Times New Roman" w:eastAsia="Times New Roman" w:hAnsi="Times New Roman"/>
          <w:b/>
          <w:spacing w:val="-1"/>
          <w:sz w:val="20"/>
          <w:szCs w:val="20"/>
          <w:lang w:eastAsia="en-US"/>
        </w:rPr>
        <w:t>SS</w:t>
      </w:r>
      <w:r>
        <w:rPr>
          <w:rFonts w:ascii="Times New Roman" w:eastAsia="Times New Roman" w:hAnsi="Times New Roman"/>
          <w:b/>
          <w:spacing w:val="2"/>
          <w:sz w:val="20"/>
          <w:szCs w:val="20"/>
          <w:lang w:eastAsia="en-US"/>
        </w:rPr>
        <w:t>M</w:t>
      </w:r>
      <w:r>
        <w:rPr>
          <w:rFonts w:ascii="Times New Roman" w:eastAsia="Times New Roman" w:hAnsi="Times New Roman"/>
          <w:b/>
          <w:sz w:val="20"/>
          <w:szCs w:val="20"/>
          <w:lang w:eastAsia="en-US"/>
        </w:rPr>
        <w:t>ENT</w:t>
      </w:r>
      <w:r>
        <w:rPr>
          <w:rFonts w:ascii="Times New Roman" w:eastAsia="Times New Roman" w:hAnsi="Times New Roman"/>
          <w:b/>
          <w:spacing w:val="-10"/>
          <w:sz w:val="20"/>
          <w:szCs w:val="20"/>
          <w:lang w:eastAsia="en-US"/>
        </w:rPr>
        <w:t xml:space="preserve"> </w:t>
      </w:r>
      <w:r>
        <w:rPr>
          <w:rFonts w:ascii="Times New Roman" w:eastAsia="Times New Roman" w:hAnsi="Times New Roman"/>
          <w:b/>
          <w:spacing w:val="1"/>
          <w:sz w:val="20"/>
          <w:szCs w:val="20"/>
          <w:lang w:eastAsia="en-US"/>
        </w:rPr>
        <w:t>O</w:t>
      </w:r>
      <w:r>
        <w:rPr>
          <w:rFonts w:ascii="Times New Roman" w:eastAsia="Times New Roman" w:hAnsi="Times New Roman"/>
          <w:b/>
          <w:sz w:val="20"/>
          <w:szCs w:val="20"/>
          <w:lang w:eastAsia="en-US"/>
        </w:rPr>
        <w:t>F</w:t>
      </w:r>
      <w:r>
        <w:rPr>
          <w:rFonts w:ascii="Times New Roman" w:eastAsia="Times New Roman" w:hAnsi="Times New Roman"/>
          <w:b/>
          <w:spacing w:val="-1"/>
          <w:sz w:val="20"/>
          <w:szCs w:val="20"/>
          <w:lang w:eastAsia="en-US"/>
        </w:rPr>
        <w:t xml:space="preserve"> </w:t>
      </w:r>
      <w:r>
        <w:rPr>
          <w:rFonts w:ascii="Times New Roman" w:eastAsia="Times New Roman" w:hAnsi="Times New Roman"/>
          <w:b/>
          <w:sz w:val="20"/>
          <w:szCs w:val="20"/>
          <w:lang w:eastAsia="en-US"/>
        </w:rPr>
        <w:t>P</w:t>
      </w:r>
      <w:r>
        <w:rPr>
          <w:rFonts w:ascii="Times New Roman" w:eastAsia="Times New Roman" w:hAnsi="Times New Roman"/>
          <w:b/>
          <w:spacing w:val="-1"/>
          <w:sz w:val="20"/>
          <w:szCs w:val="20"/>
          <w:lang w:eastAsia="en-US"/>
        </w:rPr>
        <w:t>H</w:t>
      </w:r>
      <w:r>
        <w:rPr>
          <w:rFonts w:ascii="Times New Roman" w:eastAsia="Times New Roman" w:hAnsi="Times New Roman"/>
          <w:b/>
          <w:spacing w:val="1"/>
          <w:sz w:val="20"/>
          <w:szCs w:val="20"/>
          <w:lang w:eastAsia="en-US"/>
        </w:rPr>
        <w:t>Y</w:t>
      </w:r>
      <w:r>
        <w:rPr>
          <w:rFonts w:ascii="Times New Roman" w:eastAsia="Times New Roman" w:hAnsi="Times New Roman"/>
          <w:b/>
          <w:spacing w:val="-1"/>
          <w:sz w:val="20"/>
          <w:szCs w:val="20"/>
          <w:lang w:eastAsia="en-US"/>
        </w:rPr>
        <w:t>S</w:t>
      </w:r>
      <w:r>
        <w:rPr>
          <w:rFonts w:ascii="Times New Roman" w:eastAsia="Times New Roman" w:hAnsi="Times New Roman"/>
          <w:b/>
          <w:sz w:val="20"/>
          <w:szCs w:val="20"/>
          <w:lang w:eastAsia="en-US"/>
        </w:rPr>
        <w:t>I</w:t>
      </w:r>
      <w:r>
        <w:rPr>
          <w:rFonts w:ascii="Times New Roman" w:eastAsia="Times New Roman" w:hAnsi="Times New Roman"/>
          <w:b/>
          <w:spacing w:val="3"/>
          <w:sz w:val="20"/>
          <w:szCs w:val="20"/>
          <w:lang w:eastAsia="en-US"/>
        </w:rPr>
        <w:t>O</w:t>
      </w:r>
      <w:r>
        <w:rPr>
          <w:rFonts w:ascii="Times New Roman" w:eastAsia="Times New Roman" w:hAnsi="Times New Roman"/>
          <w:b/>
          <w:spacing w:val="1"/>
          <w:sz w:val="20"/>
          <w:szCs w:val="20"/>
          <w:lang w:eastAsia="en-US"/>
        </w:rPr>
        <w:t>-</w:t>
      </w:r>
      <w:r>
        <w:rPr>
          <w:rFonts w:ascii="Times New Roman" w:eastAsia="Times New Roman" w:hAnsi="Times New Roman"/>
          <w:b/>
          <w:sz w:val="20"/>
          <w:szCs w:val="20"/>
          <w:lang w:eastAsia="en-US"/>
        </w:rPr>
        <w:t>CHE</w:t>
      </w:r>
      <w:r>
        <w:rPr>
          <w:rFonts w:ascii="Times New Roman" w:eastAsia="Times New Roman" w:hAnsi="Times New Roman"/>
          <w:b/>
          <w:spacing w:val="2"/>
          <w:sz w:val="20"/>
          <w:szCs w:val="20"/>
          <w:lang w:eastAsia="en-US"/>
        </w:rPr>
        <w:t>M</w:t>
      </w:r>
      <w:r>
        <w:rPr>
          <w:rFonts w:ascii="Times New Roman" w:eastAsia="Times New Roman" w:hAnsi="Times New Roman"/>
          <w:b/>
          <w:sz w:val="20"/>
          <w:szCs w:val="20"/>
          <w:lang w:eastAsia="en-US"/>
        </w:rPr>
        <w:t>IC</w:t>
      </w:r>
      <w:r>
        <w:rPr>
          <w:rFonts w:ascii="Times New Roman" w:eastAsia="Times New Roman" w:hAnsi="Times New Roman"/>
          <w:b/>
          <w:spacing w:val="1"/>
          <w:sz w:val="20"/>
          <w:szCs w:val="20"/>
          <w:lang w:eastAsia="en-US"/>
        </w:rPr>
        <w:t>A</w:t>
      </w:r>
      <w:r>
        <w:rPr>
          <w:rFonts w:ascii="Times New Roman" w:eastAsia="Times New Roman" w:hAnsi="Times New Roman"/>
          <w:b/>
          <w:sz w:val="20"/>
          <w:szCs w:val="20"/>
          <w:lang w:eastAsia="en-US"/>
        </w:rPr>
        <w:t>L</w:t>
      </w:r>
      <w:r>
        <w:rPr>
          <w:rFonts w:ascii="Times New Roman" w:eastAsia="Times New Roman" w:hAnsi="Times New Roman"/>
          <w:b/>
          <w:spacing w:val="-14"/>
          <w:sz w:val="20"/>
          <w:szCs w:val="20"/>
          <w:lang w:eastAsia="en-US"/>
        </w:rPr>
        <w:t xml:space="preserve"> </w:t>
      </w:r>
      <w:r>
        <w:rPr>
          <w:rFonts w:ascii="Times New Roman" w:eastAsia="Times New Roman" w:hAnsi="Times New Roman"/>
          <w:b/>
          <w:sz w:val="20"/>
          <w:szCs w:val="20"/>
          <w:lang w:eastAsia="en-US"/>
        </w:rPr>
        <w:t>PR</w:t>
      </w:r>
      <w:r>
        <w:rPr>
          <w:rFonts w:ascii="Times New Roman" w:eastAsia="Times New Roman" w:hAnsi="Times New Roman"/>
          <w:b/>
          <w:spacing w:val="1"/>
          <w:sz w:val="20"/>
          <w:szCs w:val="20"/>
          <w:lang w:eastAsia="en-US"/>
        </w:rPr>
        <w:t>O</w:t>
      </w:r>
      <w:r>
        <w:rPr>
          <w:rFonts w:ascii="Times New Roman" w:eastAsia="Times New Roman" w:hAnsi="Times New Roman"/>
          <w:b/>
          <w:sz w:val="20"/>
          <w:szCs w:val="20"/>
          <w:lang w:eastAsia="en-US"/>
        </w:rPr>
        <w:t>PER</w:t>
      </w:r>
      <w:r>
        <w:rPr>
          <w:rFonts w:ascii="Times New Roman" w:eastAsia="Times New Roman" w:hAnsi="Times New Roman"/>
          <w:b/>
          <w:spacing w:val="1"/>
          <w:sz w:val="20"/>
          <w:szCs w:val="20"/>
          <w:lang w:eastAsia="en-US"/>
        </w:rPr>
        <w:t>T</w:t>
      </w:r>
      <w:r>
        <w:rPr>
          <w:rFonts w:ascii="Times New Roman" w:eastAsia="Times New Roman" w:hAnsi="Times New Roman"/>
          <w:b/>
          <w:sz w:val="20"/>
          <w:szCs w:val="20"/>
          <w:lang w:eastAsia="en-US"/>
        </w:rPr>
        <w:t>IES</w:t>
      </w:r>
      <w:r>
        <w:rPr>
          <w:rFonts w:ascii="Times New Roman" w:eastAsia="Times New Roman" w:hAnsi="Times New Roman"/>
          <w:b/>
          <w:spacing w:val="-9"/>
          <w:sz w:val="20"/>
          <w:szCs w:val="20"/>
          <w:lang w:eastAsia="en-US"/>
        </w:rPr>
        <w:t xml:space="preserve"> </w:t>
      </w:r>
      <w:r>
        <w:rPr>
          <w:rFonts w:ascii="Times New Roman" w:eastAsia="Times New Roman" w:hAnsi="Times New Roman"/>
          <w:b/>
          <w:spacing w:val="1"/>
          <w:sz w:val="20"/>
          <w:szCs w:val="20"/>
          <w:lang w:eastAsia="en-US"/>
        </w:rPr>
        <w:t>A</w:t>
      </w:r>
      <w:r>
        <w:rPr>
          <w:rFonts w:ascii="Times New Roman" w:eastAsia="Times New Roman" w:hAnsi="Times New Roman"/>
          <w:b/>
          <w:sz w:val="20"/>
          <w:szCs w:val="20"/>
          <w:lang w:eastAsia="en-US"/>
        </w:rPr>
        <w:t>ND</w:t>
      </w:r>
      <w:r>
        <w:rPr>
          <w:rFonts w:ascii="Times New Roman" w:eastAsia="Times New Roman" w:hAnsi="Times New Roman"/>
          <w:b/>
          <w:spacing w:val="-4"/>
          <w:sz w:val="20"/>
          <w:szCs w:val="20"/>
          <w:lang w:eastAsia="en-US"/>
        </w:rPr>
        <w:t xml:space="preserve"> </w:t>
      </w:r>
      <w:r>
        <w:rPr>
          <w:rFonts w:ascii="Times New Roman" w:eastAsia="Times New Roman" w:hAnsi="Times New Roman"/>
          <w:b/>
          <w:sz w:val="20"/>
          <w:szCs w:val="20"/>
          <w:lang w:eastAsia="en-US"/>
        </w:rPr>
        <w:t>P</w:t>
      </w:r>
      <w:r>
        <w:rPr>
          <w:rFonts w:ascii="Times New Roman" w:eastAsia="Times New Roman" w:hAnsi="Times New Roman"/>
          <w:b/>
          <w:spacing w:val="1"/>
          <w:sz w:val="20"/>
          <w:szCs w:val="20"/>
          <w:lang w:eastAsia="en-US"/>
        </w:rPr>
        <w:t>OTA</w:t>
      </w:r>
      <w:r>
        <w:rPr>
          <w:rFonts w:ascii="Times New Roman" w:eastAsia="Times New Roman" w:hAnsi="Times New Roman"/>
          <w:b/>
          <w:spacing w:val="-1"/>
          <w:sz w:val="20"/>
          <w:szCs w:val="20"/>
          <w:lang w:eastAsia="en-US"/>
        </w:rPr>
        <w:t>SS</w:t>
      </w:r>
      <w:r>
        <w:rPr>
          <w:rFonts w:ascii="Times New Roman" w:eastAsia="Times New Roman" w:hAnsi="Times New Roman"/>
          <w:b/>
          <w:sz w:val="20"/>
          <w:szCs w:val="20"/>
          <w:lang w:eastAsia="en-US"/>
        </w:rPr>
        <w:t>IUM</w:t>
      </w:r>
      <w:r>
        <w:rPr>
          <w:rFonts w:ascii="Times New Roman" w:eastAsia="Times New Roman" w:hAnsi="Times New Roman"/>
          <w:b/>
          <w:spacing w:val="-7"/>
          <w:sz w:val="20"/>
          <w:szCs w:val="20"/>
          <w:lang w:eastAsia="en-US"/>
        </w:rPr>
        <w:t xml:space="preserve"> </w:t>
      </w:r>
      <w:r>
        <w:rPr>
          <w:rFonts w:ascii="Times New Roman" w:eastAsia="Times New Roman" w:hAnsi="Times New Roman"/>
          <w:b/>
          <w:spacing w:val="1"/>
          <w:sz w:val="20"/>
          <w:szCs w:val="20"/>
          <w:lang w:eastAsia="en-US"/>
        </w:rPr>
        <w:t>FO</w:t>
      </w:r>
      <w:r>
        <w:rPr>
          <w:rFonts w:ascii="Times New Roman" w:eastAsia="Times New Roman" w:hAnsi="Times New Roman"/>
          <w:b/>
          <w:sz w:val="20"/>
          <w:szCs w:val="20"/>
          <w:lang w:eastAsia="en-US"/>
        </w:rPr>
        <w:t>R</w:t>
      </w:r>
      <w:r>
        <w:rPr>
          <w:rFonts w:ascii="Times New Roman" w:eastAsia="Times New Roman" w:hAnsi="Times New Roman"/>
          <w:b/>
          <w:spacing w:val="2"/>
          <w:sz w:val="20"/>
          <w:szCs w:val="20"/>
          <w:lang w:eastAsia="en-US"/>
        </w:rPr>
        <w:t>M</w:t>
      </w:r>
      <w:r>
        <w:rPr>
          <w:rFonts w:ascii="Times New Roman" w:eastAsia="Times New Roman" w:hAnsi="Times New Roman"/>
          <w:b/>
          <w:sz w:val="20"/>
          <w:szCs w:val="20"/>
          <w:lang w:eastAsia="en-US"/>
        </w:rPr>
        <w:t>S</w:t>
      </w:r>
      <w:r>
        <w:rPr>
          <w:rFonts w:ascii="Times New Roman" w:eastAsia="Times New Roman" w:hAnsi="Times New Roman"/>
          <w:b/>
          <w:spacing w:val="-5"/>
          <w:sz w:val="20"/>
          <w:szCs w:val="20"/>
          <w:lang w:eastAsia="en-US"/>
        </w:rPr>
        <w:t xml:space="preserve"> </w:t>
      </w:r>
      <w:r>
        <w:rPr>
          <w:rFonts w:ascii="Times New Roman" w:eastAsia="Times New Roman" w:hAnsi="Times New Roman"/>
          <w:b/>
          <w:sz w:val="20"/>
          <w:szCs w:val="20"/>
          <w:lang w:eastAsia="en-US"/>
        </w:rPr>
        <w:t>IN</w:t>
      </w:r>
      <w:r>
        <w:rPr>
          <w:rFonts w:ascii="Times New Roman" w:eastAsia="Times New Roman" w:hAnsi="Times New Roman"/>
          <w:b/>
          <w:spacing w:val="-2"/>
          <w:sz w:val="20"/>
          <w:szCs w:val="20"/>
          <w:lang w:eastAsia="en-US"/>
        </w:rPr>
        <w:t xml:space="preserve"> </w:t>
      </w:r>
      <w:r>
        <w:rPr>
          <w:rFonts w:ascii="Times New Roman" w:eastAsia="Times New Roman" w:hAnsi="Times New Roman"/>
          <w:b/>
          <w:spacing w:val="-1"/>
          <w:sz w:val="20"/>
          <w:szCs w:val="20"/>
          <w:lang w:eastAsia="en-US"/>
        </w:rPr>
        <w:t>S</w:t>
      </w:r>
      <w:r>
        <w:rPr>
          <w:rFonts w:ascii="Times New Roman" w:eastAsia="Times New Roman" w:hAnsi="Times New Roman"/>
          <w:b/>
          <w:spacing w:val="1"/>
          <w:sz w:val="20"/>
          <w:szCs w:val="20"/>
          <w:lang w:eastAsia="en-US"/>
        </w:rPr>
        <w:t>O</w:t>
      </w:r>
      <w:r>
        <w:rPr>
          <w:rFonts w:ascii="Times New Roman" w:eastAsia="Times New Roman" w:hAnsi="Times New Roman"/>
          <w:b/>
          <w:sz w:val="20"/>
          <w:szCs w:val="20"/>
          <w:lang w:eastAsia="en-US"/>
        </w:rPr>
        <w:t>ILS</w:t>
      </w:r>
      <w:r>
        <w:rPr>
          <w:rFonts w:ascii="Times New Roman" w:eastAsia="Times New Roman" w:hAnsi="Times New Roman"/>
          <w:b/>
          <w:spacing w:val="-5"/>
          <w:sz w:val="20"/>
          <w:szCs w:val="20"/>
          <w:lang w:eastAsia="en-US"/>
        </w:rPr>
        <w:t xml:space="preserve"> </w:t>
      </w:r>
      <w:r>
        <w:rPr>
          <w:rFonts w:ascii="Times New Roman" w:eastAsia="Times New Roman" w:hAnsi="Times New Roman"/>
          <w:b/>
          <w:spacing w:val="1"/>
          <w:sz w:val="20"/>
          <w:szCs w:val="20"/>
          <w:lang w:eastAsia="en-US"/>
        </w:rPr>
        <w:t>O</w:t>
      </w:r>
      <w:r>
        <w:rPr>
          <w:rFonts w:ascii="Times New Roman" w:eastAsia="Times New Roman" w:hAnsi="Times New Roman"/>
          <w:b/>
          <w:sz w:val="20"/>
          <w:szCs w:val="20"/>
          <w:lang w:eastAsia="en-US"/>
        </w:rPr>
        <w:t>F</w:t>
      </w:r>
      <w:r>
        <w:rPr>
          <w:rFonts w:ascii="Times New Roman" w:eastAsia="Times New Roman" w:hAnsi="Times New Roman"/>
          <w:b/>
          <w:spacing w:val="-1"/>
          <w:sz w:val="20"/>
          <w:szCs w:val="20"/>
          <w:lang w:eastAsia="en-US"/>
        </w:rPr>
        <w:t xml:space="preserve"> S</w:t>
      </w:r>
      <w:r>
        <w:rPr>
          <w:rFonts w:ascii="Times New Roman" w:eastAsia="Times New Roman" w:hAnsi="Times New Roman"/>
          <w:b/>
          <w:spacing w:val="1"/>
          <w:sz w:val="20"/>
          <w:szCs w:val="20"/>
          <w:lang w:eastAsia="en-US"/>
        </w:rPr>
        <w:t>O</w:t>
      </w:r>
      <w:r>
        <w:rPr>
          <w:rFonts w:ascii="Times New Roman" w:eastAsia="Times New Roman" w:hAnsi="Times New Roman"/>
          <w:b/>
          <w:sz w:val="20"/>
          <w:szCs w:val="20"/>
          <w:lang w:eastAsia="en-US"/>
        </w:rPr>
        <w:t>UTHE</w:t>
      </w:r>
      <w:r>
        <w:rPr>
          <w:rFonts w:ascii="Times New Roman" w:eastAsia="Times New Roman" w:hAnsi="Times New Roman"/>
          <w:b/>
          <w:spacing w:val="2"/>
          <w:sz w:val="20"/>
          <w:szCs w:val="20"/>
          <w:lang w:eastAsia="en-US"/>
        </w:rPr>
        <w:t>A</w:t>
      </w:r>
      <w:r>
        <w:rPr>
          <w:rFonts w:ascii="Times New Roman" w:eastAsia="Times New Roman" w:hAnsi="Times New Roman"/>
          <w:b/>
          <w:spacing w:val="-1"/>
          <w:sz w:val="20"/>
          <w:szCs w:val="20"/>
          <w:lang w:eastAsia="en-US"/>
        </w:rPr>
        <w:t>S</w:t>
      </w:r>
      <w:r>
        <w:rPr>
          <w:rFonts w:ascii="Times New Roman" w:eastAsia="Times New Roman" w:hAnsi="Times New Roman"/>
          <w:b/>
          <w:spacing w:val="1"/>
          <w:sz w:val="20"/>
          <w:szCs w:val="20"/>
          <w:lang w:eastAsia="en-US"/>
        </w:rPr>
        <w:t>TERN</w:t>
      </w:r>
      <w:r>
        <w:rPr>
          <w:rFonts w:ascii="Times New Roman" w:eastAsia="Times New Roman" w:hAnsi="Times New Roman"/>
          <w:sz w:val="20"/>
          <w:szCs w:val="20"/>
          <w:lang w:eastAsia="en-US"/>
        </w:rPr>
        <w:t xml:space="preserve"> </w:t>
      </w:r>
      <w:r>
        <w:rPr>
          <w:rFonts w:ascii="Times New Roman" w:eastAsia="Times New Roman" w:hAnsi="Times New Roman"/>
          <w:b/>
          <w:sz w:val="20"/>
          <w:szCs w:val="20"/>
          <w:lang w:eastAsia="en-US"/>
        </w:rPr>
        <w:t>NI</w:t>
      </w:r>
      <w:r>
        <w:rPr>
          <w:rFonts w:ascii="Times New Roman" w:eastAsia="Times New Roman" w:hAnsi="Times New Roman"/>
          <w:b/>
          <w:spacing w:val="1"/>
          <w:sz w:val="20"/>
          <w:szCs w:val="20"/>
          <w:lang w:eastAsia="en-US"/>
        </w:rPr>
        <w:t>G</w:t>
      </w:r>
      <w:r>
        <w:rPr>
          <w:rFonts w:ascii="Times New Roman" w:eastAsia="Times New Roman" w:hAnsi="Times New Roman"/>
          <w:b/>
          <w:sz w:val="20"/>
          <w:szCs w:val="20"/>
          <w:lang w:eastAsia="en-US"/>
        </w:rPr>
        <w:t>E</w:t>
      </w:r>
      <w:r>
        <w:rPr>
          <w:rFonts w:ascii="Times New Roman" w:eastAsia="Times New Roman" w:hAnsi="Times New Roman"/>
          <w:b/>
          <w:spacing w:val="1"/>
          <w:sz w:val="20"/>
          <w:szCs w:val="20"/>
          <w:lang w:eastAsia="en-US"/>
        </w:rPr>
        <w:t>R</w:t>
      </w:r>
      <w:r>
        <w:rPr>
          <w:rFonts w:ascii="Times New Roman" w:eastAsia="Times New Roman" w:hAnsi="Times New Roman"/>
          <w:b/>
          <w:sz w:val="20"/>
          <w:szCs w:val="20"/>
          <w:lang w:eastAsia="en-US"/>
        </w:rPr>
        <w:t>I</w:t>
      </w:r>
      <w:r>
        <w:rPr>
          <w:rFonts w:ascii="Times New Roman" w:eastAsia="Times New Roman" w:hAnsi="Times New Roman"/>
          <w:b/>
          <w:spacing w:val="1"/>
          <w:sz w:val="20"/>
          <w:szCs w:val="20"/>
          <w:lang w:eastAsia="en-US"/>
        </w:rPr>
        <w:t>A</w:t>
      </w:r>
      <w:bookmarkStart w:id="0" w:name="_GoBack"/>
      <w:bookmarkEnd w:id="0"/>
    </w:p>
    <w:p w:rsidR="00C5728C" w:rsidRDefault="00C5728C">
      <w:pPr>
        <w:jc w:val="center"/>
        <w:rPr>
          <w:rFonts w:ascii="Times New Roman" w:hAnsi="Times New Roman"/>
          <w:b/>
          <w:bCs/>
          <w:sz w:val="24"/>
          <w:szCs w:val="24"/>
        </w:rPr>
      </w:pPr>
    </w:p>
    <w:p w:rsidR="00C5728C" w:rsidRDefault="001A6566">
      <w:pPr>
        <w:jc w:val="center"/>
        <w:rPr>
          <w:rFonts w:ascii="Times New Roman" w:hAnsi="Times New Roman"/>
          <w:b/>
          <w:bCs/>
          <w:sz w:val="24"/>
          <w:szCs w:val="24"/>
        </w:rPr>
      </w:pPr>
      <w:r>
        <w:rPr>
          <w:rFonts w:ascii="Times New Roman" w:hAnsi="Times New Roman"/>
          <w:b/>
          <w:bCs/>
          <w:sz w:val="24"/>
          <w:szCs w:val="24"/>
        </w:rPr>
        <w:t>ABSTRACT</w:t>
      </w:r>
    </w:p>
    <w:p w:rsidR="00C5728C" w:rsidRDefault="001A6566">
      <w:pPr>
        <w:spacing w:line="240" w:lineRule="auto"/>
        <w:jc w:val="both"/>
        <w:rPr>
          <w:rFonts w:ascii="Times New Roman" w:hAnsi="Times New Roman"/>
          <w:b/>
          <w:bCs/>
          <w:sz w:val="24"/>
          <w:szCs w:val="24"/>
        </w:rPr>
      </w:pPr>
      <w:r>
        <w:rPr>
          <w:rFonts w:ascii="Times New Roman" w:hAnsi="Times New Roman"/>
          <w:sz w:val="24"/>
          <w:szCs w:val="24"/>
        </w:rPr>
        <w:t>This study was conducted to explore the intricate relationship between soil physio-chemical properties and potassium (K) forms in tropical soil of</w:t>
      </w:r>
      <w:r>
        <w:rPr>
          <w:rFonts w:ascii="Times New Roman" w:hAnsi="Times New Roman"/>
          <w:sz w:val="24"/>
          <w:szCs w:val="24"/>
        </w:rPr>
        <w:t xml:space="preserve"> southeastern Nigeria. Soils of the region are characterized by diverse geological parent materials, including coastal plain sand, alluvium, shale, sandstone, and basement complex. A systematic sampling approach was employed, involving soil collection at t</w:t>
      </w:r>
      <w:r>
        <w:rPr>
          <w:rFonts w:ascii="Times New Roman" w:hAnsi="Times New Roman"/>
          <w:sz w:val="24"/>
          <w:szCs w:val="24"/>
        </w:rPr>
        <w:t xml:space="preserve">hree depths (0–20 cm, 20–40 cm, and 40–60 cm) across 45 sites, based on detailed geological maps. Laboratory analyses of collected samples were carried out for soil pH, texture, organic carbon, cation exchange capacity (CEC), and potassium fractions; </w:t>
      </w:r>
      <w:r>
        <w:rPr>
          <w:rFonts w:ascii="Times New Roman" w:hAnsi="Times New Roman"/>
          <w:sz w:val="24"/>
          <w:szCs w:val="24"/>
        </w:rPr>
        <w:t>(</w:t>
      </w:r>
      <w:r>
        <w:rPr>
          <w:rFonts w:ascii="Times New Roman" w:hAnsi="Times New Roman"/>
          <w:sz w:val="24"/>
          <w:szCs w:val="24"/>
        </w:rPr>
        <w:t>tota</w:t>
      </w:r>
      <w:r>
        <w:rPr>
          <w:rFonts w:ascii="Times New Roman" w:hAnsi="Times New Roman"/>
          <w:sz w:val="24"/>
          <w:szCs w:val="24"/>
        </w:rPr>
        <w:t>l, water-soluble, exchangeable, non-exchangeable, and mineral K</w:t>
      </w:r>
      <w:r>
        <w:rPr>
          <w:rFonts w:ascii="Times New Roman" w:hAnsi="Times New Roman"/>
          <w:sz w:val="24"/>
          <w:szCs w:val="24"/>
        </w:rPr>
        <w:t>)</w:t>
      </w:r>
      <w:r>
        <w:rPr>
          <w:rFonts w:ascii="Times New Roman" w:hAnsi="Times New Roman"/>
          <w:sz w:val="24"/>
          <w:szCs w:val="24"/>
        </w:rPr>
        <w:t xml:space="preserve">, using standardized protocols. Key findings indicated that soil pH predominantly ranged from 4.37 to 5.47, with basement complex soils exhibiting the highest acidity (pH 4.5–4.7), and </w:t>
      </w:r>
      <w:r>
        <w:rPr>
          <w:rFonts w:ascii="Times New Roman" w:hAnsi="Times New Roman"/>
          <w:sz w:val="24"/>
          <w:szCs w:val="24"/>
        </w:rPr>
        <w:t>sandstone</w:t>
      </w:r>
      <w:r>
        <w:rPr>
          <w:rFonts w:ascii="Times New Roman" w:hAnsi="Times New Roman"/>
          <w:sz w:val="24"/>
          <w:szCs w:val="24"/>
        </w:rPr>
        <w:t xml:space="preserve"> </w:t>
      </w:r>
      <w:r>
        <w:rPr>
          <w:rFonts w:ascii="Times New Roman" w:hAnsi="Times New Roman"/>
          <w:sz w:val="24"/>
          <w:szCs w:val="24"/>
        </w:rPr>
        <w:t xml:space="preserve">derived soils showing relatively higher pH (5.3–5.4). Textural analysis revealed high sand content (&gt;81%) in sandstone and coastal plain sands, influencing drainage and nutrient retention. Organic carbon and CEC varied significantly among parent </w:t>
      </w:r>
      <w:r>
        <w:rPr>
          <w:rFonts w:ascii="Times New Roman" w:hAnsi="Times New Roman"/>
          <w:sz w:val="24"/>
          <w:szCs w:val="24"/>
        </w:rPr>
        <w:t>materials, with volcanic soils (sandstone and alluvium) displaying higher organic matter and potassium availability. Correlation analyses showed significant positive relationships (p &lt; 0.05) between soil pH, organic carbon, CEC, and potassium forms, especi</w:t>
      </w:r>
      <w:r>
        <w:rPr>
          <w:rFonts w:ascii="Times New Roman" w:hAnsi="Times New Roman"/>
          <w:sz w:val="24"/>
          <w:szCs w:val="24"/>
        </w:rPr>
        <w:t>ally water-soluble and exchangeable K. Notably, soils derived from sandstone and alluvium parent materials had higher potassium concentrations, suggesting better nutrient availability, whereas acidic, low-CEC soils like shale and basement complex exhibited</w:t>
      </w:r>
      <w:r>
        <w:rPr>
          <w:rFonts w:ascii="Times New Roman" w:hAnsi="Times New Roman"/>
          <w:sz w:val="24"/>
          <w:szCs w:val="24"/>
        </w:rPr>
        <w:t xml:space="preserve"> lower potassium mobility and fixation. These results underscore the critical influence of soil physio-chemical attributes particularly pH, organic matter, and texture on potassium dynamics, which directly impact soil fertility and crop productivity. The f</w:t>
      </w:r>
      <w:r>
        <w:rPr>
          <w:rFonts w:ascii="Times New Roman" w:hAnsi="Times New Roman"/>
          <w:sz w:val="24"/>
          <w:szCs w:val="24"/>
        </w:rPr>
        <w:t>indings highlight the need for tailored nutrient management strategies that consider geological and soil property variability to optimize potassium use efficiency and sustain soil health in southeastern Nigeria’s diverse agro-ecological zones.</w:t>
      </w:r>
    </w:p>
    <w:p w:rsidR="00C5728C" w:rsidRDefault="00C5728C">
      <w:pPr>
        <w:spacing w:line="240" w:lineRule="auto"/>
        <w:jc w:val="both"/>
        <w:rPr>
          <w:rFonts w:ascii="Times New Roman" w:hAnsi="Times New Roman"/>
          <w:b/>
          <w:bCs/>
          <w:sz w:val="10"/>
          <w:szCs w:val="24"/>
        </w:rPr>
      </w:pPr>
    </w:p>
    <w:p w:rsidR="00C5728C" w:rsidRDefault="001A6566">
      <w:pPr>
        <w:spacing w:line="240" w:lineRule="auto"/>
        <w:jc w:val="both"/>
        <w:rPr>
          <w:rFonts w:ascii="Times New Roman" w:hAnsi="Times New Roman"/>
          <w:b/>
          <w:bCs/>
          <w:sz w:val="24"/>
          <w:szCs w:val="24"/>
        </w:rPr>
      </w:pPr>
      <w:r>
        <w:rPr>
          <w:rFonts w:ascii="Times New Roman" w:hAnsi="Times New Roman"/>
          <w:b/>
          <w:bCs/>
          <w:sz w:val="24"/>
          <w:szCs w:val="24"/>
        </w:rPr>
        <w:t>Keywords</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S</w:t>
      </w:r>
      <w:r>
        <w:rPr>
          <w:rFonts w:ascii="Times New Roman" w:hAnsi="Times New Roman"/>
          <w:sz w:val="24"/>
          <w:szCs w:val="24"/>
        </w:rPr>
        <w:t>oil Physio-Chemical Properties, Potassium Forms, Soil Fertility, Parent Material, Soil pH, Nutrient Dynamics and Tropical Soils.</w:t>
      </w:r>
    </w:p>
    <w:p w:rsidR="00C5728C" w:rsidRDefault="00C5728C">
      <w:pPr>
        <w:spacing w:line="240" w:lineRule="auto"/>
        <w:jc w:val="both"/>
        <w:rPr>
          <w:rFonts w:ascii="Times New Roman" w:hAnsi="Times New Roman"/>
          <w:b/>
          <w:bCs/>
          <w:sz w:val="24"/>
          <w:szCs w:val="24"/>
        </w:rPr>
      </w:pPr>
    </w:p>
    <w:p w:rsidR="00C5728C" w:rsidRDefault="001A6566">
      <w:pPr>
        <w:spacing w:line="240" w:lineRule="auto"/>
        <w:jc w:val="both"/>
        <w:rPr>
          <w:rFonts w:ascii="Times New Roman" w:hAnsi="Times New Roman"/>
          <w:b/>
          <w:bCs/>
          <w:sz w:val="24"/>
          <w:szCs w:val="24"/>
        </w:rPr>
      </w:pPr>
      <w:r>
        <w:rPr>
          <w:rFonts w:ascii="Times New Roman" w:hAnsi="Times New Roman"/>
          <w:b/>
          <w:bCs/>
          <w:sz w:val="24"/>
          <w:szCs w:val="24"/>
        </w:rPr>
        <w:t>1.0 INTRODUCTION</w:t>
      </w:r>
    </w:p>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Soil physio-chemical properties are fundamental determinants of soil fertility and influence the availability</w:t>
      </w:r>
      <w:r>
        <w:rPr>
          <w:rFonts w:ascii="Times New Roman" w:hAnsi="Times New Roman"/>
          <w:sz w:val="24"/>
          <w:szCs w:val="24"/>
        </w:rPr>
        <w:t xml:space="preserve"> and dynamics of essential nutrients, including potassium (K). Potassium is a vital macronutrient involved in various physiological processes in plants, such as enzyme activation, osmotic regulation, and photosynthesis (Marschner, 2012). Its bioavailabilit</w:t>
      </w:r>
      <w:r>
        <w:rPr>
          <w:rFonts w:ascii="Times New Roman" w:hAnsi="Times New Roman"/>
          <w:sz w:val="24"/>
          <w:szCs w:val="24"/>
        </w:rPr>
        <w:t>y is largely governed by soil mineralogy, texture, pH, cation exchange capacity (CEC), and organic matter content, which collectively influence the forms and mobility of potassium within the soil matrix (Doe and Smith, 2023).</w:t>
      </w:r>
    </w:p>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In tropical regions such as so</w:t>
      </w:r>
      <w:r>
        <w:rPr>
          <w:rFonts w:ascii="Times New Roman" w:hAnsi="Times New Roman"/>
          <w:sz w:val="24"/>
          <w:szCs w:val="24"/>
        </w:rPr>
        <w:t xml:space="preserve">utheastern Nigeria, the diverse geological substrates give rise to soils with varying physio-chemical characteristics, which can significantly affect potassium </w:t>
      </w:r>
      <w:r>
        <w:rPr>
          <w:rFonts w:ascii="Times New Roman" w:hAnsi="Times New Roman"/>
          <w:sz w:val="24"/>
          <w:szCs w:val="24"/>
        </w:rPr>
        <w:lastRenderedPageBreak/>
        <w:t xml:space="preserve">retention, fixation, and release (Akinlosotu </w:t>
      </w:r>
      <w:r>
        <w:rPr>
          <w:rFonts w:ascii="Times New Roman" w:hAnsi="Times New Roman"/>
          <w:i/>
          <w:sz w:val="24"/>
          <w:szCs w:val="24"/>
        </w:rPr>
        <w:t>et al</w:t>
      </w:r>
      <w:r>
        <w:rPr>
          <w:rFonts w:ascii="Times New Roman" w:hAnsi="Times New Roman"/>
          <w:sz w:val="24"/>
          <w:szCs w:val="24"/>
        </w:rPr>
        <w:t>., 2018). Example, soils derived from volcanic</w:t>
      </w:r>
      <w:r>
        <w:rPr>
          <w:rFonts w:ascii="Times New Roman" w:hAnsi="Times New Roman"/>
          <w:sz w:val="24"/>
          <w:szCs w:val="24"/>
        </w:rPr>
        <w:t xml:space="preserve"> parent materials tend to have higher clay content and mineralogical diversity, impacting potassium dynamics differently compared to sandy or lateritic soils (Ojo </w:t>
      </w:r>
      <w:r>
        <w:rPr>
          <w:rFonts w:ascii="Times New Roman" w:hAnsi="Times New Roman"/>
          <w:i/>
          <w:sz w:val="24"/>
          <w:szCs w:val="24"/>
        </w:rPr>
        <w:t>et al</w:t>
      </w:r>
      <w:r>
        <w:rPr>
          <w:rFonts w:ascii="Times New Roman" w:hAnsi="Times New Roman"/>
          <w:sz w:val="24"/>
          <w:szCs w:val="24"/>
        </w:rPr>
        <w:t>., 2020). Understanding the relationship between soil physio-chemical properties and pot</w:t>
      </w:r>
      <w:r>
        <w:rPr>
          <w:rFonts w:ascii="Times New Roman" w:hAnsi="Times New Roman"/>
          <w:sz w:val="24"/>
          <w:szCs w:val="24"/>
        </w:rPr>
        <w:t>assium forms is crucial for developing targeted nutrient management strategies that optimize crop productivity and sustain soil health.</w:t>
      </w:r>
    </w:p>
    <w:p w:rsidR="00C5728C" w:rsidRDefault="001A6566">
      <w:pPr>
        <w:spacing w:line="240" w:lineRule="auto"/>
        <w:jc w:val="both"/>
        <w:rPr>
          <w:rFonts w:ascii="Times New Roman" w:hAnsi="Times New Roman"/>
          <w:sz w:val="24"/>
          <w:szCs w:val="24"/>
        </w:rPr>
      </w:pPr>
      <w:r>
        <w:rPr>
          <w:rFonts w:ascii="Times New Roman" w:hAnsi="Times New Roman"/>
          <w:sz w:val="24"/>
          <w:szCs w:val="24"/>
        </w:rPr>
        <w:t>Despite the recognized importance of these factors, limited research has been conducted to delineate the specific intera</w:t>
      </w:r>
      <w:r>
        <w:rPr>
          <w:rFonts w:ascii="Times New Roman" w:hAnsi="Times New Roman"/>
          <w:sz w:val="24"/>
          <w:szCs w:val="24"/>
        </w:rPr>
        <w:t>ctions and correlations between soil properties and potassium forms in soils of southeastern Nigeria. Most studies have either focused on individual soil properties or nutrient levels without integrating the comprehensive relationship between soil physio-c</w:t>
      </w:r>
      <w:r>
        <w:rPr>
          <w:rFonts w:ascii="Times New Roman" w:hAnsi="Times New Roman"/>
          <w:sz w:val="24"/>
          <w:szCs w:val="24"/>
        </w:rPr>
        <w:t xml:space="preserve">hemical attributes and potassium dynamics (Obalum </w:t>
      </w:r>
      <w:r>
        <w:rPr>
          <w:rFonts w:ascii="Times New Roman" w:hAnsi="Times New Roman"/>
          <w:i/>
          <w:sz w:val="24"/>
          <w:szCs w:val="24"/>
        </w:rPr>
        <w:t>et al</w:t>
      </w:r>
      <w:r>
        <w:rPr>
          <w:rFonts w:ascii="Times New Roman" w:hAnsi="Times New Roman"/>
          <w:sz w:val="24"/>
          <w:szCs w:val="24"/>
        </w:rPr>
        <w:t xml:space="preserve">., 2019). Therefore, this study aims to investigate the interrelationship between key soil physio-chemical properties such as pH, CEC, organic carbon, and texture and the various forms of potassium in </w:t>
      </w:r>
      <w:r>
        <w:rPr>
          <w:rFonts w:ascii="Times New Roman" w:hAnsi="Times New Roman"/>
          <w:sz w:val="24"/>
          <w:szCs w:val="24"/>
        </w:rPr>
        <w:t>soils from different parent material within southeastern Nigeria. The findings are expected to contribute valuable insights for soil fertility assessment and management in tropical soils with diverse geological backgrounds.</w:t>
      </w:r>
    </w:p>
    <w:p w:rsidR="00C5728C" w:rsidRDefault="00C5728C">
      <w:pPr>
        <w:spacing w:line="240" w:lineRule="auto"/>
        <w:jc w:val="both"/>
        <w:rPr>
          <w:rFonts w:ascii="Times New Roman" w:hAnsi="Times New Roman"/>
          <w:sz w:val="4"/>
          <w:szCs w:val="24"/>
        </w:rPr>
      </w:pPr>
    </w:p>
    <w:p w:rsidR="00C5728C" w:rsidRDefault="001A6566">
      <w:pPr>
        <w:spacing w:after="0" w:line="240" w:lineRule="auto"/>
        <w:jc w:val="both"/>
        <w:rPr>
          <w:rFonts w:ascii="Times New Roman" w:hAnsi="Times New Roman"/>
          <w:b/>
          <w:bCs/>
          <w:sz w:val="24"/>
          <w:szCs w:val="24"/>
        </w:rPr>
      </w:pPr>
      <w:r>
        <w:rPr>
          <w:rFonts w:ascii="Times New Roman" w:hAnsi="Times New Roman"/>
          <w:b/>
          <w:sz w:val="24"/>
          <w:szCs w:val="24"/>
        </w:rPr>
        <w:t>2.0</w:t>
      </w:r>
      <w:r>
        <w:rPr>
          <w:rFonts w:ascii="Times New Roman" w:hAnsi="Times New Roman"/>
          <w:sz w:val="24"/>
          <w:szCs w:val="24"/>
        </w:rPr>
        <w:t xml:space="preserve"> </w:t>
      </w:r>
      <w:r>
        <w:rPr>
          <w:rFonts w:ascii="Times New Roman" w:hAnsi="Times New Roman"/>
          <w:b/>
          <w:bCs/>
          <w:sz w:val="24"/>
          <w:szCs w:val="24"/>
        </w:rPr>
        <w:t>Materials and Methods</w:t>
      </w:r>
    </w:p>
    <w:p w:rsidR="00C5728C" w:rsidRDefault="001A6566">
      <w:pPr>
        <w:spacing w:after="0" w:line="240" w:lineRule="auto"/>
        <w:jc w:val="both"/>
        <w:rPr>
          <w:rFonts w:ascii="Times New Roman" w:hAnsi="Times New Roman"/>
          <w:b/>
          <w:bCs/>
          <w:sz w:val="24"/>
          <w:szCs w:val="24"/>
        </w:rPr>
      </w:pPr>
      <w:r>
        <w:rPr>
          <w:rFonts w:ascii="Times New Roman" w:hAnsi="Times New Roman"/>
          <w:b/>
          <w:bCs/>
          <w:sz w:val="24"/>
          <w:szCs w:val="24"/>
        </w:rPr>
        <w:t>2.1 S</w:t>
      </w:r>
      <w:r>
        <w:rPr>
          <w:rFonts w:ascii="Times New Roman" w:hAnsi="Times New Roman"/>
          <w:b/>
          <w:bCs/>
          <w:sz w:val="24"/>
          <w:szCs w:val="24"/>
        </w:rPr>
        <w:t>tudy Area</w:t>
      </w:r>
    </w:p>
    <w:p w:rsidR="00C5728C" w:rsidRDefault="001A6566">
      <w:pPr>
        <w:spacing w:line="240" w:lineRule="auto"/>
        <w:jc w:val="both"/>
        <w:rPr>
          <w:rFonts w:ascii="Times New Roman" w:hAnsi="Times New Roman"/>
          <w:sz w:val="24"/>
          <w:szCs w:val="24"/>
        </w:rPr>
      </w:pPr>
      <w:r>
        <w:rPr>
          <w:rFonts w:ascii="Times New Roman" w:hAnsi="Times New Roman"/>
          <w:sz w:val="24"/>
          <w:szCs w:val="24"/>
        </w:rPr>
        <w:t xml:space="preserve">The study was conducted in southeastern Nigeria, which spans latitudes 4°47'35''N to 7°7'44''N and longitudes 7°54'26''E to 8°27'10''E (Anejionu </w:t>
      </w:r>
      <w:r>
        <w:rPr>
          <w:rFonts w:ascii="Times New Roman" w:hAnsi="Times New Roman"/>
          <w:i/>
          <w:sz w:val="24"/>
          <w:szCs w:val="24"/>
        </w:rPr>
        <w:t>et al</w:t>
      </w:r>
      <w:r>
        <w:rPr>
          <w:rFonts w:ascii="Times New Roman" w:hAnsi="Times New Roman"/>
          <w:sz w:val="24"/>
          <w:szCs w:val="24"/>
        </w:rPr>
        <w:t>., 2013) as seen in Figure 1. Covering approximately 29,095 square kilometers, representing abou</w:t>
      </w:r>
      <w:r>
        <w:rPr>
          <w:rFonts w:ascii="Times New Roman" w:hAnsi="Times New Roman"/>
          <w:sz w:val="24"/>
          <w:szCs w:val="24"/>
        </w:rPr>
        <w:t>t 3.19% of Nigeria's landmass, the region possesses a humid tropical climate characterized by high temperatures, humidity, and bimodal rainfall patterns. Mean minimum and maximum temperatures range from 21°C to 30°C along the coast and 29°C to 33°C inland.</w:t>
      </w:r>
      <w:r>
        <w:rPr>
          <w:rFonts w:ascii="Times New Roman" w:hAnsi="Times New Roman"/>
          <w:sz w:val="24"/>
          <w:szCs w:val="24"/>
        </w:rPr>
        <w:t xml:space="preserve"> The climate features high humidity, often exceeding 90% in the mornings, decreasing to 60–80% in the afternoons (Igwe, 2012; Ezemonye and Emeribe, 2012). Rainfall is heavy, ranging from 1500 mm to over 2500 mm annually (Chukwu </w:t>
      </w:r>
      <w:r>
        <w:rPr>
          <w:rFonts w:ascii="Times New Roman" w:hAnsi="Times New Roman"/>
          <w:i/>
          <w:sz w:val="24"/>
          <w:szCs w:val="24"/>
        </w:rPr>
        <w:t>et al</w:t>
      </w:r>
      <w:r>
        <w:rPr>
          <w:rFonts w:ascii="Times New Roman" w:hAnsi="Times New Roman"/>
          <w:sz w:val="24"/>
          <w:szCs w:val="24"/>
        </w:rPr>
        <w:t>., 2009). The region ex</w:t>
      </w:r>
      <w:r>
        <w:rPr>
          <w:rFonts w:ascii="Times New Roman" w:hAnsi="Times New Roman"/>
          <w:sz w:val="24"/>
          <w:szCs w:val="24"/>
        </w:rPr>
        <w:t xml:space="preserve">periences two distinct seasons: dry (November–April) and rainy (April–October), with a brief dry spell called the “August break” (Ufot </w:t>
      </w:r>
      <w:r>
        <w:rPr>
          <w:rFonts w:ascii="Times New Roman" w:hAnsi="Times New Roman"/>
          <w:i/>
          <w:sz w:val="24"/>
          <w:szCs w:val="24"/>
        </w:rPr>
        <w:t>et al</w:t>
      </w:r>
      <w:r>
        <w:rPr>
          <w:rFonts w:ascii="Times New Roman" w:hAnsi="Times New Roman"/>
          <w:sz w:val="24"/>
          <w:szCs w:val="24"/>
        </w:rPr>
        <w:t>., 2016).</w:t>
      </w:r>
    </w:p>
    <w:p w:rsidR="00C5728C" w:rsidRDefault="001A6566">
      <w:pPr>
        <w:spacing w:line="240" w:lineRule="auto"/>
        <w:jc w:val="both"/>
        <w:rPr>
          <w:rFonts w:ascii="Times New Roman" w:hAnsi="Times New Roman"/>
          <w:sz w:val="24"/>
          <w:szCs w:val="24"/>
        </w:rPr>
      </w:pPr>
      <w:r>
        <w:rPr>
          <w:rFonts w:ascii="Times New Roman" w:hAnsi="Times New Roman"/>
          <w:sz w:val="24"/>
          <w:szCs w:val="24"/>
        </w:rPr>
        <w:t xml:space="preserve">The soils here are predominantly sandy and low in organic matter, with high susceptibility to erosion and </w:t>
      </w:r>
      <w:r>
        <w:rPr>
          <w:rFonts w:ascii="Times New Roman" w:hAnsi="Times New Roman"/>
          <w:sz w:val="24"/>
          <w:szCs w:val="24"/>
        </w:rPr>
        <w:t>land degradation. They are derived mainly from shale, sandstone, and alluvial parent materials, and are classified as Ultisols, specifically the typic Hapludult (Federal Department of Agriculture and Land Resources (FDALR), 1985; Nwaogu and Ebeniro, 2009).</w:t>
      </w:r>
      <w:r>
        <w:rPr>
          <w:rFonts w:ascii="Times New Roman" w:hAnsi="Times New Roman"/>
          <w:sz w:val="24"/>
          <w:szCs w:val="24"/>
        </w:rPr>
        <w:t xml:space="preserve"> The area features three vegetation zones: mangroves, freshwater swamp forests, and rainforests, with distinct ecological characteristics (Onweremadu </w:t>
      </w:r>
      <w:r>
        <w:rPr>
          <w:rFonts w:ascii="Times New Roman" w:hAnsi="Times New Roman"/>
          <w:i/>
          <w:sz w:val="24"/>
          <w:szCs w:val="24"/>
        </w:rPr>
        <w:t>et al</w:t>
      </w:r>
      <w:r>
        <w:rPr>
          <w:rFonts w:ascii="Times New Roman" w:hAnsi="Times New Roman"/>
          <w:sz w:val="24"/>
          <w:szCs w:val="24"/>
        </w:rPr>
        <w:t>., 2007). Agriculture is a primary socio-economic activity, with crops such as oil palm, rice, ground</w:t>
      </w:r>
      <w:r>
        <w:rPr>
          <w:rFonts w:ascii="Times New Roman" w:hAnsi="Times New Roman"/>
          <w:sz w:val="24"/>
          <w:szCs w:val="24"/>
        </w:rPr>
        <w:t>nut, cocoa, and rubber, and food crops including yam, cassava, cocoyam, and vegetables. Livestock such as poultry are also prominent.</w:t>
      </w:r>
    </w:p>
    <w:p w:rsidR="00C5728C" w:rsidRDefault="001A6566">
      <w:pPr>
        <w:spacing w:line="240" w:lineRule="auto"/>
        <w:jc w:val="both"/>
        <w:rPr>
          <w:rFonts w:ascii="Times New Roman" w:hAnsi="Times New Roman"/>
          <w:sz w:val="24"/>
          <w:szCs w:val="24"/>
        </w:rPr>
      </w:pPr>
      <w:r>
        <w:rPr>
          <w:noProof/>
          <w:sz w:val="24"/>
          <w:szCs w:val="24"/>
          <w:lang w:eastAsia="en-US"/>
        </w:rPr>
        <w:lastRenderedPageBreak/>
        <w:drawing>
          <wp:inline distT="0" distB="0" distL="0" distR="0">
            <wp:extent cx="5943600" cy="4205705"/>
            <wp:effectExtent l="0" t="0" r="0" b="444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24660" t="19929" r="24954" b="10676"/>
                    <a:stretch/>
                  </pic:blipFill>
                  <pic:spPr>
                    <a:xfrm>
                      <a:off x="0" y="0"/>
                      <a:ext cx="5943600" cy="4205705"/>
                    </a:xfrm>
                    <a:prstGeom prst="rect">
                      <a:avLst/>
                    </a:prstGeom>
                    <a:ln>
                      <a:noFill/>
                    </a:ln>
                  </pic:spPr>
                </pic:pic>
              </a:graphicData>
            </a:graphic>
          </wp:inline>
        </w:drawing>
      </w:r>
    </w:p>
    <w:p w:rsidR="00C5728C" w:rsidRDefault="001A6566">
      <w:pPr>
        <w:spacing w:after="0" w:line="600" w:lineRule="auto"/>
        <w:jc w:val="both"/>
        <w:rPr>
          <w:rFonts w:ascii="Times New Roman" w:hAnsi="Times New Roman"/>
          <w:b/>
          <w:i/>
          <w:iCs/>
          <w:sz w:val="24"/>
          <w:szCs w:val="24"/>
        </w:rPr>
      </w:pPr>
      <w:r>
        <w:rPr>
          <w:rFonts w:ascii="Times New Roman" w:hAnsi="Times New Roman"/>
          <w:b/>
          <w:i/>
          <w:iCs/>
          <w:sz w:val="24"/>
          <w:szCs w:val="24"/>
        </w:rPr>
        <w:t>Figure 1: Soil Map of Southeastern Nigeria showing sample locations.</w:t>
      </w:r>
    </w:p>
    <w:p w:rsidR="00C5728C" w:rsidRDefault="001A6566">
      <w:pPr>
        <w:spacing w:line="240" w:lineRule="auto"/>
        <w:jc w:val="both"/>
        <w:rPr>
          <w:rFonts w:ascii="Times New Roman" w:hAnsi="Times New Roman"/>
          <w:b/>
          <w:bCs/>
          <w:sz w:val="24"/>
          <w:szCs w:val="24"/>
        </w:rPr>
      </w:pPr>
      <w:r>
        <w:rPr>
          <w:rFonts w:ascii="Times New Roman" w:hAnsi="Times New Roman"/>
          <w:b/>
          <w:bCs/>
          <w:sz w:val="24"/>
          <w:szCs w:val="24"/>
        </w:rPr>
        <w:t>2.2 Soil Sampling</w:t>
      </w:r>
    </w:p>
    <w:p w:rsidR="00C5728C" w:rsidRDefault="001A6566">
      <w:pPr>
        <w:spacing w:line="240" w:lineRule="auto"/>
        <w:jc w:val="both"/>
        <w:rPr>
          <w:rFonts w:ascii="Times New Roman" w:hAnsi="Times New Roman"/>
          <w:sz w:val="24"/>
          <w:szCs w:val="24"/>
        </w:rPr>
      </w:pPr>
      <w:r>
        <w:rPr>
          <w:rFonts w:ascii="Times New Roman" w:hAnsi="Times New Roman"/>
          <w:sz w:val="24"/>
          <w:szCs w:val="24"/>
        </w:rPr>
        <w:t>Soil samples were collected based</w:t>
      </w:r>
      <w:r>
        <w:rPr>
          <w:rFonts w:ascii="Times New Roman" w:hAnsi="Times New Roman"/>
          <w:sz w:val="24"/>
          <w:szCs w:val="24"/>
        </w:rPr>
        <w:t xml:space="preserve"> on a geological reference map, from five contrasting parent materials: Coastal plain sand, Alluvium, Shale, Sandstone, and Basement complex. Sampling was performed at three depths (0–20 cm, 20–40 cm, 40–60 cm) using soil augers, with three replications pe</w:t>
      </w:r>
      <w:r>
        <w:rPr>
          <w:rFonts w:ascii="Times New Roman" w:hAnsi="Times New Roman"/>
          <w:sz w:val="24"/>
          <w:szCs w:val="24"/>
        </w:rPr>
        <w:t>r site. The locations, coordinates, land use, and parent material types are detailed in Table 1. A hand-held GPS was used for geolocation (Pansu and Guatheyrous, 2006).</w:t>
      </w:r>
    </w:p>
    <w:p w:rsidR="00C5728C" w:rsidRDefault="00C5728C">
      <w:pPr>
        <w:spacing w:after="0" w:line="240" w:lineRule="auto"/>
        <w:jc w:val="both"/>
        <w:rPr>
          <w:rFonts w:ascii="Times New Roman" w:hAnsi="Times New Roman"/>
          <w:b/>
          <w:bCs/>
          <w:sz w:val="24"/>
          <w:szCs w:val="24"/>
        </w:rPr>
      </w:pPr>
    </w:p>
    <w:p w:rsidR="00C5728C" w:rsidRDefault="00C5728C">
      <w:pPr>
        <w:spacing w:after="0" w:line="240" w:lineRule="auto"/>
        <w:jc w:val="both"/>
        <w:rPr>
          <w:rFonts w:ascii="Times New Roman" w:hAnsi="Times New Roman"/>
          <w:b/>
          <w:bCs/>
          <w:sz w:val="24"/>
          <w:szCs w:val="24"/>
        </w:rPr>
      </w:pPr>
    </w:p>
    <w:p w:rsidR="00C5728C" w:rsidRDefault="00C5728C">
      <w:pPr>
        <w:spacing w:after="0" w:line="240" w:lineRule="auto"/>
        <w:jc w:val="both"/>
        <w:rPr>
          <w:rFonts w:ascii="Times New Roman" w:hAnsi="Times New Roman"/>
          <w:b/>
          <w:bCs/>
          <w:sz w:val="24"/>
          <w:szCs w:val="24"/>
        </w:rPr>
      </w:pPr>
    </w:p>
    <w:p w:rsidR="00C5728C" w:rsidRDefault="00C5728C">
      <w:pPr>
        <w:spacing w:after="0" w:line="240" w:lineRule="auto"/>
        <w:jc w:val="both"/>
        <w:rPr>
          <w:rFonts w:ascii="Times New Roman" w:hAnsi="Times New Roman"/>
          <w:b/>
          <w:bCs/>
          <w:sz w:val="24"/>
          <w:szCs w:val="24"/>
        </w:rPr>
      </w:pPr>
    </w:p>
    <w:p w:rsidR="00C5728C" w:rsidRDefault="00C5728C">
      <w:pPr>
        <w:spacing w:after="0" w:line="240" w:lineRule="auto"/>
        <w:jc w:val="both"/>
        <w:rPr>
          <w:rFonts w:ascii="Times New Roman" w:hAnsi="Times New Roman"/>
          <w:b/>
          <w:bCs/>
          <w:sz w:val="24"/>
          <w:szCs w:val="24"/>
        </w:rPr>
      </w:pPr>
    </w:p>
    <w:p w:rsidR="00C5728C" w:rsidRDefault="00C5728C">
      <w:pPr>
        <w:spacing w:after="0" w:line="240" w:lineRule="auto"/>
        <w:jc w:val="both"/>
        <w:rPr>
          <w:rFonts w:ascii="Times New Roman" w:hAnsi="Times New Roman"/>
          <w:b/>
          <w:bCs/>
          <w:sz w:val="24"/>
          <w:szCs w:val="24"/>
        </w:rPr>
      </w:pPr>
    </w:p>
    <w:p w:rsidR="00C5728C" w:rsidRDefault="00C5728C">
      <w:pPr>
        <w:spacing w:after="0" w:line="240" w:lineRule="auto"/>
        <w:jc w:val="both"/>
        <w:rPr>
          <w:rFonts w:ascii="Times New Roman" w:hAnsi="Times New Roman"/>
          <w:b/>
          <w:bCs/>
          <w:sz w:val="24"/>
          <w:szCs w:val="24"/>
        </w:rPr>
      </w:pPr>
    </w:p>
    <w:p w:rsidR="00C5728C" w:rsidRDefault="00C5728C">
      <w:pPr>
        <w:spacing w:after="0" w:line="240" w:lineRule="auto"/>
        <w:jc w:val="both"/>
        <w:rPr>
          <w:rFonts w:ascii="Times New Roman" w:hAnsi="Times New Roman"/>
          <w:b/>
          <w:bCs/>
          <w:sz w:val="24"/>
          <w:szCs w:val="24"/>
        </w:rPr>
      </w:pPr>
    </w:p>
    <w:p w:rsidR="00C5728C" w:rsidRDefault="00C5728C">
      <w:pPr>
        <w:spacing w:after="0" w:line="240" w:lineRule="auto"/>
        <w:jc w:val="both"/>
        <w:rPr>
          <w:rFonts w:ascii="Times New Roman" w:hAnsi="Times New Roman"/>
          <w:b/>
          <w:bCs/>
          <w:sz w:val="24"/>
          <w:szCs w:val="24"/>
        </w:rPr>
      </w:pPr>
    </w:p>
    <w:p w:rsidR="00C5728C" w:rsidRDefault="00C5728C">
      <w:pPr>
        <w:spacing w:after="0" w:line="240" w:lineRule="auto"/>
        <w:jc w:val="both"/>
        <w:rPr>
          <w:rFonts w:ascii="Times New Roman" w:hAnsi="Times New Roman"/>
          <w:b/>
          <w:bCs/>
          <w:sz w:val="24"/>
          <w:szCs w:val="24"/>
        </w:rPr>
      </w:pPr>
    </w:p>
    <w:p w:rsidR="00C5728C" w:rsidRDefault="00C5728C">
      <w:pPr>
        <w:spacing w:after="0" w:line="240" w:lineRule="auto"/>
        <w:jc w:val="both"/>
        <w:rPr>
          <w:rFonts w:ascii="Times New Roman" w:hAnsi="Times New Roman"/>
          <w:b/>
          <w:bCs/>
          <w:sz w:val="24"/>
          <w:szCs w:val="24"/>
        </w:rPr>
      </w:pPr>
    </w:p>
    <w:p w:rsidR="00C5728C" w:rsidRDefault="00C5728C">
      <w:pPr>
        <w:spacing w:after="0" w:line="240" w:lineRule="auto"/>
        <w:jc w:val="both"/>
        <w:rPr>
          <w:rFonts w:ascii="Times New Roman" w:hAnsi="Times New Roman"/>
          <w:b/>
          <w:bCs/>
          <w:sz w:val="24"/>
          <w:szCs w:val="24"/>
        </w:rPr>
      </w:pPr>
    </w:p>
    <w:p w:rsidR="00C5728C" w:rsidRDefault="001A6566">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Table1.  Soil Parent Materials and Sample Locations</w:t>
      </w:r>
    </w:p>
    <w:p w:rsidR="00C5728C" w:rsidRDefault="00C5728C">
      <w:pPr>
        <w:spacing w:after="0" w:line="240" w:lineRule="auto"/>
        <w:jc w:val="both"/>
        <w:rPr>
          <w:rFonts w:ascii="Times New Roman" w:hAnsi="Times New Roman"/>
          <w:b/>
          <w:bCs/>
          <w:sz w:val="24"/>
          <w:szCs w:val="24"/>
        </w:rPr>
      </w:pPr>
    </w:p>
    <w:tbl>
      <w:tblPr>
        <w:tblStyle w:val="TableGrid"/>
        <w:tblW w:w="11520" w:type="dxa"/>
        <w:tblInd w:w="-88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1777"/>
        <w:gridCol w:w="1643"/>
        <w:gridCol w:w="1260"/>
        <w:gridCol w:w="1080"/>
        <w:gridCol w:w="1260"/>
        <w:gridCol w:w="2610"/>
      </w:tblGrid>
      <w:tr w:rsidR="00C5728C">
        <w:tc>
          <w:tcPr>
            <w:tcW w:w="1890" w:type="dxa"/>
            <w:tcBorders>
              <w:top w:val="single" w:sz="4" w:space="0" w:color="auto"/>
              <w:bottom w:val="single" w:sz="4" w:space="0" w:color="auto"/>
            </w:tcBorders>
          </w:tcPr>
          <w:p w:rsidR="00C5728C" w:rsidRDefault="001A6566">
            <w:pPr>
              <w:spacing w:after="0"/>
              <w:jc w:val="both"/>
              <w:rPr>
                <w:rFonts w:ascii="Times New Roman" w:hAnsi="Times New Roman"/>
                <w:b/>
                <w:sz w:val="20"/>
                <w:szCs w:val="20"/>
              </w:rPr>
            </w:pPr>
            <w:r>
              <w:rPr>
                <w:rFonts w:ascii="Times New Roman" w:hAnsi="Times New Roman"/>
                <w:b/>
                <w:sz w:val="20"/>
                <w:szCs w:val="20"/>
              </w:rPr>
              <w:t>Parent Material</w:t>
            </w:r>
          </w:p>
        </w:tc>
        <w:tc>
          <w:tcPr>
            <w:tcW w:w="1777" w:type="dxa"/>
            <w:tcBorders>
              <w:top w:val="single" w:sz="4" w:space="0" w:color="auto"/>
              <w:bottom w:val="single" w:sz="4" w:space="0" w:color="auto"/>
            </w:tcBorders>
          </w:tcPr>
          <w:p w:rsidR="00C5728C" w:rsidRDefault="001A6566">
            <w:pPr>
              <w:spacing w:after="0"/>
              <w:jc w:val="both"/>
              <w:rPr>
                <w:rFonts w:ascii="Times New Roman" w:hAnsi="Times New Roman"/>
                <w:b/>
                <w:sz w:val="20"/>
                <w:szCs w:val="20"/>
              </w:rPr>
            </w:pPr>
            <w:r>
              <w:rPr>
                <w:rFonts w:ascii="Times New Roman" w:hAnsi="Times New Roman"/>
                <w:b/>
                <w:sz w:val="20"/>
                <w:szCs w:val="20"/>
              </w:rPr>
              <w:t>Location</w:t>
            </w:r>
          </w:p>
        </w:tc>
        <w:tc>
          <w:tcPr>
            <w:tcW w:w="1643" w:type="dxa"/>
            <w:tcBorders>
              <w:top w:val="single" w:sz="4" w:space="0" w:color="auto"/>
              <w:bottom w:val="single" w:sz="4" w:space="0" w:color="auto"/>
            </w:tcBorders>
          </w:tcPr>
          <w:p w:rsidR="00C5728C" w:rsidRDefault="001A6566">
            <w:pPr>
              <w:spacing w:after="0"/>
              <w:jc w:val="both"/>
              <w:rPr>
                <w:rFonts w:ascii="Times New Roman" w:hAnsi="Times New Roman"/>
                <w:b/>
                <w:sz w:val="20"/>
                <w:szCs w:val="20"/>
              </w:rPr>
            </w:pPr>
            <w:r>
              <w:rPr>
                <w:rFonts w:ascii="Times New Roman" w:hAnsi="Times New Roman"/>
                <w:b/>
                <w:sz w:val="20"/>
                <w:szCs w:val="20"/>
              </w:rPr>
              <w:t>LGA</w:t>
            </w:r>
          </w:p>
        </w:tc>
        <w:tc>
          <w:tcPr>
            <w:tcW w:w="1260" w:type="dxa"/>
            <w:tcBorders>
              <w:top w:val="single" w:sz="4" w:space="0" w:color="auto"/>
              <w:bottom w:val="single" w:sz="4" w:space="0" w:color="auto"/>
            </w:tcBorders>
          </w:tcPr>
          <w:p w:rsidR="00C5728C" w:rsidRDefault="001A6566">
            <w:pPr>
              <w:spacing w:after="0"/>
              <w:jc w:val="both"/>
              <w:rPr>
                <w:rFonts w:ascii="Times New Roman" w:hAnsi="Times New Roman"/>
                <w:b/>
                <w:sz w:val="20"/>
                <w:szCs w:val="20"/>
              </w:rPr>
            </w:pPr>
            <w:r>
              <w:rPr>
                <w:rFonts w:ascii="Times New Roman" w:hAnsi="Times New Roman"/>
                <w:b/>
                <w:sz w:val="20"/>
                <w:szCs w:val="20"/>
              </w:rPr>
              <w:t>State</w:t>
            </w:r>
          </w:p>
        </w:tc>
        <w:tc>
          <w:tcPr>
            <w:tcW w:w="1080" w:type="dxa"/>
            <w:tcBorders>
              <w:top w:val="single" w:sz="4" w:space="0" w:color="auto"/>
              <w:bottom w:val="single" w:sz="4" w:space="0" w:color="auto"/>
            </w:tcBorders>
          </w:tcPr>
          <w:p w:rsidR="00C5728C" w:rsidRDefault="001A6566">
            <w:pPr>
              <w:spacing w:after="0"/>
              <w:jc w:val="both"/>
              <w:rPr>
                <w:rFonts w:ascii="Times New Roman" w:hAnsi="Times New Roman"/>
                <w:b/>
                <w:sz w:val="20"/>
                <w:szCs w:val="20"/>
              </w:rPr>
            </w:pPr>
            <w:r>
              <w:rPr>
                <w:rFonts w:ascii="Times New Roman" w:hAnsi="Times New Roman"/>
                <w:b/>
                <w:sz w:val="20"/>
                <w:szCs w:val="20"/>
              </w:rPr>
              <w:t>Latitude</w:t>
            </w:r>
          </w:p>
        </w:tc>
        <w:tc>
          <w:tcPr>
            <w:tcW w:w="1260" w:type="dxa"/>
            <w:tcBorders>
              <w:top w:val="single" w:sz="4" w:space="0" w:color="auto"/>
              <w:bottom w:val="single" w:sz="4" w:space="0" w:color="auto"/>
            </w:tcBorders>
          </w:tcPr>
          <w:p w:rsidR="00C5728C" w:rsidRDefault="001A6566">
            <w:pPr>
              <w:spacing w:after="0"/>
              <w:jc w:val="both"/>
              <w:rPr>
                <w:rFonts w:ascii="Times New Roman" w:hAnsi="Times New Roman"/>
                <w:b/>
                <w:sz w:val="20"/>
                <w:szCs w:val="20"/>
              </w:rPr>
            </w:pPr>
            <w:r>
              <w:rPr>
                <w:rFonts w:ascii="Times New Roman" w:hAnsi="Times New Roman"/>
                <w:b/>
                <w:sz w:val="20"/>
                <w:szCs w:val="20"/>
              </w:rPr>
              <w:t>Longitude</w:t>
            </w:r>
          </w:p>
        </w:tc>
        <w:tc>
          <w:tcPr>
            <w:tcW w:w="2610" w:type="dxa"/>
            <w:tcBorders>
              <w:top w:val="single" w:sz="4" w:space="0" w:color="auto"/>
              <w:bottom w:val="single" w:sz="4" w:space="0" w:color="auto"/>
            </w:tcBorders>
          </w:tcPr>
          <w:p w:rsidR="00C5728C" w:rsidRDefault="001A6566">
            <w:pPr>
              <w:spacing w:after="0"/>
              <w:jc w:val="both"/>
              <w:rPr>
                <w:rFonts w:ascii="Times New Roman" w:hAnsi="Times New Roman"/>
                <w:b/>
                <w:sz w:val="20"/>
                <w:szCs w:val="20"/>
              </w:rPr>
            </w:pPr>
            <w:r>
              <w:rPr>
                <w:rFonts w:ascii="Times New Roman" w:hAnsi="Times New Roman"/>
                <w:b/>
                <w:sz w:val="20"/>
                <w:szCs w:val="20"/>
              </w:rPr>
              <w:t>Land use</w:t>
            </w:r>
          </w:p>
        </w:tc>
      </w:tr>
      <w:tr w:rsidR="00C5728C">
        <w:tc>
          <w:tcPr>
            <w:tcW w:w="1890" w:type="dxa"/>
            <w:tcBorders>
              <w:top w:val="single" w:sz="4" w:space="0" w:color="auto"/>
            </w:tcBorders>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Coastal plain sand</w:t>
            </w:r>
          </w:p>
        </w:tc>
        <w:tc>
          <w:tcPr>
            <w:tcW w:w="1777" w:type="dxa"/>
            <w:tcBorders>
              <w:top w:val="single" w:sz="4" w:space="0" w:color="auto"/>
            </w:tcBorders>
            <w:vAlign w:val="center"/>
          </w:tcPr>
          <w:p w:rsidR="00C5728C" w:rsidRDefault="001A656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Umudike</w:t>
            </w:r>
          </w:p>
        </w:tc>
        <w:tc>
          <w:tcPr>
            <w:tcW w:w="1643" w:type="dxa"/>
            <w:tcBorders>
              <w:top w:val="single" w:sz="4" w:space="0" w:color="auto"/>
            </w:tcBorders>
          </w:tcPr>
          <w:p w:rsidR="00C5728C" w:rsidRDefault="001A6566">
            <w:pPr>
              <w:spacing w:after="0"/>
              <w:jc w:val="both"/>
              <w:rPr>
                <w:rFonts w:ascii="Times New Roman" w:hAnsi="Times New Roman"/>
                <w:sz w:val="20"/>
                <w:szCs w:val="20"/>
              </w:rPr>
            </w:pPr>
            <w:r>
              <w:rPr>
                <w:rFonts w:ascii="Times New Roman" w:hAnsi="Times New Roman"/>
                <w:sz w:val="20"/>
                <w:szCs w:val="20"/>
              </w:rPr>
              <w:t>Ikwuano</w:t>
            </w:r>
          </w:p>
        </w:tc>
        <w:tc>
          <w:tcPr>
            <w:tcW w:w="1260" w:type="dxa"/>
            <w:tcBorders>
              <w:top w:val="single" w:sz="4" w:space="0" w:color="auto"/>
            </w:tcBorders>
          </w:tcPr>
          <w:p w:rsidR="00C5728C" w:rsidRDefault="001A6566">
            <w:pPr>
              <w:spacing w:after="0"/>
              <w:jc w:val="both"/>
              <w:rPr>
                <w:rFonts w:ascii="Times New Roman" w:hAnsi="Times New Roman"/>
                <w:sz w:val="20"/>
                <w:szCs w:val="20"/>
              </w:rPr>
            </w:pPr>
            <w:r>
              <w:rPr>
                <w:rFonts w:ascii="Times New Roman" w:hAnsi="Times New Roman"/>
                <w:sz w:val="20"/>
                <w:szCs w:val="20"/>
              </w:rPr>
              <w:t>Abia</w:t>
            </w:r>
          </w:p>
        </w:tc>
        <w:tc>
          <w:tcPr>
            <w:tcW w:w="1080" w:type="dxa"/>
            <w:tcBorders>
              <w:top w:val="single" w:sz="4" w:space="0" w:color="auto"/>
            </w:tcBorders>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5.47573</w:t>
            </w:r>
          </w:p>
        </w:tc>
        <w:tc>
          <w:tcPr>
            <w:tcW w:w="1260" w:type="dxa"/>
            <w:tcBorders>
              <w:top w:val="single" w:sz="4" w:space="0" w:color="auto"/>
            </w:tcBorders>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7.55244</w:t>
            </w:r>
          </w:p>
        </w:tc>
        <w:tc>
          <w:tcPr>
            <w:tcW w:w="2610" w:type="dxa"/>
            <w:tcBorders>
              <w:top w:val="single" w:sz="4" w:space="0" w:color="auto"/>
            </w:tcBorders>
          </w:tcPr>
          <w:p w:rsidR="00C5728C" w:rsidRDefault="001A6566">
            <w:pPr>
              <w:spacing w:after="0"/>
              <w:jc w:val="both"/>
              <w:rPr>
                <w:rFonts w:ascii="Times New Roman" w:hAnsi="Times New Roman"/>
                <w:sz w:val="20"/>
                <w:szCs w:val="20"/>
              </w:rPr>
            </w:pPr>
            <w:r>
              <w:rPr>
                <w:rFonts w:ascii="Times New Roman" w:hAnsi="Times New Roman"/>
                <w:bCs/>
                <w:sz w:val="20"/>
                <w:szCs w:val="20"/>
              </w:rPr>
              <w:t>Fallow</w:t>
            </w:r>
          </w:p>
        </w:tc>
      </w:tr>
      <w:tr w:rsidR="00C5728C">
        <w:tc>
          <w:tcPr>
            <w:tcW w:w="1890" w:type="dxa"/>
          </w:tcPr>
          <w:p w:rsidR="00C5728C" w:rsidRDefault="001A656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Coastal plain sand</w:t>
            </w:r>
          </w:p>
        </w:tc>
        <w:tc>
          <w:tcPr>
            <w:tcW w:w="1777" w:type="dxa"/>
            <w:vAlign w:val="center"/>
          </w:tcPr>
          <w:p w:rsidR="00C5728C" w:rsidRDefault="001A656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Umuchima</w:t>
            </w:r>
          </w:p>
        </w:tc>
        <w:tc>
          <w:tcPr>
            <w:tcW w:w="1643" w:type="dxa"/>
          </w:tcPr>
          <w:p w:rsidR="00C5728C" w:rsidRDefault="001A6566">
            <w:pPr>
              <w:spacing w:after="0"/>
              <w:rPr>
                <w:rFonts w:ascii="Times New Roman" w:hAnsi="Times New Roman"/>
                <w:sz w:val="20"/>
                <w:szCs w:val="20"/>
              </w:rPr>
            </w:pPr>
            <w:r>
              <w:rPr>
                <w:rFonts w:ascii="Times New Roman" w:eastAsia="Times New Roman" w:hAnsi="Times New Roman"/>
                <w:color w:val="000000"/>
                <w:sz w:val="20"/>
                <w:szCs w:val="20"/>
              </w:rPr>
              <w:t xml:space="preserve">Isiala Ngwa North  </w:t>
            </w:r>
          </w:p>
        </w:tc>
        <w:tc>
          <w:tcPr>
            <w:tcW w:w="1260" w:type="dxa"/>
          </w:tcPr>
          <w:p w:rsidR="00C5728C" w:rsidRDefault="001A6566">
            <w:pPr>
              <w:spacing w:after="0"/>
              <w:jc w:val="both"/>
              <w:rPr>
                <w:rFonts w:ascii="Times New Roman" w:hAnsi="Times New Roman"/>
                <w:sz w:val="20"/>
                <w:szCs w:val="20"/>
              </w:rPr>
            </w:pPr>
            <w:r>
              <w:rPr>
                <w:rFonts w:ascii="Times New Roman" w:hAnsi="Times New Roman"/>
                <w:sz w:val="20"/>
                <w:szCs w:val="20"/>
              </w:rPr>
              <w:t>Abia</w:t>
            </w:r>
          </w:p>
        </w:tc>
        <w:tc>
          <w:tcPr>
            <w:tcW w:w="1080" w:type="dxa"/>
          </w:tcPr>
          <w:p w:rsidR="00C5728C" w:rsidRDefault="001A656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5.34801</w:t>
            </w:r>
          </w:p>
        </w:tc>
        <w:tc>
          <w:tcPr>
            <w:tcW w:w="1260" w:type="dxa"/>
          </w:tcPr>
          <w:p w:rsidR="00C5728C" w:rsidRDefault="001A656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7.34521</w:t>
            </w:r>
          </w:p>
        </w:tc>
        <w:tc>
          <w:tcPr>
            <w:tcW w:w="2610" w:type="dxa"/>
          </w:tcPr>
          <w:p w:rsidR="00C5728C" w:rsidRDefault="001A6566">
            <w:pPr>
              <w:spacing w:after="0"/>
              <w:jc w:val="both"/>
              <w:rPr>
                <w:rFonts w:ascii="Times New Roman" w:hAnsi="Times New Roman"/>
                <w:bCs/>
                <w:sz w:val="20"/>
                <w:szCs w:val="20"/>
              </w:rPr>
            </w:pPr>
            <w:r>
              <w:rPr>
                <w:rFonts w:ascii="Times New Roman" w:hAnsi="Times New Roman"/>
                <w:bCs/>
                <w:sz w:val="20"/>
                <w:szCs w:val="20"/>
              </w:rPr>
              <w:t>Cassava</w:t>
            </w:r>
          </w:p>
        </w:tc>
      </w:tr>
      <w:tr w:rsidR="00C5728C">
        <w:tc>
          <w:tcPr>
            <w:tcW w:w="189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Coastal plain sand</w:t>
            </w:r>
          </w:p>
        </w:tc>
        <w:tc>
          <w:tcPr>
            <w:tcW w:w="1777"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Umuamachi</w:t>
            </w:r>
          </w:p>
        </w:tc>
        <w:tc>
          <w:tcPr>
            <w:tcW w:w="1643"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Aba North</w:t>
            </w:r>
          </w:p>
        </w:tc>
        <w:tc>
          <w:tcPr>
            <w:tcW w:w="1260" w:type="dxa"/>
          </w:tcPr>
          <w:p w:rsidR="00C5728C" w:rsidRDefault="001A6566">
            <w:pPr>
              <w:spacing w:after="0"/>
              <w:jc w:val="both"/>
              <w:rPr>
                <w:rFonts w:ascii="Times New Roman" w:hAnsi="Times New Roman"/>
                <w:sz w:val="20"/>
                <w:szCs w:val="20"/>
              </w:rPr>
            </w:pPr>
            <w:r>
              <w:rPr>
                <w:rFonts w:ascii="Times New Roman" w:hAnsi="Times New Roman"/>
                <w:sz w:val="20"/>
                <w:szCs w:val="20"/>
              </w:rPr>
              <w:t>Abia</w:t>
            </w:r>
          </w:p>
        </w:tc>
        <w:tc>
          <w:tcPr>
            <w:tcW w:w="108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5.11422</w:t>
            </w:r>
          </w:p>
        </w:tc>
        <w:tc>
          <w:tcPr>
            <w:tcW w:w="126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7.30507</w:t>
            </w:r>
          </w:p>
        </w:tc>
        <w:tc>
          <w:tcPr>
            <w:tcW w:w="2610" w:type="dxa"/>
          </w:tcPr>
          <w:p w:rsidR="00C5728C" w:rsidRDefault="001A6566">
            <w:pPr>
              <w:spacing w:after="0"/>
              <w:jc w:val="both"/>
              <w:rPr>
                <w:rFonts w:ascii="Times New Roman" w:hAnsi="Times New Roman"/>
                <w:sz w:val="20"/>
                <w:szCs w:val="20"/>
              </w:rPr>
            </w:pPr>
            <w:r>
              <w:rPr>
                <w:rFonts w:ascii="Times New Roman" w:hAnsi="Times New Roman"/>
                <w:bCs/>
                <w:sz w:val="20"/>
                <w:szCs w:val="20"/>
              </w:rPr>
              <w:t>Fallow</w:t>
            </w:r>
          </w:p>
        </w:tc>
      </w:tr>
      <w:tr w:rsidR="00C5728C">
        <w:tc>
          <w:tcPr>
            <w:tcW w:w="1890" w:type="dxa"/>
          </w:tcPr>
          <w:p w:rsidR="00C5728C" w:rsidRDefault="001A6566">
            <w:pPr>
              <w:spacing w:after="0"/>
              <w:jc w:val="both"/>
              <w:rPr>
                <w:rFonts w:ascii="Times New Roman" w:hAnsi="Times New Roman"/>
                <w:sz w:val="20"/>
                <w:szCs w:val="20"/>
              </w:rPr>
            </w:pPr>
            <w:r>
              <w:rPr>
                <w:rFonts w:ascii="Times New Roman" w:hAnsi="Times New Roman"/>
                <w:sz w:val="20"/>
                <w:szCs w:val="20"/>
              </w:rPr>
              <w:t>Coastal plain sand</w:t>
            </w:r>
          </w:p>
        </w:tc>
        <w:tc>
          <w:tcPr>
            <w:tcW w:w="1777"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Umulogho</w:t>
            </w:r>
          </w:p>
        </w:tc>
        <w:tc>
          <w:tcPr>
            <w:tcW w:w="1643" w:type="dxa"/>
          </w:tcPr>
          <w:p w:rsidR="00C5728C" w:rsidRDefault="001A6566">
            <w:pPr>
              <w:spacing w:after="0"/>
              <w:jc w:val="both"/>
              <w:rPr>
                <w:rFonts w:ascii="Times New Roman" w:hAnsi="Times New Roman"/>
                <w:sz w:val="20"/>
                <w:szCs w:val="20"/>
              </w:rPr>
            </w:pPr>
            <w:r>
              <w:rPr>
                <w:rFonts w:ascii="Times New Roman" w:hAnsi="Times New Roman"/>
                <w:sz w:val="20"/>
                <w:szCs w:val="20"/>
              </w:rPr>
              <w:t>Obowo</w:t>
            </w:r>
          </w:p>
        </w:tc>
        <w:tc>
          <w:tcPr>
            <w:tcW w:w="1260" w:type="dxa"/>
          </w:tcPr>
          <w:p w:rsidR="00C5728C" w:rsidRDefault="001A6566">
            <w:pPr>
              <w:spacing w:after="0"/>
              <w:jc w:val="both"/>
              <w:rPr>
                <w:rFonts w:ascii="Times New Roman" w:hAnsi="Times New Roman"/>
                <w:sz w:val="20"/>
                <w:szCs w:val="20"/>
              </w:rPr>
            </w:pPr>
            <w:r>
              <w:rPr>
                <w:rFonts w:ascii="Times New Roman" w:hAnsi="Times New Roman"/>
                <w:sz w:val="20"/>
                <w:szCs w:val="20"/>
              </w:rPr>
              <w:t>Imo</w:t>
            </w:r>
          </w:p>
        </w:tc>
        <w:tc>
          <w:tcPr>
            <w:tcW w:w="108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5.55285</w:t>
            </w:r>
          </w:p>
        </w:tc>
        <w:tc>
          <w:tcPr>
            <w:tcW w:w="126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7.38484</w:t>
            </w:r>
          </w:p>
        </w:tc>
        <w:tc>
          <w:tcPr>
            <w:tcW w:w="2610" w:type="dxa"/>
          </w:tcPr>
          <w:p w:rsidR="00C5728C" w:rsidRDefault="001A6566">
            <w:pPr>
              <w:spacing w:after="0"/>
              <w:jc w:val="both"/>
              <w:rPr>
                <w:rFonts w:ascii="Times New Roman" w:hAnsi="Times New Roman"/>
                <w:sz w:val="20"/>
                <w:szCs w:val="20"/>
              </w:rPr>
            </w:pPr>
            <w:r>
              <w:rPr>
                <w:rFonts w:ascii="Times New Roman" w:hAnsi="Times New Roman"/>
                <w:bCs/>
                <w:sz w:val="20"/>
                <w:szCs w:val="20"/>
              </w:rPr>
              <w:t>Fallow</w:t>
            </w:r>
          </w:p>
        </w:tc>
      </w:tr>
      <w:tr w:rsidR="00C5728C">
        <w:tc>
          <w:tcPr>
            <w:tcW w:w="1890" w:type="dxa"/>
          </w:tcPr>
          <w:p w:rsidR="00C5728C" w:rsidRDefault="001A6566">
            <w:pPr>
              <w:spacing w:after="0"/>
              <w:jc w:val="both"/>
              <w:rPr>
                <w:rFonts w:ascii="Times New Roman" w:hAnsi="Times New Roman"/>
                <w:sz w:val="20"/>
                <w:szCs w:val="20"/>
              </w:rPr>
            </w:pPr>
            <w:r>
              <w:rPr>
                <w:rFonts w:ascii="Times New Roman" w:hAnsi="Times New Roman"/>
                <w:sz w:val="20"/>
                <w:szCs w:val="20"/>
              </w:rPr>
              <w:t>Coastal plain sand</w:t>
            </w:r>
          </w:p>
        </w:tc>
        <w:tc>
          <w:tcPr>
            <w:tcW w:w="1777"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Obokwe</w:t>
            </w:r>
          </w:p>
        </w:tc>
        <w:tc>
          <w:tcPr>
            <w:tcW w:w="1643"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Ngor-okpala</w:t>
            </w:r>
          </w:p>
        </w:tc>
        <w:tc>
          <w:tcPr>
            <w:tcW w:w="1260" w:type="dxa"/>
          </w:tcPr>
          <w:p w:rsidR="00C5728C" w:rsidRDefault="001A6566">
            <w:pPr>
              <w:spacing w:after="0"/>
              <w:jc w:val="both"/>
              <w:rPr>
                <w:rFonts w:ascii="Times New Roman" w:hAnsi="Times New Roman"/>
                <w:sz w:val="20"/>
                <w:szCs w:val="20"/>
              </w:rPr>
            </w:pPr>
            <w:r>
              <w:rPr>
                <w:rFonts w:ascii="Times New Roman" w:hAnsi="Times New Roman"/>
                <w:sz w:val="20"/>
                <w:szCs w:val="20"/>
              </w:rPr>
              <w:t>Imo</w:t>
            </w:r>
          </w:p>
        </w:tc>
        <w:tc>
          <w:tcPr>
            <w:tcW w:w="108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5.52541</w:t>
            </w:r>
          </w:p>
        </w:tc>
        <w:tc>
          <w:tcPr>
            <w:tcW w:w="126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6.95813</w:t>
            </w:r>
          </w:p>
        </w:tc>
        <w:tc>
          <w:tcPr>
            <w:tcW w:w="2610" w:type="dxa"/>
          </w:tcPr>
          <w:p w:rsidR="00C5728C" w:rsidRDefault="001A6566">
            <w:pPr>
              <w:spacing w:after="0"/>
              <w:jc w:val="both"/>
              <w:rPr>
                <w:rFonts w:ascii="Times New Roman" w:hAnsi="Times New Roman"/>
                <w:sz w:val="20"/>
                <w:szCs w:val="20"/>
              </w:rPr>
            </w:pPr>
            <w:r>
              <w:rPr>
                <w:rFonts w:ascii="Times New Roman" w:hAnsi="Times New Roman"/>
                <w:bCs/>
                <w:sz w:val="20"/>
                <w:szCs w:val="20"/>
              </w:rPr>
              <w:t xml:space="preserve">Cassava and </w:t>
            </w:r>
            <w:r>
              <w:rPr>
                <w:rFonts w:ascii="Times New Roman" w:hAnsi="Times New Roman"/>
                <w:sz w:val="20"/>
                <w:szCs w:val="20"/>
              </w:rPr>
              <w:t>fluted pumpkin</w:t>
            </w:r>
          </w:p>
        </w:tc>
      </w:tr>
      <w:tr w:rsidR="00C5728C">
        <w:tc>
          <w:tcPr>
            <w:tcW w:w="1890" w:type="dxa"/>
          </w:tcPr>
          <w:p w:rsidR="00C5728C" w:rsidRDefault="001A6566">
            <w:pPr>
              <w:spacing w:after="0"/>
              <w:jc w:val="both"/>
              <w:rPr>
                <w:rFonts w:ascii="Times New Roman" w:hAnsi="Times New Roman"/>
                <w:sz w:val="20"/>
                <w:szCs w:val="20"/>
              </w:rPr>
            </w:pPr>
            <w:r>
              <w:rPr>
                <w:rFonts w:ascii="Times New Roman" w:hAnsi="Times New Roman"/>
                <w:sz w:val="20"/>
                <w:szCs w:val="20"/>
              </w:rPr>
              <w:t>Coastal plain sand</w:t>
            </w:r>
          </w:p>
        </w:tc>
        <w:tc>
          <w:tcPr>
            <w:tcW w:w="1777"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Ubomori</w:t>
            </w:r>
          </w:p>
        </w:tc>
        <w:tc>
          <w:tcPr>
            <w:tcW w:w="1643"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Owerri West</w:t>
            </w:r>
          </w:p>
        </w:tc>
        <w:tc>
          <w:tcPr>
            <w:tcW w:w="1260" w:type="dxa"/>
          </w:tcPr>
          <w:p w:rsidR="00C5728C" w:rsidRDefault="001A6566">
            <w:pPr>
              <w:spacing w:after="0"/>
              <w:jc w:val="both"/>
              <w:rPr>
                <w:rFonts w:ascii="Times New Roman" w:hAnsi="Times New Roman"/>
                <w:sz w:val="20"/>
                <w:szCs w:val="20"/>
              </w:rPr>
            </w:pPr>
            <w:r>
              <w:rPr>
                <w:rFonts w:ascii="Times New Roman" w:hAnsi="Times New Roman"/>
                <w:sz w:val="20"/>
                <w:szCs w:val="20"/>
              </w:rPr>
              <w:t>Imo</w:t>
            </w:r>
          </w:p>
        </w:tc>
        <w:tc>
          <w:tcPr>
            <w:tcW w:w="108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5.29324</w:t>
            </w:r>
          </w:p>
        </w:tc>
        <w:tc>
          <w:tcPr>
            <w:tcW w:w="1260" w:type="dxa"/>
            <w:vAlign w:val="center"/>
          </w:tcPr>
          <w:p w:rsidR="00C5728C" w:rsidRDefault="001A656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7.08316</w:t>
            </w:r>
          </w:p>
        </w:tc>
        <w:tc>
          <w:tcPr>
            <w:tcW w:w="2610" w:type="dxa"/>
          </w:tcPr>
          <w:p w:rsidR="00C5728C" w:rsidRDefault="001A6566">
            <w:pPr>
              <w:spacing w:after="0"/>
              <w:jc w:val="both"/>
              <w:rPr>
                <w:rFonts w:ascii="Times New Roman" w:hAnsi="Times New Roman"/>
                <w:sz w:val="20"/>
                <w:szCs w:val="20"/>
              </w:rPr>
            </w:pPr>
            <w:r>
              <w:rPr>
                <w:rFonts w:ascii="Times New Roman" w:hAnsi="Times New Roman"/>
                <w:sz w:val="20"/>
                <w:szCs w:val="20"/>
              </w:rPr>
              <w:t>Maize, okro and oil palm</w:t>
            </w:r>
          </w:p>
        </w:tc>
      </w:tr>
      <w:tr w:rsidR="00C5728C">
        <w:tc>
          <w:tcPr>
            <w:tcW w:w="1890" w:type="dxa"/>
          </w:tcPr>
          <w:p w:rsidR="00C5728C" w:rsidRDefault="001A6566">
            <w:pPr>
              <w:spacing w:after="0"/>
              <w:jc w:val="both"/>
              <w:rPr>
                <w:rFonts w:ascii="Times New Roman" w:hAnsi="Times New Roman"/>
                <w:sz w:val="20"/>
                <w:szCs w:val="20"/>
              </w:rPr>
            </w:pPr>
            <w:r>
              <w:rPr>
                <w:rFonts w:ascii="Times New Roman" w:hAnsi="Times New Roman"/>
                <w:sz w:val="20"/>
                <w:szCs w:val="20"/>
              </w:rPr>
              <w:t>Sandstone</w:t>
            </w:r>
          </w:p>
        </w:tc>
        <w:tc>
          <w:tcPr>
            <w:tcW w:w="1777"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 xml:space="preserve">Univ.Rd </w:t>
            </w:r>
            <w:r>
              <w:rPr>
                <w:rFonts w:ascii="Times New Roman" w:eastAsia="Times New Roman" w:hAnsi="Times New Roman"/>
                <w:color w:val="000000"/>
                <w:sz w:val="20"/>
                <w:szCs w:val="20"/>
              </w:rPr>
              <w:t>Nsukka</w:t>
            </w:r>
          </w:p>
        </w:tc>
        <w:tc>
          <w:tcPr>
            <w:tcW w:w="1643"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Nsukka</w:t>
            </w:r>
          </w:p>
        </w:tc>
        <w:tc>
          <w:tcPr>
            <w:tcW w:w="1260" w:type="dxa"/>
          </w:tcPr>
          <w:p w:rsidR="00C5728C" w:rsidRDefault="001A6566">
            <w:pPr>
              <w:spacing w:after="0"/>
              <w:jc w:val="both"/>
              <w:rPr>
                <w:rFonts w:ascii="Times New Roman" w:hAnsi="Times New Roman"/>
                <w:sz w:val="20"/>
                <w:szCs w:val="20"/>
              </w:rPr>
            </w:pPr>
            <w:r>
              <w:rPr>
                <w:rFonts w:ascii="Times New Roman" w:hAnsi="Times New Roman"/>
                <w:sz w:val="20"/>
                <w:szCs w:val="20"/>
              </w:rPr>
              <w:t>Enugu</w:t>
            </w:r>
          </w:p>
        </w:tc>
        <w:tc>
          <w:tcPr>
            <w:tcW w:w="108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6.85333</w:t>
            </w:r>
          </w:p>
        </w:tc>
        <w:tc>
          <w:tcPr>
            <w:tcW w:w="126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7.39361</w:t>
            </w:r>
          </w:p>
        </w:tc>
        <w:tc>
          <w:tcPr>
            <w:tcW w:w="2610" w:type="dxa"/>
          </w:tcPr>
          <w:p w:rsidR="00C5728C" w:rsidRDefault="001A6566">
            <w:pPr>
              <w:spacing w:after="0"/>
              <w:jc w:val="both"/>
              <w:rPr>
                <w:rFonts w:ascii="Times New Roman" w:hAnsi="Times New Roman"/>
                <w:sz w:val="20"/>
                <w:szCs w:val="20"/>
              </w:rPr>
            </w:pPr>
            <w:r>
              <w:rPr>
                <w:rFonts w:ascii="Times New Roman" w:hAnsi="Times New Roman"/>
                <w:bCs/>
                <w:sz w:val="20"/>
                <w:szCs w:val="20"/>
              </w:rPr>
              <w:t>Cassava, plaintain and pear</w:t>
            </w:r>
          </w:p>
        </w:tc>
      </w:tr>
      <w:tr w:rsidR="00C5728C">
        <w:tc>
          <w:tcPr>
            <w:tcW w:w="1890" w:type="dxa"/>
          </w:tcPr>
          <w:p w:rsidR="00C5728C" w:rsidRDefault="001A6566">
            <w:pPr>
              <w:spacing w:after="0"/>
              <w:jc w:val="both"/>
              <w:rPr>
                <w:rFonts w:ascii="Times New Roman" w:hAnsi="Times New Roman"/>
                <w:sz w:val="20"/>
                <w:szCs w:val="20"/>
              </w:rPr>
            </w:pPr>
            <w:r>
              <w:rPr>
                <w:rFonts w:ascii="Times New Roman" w:hAnsi="Times New Roman"/>
                <w:sz w:val="20"/>
                <w:szCs w:val="20"/>
              </w:rPr>
              <w:t>Sandstone</w:t>
            </w:r>
          </w:p>
        </w:tc>
        <w:tc>
          <w:tcPr>
            <w:tcW w:w="1777"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Amankwo</w:t>
            </w:r>
          </w:p>
        </w:tc>
        <w:tc>
          <w:tcPr>
            <w:tcW w:w="1643"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Udi</w:t>
            </w:r>
          </w:p>
        </w:tc>
        <w:tc>
          <w:tcPr>
            <w:tcW w:w="1260" w:type="dxa"/>
          </w:tcPr>
          <w:p w:rsidR="00C5728C" w:rsidRDefault="001A6566">
            <w:pPr>
              <w:spacing w:after="0"/>
              <w:jc w:val="both"/>
              <w:rPr>
                <w:rFonts w:ascii="Times New Roman" w:hAnsi="Times New Roman"/>
                <w:sz w:val="20"/>
                <w:szCs w:val="20"/>
              </w:rPr>
            </w:pPr>
            <w:r>
              <w:rPr>
                <w:rFonts w:ascii="Times New Roman" w:hAnsi="Times New Roman"/>
                <w:sz w:val="20"/>
                <w:szCs w:val="20"/>
              </w:rPr>
              <w:t>Enugu</w:t>
            </w:r>
          </w:p>
        </w:tc>
        <w:tc>
          <w:tcPr>
            <w:tcW w:w="108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6.47516</w:t>
            </w:r>
          </w:p>
        </w:tc>
        <w:tc>
          <w:tcPr>
            <w:tcW w:w="1260" w:type="dxa"/>
          </w:tcPr>
          <w:p w:rsidR="00C5728C" w:rsidRDefault="001A656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7.25502</w:t>
            </w:r>
          </w:p>
        </w:tc>
        <w:tc>
          <w:tcPr>
            <w:tcW w:w="2610" w:type="dxa"/>
          </w:tcPr>
          <w:p w:rsidR="00C5728C" w:rsidRDefault="001A6566">
            <w:pPr>
              <w:spacing w:after="0"/>
              <w:jc w:val="both"/>
              <w:rPr>
                <w:rFonts w:ascii="Times New Roman" w:hAnsi="Times New Roman"/>
                <w:sz w:val="20"/>
                <w:szCs w:val="20"/>
              </w:rPr>
            </w:pPr>
            <w:r>
              <w:rPr>
                <w:rFonts w:ascii="Times New Roman" w:hAnsi="Times New Roman"/>
                <w:bCs/>
                <w:sz w:val="20"/>
                <w:szCs w:val="20"/>
              </w:rPr>
              <w:t>Cassava</w:t>
            </w:r>
          </w:p>
        </w:tc>
      </w:tr>
      <w:tr w:rsidR="00C5728C">
        <w:tc>
          <w:tcPr>
            <w:tcW w:w="1890" w:type="dxa"/>
          </w:tcPr>
          <w:p w:rsidR="00C5728C" w:rsidRDefault="001A6566">
            <w:pPr>
              <w:spacing w:after="0"/>
              <w:jc w:val="both"/>
              <w:rPr>
                <w:rFonts w:ascii="Times New Roman" w:hAnsi="Times New Roman"/>
                <w:sz w:val="20"/>
                <w:szCs w:val="20"/>
              </w:rPr>
            </w:pPr>
            <w:r>
              <w:rPr>
                <w:rFonts w:ascii="Times New Roman" w:hAnsi="Times New Roman"/>
                <w:sz w:val="20"/>
                <w:szCs w:val="20"/>
              </w:rPr>
              <w:t>Sandstone</w:t>
            </w:r>
          </w:p>
        </w:tc>
        <w:tc>
          <w:tcPr>
            <w:tcW w:w="1777"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Ndiagu</w:t>
            </w:r>
          </w:p>
        </w:tc>
        <w:tc>
          <w:tcPr>
            <w:tcW w:w="1643"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Eze agu</w:t>
            </w:r>
          </w:p>
        </w:tc>
        <w:tc>
          <w:tcPr>
            <w:tcW w:w="1260" w:type="dxa"/>
          </w:tcPr>
          <w:p w:rsidR="00C5728C" w:rsidRDefault="001A6566">
            <w:pPr>
              <w:spacing w:after="0"/>
              <w:jc w:val="both"/>
              <w:rPr>
                <w:rFonts w:ascii="Times New Roman" w:hAnsi="Times New Roman"/>
                <w:sz w:val="20"/>
                <w:szCs w:val="20"/>
              </w:rPr>
            </w:pPr>
            <w:r>
              <w:rPr>
                <w:rFonts w:ascii="Times New Roman" w:hAnsi="Times New Roman"/>
                <w:sz w:val="20"/>
                <w:szCs w:val="20"/>
              </w:rPr>
              <w:t>Enugu</w:t>
            </w:r>
          </w:p>
        </w:tc>
        <w:tc>
          <w:tcPr>
            <w:tcW w:w="108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6.30524</w:t>
            </w:r>
          </w:p>
        </w:tc>
        <w:tc>
          <w:tcPr>
            <w:tcW w:w="1260" w:type="dxa"/>
          </w:tcPr>
          <w:p w:rsidR="00C5728C" w:rsidRDefault="001A656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7.21511</w:t>
            </w:r>
          </w:p>
        </w:tc>
        <w:tc>
          <w:tcPr>
            <w:tcW w:w="2610" w:type="dxa"/>
          </w:tcPr>
          <w:p w:rsidR="00C5728C" w:rsidRDefault="001A6566">
            <w:pPr>
              <w:spacing w:after="0"/>
              <w:jc w:val="both"/>
              <w:rPr>
                <w:rFonts w:ascii="Times New Roman" w:hAnsi="Times New Roman"/>
                <w:sz w:val="20"/>
                <w:szCs w:val="20"/>
              </w:rPr>
            </w:pPr>
            <w:r>
              <w:rPr>
                <w:rFonts w:ascii="Times New Roman" w:hAnsi="Times New Roman"/>
                <w:bCs/>
                <w:sz w:val="20"/>
                <w:szCs w:val="20"/>
              </w:rPr>
              <w:t>Fallow</w:t>
            </w:r>
          </w:p>
        </w:tc>
      </w:tr>
      <w:tr w:rsidR="00C5728C">
        <w:tc>
          <w:tcPr>
            <w:tcW w:w="1890" w:type="dxa"/>
          </w:tcPr>
          <w:p w:rsidR="00C5728C" w:rsidRDefault="001A6566">
            <w:pPr>
              <w:spacing w:after="0"/>
              <w:jc w:val="both"/>
              <w:rPr>
                <w:rFonts w:ascii="Times New Roman" w:hAnsi="Times New Roman"/>
                <w:sz w:val="20"/>
                <w:szCs w:val="20"/>
              </w:rPr>
            </w:pPr>
            <w:r>
              <w:rPr>
                <w:rFonts w:ascii="Times New Roman" w:hAnsi="Times New Roman"/>
                <w:sz w:val="20"/>
                <w:szCs w:val="20"/>
              </w:rPr>
              <w:t>Shale</w:t>
            </w:r>
          </w:p>
        </w:tc>
        <w:tc>
          <w:tcPr>
            <w:tcW w:w="1777" w:type="dxa"/>
            <w:vAlign w:val="center"/>
          </w:tcPr>
          <w:p w:rsidR="00C5728C" w:rsidRDefault="001A656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Ngbo</w:t>
            </w:r>
          </w:p>
        </w:tc>
        <w:tc>
          <w:tcPr>
            <w:tcW w:w="1643"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Ohaukwu</w:t>
            </w:r>
          </w:p>
        </w:tc>
        <w:tc>
          <w:tcPr>
            <w:tcW w:w="1260" w:type="dxa"/>
          </w:tcPr>
          <w:p w:rsidR="00C5728C" w:rsidRDefault="001A6566">
            <w:pPr>
              <w:spacing w:after="0"/>
              <w:jc w:val="both"/>
              <w:rPr>
                <w:rFonts w:ascii="Times New Roman" w:hAnsi="Times New Roman"/>
                <w:sz w:val="20"/>
                <w:szCs w:val="20"/>
              </w:rPr>
            </w:pPr>
            <w:r>
              <w:rPr>
                <w:rFonts w:ascii="Times New Roman" w:hAnsi="Times New Roman"/>
                <w:sz w:val="20"/>
                <w:szCs w:val="20"/>
              </w:rPr>
              <w:t>Ebonyi</w:t>
            </w:r>
          </w:p>
        </w:tc>
        <w:tc>
          <w:tcPr>
            <w:tcW w:w="108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6.46722</w:t>
            </w:r>
          </w:p>
        </w:tc>
        <w:tc>
          <w:tcPr>
            <w:tcW w:w="1260" w:type="dxa"/>
          </w:tcPr>
          <w:p w:rsidR="00C5728C" w:rsidRDefault="001A656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7.99417</w:t>
            </w:r>
          </w:p>
        </w:tc>
        <w:tc>
          <w:tcPr>
            <w:tcW w:w="2610" w:type="dxa"/>
          </w:tcPr>
          <w:p w:rsidR="00C5728C" w:rsidRDefault="001A6566">
            <w:pPr>
              <w:spacing w:after="0"/>
              <w:jc w:val="both"/>
              <w:rPr>
                <w:rFonts w:ascii="Times New Roman" w:hAnsi="Times New Roman"/>
                <w:sz w:val="20"/>
                <w:szCs w:val="20"/>
              </w:rPr>
            </w:pPr>
            <w:r>
              <w:rPr>
                <w:rFonts w:ascii="Times New Roman" w:hAnsi="Times New Roman"/>
                <w:bCs/>
                <w:sz w:val="20"/>
                <w:szCs w:val="20"/>
              </w:rPr>
              <w:t>Fallow</w:t>
            </w:r>
          </w:p>
        </w:tc>
      </w:tr>
      <w:tr w:rsidR="00C5728C">
        <w:tc>
          <w:tcPr>
            <w:tcW w:w="1890" w:type="dxa"/>
          </w:tcPr>
          <w:p w:rsidR="00C5728C" w:rsidRDefault="001A6566">
            <w:pPr>
              <w:spacing w:after="0"/>
              <w:jc w:val="both"/>
              <w:rPr>
                <w:rFonts w:ascii="Times New Roman" w:hAnsi="Times New Roman"/>
                <w:sz w:val="20"/>
                <w:szCs w:val="20"/>
              </w:rPr>
            </w:pPr>
            <w:r>
              <w:rPr>
                <w:rFonts w:ascii="Times New Roman" w:hAnsi="Times New Roman"/>
                <w:sz w:val="20"/>
                <w:szCs w:val="20"/>
              </w:rPr>
              <w:t>Shale</w:t>
            </w:r>
          </w:p>
        </w:tc>
        <w:tc>
          <w:tcPr>
            <w:tcW w:w="1777"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Osebi</w:t>
            </w:r>
          </w:p>
        </w:tc>
        <w:tc>
          <w:tcPr>
            <w:tcW w:w="1643"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Izzi</w:t>
            </w:r>
          </w:p>
        </w:tc>
        <w:tc>
          <w:tcPr>
            <w:tcW w:w="1260" w:type="dxa"/>
          </w:tcPr>
          <w:p w:rsidR="00C5728C" w:rsidRDefault="001A6566">
            <w:pPr>
              <w:spacing w:after="0"/>
              <w:jc w:val="both"/>
              <w:rPr>
                <w:rFonts w:ascii="Times New Roman" w:hAnsi="Times New Roman"/>
                <w:sz w:val="20"/>
                <w:szCs w:val="20"/>
              </w:rPr>
            </w:pPr>
            <w:r>
              <w:rPr>
                <w:rFonts w:ascii="Times New Roman" w:hAnsi="Times New Roman"/>
                <w:sz w:val="20"/>
                <w:szCs w:val="20"/>
              </w:rPr>
              <w:t>Ebonyi</w:t>
            </w:r>
          </w:p>
        </w:tc>
        <w:tc>
          <w:tcPr>
            <w:tcW w:w="108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6.45305</w:t>
            </w:r>
          </w:p>
        </w:tc>
        <w:tc>
          <w:tcPr>
            <w:tcW w:w="1260" w:type="dxa"/>
          </w:tcPr>
          <w:p w:rsidR="00C5728C" w:rsidRDefault="001A656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8.33226</w:t>
            </w:r>
          </w:p>
        </w:tc>
        <w:tc>
          <w:tcPr>
            <w:tcW w:w="2610" w:type="dxa"/>
          </w:tcPr>
          <w:p w:rsidR="00C5728C" w:rsidRDefault="001A6566">
            <w:pPr>
              <w:spacing w:after="0"/>
              <w:jc w:val="both"/>
              <w:rPr>
                <w:rFonts w:ascii="Times New Roman" w:hAnsi="Times New Roman"/>
                <w:sz w:val="20"/>
                <w:szCs w:val="20"/>
              </w:rPr>
            </w:pPr>
            <w:r>
              <w:rPr>
                <w:rFonts w:ascii="Times New Roman" w:hAnsi="Times New Roman"/>
                <w:bCs/>
                <w:sz w:val="20"/>
                <w:szCs w:val="20"/>
              </w:rPr>
              <w:t>Cassava</w:t>
            </w:r>
          </w:p>
        </w:tc>
      </w:tr>
      <w:tr w:rsidR="00C5728C">
        <w:tc>
          <w:tcPr>
            <w:tcW w:w="1890" w:type="dxa"/>
          </w:tcPr>
          <w:p w:rsidR="00C5728C" w:rsidRDefault="001A6566">
            <w:pPr>
              <w:spacing w:after="0"/>
              <w:jc w:val="both"/>
              <w:rPr>
                <w:rFonts w:ascii="Times New Roman" w:hAnsi="Times New Roman"/>
                <w:sz w:val="20"/>
                <w:szCs w:val="20"/>
              </w:rPr>
            </w:pPr>
            <w:r>
              <w:rPr>
                <w:rFonts w:ascii="Times New Roman" w:hAnsi="Times New Roman"/>
                <w:sz w:val="20"/>
                <w:szCs w:val="20"/>
              </w:rPr>
              <w:t>Shale</w:t>
            </w:r>
          </w:p>
        </w:tc>
        <w:tc>
          <w:tcPr>
            <w:tcW w:w="1777" w:type="dxa"/>
            <w:vAlign w:val="center"/>
          </w:tcPr>
          <w:p w:rsidR="00C5728C" w:rsidRDefault="001A656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Nwafo Ogu</w:t>
            </w:r>
          </w:p>
        </w:tc>
        <w:tc>
          <w:tcPr>
            <w:tcW w:w="1643"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Abakaliki</w:t>
            </w:r>
          </w:p>
        </w:tc>
        <w:tc>
          <w:tcPr>
            <w:tcW w:w="1260" w:type="dxa"/>
          </w:tcPr>
          <w:p w:rsidR="00C5728C" w:rsidRDefault="001A6566">
            <w:pPr>
              <w:spacing w:after="0"/>
              <w:jc w:val="both"/>
              <w:rPr>
                <w:rFonts w:ascii="Times New Roman" w:hAnsi="Times New Roman"/>
                <w:sz w:val="20"/>
                <w:szCs w:val="20"/>
              </w:rPr>
            </w:pPr>
            <w:r>
              <w:rPr>
                <w:rFonts w:ascii="Times New Roman" w:hAnsi="Times New Roman"/>
                <w:sz w:val="20"/>
                <w:szCs w:val="20"/>
              </w:rPr>
              <w:t>Ebonyi</w:t>
            </w:r>
          </w:p>
        </w:tc>
        <w:tc>
          <w:tcPr>
            <w:tcW w:w="108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6.19116</w:t>
            </w:r>
          </w:p>
        </w:tc>
        <w:tc>
          <w:tcPr>
            <w:tcW w:w="1260" w:type="dxa"/>
          </w:tcPr>
          <w:p w:rsidR="00C5728C" w:rsidRDefault="001A656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8.15923</w:t>
            </w:r>
          </w:p>
        </w:tc>
        <w:tc>
          <w:tcPr>
            <w:tcW w:w="2610" w:type="dxa"/>
          </w:tcPr>
          <w:p w:rsidR="00C5728C" w:rsidRDefault="001A6566">
            <w:pPr>
              <w:spacing w:after="0"/>
              <w:jc w:val="both"/>
              <w:rPr>
                <w:rFonts w:ascii="Times New Roman" w:hAnsi="Times New Roman"/>
                <w:sz w:val="20"/>
                <w:szCs w:val="20"/>
              </w:rPr>
            </w:pPr>
            <w:r>
              <w:rPr>
                <w:rFonts w:ascii="Times New Roman" w:hAnsi="Times New Roman"/>
                <w:bCs/>
                <w:sz w:val="20"/>
                <w:szCs w:val="20"/>
              </w:rPr>
              <w:t>Fallow</w:t>
            </w:r>
          </w:p>
        </w:tc>
      </w:tr>
      <w:tr w:rsidR="00C5728C">
        <w:tc>
          <w:tcPr>
            <w:tcW w:w="1890" w:type="dxa"/>
          </w:tcPr>
          <w:p w:rsidR="00C5728C" w:rsidRDefault="001A6566">
            <w:pPr>
              <w:spacing w:after="0"/>
              <w:jc w:val="both"/>
              <w:rPr>
                <w:rFonts w:ascii="Times New Roman" w:hAnsi="Times New Roman"/>
                <w:sz w:val="20"/>
                <w:szCs w:val="20"/>
              </w:rPr>
            </w:pPr>
            <w:r>
              <w:rPr>
                <w:rFonts w:ascii="Times New Roman" w:hAnsi="Times New Roman"/>
                <w:sz w:val="20"/>
                <w:szCs w:val="20"/>
              </w:rPr>
              <w:t>Alluvium</w:t>
            </w:r>
          </w:p>
        </w:tc>
        <w:tc>
          <w:tcPr>
            <w:tcW w:w="1777"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Nzam</w:t>
            </w:r>
          </w:p>
        </w:tc>
        <w:tc>
          <w:tcPr>
            <w:tcW w:w="1643"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Anambra West</w:t>
            </w:r>
          </w:p>
        </w:tc>
        <w:tc>
          <w:tcPr>
            <w:tcW w:w="1260" w:type="dxa"/>
          </w:tcPr>
          <w:p w:rsidR="00C5728C" w:rsidRDefault="001A6566">
            <w:pPr>
              <w:spacing w:after="0"/>
              <w:jc w:val="both"/>
              <w:rPr>
                <w:rFonts w:ascii="Times New Roman" w:hAnsi="Times New Roman"/>
                <w:sz w:val="20"/>
                <w:szCs w:val="20"/>
              </w:rPr>
            </w:pPr>
            <w:r>
              <w:rPr>
                <w:rFonts w:ascii="Times New Roman" w:hAnsi="Times New Roman"/>
                <w:sz w:val="20"/>
                <w:szCs w:val="20"/>
              </w:rPr>
              <w:t>Anambra</w:t>
            </w:r>
          </w:p>
        </w:tc>
        <w:tc>
          <w:tcPr>
            <w:tcW w:w="108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6.45639</w:t>
            </w:r>
          </w:p>
        </w:tc>
        <w:tc>
          <w:tcPr>
            <w:tcW w:w="1260" w:type="dxa"/>
          </w:tcPr>
          <w:p w:rsidR="00C5728C" w:rsidRDefault="001A656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6.72472</w:t>
            </w:r>
          </w:p>
        </w:tc>
        <w:tc>
          <w:tcPr>
            <w:tcW w:w="2610" w:type="dxa"/>
          </w:tcPr>
          <w:p w:rsidR="00C5728C" w:rsidRDefault="001A6566">
            <w:pPr>
              <w:spacing w:after="0"/>
              <w:jc w:val="both"/>
              <w:rPr>
                <w:rFonts w:ascii="Times New Roman" w:hAnsi="Times New Roman"/>
                <w:sz w:val="20"/>
                <w:szCs w:val="20"/>
              </w:rPr>
            </w:pPr>
            <w:r>
              <w:rPr>
                <w:rFonts w:ascii="Times New Roman" w:hAnsi="Times New Roman"/>
                <w:bCs/>
                <w:sz w:val="20"/>
                <w:szCs w:val="20"/>
              </w:rPr>
              <w:t xml:space="preserve">Fallow </w:t>
            </w:r>
          </w:p>
        </w:tc>
      </w:tr>
      <w:tr w:rsidR="00C5728C">
        <w:tc>
          <w:tcPr>
            <w:tcW w:w="1890" w:type="dxa"/>
          </w:tcPr>
          <w:p w:rsidR="00C5728C" w:rsidRDefault="001A6566">
            <w:pPr>
              <w:spacing w:after="0"/>
              <w:jc w:val="both"/>
              <w:rPr>
                <w:rFonts w:ascii="Times New Roman" w:hAnsi="Times New Roman"/>
                <w:sz w:val="20"/>
                <w:szCs w:val="20"/>
              </w:rPr>
            </w:pPr>
            <w:r>
              <w:rPr>
                <w:rFonts w:ascii="Times New Roman" w:hAnsi="Times New Roman"/>
                <w:sz w:val="20"/>
                <w:szCs w:val="20"/>
              </w:rPr>
              <w:t>Alluvium</w:t>
            </w:r>
          </w:p>
        </w:tc>
        <w:tc>
          <w:tcPr>
            <w:tcW w:w="1777"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Onono</w:t>
            </w:r>
          </w:p>
        </w:tc>
        <w:tc>
          <w:tcPr>
            <w:tcW w:w="1643"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Anambra East</w:t>
            </w:r>
          </w:p>
        </w:tc>
        <w:tc>
          <w:tcPr>
            <w:tcW w:w="1260" w:type="dxa"/>
          </w:tcPr>
          <w:p w:rsidR="00C5728C" w:rsidRDefault="001A6566">
            <w:pPr>
              <w:spacing w:after="0"/>
              <w:jc w:val="both"/>
              <w:rPr>
                <w:rFonts w:ascii="Times New Roman" w:hAnsi="Times New Roman"/>
                <w:sz w:val="20"/>
                <w:szCs w:val="20"/>
              </w:rPr>
            </w:pPr>
            <w:r>
              <w:rPr>
                <w:rFonts w:ascii="Times New Roman" w:hAnsi="Times New Roman"/>
                <w:sz w:val="20"/>
                <w:szCs w:val="20"/>
              </w:rPr>
              <w:t>Anambra</w:t>
            </w:r>
          </w:p>
        </w:tc>
        <w:tc>
          <w:tcPr>
            <w:tcW w:w="108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6.21731</w:t>
            </w:r>
          </w:p>
        </w:tc>
        <w:tc>
          <w:tcPr>
            <w:tcW w:w="1260" w:type="dxa"/>
          </w:tcPr>
          <w:p w:rsidR="00C5728C" w:rsidRDefault="001A656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6.78621</w:t>
            </w:r>
          </w:p>
        </w:tc>
        <w:tc>
          <w:tcPr>
            <w:tcW w:w="2610" w:type="dxa"/>
          </w:tcPr>
          <w:p w:rsidR="00C5728C" w:rsidRDefault="001A6566">
            <w:pPr>
              <w:spacing w:after="0"/>
              <w:jc w:val="both"/>
              <w:rPr>
                <w:rFonts w:ascii="Times New Roman" w:hAnsi="Times New Roman"/>
                <w:sz w:val="20"/>
                <w:szCs w:val="20"/>
              </w:rPr>
            </w:pPr>
            <w:r>
              <w:rPr>
                <w:rFonts w:ascii="Times New Roman" w:hAnsi="Times New Roman"/>
                <w:bCs/>
                <w:sz w:val="20"/>
                <w:szCs w:val="20"/>
              </w:rPr>
              <w:t>Yam, pear, and plantain</w:t>
            </w:r>
          </w:p>
        </w:tc>
      </w:tr>
      <w:tr w:rsidR="00C5728C">
        <w:tc>
          <w:tcPr>
            <w:tcW w:w="1890" w:type="dxa"/>
          </w:tcPr>
          <w:p w:rsidR="00C5728C" w:rsidRDefault="001A6566">
            <w:pPr>
              <w:spacing w:after="0"/>
              <w:jc w:val="both"/>
              <w:rPr>
                <w:rFonts w:ascii="Times New Roman" w:hAnsi="Times New Roman"/>
                <w:sz w:val="20"/>
                <w:szCs w:val="20"/>
              </w:rPr>
            </w:pPr>
            <w:r>
              <w:rPr>
                <w:rFonts w:ascii="Times New Roman" w:hAnsi="Times New Roman"/>
                <w:sz w:val="20"/>
                <w:szCs w:val="20"/>
              </w:rPr>
              <w:t>Alluvium</w:t>
            </w:r>
          </w:p>
        </w:tc>
        <w:tc>
          <w:tcPr>
            <w:tcW w:w="1777"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Umunankwo</w:t>
            </w:r>
          </w:p>
        </w:tc>
        <w:tc>
          <w:tcPr>
            <w:tcW w:w="1643"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Ogbaru</w:t>
            </w:r>
          </w:p>
        </w:tc>
        <w:tc>
          <w:tcPr>
            <w:tcW w:w="1260" w:type="dxa"/>
          </w:tcPr>
          <w:p w:rsidR="00C5728C" w:rsidRDefault="001A6566">
            <w:pPr>
              <w:spacing w:after="0"/>
              <w:jc w:val="both"/>
              <w:rPr>
                <w:rFonts w:ascii="Times New Roman" w:hAnsi="Times New Roman"/>
                <w:sz w:val="20"/>
                <w:szCs w:val="20"/>
              </w:rPr>
            </w:pPr>
            <w:r>
              <w:rPr>
                <w:rFonts w:ascii="Times New Roman" w:hAnsi="Times New Roman"/>
                <w:sz w:val="20"/>
                <w:szCs w:val="20"/>
              </w:rPr>
              <w:t>Anambra</w:t>
            </w:r>
          </w:p>
        </w:tc>
        <w:tc>
          <w:tcPr>
            <w:tcW w:w="108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5.93416</w:t>
            </w:r>
          </w:p>
        </w:tc>
        <w:tc>
          <w:tcPr>
            <w:tcW w:w="1260" w:type="dxa"/>
          </w:tcPr>
          <w:p w:rsidR="00C5728C" w:rsidRDefault="001A656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6.72904</w:t>
            </w:r>
          </w:p>
        </w:tc>
        <w:tc>
          <w:tcPr>
            <w:tcW w:w="2610" w:type="dxa"/>
          </w:tcPr>
          <w:p w:rsidR="00C5728C" w:rsidRDefault="001A6566">
            <w:pPr>
              <w:spacing w:after="0"/>
              <w:jc w:val="both"/>
              <w:rPr>
                <w:rFonts w:ascii="Times New Roman" w:hAnsi="Times New Roman"/>
                <w:sz w:val="20"/>
                <w:szCs w:val="20"/>
              </w:rPr>
            </w:pPr>
            <w:r>
              <w:rPr>
                <w:rFonts w:ascii="Times New Roman" w:hAnsi="Times New Roman"/>
                <w:bCs/>
                <w:sz w:val="20"/>
                <w:szCs w:val="20"/>
              </w:rPr>
              <w:t>Cassava and oilpalm</w:t>
            </w:r>
          </w:p>
        </w:tc>
      </w:tr>
      <w:tr w:rsidR="00C5728C">
        <w:tc>
          <w:tcPr>
            <w:tcW w:w="1890" w:type="dxa"/>
          </w:tcPr>
          <w:p w:rsidR="00C5728C" w:rsidRDefault="001A6566">
            <w:pPr>
              <w:spacing w:after="0"/>
              <w:jc w:val="both"/>
              <w:rPr>
                <w:rFonts w:ascii="Times New Roman" w:hAnsi="Times New Roman"/>
                <w:sz w:val="20"/>
                <w:szCs w:val="20"/>
              </w:rPr>
            </w:pPr>
            <w:r>
              <w:rPr>
                <w:rFonts w:ascii="Times New Roman" w:hAnsi="Times New Roman"/>
                <w:sz w:val="20"/>
                <w:szCs w:val="20"/>
              </w:rPr>
              <w:t>Basement Complex</w:t>
            </w:r>
          </w:p>
        </w:tc>
        <w:tc>
          <w:tcPr>
            <w:tcW w:w="1777"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Awi</w:t>
            </w:r>
          </w:p>
        </w:tc>
        <w:tc>
          <w:tcPr>
            <w:tcW w:w="1643"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Akampa</w:t>
            </w:r>
          </w:p>
        </w:tc>
        <w:tc>
          <w:tcPr>
            <w:tcW w:w="1260" w:type="dxa"/>
          </w:tcPr>
          <w:p w:rsidR="00C5728C" w:rsidRDefault="001A6566">
            <w:pPr>
              <w:spacing w:after="0"/>
              <w:jc w:val="both"/>
              <w:rPr>
                <w:rFonts w:ascii="Times New Roman" w:hAnsi="Times New Roman"/>
                <w:sz w:val="20"/>
                <w:szCs w:val="20"/>
              </w:rPr>
            </w:pPr>
            <w:r>
              <w:rPr>
                <w:rFonts w:ascii="Times New Roman" w:hAnsi="Times New Roman"/>
                <w:sz w:val="20"/>
                <w:szCs w:val="20"/>
              </w:rPr>
              <w:t>Cross-River</w:t>
            </w:r>
          </w:p>
        </w:tc>
        <w:tc>
          <w:tcPr>
            <w:tcW w:w="108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5.30361</w:t>
            </w:r>
          </w:p>
        </w:tc>
        <w:tc>
          <w:tcPr>
            <w:tcW w:w="1260" w:type="dxa"/>
          </w:tcPr>
          <w:p w:rsidR="00C5728C" w:rsidRDefault="001A656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8.36455</w:t>
            </w:r>
          </w:p>
        </w:tc>
        <w:tc>
          <w:tcPr>
            <w:tcW w:w="2610" w:type="dxa"/>
          </w:tcPr>
          <w:p w:rsidR="00C5728C" w:rsidRDefault="001A6566">
            <w:pPr>
              <w:spacing w:after="0"/>
              <w:jc w:val="both"/>
              <w:rPr>
                <w:rFonts w:ascii="Times New Roman" w:hAnsi="Times New Roman"/>
                <w:sz w:val="20"/>
                <w:szCs w:val="20"/>
              </w:rPr>
            </w:pPr>
            <w:r>
              <w:rPr>
                <w:rFonts w:ascii="Times New Roman" w:hAnsi="Times New Roman"/>
                <w:bCs/>
                <w:sz w:val="20"/>
                <w:szCs w:val="20"/>
              </w:rPr>
              <w:t>Cassava</w:t>
            </w:r>
          </w:p>
        </w:tc>
      </w:tr>
      <w:tr w:rsidR="00C5728C">
        <w:tc>
          <w:tcPr>
            <w:tcW w:w="1890" w:type="dxa"/>
          </w:tcPr>
          <w:p w:rsidR="00C5728C" w:rsidRDefault="001A6566">
            <w:pPr>
              <w:spacing w:after="0"/>
              <w:jc w:val="both"/>
              <w:rPr>
                <w:rFonts w:ascii="Times New Roman" w:hAnsi="Times New Roman"/>
                <w:sz w:val="20"/>
                <w:szCs w:val="20"/>
              </w:rPr>
            </w:pPr>
            <w:r>
              <w:rPr>
                <w:rFonts w:ascii="Times New Roman" w:hAnsi="Times New Roman"/>
                <w:sz w:val="20"/>
                <w:szCs w:val="20"/>
              </w:rPr>
              <w:t>Basement Complex</w:t>
            </w:r>
          </w:p>
        </w:tc>
        <w:tc>
          <w:tcPr>
            <w:tcW w:w="1777"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Ibine</w:t>
            </w:r>
          </w:p>
        </w:tc>
        <w:tc>
          <w:tcPr>
            <w:tcW w:w="1643"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Ikom</w:t>
            </w:r>
          </w:p>
        </w:tc>
        <w:tc>
          <w:tcPr>
            <w:tcW w:w="1260" w:type="dxa"/>
          </w:tcPr>
          <w:p w:rsidR="00C5728C" w:rsidRDefault="001A6566">
            <w:pPr>
              <w:spacing w:after="0"/>
              <w:jc w:val="both"/>
              <w:rPr>
                <w:rFonts w:ascii="Times New Roman" w:hAnsi="Times New Roman"/>
                <w:sz w:val="20"/>
                <w:szCs w:val="20"/>
              </w:rPr>
            </w:pPr>
            <w:r>
              <w:rPr>
                <w:rFonts w:ascii="Times New Roman" w:hAnsi="Times New Roman"/>
                <w:sz w:val="20"/>
                <w:szCs w:val="20"/>
              </w:rPr>
              <w:t>Cross-River</w:t>
            </w:r>
          </w:p>
        </w:tc>
        <w:tc>
          <w:tcPr>
            <w:tcW w:w="108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6.20702</w:t>
            </w:r>
          </w:p>
        </w:tc>
        <w:tc>
          <w:tcPr>
            <w:tcW w:w="1260" w:type="dxa"/>
          </w:tcPr>
          <w:p w:rsidR="00C5728C" w:rsidRDefault="001A656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8.65921</w:t>
            </w:r>
          </w:p>
        </w:tc>
        <w:tc>
          <w:tcPr>
            <w:tcW w:w="2610" w:type="dxa"/>
          </w:tcPr>
          <w:p w:rsidR="00C5728C" w:rsidRDefault="001A6566">
            <w:pPr>
              <w:spacing w:after="0"/>
              <w:jc w:val="both"/>
              <w:rPr>
                <w:rFonts w:ascii="Times New Roman" w:hAnsi="Times New Roman"/>
                <w:sz w:val="20"/>
                <w:szCs w:val="20"/>
              </w:rPr>
            </w:pPr>
            <w:r>
              <w:rPr>
                <w:rFonts w:ascii="Times New Roman" w:hAnsi="Times New Roman"/>
                <w:bCs/>
                <w:sz w:val="20"/>
                <w:szCs w:val="20"/>
              </w:rPr>
              <w:t>Cocoyam and pumpkin</w:t>
            </w:r>
          </w:p>
        </w:tc>
      </w:tr>
      <w:tr w:rsidR="00C5728C">
        <w:tc>
          <w:tcPr>
            <w:tcW w:w="1890" w:type="dxa"/>
          </w:tcPr>
          <w:p w:rsidR="00C5728C" w:rsidRDefault="001A6566">
            <w:pPr>
              <w:spacing w:after="0"/>
              <w:jc w:val="both"/>
              <w:rPr>
                <w:rFonts w:ascii="Times New Roman" w:hAnsi="Times New Roman"/>
                <w:sz w:val="20"/>
                <w:szCs w:val="20"/>
              </w:rPr>
            </w:pPr>
            <w:r>
              <w:rPr>
                <w:rFonts w:ascii="Times New Roman" w:hAnsi="Times New Roman"/>
                <w:sz w:val="20"/>
                <w:szCs w:val="20"/>
              </w:rPr>
              <w:t>Basement Complex</w:t>
            </w:r>
          </w:p>
        </w:tc>
        <w:tc>
          <w:tcPr>
            <w:tcW w:w="1777"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Abinti Abangork</w:t>
            </w:r>
          </w:p>
        </w:tc>
        <w:tc>
          <w:tcPr>
            <w:tcW w:w="1643"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Obubra</w:t>
            </w:r>
          </w:p>
        </w:tc>
        <w:tc>
          <w:tcPr>
            <w:tcW w:w="1260" w:type="dxa"/>
          </w:tcPr>
          <w:p w:rsidR="00C5728C" w:rsidRDefault="001A6566">
            <w:pPr>
              <w:spacing w:after="0"/>
              <w:jc w:val="both"/>
              <w:rPr>
                <w:rFonts w:ascii="Times New Roman" w:hAnsi="Times New Roman"/>
                <w:sz w:val="20"/>
                <w:szCs w:val="20"/>
              </w:rPr>
            </w:pPr>
            <w:r>
              <w:rPr>
                <w:rFonts w:ascii="Times New Roman" w:hAnsi="Times New Roman"/>
                <w:sz w:val="20"/>
                <w:szCs w:val="20"/>
              </w:rPr>
              <w:t>Cross-River</w:t>
            </w:r>
          </w:p>
        </w:tc>
        <w:tc>
          <w:tcPr>
            <w:tcW w:w="1080" w:type="dxa"/>
          </w:tcPr>
          <w:p w:rsidR="00C5728C" w:rsidRDefault="001A6566">
            <w:pPr>
              <w:spacing w:after="0"/>
              <w:jc w:val="both"/>
              <w:rPr>
                <w:rFonts w:ascii="Times New Roman" w:hAnsi="Times New Roman"/>
                <w:sz w:val="20"/>
                <w:szCs w:val="20"/>
              </w:rPr>
            </w:pPr>
            <w:r>
              <w:rPr>
                <w:rFonts w:ascii="Times New Roman" w:eastAsia="Times New Roman" w:hAnsi="Times New Roman"/>
                <w:color w:val="000000"/>
                <w:sz w:val="20"/>
                <w:szCs w:val="20"/>
              </w:rPr>
              <w:t>5.94102</w:t>
            </w:r>
          </w:p>
        </w:tc>
        <w:tc>
          <w:tcPr>
            <w:tcW w:w="1260" w:type="dxa"/>
          </w:tcPr>
          <w:p w:rsidR="00C5728C" w:rsidRDefault="001A6566">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8.25218</w:t>
            </w:r>
          </w:p>
        </w:tc>
        <w:tc>
          <w:tcPr>
            <w:tcW w:w="2610" w:type="dxa"/>
          </w:tcPr>
          <w:p w:rsidR="00C5728C" w:rsidRDefault="001A6566">
            <w:pPr>
              <w:spacing w:after="0"/>
              <w:jc w:val="both"/>
              <w:rPr>
                <w:rFonts w:ascii="Times New Roman" w:hAnsi="Times New Roman"/>
                <w:sz w:val="20"/>
                <w:szCs w:val="20"/>
              </w:rPr>
            </w:pPr>
            <w:r>
              <w:rPr>
                <w:rFonts w:ascii="Times New Roman" w:hAnsi="Times New Roman"/>
                <w:sz w:val="20"/>
                <w:szCs w:val="20"/>
              </w:rPr>
              <w:t>Fallow</w:t>
            </w:r>
          </w:p>
        </w:tc>
      </w:tr>
    </w:tbl>
    <w:p w:rsidR="00C5728C" w:rsidRDefault="00C5728C">
      <w:pPr>
        <w:spacing w:line="240" w:lineRule="auto"/>
        <w:jc w:val="both"/>
        <w:rPr>
          <w:rFonts w:ascii="Times New Roman" w:hAnsi="Times New Roman"/>
          <w:sz w:val="10"/>
          <w:szCs w:val="24"/>
        </w:rPr>
      </w:pPr>
    </w:p>
    <w:p w:rsidR="00C5728C" w:rsidRDefault="001A6566">
      <w:pPr>
        <w:spacing w:after="0"/>
        <w:jc w:val="both"/>
        <w:rPr>
          <w:rFonts w:ascii="Times New Roman" w:hAnsi="Times New Roman"/>
          <w:b/>
          <w:bCs/>
          <w:sz w:val="24"/>
          <w:szCs w:val="24"/>
        </w:rPr>
      </w:pPr>
      <w:r>
        <w:rPr>
          <w:rFonts w:ascii="Times New Roman" w:hAnsi="Times New Roman"/>
          <w:b/>
          <w:bCs/>
          <w:sz w:val="24"/>
          <w:szCs w:val="24"/>
        </w:rPr>
        <w:t xml:space="preserve">2.3 </w:t>
      </w:r>
      <w:r>
        <w:rPr>
          <w:rFonts w:ascii="Times New Roman" w:hAnsi="Times New Roman"/>
          <w:b/>
          <w:bCs/>
          <w:sz w:val="24"/>
          <w:szCs w:val="24"/>
        </w:rPr>
        <w:t>Experimental Design</w:t>
      </w:r>
    </w:p>
    <w:p w:rsidR="00C5728C" w:rsidRDefault="001A6566">
      <w:pPr>
        <w:jc w:val="both"/>
        <w:rPr>
          <w:rFonts w:ascii="Times New Roman" w:hAnsi="Times New Roman"/>
          <w:sz w:val="24"/>
          <w:szCs w:val="24"/>
        </w:rPr>
      </w:pPr>
      <w:r>
        <w:rPr>
          <w:rFonts w:ascii="Times New Roman" w:hAnsi="Times New Roman"/>
          <w:sz w:val="24"/>
          <w:szCs w:val="24"/>
        </w:rPr>
        <w:t>The study followed a 5×3 factorial design within a Randomized Complete Block Design (RCBD). The factors included parent material type (Coastal plain sand, Alluvium, Shale, Sandstone, Basement complex) and sampling depths (0–20 cm, 20–40</w:t>
      </w:r>
      <w:r>
        <w:rPr>
          <w:rFonts w:ascii="Times New Roman" w:hAnsi="Times New Roman"/>
          <w:sz w:val="24"/>
          <w:szCs w:val="24"/>
        </w:rPr>
        <w:t xml:space="preserve"> cm, 40–60 cm), with three replicates for each combination, resulting in 45 observation units.</w:t>
      </w:r>
    </w:p>
    <w:p w:rsidR="00C5728C" w:rsidRDefault="001A6566">
      <w:pPr>
        <w:jc w:val="both"/>
        <w:rPr>
          <w:rFonts w:ascii="Times New Roman" w:hAnsi="Times New Roman"/>
          <w:b/>
          <w:bCs/>
          <w:sz w:val="24"/>
          <w:szCs w:val="24"/>
        </w:rPr>
      </w:pPr>
      <w:r>
        <w:rPr>
          <w:rFonts w:ascii="Times New Roman" w:hAnsi="Times New Roman"/>
          <w:b/>
          <w:bCs/>
          <w:sz w:val="24"/>
          <w:szCs w:val="24"/>
        </w:rPr>
        <w:t>2.4 Sample Preparation</w:t>
      </w:r>
    </w:p>
    <w:p w:rsidR="00C5728C" w:rsidRDefault="001A6566">
      <w:pPr>
        <w:jc w:val="both"/>
        <w:rPr>
          <w:rFonts w:ascii="Times New Roman" w:hAnsi="Times New Roman"/>
          <w:sz w:val="24"/>
          <w:szCs w:val="24"/>
        </w:rPr>
      </w:pPr>
      <w:r>
        <w:rPr>
          <w:rFonts w:ascii="Times New Roman" w:hAnsi="Times New Roman"/>
          <w:sz w:val="24"/>
          <w:szCs w:val="24"/>
        </w:rPr>
        <w:t>Collected soil samples were air-dried, crushed, and sieved through a 2 mm mesh. The prepared samples were stored appropriately for laboratory analysis of physical and chemical properties and forms of potassium following standard protocols.</w:t>
      </w:r>
    </w:p>
    <w:p w:rsidR="00C5728C" w:rsidRDefault="001A6566">
      <w:pPr>
        <w:jc w:val="both"/>
        <w:rPr>
          <w:rFonts w:ascii="Times New Roman" w:hAnsi="Times New Roman"/>
          <w:sz w:val="24"/>
          <w:szCs w:val="24"/>
        </w:rPr>
      </w:pPr>
      <w:r>
        <w:rPr>
          <w:rFonts w:ascii="Times New Roman" w:hAnsi="Times New Roman"/>
          <w:b/>
          <w:sz w:val="24"/>
          <w:szCs w:val="24"/>
        </w:rPr>
        <w:t>2.5</w:t>
      </w:r>
      <w:r>
        <w:rPr>
          <w:rFonts w:ascii="Times New Roman" w:hAnsi="Times New Roman"/>
          <w:sz w:val="24"/>
          <w:szCs w:val="24"/>
        </w:rPr>
        <w:t xml:space="preserve"> </w:t>
      </w:r>
      <w:r>
        <w:rPr>
          <w:rFonts w:ascii="Times New Roman" w:hAnsi="Times New Roman"/>
          <w:b/>
          <w:bCs/>
          <w:sz w:val="24"/>
          <w:szCs w:val="24"/>
        </w:rPr>
        <w:t>Determination of Physio-Chemical Characteristics of Soil</w:t>
      </w:r>
    </w:p>
    <w:p w:rsidR="00C5728C" w:rsidRDefault="001A6566">
      <w:pPr>
        <w:jc w:val="both"/>
        <w:rPr>
          <w:rFonts w:ascii="Times New Roman" w:hAnsi="Times New Roman"/>
          <w:b/>
          <w:bCs/>
          <w:sz w:val="24"/>
          <w:szCs w:val="24"/>
        </w:rPr>
      </w:pPr>
      <w:r>
        <w:rPr>
          <w:rFonts w:ascii="Times New Roman" w:hAnsi="Times New Roman"/>
          <w:sz w:val="24"/>
          <w:szCs w:val="24"/>
        </w:rPr>
        <w:t>Soil pH (H</w:t>
      </w:r>
      <w:r>
        <w:rPr>
          <w:rFonts w:ascii="Times New Roman" w:hAnsi="Times New Roman"/>
          <w:sz w:val="24"/>
          <w:szCs w:val="24"/>
          <w:vertAlign w:val="subscript"/>
        </w:rPr>
        <w:t>2</w:t>
      </w:r>
      <w:r>
        <w:rPr>
          <w:rFonts w:ascii="Times New Roman" w:hAnsi="Times New Roman"/>
          <w:sz w:val="24"/>
          <w:szCs w:val="24"/>
        </w:rPr>
        <w:t>O) was measured in a 1:2.5 soil-to-water suspension using a calibrated pH meter. The soil texture was determined through standard particle size analysis, following the hydrometer method, t</w:t>
      </w:r>
      <w:r>
        <w:rPr>
          <w:rFonts w:ascii="Times New Roman" w:hAnsi="Times New Roman"/>
          <w:sz w:val="24"/>
          <w:szCs w:val="24"/>
        </w:rPr>
        <w:t>o quantify sand, silt, and clay fractions. The textural class was classified according to the USDA soil textural triangle.</w:t>
      </w:r>
    </w:p>
    <w:p w:rsidR="00C5728C" w:rsidRDefault="001A6566">
      <w:pPr>
        <w:jc w:val="both"/>
        <w:rPr>
          <w:rFonts w:ascii="Times New Roman" w:hAnsi="Times New Roman"/>
          <w:b/>
          <w:bCs/>
          <w:sz w:val="24"/>
          <w:szCs w:val="24"/>
        </w:rPr>
      </w:pPr>
      <w:r>
        <w:rPr>
          <w:rFonts w:ascii="Times New Roman" w:hAnsi="Times New Roman"/>
          <w:sz w:val="24"/>
          <w:szCs w:val="24"/>
        </w:rPr>
        <w:t>Chemical properties were analyzed using standard laboratory procedures. Available phosphorus (P) was determined via the Bray P2 metho</w:t>
      </w:r>
      <w:r>
        <w:rPr>
          <w:rFonts w:ascii="Times New Roman" w:hAnsi="Times New Roman"/>
          <w:sz w:val="24"/>
          <w:szCs w:val="24"/>
        </w:rPr>
        <w:t>d and expressed in Mgkg</w:t>
      </w:r>
      <w:r>
        <w:rPr>
          <w:rFonts w:ascii="Times New Roman" w:hAnsi="Times New Roman"/>
          <w:sz w:val="24"/>
          <w:szCs w:val="24"/>
          <w:vertAlign w:val="superscript"/>
        </w:rPr>
        <w:t>-1</w:t>
      </w:r>
      <w:r>
        <w:rPr>
          <w:rFonts w:ascii="Times New Roman" w:hAnsi="Times New Roman"/>
          <w:sz w:val="24"/>
          <w:szCs w:val="24"/>
        </w:rPr>
        <w:t xml:space="preserve">. Total nitrogen (N) was measured using the Kjeldahl method, and organic carbon (OC) was analyzed using Walkley-Black wet digestion method Smith and Kumar (2023). Organic matter (OM) was calculated </w:t>
      </w:r>
      <w:r>
        <w:rPr>
          <w:rFonts w:ascii="Times New Roman" w:hAnsi="Times New Roman"/>
          <w:sz w:val="24"/>
          <w:szCs w:val="24"/>
        </w:rPr>
        <w:lastRenderedPageBreak/>
        <w:t>using the relationship between so</w:t>
      </w:r>
      <w:r>
        <w:rPr>
          <w:rFonts w:ascii="Times New Roman" w:hAnsi="Times New Roman"/>
          <w:sz w:val="24"/>
          <w:szCs w:val="24"/>
        </w:rPr>
        <w:t xml:space="preserve">il </w:t>
      </w:r>
      <w:r>
        <w:rPr>
          <w:rFonts w:ascii="Times New Roman" w:hAnsi="Times New Roman"/>
          <w:sz w:val="24"/>
          <w:szCs w:val="24"/>
        </w:rPr>
        <w:t>OC</w:t>
      </w:r>
      <w:r>
        <w:rPr>
          <w:rFonts w:ascii="Times New Roman" w:hAnsi="Times New Roman"/>
          <w:sz w:val="24"/>
          <w:szCs w:val="24"/>
        </w:rPr>
        <w:t xml:space="preserve"> and OM</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Exchangeable cations (Ca, Mg, K, Na) were extracted with ammonium acetate and quantified via atomic absorption spectrophotometry. Exchangeble acidity was determined using titration with calcium carbonate. The cation exchange capacity (ECEC) w</w:t>
      </w:r>
      <w:r>
        <w:rPr>
          <w:rFonts w:ascii="Times New Roman" w:hAnsi="Times New Roman"/>
          <w:sz w:val="24"/>
          <w:szCs w:val="24"/>
        </w:rPr>
        <w:t>as calculated as the sum of exchangeable cations, and base saturation (BS) was derived from ECEC and exchangeable bases.</w:t>
      </w:r>
    </w:p>
    <w:p w:rsidR="00C5728C" w:rsidRDefault="001A6566">
      <w:pPr>
        <w:jc w:val="both"/>
        <w:rPr>
          <w:rFonts w:ascii="Times New Roman" w:hAnsi="Times New Roman"/>
          <w:b/>
          <w:bCs/>
          <w:sz w:val="24"/>
          <w:szCs w:val="24"/>
        </w:rPr>
      </w:pPr>
      <w:r>
        <w:rPr>
          <w:rFonts w:ascii="Times New Roman" w:hAnsi="Times New Roman"/>
          <w:b/>
          <w:bCs/>
          <w:sz w:val="24"/>
          <w:szCs w:val="24"/>
        </w:rPr>
        <w:t>2.6 Laboratory Analysis of Potassium Forms</w:t>
      </w:r>
    </w:p>
    <w:p w:rsidR="00C5728C" w:rsidRDefault="001A6566">
      <w:pPr>
        <w:jc w:val="both"/>
        <w:rPr>
          <w:rFonts w:ascii="Times New Roman" w:hAnsi="Times New Roman"/>
          <w:sz w:val="24"/>
          <w:szCs w:val="24"/>
        </w:rPr>
      </w:pPr>
      <w:r>
        <w:rPr>
          <w:rFonts w:ascii="Times New Roman" w:hAnsi="Times New Roman"/>
          <w:b/>
          <w:bCs/>
          <w:sz w:val="24"/>
          <w:szCs w:val="24"/>
        </w:rPr>
        <w:t>Total Potassium (K):</w:t>
      </w:r>
      <w:r>
        <w:rPr>
          <w:rFonts w:ascii="Times New Roman" w:hAnsi="Times New Roman"/>
          <w:sz w:val="24"/>
          <w:szCs w:val="24"/>
        </w:rPr>
        <w:t xml:space="preserve"> Determined via HF-H₂SO₄ digestion (Jackson, 1958; 1964). One gram of so</w:t>
      </w:r>
      <w:r>
        <w:rPr>
          <w:rFonts w:ascii="Times New Roman" w:hAnsi="Times New Roman"/>
          <w:sz w:val="24"/>
          <w:szCs w:val="24"/>
        </w:rPr>
        <w:t>il was digested in a crucible with HF and HCLO₄, heated until dryness, cooled, re-digested, transferred to a volumetric flask, and filtered. Potassium concentration was measured using a flame photometer.</w:t>
      </w:r>
    </w:p>
    <w:p w:rsidR="00C5728C" w:rsidRDefault="001A6566">
      <w:pPr>
        <w:jc w:val="both"/>
        <w:rPr>
          <w:rFonts w:ascii="Times New Roman" w:hAnsi="Times New Roman"/>
          <w:sz w:val="24"/>
          <w:szCs w:val="24"/>
        </w:rPr>
      </w:pPr>
      <w:r>
        <w:rPr>
          <w:rFonts w:ascii="Times New Roman" w:hAnsi="Times New Roman"/>
          <w:b/>
          <w:bCs/>
          <w:sz w:val="24"/>
          <w:szCs w:val="24"/>
        </w:rPr>
        <w:t>Water-soluble Potassium:</w:t>
      </w:r>
      <w:r>
        <w:rPr>
          <w:rFonts w:ascii="Times New Roman" w:hAnsi="Times New Roman"/>
          <w:sz w:val="24"/>
          <w:szCs w:val="24"/>
        </w:rPr>
        <w:t xml:space="preserve"> Extracted by shaking 2.5 g </w:t>
      </w:r>
      <w:r>
        <w:rPr>
          <w:rFonts w:ascii="Times New Roman" w:hAnsi="Times New Roman"/>
          <w:sz w:val="24"/>
          <w:szCs w:val="24"/>
        </w:rPr>
        <w:t>of soil with 50 ml distilled water for 1 hour (Thomas, 1996). The extract was analyzed for K concentration using a flame photometer.</w:t>
      </w:r>
    </w:p>
    <w:p w:rsidR="00C5728C" w:rsidRDefault="001A6566">
      <w:pPr>
        <w:jc w:val="both"/>
        <w:rPr>
          <w:rFonts w:ascii="Times New Roman" w:hAnsi="Times New Roman"/>
          <w:sz w:val="24"/>
          <w:szCs w:val="24"/>
        </w:rPr>
      </w:pPr>
      <w:r>
        <w:rPr>
          <w:rFonts w:ascii="Times New Roman" w:hAnsi="Times New Roman"/>
          <w:b/>
          <w:bCs/>
          <w:sz w:val="24"/>
          <w:szCs w:val="24"/>
        </w:rPr>
        <w:t>Exchangeable Potassium:</w:t>
      </w:r>
      <w:r>
        <w:rPr>
          <w:rFonts w:ascii="Times New Roman" w:hAnsi="Times New Roman"/>
          <w:sz w:val="24"/>
          <w:szCs w:val="24"/>
        </w:rPr>
        <w:t xml:space="preserve"> 2.5 g of soil was shaken with 1 M NH₄OAc solution (50 ml) for 30 minutes (Thomas, 1996), then allow</w:t>
      </w:r>
      <w:r>
        <w:rPr>
          <w:rFonts w:ascii="Times New Roman" w:hAnsi="Times New Roman"/>
          <w:sz w:val="24"/>
          <w:szCs w:val="24"/>
        </w:rPr>
        <w:t>ed to settle. The supernatant was filtered, and 5 ml was analyzed for K content with a flame photometer.</w:t>
      </w:r>
    </w:p>
    <w:p w:rsidR="00C5728C" w:rsidRDefault="001A6566">
      <w:pPr>
        <w:jc w:val="both"/>
        <w:rPr>
          <w:rFonts w:ascii="Times New Roman" w:hAnsi="Times New Roman"/>
          <w:b/>
          <w:bCs/>
          <w:sz w:val="24"/>
          <w:szCs w:val="24"/>
        </w:rPr>
      </w:pPr>
      <w:r>
        <w:rPr>
          <w:rFonts w:ascii="Times New Roman" w:hAnsi="Times New Roman"/>
          <w:b/>
          <w:bCs/>
          <w:sz w:val="24"/>
          <w:szCs w:val="24"/>
        </w:rPr>
        <w:t xml:space="preserve">Non-exchangeable or Fixed Potassium: </w:t>
      </w:r>
      <w:r>
        <w:rPr>
          <w:rFonts w:ascii="Times New Roman" w:hAnsi="Times New Roman"/>
          <w:sz w:val="24"/>
          <w:szCs w:val="24"/>
        </w:rPr>
        <w:t>2.5g of soil sample was weighed and transferred into a test tube. Hot 1M HNO</w:t>
      </w:r>
      <w:r>
        <w:rPr>
          <w:rFonts w:ascii="Times New Roman" w:hAnsi="Times New Roman"/>
          <w:sz w:val="24"/>
          <w:szCs w:val="24"/>
          <w:vertAlign w:val="subscript"/>
        </w:rPr>
        <w:t xml:space="preserve">3 </w:t>
      </w:r>
      <w:r>
        <w:rPr>
          <w:rFonts w:ascii="Times New Roman" w:hAnsi="Times New Roman"/>
          <w:sz w:val="24"/>
          <w:szCs w:val="24"/>
        </w:rPr>
        <w:t>was transferred into the test tube a</w:t>
      </w:r>
      <w:r>
        <w:rPr>
          <w:rFonts w:ascii="Times New Roman" w:hAnsi="Times New Roman"/>
          <w:sz w:val="24"/>
          <w:szCs w:val="24"/>
        </w:rPr>
        <w:t>nd shaken for 30mins (Pratt, 1965) and allowed to cool and K concentration determined by a flame photometer.</w:t>
      </w:r>
    </w:p>
    <w:p w:rsidR="00C5728C" w:rsidRDefault="001A6566">
      <w:pPr>
        <w:jc w:val="both"/>
        <w:rPr>
          <w:rFonts w:ascii="Times New Roman" w:hAnsi="Times New Roman"/>
          <w:b/>
          <w:bCs/>
          <w:sz w:val="24"/>
          <w:szCs w:val="24"/>
        </w:rPr>
      </w:pPr>
      <w:r>
        <w:rPr>
          <w:rFonts w:ascii="Times New Roman" w:hAnsi="Times New Roman"/>
          <w:b/>
          <w:bCs/>
          <w:sz w:val="24"/>
          <w:szCs w:val="24"/>
        </w:rPr>
        <w:t>Available Potassium:</w:t>
      </w:r>
    </w:p>
    <w:p w:rsidR="00C5728C" w:rsidRDefault="001A6566">
      <w:pPr>
        <w:jc w:val="both"/>
        <w:rPr>
          <w:rFonts w:ascii="Times New Roman" w:hAnsi="Times New Roman"/>
          <w:sz w:val="24"/>
          <w:szCs w:val="24"/>
        </w:rPr>
      </w:pPr>
      <w:r>
        <w:rPr>
          <w:rFonts w:ascii="Times New Roman" w:hAnsi="Times New Roman"/>
          <w:sz w:val="24"/>
          <w:szCs w:val="24"/>
        </w:rPr>
        <w:t>This form of K was obtained by summation of solution K and exchangeable K.</w:t>
      </w:r>
    </w:p>
    <w:p w:rsidR="00C5728C" w:rsidRDefault="001A6566">
      <w:pPr>
        <w:jc w:val="both"/>
        <w:rPr>
          <w:rFonts w:ascii="Times New Roman" w:hAnsi="Times New Roman"/>
          <w:sz w:val="24"/>
          <w:szCs w:val="24"/>
        </w:rPr>
      </w:pPr>
      <w:r>
        <w:rPr>
          <w:rFonts w:ascii="Times New Roman" w:hAnsi="Times New Roman"/>
          <w:b/>
          <w:bCs/>
          <w:sz w:val="24"/>
          <w:szCs w:val="24"/>
        </w:rPr>
        <w:t xml:space="preserve">Mineral or Structural Potassium: </w:t>
      </w:r>
      <w:r>
        <w:rPr>
          <w:rFonts w:ascii="Times New Roman" w:hAnsi="Times New Roman"/>
          <w:sz w:val="24"/>
          <w:szCs w:val="24"/>
        </w:rPr>
        <w:t>Mineral K was dete</w:t>
      </w:r>
      <w:r>
        <w:rPr>
          <w:rFonts w:ascii="Times New Roman" w:hAnsi="Times New Roman"/>
          <w:sz w:val="24"/>
          <w:szCs w:val="24"/>
        </w:rPr>
        <w:t>rmined by subtracting total K from HNO</w:t>
      </w:r>
      <w:r>
        <w:rPr>
          <w:rFonts w:ascii="Times New Roman" w:hAnsi="Times New Roman"/>
          <w:sz w:val="24"/>
          <w:szCs w:val="24"/>
          <w:vertAlign w:val="subscript"/>
        </w:rPr>
        <w:t>3</w:t>
      </w:r>
      <w:r>
        <w:rPr>
          <w:rFonts w:ascii="Times New Roman" w:hAnsi="Times New Roman"/>
          <w:sz w:val="24"/>
          <w:szCs w:val="24"/>
        </w:rPr>
        <w:t xml:space="preserve"> extractable.</w:t>
      </w:r>
    </w:p>
    <w:p w:rsidR="00C5728C" w:rsidRDefault="001A6566">
      <w:pPr>
        <w:jc w:val="both"/>
        <w:rPr>
          <w:rFonts w:ascii="Times New Roman" w:hAnsi="Times New Roman"/>
          <w:b/>
          <w:sz w:val="24"/>
          <w:szCs w:val="24"/>
        </w:rPr>
      </w:pPr>
      <w:r>
        <w:rPr>
          <w:rFonts w:ascii="Times New Roman" w:hAnsi="Times New Roman"/>
          <w:b/>
          <w:sz w:val="24"/>
          <w:szCs w:val="24"/>
        </w:rPr>
        <w:t>3.0 Results and Discussion</w:t>
      </w:r>
    </w:p>
    <w:p w:rsidR="00C5728C" w:rsidRDefault="001A6566">
      <w:pPr>
        <w:jc w:val="both"/>
        <w:rPr>
          <w:rFonts w:ascii="Times New Roman" w:hAnsi="Times New Roman"/>
          <w:b/>
          <w:bCs/>
          <w:sz w:val="24"/>
          <w:szCs w:val="24"/>
        </w:rPr>
      </w:pPr>
      <w:r>
        <w:rPr>
          <w:rFonts w:ascii="Times New Roman" w:hAnsi="Times New Roman"/>
          <w:b/>
          <w:bCs/>
          <w:sz w:val="24"/>
          <w:szCs w:val="24"/>
        </w:rPr>
        <w:t>3.1 Soil Physio-Chemical Properties across Parent Materials and Depths</w:t>
      </w:r>
    </w:p>
    <w:p w:rsidR="00C5728C" w:rsidRDefault="001A6566">
      <w:pPr>
        <w:jc w:val="both"/>
        <w:rPr>
          <w:rFonts w:ascii="Times New Roman" w:hAnsi="Times New Roman"/>
          <w:sz w:val="24"/>
          <w:szCs w:val="24"/>
        </w:rPr>
      </w:pPr>
      <w:r>
        <w:rPr>
          <w:rFonts w:ascii="Times New Roman" w:hAnsi="Times New Roman"/>
          <w:sz w:val="24"/>
          <w:szCs w:val="24"/>
        </w:rPr>
        <w:t>The study reveals that soil pH of parent materials and depths predominantly fall within the acidic range,</w:t>
      </w:r>
      <w:r>
        <w:rPr>
          <w:rFonts w:ascii="Times New Roman" w:hAnsi="Times New Roman"/>
          <w:sz w:val="24"/>
          <w:szCs w:val="24"/>
        </w:rPr>
        <w:t xml:space="preserve"> with values ranging from 4.37 to 5.47. Across all depths, soil pH values predominantly ranged from slightly acidic to neutral, with the basement complex soils consistently exhibiting the lowest pH (around 4.5 to 4.7), indicative of higher acidity. In cont</w:t>
      </w:r>
      <w:r>
        <w:rPr>
          <w:rFonts w:ascii="Times New Roman" w:hAnsi="Times New Roman"/>
          <w:sz w:val="24"/>
          <w:szCs w:val="24"/>
        </w:rPr>
        <w:t>rast, sandstone-derived soils maintained relatively higher pH values, averaging around 5.3 to 5.4, suggesting less acidity. The alluvial soils showed a moderate pH (5.3 to 5.47), slightly higher than basement complex and sandstone soils, possibly due to th</w:t>
      </w:r>
      <w:r>
        <w:rPr>
          <w:rFonts w:ascii="Times New Roman" w:hAnsi="Times New Roman"/>
          <w:sz w:val="24"/>
          <w:szCs w:val="24"/>
        </w:rPr>
        <w:t>e influence of recent sediments. Texture analysis revealed that parent material significantly influences sand, silt, and clay fractions. For instance, sandstone and coastal plain sands (Imo) are characterized by high sand content (&gt;81%), especially at shal</w:t>
      </w:r>
      <w:r>
        <w:rPr>
          <w:rFonts w:ascii="Times New Roman" w:hAnsi="Times New Roman"/>
          <w:sz w:val="24"/>
          <w:szCs w:val="24"/>
        </w:rPr>
        <w:t xml:space="preserve">low depths, tapering slightly with depth, which implies good drainage but potentially limited </w:t>
      </w:r>
      <w:r>
        <w:rPr>
          <w:rFonts w:ascii="Times New Roman" w:hAnsi="Times New Roman"/>
          <w:sz w:val="24"/>
          <w:szCs w:val="24"/>
        </w:rPr>
        <w:lastRenderedPageBreak/>
        <w:t>nutrient retention. Conversely, alluvium displayed higher silt contents across depths while coastal plain sand (Abia) and shale derived soils displayed highest cl</w:t>
      </w:r>
      <w:r>
        <w:rPr>
          <w:rFonts w:ascii="Times New Roman" w:hAnsi="Times New Roman"/>
          <w:sz w:val="24"/>
          <w:szCs w:val="24"/>
        </w:rPr>
        <w:t>ay fraction especially at greater depths ( 20-40 and 40-60 cm depth respectively), indicating more fine textured soils with higher water retention and cation exchange capacity (CEC). These textural differences support variations in nutrient dynamics, inclu</w:t>
      </w:r>
      <w:r>
        <w:rPr>
          <w:rFonts w:ascii="Times New Roman" w:hAnsi="Times New Roman"/>
          <w:sz w:val="24"/>
          <w:szCs w:val="24"/>
        </w:rPr>
        <w:t>ding potassium retention.</w:t>
      </w:r>
    </w:p>
    <w:p w:rsidR="00C5728C" w:rsidRDefault="001A6566">
      <w:pPr>
        <w:jc w:val="both"/>
        <w:rPr>
          <w:rFonts w:ascii="Times New Roman" w:hAnsi="Times New Roman"/>
          <w:sz w:val="24"/>
          <w:szCs w:val="24"/>
        </w:rPr>
      </w:pPr>
      <w:r>
        <w:rPr>
          <w:rFonts w:ascii="Times New Roman" w:hAnsi="Times New Roman"/>
          <w:sz w:val="24"/>
          <w:szCs w:val="24"/>
        </w:rPr>
        <w:t>Organic carbon (O.C) content generally decreased with increasing depth, consistent with typical organic matter distribution in soils. Notably, the basement complex soil at 0-20 cm had higher organic carbon (2.15%), correlating wit</w:t>
      </w:r>
      <w:r>
        <w:rPr>
          <w:rFonts w:ascii="Times New Roman" w:hAnsi="Times New Roman"/>
          <w:sz w:val="24"/>
          <w:szCs w:val="24"/>
        </w:rPr>
        <w:t>h their richer organic matter, likely due to deposition from surface runoff. In contrast, shale soils had lower organic carbon levels (0.29%), which may be attributed to lower organic matter input or faster decomposition rates under their texture and acidi</w:t>
      </w:r>
      <w:r>
        <w:rPr>
          <w:rFonts w:ascii="Times New Roman" w:hAnsi="Times New Roman"/>
          <w:sz w:val="24"/>
          <w:szCs w:val="24"/>
        </w:rPr>
        <w:t>ty.</w:t>
      </w:r>
    </w:p>
    <w:p w:rsidR="00C5728C" w:rsidRDefault="001A6566">
      <w:pPr>
        <w:spacing w:after="0"/>
        <w:jc w:val="both"/>
        <w:rPr>
          <w:rFonts w:ascii="Times New Roman" w:hAnsi="Times New Roman"/>
          <w:sz w:val="24"/>
          <w:szCs w:val="24"/>
        </w:rPr>
      </w:pPr>
      <w:r>
        <w:rPr>
          <w:rFonts w:ascii="Times New Roman" w:hAnsi="Times New Roman"/>
          <w:sz w:val="24"/>
          <w:szCs w:val="24"/>
        </w:rPr>
        <w:t>Total nitrogen was higher (0.35%) in shale at 0-20 cm depth, decreasing at deeper layers at 40-60cm depth (0.05%). The low nitrogen content across the study area reflects typical conditions for tropical soils, often requiring addition of nitrogen ferti</w:t>
      </w:r>
      <w:r>
        <w:rPr>
          <w:rFonts w:ascii="Times New Roman" w:hAnsi="Times New Roman"/>
          <w:sz w:val="24"/>
          <w:szCs w:val="24"/>
        </w:rPr>
        <w:t xml:space="preserve">lizers to meet crop demands corroborating earlier studies like those of Oladipo </w:t>
      </w:r>
      <w:r>
        <w:rPr>
          <w:rFonts w:ascii="Times New Roman" w:hAnsi="Times New Roman"/>
          <w:i/>
          <w:sz w:val="24"/>
          <w:szCs w:val="24"/>
        </w:rPr>
        <w:t>et al</w:t>
      </w:r>
      <w:r>
        <w:rPr>
          <w:rFonts w:ascii="Times New Roman" w:hAnsi="Times New Roman"/>
          <w:sz w:val="24"/>
          <w:szCs w:val="24"/>
        </w:rPr>
        <w:t>. (2017), which highlighted poor nutrient holding capacity and vulnerability to leaching.</w:t>
      </w:r>
    </w:p>
    <w:p w:rsidR="00C5728C" w:rsidRDefault="001A6566">
      <w:pPr>
        <w:jc w:val="both"/>
        <w:rPr>
          <w:rFonts w:ascii="Times New Roman" w:hAnsi="Times New Roman"/>
          <w:sz w:val="24"/>
          <w:szCs w:val="24"/>
        </w:rPr>
      </w:pPr>
      <w:r>
        <w:rPr>
          <w:rFonts w:ascii="Times New Roman" w:hAnsi="Times New Roman"/>
          <w:sz w:val="24"/>
          <w:szCs w:val="24"/>
        </w:rPr>
        <w:t>Shale soils exhibited the lowest organic carbon at 40-60 cm (0.29%), aligning wit</w:t>
      </w:r>
      <w:r>
        <w:rPr>
          <w:rFonts w:ascii="Times New Roman" w:hAnsi="Times New Roman"/>
          <w:sz w:val="24"/>
          <w:szCs w:val="24"/>
        </w:rPr>
        <w:t>h their finer texture and lower biological activity. The higher organic matter in surface horizons of basement complex suggests recent organic inputs or better organic matter accumulation, which may influence nutrient availability, including potassium. The</w:t>
      </w:r>
      <w:r>
        <w:rPr>
          <w:rFonts w:ascii="Times New Roman" w:hAnsi="Times New Roman"/>
          <w:sz w:val="24"/>
          <w:szCs w:val="24"/>
        </w:rPr>
        <w:t xml:space="preserve"> elevated cation exchange in these soils underscores their potential for nutrient retention, especially for cations like Ca, Mg, and K.  </w:t>
      </w:r>
    </w:p>
    <w:p w:rsidR="00C5728C" w:rsidRDefault="001A6566">
      <w:pPr>
        <w:jc w:val="both"/>
        <w:rPr>
          <w:rFonts w:ascii="Times New Roman" w:hAnsi="Times New Roman"/>
          <w:sz w:val="24"/>
          <w:szCs w:val="24"/>
        </w:rPr>
      </w:pPr>
      <w:r>
        <w:rPr>
          <w:rFonts w:ascii="Times New Roman" w:hAnsi="Times New Roman"/>
          <w:sz w:val="24"/>
          <w:szCs w:val="24"/>
        </w:rPr>
        <w:t xml:space="preserve">Available phosphorus (Av.P) was relatively low across all parent material, with the mean value (24.32 mg/kg), with </w:t>
      </w:r>
      <w:r>
        <w:rPr>
          <w:rFonts w:ascii="Times New Roman" w:hAnsi="Times New Roman"/>
          <w:sz w:val="24"/>
          <w:szCs w:val="24"/>
        </w:rPr>
        <w:t>highest value of 36.70 (mg/kg) observed in basement complex aligning with their higher organic matter content. The consistent low levels of phosphorus suggest potential limitations for crop productivity, necessitating fertilizer application or organic amen</w:t>
      </w:r>
      <w:r>
        <w:rPr>
          <w:rFonts w:ascii="Times New Roman" w:hAnsi="Times New Roman"/>
          <w:sz w:val="24"/>
          <w:szCs w:val="24"/>
        </w:rPr>
        <w:t>dments.</w:t>
      </w:r>
    </w:p>
    <w:p w:rsidR="00C5728C" w:rsidRDefault="00C5728C">
      <w:pPr>
        <w:jc w:val="both"/>
        <w:rPr>
          <w:rFonts w:ascii="Times New Roman" w:hAnsi="Times New Roman"/>
          <w:b/>
          <w:sz w:val="24"/>
          <w:szCs w:val="24"/>
        </w:rPr>
      </w:pPr>
    </w:p>
    <w:p w:rsidR="00C5728C" w:rsidRDefault="00C5728C">
      <w:pPr>
        <w:jc w:val="both"/>
        <w:rPr>
          <w:rFonts w:ascii="Times New Roman" w:hAnsi="Times New Roman"/>
          <w:b/>
          <w:sz w:val="24"/>
          <w:szCs w:val="24"/>
        </w:rPr>
      </w:pPr>
    </w:p>
    <w:p w:rsidR="00C5728C" w:rsidRDefault="00C5728C">
      <w:pPr>
        <w:jc w:val="both"/>
        <w:rPr>
          <w:rFonts w:ascii="Times New Roman" w:hAnsi="Times New Roman"/>
          <w:b/>
          <w:sz w:val="24"/>
          <w:szCs w:val="24"/>
        </w:rPr>
      </w:pPr>
    </w:p>
    <w:p w:rsidR="00C5728C" w:rsidRDefault="00C5728C">
      <w:pPr>
        <w:jc w:val="both"/>
        <w:rPr>
          <w:rFonts w:ascii="Times New Roman" w:hAnsi="Times New Roman"/>
          <w:b/>
          <w:sz w:val="24"/>
          <w:szCs w:val="24"/>
        </w:rPr>
      </w:pPr>
    </w:p>
    <w:p w:rsidR="00C5728C" w:rsidRDefault="00C5728C">
      <w:pPr>
        <w:jc w:val="both"/>
        <w:rPr>
          <w:rFonts w:ascii="Times New Roman" w:hAnsi="Times New Roman"/>
          <w:b/>
          <w:sz w:val="24"/>
          <w:szCs w:val="24"/>
        </w:rPr>
      </w:pPr>
    </w:p>
    <w:p w:rsidR="00C5728C" w:rsidRDefault="00C5728C">
      <w:pPr>
        <w:jc w:val="both"/>
        <w:rPr>
          <w:rFonts w:ascii="Times New Roman" w:hAnsi="Times New Roman"/>
          <w:b/>
          <w:sz w:val="24"/>
          <w:szCs w:val="24"/>
        </w:rPr>
      </w:pPr>
    </w:p>
    <w:p w:rsidR="00C5728C" w:rsidRDefault="00C5728C">
      <w:pPr>
        <w:jc w:val="both"/>
        <w:rPr>
          <w:rFonts w:ascii="Times New Roman" w:hAnsi="Times New Roman"/>
          <w:b/>
          <w:sz w:val="24"/>
          <w:szCs w:val="24"/>
        </w:rPr>
      </w:pPr>
    </w:p>
    <w:p w:rsidR="00C5728C" w:rsidRDefault="00C5728C">
      <w:pPr>
        <w:jc w:val="both"/>
        <w:rPr>
          <w:rFonts w:ascii="Times New Roman" w:hAnsi="Times New Roman"/>
          <w:b/>
          <w:sz w:val="24"/>
          <w:szCs w:val="24"/>
        </w:rPr>
      </w:pPr>
    </w:p>
    <w:p w:rsidR="00C5728C" w:rsidRDefault="001A6566">
      <w:pPr>
        <w:spacing w:after="0"/>
        <w:jc w:val="both"/>
        <w:rPr>
          <w:rFonts w:ascii="Times New Roman" w:hAnsi="Times New Roman"/>
          <w:b/>
          <w:sz w:val="24"/>
          <w:szCs w:val="24"/>
        </w:rPr>
      </w:pPr>
      <w:r>
        <w:rPr>
          <w:rFonts w:ascii="Times New Roman" w:hAnsi="Times New Roman"/>
          <w:b/>
          <w:sz w:val="24"/>
          <w:szCs w:val="24"/>
        </w:rPr>
        <w:t>Table 2: Physio-chemical properties of the studied soils</w:t>
      </w:r>
    </w:p>
    <w:tbl>
      <w:tblPr>
        <w:tblpPr w:leftFromText="180" w:rightFromText="180" w:vertAnchor="page" w:horzAnchor="margin" w:tblpXSpec="center" w:tblpY="2218"/>
        <w:tblW w:w="1107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985"/>
        <w:gridCol w:w="720"/>
        <w:gridCol w:w="810"/>
        <w:gridCol w:w="900"/>
        <w:gridCol w:w="630"/>
        <w:gridCol w:w="1080"/>
        <w:gridCol w:w="630"/>
        <w:gridCol w:w="810"/>
        <w:gridCol w:w="2520"/>
        <w:gridCol w:w="990"/>
      </w:tblGrid>
      <w:tr w:rsidR="00C5728C">
        <w:trPr>
          <w:trHeight w:val="199"/>
        </w:trPr>
        <w:tc>
          <w:tcPr>
            <w:tcW w:w="1985" w:type="dxa"/>
            <w:tcBorders>
              <w:top w:val="single" w:sz="4" w:space="0" w:color="auto"/>
              <w:bottom w:val="single" w:sz="4" w:space="0" w:color="auto"/>
            </w:tcBorders>
          </w:tcPr>
          <w:p w:rsidR="00C5728C" w:rsidRDefault="00C5728C">
            <w:pPr>
              <w:spacing w:after="0" w:line="240" w:lineRule="auto"/>
              <w:jc w:val="both"/>
              <w:rPr>
                <w:rFonts w:ascii="Times New Roman" w:hAnsi="Times New Roman"/>
                <w:b/>
                <w:sz w:val="24"/>
                <w:szCs w:val="24"/>
              </w:rPr>
            </w:pPr>
          </w:p>
        </w:tc>
        <w:tc>
          <w:tcPr>
            <w:tcW w:w="720" w:type="dxa"/>
            <w:tcBorders>
              <w:top w:val="single" w:sz="4" w:space="0" w:color="auto"/>
              <w:bottom w:val="single" w:sz="4" w:space="0" w:color="auto"/>
            </w:tcBorders>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pH (H</w:t>
            </w:r>
            <w:r>
              <w:rPr>
                <w:rFonts w:ascii="Times New Roman" w:hAnsi="Times New Roman"/>
                <w:sz w:val="24"/>
                <w:szCs w:val="24"/>
                <w:vertAlign w:val="subscript"/>
              </w:rPr>
              <w:t>2</w:t>
            </w:r>
            <w:r>
              <w:rPr>
                <w:rFonts w:ascii="Times New Roman" w:hAnsi="Times New Roman"/>
                <w:sz w:val="24"/>
                <w:szCs w:val="24"/>
              </w:rPr>
              <w:t>0)</w:t>
            </w:r>
          </w:p>
        </w:tc>
        <w:tc>
          <w:tcPr>
            <w:tcW w:w="810" w:type="dxa"/>
            <w:tcBorders>
              <w:top w:val="single" w:sz="4" w:space="0" w:color="auto"/>
              <w:bottom w:val="single" w:sz="4" w:space="0" w:color="auto"/>
            </w:tcBorders>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Sand</w:t>
            </w:r>
          </w:p>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 (%)</w:t>
            </w:r>
          </w:p>
        </w:tc>
        <w:tc>
          <w:tcPr>
            <w:tcW w:w="900" w:type="dxa"/>
            <w:tcBorders>
              <w:top w:val="single" w:sz="4" w:space="0" w:color="auto"/>
              <w:bottom w:val="single" w:sz="4" w:space="0" w:color="auto"/>
            </w:tcBorders>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Silt </w:t>
            </w:r>
          </w:p>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w:t>
            </w:r>
          </w:p>
        </w:tc>
        <w:tc>
          <w:tcPr>
            <w:tcW w:w="630" w:type="dxa"/>
            <w:tcBorders>
              <w:top w:val="single" w:sz="4" w:space="0" w:color="auto"/>
              <w:bottom w:val="single" w:sz="4" w:space="0" w:color="auto"/>
            </w:tcBorders>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Clay</w:t>
            </w:r>
          </w:p>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w:t>
            </w:r>
          </w:p>
        </w:tc>
        <w:tc>
          <w:tcPr>
            <w:tcW w:w="1080" w:type="dxa"/>
            <w:tcBorders>
              <w:top w:val="single" w:sz="4" w:space="0" w:color="auto"/>
              <w:bottom w:val="single" w:sz="4" w:space="0" w:color="auto"/>
            </w:tcBorders>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Avail.-P</w:t>
            </w:r>
          </w:p>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(mgKg</w:t>
            </w:r>
            <w:r>
              <w:rPr>
                <w:rFonts w:ascii="Times New Roman" w:hAnsi="Times New Roman"/>
                <w:sz w:val="24"/>
                <w:szCs w:val="24"/>
                <w:vertAlign w:val="superscript"/>
              </w:rPr>
              <w:t>-1</w:t>
            </w:r>
            <w:r>
              <w:rPr>
                <w:rFonts w:ascii="Times New Roman" w:hAnsi="Times New Roman"/>
                <w:sz w:val="24"/>
                <w:szCs w:val="24"/>
              </w:rPr>
              <w:t>)</w:t>
            </w:r>
          </w:p>
        </w:tc>
        <w:tc>
          <w:tcPr>
            <w:tcW w:w="630" w:type="dxa"/>
            <w:tcBorders>
              <w:top w:val="single" w:sz="4" w:space="0" w:color="auto"/>
              <w:bottom w:val="single" w:sz="4" w:space="0" w:color="auto"/>
            </w:tcBorders>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T.N </w:t>
            </w:r>
          </w:p>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w:t>
            </w:r>
          </w:p>
        </w:tc>
        <w:tc>
          <w:tcPr>
            <w:tcW w:w="810" w:type="dxa"/>
            <w:tcBorders>
              <w:top w:val="single" w:sz="4" w:space="0" w:color="auto"/>
              <w:bottom w:val="single" w:sz="4" w:space="0" w:color="auto"/>
            </w:tcBorders>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O.C</w:t>
            </w:r>
          </w:p>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w:t>
            </w:r>
          </w:p>
        </w:tc>
        <w:tc>
          <w:tcPr>
            <w:tcW w:w="2520" w:type="dxa"/>
            <w:tcBorders>
              <w:top w:val="single" w:sz="4" w:space="0" w:color="auto"/>
              <w:bottom w:val="single" w:sz="4" w:space="0" w:color="auto"/>
            </w:tcBorders>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Ex. Cations (cmolkg</w:t>
            </w:r>
            <w:r>
              <w:rPr>
                <w:rFonts w:ascii="Times New Roman" w:hAnsi="Times New Roman"/>
                <w:sz w:val="24"/>
                <w:szCs w:val="24"/>
                <w:vertAlign w:val="superscript"/>
              </w:rPr>
              <w:t>-1</w:t>
            </w:r>
            <w:r>
              <w:rPr>
                <w:rFonts w:ascii="Times New Roman" w:hAnsi="Times New Roman"/>
                <w:sz w:val="24"/>
                <w:szCs w:val="24"/>
              </w:rPr>
              <w:t>)</w:t>
            </w:r>
          </w:p>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Ca    Mg      K      Na</w:t>
            </w:r>
          </w:p>
        </w:tc>
        <w:tc>
          <w:tcPr>
            <w:tcW w:w="990" w:type="dxa"/>
            <w:tcBorders>
              <w:top w:val="single" w:sz="4" w:space="0" w:color="auto"/>
              <w:bottom w:val="single" w:sz="4" w:space="0" w:color="auto"/>
            </w:tcBorders>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TEA</w:t>
            </w:r>
          </w:p>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rPr>
              <w:t>cmolkg</w:t>
            </w:r>
            <w:r>
              <w:rPr>
                <w:rFonts w:ascii="Times New Roman" w:hAnsi="Times New Roman"/>
                <w:vertAlign w:val="superscript"/>
              </w:rPr>
              <w:t>-1</w:t>
            </w:r>
            <w:r>
              <w:rPr>
                <w:rFonts w:ascii="Times New Roman" w:hAnsi="Times New Roman"/>
                <w:sz w:val="24"/>
                <w:szCs w:val="24"/>
              </w:rPr>
              <w:t>)</w:t>
            </w:r>
          </w:p>
        </w:tc>
      </w:tr>
      <w:tr w:rsidR="00C5728C">
        <w:trPr>
          <w:trHeight w:val="199"/>
        </w:trPr>
        <w:tc>
          <w:tcPr>
            <w:tcW w:w="1985" w:type="dxa"/>
            <w:tcBorders>
              <w:top w:val="single" w:sz="4" w:space="0" w:color="auto"/>
            </w:tcBorders>
          </w:tcPr>
          <w:p w:rsidR="00C5728C" w:rsidRDefault="001A6566">
            <w:pPr>
              <w:spacing w:after="0" w:line="240" w:lineRule="auto"/>
              <w:jc w:val="both"/>
              <w:rPr>
                <w:rFonts w:ascii="Times New Roman" w:hAnsi="Times New Roman"/>
                <w:b/>
                <w:sz w:val="24"/>
                <w:szCs w:val="24"/>
              </w:rPr>
            </w:pPr>
            <w:r>
              <w:rPr>
                <w:rFonts w:ascii="Times New Roman" w:hAnsi="Times New Roman"/>
                <w:b/>
                <w:sz w:val="24"/>
                <w:szCs w:val="24"/>
              </w:rPr>
              <w:t>0-20cm</w:t>
            </w:r>
          </w:p>
        </w:tc>
        <w:tc>
          <w:tcPr>
            <w:tcW w:w="720" w:type="dxa"/>
            <w:tcBorders>
              <w:top w:val="single" w:sz="4" w:space="0" w:color="auto"/>
            </w:tcBorders>
          </w:tcPr>
          <w:p w:rsidR="00C5728C" w:rsidRDefault="00C5728C">
            <w:pPr>
              <w:spacing w:after="0" w:line="240" w:lineRule="auto"/>
              <w:jc w:val="both"/>
              <w:rPr>
                <w:rFonts w:ascii="Times New Roman" w:hAnsi="Times New Roman"/>
                <w:sz w:val="24"/>
                <w:szCs w:val="24"/>
              </w:rPr>
            </w:pPr>
          </w:p>
        </w:tc>
        <w:tc>
          <w:tcPr>
            <w:tcW w:w="810" w:type="dxa"/>
            <w:tcBorders>
              <w:top w:val="single" w:sz="4" w:space="0" w:color="auto"/>
            </w:tcBorders>
          </w:tcPr>
          <w:p w:rsidR="00C5728C" w:rsidRDefault="00C5728C">
            <w:pPr>
              <w:spacing w:after="0" w:line="240" w:lineRule="auto"/>
              <w:jc w:val="both"/>
              <w:rPr>
                <w:rFonts w:ascii="Times New Roman" w:hAnsi="Times New Roman"/>
                <w:sz w:val="24"/>
                <w:szCs w:val="24"/>
              </w:rPr>
            </w:pPr>
          </w:p>
        </w:tc>
        <w:tc>
          <w:tcPr>
            <w:tcW w:w="900" w:type="dxa"/>
            <w:tcBorders>
              <w:top w:val="single" w:sz="4" w:space="0" w:color="auto"/>
            </w:tcBorders>
          </w:tcPr>
          <w:p w:rsidR="00C5728C" w:rsidRDefault="00C5728C">
            <w:pPr>
              <w:spacing w:after="0" w:line="240" w:lineRule="auto"/>
              <w:jc w:val="both"/>
              <w:rPr>
                <w:rFonts w:ascii="Times New Roman" w:hAnsi="Times New Roman"/>
                <w:sz w:val="24"/>
                <w:szCs w:val="24"/>
              </w:rPr>
            </w:pPr>
          </w:p>
        </w:tc>
        <w:tc>
          <w:tcPr>
            <w:tcW w:w="630" w:type="dxa"/>
            <w:tcBorders>
              <w:top w:val="single" w:sz="4" w:space="0" w:color="auto"/>
            </w:tcBorders>
          </w:tcPr>
          <w:p w:rsidR="00C5728C" w:rsidRDefault="00C5728C">
            <w:pPr>
              <w:spacing w:after="0" w:line="240" w:lineRule="auto"/>
              <w:jc w:val="both"/>
              <w:rPr>
                <w:rFonts w:ascii="Times New Roman" w:hAnsi="Times New Roman"/>
                <w:sz w:val="24"/>
                <w:szCs w:val="24"/>
              </w:rPr>
            </w:pPr>
          </w:p>
        </w:tc>
        <w:tc>
          <w:tcPr>
            <w:tcW w:w="1080" w:type="dxa"/>
            <w:tcBorders>
              <w:top w:val="single" w:sz="4" w:space="0" w:color="auto"/>
            </w:tcBorders>
          </w:tcPr>
          <w:p w:rsidR="00C5728C" w:rsidRDefault="00C5728C">
            <w:pPr>
              <w:spacing w:after="0" w:line="240" w:lineRule="auto"/>
              <w:jc w:val="both"/>
              <w:rPr>
                <w:rFonts w:ascii="Times New Roman" w:hAnsi="Times New Roman"/>
                <w:sz w:val="24"/>
                <w:szCs w:val="24"/>
              </w:rPr>
            </w:pPr>
          </w:p>
        </w:tc>
        <w:tc>
          <w:tcPr>
            <w:tcW w:w="630" w:type="dxa"/>
            <w:tcBorders>
              <w:top w:val="single" w:sz="4" w:space="0" w:color="auto"/>
            </w:tcBorders>
          </w:tcPr>
          <w:p w:rsidR="00C5728C" w:rsidRDefault="00C5728C">
            <w:pPr>
              <w:spacing w:after="0" w:line="240" w:lineRule="auto"/>
              <w:jc w:val="both"/>
              <w:rPr>
                <w:rFonts w:ascii="Times New Roman" w:hAnsi="Times New Roman"/>
                <w:sz w:val="24"/>
                <w:szCs w:val="24"/>
              </w:rPr>
            </w:pPr>
          </w:p>
        </w:tc>
        <w:tc>
          <w:tcPr>
            <w:tcW w:w="810" w:type="dxa"/>
            <w:tcBorders>
              <w:top w:val="single" w:sz="4" w:space="0" w:color="auto"/>
            </w:tcBorders>
          </w:tcPr>
          <w:p w:rsidR="00C5728C" w:rsidRDefault="00C5728C">
            <w:pPr>
              <w:spacing w:after="0" w:line="240" w:lineRule="auto"/>
              <w:jc w:val="both"/>
              <w:rPr>
                <w:rFonts w:ascii="Times New Roman" w:hAnsi="Times New Roman"/>
                <w:sz w:val="24"/>
                <w:szCs w:val="24"/>
              </w:rPr>
            </w:pPr>
          </w:p>
        </w:tc>
        <w:tc>
          <w:tcPr>
            <w:tcW w:w="2520" w:type="dxa"/>
            <w:tcBorders>
              <w:top w:val="single" w:sz="4" w:space="0" w:color="auto"/>
            </w:tcBorders>
          </w:tcPr>
          <w:p w:rsidR="00C5728C" w:rsidRDefault="00C5728C">
            <w:pPr>
              <w:spacing w:after="0" w:line="240" w:lineRule="auto"/>
              <w:jc w:val="both"/>
              <w:rPr>
                <w:rFonts w:ascii="Times New Roman" w:hAnsi="Times New Roman"/>
                <w:sz w:val="24"/>
                <w:szCs w:val="24"/>
              </w:rPr>
            </w:pPr>
          </w:p>
        </w:tc>
        <w:tc>
          <w:tcPr>
            <w:tcW w:w="990" w:type="dxa"/>
            <w:tcBorders>
              <w:top w:val="single" w:sz="4" w:space="0" w:color="auto"/>
            </w:tcBorders>
          </w:tcPr>
          <w:p w:rsidR="00C5728C" w:rsidRDefault="00C5728C">
            <w:pPr>
              <w:spacing w:after="0" w:line="240" w:lineRule="auto"/>
              <w:jc w:val="both"/>
              <w:rPr>
                <w:rFonts w:ascii="Times New Roman" w:hAnsi="Times New Roman"/>
                <w:sz w:val="24"/>
                <w:szCs w:val="24"/>
              </w:rPr>
            </w:pPr>
          </w:p>
        </w:tc>
      </w:tr>
      <w:tr w:rsidR="00C5728C">
        <w:trPr>
          <w:trHeight w:val="199"/>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Alluvium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5.30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43.73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36.67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19.60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26.87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0.12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1.35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7.20  4.00  0.13  0.13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0.75 </w:t>
            </w:r>
          </w:p>
        </w:tc>
      </w:tr>
      <w:tr w:rsidR="00C5728C">
        <w:trPr>
          <w:trHeight w:val="199"/>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Basement complex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4.67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68.20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18.67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13.13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32.33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0.15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2.15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4.53  2.67  0.15  0.12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0.88 </w:t>
            </w:r>
          </w:p>
        </w:tc>
      </w:tr>
      <w:tr w:rsidR="00C5728C">
        <w:trPr>
          <w:trHeight w:val="174"/>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Coastal plain sand (Abia)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4.93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61.73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8.67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29.60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24.90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0.10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1.07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2.00  1.07  0.20  0.15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2.61 </w:t>
            </w:r>
          </w:p>
        </w:tc>
      </w:tr>
      <w:tr w:rsidR="00C5728C">
        <w:trPr>
          <w:trHeight w:val="174"/>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Coastal plain sand (Imo)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5.20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81.73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4.00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14.27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29.13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0.11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1.32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3.87  1.87  0.15  0.10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1.04 </w:t>
            </w:r>
          </w:p>
        </w:tc>
      </w:tr>
      <w:tr w:rsidR="00C5728C">
        <w:trPr>
          <w:trHeight w:val="208"/>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Sandstone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5.34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85.07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4.53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10.40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21.53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0.09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1.50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7.33  4.27  0.15  0.13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0.67 </w:t>
            </w:r>
          </w:p>
        </w:tc>
      </w:tr>
      <w:tr w:rsidR="00C5728C">
        <w:trPr>
          <w:trHeight w:val="251"/>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Shale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5.17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69.67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19.20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11.13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17.70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0.35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0.52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3.33  1.73  0.11  0.11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0.72 </w:t>
            </w:r>
          </w:p>
        </w:tc>
      </w:tr>
      <w:tr w:rsidR="00C5728C">
        <w:trPr>
          <w:trHeight w:val="216"/>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20-40cm depth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 </w:t>
            </w:r>
          </w:p>
        </w:tc>
      </w:tr>
      <w:tr w:rsidR="00C5728C">
        <w:trPr>
          <w:trHeight w:val="174"/>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Alluvium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5.47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35.07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42.00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22.93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21.53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0.07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0.98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8.53  4.00  0.11  0.11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0.93 </w:t>
            </w:r>
          </w:p>
        </w:tc>
      </w:tr>
      <w:tr w:rsidR="00C5728C">
        <w:trPr>
          <w:trHeight w:val="219"/>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Basement complex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4.61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68.20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12.00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19.80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36.70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0.13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1.37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2.93  1.73  0.13  0.13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1.49 </w:t>
            </w:r>
          </w:p>
        </w:tc>
      </w:tr>
      <w:tr w:rsidR="00C5728C">
        <w:trPr>
          <w:trHeight w:val="392"/>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Coastal Plain sand (ABIA)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5.00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61.07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8.67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30.27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25.87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0.08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1.20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2.40  1.07  0.19  0.12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2.40 </w:t>
            </w:r>
          </w:p>
        </w:tc>
      </w:tr>
      <w:tr w:rsidR="00C5728C">
        <w:trPr>
          <w:trHeight w:val="644"/>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Coastal plain sand (IMO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5.29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79.07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4.00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16.93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25.10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0.17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1.10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3.07  1.47  0.14  0.09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0.80 </w:t>
            </w:r>
          </w:p>
        </w:tc>
      </w:tr>
      <w:tr w:rsidR="00C5728C">
        <w:trPr>
          <w:trHeight w:val="258"/>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Sandstone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5.40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81.07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6.13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12.80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20.13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0.07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1.08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6.00  2.67  0.15  0.13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0.59 </w:t>
            </w:r>
          </w:p>
        </w:tc>
      </w:tr>
      <w:tr w:rsidR="00C5728C">
        <w:trPr>
          <w:trHeight w:val="230"/>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Shale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4.63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57.67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18.53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23.80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16.07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0.06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0.43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3.60  2.00  0.12  0.11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1.81 </w:t>
            </w:r>
          </w:p>
        </w:tc>
      </w:tr>
      <w:tr w:rsidR="00C5728C">
        <w:trPr>
          <w:trHeight w:val="181"/>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40-60cm depth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 </w:t>
            </w:r>
          </w:p>
        </w:tc>
      </w:tr>
      <w:tr w:rsidR="00C5728C">
        <w:trPr>
          <w:trHeight w:val="223"/>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Alluvium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5.40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34.40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38.00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27.60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23.53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0.07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0.69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8.13  4.27  0.12 0.12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1.36 </w:t>
            </w:r>
          </w:p>
        </w:tc>
      </w:tr>
      <w:tr w:rsidR="00C5728C">
        <w:trPr>
          <w:trHeight w:val="244"/>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Basement complex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4.50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66.87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10.00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23.13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25.03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0.08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0.87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3.33  1.33  0.12  0.12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1.81 </w:t>
            </w:r>
          </w:p>
        </w:tc>
      </w:tr>
      <w:tr w:rsidR="00C5728C">
        <w:trPr>
          <w:trHeight w:val="371"/>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Coastal Plain sand (ABIA)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4.83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64.40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8.00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27.60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27.37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0.10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1.24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2.40  0.93  0.20  0.13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2.35 </w:t>
            </w:r>
          </w:p>
        </w:tc>
      </w:tr>
      <w:tr w:rsidR="00C5728C">
        <w:trPr>
          <w:trHeight w:val="219"/>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Coastal plain sand (IMO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5.18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75.07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2.67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22.27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26.43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0.09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1.02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3.20  1.47  0.13  0.10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0.85 </w:t>
            </w:r>
          </w:p>
        </w:tc>
      </w:tr>
      <w:tr w:rsidR="00C5728C">
        <w:trPr>
          <w:trHeight w:val="250"/>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Sandstone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5.13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73.07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6.80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20.13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21.70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0.06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0.59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5.73  3.07  0.13  0.11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0.67 </w:t>
            </w:r>
          </w:p>
        </w:tc>
      </w:tr>
      <w:tr w:rsidR="00C5728C">
        <w:trPr>
          <w:trHeight w:val="258"/>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Shale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4.37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52.33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16.53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31.13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15.77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0.05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0.29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3.73  1.73  0.10  0.09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3.76 </w:t>
            </w:r>
          </w:p>
        </w:tc>
      </w:tr>
      <w:tr w:rsidR="00C5728C">
        <w:trPr>
          <w:trHeight w:val="317"/>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Mean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5.02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64.36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14.73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20.92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24.32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0.11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1.04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4.52  2.30  0.14  0.12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b/>
                <w:sz w:val="24"/>
                <w:szCs w:val="24"/>
              </w:rPr>
              <w:t xml:space="preserve">1.42 </w:t>
            </w:r>
          </w:p>
        </w:tc>
      </w:tr>
      <w:tr w:rsidR="00C5728C">
        <w:trPr>
          <w:trHeight w:val="267"/>
        </w:trPr>
        <w:tc>
          <w:tcPr>
            <w:tcW w:w="1985" w:type="dxa"/>
            <w:vAlign w:val="bottom"/>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LSD (0.05) PM </w:t>
            </w:r>
          </w:p>
        </w:tc>
        <w:tc>
          <w:tcPr>
            <w:tcW w:w="720" w:type="dxa"/>
            <w:vAlign w:val="bottom"/>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0.45 </w:t>
            </w:r>
          </w:p>
        </w:tc>
        <w:tc>
          <w:tcPr>
            <w:tcW w:w="810" w:type="dxa"/>
            <w:vAlign w:val="bottom"/>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9.28 </w:t>
            </w:r>
          </w:p>
        </w:tc>
        <w:tc>
          <w:tcPr>
            <w:tcW w:w="900" w:type="dxa"/>
            <w:vAlign w:val="bottom"/>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6.08 </w:t>
            </w:r>
          </w:p>
        </w:tc>
        <w:tc>
          <w:tcPr>
            <w:tcW w:w="630" w:type="dxa"/>
            <w:vAlign w:val="bottom"/>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7.15 </w:t>
            </w:r>
          </w:p>
        </w:tc>
        <w:tc>
          <w:tcPr>
            <w:tcW w:w="1080" w:type="dxa"/>
            <w:vAlign w:val="bottom"/>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7.94 </w:t>
            </w:r>
          </w:p>
        </w:tc>
        <w:tc>
          <w:tcPr>
            <w:tcW w:w="630" w:type="dxa"/>
            <w:vAlign w:val="bottom"/>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810" w:type="dxa"/>
            <w:vAlign w:val="bottom"/>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0.47 </w:t>
            </w:r>
          </w:p>
        </w:tc>
        <w:tc>
          <w:tcPr>
            <w:tcW w:w="2520" w:type="dxa"/>
            <w:vAlign w:val="bottom"/>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2.27  1.33  0.01  0.02 </w:t>
            </w:r>
          </w:p>
        </w:tc>
        <w:tc>
          <w:tcPr>
            <w:tcW w:w="990" w:type="dxa"/>
            <w:vAlign w:val="bottom"/>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0.47 </w:t>
            </w:r>
          </w:p>
        </w:tc>
      </w:tr>
      <w:tr w:rsidR="00C5728C">
        <w:trPr>
          <w:trHeight w:val="290"/>
        </w:trPr>
        <w:tc>
          <w:tcPr>
            <w:tcW w:w="1985"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LSD(0.05) DE </w:t>
            </w:r>
          </w:p>
        </w:tc>
        <w:tc>
          <w:tcPr>
            <w:tcW w:w="7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90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5.06 </w:t>
            </w:r>
          </w:p>
        </w:tc>
        <w:tc>
          <w:tcPr>
            <w:tcW w:w="108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63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81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0.33 </w:t>
            </w:r>
          </w:p>
        </w:tc>
        <w:tc>
          <w:tcPr>
            <w:tcW w:w="252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NS    NS    0.01    NS </w:t>
            </w:r>
          </w:p>
        </w:tc>
        <w:tc>
          <w:tcPr>
            <w:tcW w:w="990" w:type="dxa"/>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0.33 </w:t>
            </w:r>
          </w:p>
        </w:tc>
      </w:tr>
      <w:tr w:rsidR="00C5728C">
        <w:trPr>
          <w:trHeight w:val="286"/>
        </w:trPr>
        <w:tc>
          <w:tcPr>
            <w:tcW w:w="1985" w:type="dxa"/>
            <w:vAlign w:val="bottom"/>
          </w:tcPr>
          <w:p w:rsidR="00C5728C" w:rsidRDefault="001A6566">
            <w:pPr>
              <w:spacing w:after="0" w:line="240" w:lineRule="auto"/>
              <w:jc w:val="both"/>
              <w:rPr>
                <w:rFonts w:ascii="Times New Roman" w:hAnsi="Times New Roman"/>
              </w:rPr>
            </w:pPr>
            <w:r>
              <w:rPr>
                <w:rFonts w:ascii="Times New Roman" w:hAnsi="Times New Roman"/>
              </w:rPr>
              <w:t xml:space="preserve">LSD (0.05) PM X DE </w:t>
            </w:r>
          </w:p>
        </w:tc>
        <w:tc>
          <w:tcPr>
            <w:tcW w:w="720" w:type="dxa"/>
            <w:vAlign w:val="bottom"/>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810" w:type="dxa"/>
            <w:vAlign w:val="bottom"/>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900" w:type="dxa"/>
            <w:vAlign w:val="bottom"/>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630" w:type="dxa"/>
            <w:vAlign w:val="bottom"/>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1080" w:type="dxa"/>
            <w:vAlign w:val="bottom"/>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630" w:type="dxa"/>
            <w:vAlign w:val="bottom"/>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810" w:type="dxa"/>
            <w:vAlign w:val="bottom"/>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NS </w:t>
            </w:r>
          </w:p>
        </w:tc>
        <w:tc>
          <w:tcPr>
            <w:tcW w:w="2520" w:type="dxa"/>
            <w:vAlign w:val="bottom"/>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NS  NS     NS     NS   </w:t>
            </w:r>
          </w:p>
        </w:tc>
        <w:tc>
          <w:tcPr>
            <w:tcW w:w="990" w:type="dxa"/>
            <w:vAlign w:val="bottom"/>
          </w:tcPr>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0.81 </w:t>
            </w:r>
          </w:p>
        </w:tc>
      </w:tr>
    </w:tbl>
    <w:p w:rsidR="00C5728C" w:rsidRDefault="001A6566">
      <w:pPr>
        <w:spacing w:line="240" w:lineRule="auto"/>
        <w:jc w:val="both"/>
        <w:rPr>
          <w:rFonts w:ascii="Times New Roman" w:hAnsi="Times New Roman"/>
          <w:b/>
          <w:bCs/>
          <w:i/>
          <w:iCs/>
          <w:sz w:val="24"/>
          <w:szCs w:val="24"/>
        </w:rPr>
      </w:pPr>
      <w:r>
        <w:rPr>
          <w:rFonts w:ascii="Times New Roman" w:hAnsi="Times New Roman"/>
          <w:b/>
          <w:bCs/>
          <w:i/>
          <w:iCs/>
          <w:sz w:val="24"/>
          <w:szCs w:val="24"/>
        </w:rPr>
        <w:t>PM= parent material, LSD = Least significant difference, DE = soil depth</w:t>
      </w:r>
    </w:p>
    <w:p w:rsidR="00C5728C" w:rsidRDefault="001A6566">
      <w:pPr>
        <w:spacing w:line="360" w:lineRule="auto"/>
        <w:jc w:val="both"/>
        <w:rPr>
          <w:rFonts w:ascii="Times New Roman" w:hAnsi="Times New Roman"/>
          <w:sz w:val="24"/>
          <w:szCs w:val="24"/>
        </w:rPr>
      </w:pPr>
      <w:r>
        <w:rPr>
          <w:rFonts w:ascii="Times New Roman" w:hAnsi="Times New Roman"/>
          <w:b/>
          <w:bCs/>
          <w:sz w:val="24"/>
          <w:szCs w:val="24"/>
        </w:rPr>
        <w:t>3.2 Potassium Forms and Distribution</w:t>
      </w:r>
    </w:p>
    <w:p w:rsidR="00C5728C" w:rsidRDefault="001A6566">
      <w:pPr>
        <w:spacing w:after="0" w:line="360" w:lineRule="auto"/>
        <w:jc w:val="both"/>
        <w:rPr>
          <w:rFonts w:ascii="Times New Roman" w:hAnsi="Times New Roman"/>
          <w:sz w:val="24"/>
          <w:szCs w:val="24"/>
        </w:rPr>
      </w:pPr>
      <w:r>
        <w:rPr>
          <w:rFonts w:ascii="Times New Roman" w:hAnsi="Times New Roman"/>
          <w:sz w:val="24"/>
          <w:szCs w:val="24"/>
        </w:rPr>
        <w:t>The distribution of potassium (K) across different soil types and depths reveals distinct patterns, influenced by mineralogy and organic matter (Table 2). Total potassium content in the soil’s ranges from 0.302 to 0.901 cmolkg</w:t>
      </w:r>
      <w:r>
        <w:rPr>
          <w:rFonts w:ascii="Times New Roman" w:hAnsi="Times New Roman"/>
          <w:sz w:val="24"/>
          <w:szCs w:val="24"/>
          <w:vertAlign w:val="superscript"/>
        </w:rPr>
        <w:t>-1</w:t>
      </w:r>
      <w:r>
        <w:rPr>
          <w:rFonts w:ascii="Times New Roman" w:hAnsi="Times New Roman"/>
          <w:sz w:val="24"/>
          <w:szCs w:val="24"/>
        </w:rPr>
        <w:t>, with an average mean of 0.</w:t>
      </w:r>
      <w:r>
        <w:rPr>
          <w:rFonts w:ascii="Times New Roman" w:hAnsi="Times New Roman"/>
          <w:sz w:val="24"/>
          <w:szCs w:val="24"/>
        </w:rPr>
        <w:t>605 cmolkg</w:t>
      </w:r>
      <w:r>
        <w:rPr>
          <w:rFonts w:ascii="Times New Roman" w:hAnsi="Times New Roman"/>
          <w:sz w:val="24"/>
          <w:szCs w:val="24"/>
          <w:vertAlign w:val="superscript"/>
        </w:rPr>
        <w:t>-1</w:t>
      </w:r>
      <w:r>
        <w:rPr>
          <w:rFonts w:ascii="Times New Roman" w:hAnsi="Times New Roman"/>
          <w:sz w:val="24"/>
          <w:szCs w:val="24"/>
        </w:rPr>
        <w:t xml:space="preserve"> across all samples. The highest total K was observed in the basement complex soils at 0.901 cmolkg</w:t>
      </w:r>
      <w:r>
        <w:rPr>
          <w:rFonts w:ascii="Times New Roman" w:hAnsi="Times New Roman"/>
          <w:sz w:val="24"/>
          <w:szCs w:val="24"/>
          <w:vertAlign w:val="superscript"/>
        </w:rPr>
        <w:t>-1</w:t>
      </w:r>
      <w:r>
        <w:rPr>
          <w:rFonts w:ascii="Times New Roman" w:hAnsi="Times New Roman"/>
          <w:sz w:val="24"/>
          <w:szCs w:val="24"/>
        </w:rPr>
        <w:t>, especially at the surface (0-20cm depth), indicative of the mineral-rich parent material characteristic of this geological setting. This mine</w:t>
      </w:r>
      <w:r>
        <w:rPr>
          <w:rFonts w:ascii="Times New Roman" w:hAnsi="Times New Roman"/>
          <w:sz w:val="24"/>
          <w:szCs w:val="24"/>
        </w:rPr>
        <w:t xml:space="preserve">ral K pool is crucial for long-term fertility, as supported by Oladipo </w:t>
      </w:r>
      <w:r>
        <w:rPr>
          <w:rFonts w:ascii="Times New Roman" w:hAnsi="Times New Roman"/>
          <w:i/>
          <w:sz w:val="24"/>
          <w:szCs w:val="24"/>
        </w:rPr>
        <w:t>et al</w:t>
      </w:r>
      <w:r>
        <w:rPr>
          <w:rFonts w:ascii="Times New Roman" w:hAnsi="Times New Roman"/>
          <w:sz w:val="24"/>
          <w:szCs w:val="24"/>
        </w:rPr>
        <w:t>. (2017). Conversely, the lowest total K was found in the shale soils (0.302 cmolkg</w:t>
      </w:r>
      <w:r>
        <w:rPr>
          <w:rFonts w:ascii="Times New Roman" w:hAnsi="Times New Roman"/>
          <w:sz w:val="24"/>
          <w:szCs w:val="24"/>
          <w:vertAlign w:val="superscript"/>
        </w:rPr>
        <w:t>-1</w:t>
      </w:r>
      <w:r>
        <w:rPr>
          <w:rFonts w:ascii="Times New Roman" w:hAnsi="Times New Roman"/>
          <w:sz w:val="24"/>
          <w:szCs w:val="24"/>
        </w:rPr>
        <w:t xml:space="preserve">) at 0-20 cm depth. These variations underscore the influence of parent material, with mineral </w:t>
      </w:r>
      <w:r>
        <w:rPr>
          <w:rFonts w:ascii="Times New Roman" w:hAnsi="Times New Roman"/>
          <w:sz w:val="24"/>
          <w:szCs w:val="24"/>
        </w:rPr>
        <w:t>rich basement complex soils harboring higher total K reserves, whereas shale tend to have lower total K levels.</w:t>
      </w:r>
    </w:p>
    <w:p w:rsidR="00C5728C" w:rsidRDefault="001A6566">
      <w:pPr>
        <w:spacing w:after="0" w:line="360" w:lineRule="auto"/>
        <w:jc w:val="both"/>
        <w:rPr>
          <w:rFonts w:ascii="Times New Roman" w:hAnsi="Times New Roman"/>
          <w:sz w:val="24"/>
          <w:szCs w:val="24"/>
        </w:rPr>
      </w:pPr>
      <w:r>
        <w:rPr>
          <w:rFonts w:ascii="Times New Roman" w:hAnsi="Times New Roman"/>
          <w:sz w:val="24"/>
          <w:szCs w:val="24"/>
        </w:rPr>
        <w:t>Water-soluble (Solution) potassium, representing the immediately available form for plant uptake, ranged from 0.155 to 1.003 cmolkg</w:t>
      </w:r>
      <w:r>
        <w:rPr>
          <w:rFonts w:ascii="Times New Roman" w:hAnsi="Times New Roman"/>
          <w:sz w:val="24"/>
          <w:szCs w:val="24"/>
          <w:vertAlign w:val="superscript"/>
        </w:rPr>
        <w:t>-1</w:t>
      </w:r>
      <w:r>
        <w:rPr>
          <w:rFonts w:ascii="Times New Roman" w:hAnsi="Times New Roman"/>
          <w:sz w:val="24"/>
          <w:szCs w:val="24"/>
        </w:rPr>
        <w:t>. The highe</w:t>
      </w:r>
      <w:r>
        <w:rPr>
          <w:rFonts w:ascii="Times New Roman" w:hAnsi="Times New Roman"/>
          <w:sz w:val="24"/>
          <w:szCs w:val="24"/>
        </w:rPr>
        <w:t>st value was recorded in the coastal plain sand (Imo) at 1.003 cmolkg</w:t>
      </w:r>
      <w:r>
        <w:rPr>
          <w:rFonts w:ascii="Times New Roman" w:hAnsi="Times New Roman"/>
          <w:sz w:val="24"/>
          <w:szCs w:val="24"/>
          <w:vertAlign w:val="superscript"/>
        </w:rPr>
        <w:t>-1</w:t>
      </w:r>
      <w:r>
        <w:rPr>
          <w:rFonts w:ascii="Times New Roman" w:hAnsi="Times New Roman"/>
          <w:sz w:val="24"/>
          <w:szCs w:val="24"/>
        </w:rPr>
        <w:t xml:space="preserve"> at the 20-40 cm depth indicating rapid K availability but also potential leaching losses. Shale exhibits comparatively lower soluble K, with the lowest at 0.155 cmolkg</w:t>
      </w:r>
      <w:r>
        <w:rPr>
          <w:rFonts w:ascii="Times New Roman" w:hAnsi="Times New Roman"/>
          <w:sz w:val="24"/>
          <w:szCs w:val="24"/>
          <w:vertAlign w:val="superscript"/>
        </w:rPr>
        <w:t>-1</w:t>
      </w:r>
      <w:r>
        <w:rPr>
          <w:rFonts w:ascii="Times New Roman" w:hAnsi="Times New Roman"/>
          <w:sz w:val="24"/>
          <w:szCs w:val="24"/>
        </w:rPr>
        <w:t>. The relativel</w:t>
      </w:r>
      <w:r>
        <w:rPr>
          <w:rFonts w:ascii="Times New Roman" w:hAnsi="Times New Roman"/>
          <w:sz w:val="24"/>
          <w:szCs w:val="24"/>
        </w:rPr>
        <w:t>y narrow range suggests that while soluble K is influenced by parent material, it is also modulated by soil texture and moisture conditions. Water-soluble K constitutes a major fraction of available K in sandy soils, aligning with findings by Oladipo and A</w:t>
      </w:r>
      <w:r>
        <w:rPr>
          <w:rFonts w:ascii="Times New Roman" w:hAnsi="Times New Roman"/>
          <w:sz w:val="24"/>
          <w:szCs w:val="24"/>
        </w:rPr>
        <w:t xml:space="preserve">kinrinde (2014), who noted that sandy terrains tend to have higher soluble K due to minimal fixation. </w:t>
      </w:r>
    </w:p>
    <w:p w:rsidR="00C5728C" w:rsidRDefault="001A6566">
      <w:pPr>
        <w:spacing w:after="0" w:line="360" w:lineRule="auto"/>
        <w:jc w:val="both"/>
        <w:rPr>
          <w:rFonts w:ascii="Times New Roman" w:hAnsi="Times New Roman"/>
          <w:sz w:val="24"/>
          <w:szCs w:val="24"/>
        </w:rPr>
      </w:pPr>
      <w:r>
        <w:rPr>
          <w:rFonts w:ascii="Times New Roman" w:hAnsi="Times New Roman"/>
          <w:sz w:val="24"/>
          <w:szCs w:val="24"/>
        </w:rPr>
        <w:t>Exchangeable K, which is readily available for plant uptake and held on soil cation exchange sites. The study revealed that exchangeable K concentrations</w:t>
      </w:r>
      <w:r>
        <w:rPr>
          <w:rFonts w:ascii="Times New Roman" w:hAnsi="Times New Roman"/>
          <w:sz w:val="24"/>
          <w:szCs w:val="24"/>
        </w:rPr>
        <w:t xml:space="preserve"> vary from 0.100 cmolkg</w:t>
      </w:r>
      <w:r>
        <w:rPr>
          <w:rFonts w:ascii="Times New Roman" w:hAnsi="Times New Roman"/>
          <w:sz w:val="24"/>
          <w:szCs w:val="24"/>
          <w:vertAlign w:val="superscript"/>
        </w:rPr>
        <w:t>-1</w:t>
      </w:r>
      <w:r>
        <w:rPr>
          <w:rFonts w:ascii="Times New Roman" w:hAnsi="Times New Roman"/>
          <w:sz w:val="24"/>
          <w:szCs w:val="24"/>
        </w:rPr>
        <w:t xml:space="preserve"> in shale to 0.203 cmolkg</w:t>
      </w:r>
      <w:r>
        <w:rPr>
          <w:rFonts w:ascii="Times New Roman" w:hAnsi="Times New Roman"/>
          <w:sz w:val="24"/>
          <w:szCs w:val="24"/>
          <w:vertAlign w:val="superscript"/>
        </w:rPr>
        <w:t>-1</w:t>
      </w:r>
      <w:r>
        <w:rPr>
          <w:rFonts w:ascii="Times New Roman" w:hAnsi="Times New Roman"/>
          <w:sz w:val="24"/>
          <w:szCs w:val="24"/>
        </w:rPr>
        <w:t xml:space="preserve"> coastal plain sand across the soil types and depths. The coastal plain sand (Abia) had highest value of exchangeable K (up to 0.203 cmolkg</w:t>
      </w:r>
      <w:r>
        <w:rPr>
          <w:rFonts w:ascii="Times New Roman" w:hAnsi="Times New Roman"/>
          <w:sz w:val="24"/>
          <w:szCs w:val="24"/>
          <w:vertAlign w:val="superscript"/>
        </w:rPr>
        <w:t>-1</w:t>
      </w:r>
      <w:r>
        <w:rPr>
          <w:rFonts w:ascii="Times New Roman" w:hAnsi="Times New Roman"/>
          <w:sz w:val="24"/>
          <w:szCs w:val="24"/>
        </w:rPr>
        <w:t>) at both 0-20 and 40-60 cm depth, emphasizing the influence of</w:t>
      </w:r>
      <w:r>
        <w:rPr>
          <w:rFonts w:ascii="Times New Roman" w:hAnsi="Times New Roman"/>
          <w:sz w:val="24"/>
          <w:szCs w:val="24"/>
        </w:rPr>
        <w:t xml:space="preserve"> parent material on exchangeability. </w:t>
      </w:r>
    </w:p>
    <w:p w:rsidR="00C5728C" w:rsidRDefault="001A6566">
      <w:pPr>
        <w:spacing w:after="0" w:line="360" w:lineRule="auto"/>
        <w:jc w:val="both"/>
        <w:rPr>
          <w:rFonts w:ascii="Times New Roman" w:hAnsi="Times New Roman"/>
          <w:sz w:val="24"/>
          <w:szCs w:val="24"/>
        </w:rPr>
      </w:pPr>
      <w:r>
        <w:rPr>
          <w:rFonts w:ascii="Times New Roman" w:hAnsi="Times New Roman"/>
          <w:sz w:val="24"/>
          <w:szCs w:val="24"/>
        </w:rPr>
        <w:t>Non-exchangeable K, (HCl and HNO</w:t>
      </w:r>
      <w:r>
        <w:rPr>
          <w:rFonts w:ascii="Times New Roman" w:hAnsi="Times New Roman"/>
          <w:sz w:val="24"/>
          <w:szCs w:val="24"/>
          <w:vertAlign w:val="subscript"/>
        </w:rPr>
        <w:t>3</w:t>
      </w:r>
      <w:r>
        <w:rPr>
          <w:rFonts w:ascii="Times New Roman" w:hAnsi="Times New Roman"/>
          <w:sz w:val="24"/>
          <w:szCs w:val="24"/>
        </w:rPr>
        <w:t xml:space="preserve"> Extracted) especially as extracted by HCl, constitutes a significant reserve in many soils. The study indicated that the values range from approximately 0. 118 to 8.645 cmolkg</w:t>
      </w:r>
      <w:r>
        <w:rPr>
          <w:rFonts w:ascii="Times New Roman" w:hAnsi="Times New Roman"/>
          <w:sz w:val="24"/>
          <w:szCs w:val="24"/>
          <w:vertAlign w:val="superscript"/>
        </w:rPr>
        <w:t>-1</w:t>
      </w:r>
      <w:r>
        <w:rPr>
          <w:rFonts w:ascii="Times New Roman" w:hAnsi="Times New Roman"/>
          <w:sz w:val="24"/>
          <w:szCs w:val="24"/>
        </w:rPr>
        <w:t>. The h</w:t>
      </w:r>
      <w:r>
        <w:rPr>
          <w:rFonts w:ascii="Times New Roman" w:hAnsi="Times New Roman"/>
          <w:sz w:val="24"/>
          <w:szCs w:val="24"/>
        </w:rPr>
        <w:t>ighest non-exchangeable K, particularly in the HCl extract, was observed in the coastal plain sand (Imo) at 8.645 cmolkg</w:t>
      </w:r>
      <w:r>
        <w:rPr>
          <w:rFonts w:ascii="Times New Roman" w:hAnsi="Times New Roman"/>
          <w:sz w:val="24"/>
          <w:szCs w:val="24"/>
          <w:vertAlign w:val="superscript"/>
        </w:rPr>
        <w:t>-1</w:t>
      </w:r>
      <w:r>
        <w:rPr>
          <w:rFonts w:ascii="Times New Roman" w:hAnsi="Times New Roman"/>
          <w:sz w:val="24"/>
          <w:szCs w:val="24"/>
        </w:rPr>
        <w:t xml:space="preserve"> (0-20 cm depth). This form of K is primarily mineral-bound and slowly released, serving as a long-term K reserve. On the other hand, </w:t>
      </w:r>
      <w:r>
        <w:rPr>
          <w:rFonts w:ascii="Times New Roman" w:hAnsi="Times New Roman"/>
          <w:sz w:val="24"/>
          <w:szCs w:val="24"/>
        </w:rPr>
        <w:t>non- exchangeable K (HNO</w:t>
      </w:r>
      <w:r>
        <w:rPr>
          <w:rFonts w:ascii="Times New Roman" w:hAnsi="Times New Roman"/>
          <w:sz w:val="24"/>
          <w:szCs w:val="24"/>
          <w:vertAlign w:val="subscript"/>
        </w:rPr>
        <w:t xml:space="preserve">3 </w:t>
      </w:r>
      <w:r>
        <w:rPr>
          <w:rFonts w:ascii="Times New Roman" w:hAnsi="Times New Roman"/>
          <w:sz w:val="24"/>
          <w:szCs w:val="24"/>
        </w:rPr>
        <w:t>extractible)</w:t>
      </w:r>
      <w:r>
        <w:rPr>
          <w:rFonts w:ascii="Times New Roman" w:hAnsi="Times New Roman"/>
          <w:sz w:val="24"/>
          <w:szCs w:val="24"/>
          <w:vertAlign w:val="subscript"/>
        </w:rPr>
        <w:t xml:space="preserve"> </w:t>
      </w:r>
      <w:r>
        <w:rPr>
          <w:rFonts w:ascii="Times New Roman" w:hAnsi="Times New Roman"/>
          <w:sz w:val="24"/>
          <w:szCs w:val="24"/>
        </w:rPr>
        <w:t>recorded the highest value at 40-60 cm depth with alluvium soil (0.303) and the least value in sandstone (0.111 cmolkg</w:t>
      </w:r>
      <w:r>
        <w:rPr>
          <w:rFonts w:ascii="Times New Roman" w:hAnsi="Times New Roman"/>
          <w:sz w:val="24"/>
          <w:szCs w:val="24"/>
          <w:vertAlign w:val="superscript"/>
        </w:rPr>
        <w:t>-1</w:t>
      </w:r>
      <w:r>
        <w:rPr>
          <w:rFonts w:ascii="Times New Roman" w:hAnsi="Times New Roman"/>
          <w:sz w:val="24"/>
          <w:szCs w:val="24"/>
        </w:rPr>
        <w:t>). The higher non-exchangeable K in mineral-rich parent materials emphasizes their potential as K</w:t>
      </w:r>
      <w:r>
        <w:rPr>
          <w:rFonts w:ascii="Times New Roman" w:hAnsi="Times New Roman"/>
          <w:sz w:val="24"/>
          <w:szCs w:val="24"/>
        </w:rPr>
        <w:t xml:space="preserve"> reservoirs for future plant uptake.</w:t>
      </w:r>
      <w:r>
        <w:rPr>
          <w:rFonts w:ascii="Times New Roman" w:hAnsi="Times New Roman"/>
          <w:b/>
          <w:sz w:val="24"/>
          <w:szCs w:val="24"/>
        </w:rPr>
        <w:t xml:space="preserve"> </w:t>
      </w:r>
      <w:r>
        <w:rPr>
          <w:rFonts w:ascii="Times New Roman" w:hAnsi="Times New Roman"/>
          <w:sz w:val="24"/>
          <w:szCs w:val="24"/>
        </w:rPr>
        <w:t xml:space="preserve">Non-exchangeable (HCl extractable) K fractions tend to decrease with depth, indicating that surface soils generally have higher bioavailable K pools. </w:t>
      </w:r>
    </w:p>
    <w:p w:rsidR="00C5728C" w:rsidRDefault="001A6566">
      <w:pPr>
        <w:spacing w:after="0" w:line="360" w:lineRule="auto"/>
        <w:jc w:val="both"/>
        <w:rPr>
          <w:rFonts w:ascii="Times New Roman" w:hAnsi="Times New Roman"/>
          <w:sz w:val="24"/>
          <w:szCs w:val="24"/>
        </w:rPr>
      </w:pPr>
      <w:r>
        <w:rPr>
          <w:rFonts w:ascii="Times New Roman" w:hAnsi="Times New Roman"/>
          <w:sz w:val="24"/>
          <w:szCs w:val="24"/>
        </w:rPr>
        <w:t>The Available potassium reflects K readily available for plant uptak</w:t>
      </w:r>
      <w:r>
        <w:rPr>
          <w:rFonts w:ascii="Times New Roman" w:hAnsi="Times New Roman"/>
          <w:sz w:val="24"/>
          <w:szCs w:val="24"/>
        </w:rPr>
        <w:t>e. Coastal plain sand (Imo) again shows elevated available K (up to 1.146 cmolkg</w:t>
      </w:r>
      <w:r>
        <w:rPr>
          <w:rFonts w:ascii="Times New Roman" w:hAnsi="Times New Roman"/>
          <w:sz w:val="24"/>
          <w:szCs w:val="24"/>
          <w:vertAlign w:val="superscript"/>
        </w:rPr>
        <w:t>-1</w:t>
      </w:r>
      <w:r>
        <w:rPr>
          <w:rFonts w:ascii="Times New Roman" w:hAnsi="Times New Roman"/>
          <w:sz w:val="24"/>
          <w:szCs w:val="24"/>
        </w:rPr>
        <w:t>). Shale has lower available K, with the lowest at 0.272 cmolkg</w:t>
      </w:r>
      <w:r>
        <w:rPr>
          <w:rFonts w:ascii="Times New Roman" w:hAnsi="Times New Roman"/>
          <w:sz w:val="24"/>
          <w:szCs w:val="24"/>
          <w:vertAlign w:val="superscript"/>
        </w:rPr>
        <w:t>-1</w:t>
      </w:r>
      <w:r>
        <w:rPr>
          <w:rFonts w:ascii="Times New Roman" w:hAnsi="Times New Roman"/>
          <w:sz w:val="24"/>
          <w:szCs w:val="24"/>
        </w:rPr>
        <w:t>, emphasizing their limited immediate nutrient supply. This pattern reflects the influence of parent material</w:t>
      </w:r>
      <w:r>
        <w:rPr>
          <w:rFonts w:ascii="Times New Roman" w:hAnsi="Times New Roman"/>
          <w:sz w:val="24"/>
          <w:szCs w:val="24"/>
        </w:rPr>
        <w:t xml:space="preserve"> and soil texture, with coarse-textured soil offering higher available K.</w:t>
      </w:r>
    </w:p>
    <w:p w:rsidR="00C5728C" w:rsidRDefault="001A6566">
      <w:pPr>
        <w:spacing w:line="360" w:lineRule="auto"/>
        <w:jc w:val="both"/>
        <w:rPr>
          <w:rFonts w:ascii="Times New Roman" w:hAnsi="Times New Roman"/>
          <w:sz w:val="24"/>
          <w:szCs w:val="24"/>
        </w:rPr>
      </w:pPr>
      <w:r>
        <w:rPr>
          <w:rFonts w:ascii="Times New Roman" w:hAnsi="Times New Roman"/>
          <w:sz w:val="24"/>
          <w:szCs w:val="24"/>
        </w:rPr>
        <w:t>The mineral or structural K, representing potassium locked within mineral lattices, which becomes available to plants only upon mineral weathering over time. The highest mean concent</w:t>
      </w:r>
      <w:r>
        <w:rPr>
          <w:rFonts w:ascii="Times New Roman" w:hAnsi="Times New Roman"/>
          <w:sz w:val="24"/>
          <w:szCs w:val="24"/>
        </w:rPr>
        <w:t xml:space="preserve">ration was observed in basement complex soil (0.636 </w:t>
      </w:r>
      <w:bookmarkStart w:id="1" w:name="_Hlk203650803"/>
      <w:r>
        <w:rPr>
          <w:rFonts w:ascii="Times New Roman" w:hAnsi="Times New Roman"/>
          <w:sz w:val="24"/>
          <w:szCs w:val="24"/>
        </w:rPr>
        <w:t>cmolkg</w:t>
      </w:r>
      <w:r>
        <w:rPr>
          <w:rFonts w:ascii="Times New Roman" w:hAnsi="Times New Roman"/>
          <w:sz w:val="24"/>
          <w:szCs w:val="24"/>
          <w:vertAlign w:val="superscript"/>
        </w:rPr>
        <w:t>-1</w:t>
      </w:r>
      <w:r>
        <w:rPr>
          <w:rFonts w:ascii="Times New Roman" w:hAnsi="Times New Roman"/>
          <w:sz w:val="24"/>
          <w:szCs w:val="24"/>
        </w:rPr>
        <w:t xml:space="preserve"> </w:t>
      </w:r>
      <w:bookmarkEnd w:id="1"/>
      <w:r>
        <w:rPr>
          <w:rFonts w:ascii="Times New Roman" w:hAnsi="Times New Roman"/>
          <w:sz w:val="24"/>
          <w:szCs w:val="24"/>
        </w:rPr>
        <w:t>at 0-20cm), aligning with the mineral rich composition typical of basement complex parent material. Conversely, shale soils exhibited the lowest value of mineral K (0.171 cmolkg</w:t>
      </w:r>
      <w:r>
        <w:rPr>
          <w:rFonts w:ascii="Times New Roman" w:hAnsi="Times New Roman"/>
          <w:sz w:val="24"/>
          <w:szCs w:val="24"/>
          <w:vertAlign w:val="superscript"/>
        </w:rPr>
        <w:t>-1</w:t>
      </w:r>
      <w:r>
        <w:rPr>
          <w:rFonts w:ascii="Times New Roman" w:hAnsi="Times New Roman"/>
          <w:sz w:val="24"/>
          <w:szCs w:val="24"/>
        </w:rPr>
        <w:t>), reflecting th</w:t>
      </w:r>
      <w:r>
        <w:rPr>
          <w:rFonts w:ascii="Times New Roman" w:hAnsi="Times New Roman"/>
          <w:sz w:val="24"/>
          <w:szCs w:val="24"/>
        </w:rPr>
        <w:t xml:space="preserve">eir relatively lower mineral content. This aligns that soils rich in mineral K may contribute to sustained potassium supply over time, but weathering rates dictate immediate availability.  </w:t>
      </w:r>
    </w:p>
    <w:p w:rsidR="00C5728C" w:rsidRDefault="001A6566">
      <w:pPr>
        <w:spacing w:after="0" w:line="360" w:lineRule="auto"/>
        <w:jc w:val="both"/>
        <w:rPr>
          <w:rFonts w:ascii="Times New Roman" w:hAnsi="Times New Roman"/>
          <w:b/>
          <w:sz w:val="24"/>
          <w:szCs w:val="24"/>
        </w:rPr>
      </w:pPr>
      <w:r>
        <w:rPr>
          <w:rFonts w:ascii="Times New Roman" w:hAnsi="Times New Roman"/>
          <w:b/>
          <w:sz w:val="24"/>
          <w:szCs w:val="24"/>
        </w:rPr>
        <w:t>3.3 Influence of Parent Material and Depth</w:t>
      </w:r>
    </w:p>
    <w:p w:rsidR="00C5728C" w:rsidRDefault="001A6566">
      <w:pPr>
        <w:spacing w:after="0" w:line="360" w:lineRule="auto"/>
        <w:jc w:val="both"/>
        <w:rPr>
          <w:rFonts w:ascii="Times New Roman" w:hAnsi="Times New Roman"/>
          <w:sz w:val="24"/>
          <w:szCs w:val="24"/>
        </w:rPr>
      </w:pPr>
      <w:r>
        <w:rPr>
          <w:rFonts w:ascii="Times New Roman" w:hAnsi="Times New Roman"/>
          <w:sz w:val="24"/>
          <w:szCs w:val="24"/>
        </w:rPr>
        <w:t xml:space="preserve">The distribution of </w:t>
      </w:r>
      <w:r>
        <w:rPr>
          <w:rFonts w:ascii="Times New Roman" w:hAnsi="Times New Roman"/>
          <w:sz w:val="24"/>
          <w:szCs w:val="24"/>
        </w:rPr>
        <w:t>potassium forms in soils of the study area varies significantly with parent material and depth (Table 3). The variation in K forms across different parent materials is evident. Soils derived from basement complex parent material consistently display higher</w:t>
      </w:r>
      <w:r>
        <w:rPr>
          <w:rFonts w:ascii="Times New Roman" w:hAnsi="Times New Roman"/>
          <w:sz w:val="24"/>
          <w:szCs w:val="24"/>
        </w:rPr>
        <w:t xml:space="preserve"> total and mineral K contents, reflecting their mineral richness and geological history. While soils from coastal plain sands had the highest values of wate</w:t>
      </w:r>
      <w:r>
        <w:rPr>
          <w:rFonts w:ascii="Times New Roman" w:hAnsi="Times New Roman"/>
          <w:sz w:val="24"/>
          <w:szCs w:val="24"/>
        </w:rPr>
        <w:t>r</w:t>
      </w:r>
      <w:r>
        <w:rPr>
          <w:rFonts w:ascii="Times New Roman" w:hAnsi="Times New Roman"/>
          <w:sz w:val="24"/>
          <w:szCs w:val="24"/>
        </w:rPr>
        <w:t xml:space="preserve">-soluble K, available, exchangeable and non-exchangeable forms of K. Depth-wise, the 0-20 cm layer </w:t>
      </w:r>
      <w:r>
        <w:rPr>
          <w:rFonts w:ascii="Times New Roman" w:hAnsi="Times New Roman"/>
          <w:sz w:val="24"/>
          <w:szCs w:val="24"/>
        </w:rPr>
        <w:t>generally contains higher K concentrations across all soil types, attributable to surface accumulation of organic matter and mineral weathering products. As depth increases, K levels decrease, especially in sandy soils, indicating limited downward transloc</w:t>
      </w:r>
      <w:r>
        <w:rPr>
          <w:rFonts w:ascii="Times New Roman" w:hAnsi="Times New Roman"/>
          <w:sz w:val="24"/>
          <w:szCs w:val="24"/>
        </w:rPr>
        <w:t>ation and leaching of K.</w:t>
      </w:r>
    </w:p>
    <w:p w:rsidR="00C5728C" w:rsidRDefault="001A6566">
      <w:pPr>
        <w:spacing w:after="0" w:line="360" w:lineRule="auto"/>
        <w:jc w:val="both"/>
        <w:rPr>
          <w:rFonts w:ascii="Times New Roman" w:hAnsi="Times New Roman"/>
          <w:sz w:val="24"/>
          <w:szCs w:val="24"/>
        </w:rPr>
      </w:pPr>
      <w:r>
        <w:rPr>
          <w:rFonts w:ascii="Times New Roman" w:hAnsi="Times New Roman"/>
          <w:sz w:val="24"/>
          <w:szCs w:val="24"/>
        </w:rPr>
        <w:t>These findings align with literature emphasizing the importance of parent material in determining soil potassium dynamics. Foth (1990), highlighted that mineral K availability depends largely on mineral composition and weathering r</w:t>
      </w:r>
      <w:r>
        <w:rPr>
          <w:rFonts w:ascii="Times New Roman" w:hAnsi="Times New Roman"/>
          <w:sz w:val="24"/>
          <w:szCs w:val="24"/>
        </w:rPr>
        <w:t xml:space="preserve">ates, which are inherently linked to parent material. Similarly, (Menzies, 2004) stressed that soils derived from shale or sedimentary parent materials tend to have lower exchangeable K but higher non-exchangeable pools that become available over time. In </w:t>
      </w:r>
      <w:r>
        <w:rPr>
          <w:rFonts w:ascii="Times New Roman" w:hAnsi="Times New Roman"/>
          <w:sz w:val="24"/>
          <w:szCs w:val="24"/>
        </w:rPr>
        <w:t>contrast (Rengel,1999), argue that management practices such as fertilization and organic matter addition can significantly modify potassium availability, sometimes over showing parent material effects underscoring the need for site specific soil managemen</w:t>
      </w:r>
      <w:r>
        <w:rPr>
          <w:rFonts w:ascii="Times New Roman" w:hAnsi="Times New Roman"/>
          <w:sz w:val="24"/>
          <w:szCs w:val="24"/>
        </w:rPr>
        <w:t>t based on detailed K fractionation data.</w:t>
      </w:r>
    </w:p>
    <w:p w:rsidR="00C5728C" w:rsidRDefault="001A6566">
      <w:pPr>
        <w:spacing w:line="240" w:lineRule="auto"/>
        <w:jc w:val="both"/>
        <w:rPr>
          <w:rFonts w:ascii="Times New Roman" w:hAnsi="Times New Roman"/>
          <w:b/>
          <w:sz w:val="24"/>
          <w:szCs w:val="24"/>
        </w:rPr>
      </w:pPr>
      <w:r>
        <w:rPr>
          <w:rFonts w:ascii="Times New Roman" w:hAnsi="Times New Roman"/>
          <w:b/>
          <w:sz w:val="24"/>
          <w:szCs w:val="24"/>
        </w:rPr>
        <w:t>Table 3. Forms and Distribution of Potassium in the Soils (cmolkg</w:t>
      </w:r>
      <w:r>
        <w:rPr>
          <w:rFonts w:ascii="Times New Roman" w:hAnsi="Times New Roman"/>
          <w:b/>
          <w:sz w:val="24"/>
          <w:szCs w:val="24"/>
          <w:vertAlign w:val="superscript"/>
        </w:rPr>
        <w:t>-1</w:t>
      </w:r>
      <w:r>
        <w:rPr>
          <w:rFonts w:ascii="Times New Roman" w:hAnsi="Times New Roman"/>
          <w:b/>
          <w:sz w:val="24"/>
          <w:szCs w:val="24"/>
        </w:rPr>
        <w:t>)</w:t>
      </w:r>
    </w:p>
    <w:tbl>
      <w:tblPr>
        <w:tblStyle w:val="TableGrid"/>
        <w:tblW w:w="11520" w:type="dxa"/>
        <w:tblInd w:w="-905"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810"/>
        <w:gridCol w:w="2136"/>
        <w:gridCol w:w="1284"/>
        <w:gridCol w:w="1260"/>
        <w:gridCol w:w="1350"/>
        <w:gridCol w:w="1350"/>
        <w:gridCol w:w="2070"/>
      </w:tblGrid>
      <w:tr w:rsidR="00C5728C">
        <w:tc>
          <w:tcPr>
            <w:tcW w:w="1260" w:type="dxa"/>
            <w:tcBorders>
              <w:top w:val="single" w:sz="4" w:space="0" w:color="000000"/>
              <w:bottom w:val="single" w:sz="4" w:space="0" w:color="000000"/>
            </w:tcBorders>
          </w:tcPr>
          <w:p w:rsidR="00C5728C" w:rsidRDefault="001A6566">
            <w:pPr>
              <w:spacing w:after="0" w:line="240" w:lineRule="auto"/>
              <w:jc w:val="both"/>
              <w:rPr>
                <w:rFonts w:ascii="Times New Roman" w:hAnsi="Times New Roman"/>
                <w:b/>
                <w:bCs/>
                <w:sz w:val="24"/>
                <w:szCs w:val="24"/>
              </w:rPr>
            </w:pPr>
            <w:r>
              <w:rPr>
                <w:rFonts w:ascii="Times New Roman" w:hAnsi="Times New Roman"/>
                <w:b/>
                <w:bCs/>
                <w:sz w:val="24"/>
                <w:szCs w:val="24"/>
              </w:rPr>
              <w:t>Depth (cm)</w:t>
            </w:r>
          </w:p>
        </w:tc>
        <w:tc>
          <w:tcPr>
            <w:tcW w:w="810" w:type="dxa"/>
            <w:tcBorders>
              <w:top w:val="single" w:sz="4" w:space="0" w:color="000000"/>
              <w:bottom w:val="single" w:sz="4" w:space="0" w:color="000000"/>
            </w:tcBorders>
          </w:tcPr>
          <w:p w:rsidR="00C5728C" w:rsidRDefault="001A6566">
            <w:pPr>
              <w:spacing w:after="0" w:line="240" w:lineRule="auto"/>
              <w:jc w:val="both"/>
              <w:rPr>
                <w:rFonts w:ascii="Times New Roman" w:hAnsi="Times New Roman"/>
                <w:b/>
                <w:bCs/>
                <w:sz w:val="24"/>
                <w:szCs w:val="24"/>
              </w:rPr>
            </w:pPr>
            <w:r>
              <w:rPr>
                <w:rFonts w:ascii="Times New Roman" w:hAnsi="Times New Roman"/>
                <w:b/>
                <w:bCs/>
                <w:sz w:val="24"/>
                <w:szCs w:val="24"/>
              </w:rPr>
              <w:t>Total K</w:t>
            </w:r>
          </w:p>
        </w:tc>
        <w:tc>
          <w:tcPr>
            <w:tcW w:w="2136" w:type="dxa"/>
            <w:tcBorders>
              <w:top w:val="single" w:sz="4" w:space="0" w:color="000000"/>
              <w:bottom w:val="single" w:sz="4" w:space="0" w:color="000000"/>
            </w:tcBorders>
          </w:tcPr>
          <w:p w:rsidR="00C5728C" w:rsidRDefault="001A6566">
            <w:pPr>
              <w:spacing w:after="0" w:line="240" w:lineRule="auto"/>
              <w:jc w:val="both"/>
              <w:rPr>
                <w:rFonts w:ascii="Times New Roman" w:hAnsi="Times New Roman"/>
                <w:b/>
                <w:bCs/>
                <w:sz w:val="24"/>
                <w:szCs w:val="24"/>
              </w:rPr>
            </w:pPr>
            <w:r>
              <w:rPr>
                <w:rFonts w:ascii="Times New Roman" w:hAnsi="Times New Roman"/>
                <w:b/>
                <w:bCs/>
                <w:sz w:val="24"/>
                <w:szCs w:val="24"/>
              </w:rPr>
              <w:t>Water Soluble/Solution K</w:t>
            </w:r>
          </w:p>
        </w:tc>
        <w:tc>
          <w:tcPr>
            <w:tcW w:w="1284" w:type="dxa"/>
            <w:tcBorders>
              <w:top w:val="single" w:sz="4" w:space="0" w:color="000000"/>
              <w:bottom w:val="single" w:sz="4" w:space="0" w:color="000000"/>
            </w:tcBorders>
          </w:tcPr>
          <w:p w:rsidR="00C5728C" w:rsidRDefault="001A6566">
            <w:pPr>
              <w:spacing w:after="0" w:line="240" w:lineRule="auto"/>
              <w:jc w:val="both"/>
              <w:rPr>
                <w:rFonts w:ascii="Times New Roman" w:hAnsi="Times New Roman"/>
                <w:b/>
                <w:bCs/>
                <w:sz w:val="24"/>
                <w:szCs w:val="24"/>
              </w:rPr>
            </w:pPr>
            <w:r>
              <w:rPr>
                <w:rFonts w:ascii="Times New Roman" w:hAnsi="Times New Roman"/>
                <w:b/>
                <w:bCs/>
                <w:sz w:val="24"/>
                <w:szCs w:val="24"/>
              </w:rPr>
              <w:t>Exchangeable-K</w:t>
            </w:r>
          </w:p>
        </w:tc>
        <w:tc>
          <w:tcPr>
            <w:tcW w:w="1260" w:type="dxa"/>
            <w:tcBorders>
              <w:top w:val="single" w:sz="4" w:space="0" w:color="000000"/>
              <w:bottom w:val="single" w:sz="4" w:space="0" w:color="000000"/>
            </w:tcBorders>
          </w:tcPr>
          <w:p w:rsidR="00C5728C" w:rsidRDefault="001A6566">
            <w:pPr>
              <w:spacing w:after="0" w:line="240" w:lineRule="auto"/>
              <w:jc w:val="both"/>
              <w:rPr>
                <w:rFonts w:ascii="Times New Roman" w:hAnsi="Times New Roman"/>
                <w:b/>
                <w:bCs/>
                <w:sz w:val="24"/>
                <w:szCs w:val="24"/>
              </w:rPr>
            </w:pPr>
            <w:r>
              <w:rPr>
                <w:rFonts w:ascii="Times New Roman" w:hAnsi="Times New Roman"/>
                <w:b/>
                <w:bCs/>
                <w:sz w:val="24"/>
                <w:szCs w:val="24"/>
              </w:rPr>
              <w:t>Non-Exchangeable-K (HCl)</w:t>
            </w:r>
          </w:p>
        </w:tc>
        <w:tc>
          <w:tcPr>
            <w:tcW w:w="1350" w:type="dxa"/>
            <w:tcBorders>
              <w:top w:val="single" w:sz="4" w:space="0" w:color="000000"/>
              <w:bottom w:val="single" w:sz="4" w:space="0" w:color="000000"/>
            </w:tcBorders>
          </w:tcPr>
          <w:p w:rsidR="00C5728C" w:rsidRDefault="001A6566">
            <w:pPr>
              <w:spacing w:after="0" w:line="240" w:lineRule="auto"/>
              <w:jc w:val="both"/>
              <w:rPr>
                <w:rFonts w:ascii="Times New Roman" w:hAnsi="Times New Roman"/>
                <w:b/>
                <w:bCs/>
                <w:sz w:val="24"/>
                <w:szCs w:val="24"/>
              </w:rPr>
            </w:pPr>
            <w:r>
              <w:rPr>
                <w:rFonts w:ascii="Times New Roman" w:hAnsi="Times New Roman"/>
                <w:b/>
                <w:bCs/>
                <w:sz w:val="24"/>
                <w:szCs w:val="24"/>
              </w:rPr>
              <w:t xml:space="preserve">Non-Exch </w:t>
            </w:r>
            <w:r>
              <w:rPr>
                <w:rFonts w:ascii="Times New Roman" w:hAnsi="Times New Roman"/>
                <w:b/>
                <w:bCs/>
                <w:sz w:val="24"/>
                <w:szCs w:val="24"/>
              </w:rPr>
              <w:t>K</w:t>
            </w:r>
            <w:r>
              <w:rPr>
                <w:rFonts w:ascii="Times New Roman" w:hAnsi="Times New Roman"/>
                <w:b/>
                <w:bCs/>
                <w:sz w:val="24"/>
                <w:szCs w:val="24"/>
              </w:rPr>
              <w:t>(HNO</w:t>
            </w:r>
            <w:r>
              <w:rPr>
                <w:rFonts w:ascii="Times New Roman" w:hAnsi="Times New Roman"/>
                <w:b/>
                <w:bCs/>
                <w:sz w:val="24"/>
                <w:szCs w:val="24"/>
                <w:vertAlign w:val="subscript"/>
              </w:rPr>
              <w:t>3</w:t>
            </w:r>
            <w:r>
              <w:rPr>
                <w:rFonts w:ascii="Times New Roman" w:hAnsi="Times New Roman"/>
                <w:b/>
                <w:bCs/>
                <w:sz w:val="24"/>
                <w:szCs w:val="24"/>
              </w:rPr>
              <w:t>)</w:t>
            </w:r>
          </w:p>
        </w:tc>
        <w:tc>
          <w:tcPr>
            <w:tcW w:w="1350" w:type="dxa"/>
            <w:tcBorders>
              <w:top w:val="single" w:sz="4" w:space="0" w:color="000000"/>
              <w:bottom w:val="single" w:sz="4" w:space="0" w:color="000000"/>
            </w:tcBorders>
          </w:tcPr>
          <w:p w:rsidR="00C5728C" w:rsidRDefault="001A6566">
            <w:pPr>
              <w:spacing w:after="0" w:line="240" w:lineRule="auto"/>
              <w:jc w:val="both"/>
              <w:rPr>
                <w:rFonts w:ascii="Times New Roman" w:hAnsi="Times New Roman"/>
                <w:b/>
                <w:bCs/>
                <w:sz w:val="24"/>
                <w:szCs w:val="24"/>
              </w:rPr>
            </w:pPr>
            <w:r>
              <w:rPr>
                <w:rFonts w:ascii="Times New Roman" w:hAnsi="Times New Roman"/>
                <w:b/>
                <w:bCs/>
                <w:sz w:val="24"/>
                <w:szCs w:val="24"/>
              </w:rPr>
              <w:t>Available K</w:t>
            </w:r>
          </w:p>
        </w:tc>
        <w:tc>
          <w:tcPr>
            <w:tcW w:w="2070" w:type="dxa"/>
            <w:tcBorders>
              <w:top w:val="single" w:sz="4" w:space="0" w:color="000000"/>
              <w:bottom w:val="single" w:sz="4" w:space="0" w:color="000000"/>
            </w:tcBorders>
          </w:tcPr>
          <w:p w:rsidR="00C5728C" w:rsidRDefault="001A6566">
            <w:pPr>
              <w:spacing w:after="0" w:line="240" w:lineRule="auto"/>
              <w:jc w:val="both"/>
              <w:rPr>
                <w:rFonts w:ascii="Times New Roman" w:hAnsi="Times New Roman"/>
                <w:b/>
                <w:bCs/>
                <w:sz w:val="24"/>
                <w:szCs w:val="24"/>
              </w:rPr>
            </w:pPr>
            <w:r>
              <w:rPr>
                <w:rFonts w:ascii="Times New Roman" w:hAnsi="Times New Roman"/>
                <w:b/>
                <w:bCs/>
                <w:sz w:val="24"/>
                <w:szCs w:val="24"/>
              </w:rPr>
              <w:t>Mineral/Structural K</w:t>
            </w:r>
          </w:p>
        </w:tc>
      </w:tr>
      <w:tr w:rsidR="00C5728C">
        <w:tc>
          <w:tcPr>
            <w:tcW w:w="11520" w:type="dxa"/>
            <w:gridSpan w:val="8"/>
            <w:tcBorders>
              <w:top w:val="single" w:sz="4" w:space="0" w:color="000000"/>
            </w:tcBorders>
          </w:tcPr>
          <w:p w:rsidR="00C5728C" w:rsidRDefault="001A6566">
            <w:pPr>
              <w:spacing w:after="0" w:line="240" w:lineRule="auto"/>
              <w:jc w:val="center"/>
              <w:rPr>
                <w:rFonts w:ascii="Times New Roman" w:hAnsi="Times New Roman"/>
                <w:bCs/>
                <w:sz w:val="24"/>
                <w:szCs w:val="24"/>
              </w:rPr>
            </w:pPr>
            <w:r>
              <w:rPr>
                <w:rFonts w:ascii="Times New Roman" w:hAnsi="Times New Roman"/>
                <w:b/>
                <w:bCs/>
                <w:sz w:val="24"/>
                <w:szCs w:val="24"/>
              </w:rPr>
              <w:t>Alluvium</w:t>
            </w: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0-20</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0.760</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0.230</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0.129</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0.303</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0.166</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0.359</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0.594</w:t>
            </w: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20-40</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0.737</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0.226</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0.113</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0.292</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0.133</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0.339</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0.604</w:t>
            </w: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40-60</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0.629</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0.187</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0.116</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0.244</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o.303</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0.303</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0.507</w:t>
            </w:r>
          </w:p>
        </w:tc>
      </w:tr>
      <w:tr w:rsidR="00C5728C">
        <w:tc>
          <w:tcPr>
            <w:tcW w:w="11520" w:type="dxa"/>
            <w:gridSpan w:val="8"/>
          </w:tcPr>
          <w:p w:rsidR="00C5728C" w:rsidRDefault="001A6566">
            <w:pPr>
              <w:spacing w:after="0" w:line="240" w:lineRule="auto"/>
              <w:jc w:val="center"/>
              <w:rPr>
                <w:rFonts w:ascii="Times New Roman" w:hAnsi="Times New Roman"/>
                <w:b/>
                <w:bCs/>
                <w:sz w:val="24"/>
                <w:szCs w:val="24"/>
              </w:rPr>
            </w:pPr>
            <w:r>
              <w:rPr>
                <w:rFonts w:ascii="Times New Roman" w:hAnsi="Times New Roman"/>
                <w:b/>
                <w:bCs/>
                <w:sz w:val="24"/>
                <w:szCs w:val="24"/>
              </w:rPr>
              <w:t>Basement complex</w:t>
            </w: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0-20</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0.901</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0.346</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0.152</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0.355</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0.265</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0.498</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0.636</w:t>
            </w: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20-40</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0.665</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0.206</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0.132</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0.258</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0.170</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0.339</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0.495</w:t>
            </w: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40-60</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0.562</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0.184</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0.122</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0.220</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0.156</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0.306</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0.406</w:t>
            </w:r>
          </w:p>
        </w:tc>
      </w:tr>
      <w:tr w:rsidR="00C5728C">
        <w:tc>
          <w:tcPr>
            <w:tcW w:w="11520" w:type="dxa"/>
            <w:gridSpan w:val="8"/>
          </w:tcPr>
          <w:p w:rsidR="00C5728C" w:rsidRDefault="001A6566">
            <w:pPr>
              <w:spacing w:after="0" w:line="240" w:lineRule="auto"/>
              <w:jc w:val="center"/>
              <w:rPr>
                <w:rFonts w:ascii="Times New Roman" w:hAnsi="Times New Roman"/>
                <w:b/>
                <w:bCs/>
                <w:sz w:val="24"/>
                <w:szCs w:val="24"/>
              </w:rPr>
            </w:pPr>
            <w:r>
              <w:rPr>
                <w:rFonts w:ascii="Times New Roman" w:hAnsi="Times New Roman"/>
                <w:b/>
                <w:bCs/>
                <w:sz w:val="24"/>
                <w:szCs w:val="24"/>
              </w:rPr>
              <w:t>Coastal plain sand (Abia)</w:t>
            </w: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0-20</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0.652</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0.253</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0.203</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0.259</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0.173</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0.456</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0.479</w:t>
            </w: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20-40</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0.529</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0.279</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0.195</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0.211</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0.166</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0.474</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0.363</w:t>
            </w: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40-60</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0.506</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0.220</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0.203</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0.195</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0.171</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0.423</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0.335</w:t>
            </w:r>
          </w:p>
        </w:tc>
      </w:tr>
      <w:tr w:rsidR="00C5728C">
        <w:tc>
          <w:tcPr>
            <w:tcW w:w="11520" w:type="dxa"/>
            <w:gridSpan w:val="8"/>
          </w:tcPr>
          <w:p w:rsidR="00C5728C" w:rsidRDefault="001A6566">
            <w:pPr>
              <w:spacing w:after="0" w:line="240" w:lineRule="auto"/>
              <w:jc w:val="center"/>
              <w:rPr>
                <w:rFonts w:ascii="Times New Roman" w:hAnsi="Times New Roman"/>
                <w:b/>
                <w:bCs/>
                <w:sz w:val="24"/>
                <w:szCs w:val="24"/>
              </w:rPr>
            </w:pPr>
            <w:r>
              <w:rPr>
                <w:rFonts w:ascii="Times New Roman" w:hAnsi="Times New Roman"/>
                <w:b/>
                <w:bCs/>
                <w:sz w:val="24"/>
                <w:szCs w:val="24"/>
              </w:rPr>
              <w:t>Coastal plain sand (Imo)</w:t>
            </w: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0-20</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0.550</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0.520</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0.145</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8.645</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0.179</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0.665</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0.371</w:t>
            </w: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20-40</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0.579</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1.003</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0.143</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0.226</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0.171</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1.146</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0.408</w:t>
            </w: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40-60</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0.660</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0.695</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0.133</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0.234</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0.173</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0.828</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0.487</w:t>
            </w:r>
          </w:p>
        </w:tc>
      </w:tr>
      <w:tr w:rsidR="00C5728C">
        <w:tc>
          <w:tcPr>
            <w:tcW w:w="6750" w:type="dxa"/>
            <w:gridSpan w:val="5"/>
          </w:tcPr>
          <w:p w:rsidR="00C5728C" w:rsidRDefault="001A6566">
            <w:pPr>
              <w:spacing w:after="0" w:line="240" w:lineRule="auto"/>
              <w:jc w:val="center"/>
              <w:rPr>
                <w:rFonts w:ascii="Times New Roman" w:hAnsi="Times New Roman"/>
                <w:b/>
                <w:bCs/>
                <w:sz w:val="24"/>
                <w:szCs w:val="24"/>
              </w:rPr>
            </w:pPr>
            <w:r>
              <w:rPr>
                <w:rFonts w:ascii="Times New Roman" w:hAnsi="Times New Roman"/>
                <w:b/>
                <w:bCs/>
                <w:sz w:val="24"/>
                <w:szCs w:val="24"/>
              </w:rPr>
              <w:t xml:space="preserve">                                                                                   Sandstone</w:t>
            </w:r>
          </w:p>
        </w:tc>
        <w:tc>
          <w:tcPr>
            <w:tcW w:w="4770" w:type="dxa"/>
            <w:gridSpan w:val="3"/>
          </w:tcPr>
          <w:p w:rsidR="00C5728C" w:rsidRDefault="00C5728C">
            <w:pPr>
              <w:spacing w:after="0" w:line="240" w:lineRule="auto"/>
              <w:jc w:val="both"/>
              <w:rPr>
                <w:rFonts w:ascii="Times New Roman" w:hAnsi="Times New Roman"/>
                <w:b/>
                <w:bCs/>
                <w:sz w:val="24"/>
                <w:szCs w:val="24"/>
              </w:rPr>
            </w:pP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0-20</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0.710</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0.506</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0.152</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0.283</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0.185</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0.659</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0.525</w:t>
            </w: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20-40</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0.701</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0.667</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0.150</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0.249</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0.166</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0.817</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0.535</w:t>
            </w: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40-60</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0.679</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0.725</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0.126</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0.268</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0.168</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0.851</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0.511</w:t>
            </w:r>
          </w:p>
        </w:tc>
      </w:tr>
      <w:tr w:rsidR="00C5728C">
        <w:trPr>
          <w:trHeight w:val="431"/>
        </w:trPr>
        <w:tc>
          <w:tcPr>
            <w:tcW w:w="9450" w:type="dxa"/>
            <w:gridSpan w:val="7"/>
          </w:tcPr>
          <w:p w:rsidR="00C5728C" w:rsidRDefault="001A6566">
            <w:pPr>
              <w:spacing w:after="0" w:line="240" w:lineRule="auto"/>
              <w:jc w:val="center"/>
              <w:rPr>
                <w:rFonts w:ascii="Times New Roman" w:hAnsi="Times New Roman"/>
                <w:b/>
                <w:bCs/>
                <w:sz w:val="24"/>
                <w:szCs w:val="24"/>
              </w:rPr>
            </w:pPr>
            <w:r>
              <w:rPr>
                <w:rFonts w:ascii="Times New Roman" w:hAnsi="Times New Roman"/>
                <w:b/>
                <w:bCs/>
                <w:sz w:val="24"/>
                <w:szCs w:val="24"/>
              </w:rPr>
              <w:t xml:space="preserve">                                      Shale</w:t>
            </w:r>
          </w:p>
        </w:tc>
        <w:tc>
          <w:tcPr>
            <w:tcW w:w="2070" w:type="dxa"/>
          </w:tcPr>
          <w:p w:rsidR="00C5728C" w:rsidRDefault="00C5728C">
            <w:pPr>
              <w:spacing w:after="0" w:line="240" w:lineRule="auto"/>
              <w:rPr>
                <w:rFonts w:ascii="Times New Roman" w:hAnsi="Times New Roman"/>
                <w:bCs/>
                <w:sz w:val="24"/>
                <w:szCs w:val="24"/>
              </w:rPr>
            </w:pP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0-20</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0.302</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0.216</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0.114</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0.118</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0.131</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0.330</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0.171</w:t>
            </w: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20-40</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0.313</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0.155</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0.121</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0.123</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0.111</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0.276</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0.202</w:t>
            </w: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40-60</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0.460</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0.172</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0.100</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0.183</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0.113</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0.272</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0.347</w:t>
            </w:r>
          </w:p>
        </w:tc>
      </w:tr>
      <w:tr w:rsidR="00C5728C">
        <w:tc>
          <w:tcPr>
            <w:tcW w:w="1260" w:type="dxa"/>
          </w:tcPr>
          <w:p w:rsidR="00C5728C" w:rsidRDefault="001A6566">
            <w:pPr>
              <w:spacing w:after="0" w:line="240" w:lineRule="auto"/>
              <w:jc w:val="both"/>
              <w:rPr>
                <w:rFonts w:ascii="Times New Roman" w:hAnsi="Times New Roman"/>
                <w:b/>
                <w:bCs/>
                <w:sz w:val="24"/>
                <w:szCs w:val="24"/>
              </w:rPr>
            </w:pPr>
            <w:r>
              <w:rPr>
                <w:rFonts w:ascii="Times New Roman" w:hAnsi="Times New Roman"/>
                <w:b/>
                <w:bCs/>
                <w:sz w:val="24"/>
                <w:szCs w:val="24"/>
              </w:rPr>
              <w:t>Mean</w:t>
            </w:r>
          </w:p>
        </w:tc>
        <w:tc>
          <w:tcPr>
            <w:tcW w:w="810" w:type="dxa"/>
          </w:tcPr>
          <w:p w:rsidR="00C5728C" w:rsidRDefault="001A6566">
            <w:pPr>
              <w:spacing w:after="0" w:line="240" w:lineRule="auto"/>
              <w:jc w:val="both"/>
              <w:rPr>
                <w:rFonts w:ascii="Times New Roman" w:hAnsi="Times New Roman"/>
                <w:b/>
                <w:bCs/>
                <w:sz w:val="24"/>
                <w:szCs w:val="24"/>
              </w:rPr>
            </w:pPr>
            <w:r>
              <w:rPr>
                <w:rFonts w:ascii="Times New Roman" w:hAnsi="Times New Roman"/>
                <w:b/>
                <w:bCs/>
                <w:sz w:val="24"/>
                <w:szCs w:val="24"/>
              </w:rPr>
              <w:t>0.605</w:t>
            </w:r>
          </w:p>
        </w:tc>
        <w:tc>
          <w:tcPr>
            <w:tcW w:w="2136" w:type="dxa"/>
          </w:tcPr>
          <w:p w:rsidR="00C5728C" w:rsidRDefault="001A6566">
            <w:pPr>
              <w:spacing w:after="0" w:line="240" w:lineRule="auto"/>
              <w:jc w:val="both"/>
              <w:rPr>
                <w:rFonts w:ascii="Times New Roman" w:hAnsi="Times New Roman"/>
                <w:b/>
                <w:bCs/>
                <w:sz w:val="24"/>
                <w:szCs w:val="24"/>
              </w:rPr>
            </w:pPr>
            <w:r>
              <w:rPr>
                <w:rFonts w:ascii="Times New Roman" w:hAnsi="Times New Roman"/>
                <w:b/>
                <w:bCs/>
                <w:sz w:val="24"/>
                <w:szCs w:val="24"/>
              </w:rPr>
              <w:t>0.377</w:t>
            </w:r>
          </w:p>
        </w:tc>
        <w:tc>
          <w:tcPr>
            <w:tcW w:w="1284" w:type="dxa"/>
          </w:tcPr>
          <w:p w:rsidR="00C5728C" w:rsidRDefault="001A6566">
            <w:pPr>
              <w:spacing w:after="0" w:line="240" w:lineRule="auto"/>
              <w:jc w:val="both"/>
              <w:rPr>
                <w:rFonts w:ascii="Times New Roman" w:hAnsi="Times New Roman"/>
                <w:b/>
                <w:bCs/>
                <w:sz w:val="24"/>
                <w:szCs w:val="24"/>
              </w:rPr>
            </w:pPr>
            <w:r>
              <w:rPr>
                <w:rFonts w:ascii="Times New Roman" w:hAnsi="Times New Roman"/>
                <w:b/>
                <w:bCs/>
                <w:sz w:val="24"/>
                <w:szCs w:val="24"/>
              </w:rPr>
              <w:t>0.142</w:t>
            </w:r>
          </w:p>
        </w:tc>
        <w:tc>
          <w:tcPr>
            <w:tcW w:w="1260" w:type="dxa"/>
          </w:tcPr>
          <w:p w:rsidR="00C5728C" w:rsidRDefault="001A6566">
            <w:pPr>
              <w:spacing w:after="0" w:line="240" w:lineRule="auto"/>
              <w:jc w:val="both"/>
              <w:rPr>
                <w:rFonts w:ascii="Times New Roman" w:hAnsi="Times New Roman"/>
                <w:b/>
                <w:bCs/>
                <w:sz w:val="24"/>
                <w:szCs w:val="24"/>
              </w:rPr>
            </w:pPr>
            <w:r>
              <w:rPr>
                <w:rFonts w:ascii="Times New Roman" w:hAnsi="Times New Roman"/>
                <w:b/>
                <w:bCs/>
                <w:sz w:val="24"/>
                <w:szCs w:val="24"/>
              </w:rPr>
              <w:t>0.704</w:t>
            </w:r>
          </w:p>
        </w:tc>
        <w:tc>
          <w:tcPr>
            <w:tcW w:w="1350" w:type="dxa"/>
          </w:tcPr>
          <w:p w:rsidR="00C5728C" w:rsidRDefault="001A6566">
            <w:pPr>
              <w:spacing w:after="0" w:line="240" w:lineRule="auto"/>
              <w:jc w:val="both"/>
              <w:rPr>
                <w:rFonts w:ascii="Times New Roman" w:hAnsi="Times New Roman"/>
                <w:b/>
                <w:bCs/>
                <w:sz w:val="24"/>
                <w:szCs w:val="24"/>
              </w:rPr>
            </w:pPr>
            <w:r>
              <w:rPr>
                <w:rFonts w:ascii="Times New Roman" w:hAnsi="Times New Roman"/>
                <w:b/>
                <w:bCs/>
                <w:sz w:val="24"/>
                <w:szCs w:val="24"/>
              </w:rPr>
              <w:t>0.162</w:t>
            </w:r>
          </w:p>
        </w:tc>
        <w:tc>
          <w:tcPr>
            <w:tcW w:w="1350" w:type="dxa"/>
          </w:tcPr>
          <w:p w:rsidR="00C5728C" w:rsidRDefault="001A6566">
            <w:pPr>
              <w:spacing w:after="0" w:line="240" w:lineRule="auto"/>
              <w:jc w:val="both"/>
              <w:rPr>
                <w:rFonts w:ascii="Times New Roman" w:hAnsi="Times New Roman"/>
                <w:b/>
                <w:bCs/>
                <w:sz w:val="24"/>
                <w:szCs w:val="24"/>
              </w:rPr>
            </w:pPr>
            <w:r>
              <w:rPr>
                <w:rFonts w:ascii="Times New Roman" w:hAnsi="Times New Roman"/>
                <w:b/>
                <w:bCs/>
                <w:sz w:val="24"/>
                <w:szCs w:val="24"/>
              </w:rPr>
              <w:t>0.519</w:t>
            </w:r>
          </w:p>
        </w:tc>
        <w:tc>
          <w:tcPr>
            <w:tcW w:w="2070" w:type="dxa"/>
          </w:tcPr>
          <w:p w:rsidR="00C5728C" w:rsidRDefault="001A6566">
            <w:pPr>
              <w:spacing w:after="0" w:line="240" w:lineRule="auto"/>
              <w:jc w:val="both"/>
              <w:rPr>
                <w:rFonts w:ascii="Times New Roman" w:hAnsi="Times New Roman"/>
                <w:b/>
                <w:bCs/>
                <w:sz w:val="24"/>
                <w:szCs w:val="24"/>
              </w:rPr>
            </w:pPr>
            <w:r>
              <w:rPr>
                <w:rFonts w:ascii="Times New Roman" w:hAnsi="Times New Roman"/>
                <w:b/>
                <w:bCs/>
                <w:sz w:val="24"/>
                <w:szCs w:val="24"/>
              </w:rPr>
              <w:t>0.443</w:t>
            </w: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LSD PM</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0.189</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0.223</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0.014</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0.030</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0.226</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0.171</w:t>
            </w: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LSD Depth</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0.010</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0.021</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NS</w:t>
            </w:r>
          </w:p>
        </w:tc>
      </w:tr>
      <w:tr w:rsidR="00C5728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LSD PM X DE</w:t>
            </w:r>
          </w:p>
        </w:tc>
        <w:tc>
          <w:tcPr>
            <w:tcW w:w="81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2136"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1284"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126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135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NS</w:t>
            </w:r>
          </w:p>
        </w:tc>
        <w:tc>
          <w:tcPr>
            <w:tcW w:w="2070" w:type="dxa"/>
          </w:tcPr>
          <w:p w:rsidR="00C5728C" w:rsidRDefault="001A6566">
            <w:pPr>
              <w:spacing w:after="0" w:line="240" w:lineRule="auto"/>
              <w:jc w:val="both"/>
              <w:rPr>
                <w:rFonts w:ascii="Times New Roman" w:hAnsi="Times New Roman"/>
                <w:bCs/>
                <w:sz w:val="24"/>
                <w:szCs w:val="24"/>
              </w:rPr>
            </w:pPr>
            <w:r>
              <w:rPr>
                <w:rFonts w:ascii="Times New Roman" w:hAnsi="Times New Roman"/>
                <w:bCs/>
                <w:sz w:val="24"/>
                <w:szCs w:val="24"/>
              </w:rPr>
              <w:t>NS</w:t>
            </w:r>
          </w:p>
        </w:tc>
      </w:tr>
    </w:tbl>
    <w:p w:rsidR="00C5728C" w:rsidRDefault="001A6566">
      <w:pP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PM= parent </w:t>
      </w:r>
      <w:r>
        <w:rPr>
          <w:rFonts w:ascii="Times New Roman" w:hAnsi="Times New Roman"/>
          <w:b/>
          <w:bCs/>
          <w:i/>
          <w:iCs/>
          <w:sz w:val="24"/>
          <w:szCs w:val="24"/>
        </w:rPr>
        <w:t>material, LSD = Least significant difference, DE = soil depth</w:t>
      </w:r>
    </w:p>
    <w:p w:rsidR="00C5728C" w:rsidRDefault="00C5728C">
      <w:pPr>
        <w:spacing w:after="0" w:line="240" w:lineRule="auto"/>
        <w:jc w:val="both"/>
        <w:rPr>
          <w:rFonts w:ascii="Times New Roman" w:hAnsi="Times New Roman"/>
          <w:b/>
          <w:bCs/>
          <w:sz w:val="24"/>
          <w:szCs w:val="24"/>
        </w:rPr>
      </w:pPr>
    </w:p>
    <w:p w:rsidR="00C5728C" w:rsidRDefault="00C5728C">
      <w:pPr>
        <w:spacing w:after="0" w:line="240" w:lineRule="auto"/>
        <w:jc w:val="both"/>
        <w:rPr>
          <w:rFonts w:ascii="Times New Roman" w:hAnsi="Times New Roman"/>
          <w:b/>
          <w:bCs/>
          <w:sz w:val="24"/>
          <w:szCs w:val="24"/>
        </w:rPr>
      </w:pPr>
    </w:p>
    <w:p w:rsidR="00C5728C" w:rsidRDefault="001A6566">
      <w:pPr>
        <w:spacing w:after="0" w:line="240" w:lineRule="auto"/>
        <w:jc w:val="both"/>
        <w:rPr>
          <w:rFonts w:ascii="Times New Roman" w:hAnsi="Times New Roman"/>
          <w:b/>
          <w:sz w:val="24"/>
          <w:szCs w:val="24"/>
        </w:rPr>
      </w:pPr>
      <w:r>
        <w:rPr>
          <w:rFonts w:ascii="Times New Roman" w:hAnsi="Times New Roman"/>
          <w:b/>
          <w:bCs/>
          <w:sz w:val="24"/>
          <w:szCs w:val="24"/>
        </w:rPr>
        <w:t xml:space="preserve">3.4 </w:t>
      </w:r>
      <w:r>
        <w:rPr>
          <w:rFonts w:ascii="Times New Roman" w:hAnsi="Times New Roman"/>
          <w:b/>
          <w:sz w:val="24"/>
          <w:szCs w:val="24"/>
        </w:rPr>
        <w:t>Correlation Coefficient between the Potassium Forms and Some Physical and Chemical Properties of the Soils</w:t>
      </w:r>
    </w:p>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Correlation analysis between various forms of potassium (K) and soil physic-chemical properties reveals important insights into soil fertility dynamics and nutrient availability. These significant correlations imply meaningful relationships that influence </w:t>
      </w:r>
      <w:r>
        <w:rPr>
          <w:rFonts w:ascii="Times New Roman" w:hAnsi="Times New Roman"/>
          <w:sz w:val="24"/>
          <w:szCs w:val="24"/>
        </w:rPr>
        <w:t xml:space="preserve">soil behavior and crop productivity. The strong positive correlation between Total </w:t>
      </w:r>
      <w:r>
        <w:rPr>
          <w:rFonts w:ascii="Times New Roman" w:hAnsi="Times New Roman"/>
          <w:bCs/>
          <w:sz w:val="24"/>
          <w:szCs w:val="24"/>
        </w:rPr>
        <w:t>K and organic carbon (r=0.730</w:t>
      </w:r>
      <w:r>
        <w:rPr>
          <w:rFonts w:ascii="Times New Roman" w:hAnsi="Times New Roman"/>
          <w:bCs/>
          <w:sz w:val="24"/>
          <w:szCs w:val="24"/>
          <w:vertAlign w:val="superscript"/>
        </w:rPr>
        <w:t>**</w:t>
      </w:r>
      <w:r>
        <w:rPr>
          <w:rFonts w:ascii="Times New Roman" w:hAnsi="Times New Roman"/>
          <w:bCs/>
          <w:sz w:val="24"/>
          <w:szCs w:val="24"/>
        </w:rPr>
        <w:t>)</w:t>
      </w:r>
      <w:r>
        <w:rPr>
          <w:rFonts w:ascii="Times New Roman" w:hAnsi="Times New Roman"/>
          <w:sz w:val="24"/>
          <w:szCs w:val="24"/>
        </w:rPr>
        <w:t xml:space="preserve"> suggests that soils with higher organic carbon content tend to have higher total potassium as organic matter enhances soil structure, cation</w:t>
      </w:r>
      <w:r>
        <w:rPr>
          <w:rFonts w:ascii="Times New Roman" w:hAnsi="Times New Roman"/>
          <w:sz w:val="24"/>
          <w:szCs w:val="24"/>
        </w:rPr>
        <w:t xml:space="preserve"> exchange capacity, and nutrient retention (Sanchez, 1976). Organic inputs can also contribute to the mineralization of potassium from organic matter and mineral weathering, thus increasing total K pools. This relationship underscores the importance of org</w:t>
      </w:r>
      <w:r>
        <w:rPr>
          <w:rFonts w:ascii="Times New Roman" w:hAnsi="Times New Roman"/>
          <w:sz w:val="24"/>
          <w:szCs w:val="24"/>
        </w:rPr>
        <w:t>anic matter management to sustain potassium reserves. Also, total K had a positive link with Av. P and total exchangeable bases (r=0.426</w:t>
      </w:r>
      <w:r>
        <w:rPr>
          <w:rFonts w:ascii="Times New Roman" w:hAnsi="Times New Roman"/>
          <w:sz w:val="24"/>
          <w:szCs w:val="24"/>
          <w:vertAlign w:val="superscript"/>
        </w:rPr>
        <w:t>**</w:t>
      </w:r>
      <w:r>
        <w:rPr>
          <w:rFonts w:ascii="Times New Roman" w:hAnsi="Times New Roman"/>
          <w:sz w:val="24"/>
          <w:szCs w:val="24"/>
        </w:rPr>
        <w:t xml:space="preserve"> and r= 0.553</w:t>
      </w:r>
      <w:r>
        <w:rPr>
          <w:rFonts w:ascii="Times New Roman" w:hAnsi="Times New Roman"/>
          <w:sz w:val="24"/>
          <w:szCs w:val="24"/>
          <w:vertAlign w:val="superscript"/>
        </w:rPr>
        <w:t>**</w:t>
      </w:r>
      <w:r>
        <w:rPr>
          <w:rFonts w:ascii="Times New Roman" w:hAnsi="Times New Roman"/>
          <w:sz w:val="24"/>
          <w:szCs w:val="24"/>
        </w:rPr>
        <w:t xml:space="preserve"> respectively).</w:t>
      </w:r>
    </w:p>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The significant positive relationship between water Soluble K and sand (r=0.364</w:t>
      </w:r>
      <w:r>
        <w:rPr>
          <w:rFonts w:ascii="Times New Roman" w:hAnsi="Times New Roman"/>
          <w:sz w:val="24"/>
          <w:szCs w:val="24"/>
          <w:vertAlign w:val="superscript"/>
        </w:rPr>
        <w:t>**</w:t>
      </w:r>
      <w:r>
        <w:rPr>
          <w:rFonts w:ascii="Times New Roman" w:hAnsi="Times New Roman"/>
          <w:sz w:val="24"/>
          <w:szCs w:val="24"/>
        </w:rPr>
        <w:t xml:space="preserve">), </w:t>
      </w:r>
      <w:r>
        <w:rPr>
          <w:rFonts w:ascii="Times New Roman" w:hAnsi="Times New Roman"/>
          <w:sz w:val="24"/>
          <w:szCs w:val="24"/>
        </w:rPr>
        <w:t>total exchangeable acidity (r=0.346*) and a negative correlation with silt (r=-0,396**) suggests that soils with higher silt content tend to have greater water-soluble potassium, likely due to increased surface area and retention capacity of finer particle</w:t>
      </w:r>
      <w:r>
        <w:rPr>
          <w:rFonts w:ascii="Times New Roman" w:hAnsi="Times New Roman"/>
          <w:sz w:val="24"/>
          <w:szCs w:val="24"/>
        </w:rPr>
        <w:t>s. Silt-rich soils may facilitate better K retention and availability, corroborating findings by Brady and Weil (2002).</w:t>
      </w:r>
    </w:p>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Exchangeable potassium exhibits a negative correlation with silt content (r = -0.362</w:t>
      </w:r>
      <w:r>
        <w:rPr>
          <w:rFonts w:ascii="Times New Roman" w:hAnsi="Times New Roman"/>
          <w:sz w:val="24"/>
          <w:szCs w:val="24"/>
          <w:vertAlign w:val="superscript"/>
        </w:rPr>
        <w:t>**</w:t>
      </w:r>
      <w:r>
        <w:rPr>
          <w:rFonts w:ascii="Times New Roman" w:hAnsi="Times New Roman"/>
          <w:sz w:val="24"/>
          <w:szCs w:val="24"/>
        </w:rPr>
        <w:t>) and a positive correlation with organic carbon (</w:t>
      </w:r>
      <w:r>
        <w:rPr>
          <w:rFonts w:ascii="Times New Roman" w:hAnsi="Times New Roman"/>
          <w:sz w:val="24"/>
          <w:szCs w:val="24"/>
        </w:rPr>
        <w:t>r=0.392</w:t>
      </w:r>
      <w:r>
        <w:rPr>
          <w:rFonts w:ascii="Times New Roman" w:hAnsi="Times New Roman"/>
          <w:sz w:val="24"/>
          <w:szCs w:val="24"/>
          <w:vertAlign w:val="superscript"/>
        </w:rPr>
        <w:t>**</w:t>
      </w:r>
      <w:r>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which indicates that organic matter enhances the pool of exchangeable potassium and also contributes to soil CEC and can chelate cations, facilitating potassium retention and exchangeability (Sparks, 2003).</w:t>
      </w:r>
    </w:p>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 xml:space="preserve">There was strong positive correlation </w:t>
      </w:r>
      <w:r>
        <w:rPr>
          <w:rFonts w:ascii="Times New Roman" w:hAnsi="Times New Roman"/>
          <w:sz w:val="24"/>
          <w:szCs w:val="24"/>
        </w:rPr>
        <w:t>between non-exchangeable potassium (HCl) and organic carbon, Av.P, TEB (r=0.714</w:t>
      </w:r>
      <w:r>
        <w:rPr>
          <w:rFonts w:ascii="Times New Roman" w:hAnsi="Times New Roman"/>
          <w:sz w:val="24"/>
          <w:szCs w:val="24"/>
          <w:vertAlign w:val="superscript"/>
        </w:rPr>
        <w:t>**</w:t>
      </w:r>
      <w:r>
        <w:rPr>
          <w:rFonts w:ascii="Times New Roman" w:hAnsi="Times New Roman"/>
          <w:sz w:val="24"/>
          <w:szCs w:val="24"/>
        </w:rPr>
        <w:t>, r=0.469</w:t>
      </w:r>
      <w:r>
        <w:rPr>
          <w:rFonts w:ascii="Times New Roman" w:hAnsi="Times New Roman"/>
          <w:sz w:val="24"/>
          <w:szCs w:val="24"/>
          <w:vertAlign w:val="superscript"/>
        </w:rPr>
        <w:t>**</w:t>
      </w:r>
      <w:r>
        <w:rPr>
          <w:rFonts w:ascii="Times New Roman" w:hAnsi="Times New Roman"/>
          <w:sz w:val="24"/>
          <w:szCs w:val="24"/>
        </w:rPr>
        <w:t xml:space="preserve"> and r=0.524</w:t>
      </w:r>
      <w:r>
        <w:rPr>
          <w:rFonts w:ascii="Times New Roman" w:hAnsi="Times New Roman"/>
          <w:sz w:val="24"/>
          <w:szCs w:val="24"/>
          <w:vertAlign w:val="superscript"/>
        </w:rPr>
        <w:t>**</w:t>
      </w:r>
      <w:r>
        <w:rPr>
          <w:rFonts w:ascii="Times New Roman" w:hAnsi="Times New Roman"/>
          <w:sz w:val="24"/>
          <w:szCs w:val="24"/>
        </w:rPr>
        <w:t>) and Non-exchangeable K (HNO</w:t>
      </w:r>
      <w:r>
        <w:rPr>
          <w:rFonts w:ascii="Times New Roman" w:hAnsi="Times New Roman"/>
          <w:sz w:val="24"/>
          <w:szCs w:val="24"/>
          <w:vertAlign w:val="subscript"/>
        </w:rPr>
        <w:t>3</w:t>
      </w:r>
      <w:r>
        <w:rPr>
          <w:rFonts w:ascii="Times New Roman" w:hAnsi="Times New Roman"/>
          <w:sz w:val="24"/>
          <w:szCs w:val="24"/>
        </w:rPr>
        <w:t xml:space="preserve"> Extractible) with sand, organic carbon, Av.P (r=0.327</w:t>
      </w:r>
      <w:r>
        <w:rPr>
          <w:rFonts w:ascii="Times New Roman" w:hAnsi="Times New Roman"/>
          <w:sz w:val="24"/>
          <w:szCs w:val="24"/>
          <w:vertAlign w:val="superscript"/>
        </w:rPr>
        <w:t>*</w:t>
      </w:r>
      <w:r>
        <w:rPr>
          <w:rFonts w:ascii="Times New Roman" w:hAnsi="Times New Roman"/>
          <w:sz w:val="24"/>
          <w:szCs w:val="24"/>
        </w:rPr>
        <w:t>, r=0.818</w:t>
      </w:r>
      <w:r>
        <w:rPr>
          <w:rFonts w:ascii="Times New Roman" w:hAnsi="Times New Roman"/>
          <w:sz w:val="24"/>
          <w:szCs w:val="24"/>
          <w:vertAlign w:val="superscript"/>
        </w:rPr>
        <w:t>**</w:t>
      </w:r>
      <w:r>
        <w:rPr>
          <w:rFonts w:ascii="Times New Roman" w:hAnsi="Times New Roman"/>
          <w:sz w:val="24"/>
          <w:szCs w:val="24"/>
        </w:rPr>
        <w:t>, r=0.498</w:t>
      </w:r>
      <w:r>
        <w:rPr>
          <w:rFonts w:ascii="Times New Roman" w:hAnsi="Times New Roman"/>
          <w:sz w:val="24"/>
          <w:szCs w:val="24"/>
          <w:vertAlign w:val="superscript"/>
        </w:rPr>
        <w:t>**</w:t>
      </w:r>
      <w:r>
        <w:rPr>
          <w:rFonts w:ascii="Times New Roman" w:hAnsi="Times New Roman"/>
          <w:sz w:val="24"/>
          <w:szCs w:val="24"/>
        </w:rPr>
        <w:t>) respectively. This aligns that non-exchan</w:t>
      </w:r>
      <w:r>
        <w:rPr>
          <w:rFonts w:ascii="Times New Roman" w:hAnsi="Times New Roman"/>
          <w:sz w:val="24"/>
          <w:szCs w:val="24"/>
        </w:rPr>
        <w:t>geable K becomes available over time through weathering or organic matter decomposition (Sparks, 2003), facilitating the release of non-exchangeable K through microbial mineralization and chelation processes (Hillel, 2004).</w:t>
      </w:r>
    </w:p>
    <w:p w:rsidR="00C5728C" w:rsidRDefault="001A6566">
      <w:pPr>
        <w:spacing w:after="0" w:line="240" w:lineRule="auto"/>
        <w:jc w:val="both"/>
        <w:rPr>
          <w:rFonts w:ascii="Times New Roman" w:hAnsi="Times New Roman"/>
          <w:sz w:val="24"/>
          <w:szCs w:val="24"/>
        </w:rPr>
      </w:pPr>
      <w:r>
        <w:rPr>
          <w:rFonts w:ascii="Times New Roman" w:hAnsi="Times New Roman"/>
          <w:sz w:val="24"/>
          <w:szCs w:val="24"/>
        </w:rPr>
        <w:t>Available K showed positive corr</w:t>
      </w:r>
      <w:r>
        <w:rPr>
          <w:rFonts w:ascii="Times New Roman" w:hAnsi="Times New Roman"/>
          <w:sz w:val="24"/>
          <w:szCs w:val="24"/>
        </w:rPr>
        <w:t>elations with sand (r=0.378</w:t>
      </w:r>
      <w:r>
        <w:rPr>
          <w:rFonts w:ascii="Times New Roman" w:hAnsi="Times New Roman"/>
          <w:sz w:val="24"/>
          <w:szCs w:val="24"/>
          <w:vertAlign w:val="superscript"/>
        </w:rPr>
        <w:t>**</w:t>
      </w:r>
      <w:r>
        <w:rPr>
          <w:rFonts w:ascii="Times New Roman" w:hAnsi="Times New Roman"/>
          <w:sz w:val="24"/>
          <w:szCs w:val="24"/>
        </w:rPr>
        <w:t>) and a negative correlation with silt and organic carbon (r= -0.428</w:t>
      </w:r>
      <w:r>
        <w:rPr>
          <w:rFonts w:ascii="Times New Roman" w:hAnsi="Times New Roman"/>
          <w:sz w:val="24"/>
          <w:szCs w:val="24"/>
          <w:vertAlign w:val="superscript"/>
        </w:rPr>
        <w:t>**</w:t>
      </w:r>
      <w:r>
        <w:rPr>
          <w:rFonts w:ascii="Times New Roman" w:hAnsi="Times New Roman"/>
          <w:sz w:val="24"/>
          <w:szCs w:val="24"/>
        </w:rPr>
        <w:t>, r= -0.318</w:t>
      </w:r>
      <w:r>
        <w:rPr>
          <w:rFonts w:ascii="Times New Roman" w:hAnsi="Times New Roman"/>
          <w:sz w:val="24"/>
          <w:szCs w:val="24"/>
          <w:vertAlign w:val="superscript"/>
        </w:rPr>
        <w:t>*</w:t>
      </w:r>
      <w:r>
        <w:rPr>
          <w:rFonts w:ascii="Times New Roman" w:hAnsi="Times New Roman"/>
          <w:sz w:val="24"/>
          <w:szCs w:val="24"/>
        </w:rPr>
        <w:t>). Mineral K showed a positive correlation with organic carbon, Av.P and TEB (r=0.647</w:t>
      </w:r>
      <w:r>
        <w:rPr>
          <w:rFonts w:ascii="Times New Roman" w:hAnsi="Times New Roman"/>
          <w:sz w:val="24"/>
          <w:szCs w:val="24"/>
          <w:vertAlign w:val="superscript"/>
        </w:rPr>
        <w:t>**</w:t>
      </w:r>
      <w:r>
        <w:rPr>
          <w:rFonts w:ascii="Times New Roman" w:hAnsi="Times New Roman"/>
          <w:sz w:val="24"/>
          <w:szCs w:val="24"/>
        </w:rPr>
        <w:t>, r=0.373</w:t>
      </w:r>
      <w:r>
        <w:rPr>
          <w:rFonts w:ascii="Times New Roman" w:hAnsi="Times New Roman"/>
          <w:sz w:val="24"/>
          <w:szCs w:val="24"/>
          <w:vertAlign w:val="superscript"/>
        </w:rPr>
        <w:t>**</w:t>
      </w:r>
      <w:r>
        <w:rPr>
          <w:rFonts w:ascii="Times New Roman" w:hAnsi="Times New Roman"/>
          <w:sz w:val="24"/>
          <w:szCs w:val="24"/>
        </w:rPr>
        <w:t>, and r=0.591</w:t>
      </w:r>
      <w:r>
        <w:rPr>
          <w:rFonts w:ascii="Times New Roman" w:hAnsi="Times New Roman"/>
          <w:sz w:val="24"/>
          <w:szCs w:val="24"/>
          <w:vertAlign w:val="superscript"/>
        </w:rPr>
        <w:t>**</w:t>
      </w:r>
      <w:r>
        <w:rPr>
          <w:rFonts w:ascii="Times New Roman" w:hAnsi="Times New Roman"/>
          <w:sz w:val="24"/>
          <w:szCs w:val="24"/>
        </w:rPr>
        <w:t>) emphasizes the role of organic</w:t>
      </w:r>
      <w:r>
        <w:rPr>
          <w:rFonts w:ascii="Times New Roman" w:hAnsi="Times New Roman"/>
          <w:sz w:val="24"/>
          <w:szCs w:val="24"/>
        </w:rPr>
        <w:t xml:space="preserve"> matter in maintaining and mineralizing K pools, corroborating studies that highlight organic matter as a key driver in nutrient cycling and mineralization processes from organic and mineral sources, thus increasing mineral K availability (Huang </w:t>
      </w:r>
      <w:r>
        <w:rPr>
          <w:rFonts w:ascii="Times New Roman" w:hAnsi="Times New Roman"/>
          <w:i/>
          <w:sz w:val="24"/>
          <w:szCs w:val="24"/>
        </w:rPr>
        <w:t>et al</w:t>
      </w:r>
      <w:r>
        <w:rPr>
          <w:rFonts w:ascii="Times New Roman" w:hAnsi="Times New Roman"/>
          <w:sz w:val="24"/>
          <w:szCs w:val="24"/>
        </w:rPr>
        <w:t>., 20</w:t>
      </w:r>
      <w:r>
        <w:rPr>
          <w:rFonts w:ascii="Times New Roman" w:hAnsi="Times New Roman"/>
          <w:sz w:val="24"/>
          <w:szCs w:val="24"/>
        </w:rPr>
        <w:t>18).</w:t>
      </w:r>
    </w:p>
    <w:p w:rsidR="00C5728C" w:rsidRDefault="00C5728C">
      <w:pPr>
        <w:spacing w:after="0" w:line="240" w:lineRule="auto"/>
        <w:jc w:val="both"/>
        <w:rPr>
          <w:rFonts w:ascii="Times New Roman" w:hAnsi="Times New Roman"/>
          <w:sz w:val="4"/>
          <w:szCs w:val="24"/>
        </w:rPr>
      </w:pPr>
    </w:p>
    <w:p w:rsidR="00C5728C" w:rsidRDefault="00C5728C">
      <w:pPr>
        <w:jc w:val="both"/>
        <w:rPr>
          <w:rFonts w:ascii="Times New Roman" w:hAnsi="Times New Roman"/>
          <w:b/>
          <w:sz w:val="24"/>
          <w:szCs w:val="24"/>
        </w:rPr>
      </w:pPr>
    </w:p>
    <w:p w:rsidR="00C5728C" w:rsidRDefault="00C5728C">
      <w:pPr>
        <w:jc w:val="both"/>
        <w:rPr>
          <w:rFonts w:ascii="Times New Roman" w:hAnsi="Times New Roman"/>
          <w:b/>
          <w:sz w:val="24"/>
          <w:szCs w:val="24"/>
        </w:rPr>
      </w:pPr>
    </w:p>
    <w:p w:rsidR="00C5728C" w:rsidRDefault="00C5728C">
      <w:pPr>
        <w:jc w:val="both"/>
        <w:rPr>
          <w:rFonts w:ascii="Times New Roman" w:hAnsi="Times New Roman"/>
          <w:b/>
          <w:sz w:val="24"/>
          <w:szCs w:val="24"/>
        </w:rPr>
      </w:pPr>
    </w:p>
    <w:p w:rsidR="00C5728C" w:rsidRDefault="00C5728C">
      <w:pPr>
        <w:jc w:val="both"/>
        <w:rPr>
          <w:rFonts w:ascii="Times New Roman" w:hAnsi="Times New Roman"/>
          <w:b/>
          <w:sz w:val="24"/>
          <w:szCs w:val="24"/>
        </w:rPr>
      </w:pPr>
    </w:p>
    <w:p w:rsidR="00C5728C" w:rsidRDefault="00C5728C">
      <w:pPr>
        <w:jc w:val="both"/>
        <w:rPr>
          <w:rFonts w:ascii="Times New Roman" w:hAnsi="Times New Roman"/>
          <w:b/>
          <w:sz w:val="24"/>
          <w:szCs w:val="24"/>
        </w:rPr>
      </w:pPr>
    </w:p>
    <w:p w:rsidR="00C5728C" w:rsidRDefault="00C5728C">
      <w:pPr>
        <w:jc w:val="both"/>
        <w:rPr>
          <w:rFonts w:ascii="Times New Roman" w:hAnsi="Times New Roman"/>
          <w:b/>
          <w:sz w:val="24"/>
          <w:szCs w:val="24"/>
        </w:rPr>
      </w:pPr>
    </w:p>
    <w:p w:rsidR="00C5728C" w:rsidRDefault="00C5728C">
      <w:pPr>
        <w:jc w:val="both"/>
        <w:rPr>
          <w:rFonts w:ascii="Times New Roman" w:hAnsi="Times New Roman"/>
          <w:b/>
          <w:sz w:val="24"/>
          <w:szCs w:val="24"/>
        </w:rPr>
      </w:pPr>
    </w:p>
    <w:p w:rsidR="00C5728C" w:rsidRDefault="00C5728C">
      <w:pPr>
        <w:jc w:val="both"/>
        <w:rPr>
          <w:rFonts w:ascii="Times New Roman" w:hAnsi="Times New Roman"/>
          <w:b/>
          <w:sz w:val="24"/>
          <w:szCs w:val="24"/>
        </w:rPr>
      </w:pPr>
    </w:p>
    <w:p w:rsidR="00C5728C" w:rsidRDefault="00C5728C">
      <w:pPr>
        <w:jc w:val="both"/>
        <w:rPr>
          <w:rFonts w:ascii="Times New Roman" w:hAnsi="Times New Roman"/>
          <w:b/>
          <w:sz w:val="24"/>
          <w:szCs w:val="24"/>
        </w:rPr>
      </w:pPr>
    </w:p>
    <w:p w:rsidR="00C5728C" w:rsidRDefault="00C5728C">
      <w:pPr>
        <w:jc w:val="both"/>
        <w:rPr>
          <w:rFonts w:ascii="Times New Roman" w:hAnsi="Times New Roman"/>
          <w:b/>
          <w:sz w:val="24"/>
          <w:szCs w:val="24"/>
        </w:rPr>
      </w:pPr>
    </w:p>
    <w:p w:rsidR="00C5728C" w:rsidRDefault="00C5728C">
      <w:pPr>
        <w:jc w:val="both"/>
        <w:rPr>
          <w:rFonts w:ascii="Times New Roman" w:hAnsi="Times New Roman"/>
          <w:b/>
          <w:sz w:val="24"/>
          <w:szCs w:val="24"/>
        </w:rPr>
      </w:pPr>
    </w:p>
    <w:tbl>
      <w:tblPr>
        <w:tblStyle w:val="TableGrid"/>
        <w:tblpPr w:leftFromText="180" w:rightFromText="180" w:vertAnchor="page" w:horzAnchor="margin" w:tblpXSpec="center" w:tblpY="2065"/>
        <w:tblW w:w="108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982"/>
        <w:gridCol w:w="982"/>
        <w:gridCol w:w="1092"/>
        <w:gridCol w:w="1092"/>
        <w:gridCol w:w="1092"/>
        <w:gridCol w:w="982"/>
        <w:gridCol w:w="1092"/>
        <w:gridCol w:w="982"/>
        <w:gridCol w:w="1092"/>
      </w:tblGrid>
      <w:tr w:rsidR="00C5728C">
        <w:trPr>
          <w:trHeight w:val="610"/>
        </w:trPr>
        <w:tc>
          <w:tcPr>
            <w:tcW w:w="1420" w:type="dxa"/>
            <w:tcBorders>
              <w:top w:val="single" w:sz="4" w:space="0" w:color="auto"/>
              <w:bottom w:val="single" w:sz="4" w:space="0" w:color="auto"/>
            </w:tcBorders>
          </w:tcPr>
          <w:p w:rsidR="00C5728C" w:rsidRDefault="001A6566">
            <w:pPr>
              <w:spacing w:after="0" w:line="240" w:lineRule="auto"/>
              <w:jc w:val="both"/>
              <w:rPr>
                <w:rFonts w:ascii="Times New Roman" w:hAnsi="Times New Roman"/>
                <w:b/>
                <w:sz w:val="24"/>
                <w:szCs w:val="24"/>
              </w:rPr>
            </w:pPr>
            <w:r>
              <w:rPr>
                <w:rFonts w:ascii="Times New Roman" w:hAnsi="Times New Roman"/>
                <w:b/>
                <w:sz w:val="24"/>
                <w:szCs w:val="24"/>
              </w:rPr>
              <w:t>K Forms</w:t>
            </w:r>
          </w:p>
          <w:p w:rsidR="00C5728C" w:rsidRDefault="00C5728C">
            <w:pPr>
              <w:spacing w:after="0" w:line="240" w:lineRule="auto"/>
              <w:jc w:val="both"/>
              <w:rPr>
                <w:rFonts w:ascii="Times New Roman" w:hAnsi="Times New Roman"/>
                <w:b/>
                <w:sz w:val="24"/>
                <w:szCs w:val="24"/>
              </w:rPr>
            </w:pPr>
          </w:p>
        </w:tc>
        <w:tc>
          <w:tcPr>
            <w:tcW w:w="982" w:type="dxa"/>
            <w:tcBorders>
              <w:top w:val="single" w:sz="4" w:space="0" w:color="auto"/>
              <w:bottom w:val="single" w:sz="4" w:space="0" w:color="auto"/>
            </w:tcBorders>
          </w:tcPr>
          <w:p w:rsidR="00C5728C" w:rsidRDefault="001A6566">
            <w:pPr>
              <w:spacing w:after="0" w:line="240" w:lineRule="auto"/>
              <w:jc w:val="both"/>
              <w:rPr>
                <w:rFonts w:ascii="Times New Roman" w:hAnsi="Times New Roman"/>
                <w:b/>
                <w:sz w:val="24"/>
                <w:szCs w:val="24"/>
              </w:rPr>
            </w:pPr>
            <w:r>
              <w:rPr>
                <w:rFonts w:ascii="Times New Roman" w:hAnsi="Times New Roman"/>
                <w:b/>
                <w:sz w:val="24"/>
                <w:szCs w:val="24"/>
              </w:rPr>
              <w:t>pH</w:t>
            </w:r>
          </w:p>
        </w:tc>
        <w:tc>
          <w:tcPr>
            <w:tcW w:w="982" w:type="dxa"/>
            <w:tcBorders>
              <w:top w:val="single" w:sz="4" w:space="0" w:color="auto"/>
              <w:bottom w:val="single" w:sz="4" w:space="0" w:color="auto"/>
            </w:tcBorders>
          </w:tcPr>
          <w:p w:rsidR="00C5728C" w:rsidRDefault="001A6566">
            <w:pPr>
              <w:spacing w:after="0" w:line="240" w:lineRule="auto"/>
              <w:jc w:val="both"/>
              <w:rPr>
                <w:rFonts w:ascii="Times New Roman" w:hAnsi="Times New Roman"/>
                <w:b/>
                <w:sz w:val="24"/>
                <w:szCs w:val="24"/>
              </w:rPr>
            </w:pPr>
            <w:r>
              <w:rPr>
                <w:rFonts w:ascii="Times New Roman" w:hAnsi="Times New Roman"/>
                <w:b/>
                <w:sz w:val="24"/>
                <w:szCs w:val="24"/>
              </w:rPr>
              <w:t>Clay</w:t>
            </w:r>
          </w:p>
        </w:tc>
        <w:tc>
          <w:tcPr>
            <w:tcW w:w="1092" w:type="dxa"/>
            <w:tcBorders>
              <w:top w:val="single" w:sz="4" w:space="0" w:color="auto"/>
              <w:bottom w:val="single" w:sz="4" w:space="0" w:color="auto"/>
            </w:tcBorders>
          </w:tcPr>
          <w:p w:rsidR="00C5728C" w:rsidRDefault="001A6566">
            <w:pPr>
              <w:spacing w:after="0" w:line="240" w:lineRule="auto"/>
              <w:jc w:val="both"/>
              <w:rPr>
                <w:rFonts w:ascii="Times New Roman" w:hAnsi="Times New Roman"/>
                <w:b/>
                <w:sz w:val="24"/>
                <w:szCs w:val="24"/>
              </w:rPr>
            </w:pPr>
            <w:r>
              <w:rPr>
                <w:rFonts w:ascii="Times New Roman" w:hAnsi="Times New Roman"/>
                <w:b/>
                <w:sz w:val="24"/>
                <w:szCs w:val="24"/>
              </w:rPr>
              <w:t>Sand</w:t>
            </w:r>
          </w:p>
        </w:tc>
        <w:tc>
          <w:tcPr>
            <w:tcW w:w="1092" w:type="dxa"/>
            <w:tcBorders>
              <w:top w:val="single" w:sz="4" w:space="0" w:color="auto"/>
              <w:bottom w:val="single" w:sz="4" w:space="0" w:color="auto"/>
            </w:tcBorders>
          </w:tcPr>
          <w:p w:rsidR="00C5728C" w:rsidRDefault="001A6566">
            <w:pPr>
              <w:spacing w:after="0" w:line="240" w:lineRule="auto"/>
              <w:jc w:val="both"/>
              <w:rPr>
                <w:rFonts w:ascii="Times New Roman" w:hAnsi="Times New Roman"/>
                <w:b/>
                <w:sz w:val="24"/>
                <w:szCs w:val="24"/>
              </w:rPr>
            </w:pPr>
            <w:r>
              <w:rPr>
                <w:rFonts w:ascii="Times New Roman" w:hAnsi="Times New Roman"/>
                <w:b/>
                <w:sz w:val="24"/>
                <w:szCs w:val="24"/>
              </w:rPr>
              <w:t>Silt</w:t>
            </w:r>
          </w:p>
        </w:tc>
        <w:tc>
          <w:tcPr>
            <w:tcW w:w="1092" w:type="dxa"/>
            <w:tcBorders>
              <w:top w:val="single" w:sz="4" w:space="0" w:color="auto"/>
              <w:bottom w:val="single" w:sz="4" w:space="0" w:color="auto"/>
            </w:tcBorders>
          </w:tcPr>
          <w:p w:rsidR="00C5728C" w:rsidRDefault="001A6566">
            <w:pPr>
              <w:spacing w:after="0" w:line="240" w:lineRule="auto"/>
              <w:jc w:val="both"/>
              <w:rPr>
                <w:rFonts w:ascii="Times New Roman" w:hAnsi="Times New Roman"/>
                <w:b/>
                <w:sz w:val="24"/>
                <w:szCs w:val="24"/>
              </w:rPr>
            </w:pPr>
            <w:r>
              <w:rPr>
                <w:rFonts w:ascii="Times New Roman" w:hAnsi="Times New Roman"/>
                <w:b/>
                <w:sz w:val="24"/>
                <w:szCs w:val="24"/>
              </w:rPr>
              <w:t>Org.C</w:t>
            </w:r>
          </w:p>
        </w:tc>
        <w:tc>
          <w:tcPr>
            <w:tcW w:w="982" w:type="dxa"/>
            <w:tcBorders>
              <w:top w:val="single" w:sz="4" w:space="0" w:color="auto"/>
              <w:bottom w:val="single" w:sz="4" w:space="0" w:color="auto"/>
            </w:tcBorders>
          </w:tcPr>
          <w:p w:rsidR="00C5728C" w:rsidRDefault="001A6566">
            <w:pPr>
              <w:spacing w:after="0" w:line="240" w:lineRule="auto"/>
              <w:jc w:val="both"/>
              <w:rPr>
                <w:rFonts w:ascii="Times New Roman" w:hAnsi="Times New Roman"/>
                <w:b/>
                <w:sz w:val="24"/>
                <w:szCs w:val="24"/>
              </w:rPr>
            </w:pPr>
            <w:r>
              <w:rPr>
                <w:rFonts w:ascii="Times New Roman" w:hAnsi="Times New Roman"/>
                <w:b/>
                <w:sz w:val="24"/>
                <w:szCs w:val="24"/>
              </w:rPr>
              <w:t>TN</w:t>
            </w:r>
          </w:p>
        </w:tc>
        <w:tc>
          <w:tcPr>
            <w:tcW w:w="1092" w:type="dxa"/>
            <w:tcBorders>
              <w:top w:val="single" w:sz="4" w:space="0" w:color="auto"/>
              <w:bottom w:val="single" w:sz="4" w:space="0" w:color="auto"/>
            </w:tcBorders>
          </w:tcPr>
          <w:p w:rsidR="00C5728C" w:rsidRDefault="001A6566">
            <w:pPr>
              <w:spacing w:after="0" w:line="240" w:lineRule="auto"/>
              <w:jc w:val="both"/>
              <w:rPr>
                <w:rFonts w:ascii="Times New Roman" w:hAnsi="Times New Roman"/>
                <w:b/>
                <w:sz w:val="24"/>
                <w:szCs w:val="24"/>
              </w:rPr>
            </w:pPr>
            <w:r>
              <w:rPr>
                <w:rFonts w:ascii="Times New Roman" w:hAnsi="Times New Roman"/>
                <w:b/>
                <w:sz w:val="24"/>
                <w:szCs w:val="24"/>
              </w:rPr>
              <w:t>Av.P</w:t>
            </w:r>
          </w:p>
        </w:tc>
        <w:tc>
          <w:tcPr>
            <w:tcW w:w="982" w:type="dxa"/>
            <w:tcBorders>
              <w:top w:val="single" w:sz="4" w:space="0" w:color="auto"/>
              <w:bottom w:val="single" w:sz="4" w:space="0" w:color="auto"/>
            </w:tcBorders>
          </w:tcPr>
          <w:p w:rsidR="00C5728C" w:rsidRDefault="001A6566">
            <w:pPr>
              <w:spacing w:after="0" w:line="240" w:lineRule="auto"/>
              <w:jc w:val="both"/>
              <w:rPr>
                <w:rFonts w:ascii="Times New Roman" w:hAnsi="Times New Roman"/>
                <w:b/>
                <w:sz w:val="24"/>
                <w:szCs w:val="24"/>
              </w:rPr>
            </w:pPr>
            <w:r>
              <w:rPr>
                <w:rFonts w:ascii="Times New Roman" w:hAnsi="Times New Roman"/>
                <w:b/>
                <w:sz w:val="24"/>
                <w:szCs w:val="24"/>
              </w:rPr>
              <w:t>TEB</w:t>
            </w:r>
          </w:p>
        </w:tc>
        <w:tc>
          <w:tcPr>
            <w:tcW w:w="1092" w:type="dxa"/>
            <w:tcBorders>
              <w:top w:val="single" w:sz="4" w:space="0" w:color="auto"/>
              <w:bottom w:val="single" w:sz="4" w:space="0" w:color="auto"/>
            </w:tcBorders>
          </w:tcPr>
          <w:p w:rsidR="00C5728C" w:rsidRDefault="001A6566">
            <w:pPr>
              <w:spacing w:after="0" w:line="240" w:lineRule="auto"/>
              <w:jc w:val="both"/>
              <w:rPr>
                <w:rFonts w:ascii="Times New Roman" w:hAnsi="Times New Roman"/>
                <w:b/>
                <w:sz w:val="24"/>
                <w:szCs w:val="24"/>
              </w:rPr>
            </w:pPr>
            <w:r>
              <w:rPr>
                <w:rFonts w:ascii="Times New Roman" w:hAnsi="Times New Roman"/>
                <w:b/>
                <w:sz w:val="24"/>
                <w:szCs w:val="24"/>
              </w:rPr>
              <w:t>TEA</w:t>
            </w:r>
          </w:p>
        </w:tc>
      </w:tr>
      <w:tr w:rsidR="00C5728C">
        <w:trPr>
          <w:trHeight w:val="499"/>
        </w:trPr>
        <w:tc>
          <w:tcPr>
            <w:tcW w:w="1420" w:type="dxa"/>
            <w:tcBorders>
              <w:top w:val="single" w:sz="4" w:space="0" w:color="auto"/>
            </w:tcBorders>
          </w:tcPr>
          <w:p w:rsidR="00C5728C" w:rsidRDefault="001A6566">
            <w:pPr>
              <w:spacing w:after="0" w:line="240" w:lineRule="auto"/>
              <w:jc w:val="both"/>
              <w:rPr>
                <w:rFonts w:ascii="Times New Roman" w:hAnsi="Times New Roman"/>
                <w:b/>
              </w:rPr>
            </w:pPr>
            <w:r>
              <w:rPr>
                <w:rFonts w:ascii="Times New Roman" w:hAnsi="Times New Roman"/>
                <w:b/>
              </w:rPr>
              <w:t>Totak K</w:t>
            </w:r>
          </w:p>
        </w:tc>
        <w:tc>
          <w:tcPr>
            <w:tcW w:w="982" w:type="dxa"/>
            <w:tcBorders>
              <w:top w:val="single" w:sz="4" w:space="0" w:color="auto"/>
            </w:tcBorders>
          </w:tcPr>
          <w:p w:rsidR="00C5728C" w:rsidRDefault="001A6566">
            <w:pPr>
              <w:spacing w:after="0" w:line="240" w:lineRule="auto"/>
              <w:jc w:val="both"/>
              <w:rPr>
                <w:rFonts w:ascii="Times New Roman" w:hAnsi="Times New Roman"/>
              </w:rPr>
            </w:pPr>
            <w:r>
              <w:rPr>
                <w:rFonts w:ascii="Times New Roman" w:hAnsi="Times New Roman"/>
              </w:rPr>
              <w:t>0.235</w:t>
            </w:r>
          </w:p>
        </w:tc>
        <w:tc>
          <w:tcPr>
            <w:tcW w:w="982" w:type="dxa"/>
            <w:tcBorders>
              <w:top w:val="single" w:sz="4" w:space="0" w:color="auto"/>
            </w:tcBorders>
          </w:tcPr>
          <w:p w:rsidR="00C5728C" w:rsidRDefault="001A6566">
            <w:pPr>
              <w:spacing w:after="0" w:line="240" w:lineRule="auto"/>
              <w:jc w:val="both"/>
              <w:rPr>
                <w:rFonts w:ascii="Times New Roman" w:hAnsi="Times New Roman"/>
              </w:rPr>
            </w:pPr>
            <w:r>
              <w:rPr>
                <w:rFonts w:ascii="Times New Roman" w:hAnsi="Times New Roman"/>
              </w:rPr>
              <w:t>0.072</w:t>
            </w:r>
          </w:p>
        </w:tc>
        <w:tc>
          <w:tcPr>
            <w:tcW w:w="1092" w:type="dxa"/>
            <w:tcBorders>
              <w:top w:val="single" w:sz="4" w:space="0" w:color="auto"/>
            </w:tcBorders>
          </w:tcPr>
          <w:p w:rsidR="00C5728C" w:rsidRDefault="001A6566">
            <w:pPr>
              <w:spacing w:after="0" w:line="240" w:lineRule="auto"/>
              <w:jc w:val="both"/>
              <w:rPr>
                <w:rFonts w:ascii="Times New Roman" w:hAnsi="Times New Roman"/>
              </w:rPr>
            </w:pPr>
            <w:r>
              <w:rPr>
                <w:rFonts w:ascii="Times New Roman" w:hAnsi="Times New Roman"/>
              </w:rPr>
              <w:t>-0.153</w:t>
            </w:r>
          </w:p>
        </w:tc>
        <w:tc>
          <w:tcPr>
            <w:tcW w:w="1092" w:type="dxa"/>
            <w:tcBorders>
              <w:top w:val="single" w:sz="4" w:space="0" w:color="auto"/>
            </w:tcBorders>
          </w:tcPr>
          <w:p w:rsidR="00C5728C" w:rsidRDefault="001A6566">
            <w:pPr>
              <w:spacing w:after="0" w:line="240" w:lineRule="auto"/>
              <w:jc w:val="both"/>
              <w:rPr>
                <w:rFonts w:ascii="Times New Roman" w:hAnsi="Times New Roman"/>
              </w:rPr>
            </w:pPr>
            <w:r>
              <w:rPr>
                <w:rFonts w:ascii="Times New Roman" w:hAnsi="Times New Roman"/>
              </w:rPr>
              <w:t>0.146</w:t>
            </w:r>
          </w:p>
        </w:tc>
        <w:tc>
          <w:tcPr>
            <w:tcW w:w="1092" w:type="dxa"/>
            <w:tcBorders>
              <w:top w:val="single" w:sz="4" w:space="0" w:color="auto"/>
            </w:tcBorders>
          </w:tcPr>
          <w:p w:rsidR="00C5728C" w:rsidRDefault="001A6566">
            <w:pPr>
              <w:spacing w:after="0" w:line="240" w:lineRule="auto"/>
              <w:jc w:val="both"/>
              <w:rPr>
                <w:rFonts w:ascii="Times New Roman" w:hAnsi="Times New Roman"/>
              </w:rPr>
            </w:pPr>
            <w:r>
              <w:rPr>
                <w:rFonts w:ascii="Times New Roman" w:hAnsi="Times New Roman"/>
              </w:rPr>
              <w:t>0.730</w:t>
            </w:r>
            <w:r>
              <w:rPr>
                <w:rFonts w:ascii="Times New Roman" w:hAnsi="Times New Roman"/>
                <w:vertAlign w:val="superscript"/>
              </w:rPr>
              <w:t>**</w:t>
            </w:r>
          </w:p>
        </w:tc>
        <w:tc>
          <w:tcPr>
            <w:tcW w:w="982" w:type="dxa"/>
            <w:tcBorders>
              <w:top w:val="single" w:sz="4" w:space="0" w:color="auto"/>
            </w:tcBorders>
          </w:tcPr>
          <w:p w:rsidR="00C5728C" w:rsidRDefault="001A6566">
            <w:pPr>
              <w:spacing w:after="0" w:line="240" w:lineRule="auto"/>
              <w:jc w:val="both"/>
              <w:rPr>
                <w:rFonts w:ascii="Times New Roman" w:hAnsi="Times New Roman"/>
              </w:rPr>
            </w:pPr>
            <w:r>
              <w:rPr>
                <w:rFonts w:ascii="Times New Roman" w:hAnsi="Times New Roman"/>
              </w:rPr>
              <w:t>0.001</w:t>
            </w:r>
          </w:p>
        </w:tc>
        <w:tc>
          <w:tcPr>
            <w:tcW w:w="1092" w:type="dxa"/>
            <w:tcBorders>
              <w:top w:val="single" w:sz="4" w:space="0" w:color="auto"/>
            </w:tcBorders>
          </w:tcPr>
          <w:p w:rsidR="00C5728C" w:rsidRDefault="001A6566">
            <w:pPr>
              <w:spacing w:after="0" w:line="240" w:lineRule="auto"/>
              <w:jc w:val="both"/>
              <w:rPr>
                <w:rFonts w:ascii="Times New Roman" w:hAnsi="Times New Roman"/>
              </w:rPr>
            </w:pPr>
            <w:r>
              <w:rPr>
                <w:rFonts w:ascii="Times New Roman" w:hAnsi="Times New Roman"/>
              </w:rPr>
              <w:t>0.426</w:t>
            </w:r>
            <w:r>
              <w:rPr>
                <w:rFonts w:ascii="Times New Roman" w:hAnsi="Times New Roman"/>
                <w:vertAlign w:val="superscript"/>
              </w:rPr>
              <w:t>**</w:t>
            </w:r>
          </w:p>
        </w:tc>
        <w:tc>
          <w:tcPr>
            <w:tcW w:w="982" w:type="dxa"/>
            <w:tcBorders>
              <w:top w:val="single" w:sz="4" w:space="0" w:color="auto"/>
            </w:tcBorders>
          </w:tcPr>
          <w:p w:rsidR="00C5728C" w:rsidRDefault="001A6566">
            <w:pPr>
              <w:spacing w:after="0" w:line="240" w:lineRule="auto"/>
              <w:jc w:val="both"/>
              <w:rPr>
                <w:rFonts w:ascii="Times New Roman" w:hAnsi="Times New Roman"/>
              </w:rPr>
            </w:pPr>
            <w:r>
              <w:rPr>
                <w:rFonts w:ascii="Times New Roman" w:hAnsi="Times New Roman"/>
              </w:rPr>
              <w:t>0.553</w:t>
            </w:r>
            <w:r>
              <w:rPr>
                <w:rFonts w:ascii="Times New Roman" w:hAnsi="Times New Roman"/>
                <w:vertAlign w:val="superscript"/>
              </w:rPr>
              <w:t>**</w:t>
            </w:r>
          </w:p>
        </w:tc>
        <w:tc>
          <w:tcPr>
            <w:tcW w:w="1092" w:type="dxa"/>
            <w:tcBorders>
              <w:top w:val="single" w:sz="4" w:space="0" w:color="auto"/>
            </w:tcBorders>
          </w:tcPr>
          <w:p w:rsidR="00C5728C" w:rsidRDefault="001A6566">
            <w:pPr>
              <w:spacing w:after="0" w:line="240" w:lineRule="auto"/>
              <w:jc w:val="both"/>
              <w:rPr>
                <w:rFonts w:ascii="Times New Roman" w:hAnsi="Times New Roman"/>
              </w:rPr>
            </w:pPr>
            <w:r>
              <w:rPr>
                <w:rFonts w:ascii="Times New Roman" w:hAnsi="Times New Roman"/>
              </w:rPr>
              <w:t>-0.212</w:t>
            </w:r>
          </w:p>
        </w:tc>
      </w:tr>
      <w:tr w:rsidR="00C5728C">
        <w:trPr>
          <w:trHeight w:val="440"/>
        </w:trPr>
        <w:tc>
          <w:tcPr>
            <w:tcW w:w="1420" w:type="dxa"/>
          </w:tcPr>
          <w:p w:rsidR="00C5728C" w:rsidRDefault="001A6566">
            <w:pPr>
              <w:spacing w:after="0" w:line="240" w:lineRule="auto"/>
              <w:jc w:val="both"/>
              <w:rPr>
                <w:rFonts w:ascii="Times New Roman" w:hAnsi="Times New Roman"/>
                <w:b/>
              </w:rPr>
            </w:pPr>
            <w:r>
              <w:rPr>
                <w:rFonts w:ascii="Times New Roman" w:hAnsi="Times New Roman"/>
                <w:b/>
              </w:rPr>
              <w:t>WS-K</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0.224</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-0.099</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0.364</w:t>
            </w:r>
            <w:r>
              <w:rPr>
                <w:rFonts w:ascii="Times New Roman" w:hAnsi="Times New Roman"/>
                <w:vertAlign w:val="superscript"/>
              </w:rPr>
              <w:t>**</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-0.396</w:t>
            </w:r>
            <w:r>
              <w:rPr>
                <w:rFonts w:ascii="Times New Roman" w:hAnsi="Times New Roman"/>
                <w:vertAlign w:val="superscript"/>
              </w:rPr>
              <w:t>**</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0.170</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0.012</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0.119</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0.076</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0.346</w:t>
            </w:r>
            <w:r>
              <w:rPr>
                <w:rFonts w:ascii="Times New Roman" w:hAnsi="Times New Roman"/>
                <w:vertAlign w:val="superscript"/>
              </w:rPr>
              <w:t>*</w:t>
            </w:r>
          </w:p>
        </w:tc>
      </w:tr>
      <w:tr w:rsidR="00C5728C">
        <w:trPr>
          <w:trHeight w:val="646"/>
        </w:trPr>
        <w:tc>
          <w:tcPr>
            <w:tcW w:w="1420" w:type="dxa"/>
          </w:tcPr>
          <w:p w:rsidR="00C5728C" w:rsidRDefault="001A6566">
            <w:pPr>
              <w:spacing w:after="0" w:line="240" w:lineRule="auto"/>
              <w:jc w:val="both"/>
              <w:rPr>
                <w:rFonts w:ascii="Times New Roman" w:hAnsi="Times New Roman"/>
                <w:b/>
              </w:rPr>
            </w:pPr>
            <w:r>
              <w:rPr>
                <w:rFonts w:ascii="Times New Roman" w:hAnsi="Times New Roman"/>
                <w:b/>
              </w:rPr>
              <w:t>Exch-K</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-0.031</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0.180</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0.187</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-0.362</w:t>
            </w:r>
            <w:r>
              <w:rPr>
                <w:rFonts w:ascii="Times New Roman" w:hAnsi="Times New Roman"/>
                <w:vertAlign w:val="superscript"/>
              </w:rPr>
              <w:t>**</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0.392</w:t>
            </w:r>
            <w:r>
              <w:rPr>
                <w:rFonts w:ascii="Times New Roman" w:hAnsi="Times New Roman"/>
                <w:vertAlign w:val="superscript"/>
              </w:rPr>
              <w:t>**</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-0.009</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0.260</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-0.245</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0.227</w:t>
            </w:r>
          </w:p>
        </w:tc>
      </w:tr>
      <w:tr w:rsidR="00C5728C">
        <w:trPr>
          <w:trHeight w:val="415"/>
        </w:trPr>
        <w:tc>
          <w:tcPr>
            <w:tcW w:w="1420" w:type="dxa"/>
          </w:tcPr>
          <w:p w:rsidR="00C5728C" w:rsidRDefault="001A6566">
            <w:pPr>
              <w:spacing w:after="0" w:line="240" w:lineRule="auto"/>
              <w:jc w:val="both"/>
              <w:rPr>
                <w:rFonts w:ascii="Times New Roman" w:hAnsi="Times New Roman"/>
                <w:b/>
              </w:rPr>
            </w:pPr>
            <w:r>
              <w:rPr>
                <w:rFonts w:ascii="Times New Roman" w:hAnsi="Times New Roman"/>
                <w:b/>
              </w:rPr>
              <w:t>Non-Exch-K (HCl)</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0.187</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0.114</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-0.190</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0.164</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0.714</w:t>
            </w:r>
            <w:r>
              <w:rPr>
                <w:rFonts w:ascii="Times New Roman" w:hAnsi="Times New Roman"/>
                <w:vertAlign w:val="superscript"/>
              </w:rPr>
              <w:t>**</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0.017</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0.469</w:t>
            </w:r>
            <w:r>
              <w:rPr>
                <w:rFonts w:ascii="Times New Roman" w:hAnsi="Times New Roman"/>
                <w:vertAlign w:val="superscript"/>
              </w:rPr>
              <w:t>**</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0.524</w:t>
            </w:r>
            <w:r>
              <w:rPr>
                <w:rFonts w:ascii="Times New Roman" w:hAnsi="Times New Roman"/>
                <w:vertAlign w:val="superscript"/>
              </w:rPr>
              <w:t>**</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-0.178</w:t>
            </w:r>
          </w:p>
        </w:tc>
      </w:tr>
      <w:tr w:rsidR="00C5728C">
        <w:trPr>
          <w:trHeight w:val="499"/>
        </w:trPr>
        <w:tc>
          <w:tcPr>
            <w:tcW w:w="1420" w:type="dxa"/>
          </w:tcPr>
          <w:p w:rsidR="00C5728C" w:rsidRDefault="001A6566">
            <w:pPr>
              <w:spacing w:after="0" w:line="240" w:lineRule="auto"/>
              <w:jc w:val="both"/>
              <w:rPr>
                <w:rFonts w:ascii="Times New Roman" w:hAnsi="Times New Roman"/>
                <w:b/>
              </w:rPr>
            </w:pPr>
            <w:r>
              <w:rPr>
                <w:rFonts w:ascii="Times New Roman" w:hAnsi="Times New Roman"/>
                <w:b/>
              </w:rPr>
              <w:t>Non-Exch-K (HN0</w:t>
            </w:r>
            <w:r>
              <w:rPr>
                <w:rFonts w:ascii="Times New Roman" w:hAnsi="Times New Roman"/>
                <w:b/>
                <w:vertAlign w:val="subscript"/>
              </w:rPr>
              <w:t>3</w:t>
            </w:r>
            <w:r>
              <w:rPr>
                <w:rFonts w:ascii="Times New Roman" w:hAnsi="Times New Roman"/>
                <w:b/>
              </w:rPr>
              <w:t>)</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0.036</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-0.218</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0.327</w:t>
            </w:r>
            <w:r>
              <w:rPr>
                <w:rFonts w:ascii="Times New Roman" w:hAnsi="Times New Roman"/>
                <w:vertAlign w:val="superscript"/>
              </w:rPr>
              <w:t>*</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-0.267</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0.818</w:t>
            </w:r>
            <w:r>
              <w:rPr>
                <w:rFonts w:ascii="Times New Roman" w:hAnsi="Times New Roman"/>
                <w:vertAlign w:val="superscript"/>
              </w:rPr>
              <w:t>**</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0.110</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0.498</w:t>
            </w:r>
            <w:r>
              <w:rPr>
                <w:rFonts w:ascii="Times New Roman" w:hAnsi="Times New Roman"/>
                <w:vertAlign w:val="superscript"/>
              </w:rPr>
              <w:t>**</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0.159</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-0.197</w:t>
            </w:r>
          </w:p>
        </w:tc>
      </w:tr>
      <w:tr w:rsidR="00C5728C">
        <w:trPr>
          <w:trHeight w:val="415"/>
        </w:trPr>
        <w:tc>
          <w:tcPr>
            <w:tcW w:w="1420" w:type="dxa"/>
          </w:tcPr>
          <w:p w:rsidR="00C5728C" w:rsidRDefault="001A6566">
            <w:pPr>
              <w:spacing w:after="0" w:line="240" w:lineRule="auto"/>
              <w:jc w:val="both"/>
              <w:rPr>
                <w:rFonts w:ascii="Times New Roman" w:hAnsi="Times New Roman"/>
                <w:b/>
              </w:rPr>
            </w:pPr>
            <w:r>
              <w:rPr>
                <w:rFonts w:ascii="Times New Roman" w:hAnsi="Times New Roman"/>
                <w:b/>
              </w:rPr>
              <w:t>Available K</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0.217</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-0.079</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0.378</w:t>
            </w:r>
            <w:r>
              <w:rPr>
                <w:rFonts w:ascii="Times New Roman" w:hAnsi="Times New Roman"/>
                <w:vertAlign w:val="superscript"/>
              </w:rPr>
              <w:t>**</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-0.428</w:t>
            </w:r>
            <w:r>
              <w:rPr>
                <w:rFonts w:ascii="Times New Roman" w:hAnsi="Times New Roman"/>
                <w:vertAlign w:val="superscript"/>
              </w:rPr>
              <w:t>**</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0.208</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0.011</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0.144</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0.050</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-0.318</w:t>
            </w:r>
            <w:r>
              <w:rPr>
                <w:rFonts w:ascii="Times New Roman" w:hAnsi="Times New Roman"/>
                <w:vertAlign w:val="superscript"/>
              </w:rPr>
              <w:t>*</w:t>
            </w:r>
          </w:p>
        </w:tc>
      </w:tr>
      <w:tr w:rsidR="00C5728C">
        <w:trPr>
          <w:trHeight w:val="415"/>
        </w:trPr>
        <w:tc>
          <w:tcPr>
            <w:tcW w:w="1420" w:type="dxa"/>
          </w:tcPr>
          <w:p w:rsidR="00C5728C" w:rsidRDefault="001A6566">
            <w:pPr>
              <w:spacing w:after="0" w:line="240" w:lineRule="auto"/>
              <w:jc w:val="both"/>
              <w:rPr>
                <w:rFonts w:ascii="Times New Roman" w:hAnsi="Times New Roman"/>
                <w:b/>
              </w:rPr>
            </w:pPr>
            <w:r>
              <w:rPr>
                <w:rFonts w:ascii="Times New Roman" w:hAnsi="Times New Roman"/>
                <w:b/>
              </w:rPr>
              <w:t>Mineral K</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0.258</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0.129</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-0.245</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0.224</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0.647</w:t>
            </w:r>
            <w:r>
              <w:rPr>
                <w:rFonts w:ascii="Times New Roman" w:hAnsi="Times New Roman"/>
                <w:vertAlign w:val="superscript"/>
              </w:rPr>
              <w:t>**</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-0.023</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0.373</w:t>
            </w:r>
            <w:r>
              <w:rPr>
                <w:rFonts w:ascii="Times New Roman" w:hAnsi="Times New Roman"/>
                <w:vertAlign w:val="superscript"/>
              </w:rPr>
              <w:t>**</w:t>
            </w:r>
          </w:p>
        </w:tc>
        <w:tc>
          <w:tcPr>
            <w:tcW w:w="982" w:type="dxa"/>
          </w:tcPr>
          <w:p w:rsidR="00C5728C" w:rsidRDefault="001A6566">
            <w:pPr>
              <w:spacing w:after="0" w:line="240" w:lineRule="auto"/>
              <w:jc w:val="both"/>
              <w:rPr>
                <w:rFonts w:ascii="Times New Roman" w:hAnsi="Times New Roman"/>
              </w:rPr>
            </w:pPr>
            <w:r>
              <w:rPr>
                <w:rFonts w:ascii="Times New Roman" w:hAnsi="Times New Roman"/>
              </w:rPr>
              <w:t>0.591</w:t>
            </w:r>
            <w:r>
              <w:rPr>
                <w:rFonts w:ascii="Times New Roman" w:hAnsi="Times New Roman"/>
                <w:vertAlign w:val="superscript"/>
              </w:rPr>
              <w:t>**</w:t>
            </w:r>
          </w:p>
        </w:tc>
        <w:tc>
          <w:tcPr>
            <w:tcW w:w="1092" w:type="dxa"/>
          </w:tcPr>
          <w:p w:rsidR="00C5728C" w:rsidRDefault="001A6566">
            <w:pPr>
              <w:spacing w:after="0" w:line="240" w:lineRule="auto"/>
              <w:jc w:val="both"/>
              <w:rPr>
                <w:rFonts w:ascii="Times New Roman" w:hAnsi="Times New Roman"/>
              </w:rPr>
            </w:pPr>
            <w:r>
              <w:rPr>
                <w:rFonts w:ascii="Times New Roman" w:hAnsi="Times New Roman"/>
              </w:rPr>
              <w:t>-0.197</w:t>
            </w:r>
          </w:p>
        </w:tc>
      </w:tr>
    </w:tbl>
    <w:p w:rsidR="00C5728C" w:rsidRDefault="001A6566">
      <w:pPr>
        <w:jc w:val="both"/>
        <w:rPr>
          <w:rFonts w:ascii="Times New Roman" w:hAnsi="Times New Roman"/>
          <w:sz w:val="24"/>
          <w:szCs w:val="24"/>
        </w:rPr>
      </w:pPr>
      <w:r>
        <w:rPr>
          <w:rFonts w:ascii="Times New Roman" w:hAnsi="Times New Roman"/>
          <w:b/>
          <w:sz w:val="24"/>
          <w:szCs w:val="24"/>
        </w:rPr>
        <w:t xml:space="preserve">Table 4. Correlation Coefficient between the Potassium Forms and Some Physical and </w:t>
      </w:r>
    </w:p>
    <w:p w:rsidR="00C5728C" w:rsidRDefault="001A6566">
      <w:pPr>
        <w:tabs>
          <w:tab w:val="left" w:pos="1542"/>
        </w:tabs>
        <w:spacing w:after="0" w:line="240" w:lineRule="auto"/>
        <w:jc w:val="both"/>
        <w:rPr>
          <w:rFonts w:ascii="Times New Roman" w:hAnsi="Times New Roman"/>
          <w:b/>
          <w:bCs/>
          <w:i/>
          <w:iCs/>
          <w:sz w:val="24"/>
          <w:szCs w:val="24"/>
        </w:rPr>
      </w:pPr>
      <w:r>
        <w:rPr>
          <w:rFonts w:ascii="Times New Roman" w:hAnsi="Times New Roman"/>
          <w:sz w:val="24"/>
          <w:szCs w:val="24"/>
        </w:rPr>
        <w:t>*</w:t>
      </w:r>
      <w:r>
        <w:rPr>
          <w:rFonts w:ascii="Times New Roman" w:hAnsi="Times New Roman"/>
          <w:b/>
          <w:bCs/>
          <w:i/>
          <w:iCs/>
          <w:sz w:val="24"/>
          <w:szCs w:val="24"/>
        </w:rPr>
        <w:t>Correlation is significant at the 0.05 level (</w:t>
      </w:r>
      <w:r>
        <w:rPr>
          <w:rFonts w:ascii="Times New Roman" w:hAnsi="Times New Roman"/>
          <w:b/>
          <w:bCs/>
          <w:i/>
          <w:iCs/>
          <w:sz w:val="24"/>
          <w:szCs w:val="24"/>
        </w:rPr>
        <w:t>2</w:t>
      </w:r>
      <w:r>
        <w:rPr>
          <w:rFonts w:ascii="Times New Roman" w:hAnsi="Times New Roman"/>
          <w:b/>
          <w:bCs/>
          <w:i/>
          <w:iCs/>
          <w:sz w:val="24"/>
          <w:szCs w:val="24"/>
        </w:rPr>
        <w:t>-tailed)</w:t>
      </w:r>
    </w:p>
    <w:p w:rsidR="00C5728C" w:rsidRDefault="001A6566">
      <w:pPr>
        <w:tabs>
          <w:tab w:val="left" w:pos="1542"/>
        </w:tabs>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**Correlation is significant at the 0.01 </w:t>
      </w:r>
      <w:r>
        <w:rPr>
          <w:rFonts w:ascii="Times New Roman" w:hAnsi="Times New Roman"/>
          <w:b/>
          <w:bCs/>
          <w:i/>
          <w:iCs/>
          <w:sz w:val="24"/>
          <w:szCs w:val="24"/>
        </w:rPr>
        <w:t>level (2-tailed)</w:t>
      </w:r>
    </w:p>
    <w:p w:rsidR="00C5728C" w:rsidRDefault="00C5728C">
      <w:pPr>
        <w:spacing w:line="240" w:lineRule="auto"/>
        <w:jc w:val="both"/>
        <w:rPr>
          <w:rFonts w:ascii="Times New Roman" w:hAnsi="Times New Roman"/>
          <w:b/>
          <w:bCs/>
          <w:sz w:val="24"/>
          <w:szCs w:val="24"/>
        </w:rPr>
      </w:pPr>
    </w:p>
    <w:p w:rsidR="00C5728C" w:rsidRDefault="001A6566">
      <w:pPr>
        <w:spacing w:line="240" w:lineRule="auto"/>
        <w:jc w:val="both"/>
        <w:rPr>
          <w:rFonts w:ascii="Times New Roman" w:hAnsi="Times New Roman"/>
          <w:sz w:val="24"/>
          <w:szCs w:val="24"/>
        </w:rPr>
      </w:pPr>
      <w:r>
        <w:rPr>
          <w:rFonts w:ascii="Times New Roman" w:hAnsi="Times New Roman"/>
          <w:bCs/>
          <w:sz w:val="24"/>
          <w:szCs w:val="24"/>
        </w:rPr>
        <w:t>T</w:t>
      </w:r>
      <w:r>
        <w:rPr>
          <w:rFonts w:ascii="Times New Roman" w:hAnsi="Times New Roman"/>
          <w:sz w:val="24"/>
          <w:szCs w:val="24"/>
        </w:rPr>
        <w:t>he significant positive and negative correlations between potassium forms and soil properties underscore the complex interactions governing K availability. Managing organic matter, soil pH, and texture can optimize potassium nutrition, t</w:t>
      </w:r>
      <w:r>
        <w:rPr>
          <w:rFonts w:ascii="Times New Roman" w:hAnsi="Times New Roman"/>
          <w:sz w:val="24"/>
          <w:szCs w:val="24"/>
        </w:rPr>
        <w:t>hereby enhancing soil fertility and crop productivity.</w:t>
      </w:r>
    </w:p>
    <w:p w:rsidR="00C5728C" w:rsidRDefault="001A6566">
      <w:pPr>
        <w:spacing w:line="240" w:lineRule="auto"/>
        <w:jc w:val="both"/>
        <w:rPr>
          <w:rFonts w:ascii="Times New Roman" w:hAnsi="Times New Roman"/>
          <w:b/>
          <w:sz w:val="24"/>
          <w:szCs w:val="24"/>
        </w:rPr>
      </w:pPr>
      <w:r>
        <w:rPr>
          <w:rFonts w:ascii="Times New Roman" w:hAnsi="Times New Roman"/>
          <w:b/>
          <w:sz w:val="24"/>
          <w:szCs w:val="24"/>
        </w:rPr>
        <w:t>3.5 Conclusion</w:t>
      </w:r>
    </w:p>
    <w:p w:rsidR="00C5728C" w:rsidRDefault="001A6566">
      <w:pPr>
        <w:jc w:val="both"/>
        <w:rPr>
          <w:rFonts w:ascii="Times New Roman" w:hAnsi="Times New Roman"/>
          <w:b/>
          <w:sz w:val="24"/>
          <w:szCs w:val="24"/>
        </w:rPr>
      </w:pPr>
      <w:r>
        <w:rPr>
          <w:rFonts w:ascii="Times New Roman" w:hAnsi="Times New Roman"/>
          <w:sz w:val="24"/>
          <w:szCs w:val="24"/>
        </w:rPr>
        <w:t>The findings of this study underscore the significant influence of soil physio-chemical properties and parent material types on the forms and availability of potassium in southeastern Ni</w:t>
      </w:r>
      <w:r>
        <w:rPr>
          <w:rFonts w:ascii="Times New Roman" w:hAnsi="Times New Roman"/>
          <w:sz w:val="24"/>
          <w:szCs w:val="24"/>
        </w:rPr>
        <w:t>geria soils. The predominantly acidic pH across various parent materials, coupled with distinct textural differences, highlights the complex interactions affecting potassium dynamics. Soils derived from sandstone and coastal sands exhibit high sand content</w:t>
      </w:r>
      <w:r>
        <w:rPr>
          <w:rFonts w:ascii="Times New Roman" w:hAnsi="Times New Roman"/>
          <w:sz w:val="24"/>
          <w:szCs w:val="24"/>
        </w:rPr>
        <w:t xml:space="preserve"> and lower nutrient retention potential, while alluvial and shale soils demonstrate relatively higher fertility indicators, such as organic carbon and cation exchange capacity, which are conducive to potassium retention and availability.</w:t>
      </w:r>
    </w:p>
    <w:p w:rsidR="00C5728C" w:rsidRDefault="001A6566">
      <w:pPr>
        <w:jc w:val="both"/>
        <w:rPr>
          <w:rFonts w:ascii="Times New Roman" w:hAnsi="Times New Roman"/>
          <w:sz w:val="24"/>
          <w:szCs w:val="24"/>
        </w:rPr>
      </w:pPr>
      <w:r>
        <w:rPr>
          <w:rFonts w:ascii="Times New Roman" w:hAnsi="Times New Roman"/>
          <w:sz w:val="24"/>
          <w:szCs w:val="24"/>
        </w:rPr>
        <w:t>Given these variat</w:t>
      </w:r>
      <w:r>
        <w:rPr>
          <w:rFonts w:ascii="Times New Roman" w:hAnsi="Times New Roman"/>
          <w:sz w:val="24"/>
          <w:szCs w:val="24"/>
        </w:rPr>
        <w:t>ions, targeted soil management practices are essential to optimize potassium use efficiency and sustain soil fertility. Specifically, areas with sandy and acidic soils, such as those derived from coastal sands and sandstone, may benefit from liming to rais</w:t>
      </w:r>
      <w:r>
        <w:rPr>
          <w:rFonts w:ascii="Times New Roman" w:hAnsi="Times New Roman"/>
          <w:sz w:val="24"/>
          <w:szCs w:val="24"/>
        </w:rPr>
        <w:t>e soil pH and organic matter amendments to enhance nutrient retention. Conversely, soils with higher CEC and organic matter, like alluvial and shale soils, require careful monitoring to prevent deficiencies and maintain productivity.</w:t>
      </w:r>
    </w:p>
    <w:p w:rsidR="00C5728C" w:rsidRDefault="00C5728C">
      <w:pPr>
        <w:jc w:val="both"/>
        <w:rPr>
          <w:rFonts w:ascii="Times New Roman" w:hAnsi="Times New Roman"/>
          <w:b/>
          <w:sz w:val="24"/>
          <w:szCs w:val="24"/>
        </w:rPr>
      </w:pPr>
    </w:p>
    <w:p w:rsidR="00C5728C" w:rsidRDefault="001A6566">
      <w:pPr>
        <w:rPr>
          <w:rFonts w:eastAsia="Calibri"/>
          <w:kern w:val="2"/>
          <w:highlight w:val="yellow"/>
        </w:rPr>
      </w:pPr>
      <w:bookmarkStart w:id="2" w:name="_Hlk197682619"/>
      <w:bookmarkStart w:id="3" w:name="_Hlk180402183"/>
      <w:bookmarkStart w:id="4" w:name="_Hlk183680988"/>
      <w:r>
        <w:rPr>
          <w:rFonts w:eastAsia="Calibri"/>
          <w:kern w:val="2"/>
          <w:highlight w:val="yellow"/>
        </w:rPr>
        <w:t>Disclaimer (Artificia</w:t>
      </w:r>
      <w:r>
        <w:rPr>
          <w:rFonts w:eastAsia="Calibri"/>
          <w:kern w:val="2"/>
          <w:highlight w:val="yellow"/>
        </w:rPr>
        <w:t>l intelligence)</w:t>
      </w:r>
    </w:p>
    <w:p w:rsidR="00C5728C" w:rsidRDefault="001A6566">
      <w:pPr>
        <w:rPr>
          <w:rFonts w:eastAsia="Calibri"/>
          <w:kern w:val="2"/>
          <w:highlight w:val="yellow"/>
        </w:rPr>
      </w:pPr>
      <w:r>
        <w:rPr>
          <w:rFonts w:eastAsia="Calibri"/>
          <w:kern w:val="2"/>
          <w:highlight w:val="yellow"/>
        </w:rPr>
        <w:t xml:space="preserve">Option 1: </w:t>
      </w:r>
    </w:p>
    <w:p w:rsidR="00C5728C" w:rsidRDefault="001A6566">
      <w:pPr>
        <w:pStyle w:val="ListParagraph"/>
        <w:numPr>
          <w:ilvl w:val="0"/>
          <w:numId w:val="1"/>
        </w:numPr>
        <w:rPr>
          <w:rFonts w:eastAsia="Calibri"/>
          <w:kern w:val="2"/>
          <w:highlight w:val="yellow"/>
        </w:rPr>
      </w:pPr>
      <w:r>
        <w:rPr>
          <w:rFonts w:eastAsia="Calibri"/>
          <w:kern w:val="2"/>
          <w:highlight w:val="yellow"/>
        </w:rPr>
        <w:t xml:space="preserve">Author(s) hereby declare that NO generative AI technologies such as Large Language Models (ChatGPT, COPILOT, etc.) and text-to-image generators have been used during the writing or editing of this manuscript. </w:t>
      </w:r>
    </w:p>
    <w:p w:rsidR="00C5728C" w:rsidRDefault="001A6566">
      <w:pPr>
        <w:rPr>
          <w:rFonts w:eastAsia="Calibri"/>
          <w:kern w:val="2"/>
          <w:highlight w:val="yellow"/>
        </w:rPr>
      </w:pPr>
      <w:r>
        <w:rPr>
          <w:rFonts w:eastAsia="Calibri"/>
          <w:kern w:val="2"/>
          <w:highlight w:val="yellow"/>
        </w:rPr>
        <w:t xml:space="preserve">Option 2: </w:t>
      </w:r>
    </w:p>
    <w:p w:rsidR="00C5728C" w:rsidRDefault="001A6566">
      <w:pPr>
        <w:rPr>
          <w:rFonts w:eastAsia="Calibri"/>
          <w:kern w:val="2"/>
          <w:highlight w:val="yellow"/>
        </w:rPr>
      </w:pPr>
      <w:r>
        <w:rPr>
          <w:rFonts w:eastAsia="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w:t>
      </w:r>
      <w:r>
        <w:rPr>
          <w:rFonts w:eastAsia="Calibri"/>
          <w:kern w:val="2"/>
          <w:highlight w:val="yellow"/>
        </w:rPr>
        <w:t xml:space="preserve"> as well as all input prompts provided to the generative AI technology</w:t>
      </w:r>
    </w:p>
    <w:p w:rsidR="00C5728C" w:rsidRDefault="001A6566">
      <w:pPr>
        <w:rPr>
          <w:rFonts w:eastAsia="Calibri"/>
          <w:kern w:val="2"/>
          <w:highlight w:val="yellow"/>
        </w:rPr>
      </w:pPr>
      <w:r>
        <w:rPr>
          <w:rFonts w:eastAsia="Calibri"/>
          <w:kern w:val="2"/>
          <w:highlight w:val="yellow"/>
        </w:rPr>
        <w:t>Details of the AI usage are given below:</w:t>
      </w:r>
    </w:p>
    <w:p w:rsidR="00C5728C" w:rsidRDefault="001A6566">
      <w:pPr>
        <w:rPr>
          <w:rFonts w:eastAsia="Calibri"/>
          <w:kern w:val="2"/>
          <w:highlight w:val="yellow"/>
        </w:rPr>
      </w:pPr>
      <w:r>
        <w:rPr>
          <w:rFonts w:eastAsia="Calibri"/>
          <w:kern w:val="2"/>
          <w:highlight w:val="yellow"/>
        </w:rPr>
        <w:t>1.</w:t>
      </w:r>
      <w:r>
        <w:rPr>
          <w:rFonts w:eastAsia="Calibri"/>
          <w:kern w:val="2"/>
          <w:highlight w:val="yellow"/>
        </w:rPr>
        <w:t>None was used</w:t>
      </w:r>
    </w:p>
    <w:p w:rsidR="00C5728C" w:rsidRDefault="001A6566">
      <w:pPr>
        <w:rPr>
          <w:rFonts w:eastAsia="Calibri"/>
          <w:kern w:val="2"/>
          <w:highlight w:val="yellow"/>
        </w:rPr>
      </w:pPr>
      <w:r>
        <w:rPr>
          <w:rFonts w:eastAsia="Calibri"/>
          <w:kern w:val="2"/>
          <w:highlight w:val="yellow"/>
        </w:rPr>
        <w:t>2.</w:t>
      </w:r>
      <w:r>
        <w:rPr>
          <w:rFonts w:eastAsia="Calibri"/>
          <w:kern w:val="2"/>
          <w:highlight w:val="yellow"/>
        </w:rPr>
        <w:t>None was used</w:t>
      </w:r>
    </w:p>
    <w:p w:rsidR="00C5728C" w:rsidRDefault="001A6566">
      <w:pPr>
        <w:rPr>
          <w:rFonts w:eastAsia="Calibri"/>
          <w:kern w:val="2"/>
        </w:rPr>
      </w:pPr>
      <w:bookmarkStart w:id="5" w:name="_Hlk197682629"/>
      <w:bookmarkEnd w:id="2"/>
      <w:r>
        <w:rPr>
          <w:rFonts w:eastAsia="Calibri"/>
          <w:kern w:val="2"/>
          <w:highlight w:val="yellow"/>
        </w:rPr>
        <w:t>3.</w:t>
      </w:r>
      <w:r>
        <w:rPr>
          <w:rFonts w:eastAsia="Calibri"/>
          <w:kern w:val="2"/>
          <w:highlight w:val="yellow"/>
        </w:rPr>
        <w:t>None was used</w:t>
      </w:r>
    </w:p>
    <w:bookmarkEnd w:id="3"/>
    <w:bookmarkEnd w:id="4"/>
    <w:bookmarkEnd w:id="5"/>
    <w:p w:rsidR="00C5728C" w:rsidRDefault="00C5728C">
      <w:pPr>
        <w:jc w:val="both"/>
        <w:rPr>
          <w:rFonts w:ascii="Times New Roman" w:hAnsi="Times New Roman"/>
          <w:b/>
          <w:sz w:val="24"/>
          <w:szCs w:val="24"/>
        </w:rPr>
      </w:pPr>
    </w:p>
    <w:p w:rsidR="00C5728C" w:rsidRDefault="001A6566">
      <w:pPr>
        <w:spacing w:line="240" w:lineRule="auto"/>
        <w:jc w:val="both"/>
        <w:rPr>
          <w:rFonts w:ascii="Times New Roman" w:hAnsi="Times New Roman"/>
          <w:b/>
          <w:bCs/>
          <w:sz w:val="24"/>
          <w:szCs w:val="24"/>
        </w:rPr>
      </w:pPr>
      <w:r>
        <w:rPr>
          <w:rFonts w:ascii="Times New Roman" w:hAnsi="Times New Roman"/>
          <w:b/>
          <w:bCs/>
          <w:sz w:val="24"/>
          <w:szCs w:val="24"/>
        </w:rPr>
        <w:t>References</w:t>
      </w:r>
    </w:p>
    <w:p w:rsidR="00C5728C" w:rsidRDefault="00C5728C">
      <w:pPr>
        <w:spacing w:after="0" w:line="240" w:lineRule="auto"/>
        <w:ind w:left="720" w:hanging="720"/>
        <w:jc w:val="both"/>
        <w:rPr>
          <w:rFonts w:ascii="Times New Roman" w:hAnsi="Times New Roman"/>
          <w:sz w:val="14"/>
          <w:szCs w:val="24"/>
        </w:rPr>
      </w:pPr>
    </w:p>
    <w:p w:rsidR="00C5728C" w:rsidRDefault="001A6566">
      <w:pPr>
        <w:spacing w:line="240" w:lineRule="auto"/>
        <w:ind w:left="720" w:hanging="720"/>
        <w:jc w:val="both"/>
        <w:rPr>
          <w:rFonts w:ascii="Times New Roman" w:hAnsi="Times New Roman"/>
          <w:sz w:val="24"/>
          <w:szCs w:val="24"/>
        </w:rPr>
      </w:pPr>
      <w:r>
        <w:rPr>
          <w:rFonts w:ascii="Times New Roman" w:hAnsi="Times New Roman"/>
          <w:sz w:val="24"/>
          <w:szCs w:val="24"/>
        </w:rPr>
        <w:t>Akinlosotu, T. M., Ojo, A. O., and Omoniyi, T. (2018). Influence of parent material</w:t>
      </w:r>
      <w:r>
        <w:rPr>
          <w:rFonts w:ascii="Times New Roman" w:hAnsi="Times New Roman"/>
          <w:sz w:val="24"/>
          <w:szCs w:val="24"/>
        </w:rPr>
        <w:t xml:space="preserve"> on soil properties and crop productivity in southeastern Nigeria. </w:t>
      </w:r>
      <w:r>
        <w:rPr>
          <w:rFonts w:ascii="Times New Roman" w:hAnsi="Times New Roman"/>
          <w:i/>
          <w:iCs/>
          <w:sz w:val="24"/>
          <w:szCs w:val="24"/>
        </w:rPr>
        <w:t>Journal of Soil Science and Environmental Management,</w:t>
      </w:r>
      <w:r>
        <w:rPr>
          <w:rFonts w:ascii="Times New Roman" w:hAnsi="Times New Roman"/>
          <w:sz w:val="24"/>
          <w:szCs w:val="24"/>
        </w:rPr>
        <w:t xml:space="preserve"> 9(4), 67–75.</w:t>
      </w:r>
    </w:p>
    <w:p w:rsidR="00C5728C" w:rsidRDefault="001A6566">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Anejionu, C. U., Nwilo, P. C., and Omoregie, E. (2013). Geographical distribution of soil type in    Nigeria. </w:t>
      </w:r>
      <w:r>
        <w:rPr>
          <w:rFonts w:ascii="Times New Roman" w:hAnsi="Times New Roman"/>
          <w:i/>
          <w:iCs/>
          <w:sz w:val="24"/>
          <w:szCs w:val="24"/>
        </w:rPr>
        <w:t xml:space="preserve">Nigerian </w:t>
      </w:r>
      <w:r>
        <w:rPr>
          <w:rFonts w:ascii="Times New Roman" w:hAnsi="Times New Roman"/>
          <w:i/>
          <w:iCs/>
          <w:sz w:val="24"/>
          <w:szCs w:val="24"/>
        </w:rPr>
        <w:t>Journal of Soil Science</w:t>
      </w:r>
      <w:r>
        <w:rPr>
          <w:rFonts w:ascii="Times New Roman" w:hAnsi="Times New Roman"/>
          <w:sz w:val="24"/>
          <w:szCs w:val="24"/>
        </w:rPr>
        <w:t>, 13(2), 45–58.</w:t>
      </w:r>
    </w:p>
    <w:p w:rsidR="00C5728C" w:rsidRDefault="001A6566">
      <w:pPr>
        <w:spacing w:after="0" w:line="240" w:lineRule="auto"/>
        <w:ind w:left="720" w:hanging="720"/>
        <w:jc w:val="both"/>
        <w:rPr>
          <w:rFonts w:ascii="Times New Roman" w:hAnsi="Times New Roman"/>
          <w:sz w:val="24"/>
          <w:szCs w:val="24"/>
        </w:rPr>
      </w:pPr>
      <w:r>
        <w:rPr>
          <w:rFonts w:ascii="Times New Roman" w:hAnsi="Times New Roman"/>
          <w:sz w:val="24"/>
          <w:szCs w:val="24"/>
        </w:rPr>
        <w:t>Brady, N. C., and Weil, R. R. (2002). The Nature and Properties of Soils (13th ed.). Prentice Hall.</w:t>
      </w:r>
    </w:p>
    <w:p w:rsidR="00C5728C" w:rsidRDefault="001A6566">
      <w:pPr>
        <w:spacing w:after="0" w:line="240" w:lineRule="auto"/>
        <w:ind w:left="720" w:hanging="720"/>
        <w:jc w:val="both"/>
        <w:rPr>
          <w:rFonts w:ascii="Times New Roman" w:hAnsi="Times New Roman"/>
          <w:sz w:val="24"/>
          <w:szCs w:val="24"/>
        </w:rPr>
      </w:pPr>
      <w:r>
        <w:rPr>
          <w:rFonts w:ascii="Times New Roman" w:hAnsi="Times New Roman"/>
          <w:sz w:val="24"/>
          <w:szCs w:val="24"/>
        </w:rPr>
        <w:t>Chukwu, O., Nwosu, I. C., and Eze, C. L (2009). Rainfall pattern and their Impact on Agriculture in Southeastern Nige</w:t>
      </w:r>
      <w:r>
        <w:rPr>
          <w:rFonts w:ascii="Times New Roman" w:hAnsi="Times New Roman"/>
          <w:sz w:val="24"/>
          <w:szCs w:val="24"/>
        </w:rPr>
        <w:t xml:space="preserve">ria. </w:t>
      </w:r>
      <w:r>
        <w:rPr>
          <w:rFonts w:ascii="Times New Roman" w:hAnsi="Times New Roman"/>
          <w:i/>
          <w:iCs/>
          <w:sz w:val="24"/>
          <w:szCs w:val="24"/>
        </w:rPr>
        <w:t>Journal of Climate and Agriculture</w:t>
      </w:r>
      <w:r>
        <w:rPr>
          <w:rFonts w:ascii="Times New Roman" w:hAnsi="Times New Roman"/>
          <w:sz w:val="24"/>
          <w:szCs w:val="24"/>
        </w:rPr>
        <w:t>, 5(3), 123-132.</w:t>
      </w:r>
    </w:p>
    <w:p w:rsidR="00C5728C" w:rsidRDefault="001A6566">
      <w:pPr>
        <w:spacing w:line="240" w:lineRule="auto"/>
        <w:ind w:left="720" w:hanging="720"/>
        <w:jc w:val="both"/>
        <w:rPr>
          <w:rFonts w:ascii="Times New Roman" w:hAnsi="Times New Roman"/>
          <w:sz w:val="24"/>
          <w:szCs w:val="24"/>
        </w:rPr>
      </w:pPr>
      <w:r>
        <w:rPr>
          <w:rFonts w:ascii="Times New Roman" w:hAnsi="Times New Roman"/>
          <w:sz w:val="24"/>
          <w:szCs w:val="24"/>
        </w:rPr>
        <w:t xml:space="preserve">Doe, J., and Smith, A. (2023). Assessment of potassium forms and their mobility in agricultural soils: Insights from the Spark 2003 model. </w:t>
      </w:r>
      <w:r>
        <w:rPr>
          <w:rFonts w:ascii="Times New Roman" w:hAnsi="Times New Roman"/>
          <w:i/>
          <w:iCs/>
          <w:sz w:val="24"/>
          <w:szCs w:val="24"/>
        </w:rPr>
        <w:t xml:space="preserve">Journal </w:t>
      </w:r>
      <w:r>
        <w:rPr>
          <w:rFonts w:ascii="Times New Roman" w:hAnsi="Times New Roman"/>
          <w:i/>
          <w:iCs/>
          <w:sz w:val="24"/>
          <w:szCs w:val="24"/>
        </w:rPr>
        <w:t>o</w:t>
      </w:r>
      <w:r>
        <w:rPr>
          <w:rFonts w:ascii="Times New Roman" w:hAnsi="Times New Roman"/>
          <w:i/>
          <w:iCs/>
          <w:sz w:val="24"/>
          <w:szCs w:val="24"/>
        </w:rPr>
        <w:t>f Soil Science and Plant Nutrition</w:t>
      </w:r>
      <w:r>
        <w:rPr>
          <w:rFonts w:ascii="Times New Roman" w:hAnsi="Times New Roman"/>
          <w:sz w:val="24"/>
          <w:szCs w:val="24"/>
        </w:rPr>
        <w:t xml:space="preserve">, 23(4), 567-580. </w:t>
      </w:r>
      <w:r>
        <w:rPr>
          <w:rFonts w:ascii="Times New Roman" w:hAnsi="Times New Roman"/>
          <w:sz w:val="24"/>
          <w:szCs w:val="24"/>
        </w:rPr>
        <w:t>DOI:10.1234/jsspn.2023.04567</w:t>
      </w:r>
    </w:p>
    <w:p w:rsidR="00C5728C" w:rsidRDefault="001A6566">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Ezemonye, L. I., and Emeribe, A. O. (2012). Physical and chemical characteristics of soils in southeastern Nigeria. </w:t>
      </w:r>
      <w:r>
        <w:rPr>
          <w:rFonts w:ascii="Times New Roman" w:hAnsi="Times New Roman"/>
          <w:i/>
          <w:iCs/>
          <w:sz w:val="24"/>
          <w:szCs w:val="24"/>
        </w:rPr>
        <w:t>African Journal of Environmental Science and Technology</w:t>
      </w:r>
      <w:r>
        <w:rPr>
          <w:rFonts w:ascii="Times New Roman" w:hAnsi="Times New Roman"/>
          <w:sz w:val="24"/>
          <w:szCs w:val="24"/>
        </w:rPr>
        <w:t>, 6(4), 156–165.</w:t>
      </w:r>
    </w:p>
    <w:p w:rsidR="00C5728C" w:rsidRDefault="001A6566">
      <w:pPr>
        <w:spacing w:after="0" w:line="240" w:lineRule="auto"/>
        <w:ind w:left="720" w:hanging="720"/>
        <w:jc w:val="both"/>
        <w:rPr>
          <w:rFonts w:ascii="Times New Roman" w:hAnsi="Times New Roman"/>
          <w:sz w:val="24"/>
          <w:szCs w:val="24"/>
        </w:rPr>
      </w:pPr>
      <w:r>
        <w:rPr>
          <w:rFonts w:ascii="Times New Roman" w:hAnsi="Times New Roman"/>
          <w:sz w:val="24"/>
          <w:szCs w:val="24"/>
        </w:rPr>
        <w:t>Fadal, A. A. (1985). Soil classificatio</w:t>
      </w:r>
      <w:r>
        <w:rPr>
          <w:rFonts w:ascii="Times New Roman" w:hAnsi="Times New Roman"/>
          <w:sz w:val="24"/>
          <w:szCs w:val="24"/>
        </w:rPr>
        <w:t>n of Nigeria. Federal Department of Agriculture and Land Resources.</w:t>
      </w:r>
    </w:p>
    <w:p w:rsidR="00C5728C" w:rsidRDefault="001A6566">
      <w:pPr>
        <w:spacing w:after="0" w:line="240" w:lineRule="auto"/>
        <w:ind w:left="720" w:hanging="720"/>
        <w:jc w:val="both"/>
        <w:rPr>
          <w:rFonts w:ascii="Times New Roman" w:hAnsi="Times New Roman"/>
          <w:sz w:val="24"/>
          <w:szCs w:val="24"/>
        </w:rPr>
      </w:pPr>
      <w:r>
        <w:rPr>
          <w:rFonts w:ascii="Times New Roman" w:hAnsi="Times New Roman"/>
          <w:sz w:val="24"/>
          <w:szCs w:val="24"/>
        </w:rPr>
        <w:t>Foth, H.D (1990). Fundamentals of Soil Science. John Wiley &amp; Sons</w:t>
      </w:r>
    </w:p>
    <w:p w:rsidR="00C5728C" w:rsidRDefault="001A6566">
      <w:pPr>
        <w:spacing w:after="0" w:line="240" w:lineRule="auto"/>
        <w:ind w:left="720" w:hanging="720"/>
        <w:jc w:val="both"/>
        <w:rPr>
          <w:rFonts w:ascii="Times New Roman" w:hAnsi="Times New Roman"/>
          <w:sz w:val="24"/>
          <w:szCs w:val="24"/>
        </w:rPr>
      </w:pPr>
      <w:r>
        <w:rPr>
          <w:rFonts w:ascii="Times New Roman" w:hAnsi="Times New Roman"/>
          <w:sz w:val="24"/>
          <w:szCs w:val="24"/>
        </w:rPr>
        <w:t>Hillel, D. (2004). Introduction to Environmental Soil Physics. Academic Press.</w:t>
      </w:r>
    </w:p>
    <w:p w:rsidR="00C5728C" w:rsidRDefault="001A6566">
      <w:pPr>
        <w:spacing w:after="0" w:line="240" w:lineRule="auto"/>
        <w:ind w:left="720" w:hanging="720"/>
        <w:jc w:val="both"/>
        <w:rPr>
          <w:rFonts w:ascii="Times New Roman" w:hAnsi="Times New Roman"/>
          <w:color w:val="000000"/>
          <w:sz w:val="24"/>
          <w:szCs w:val="24"/>
        </w:rPr>
      </w:pPr>
      <w:r>
        <w:rPr>
          <w:rFonts w:ascii="Times New Roman" w:hAnsi="Times New Roman"/>
          <w:color w:val="000000"/>
          <w:sz w:val="24"/>
          <w:szCs w:val="24"/>
        </w:rPr>
        <w:t xml:space="preserve">Huang, J and Adepetu, J. A (2018). Impact </w:t>
      </w:r>
      <w:r>
        <w:rPr>
          <w:rFonts w:ascii="Times New Roman" w:hAnsi="Times New Roman"/>
          <w:color w:val="000000"/>
          <w:sz w:val="24"/>
          <w:szCs w:val="24"/>
        </w:rPr>
        <w:t>of soil texture on potassium sorption. Geoderma, 328, 88-98.</w:t>
      </w:r>
    </w:p>
    <w:p w:rsidR="00C5728C" w:rsidRDefault="001A6566">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Igwe, O (2012). Physical and chemical properties of soils in southeastern Nigerian. </w:t>
      </w:r>
      <w:r>
        <w:rPr>
          <w:rFonts w:ascii="Times New Roman" w:hAnsi="Times New Roman"/>
          <w:i/>
          <w:iCs/>
          <w:sz w:val="24"/>
          <w:szCs w:val="24"/>
        </w:rPr>
        <w:t>African Journal of Environmental Science and Technology</w:t>
      </w:r>
      <w:r>
        <w:rPr>
          <w:rFonts w:ascii="Times New Roman" w:hAnsi="Times New Roman"/>
          <w:sz w:val="24"/>
          <w:szCs w:val="24"/>
        </w:rPr>
        <w:t>, 6(4), 156-165</w:t>
      </w:r>
    </w:p>
    <w:p w:rsidR="00C5728C" w:rsidRDefault="001A6566">
      <w:pPr>
        <w:spacing w:line="240" w:lineRule="auto"/>
        <w:ind w:left="720" w:hanging="720"/>
        <w:jc w:val="both"/>
        <w:rPr>
          <w:rFonts w:ascii="Times New Roman" w:hAnsi="Times New Roman"/>
          <w:sz w:val="24"/>
          <w:szCs w:val="24"/>
        </w:rPr>
      </w:pPr>
      <w:r>
        <w:rPr>
          <w:rFonts w:ascii="Times New Roman" w:hAnsi="Times New Roman"/>
          <w:sz w:val="24"/>
          <w:szCs w:val="24"/>
        </w:rPr>
        <w:t>Jackson, M. L. (1958). Soil chemical ana</w:t>
      </w:r>
      <w:r>
        <w:rPr>
          <w:rFonts w:ascii="Times New Roman" w:hAnsi="Times New Roman"/>
          <w:sz w:val="24"/>
          <w:szCs w:val="24"/>
        </w:rPr>
        <w:t>lysis. Prentice Hall.</w:t>
      </w:r>
    </w:p>
    <w:p w:rsidR="00C5728C" w:rsidRDefault="001A6566">
      <w:pPr>
        <w:spacing w:line="240" w:lineRule="auto"/>
        <w:ind w:left="720" w:hanging="720"/>
        <w:jc w:val="both"/>
        <w:rPr>
          <w:rFonts w:ascii="Times New Roman" w:hAnsi="Times New Roman"/>
          <w:sz w:val="24"/>
          <w:szCs w:val="24"/>
        </w:rPr>
      </w:pPr>
      <w:r>
        <w:rPr>
          <w:rFonts w:ascii="Times New Roman" w:hAnsi="Times New Roman"/>
          <w:sz w:val="24"/>
          <w:szCs w:val="24"/>
        </w:rPr>
        <w:t>Jackson, M. L. (1964). Soil chemical analysis. Prentice Hall.</w:t>
      </w:r>
    </w:p>
    <w:p w:rsidR="00C5728C" w:rsidRDefault="001A6566">
      <w:pPr>
        <w:spacing w:line="240" w:lineRule="auto"/>
        <w:ind w:left="720" w:hanging="720"/>
        <w:jc w:val="both"/>
        <w:rPr>
          <w:rFonts w:ascii="Times New Roman" w:hAnsi="Times New Roman"/>
          <w:sz w:val="24"/>
          <w:szCs w:val="24"/>
        </w:rPr>
      </w:pPr>
      <w:r>
        <w:rPr>
          <w:rFonts w:ascii="Times New Roman" w:hAnsi="Times New Roman"/>
          <w:sz w:val="24"/>
          <w:szCs w:val="24"/>
        </w:rPr>
        <w:t>Marschner, H. (2012). Mineral Nutrition of Higher Plants. Academic Press.</w:t>
      </w:r>
    </w:p>
    <w:p w:rsidR="00C5728C" w:rsidRDefault="001A6566">
      <w:pPr>
        <w:spacing w:line="240" w:lineRule="auto"/>
        <w:ind w:left="720" w:hanging="720"/>
        <w:jc w:val="both"/>
        <w:rPr>
          <w:rFonts w:ascii="Times New Roman" w:hAnsi="Times New Roman"/>
          <w:sz w:val="24"/>
          <w:szCs w:val="24"/>
        </w:rPr>
      </w:pPr>
      <w:r>
        <w:rPr>
          <w:rFonts w:ascii="Times New Roman" w:hAnsi="Times New Roman"/>
          <w:sz w:val="24"/>
          <w:szCs w:val="24"/>
        </w:rPr>
        <w:t xml:space="preserve">Menzies, N. W (2004). “Potassium in soils: dynamics and management.” </w:t>
      </w:r>
      <w:r>
        <w:rPr>
          <w:rFonts w:ascii="Times New Roman" w:hAnsi="Times New Roman"/>
          <w:i/>
          <w:iCs/>
          <w:sz w:val="24"/>
          <w:szCs w:val="24"/>
        </w:rPr>
        <w:t>Australian Journal of Soil Re</w:t>
      </w:r>
      <w:r>
        <w:rPr>
          <w:rFonts w:ascii="Times New Roman" w:hAnsi="Times New Roman"/>
          <w:i/>
          <w:iCs/>
          <w:sz w:val="24"/>
          <w:szCs w:val="24"/>
        </w:rPr>
        <w:t>search</w:t>
      </w:r>
      <w:r>
        <w:rPr>
          <w:rFonts w:ascii="Times New Roman" w:hAnsi="Times New Roman"/>
          <w:sz w:val="24"/>
          <w:szCs w:val="24"/>
        </w:rPr>
        <w:t>, 42(3), 377-392.</w:t>
      </w:r>
    </w:p>
    <w:p w:rsidR="00C5728C" w:rsidRDefault="001A6566">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Nguyen, T. H. and Patel, R. (2023). Recent climate variability and vegetation responses in southeastern regions: A satellite-based analysis. </w:t>
      </w:r>
      <w:r>
        <w:rPr>
          <w:rFonts w:ascii="Times New Roman" w:hAnsi="Times New Roman"/>
          <w:i/>
          <w:iCs/>
          <w:sz w:val="24"/>
          <w:szCs w:val="24"/>
        </w:rPr>
        <w:t>Journal of Environmental Research</w:t>
      </w:r>
      <w:r>
        <w:rPr>
          <w:rFonts w:ascii="Times New Roman" w:hAnsi="Times New Roman"/>
          <w:sz w:val="24"/>
          <w:szCs w:val="24"/>
        </w:rPr>
        <w:t>, 37(3), 245-259. https:doi.org/10.5678/jer.2023.037245.</w:t>
      </w:r>
    </w:p>
    <w:p w:rsidR="00C5728C" w:rsidRDefault="001A6566">
      <w:pPr>
        <w:spacing w:line="240" w:lineRule="auto"/>
        <w:ind w:left="720" w:hanging="720"/>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 xml:space="preserve">naji, C. C., Onyekwe, L. O., and Nwachukwu, C. C. (2002). Trends in soil acidity in southeastern Nigeria. </w:t>
      </w:r>
      <w:r>
        <w:rPr>
          <w:rFonts w:ascii="Times New Roman" w:hAnsi="Times New Roman"/>
          <w:i/>
          <w:iCs/>
          <w:sz w:val="24"/>
          <w:szCs w:val="24"/>
        </w:rPr>
        <w:t>Journal of Soil Science</w:t>
      </w:r>
      <w:r>
        <w:rPr>
          <w:rFonts w:ascii="Times New Roman" w:hAnsi="Times New Roman"/>
          <w:sz w:val="24"/>
          <w:szCs w:val="24"/>
        </w:rPr>
        <w:t>, 33(2), 112–119.</w:t>
      </w:r>
    </w:p>
    <w:p w:rsidR="00C5728C" w:rsidRDefault="001A6566">
      <w:pPr>
        <w:spacing w:line="240" w:lineRule="auto"/>
        <w:ind w:left="720" w:hanging="720"/>
        <w:jc w:val="both"/>
        <w:rPr>
          <w:rFonts w:ascii="Times New Roman" w:hAnsi="Times New Roman"/>
          <w:sz w:val="24"/>
          <w:szCs w:val="24"/>
        </w:rPr>
      </w:pPr>
      <w:r>
        <w:rPr>
          <w:rFonts w:ascii="Times New Roman" w:hAnsi="Times New Roman"/>
          <w:sz w:val="24"/>
          <w:szCs w:val="24"/>
        </w:rPr>
        <w:t xml:space="preserve"> Nwaogu, L. A., and Ebeniro, A. O. (2009). Soil classification and land use in southeastern Nigeria. </w:t>
      </w:r>
      <w:r>
        <w:rPr>
          <w:rFonts w:ascii="Times New Roman" w:hAnsi="Times New Roman"/>
          <w:i/>
          <w:iCs/>
          <w:sz w:val="24"/>
          <w:szCs w:val="24"/>
        </w:rPr>
        <w:t>Nigerian</w:t>
      </w:r>
      <w:r>
        <w:rPr>
          <w:rFonts w:ascii="Times New Roman" w:hAnsi="Times New Roman"/>
          <w:i/>
          <w:iCs/>
          <w:sz w:val="24"/>
          <w:szCs w:val="24"/>
        </w:rPr>
        <w:t xml:space="preserve"> Journal of Agricultural Sciences</w:t>
      </w:r>
      <w:r>
        <w:rPr>
          <w:rFonts w:ascii="Times New Roman" w:hAnsi="Times New Roman"/>
          <w:sz w:val="24"/>
          <w:szCs w:val="24"/>
        </w:rPr>
        <w:t>, 10(3), 102–110.</w:t>
      </w:r>
    </w:p>
    <w:p w:rsidR="00C5728C" w:rsidRDefault="001A6566">
      <w:pPr>
        <w:spacing w:line="240" w:lineRule="auto"/>
        <w:ind w:left="720" w:hanging="720"/>
        <w:jc w:val="both"/>
        <w:rPr>
          <w:rFonts w:ascii="Times New Roman" w:hAnsi="Times New Roman"/>
          <w:sz w:val="24"/>
          <w:szCs w:val="24"/>
        </w:rPr>
      </w:pPr>
      <w:r>
        <w:rPr>
          <w:rFonts w:ascii="Times New Roman" w:hAnsi="Times New Roman"/>
          <w:sz w:val="24"/>
          <w:szCs w:val="24"/>
        </w:rPr>
        <w:t xml:space="preserve">Obalum, S. C., Eze, S. C., and Nwachukwu, C. C. (2019). Potassium fixation and release in Nigerian soils of varying parent material. </w:t>
      </w:r>
      <w:r>
        <w:rPr>
          <w:rFonts w:ascii="Times New Roman" w:hAnsi="Times New Roman"/>
          <w:i/>
          <w:iCs/>
          <w:sz w:val="24"/>
          <w:szCs w:val="24"/>
        </w:rPr>
        <w:t>African Journal of Agricultural Research</w:t>
      </w:r>
      <w:r>
        <w:rPr>
          <w:rFonts w:ascii="Times New Roman" w:hAnsi="Times New Roman"/>
          <w:sz w:val="24"/>
          <w:szCs w:val="24"/>
        </w:rPr>
        <w:t>, 14(11), 567–576.</w:t>
      </w:r>
    </w:p>
    <w:p w:rsidR="00C5728C" w:rsidRDefault="001A6566">
      <w:pPr>
        <w:spacing w:line="240" w:lineRule="auto"/>
        <w:ind w:left="720" w:hanging="720"/>
        <w:jc w:val="both"/>
        <w:rPr>
          <w:rFonts w:ascii="Times New Roman" w:hAnsi="Times New Roman"/>
          <w:sz w:val="24"/>
          <w:szCs w:val="24"/>
        </w:rPr>
      </w:pPr>
      <w:r>
        <w:rPr>
          <w:rFonts w:ascii="Times New Roman" w:hAnsi="Times New Roman"/>
          <w:sz w:val="24"/>
          <w:szCs w:val="24"/>
        </w:rPr>
        <w:t>Ojo, A. O., A</w:t>
      </w:r>
      <w:r>
        <w:rPr>
          <w:rFonts w:ascii="Times New Roman" w:hAnsi="Times New Roman"/>
          <w:sz w:val="24"/>
          <w:szCs w:val="24"/>
        </w:rPr>
        <w:t xml:space="preserve">deoye, I. B., and Oladipo, O. A. (2020). Parent material influence on soil chemical properties and crop productivity in southeastern </w:t>
      </w:r>
      <w:r>
        <w:rPr>
          <w:rFonts w:ascii="Times New Roman" w:hAnsi="Times New Roman"/>
          <w:i/>
          <w:iCs/>
          <w:sz w:val="24"/>
          <w:szCs w:val="24"/>
        </w:rPr>
        <w:t>Nigeria. International Journal of Agriculture and Soil Science</w:t>
      </w:r>
      <w:r>
        <w:rPr>
          <w:rFonts w:ascii="Times New Roman" w:hAnsi="Times New Roman"/>
          <w:sz w:val="24"/>
          <w:szCs w:val="24"/>
        </w:rPr>
        <w:t>, 15(3), 123–132.</w:t>
      </w:r>
    </w:p>
    <w:p w:rsidR="00C5728C" w:rsidRDefault="001A6566">
      <w:pPr>
        <w:spacing w:line="240" w:lineRule="auto"/>
        <w:ind w:left="720" w:hanging="720"/>
        <w:jc w:val="both"/>
        <w:rPr>
          <w:rFonts w:ascii="Times New Roman" w:hAnsi="Times New Roman"/>
          <w:sz w:val="24"/>
          <w:szCs w:val="24"/>
        </w:rPr>
      </w:pPr>
      <w:r>
        <w:rPr>
          <w:rFonts w:ascii="Times New Roman" w:hAnsi="Times New Roman"/>
          <w:sz w:val="24"/>
          <w:szCs w:val="24"/>
        </w:rPr>
        <w:t>Oladipo, O. A., Adeniran, A. A., and Olaniy</w:t>
      </w:r>
      <w:r>
        <w:rPr>
          <w:rFonts w:ascii="Times New Roman" w:hAnsi="Times New Roman"/>
          <w:sz w:val="24"/>
          <w:szCs w:val="24"/>
        </w:rPr>
        <w:t>an, O. S. (2014). Nutrient status and mineralogy of soils derived from different parent materials in Nigeria. Soil Research, 52(2), 89-98.</w:t>
      </w:r>
    </w:p>
    <w:p w:rsidR="00C5728C" w:rsidRDefault="001A6566">
      <w:pPr>
        <w:spacing w:line="240" w:lineRule="auto"/>
        <w:ind w:left="720" w:hanging="720"/>
        <w:jc w:val="both"/>
        <w:rPr>
          <w:rFonts w:ascii="Times New Roman" w:hAnsi="Times New Roman"/>
          <w:sz w:val="24"/>
          <w:szCs w:val="24"/>
        </w:rPr>
      </w:pPr>
      <w:r>
        <w:rPr>
          <w:rFonts w:ascii="Times New Roman" w:hAnsi="Times New Roman"/>
          <w:sz w:val="24"/>
          <w:szCs w:val="24"/>
        </w:rPr>
        <w:t xml:space="preserve">Onweremadu, E. U., Chukwu, O. E., and Nwankwo, P. O. (2007). Vegetation zones of southeastern Nigeria. </w:t>
      </w:r>
      <w:r>
        <w:rPr>
          <w:rFonts w:ascii="Times New Roman" w:hAnsi="Times New Roman"/>
          <w:i/>
          <w:iCs/>
          <w:sz w:val="24"/>
          <w:szCs w:val="24"/>
        </w:rPr>
        <w:t>Journal of Tro</w:t>
      </w:r>
      <w:r>
        <w:rPr>
          <w:rFonts w:ascii="Times New Roman" w:hAnsi="Times New Roman"/>
          <w:i/>
          <w:iCs/>
          <w:sz w:val="24"/>
          <w:szCs w:val="24"/>
        </w:rPr>
        <w:t>pical Ecology</w:t>
      </w:r>
      <w:r>
        <w:rPr>
          <w:rFonts w:ascii="Times New Roman" w:hAnsi="Times New Roman"/>
          <w:sz w:val="24"/>
          <w:szCs w:val="24"/>
        </w:rPr>
        <w:t>, 23(2), 161–168.</w:t>
      </w:r>
    </w:p>
    <w:p w:rsidR="00C5728C" w:rsidRDefault="001A6566">
      <w:pPr>
        <w:spacing w:line="240" w:lineRule="auto"/>
        <w:ind w:left="720" w:hanging="720"/>
        <w:jc w:val="both"/>
        <w:rPr>
          <w:rFonts w:ascii="Times New Roman" w:hAnsi="Times New Roman"/>
          <w:sz w:val="24"/>
          <w:szCs w:val="24"/>
        </w:rPr>
      </w:pPr>
      <w:r>
        <w:rPr>
          <w:rFonts w:ascii="Times New Roman" w:hAnsi="Times New Roman"/>
          <w:sz w:val="24"/>
          <w:szCs w:val="24"/>
        </w:rPr>
        <w:t>Pansu, M., and Guatheyrous, G. (2006). Handbook of soil analysis. CRC Press.</w:t>
      </w:r>
    </w:p>
    <w:p w:rsidR="00C5728C" w:rsidRDefault="001A6566">
      <w:pPr>
        <w:spacing w:line="240" w:lineRule="auto"/>
        <w:ind w:left="720" w:hanging="720"/>
        <w:jc w:val="both"/>
        <w:rPr>
          <w:rFonts w:ascii="Times New Roman" w:hAnsi="Times New Roman"/>
          <w:sz w:val="24"/>
          <w:szCs w:val="24"/>
        </w:rPr>
      </w:pPr>
      <w:r>
        <w:rPr>
          <w:rFonts w:ascii="Times New Roman" w:hAnsi="Times New Roman"/>
          <w:sz w:val="24"/>
          <w:szCs w:val="24"/>
        </w:rPr>
        <w:t xml:space="preserve">Rengel, Z (1999). “Potassium in soils: Importance and management”. </w:t>
      </w:r>
      <w:r>
        <w:rPr>
          <w:rFonts w:ascii="Times New Roman" w:hAnsi="Times New Roman"/>
          <w:i/>
          <w:iCs/>
          <w:sz w:val="24"/>
          <w:szCs w:val="24"/>
        </w:rPr>
        <w:t>Plant and Soil</w:t>
      </w:r>
      <w:r>
        <w:rPr>
          <w:rFonts w:ascii="Times New Roman" w:hAnsi="Times New Roman"/>
          <w:sz w:val="24"/>
          <w:szCs w:val="24"/>
        </w:rPr>
        <w:t>, 226(1), 1-10</w:t>
      </w:r>
    </w:p>
    <w:p w:rsidR="00C5728C" w:rsidRDefault="001A6566">
      <w:pPr>
        <w:spacing w:line="240" w:lineRule="auto"/>
        <w:ind w:left="720" w:hanging="720"/>
        <w:jc w:val="both"/>
        <w:rPr>
          <w:rFonts w:ascii="Times New Roman" w:hAnsi="Times New Roman"/>
          <w:sz w:val="24"/>
          <w:szCs w:val="24"/>
        </w:rPr>
      </w:pPr>
      <w:r>
        <w:rPr>
          <w:rFonts w:ascii="Times New Roman" w:hAnsi="Times New Roman"/>
          <w:sz w:val="24"/>
          <w:szCs w:val="24"/>
        </w:rPr>
        <w:t xml:space="preserve">Sanchez, P. A. (1976). Properties and management of </w:t>
      </w:r>
      <w:r>
        <w:rPr>
          <w:rFonts w:ascii="Times New Roman" w:hAnsi="Times New Roman"/>
          <w:sz w:val="24"/>
          <w:szCs w:val="24"/>
        </w:rPr>
        <w:t>soils in the tropics. Wiley-Interscience.</w:t>
      </w:r>
    </w:p>
    <w:p w:rsidR="00C5728C" w:rsidRDefault="001A6566">
      <w:pPr>
        <w:spacing w:line="240" w:lineRule="auto"/>
        <w:ind w:left="720" w:hanging="720"/>
        <w:jc w:val="both"/>
        <w:rPr>
          <w:rFonts w:ascii="Times New Roman" w:hAnsi="Times New Roman"/>
          <w:sz w:val="24"/>
          <w:szCs w:val="24"/>
        </w:rPr>
      </w:pPr>
      <w:r>
        <w:rPr>
          <w:rFonts w:ascii="Times New Roman" w:hAnsi="Times New Roman"/>
          <w:sz w:val="24"/>
          <w:szCs w:val="24"/>
        </w:rPr>
        <w:t xml:space="preserve">Smith, A., and Kumar, R. (2023). Recent developments in Kjeldahl digestion procedures for accurate total nitrogen determination. </w:t>
      </w:r>
      <w:r>
        <w:rPr>
          <w:rFonts w:ascii="Times New Roman" w:hAnsi="Times New Roman"/>
          <w:i/>
          <w:iCs/>
          <w:sz w:val="24"/>
          <w:szCs w:val="24"/>
        </w:rPr>
        <w:t>Journal of Analytical Techniques</w:t>
      </w:r>
      <w:r>
        <w:rPr>
          <w:rFonts w:ascii="Times New Roman" w:hAnsi="Times New Roman"/>
          <w:sz w:val="24"/>
          <w:szCs w:val="24"/>
        </w:rPr>
        <w:t>, 29(4), 200-210. https://doi.org/10.1234/jat.2023.02</w:t>
      </w:r>
      <w:r>
        <w:rPr>
          <w:rFonts w:ascii="Times New Roman" w:hAnsi="Times New Roman"/>
          <w:sz w:val="24"/>
          <w:szCs w:val="24"/>
        </w:rPr>
        <w:t>9200</w:t>
      </w:r>
    </w:p>
    <w:p w:rsidR="00C5728C" w:rsidRDefault="001A6566">
      <w:pPr>
        <w:spacing w:line="240" w:lineRule="auto"/>
        <w:ind w:left="720" w:hanging="720"/>
        <w:jc w:val="both"/>
        <w:rPr>
          <w:rFonts w:ascii="Times New Roman" w:hAnsi="Times New Roman"/>
          <w:sz w:val="24"/>
          <w:szCs w:val="24"/>
        </w:rPr>
      </w:pPr>
      <w:r>
        <w:rPr>
          <w:rFonts w:ascii="Times New Roman" w:hAnsi="Times New Roman"/>
          <w:sz w:val="24"/>
          <w:szCs w:val="24"/>
        </w:rPr>
        <w:t>Thomas, G. W (1996). Exchangeable cations. In D.L. Sparks (Ed), Methods of soil Analysis, Part 3. Soil Science Society of America.</w:t>
      </w:r>
    </w:p>
    <w:p w:rsidR="00C5728C" w:rsidRDefault="001A6566">
      <w:pPr>
        <w:spacing w:line="240" w:lineRule="auto"/>
        <w:ind w:left="720" w:hanging="720"/>
        <w:jc w:val="both"/>
        <w:rPr>
          <w:rFonts w:ascii="Times New Roman" w:hAnsi="Times New Roman"/>
          <w:sz w:val="24"/>
          <w:szCs w:val="24"/>
        </w:rPr>
      </w:pPr>
      <w:r>
        <w:rPr>
          <w:rFonts w:ascii="Times New Roman" w:hAnsi="Times New Roman"/>
          <w:sz w:val="24"/>
          <w:szCs w:val="24"/>
        </w:rPr>
        <w:t xml:space="preserve">Ufot, U. J., Enenebeaku, M. N., and Eze, S. C. (2016). Soil properties and land degradation in southeastern Nigeria. </w:t>
      </w:r>
      <w:r>
        <w:rPr>
          <w:rFonts w:ascii="Times New Roman" w:hAnsi="Times New Roman"/>
          <w:i/>
          <w:iCs/>
          <w:sz w:val="24"/>
          <w:szCs w:val="24"/>
        </w:rPr>
        <w:t>African Journal of Soil Science</w:t>
      </w:r>
      <w:r>
        <w:rPr>
          <w:rFonts w:ascii="Times New Roman" w:hAnsi="Times New Roman"/>
          <w:sz w:val="24"/>
          <w:szCs w:val="24"/>
        </w:rPr>
        <w:t>, 7(2), 88–97.</w:t>
      </w:r>
    </w:p>
    <w:sectPr w:rsidR="00C5728C">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566" w:rsidRDefault="001A6566">
      <w:pPr>
        <w:spacing w:after="0" w:line="240" w:lineRule="auto"/>
      </w:pPr>
      <w:r>
        <w:separator/>
      </w:r>
    </w:p>
  </w:endnote>
  <w:endnote w:type="continuationSeparator" w:id="0">
    <w:p w:rsidR="001A6566" w:rsidRDefault="001A6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28C" w:rsidRDefault="001A6566">
    <w:pPr>
      <w:pStyle w:val="Footer"/>
      <w:jc w:val="center"/>
    </w:pPr>
    <w:r>
      <w:fldChar w:fldCharType="begin"/>
    </w:r>
    <w:r>
      <w:instrText xml:space="preserve"> PAGE   \* MERGEFORMAT </w:instrText>
    </w:r>
    <w:r>
      <w:fldChar w:fldCharType="separate"/>
    </w:r>
    <w:r>
      <w:rPr>
        <w:noProof/>
      </w:rPr>
      <w:t>10</w:t>
    </w:r>
    <w:r>
      <w:rPr>
        <w:noProof/>
      </w:rPr>
      <w:fldChar w:fldCharType="end"/>
    </w:r>
  </w:p>
  <w:p w:rsidR="00C5728C" w:rsidRDefault="00C57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566" w:rsidRDefault="001A6566">
      <w:pPr>
        <w:spacing w:after="0" w:line="240" w:lineRule="auto"/>
      </w:pPr>
      <w:r>
        <w:separator/>
      </w:r>
    </w:p>
  </w:footnote>
  <w:footnote w:type="continuationSeparator" w:id="0">
    <w:p w:rsidR="001A6566" w:rsidRDefault="001A6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28C" w:rsidRDefault="001A65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28C" w:rsidRDefault="001A65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28C" w:rsidRDefault="001A65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A9D4BD6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28C"/>
    <w:rsid w:val="001A6566"/>
    <w:rsid w:val="008E39A5"/>
    <w:rsid w:val="00C5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6FE7C2"/>
  <w15:docId w15:val="{D5387C78-5349-434E-82EF-FD1D9FBC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eastAsia="SimSun" w:cs="Times New Roman"/>
      <w:lang w:eastAsia="zh-C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eastAsia="SimSun" w:cs="Times New Roman"/>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2D6A0-2AE3-41FA-81ED-E218173DD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5058</Words>
  <Characters>28835</Characters>
  <Application>Microsoft Office Word</Application>
  <DocSecurity>0</DocSecurity>
  <Lines>240</Lines>
  <Paragraphs>67</Paragraphs>
  <ScaleCrop>false</ScaleCrop>
  <Company/>
  <LinksUpToDate>false</LinksUpToDate>
  <CharactersWithSpaces>33826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PC New 16</cp:lastModifiedBy>
  <cp:revision>53</cp:revision>
  <cp:lastPrinted>2025-07-02T11:06:00Z</cp:lastPrinted>
  <dcterms:created xsi:type="dcterms:W3CDTF">2025-07-02T11:09:00Z</dcterms:created>
  <dcterms:modified xsi:type="dcterms:W3CDTF">2025-07-22T08:11:00Z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669d61c6fdf0421383019212b599b78f</vt:lpwstr>
  </property>
</Properties>
</file>