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9A1" w:rsidRDefault="00AE666C">
      <w:pPr>
        <w:pStyle w:val="NoSpacing"/>
        <w:spacing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Assessment of cardio-anthropometric status </w:t>
      </w:r>
      <w:r w:rsidRPr="005E0D2F">
        <w:rPr>
          <w:rFonts w:ascii="Times New Roman" w:hAnsi="Times New Roman" w:cs="Times New Roman"/>
          <w:b/>
          <w:color w:val="00B050"/>
          <w:sz w:val="20"/>
          <w:szCs w:val="24"/>
        </w:rPr>
        <w:t xml:space="preserve">and hypertension risk factors </w:t>
      </w:r>
      <w:r>
        <w:rPr>
          <w:rFonts w:ascii="Times New Roman" w:hAnsi="Times New Roman" w:cs="Times New Roman"/>
          <w:b/>
          <w:sz w:val="20"/>
          <w:szCs w:val="24"/>
        </w:rPr>
        <w:t xml:space="preserve">among women of childbearing age in </w:t>
      </w:r>
      <w:proofErr w:type="spellStart"/>
      <w:r>
        <w:rPr>
          <w:rFonts w:ascii="Times New Roman" w:hAnsi="Times New Roman" w:cs="Times New Roman"/>
          <w:b/>
          <w:sz w:val="20"/>
          <w:szCs w:val="24"/>
        </w:rPr>
        <w:t>ahoada</w:t>
      </w:r>
      <w:proofErr w:type="spellEnd"/>
      <w:r>
        <w:rPr>
          <w:rFonts w:ascii="Times New Roman" w:hAnsi="Times New Roman" w:cs="Times New Roman"/>
          <w:b/>
          <w:sz w:val="20"/>
          <w:szCs w:val="24"/>
        </w:rPr>
        <w:t xml:space="preserve"> west river state, Nigeria</w:t>
      </w:r>
    </w:p>
    <w:p w:rsidR="00653A15" w:rsidRDefault="00653A15">
      <w:pPr>
        <w:pStyle w:val="NoSpacing"/>
        <w:spacing w:line="360" w:lineRule="auto"/>
        <w:jc w:val="both"/>
        <w:rPr>
          <w:rFonts w:ascii="Times New Roman" w:hAnsi="Times New Roman" w:cs="Times New Roman"/>
          <w:b/>
          <w:sz w:val="20"/>
          <w:szCs w:val="24"/>
        </w:rPr>
      </w:pPr>
    </w:p>
    <w:p w:rsidR="00653A15" w:rsidRDefault="00653A15">
      <w:pPr>
        <w:pStyle w:val="NoSpacing"/>
        <w:spacing w:line="360" w:lineRule="auto"/>
        <w:jc w:val="both"/>
        <w:rPr>
          <w:rFonts w:ascii="Times New Roman" w:hAnsi="Times New Roman" w:cs="Times New Roman"/>
          <w:sz w:val="24"/>
          <w:szCs w:val="24"/>
        </w:rPr>
      </w:pPr>
    </w:p>
    <w:p w:rsidR="00653A15" w:rsidRPr="00A061B5" w:rsidRDefault="00532BFF">
      <w:pPr>
        <w:pStyle w:val="NoSpacing"/>
        <w:spacing w:line="360" w:lineRule="auto"/>
        <w:jc w:val="both"/>
        <w:rPr>
          <w:rFonts w:ascii="Times New Roman" w:hAnsi="Times New Roman" w:cs="Times New Roman"/>
          <w:b/>
          <w:sz w:val="28"/>
          <w:szCs w:val="24"/>
        </w:rPr>
      </w:pPr>
      <w:r w:rsidRPr="00A061B5">
        <w:rPr>
          <w:rFonts w:ascii="Times New Roman" w:hAnsi="Times New Roman" w:cs="Times New Roman"/>
          <w:b/>
          <w:sz w:val="28"/>
          <w:szCs w:val="24"/>
        </w:rPr>
        <w:t>Abstract</w:t>
      </w:r>
    </w:p>
    <w:p w:rsidR="003069A1" w:rsidRDefault="006037BE">
      <w:pPr>
        <w:jc w:val="both"/>
        <w:rPr>
          <w:rFonts w:ascii="Times New Roman" w:hAnsi="Times New Roman" w:cs="Times New Roman"/>
          <w:b/>
        </w:rPr>
      </w:pPr>
      <w:r>
        <w:rPr>
          <w:rFonts w:ascii="Times New Roman" w:hAnsi="Times New Roman"/>
          <w:b/>
        </w:rPr>
        <w:t>Aim/Objective:</w:t>
      </w:r>
      <w:r>
        <w:rPr>
          <w:rFonts w:ascii="Times New Roman" w:hAnsi="Times New Roman"/>
        </w:rPr>
        <w:t xml:space="preserve"> This study aimed to determine the cardio-anthropometric status of child bearing age women with focus on factors responsible to the development of hypertension in Ahoada west LGA River state, Nigeria.</w:t>
      </w:r>
      <w:r>
        <w:rPr>
          <w:rFonts w:ascii="Times New Roman" w:hAnsi="Times New Roman" w:cs="Times New Roman"/>
          <w:b/>
        </w:rPr>
        <w:t xml:space="preserve"> Materials and Methods:</w:t>
      </w:r>
      <w:r>
        <w:rPr>
          <w:rFonts w:ascii="Times New Roman" w:hAnsi="Times New Roman" w:cs="Times New Roman"/>
        </w:rPr>
        <w:t xml:space="preserve"> </w:t>
      </w:r>
      <w:r w:rsidR="004B1DC4" w:rsidRPr="004B1DC4">
        <w:rPr>
          <w:rFonts w:ascii="Times New Roman" w:hAnsi="Times New Roman" w:cs="Times New Roman"/>
          <w:color w:val="00B050"/>
        </w:rPr>
        <w:t xml:space="preserve">Cross-sectional descriptive </w:t>
      </w:r>
      <w:r w:rsidR="004B1DC4">
        <w:rPr>
          <w:rFonts w:ascii="Times New Roman" w:hAnsi="Times New Roman" w:cs="Times New Roman"/>
        </w:rPr>
        <w:t>random sampling method was adopted</w:t>
      </w:r>
      <w:r>
        <w:rPr>
          <w:rFonts w:ascii="Times New Roman" w:hAnsi="Times New Roman" w:cs="Times New Roman"/>
        </w:rPr>
        <w:t xml:space="preserve"> for this study using </w:t>
      </w:r>
      <w:proofErr w:type="spellStart"/>
      <w:r>
        <w:rPr>
          <w:rFonts w:ascii="Times New Roman" w:hAnsi="Times New Roman" w:cs="Times New Roman"/>
        </w:rPr>
        <w:t>Youngkang</w:t>
      </w:r>
      <w:proofErr w:type="spellEnd"/>
      <w:r>
        <w:rPr>
          <w:rFonts w:ascii="Times New Roman" w:hAnsi="Times New Roman" w:cs="Times New Roman"/>
        </w:rPr>
        <w:t xml:space="preserve"> </w:t>
      </w:r>
      <w:proofErr w:type="spellStart"/>
      <w:r>
        <w:rPr>
          <w:rFonts w:ascii="Times New Roman" w:hAnsi="Times New Roman" w:cs="Times New Roman"/>
        </w:rPr>
        <w:t>Zhenzhong</w:t>
      </w:r>
      <w:proofErr w:type="spellEnd"/>
      <w:r>
        <w:rPr>
          <w:rFonts w:ascii="Times New Roman" w:hAnsi="Times New Roman" w:cs="Times New Roman"/>
        </w:rPr>
        <w:t xml:space="preserve"> and calibrated meter rule to determine </w:t>
      </w:r>
      <w:r w:rsidR="004B1DC4">
        <w:rPr>
          <w:rFonts w:ascii="Times New Roman" w:hAnsi="Times New Roman" w:cs="Times New Roman"/>
        </w:rPr>
        <w:t>weight (</w:t>
      </w:r>
      <w:r>
        <w:rPr>
          <w:rFonts w:ascii="Times New Roman" w:hAnsi="Times New Roman" w:cs="Times New Roman"/>
        </w:rPr>
        <w:t>kg) and height(m) while Omron digital apparatus was used to determine the cardiovascular status of all the subjects (271). All data obtained were documented in a structured questionnaire</w:t>
      </w:r>
      <w:r>
        <w:rPr>
          <w:rFonts w:ascii="Times New Roman" w:hAnsi="Times New Roman" w:cs="Times New Roman"/>
          <w:b/>
        </w:rPr>
        <w:t>. Results:</w:t>
      </w:r>
      <w:r>
        <w:rPr>
          <w:rFonts w:ascii="Times New Roman" w:hAnsi="Times New Roman" w:cs="Times New Roman"/>
        </w:rPr>
        <w:t xml:space="preserve"> The age of the respondents ranges from 18</w:t>
      </w:r>
      <w:r w:rsidR="00DF6A2B">
        <w:rPr>
          <w:rFonts w:ascii="Times New Roman" w:hAnsi="Times New Roman" w:cs="Times New Roman"/>
        </w:rPr>
        <w:t xml:space="preserve"> </w:t>
      </w:r>
      <w:r w:rsidR="00DF6A2B" w:rsidRPr="00691DA8">
        <w:rPr>
          <w:rFonts w:ascii="Times New Roman" w:hAnsi="Times New Roman" w:cs="Times New Roman"/>
          <w:color w:val="00B050"/>
        </w:rPr>
        <w:t>to</w:t>
      </w:r>
      <w:r w:rsidR="00DF6A2B">
        <w:rPr>
          <w:rFonts w:ascii="Times New Roman" w:hAnsi="Times New Roman" w:cs="Times New Roman"/>
        </w:rPr>
        <w:t xml:space="preserve"> </w:t>
      </w:r>
      <w:r>
        <w:rPr>
          <w:rFonts w:ascii="Times New Roman" w:hAnsi="Times New Roman" w:cs="Times New Roman"/>
        </w:rPr>
        <w:t xml:space="preserve">&gt;36yrs.Regarding their educational status, 45.93%, 41.48%, and 11.85% possess tertiary, secondary and primary education </w:t>
      </w:r>
      <w:r w:rsidR="0089792D">
        <w:rPr>
          <w:rFonts w:ascii="Times New Roman" w:hAnsi="Times New Roman" w:cs="Times New Roman"/>
        </w:rPr>
        <w:t xml:space="preserve">in </w:t>
      </w:r>
      <w:r w:rsidR="0089792D" w:rsidRPr="0089792D">
        <w:rPr>
          <w:rFonts w:ascii="Times New Roman" w:hAnsi="Times New Roman" w:cs="Times New Roman"/>
          <w:color w:val="00B050"/>
        </w:rPr>
        <w:t>relation</w:t>
      </w:r>
      <w:r>
        <w:rPr>
          <w:rFonts w:ascii="Times New Roman" w:hAnsi="Times New Roman" w:cs="Times New Roman"/>
        </w:rPr>
        <w:t xml:space="preserve"> with those without (0.74%) without any qualifications. Married couples were 74.08% and single 16.29% while divorce and separation was 1.48% and 8.15% respectively. Their major occupation was civil service (28.89%) and business (32.59%) while house wives were 19.26% and unemployed 14.82% </w:t>
      </w:r>
      <w:r w:rsidR="008E4AC9" w:rsidRPr="008E4AC9">
        <w:rPr>
          <w:rFonts w:ascii="Times New Roman" w:hAnsi="Times New Roman" w:cs="Times New Roman"/>
          <w:color w:val="00B050"/>
        </w:rPr>
        <w:t>in relation</w:t>
      </w:r>
      <w:r w:rsidRPr="008E4AC9">
        <w:rPr>
          <w:rFonts w:ascii="Times New Roman" w:hAnsi="Times New Roman" w:cs="Times New Roman"/>
          <w:color w:val="00B050"/>
        </w:rPr>
        <w:t xml:space="preserve"> </w:t>
      </w:r>
      <w:r>
        <w:rPr>
          <w:rFonts w:ascii="Times New Roman" w:hAnsi="Times New Roman" w:cs="Times New Roman"/>
        </w:rPr>
        <w:t>with students of 4.44%. The study also ob</w:t>
      </w:r>
      <w:r w:rsidR="00DB0A7B">
        <w:rPr>
          <w:rFonts w:ascii="Times New Roman" w:hAnsi="Times New Roman" w:cs="Times New Roman"/>
        </w:rPr>
        <w:t>served (15.19%) hypertensive</w:t>
      </w:r>
      <w:r>
        <w:rPr>
          <w:rFonts w:ascii="Times New Roman" w:hAnsi="Times New Roman" w:cs="Times New Roman"/>
        </w:rPr>
        <w:t xml:space="preserve"> (40.37</w:t>
      </w:r>
      <w:r w:rsidR="008E4AC9">
        <w:rPr>
          <w:rFonts w:ascii="Times New Roman" w:hAnsi="Times New Roman" w:cs="Times New Roman"/>
        </w:rPr>
        <w:t>%</w:t>
      </w:r>
      <w:r>
        <w:rPr>
          <w:rFonts w:ascii="Times New Roman" w:hAnsi="Times New Roman" w:cs="Times New Roman"/>
        </w:rPr>
        <w:t>) Prehypertensive</w:t>
      </w:r>
      <w:r w:rsidR="00777468">
        <w:rPr>
          <w:rFonts w:ascii="Times New Roman" w:hAnsi="Times New Roman" w:cs="Times New Roman"/>
        </w:rPr>
        <w:t>,</w:t>
      </w:r>
      <w:r w:rsidR="00EA0F22">
        <w:rPr>
          <w:rFonts w:ascii="Times New Roman" w:hAnsi="Times New Roman" w:cs="Times New Roman"/>
        </w:rPr>
        <w:t xml:space="preserve"> </w:t>
      </w:r>
      <w:r>
        <w:rPr>
          <w:rFonts w:ascii="Times New Roman" w:hAnsi="Times New Roman" w:cs="Times New Roman"/>
        </w:rPr>
        <w:t>44.44% no</w:t>
      </w:r>
      <w:r w:rsidR="00777468">
        <w:rPr>
          <w:rFonts w:ascii="Times New Roman" w:hAnsi="Times New Roman" w:cs="Times New Roman"/>
        </w:rPr>
        <w:t>rmal and 0.00% hypotensive</w:t>
      </w:r>
      <w:r w:rsidR="00EA0F22" w:rsidRPr="00EA0F22">
        <w:rPr>
          <w:rFonts w:ascii="Times New Roman" w:hAnsi="Times New Roman" w:cs="Times New Roman"/>
        </w:rPr>
        <w:t xml:space="preserve"> </w:t>
      </w:r>
      <w:r w:rsidR="00EA0F22">
        <w:rPr>
          <w:rFonts w:ascii="Times New Roman" w:hAnsi="Times New Roman" w:cs="Times New Roman"/>
        </w:rPr>
        <w:t>subjects</w:t>
      </w:r>
      <w:r>
        <w:rPr>
          <w:rFonts w:ascii="Times New Roman" w:hAnsi="Times New Roman" w:cs="Times New Roman"/>
        </w:rPr>
        <w:t xml:space="preserve"> among child bearing age women. </w:t>
      </w:r>
      <w:proofErr w:type="spellStart"/>
      <w:r>
        <w:rPr>
          <w:rFonts w:ascii="Times New Roman" w:hAnsi="Times New Roman" w:cs="Times New Roman"/>
        </w:rPr>
        <w:t>Moreso</w:t>
      </w:r>
      <w:proofErr w:type="spellEnd"/>
      <w:r>
        <w:rPr>
          <w:rFonts w:ascii="Times New Roman" w:hAnsi="Times New Roman" w:cs="Times New Roman"/>
        </w:rPr>
        <w:t xml:space="preserve">, the SBP of participants above 36% was elevated (132mmHg %) including their MAP (103.33mmhg %) with a significant p-value of 0.00 and a pulse rate of 69.00bpm of 0.04 significant p-value compared with younger respondents of normal values. The anthropometric indices shows 5.93% underweight, 44.44% normal, 23.33% overweight and 26.29% obese while the statistical value shows 22.09kg/m² (18-24yrs),25.98kg/m² (25-30yrs), 23.16kg/m² (31.35yrs) and 26.60kg/m² (&gt;36yrs) with p-value of 0.00 among the study population. Furthermore the attitude of respondents towards the use of contraceptives was 48.89% yes while 51.11% decline to their use. </w:t>
      </w:r>
      <w:r>
        <w:rPr>
          <w:rFonts w:ascii="Times New Roman" w:hAnsi="Times New Roman" w:cs="Times New Roman"/>
          <w:b/>
        </w:rPr>
        <w:t xml:space="preserve">Conclusion: </w:t>
      </w:r>
      <w:r>
        <w:rPr>
          <w:rFonts w:ascii="Times New Roman" w:hAnsi="Times New Roman" w:cs="Times New Roman"/>
        </w:rPr>
        <w:t>The cardiovascular status increases gradually from normal to pre-hypertension stage with increasing age among the respondents</w:t>
      </w:r>
      <w:r w:rsidR="006F63DD">
        <w:rPr>
          <w:rFonts w:ascii="Times New Roman" w:hAnsi="Times New Roman" w:cs="Times New Roman"/>
        </w:rPr>
        <w:t>’</w:t>
      </w:r>
      <w:r>
        <w:rPr>
          <w:rFonts w:ascii="Times New Roman" w:hAnsi="Times New Roman" w:cs="Times New Roman"/>
        </w:rPr>
        <w:t xml:space="preserve"> statistically. Pre- and hypertensive subjects was quite high in terms of percentage. The percentage of overwt and obese gradually increases among the participants</w:t>
      </w:r>
      <w:r>
        <w:rPr>
          <w:rFonts w:ascii="Times New Roman" w:hAnsi="Times New Roman" w:cs="Times New Roman"/>
          <w:b/>
        </w:rPr>
        <w:t>.</w:t>
      </w:r>
      <w:r>
        <w:rPr>
          <w:color w:val="000000"/>
        </w:rPr>
        <w:t xml:space="preserve"> Comprehensive treatment and prevention of CVD should include adherence to a healthy diet, a healthy body composition, and regular physical exercise.</w:t>
      </w:r>
    </w:p>
    <w:p w:rsidR="003069A1" w:rsidRDefault="006037BE">
      <w:pPr>
        <w:jc w:val="both"/>
        <w:rPr>
          <w:rFonts w:ascii="Times New Roman" w:hAnsi="Times New Roman" w:cs="Times New Roman"/>
        </w:rPr>
      </w:pPr>
      <w:r>
        <w:rPr>
          <w:rFonts w:ascii="Times New Roman" w:hAnsi="Times New Roman" w:cs="Times New Roman"/>
          <w:b/>
        </w:rPr>
        <w:t xml:space="preserve">KEYWORDS: </w:t>
      </w:r>
      <w:r>
        <w:rPr>
          <w:rFonts w:ascii="Times New Roman" w:hAnsi="Times New Roman" w:cs="Times New Roman"/>
        </w:rPr>
        <w:t>Age, BMI, Hypertension, Weight, Height.</w:t>
      </w:r>
    </w:p>
    <w:p w:rsidR="003069A1" w:rsidRDefault="006037BE">
      <w:pPr>
        <w:rPr>
          <w:rFonts w:ascii="Times New Roman" w:hAnsi="Times New Roman" w:cs="Times New Roman"/>
          <w:sz w:val="24"/>
          <w:szCs w:val="28"/>
        </w:rPr>
      </w:pPr>
      <w:r>
        <w:rPr>
          <w:rFonts w:ascii="Times New Roman" w:hAnsi="Times New Roman" w:cs="Times New Roman"/>
          <w:sz w:val="24"/>
          <w:szCs w:val="28"/>
        </w:rPr>
        <w:t xml:space="preserve">                                      </w:t>
      </w:r>
    </w:p>
    <w:p w:rsidR="003069A1" w:rsidRDefault="006037BE">
      <w:pPr>
        <w:rPr>
          <w:rFonts w:ascii="Times New Roman" w:hAnsi="Times New Roman" w:cs="Times New Roman"/>
          <w:b/>
          <w:sz w:val="24"/>
          <w:szCs w:val="28"/>
        </w:rPr>
      </w:pPr>
      <w:r>
        <w:rPr>
          <w:rFonts w:ascii="Times New Roman" w:hAnsi="Times New Roman" w:cs="Times New Roman"/>
          <w:b/>
          <w:sz w:val="24"/>
          <w:szCs w:val="28"/>
        </w:rPr>
        <w:t xml:space="preserve">                                                               INTRODUCTION</w:t>
      </w:r>
    </w:p>
    <w:p w:rsidR="003069A1" w:rsidRDefault="006037BE">
      <w:pPr>
        <w:spacing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In recent decades, cardiovascular diseases have become more abundant due to lifestyle changes and are the leading cause of death worldwide (</w:t>
      </w:r>
      <w:proofErr w:type="spellStart"/>
      <w:r>
        <w:rPr>
          <w:rFonts w:ascii="Times New Roman" w:hAnsi="Times New Roman"/>
          <w:color w:val="000000"/>
          <w:sz w:val="24"/>
          <w:szCs w:val="24"/>
          <w:shd w:val="clear" w:color="auto" w:fill="FFFFFF"/>
        </w:rPr>
        <w:t>Opio</w:t>
      </w:r>
      <w:proofErr w:type="spellEnd"/>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 xml:space="preserve">et al., </w:t>
      </w:r>
      <w:r>
        <w:rPr>
          <w:rFonts w:ascii="Times New Roman" w:hAnsi="Times New Roman"/>
          <w:color w:val="000000"/>
          <w:sz w:val="24"/>
          <w:szCs w:val="24"/>
          <w:shd w:val="clear" w:color="auto" w:fill="FFFFFF"/>
        </w:rPr>
        <w:t>2020). Cardiovascular mortality, which is closely associated with cardiovascular risk factors such as high triglyceride and fasting blood sugar levels with increased body fatness (</w:t>
      </w:r>
      <w:proofErr w:type="spellStart"/>
      <w:r>
        <w:rPr>
          <w:rFonts w:ascii="Times New Roman" w:hAnsi="Times New Roman"/>
          <w:color w:val="000000"/>
          <w:sz w:val="24"/>
          <w:szCs w:val="24"/>
          <w:shd w:val="clear" w:color="auto" w:fill="FFFFFF"/>
        </w:rPr>
        <w:t>Shahraki</w:t>
      </w:r>
      <w:proofErr w:type="spellEnd"/>
      <w:r>
        <w:rPr>
          <w:rFonts w:ascii="Times New Roman" w:hAnsi="Times New Roman"/>
          <w:color w:val="000000"/>
          <w:sz w:val="24"/>
          <w:szCs w:val="24"/>
          <w:shd w:val="clear" w:color="auto" w:fill="FFFFFF"/>
        </w:rPr>
        <w:t xml:space="preserve">, 2017).  Visceral fatty depots have the </w:t>
      </w:r>
      <w:r>
        <w:rPr>
          <w:rFonts w:ascii="Times New Roman" w:hAnsi="Times New Roman"/>
          <w:color w:val="000000"/>
          <w:sz w:val="24"/>
          <w:szCs w:val="24"/>
          <w:shd w:val="clear" w:color="auto" w:fill="FFFFFF"/>
        </w:rPr>
        <w:lastRenderedPageBreak/>
        <w:t xml:space="preserve">potential to increase free fatty acids and adipokines with atherogenic, pro-inflammatory, and pro-thrombotic properties, which triggers the development of CVD and diabetes (Stone </w:t>
      </w:r>
      <w:r>
        <w:rPr>
          <w:rFonts w:ascii="Times New Roman" w:hAnsi="Times New Roman"/>
          <w:i/>
          <w:color w:val="000000"/>
          <w:sz w:val="24"/>
          <w:szCs w:val="24"/>
          <w:shd w:val="clear" w:color="auto" w:fill="FFFFFF"/>
        </w:rPr>
        <w:t>et al.,</w:t>
      </w:r>
      <w:r>
        <w:rPr>
          <w:rFonts w:ascii="Times New Roman" w:hAnsi="Times New Roman"/>
          <w:color w:val="000000"/>
          <w:sz w:val="24"/>
          <w:szCs w:val="24"/>
          <w:shd w:val="clear" w:color="auto" w:fill="FFFFFF"/>
        </w:rPr>
        <w:t xml:space="preserve"> 2022).</w:t>
      </w:r>
    </w:p>
    <w:p w:rsidR="003069A1" w:rsidRDefault="006037BE">
      <w:pPr>
        <w:pStyle w:val="NormalWeb"/>
        <w:shd w:val="clear" w:color="auto" w:fill="FFFFFF"/>
        <w:spacing w:line="360" w:lineRule="auto"/>
        <w:jc w:val="both"/>
        <w:rPr>
          <w:color w:val="000000"/>
        </w:rPr>
      </w:pPr>
      <w:r>
        <w:rPr>
          <w:color w:val="000000"/>
        </w:rPr>
        <w:t>Cardiovascular diseases worldwide with ischemic heart disease and stroke are the leading causes of CVD related death (</w:t>
      </w:r>
      <w:proofErr w:type="spellStart"/>
      <w:r>
        <w:rPr>
          <w:color w:val="000000"/>
          <w:shd w:val="clear" w:color="auto" w:fill="FFFFFF"/>
        </w:rPr>
        <w:t>Aune</w:t>
      </w:r>
      <w:proofErr w:type="spellEnd"/>
      <w:r>
        <w:rPr>
          <w:color w:val="000000"/>
          <w:shd w:val="clear" w:color="auto" w:fill="FFFFFF"/>
        </w:rPr>
        <w:t xml:space="preserve"> </w:t>
      </w:r>
      <w:r>
        <w:rPr>
          <w:i/>
          <w:color w:val="000000"/>
          <w:shd w:val="clear" w:color="auto" w:fill="FFFFFF"/>
        </w:rPr>
        <w:t>et al.,</w:t>
      </w:r>
      <w:r>
        <w:rPr>
          <w:color w:val="000000"/>
          <w:shd w:val="clear" w:color="auto" w:fill="FFFFFF"/>
        </w:rPr>
        <w:t xml:space="preserve"> 2016</w:t>
      </w:r>
      <w:r>
        <w:rPr>
          <w:color w:val="000000"/>
        </w:rPr>
        <w:t>;</w:t>
      </w:r>
      <w:r>
        <w:rPr>
          <w:color w:val="000000"/>
          <w:shd w:val="clear" w:color="auto" w:fill="FFFFFF"/>
        </w:rPr>
        <w:t xml:space="preserve"> Baber </w:t>
      </w:r>
      <w:r>
        <w:rPr>
          <w:i/>
          <w:color w:val="000000"/>
          <w:shd w:val="clear" w:color="auto" w:fill="FFFFFF"/>
        </w:rPr>
        <w:t>et al.,</w:t>
      </w:r>
      <w:r>
        <w:rPr>
          <w:color w:val="000000"/>
          <w:shd w:val="clear" w:color="auto" w:fill="FFFFFF"/>
        </w:rPr>
        <w:t xml:space="preserve"> 2015; Gao </w:t>
      </w:r>
      <w:r>
        <w:rPr>
          <w:i/>
          <w:color w:val="000000"/>
          <w:shd w:val="clear" w:color="auto" w:fill="FFFFFF"/>
        </w:rPr>
        <w:t>et al.,</w:t>
      </w:r>
      <w:r>
        <w:rPr>
          <w:color w:val="000000"/>
          <w:shd w:val="clear" w:color="auto" w:fill="FFFFFF"/>
        </w:rPr>
        <w:t xml:space="preserve"> 2022</w:t>
      </w:r>
      <w:r>
        <w:rPr>
          <w:color w:val="000000"/>
        </w:rPr>
        <w:t>). Commonly anthropometric indices used to screen for cardiovascular disease are BMI kg/m</w:t>
      </w:r>
      <w:r>
        <w:rPr>
          <w:color w:val="000000"/>
          <w:vertAlign w:val="superscript"/>
        </w:rPr>
        <w:t>2</w:t>
      </w:r>
      <w:r>
        <w:rPr>
          <w:color w:val="000000"/>
        </w:rPr>
        <w:t>, waist circumference, and waist-to-hip ratio (</w:t>
      </w:r>
      <w:proofErr w:type="spellStart"/>
      <w:r>
        <w:rPr>
          <w:color w:val="000000"/>
          <w:shd w:val="clear" w:color="auto" w:fill="FFFFFF"/>
        </w:rPr>
        <w:t>Grandhi</w:t>
      </w:r>
      <w:proofErr w:type="spellEnd"/>
      <w:r>
        <w:rPr>
          <w:color w:val="000000"/>
          <w:shd w:val="clear" w:color="auto" w:fill="FFFFFF"/>
        </w:rPr>
        <w:t xml:space="preserve"> </w:t>
      </w:r>
      <w:r>
        <w:rPr>
          <w:i/>
          <w:color w:val="000000"/>
          <w:shd w:val="clear" w:color="auto" w:fill="FFFFFF"/>
        </w:rPr>
        <w:t>et al.,</w:t>
      </w:r>
      <w:r>
        <w:rPr>
          <w:color w:val="000000"/>
          <w:shd w:val="clear" w:color="auto" w:fill="FFFFFF"/>
        </w:rPr>
        <w:t xml:space="preserve"> 2020; </w:t>
      </w:r>
      <w:proofErr w:type="spellStart"/>
      <w:r>
        <w:rPr>
          <w:color w:val="000000"/>
          <w:shd w:val="clear" w:color="auto" w:fill="FFFFFF"/>
        </w:rPr>
        <w:t>Oladosu</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2023</w:t>
      </w:r>
      <w:r>
        <w:rPr>
          <w:color w:val="000000"/>
        </w:rPr>
        <w:t>). BMI is a simple indicator associated with an increased risk of CVD, although it may not reflect variations in body fat distribution (</w:t>
      </w:r>
      <w:proofErr w:type="spellStart"/>
      <w:r>
        <w:rPr>
          <w:color w:val="000000"/>
          <w:shd w:val="clear" w:color="auto" w:fill="FFFFFF"/>
        </w:rPr>
        <w:t>Iacobini</w:t>
      </w:r>
      <w:proofErr w:type="spellEnd"/>
      <w:r>
        <w:rPr>
          <w:color w:val="000000"/>
          <w:shd w:val="clear" w:color="auto" w:fill="FFFFFF"/>
        </w:rPr>
        <w:t xml:space="preserve"> </w:t>
      </w:r>
      <w:r>
        <w:rPr>
          <w:i/>
          <w:color w:val="000000"/>
          <w:shd w:val="clear" w:color="auto" w:fill="FFFFFF"/>
        </w:rPr>
        <w:t>et al.,</w:t>
      </w:r>
      <w:r>
        <w:rPr>
          <w:color w:val="000000"/>
          <w:shd w:val="clear" w:color="auto" w:fill="FFFFFF"/>
        </w:rPr>
        <w:t xml:space="preserve"> 2019</w:t>
      </w:r>
      <w:r>
        <w:rPr>
          <w:color w:val="000000"/>
        </w:rPr>
        <w:t>). Due to its simplicity, usability, and availability, BMI is the most common method of obesity assessment (</w:t>
      </w:r>
      <w:hyperlink r:id="rId7" w:history="1">
        <w:r>
          <w:rPr>
            <w:rStyle w:val="button-label"/>
            <w:color w:val="000000"/>
          </w:rPr>
          <w:t xml:space="preserve">Louise </w:t>
        </w:r>
        <w:r>
          <w:rPr>
            <w:rStyle w:val="button-label"/>
            <w:i/>
            <w:color w:val="000000"/>
          </w:rPr>
          <w:t>et al.,</w:t>
        </w:r>
        <w:r>
          <w:rPr>
            <w:rStyle w:val="button-label"/>
            <w:color w:val="000000"/>
          </w:rPr>
          <w:t xml:space="preserve"> </w:t>
        </w:r>
      </w:hyperlink>
      <w:r>
        <w:rPr>
          <w:color w:val="000000"/>
        </w:rPr>
        <w:t xml:space="preserve">2014; </w:t>
      </w:r>
      <w:proofErr w:type="spellStart"/>
      <w:r>
        <w:rPr>
          <w:color w:val="000000"/>
          <w:shd w:val="clear" w:color="auto" w:fill="FFFFFF"/>
        </w:rPr>
        <w:t>Corsi</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2015</w:t>
      </w:r>
      <w:r>
        <w:rPr>
          <w:color w:val="000000"/>
        </w:rPr>
        <w:t>;</w:t>
      </w:r>
      <w:r>
        <w:rPr>
          <w:rStyle w:val="authors"/>
          <w:color w:val="000000"/>
        </w:rPr>
        <w:t xml:space="preserve"> </w:t>
      </w:r>
      <w:proofErr w:type="spellStart"/>
      <w:r>
        <w:rPr>
          <w:color w:val="000000"/>
          <w:shd w:val="clear" w:color="auto" w:fill="FFFFFF"/>
        </w:rPr>
        <w:t>Gavriilidou</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 xml:space="preserve">2015; </w:t>
      </w:r>
      <w:r>
        <w:rPr>
          <w:rStyle w:val="authors"/>
          <w:color w:val="000000"/>
        </w:rPr>
        <w:t xml:space="preserve">Masrouri </w:t>
      </w:r>
      <w:r>
        <w:rPr>
          <w:rStyle w:val="authors"/>
          <w:i/>
          <w:color w:val="000000"/>
        </w:rPr>
        <w:t xml:space="preserve">et al., </w:t>
      </w:r>
      <w:r>
        <w:rPr>
          <w:rStyle w:val="authors"/>
          <w:color w:val="000000"/>
        </w:rPr>
        <w:t>2024</w:t>
      </w:r>
      <w:r>
        <w:rPr>
          <w:color w:val="000000"/>
          <w:shd w:val="clear" w:color="auto" w:fill="FFFFFF"/>
        </w:rPr>
        <w:t>).</w:t>
      </w:r>
    </w:p>
    <w:p w:rsidR="003069A1" w:rsidRDefault="006037BE">
      <w:pPr>
        <w:shd w:val="clear" w:color="auto" w:fill="FFFFFF"/>
        <w:spacing w:after="150" w:line="360" w:lineRule="auto"/>
        <w:jc w:val="both"/>
        <w:rPr>
          <w:rFonts w:ascii="Times New Roman" w:eastAsia="Times New Roman" w:hAnsi="Times New Roman"/>
          <w:color w:val="000000"/>
          <w:sz w:val="24"/>
          <w:szCs w:val="24"/>
        </w:rPr>
      </w:pPr>
      <w:r>
        <w:rPr>
          <w:rFonts w:ascii="Times New Roman" w:eastAsia="Times New Roman" w:hAnsi="Times New Roman"/>
          <w:color w:val="000000"/>
          <w:spacing w:val="2"/>
          <w:sz w:val="24"/>
          <w:szCs w:val="24"/>
        </w:rPr>
        <w:t>Elevated blood pressure is a major risk factor for cardiovascular disease and is often associated with obesity and other anthropometric indicators. Resting heart rate can be an indicator of overall cardiovascular health with higher rates potentially indicating increased risk.</w:t>
      </w:r>
      <w:r>
        <w:rPr>
          <w:rFonts w:ascii="Times New Roman" w:eastAsia="Times New Roman" w:hAnsi="Times New Roman"/>
          <w:bCs/>
          <w:color w:val="000000"/>
          <w:sz w:val="24"/>
          <w:szCs w:val="24"/>
        </w:rPr>
        <w:t xml:space="preserve"> Other Factors such as l</w:t>
      </w:r>
      <w:r>
        <w:rPr>
          <w:rFonts w:ascii="Times New Roman" w:eastAsia="Times New Roman" w:hAnsi="Times New Roman"/>
          <w:color w:val="000000"/>
          <w:spacing w:val="2"/>
          <w:sz w:val="24"/>
          <w:szCs w:val="24"/>
        </w:rPr>
        <w:t xml:space="preserve">ipid profiles and other biochemical markers can also provide insights into cardiovascular risk </w:t>
      </w:r>
      <w:r>
        <w:rPr>
          <w:rFonts w:ascii="Times New Roman" w:eastAsia="Times New Roman" w:hAnsi="Times New Roman"/>
          <w:color w:val="000000"/>
          <w:sz w:val="24"/>
          <w:szCs w:val="24"/>
        </w:rPr>
        <w:t>(</w:t>
      </w:r>
      <w:r>
        <w:rPr>
          <w:rFonts w:ascii="Times New Roman" w:hAnsi="Times New Roman"/>
          <w:color w:val="000000"/>
          <w:sz w:val="24"/>
          <w:szCs w:val="24"/>
          <w:shd w:val="clear" w:color="auto" w:fill="FFFFFF"/>
        </w:rPr>
        <w:t xml:space="preserve">Cesare </w:t>
      </w:r>
      <w:r>
        <w:rPr>
          <w:rFonts w:ascii="Times New Roman" w:hAnsi="Times New Roman"/>
          <w:i/>
          <w:color w:val="000000"/>
          <w:sz w:val="24"/>
          <w:szCs w:val="24"/>
          <w:shd w:val="clear" w:color="auto" w:fill="FFFFFF"/>
        </w:rPr>
        <w:t xml:space="preserve">et al., </w:t>
      </w:r>
      <w:r>
        <w:rPr>
          <w:rFonts w:ascii="Times New Roman" w:hAnsi="Times New Roman"/>
          <w:color w:val="000000"/>
          <w:sz w:val="24"/>
          <w:szCs w:val="24"/>
          <w:shd w:val="clear" w:color="auto" w:fill="FFFFFF"/>
        </w:rPr>
        <w:t xml:space="preserve">2015; </w:t>
      </w:r>
      <w:proofErr w:type="spellStart"/>
      <w:r>
        <w:rPr>
          <w:rFonts w:ascii="Times New Roman" w:hAnsi="Times New Roman"/>
          <w:color w:val="000000"/>
          <w:sz w:val="24"/>
          <w:szCs w:val="24"/>
          <w:shd w:val="clear" w:color="auto" w:fill="FFFFFF"/>
        </w:rPr>
        <w:t>Bhandazi</w:t>
      </w:r>
      <w:proofErr w:type="spellEnd"/>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et al.,</w:t>
      </w:r>
      <w:r>
        <w:rPr>
          <w:rFonts w:ascii="Times New Roman" w:hAnsi="Times New Roman"/>
          <w:color w:val="000000"/>
          <w:sz w:val="24"/>
          <w:szCs w:val="24"/>
          <w:shd w:val="clear" w:color="auto" w:fill="FFFFFF"/>
        </w:rPr>
        <w:t xml:space="preserve"> 2016</w:t>
      </w:r>
      <w:r>
        <w:rPr>
          <w:rFonts w:ascii="Times New Roman" w:eastAsia="Times New Roman" w:hAnsi="Times New Roman"/>
          <w:color w:val="000000"/>
          <w:sz w:val="24"/>
          <w:szCs w:val="24"/>
        </w:rPr>
        <w:t>)</w:t>
      </w:r>
      <w:r>
        <w:rPr>
          <w:rFonts w:ascii="Times New Roman" w:eastAsia="Times New Roman" w:hAnsi="Times New Roman"/>
          <w:color w:val="000000"/>
          <w:spacing w:val="2"/>
          <w:sz w:val="24"/>
          <w:szCs w:val="24"/>
        </w:rPr>
        <w:t>. </w:t>
      </w:r>
      <w:r>
        <w:rPr>
          <w:rFonts w:ascii="Times New Roman" w:eastAsia="Times New Roman" w:hAnsi="Times New Roman"/>
          <w:color w:val="000000"/>
          <w:sz w:val="24"/>
          <w:szCs w:val="24"/>
        </w:rPr>
        <w:t>Obesity is prevalent among women of childbearing age and is associated with increased cardiovascular risk. Early identification allows for timely interventions, including lifestyle modifications and medical management to reduce risk. Clinical significance shows that assessment of cardiovascular and anthropometric indices among women of childbearing age is crucial for identifying women at risk of cardiovascular disease and pregnancy complications (</w:t>
      </w:r>
      <w:proofErr w:type="spellStart"/>
      <w:r>
        <w:rPr>
          <w:rFonts w:ascii="Times New Roman" w:hAnsi="Times New Roman"/>
          <w:color w:val="000000"/>
          <w:sz w:val="24"/>
          <w:szCs w:val="24"/>
          <w:shd w:val="clear" w:color="auto" w:fill="FFFFFF"/>
        </w:rPr>
        <w:t>Gavriilidou</w:t>
      </w:r>
      <w:proofErr w:type="spellEnd"/>
      <w:r>
        <w:rPr>
          <w:rFonts w:ascii="Times New Roman" w:hAnsi="Times New Roman"/>
          <w:color w:val="000000"/>
          <w:sz w:val="24"/>
          <w:szCs w:val="24"/>
          <w:shd w:val="clear" w:color="auto" w:fill="FFFFFF"/>
        </w:rPr>
        <w:t xml:space="preserve"> </w:t>
      </w:r>
      <w:r>
        <w:rPr>
          <w:rFonts w:ascii="Times New Roman" w:hAnsi="Times New Roman"/>
          <w:i/>
          <w:color w:val="000000"/>
          <w:sz w:val="24"/>
          <w:szCs w:val="24"/>
          <w:shd w:val="clear" w:color="auto" w:fill="FFFFFF"/>
        </w:rPr>
        <w:t xml:space="preserve">et al., </w:t>
      </w:r>
      <w:r>
        <w:rPr>
          <w:rFonts w:ascii="Times New Roman" w:hAnsi="Times New Roman"/>
          <w:color w:val="000000"/>
          <w:sz w:val="24"/>
          <w:szCs w:val="24"/>
          <w:shd w:val="clear" w:color="auto" w:fill="FFFFFF"/>
        </w:rPr>
        <w:t>2015</w:t>
      </w:r>
      <w:r>
        <w:rPr>
          <w:rFonts w:ascii="Times New Roman" w:eastAsia="Times New Roman" w:hAnsi="Times New Roman"/>
          <w:color w:val="000000"/>
          <w:sz w:val="24"/>
          <w:szCs w:val="24"/>
        </w:rPr>
        <w:t>).</w:t>
      </w:r>
    </w:p>
    <w:p w:rsidR="003069A1" w:rsidRDefault="006037BE">
      <w:pPr>
        <w:pStyle w:val="NormalWeb"/>
        <w:spacing w:before="0" w:beforeAutospacing="0" w:line="360" w:lineRule="auto"/>
        <w:jc w:val="both"/>
        <w:rPr>
          <w:color w:val="000000"/>
          <w:shd w:val="clear" w:color="auto" w:fill="FFFFFF"/>
        </w:rPr>
      </w:pPr>
      <w:r>
        <w:rPr>
          <w:color w:val="000000"/>
        </w:rPr>
        <w:t xml:space="preserve">Decline in fertility globally is associated with significant social and economic implications on a preexisting </w:t>
      </w:r>
      <w:r w:rsidR="00C30D35">
        <w:rPr>
          <w:color w:val="000000"/>
        </w:rPr>
        <w:t xml:space="preserve">ageing. </w:t>
      </w:r>
      <w:r>
        <w:rPr>
          <w:color w:val="000000"/>
        </w:rPr>
        <w:t>The ongoing rise of overweight and obesity rates, particularly among women of childbearing age worldwide has compounded the problem and more than 80% of the global burden of CVD will occur in low- and middle-income countries (</w:t>
      </w:r>
      <w:hyperlink r:id="rId8" w:anchor="con0" w:history="1">
        <w:r>
          <w:rPr>
            <w:rStyle w:val="Hyperlink"/>
            <w:color w:val="000000"/>
            <w:u w:val="none"/>
          </w:rPr>
          <w:t>Ofori-</w:t>
        </w:r>
        <w:proofErr w:type="spellStart"/>
        <w:r>
          <w:rPr>
            <w:rStyle w:val="Hyperlink"/>
            <w:color w:val="000000"/>
            <w:u w:val="none"/>
          </w:rPr>
          <w:t>Asenso</w:t>
        </w:r>
        <w:proofErr w:type="spellEnd"/>
        <w:r>
          <w:rPr>
            <w:rStyle w:val="Hyperlink"/>
            <w:color w:val="000000"/>
            <w:u w:val="none"/>
          </w:rPr>
          <w:t>,</w:t>
        </w:r>
        <w:r>
          <w:rPr>
            <w:rStyle w:val="Hyperlink"/>
            <w:color w:val="000000"/>
            <w:u w:val="none"/>
            <w:vertAlign w:val="superscript"/>
          </w:rPr>
          <w:t> </w:t>
        </w:r>
      </w:hyperlink>
      <w:r>
        <w:rPr>
          <w:i/>
          <w:color w:val="000000"/>
        </w:rPr>
        <w:t xml:space="preserve"> </w:t>
      </w:r>
      <w:r>
        <w:rPr>
          <w:rStyle w:val="authors"/>
          <w:i/>
          <w:color w:val="000000"/>
        </w:rPr>
        <w:t>et al.,</w:t>
      </w:r>
      <w:r>
        <w:rPr>
          <w:rStyle w:val="authors"/>
          <w:color w:val="000000"/>
        </w:rPr>
        <w:t xml:space="preserve"> 2017;</w:t>
      </w:r>
      <w:r>
        <w:rPr>
          <w:color w:val="000000"/>
        </w:rPr>
        <w:t xml:space="preserve"> </w:t>
      </w:r>
      <w:proofErr w:type="spellStart"/>
      <w:r>
        <w:rPr>
          <w:color w:val="000000"/>
        </w:rPr>
        <w:t>Whelton</w:t>
      </w:r>
      <w:proofErr w:type="spellEnd"/>
      <w:r>
        <w:rPr>
          <w:color w:val="000000"/>
        </w:rPr>
        <w:t xml:space="preserve"> </w:t>
      </w:r>
      <w:r>
        <w:rPr>
          <w:i/>
          <w:color w:val="000000"/>
        </w:rPr>
        <w:t>et al.,</w:t>
      </w:r>
      <w:r>
        <w:rPr>
          <w:color w:val="000000"/>
        </w:rPr>
        <w:t xml:space="preserve">2020;Nazir </w:t>
      </w:r>
      <w:r>
        <w:rPr>
          <w:i/>
          <w:color w:val="000000"/>
        </w:rPr>
        <w:t xml:space="preserve">et al., </w:t>
      </w:r>
      <w:r>
        <w:rPr>
          <w:color w:val="000000"/>
        </w:rPr>
        <w:t>2023;</w:t>
      </w:r>
      <w:r>
        <w:rPr>
          <w:color w:val="000000"/>
          <w:shd w:val="clear" w:color="auto" w:fill="FFFFFF"/>
        </w:rPr>
        <w:t xml:space="preserve">Corsi </w:t>
      </w:r>
      <w:r>
        <w:rPr>
          <w:i/>
          <w:color w:val="000000"/>
          <w:shd w:val="clear" w:color="auto" w:fill="FFFFFF"/>
        </w:rPr>
        <w:t>et al.,</w:t>
      </w:r>
      <w:r>
        <w:rPr>
          <w:color w:val="000000"/>
          <w:shd w:val="clear" w:color="auto" w:fill="FFFFFF"/>
        </w:rPr>
        <w:t xml:space="preserve"> 2015).The number of pregnancies and births associated with CVD risk is on the increase with some studies showing a linear relationship between increasing parity and increased carotid artery thickness (Hambidge</w:t>
      </w:r>
      <w:r>
        <w:rPr>
          <w:i/>
          <w:color w:val="000000"/>
          <w:shd w:val="clear" w:color="auto" w:fill="FFFFFF"/>
        </w:rPr>
        <w:t xml:space="preserve"> et al., </w:t>
      </w:r>
      <w:r>
        <w:rPr>
          <w:color w:val="000000"/>
          <w:shd w:val="clear" w:color="auto" w:fill="FFFFFF"/>
        </w:rPr>
        <w:t>2015;</w:t>
      </w:r>
      <w:r>
        <w:rPr>
          <w:rStyle w:val="text"/>
          <w:color w:val="000000"/>
        </w:rPr>
        <w:t xml:space="preserve"> </w:t>
      </w:r>
      <w:proofErr w:type="spellStart"/>
      <w:r>
        <w:rPr>
          <w:rStyle w:val="text"/>
          <w:color w:val="000000"/>
        </w:rPr>
        <w:t>Akinbule</w:t>
      </w:r>
      <w:proofErr w:type="spellEnd"/>
      <w:r>
        <w:rPr>
          <w:color w:val="000000"/>
        </w:rPr>
        <w:t xml:space="preserve"> </w:t>
      </w:r>
      <w:r>
        <w:rPr>
          <w:i/>
          <w:color w:val="000000"/>
        </w:rPr>
        <w:t xml:space="preserve">et al., </w:t>
      </w:r>
      <w:r>
        <w:rPr>
          <w:color w:val="000000"/>
        </w:rPr>
        <w:t>2022;</w:t>
      </w:r>
      <w:r>
        <w:rPr>
          <w:color w:val="000000"/>
          <w:shd w:val="clear" w:color="auto" w:fill="FFFFFF"/>
        </w:rPr>
        <w:t xml:space="preserve"> Onokpite </w:t>
      </w:r>
      <w:r>
        <w:rPr>
          <w:i/>
          <w:color w:val="000000"/>
          <w:shd w:val="clear" w:color="auto" w:fill="FFFFFF"/>
        </w:rPr>
        <w:t>e tal.,</w:t>
      </w:r>
      <w:r>
        <w:rPr>
          <w:color w:val="000000"/>
          <w:shd w:val="clear" w:color="auto" w:fill="FFFFFF"/>
        </w:rPr>
        <w:t xml:space="preserve"> 2024).</w:t>
      </w:r>
    </w:p>
    <w:p w:rsidR="003069A1" w:rsidRDefault="006037BE">
      <w:pPr>
        <w:pStyle w:val="NormalWeb"/>
        <w:shd w:val="clear" w:color="auto" w:fill="FFFFFF"/>
        <w:spacing w:line="360" w:lineRule="auto"/>
        <w:jc w:val="both"/>
        <w:rPr>
          <w:b/>
          <w:color w:val="000000"/>
        </w:rPr>
      </w:pPr>
      <w:r>
        <w:rPr>
          <w:b/>
          <w:color w:val="000000"/>
        </w:rPr>
        <w:lastRenderedPageBreak/>
        <w:t xml:space="preserve"> </w:t>
      </w:r>
      <w:r>
        <w:rPr>
          <w:color w:val="000000"/>
        </w:rPr>
        <w:t>Adequate </w:t>
      </w:r>
      <w:hyperlink r:id="rId9" w:tooltip="Learn more about nutrition from ScienceDirect's AI-generated Topic Pages" w:history="1">
        <w:r>
          <w:rPr>
            <w:rStyle w:val="Hyperlink"/>
            <w:color w:val="000000"/>
            <w:u w:val="none"/>
          </w:rPr>
          <w:t>nutrition</w:t>
        </w:r>
      </w:hyperlink>
      <w:r>
        <w:rPr>
          <w:color w:val="000000"/>
        </w:rPr>
        <w:t> of women of child-bearing age plays a vital role in the prevention of essential nutrient deficiency against undesirable health outcomes and many diet-related chronic diseases, and hence improves maternal and child health (</w:t>
      </w:r>
      <w:r>
        <w:rPr>
          <w:color w:val="000000"/>
          <w:shd w:val="clear" w:color="auto" w:fill="FFFFFF"/>
        </w:rPr>
        <w:t xml:space="preserve">Hambidge </w:t>
      </w:r>
      <w:r>
        <w:rPr>
          <w:i/>
          <w:color w:val="000000"/>
          <w:shd w:val="clear" w:color="auto" w:fill="FFFFFF"/>
        </w:rPr>
        <w:t>et al.,</w:t>
      </w:r>
      <w:r>
        <w:rPr>
          <w:color w:val="000000"/>
          <w:shd w:val="clear" w:color="auto" w:fill="FFFFFF"/>
        </w:rPr>
        <w:t xml:space="preserve"> 2017; Wang </w:t>
      </w:r>
      <w:r>
        <w:rPr>
          <w:i/>
          <w:color w:val="000000"/>
          <w:shd w:val="clear" w:color="auto" w:fill="FFFFFF"/>
        </w:rPr>
        <w:t>et al.,</w:t>
      </w:r>
      <w:r>
        <w:rPr>
          <w:color w:val="000000"/>
          <w:shd w:val="clear" w:color="auto" w:fill="FFFFFF"/>
        </w:rPr>
        <w:t xml:space="preserve"> 2023). </w:t>
      </w:r>
      <w:r>
        <w:rPr>
          <w:color w:val="000000"/>
        </w:rPr>
        <w:t>Findings have revealed that the quality of diet consumed contributes to high prevalence of multiple forms of malnutrition and diet-related non-communicable diseases which are higher among women than men for certain forms of malnutrition (</w:t>
      </w:r>
      <w:proofErr w:type="spellStart"/>
      <w:r>
        <w:rPr>
          <w:color w:val="000000"/>
          <w:shd w:val="clear" w:color="auto" w:fill="FFFFFF"/>
        </w:rPr>
        <w:t>Kozuki</w:t>
      </w:r>
      <w:proofErr w:type="spellEnd"/>
      <w:r>
        <w:rPr>
          <w:color w:val="000000"/>
          <w:shd w:val="clear" w:color="auto" w:fill="FFFFFF"/>
        </w:rPr>
        <w:t xml:space="preserve"> </w:t>
      </w:r>
      <w:r>
        <w:rPr>
          <w:i/>
          <w:color w:val="000000"/>
          <w:shd w:val="clear" w:color="auto" w:fill="FFFFFF"/>
        </w:rPr>
        <w:t>et al.,</w:t>
      </w:r>
      <w:r>
        <w:rPr>
          <w:color w:val="000000"/>
          <w:shd w:val="clear" w:color="auto" w:fill="FFFFFF"/>
        </w:rPr>
        <w:t xml:space="preserve"> 2019</w:t>
      </w:r>
      <w:r>
        <w:rPr>
          <w:b/>
          <w:color w:val="000000"/>
          <w:shd w:val="clear" w:color="auto" w:fill="FFFFFF"/>
        </w:rPr>
        <w:t>;</w:t>
      </w:r>
      <w:r>
        <w:rPr>
          <w:color w:val="000000"/>
          <w:shd w:val="clear" w:color="auto" w:fill="FFFFFF"/>
        </w:rPr>
        <w:t xml:space="preserve"> </w:t>
      </w:r>
      <w:proofErr w:type="spellStart"/>
      <w:r>
        <w:rPr>
          <w:color w:val="000000"/>
          <w:shd w:val="clear" w:color="auto" w:fill="FFFFFF"/>
        </w:rPr>
        <w:t>Karaye</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2024)</w:t>
      </w:r>
      <w:r>
        <w:rPr>
          <w:color w:val="000000"/>
        </w:rPr>
        <w:t>.</w:t>
      </w:r>
    </w:p>
    <w:p w:rsidR="003069A1" w:rsidRDefault="006037BE">
      <w:pPr>
        <w:pStyle w:val="NormalWeb"/>
        <w:spacing w:before="0" w:beforeAutospacing="0" w:line="360" w:lineRule="auto"/>
        <w:jc w:val="both"/>
        <w:rPr>
          <w:color w:val="000000"/>
        </w:rPr>
      </w:pPr>
      <w:r>
        <w:rPr>
          <w:color w:val="000000"/>
          <w:shd w:val="clear" w:color="auto" w:fill="FFFFFF"/>
        </w:rPr>
        <w:t>Physiological changes during pregnancy exert stress on the heart that could lead to cardiac decompensation, especially in the presence of background diseases such as cardiomyopathy, hypertension, valvular, or congenital heart diseases. Heart disease in pregnancy is an important contributor to maternal and fetal adverse outcomes. Although data on heart disease in pregnancy are generally scarce, a few available studies have shown higher prevalence in northern than southern regions of Nigeria. In addition, clinical outcomes among pregnant women diagnosed with heart disease are worse than among those without and apparently healthy women (</w:t>
      </w:r>
      <w:r>
        <w:rPr>
          <w:color w:val="000000"/>
        </w:rPr>
        <w:t xml:space="preserve">Nazir &amp; Musa, 2023; Manzo </w:t>
      </w:r>
      <w:r>
        <w:rPr>
          <w:i/>
          <w:color w:val="000000"/>
        </w:rPr>
        <w:t>et al.,</w:t>
      </w:r>
      <w:r>
        <w:rPr>
          <w:color w:val="000000"/>
        </w:rPr>
        <w:t>2025)</w:t>
      </w:r>
      <w:r>
        <w:rPr>
          <w:color w:val="000000"/>
          <w:shd w:val="clear" w:color="auto" w:fill="FFFFFF"/>
        </w:rPr>
        <w:t xml:space="preserve">. </w:t>
      </w:r>
    </w:p>
    <w:p w:rsidR="003069A1" w:rsidRDefault="006037BE">
      <w:pPr>
        <w:pStyle w:val="NormalWeb"/>
        <w:shd w:val="clear" w:color="auto" w:fill="FFFFFF"/>
        <w:spacing w:line="360" w:lineRule="auto"/>
        <w:jc w:val="both"/>
        <w:rPr>
          <w:color w:val="000000"/>
        </w:rPr>
      </w:pPr>
      <w:r>
        <w:rPr>
          <w:color w:val="000000"/>
        </w:rPr>
        <w:t>Socio-economic status is a predictor of CVD and its risk factors. However, the nature of this relationship variations dependent on the economic development of the countries (</w:t>
      </w:r>
      <w:proofErr w:type="spellStart"/>
      <w:r>
        <w:rPr>
          <w:color w:val="000000"/>
          <w:shd w:val="clear" w:color="auto" w:fill="FFFFFF"/>
        </w:rPr>
        <w:t>Oguoma</w:t>
      </w:r>
      <w:proofErr w:type="spellEnd"/>
      <w:r>
        <w:rPr>
          <w:color w:val="000000"/>
          <w:shd w:val="clear" w:color="auto" w:fill="FFFFFF"/>
        </w:rPr>
        <w:t xml:space="preserve"> </w:t>
      </w:r>
      <w:r>
        <w:rPr>
          <w:i/>
          <w:color w:val="000000"/>
          <w:shd w:val="clear" w:color="auto" w:fill="FFFFFF"/>
        </w:rPr>
        <w:t xml:space="preserve">et al., </w:t>
      </w:r>
      <w:r>
        <w:rPr>
          <w:color w:val="000000"/>
          <w:shd w:val="clear" w:color="auto" w:fill="FFFFFF"/>
        </w:rPr>
        <w:t>2015)</w:t>
      </w:r>
      <w:r>
        <w:rPr>
          <w:color w:val="000000"/>
        </w:rPr>
        <w:t xml:space="preserve">. </w:t>
      </w:r>
      <w:r>
        <w:rPr>
          <w:color w:val="000000"/>
          <w:shd w:val="clear" w:color="auto" w:fill="FFFFFF"/>
        </w:rPr>
        <w:t>According to the Centers for Disease Control and Prevention, anthropometry provides a valuable assessment of nutritional status in children and adults (</w:t>
      </w:r>
      <w:proofErr w:type="spellStart"/>
      <w:r>
        <w:rPr>
          <w:rStyle w:val="text"/>
          <w:color w:val="000000"/>
        </w:rPr>
        <w:t>Akinbule</w:t>
      </w:r>
      <w:proofErr w:type="spellEnd"/>
      <w:r>
        <w:rPr>
          <w:color w:val="000000"/>
        </w:rPr>
        <w:t xml:space="preserve"> </w:t>
      </w:r>
      <w:r>
        <w:rPr>
          <w:i/>
          <w:color w:val="000000"/>
        </w:rPr>
        <w:t>et al.,</w:t>
      </w:r>
      <w:r>
        <w:rPr>
          <w:color w:val="000000"/>
        </w:rPr>
        <w:t xml:space="preserve"> </w:t>
      </w:r>
      <w:r>
        <w:rPr>
          <w:rStyle w:val="react-xocs-alternative-link"/>
          <w:color w:val="000000"/>
        </w:rPr>
        <w:t>2022</w:t>
      </w:r>
      <w:r w:rsidR="00295B27">
        <w:rPr>
          <w:rStyle w:val="react-xocs-alternative-link"/>
          <w:color w:val="000000"/>
        </w:rPr>
        <w:t xml:space="preserve">; </w:t>
      </w:r>
      <w:proofErr w:type="spellStart"/>
      <w:r w:rsidR="00295B27">
        <w:rPr>
          <w:rStyle w:val="react-xocs-alternative-link"/>
          <w:color w:val="000000"/>
        </w:rPr>
        <w:t>Ope</w:t>
      </w:r>
      <w:proofErr w:type="spellEnd"/>
      <w:r w:rsidR="00295B27">
        <w:rPr>
          <w:rStyle w:val="react-xocs-alternative-link"/>
          <w:color w:val="000000"/>
        </w:rPr>
        <w:t xml:space="preserve"> </w:t>
      </w:r>
      <w:r w:rsidR="00295B27" w:rsidRPr="00295B27">
        <w:rPr>
          <w:rStyle w:val="react-xocs-alternative-link"/>
          <w:i/>
          <w:color w:val="000000"/>
        </w:rPr>
        <w:t>et al.,</w:t>
      </w:r>
      <w:r w:rsidR="00295B27">
        <w:rPr>
          <w:rStyle w:val="react-xocs-alternative-link"/>
          <w:color w:val="000000"/>
        </w:rPr>
        <w:t>2023</w:t>
      </w:r>
      <w:r>
        <w:rPr>
          <w:rStyle w:val="react-xocs-alternative-link"/>
          <w:color w:val="000000"/>
        </w:rPr>
        <w:t>).</w:t>
      </w:r>
      <w:r>
        <w:rPr>
          <w:color w:val="000000"/>
          <w:shd w:val="clear" w:color="auto" w:fill="FFFFFF"/>
        </w:rPr>
        <w:t xml:space="preserve"> Body measurements can help assess health and dietary status and future disease risk in adults. These measurements can also determine adult body composition to help determine underlying nutritional status and diagnose obesity (Burke </w:t>
      </w:r>
      <w:r>
        <w:rPr>
          <w:i/>
          <w:color w:val="000000"/>
          <w:shd w:val="clear" w:color="auto" w:fill="FFFFFF"/>
        </w:rPr>
        <w:t xml:space="preserve">et al., </w:t>
      </w:r>
      <w:r>
        <w:rPr>
          <w:color w:val="000000"/>
          <w:shd w:val="clear" w:color="auto" w:fill="FFFFFF"/>
        </w:rPr>
        <w:t>2016).</w:t>
      </w:r>
      <w:r>
        <w:rPr>
          <w:color w:val="000000"/>
        </w:rPr>
        <w:t xml:space="preserve"> Lower female fecund ability (i.e., the cycle probability of conception) has been linked with overweight and obesity (</w:t>
      </w:r>
      <w:r>
        <w:rPr>
          <w:color w:val="000000"/>
          <w:shd w:val="clear" w:color="auto" w:fill="FFFFFF"/>
        </w:rPr>
        <w:t xml:space="preserve">Fryar </w:t>
      </w:r>
      <w:r>
        <w:rPr>
          <w:i/>
          <w:color w:val="000000"/>
          <w:shd w:val="clear" w:color="auto" w:fill="FFFFFF"/>
        </w:rPr>
        <w:t xml:space="preserve">et al., </w:t>
      </w:r>
      <w:r>
        <w:rPr>
          <w:color w:val="000000"/>
          <w:shd w:val="clear" w:color="auto" w:fill="FFFFFF"/>
        </w:rPr>
        <w:t>2016</w:t>
      </w:r>
      <w:r>
        <w:rPr>
          <w:color w:val="000000"/>
        </w:rPr>
        <w:t xml:space="preserve">). </w:t>
      </w:r>
    </w:p>
    <w:p w:rsidR="003069A1" w:rsidRDefault="006037BE">
      <w:pPr>
        <w:rPr>
          <w:rFonts w:ascii="Times New Roman" w:hAnsi="Times New Roman" w:cs="Times New Roman"/>
          <w:b/>
          <w:sz w:val="32"/>
          <w:szCs w:val="28"/>
        </w:rPr>
      </w:pPr>
      <w:r>
        <w:rPr>
          <w:rFonts w:ascii="Times New Roman" w:hAnsi="Times New Roman" w:cs="Times New Roman"/>
          <w:b/>
          <w:sz w:val="32"/>
          <w:szCs w:val="28"/>
        </w:rPr>
        <w:t xml:space="preserve">                          </w:t>
      </w:r>
    </w:p>
    <w:p w:rsidR="003069A1" w:rsidRDefault="006037BE">
      <w:pPr>
        <w:rPr>
          <w:rFonts w:ascii="Times New Roman" w:hAnsi="Times New Roman" w:cs="Times New Roman"/>
          <w:b/>
          <w:sz w:val="32"/>
          <w:szCs w:val="28"/>
        </w:rPr>
      </w:pPr>
      <w:r>
        <w:rPr>
          <w:rFonts w:ascii="Times New Roman" w:hAnsi="Times New Roman" w:cs="Times New Roman"/>
          <w:b/>
          <w:sz w:val="32"/>
          <w:szCs w:val="28"/>
        </w:rPr>
        <w:t xml:space="preserve">                                MATERIALS AND METHODS</w:t>
      </w:r>
    </w:p>
    <w:p w:rsidR="003069A1" w:rsidRDefault="006037BE">
      <w:pPr>
        <w:spacing w:line="360" w:lineRule="auto"/>
        <w:jc w:val="both"/>
        <w:rPr>
          <w:rFonts w:ascii="Times New Roman" w:hAnsi="Times New Roman"/>
          <w:b/>
          <w:color w:val="000000"/>
          <w:sz w:val="24"/>
          <w:szCs w:val="24"/>
        </w:rPr>
      </w:pPr>
      <w:r>
        <w:rPr>
          <w:rFonts w:ascii="Times New Roman" w:hAnsi="Times New Roman"/>
          <w:b/>
          <w:color w:val="000000"/>
          <w:sz w:val="24"/>
          <w:szCs w:val="24"/>
        </w:rPr>
        <w:t xml:space="preserve">Study design </w:t>
      </w:r>
    </w:p>
    <w:p w:rsidR="003069A1" w:rsidRDefault="006037BE">
      <w:pPr>
        <w:rPr>
          <w:rFonts w:ascii="Times New Roman" w:hAnsi="Times New Roman" w:cs="Times New Roman"/>
          <w:b/>
          <w:sz w:val="32"/>
          <w:szCs w:val="28"/>
        </w:rPr>
      </w:pPr>
      <w:r>
        <w:rPr>
          <w:rFonts w:ascii="Times New Roman" w:hAnsi="Times New Roman"/>
          <w:color w:val="000000"/>
          <w:sz w:val="24"/>
          <w:szCs w:val="24"/>
        </w:rPr>
        <w:lastRenderedPageBreak/>
        <w:t>A descriptive research design was employed for this study to assess the cardiovascular and anthropometric indices among child bearing age women</w:t>
      </w:r>
    </w:p>
    <w:p w:rsidR="003069A1" w:rsidRDefault="006037BE">
      <w:pPr>
        <w:tabs>
          <w:tab w:val="left" w:pos="720"/>
          <w:tab w:val="left" w:pos="1440"/>
          <w:tab w:val="left" w:pos="2160"/>
          <w:tab w:val="left" w:pos="3007"/>
        </w:tabs>
        <w:spacing w:line="360" w:lineRule="auto"/>
        <w:jc w:val="both"/>
        <w:rPr>
          <w:rFonts w:ascii="Times New Roman" w:hAnsi="Times New Roman"/>
          <w:b/>
          <w:color w:val="000000"/>
          <w:sz w:val="24"/>
          <w:szCs w:val="24"/>
        </w:rPr>
      </w:pPr>
      <w:r>
        <w:rPr>
          <w:rFonts w:ascii="Times New Roman" w:hAnsi="Times New Roman"/>
          <w:b/>
          <w:color w:val="000000"/>
          <w:sz w:val="24"/>
          <w:szCs w:val="24"/>
        </w:rPr>
        <w:t xml:space="preserve">Study Area: </w:t>
      </w:r>
      <w:proofErr w:type="spellStart"/>
      <w:r>
        <w:rPr>
          <w:rFonts w:ascii="Times New Roman" w:hAnsi="Times New Roman"/>
          <w:color w:val="000000"/>
          <w:sz w:val="24"/>
          <w:szCs w:val="24"/>
        </w:rPr>
        <w:t>Akenema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Okaki</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Mbiama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Kunisha</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Igovia</w:t>
      </w:r>
      <w:proofErr w:type="spellEnd"/>
      <w:r>
        <w:rPr>
          <w:rFonts w:ascii="Times New Roman" w:hAnsi="Times New Roman"/>
          <w:color w:val="000000"/>
          <w:sz w:val="24"/>
          <w:szCs w:val="24"/>
        </w:rPr>
        <w:t xml:space="preserve"> </w:t>
      </w:r>
      <w:r>
        <w:rPr>
          <w:rFonts w:ascii="Times New Roman" w:hAnsi="Times New Roman"/>
          <w:b/>
          <w:color w:val="000000"/>
          <w:sz w:val="24"/>
          <w:szCs w:val="24"/>
        </w:rPr>
        <w:tab/>
      </w:r>
    </w:p>
    <w:p w:rsidR="003069A1" w:rsidRDefault="006037BE">
      <w:pPr>
        <w:pStyle w:val="NoSpacing"/>
        <w:spacing w:line="360" w:lineRule="auto"/>
        <w:jc w:val="both"/>
        <w:rPr>
          <w:rFonts w:ascii="Times New Roman" w:hAnsi="Times New Roman"/>
          <w:b/>
          <w:color w:val="000000"/>
          <w:sz w:val="24"/>
          <w:szCs w:val="24"/>
        </w:rPr>
      </w:pPr>
      <w:r>
        <w:rPr>
          <w:rFonts w:ascii="Times New Roman" w:hAnsi="Times New Roman"/>
          <w:b/>
          <w:color w:val="000000"/>
          <w:sz w:val="24"/>
          <w:szCs w:val="24"/>
        </w:rPr>
        <w:t>Study Population</w:t>
      </w:r>
    </w:p>
    <w:p w:rsidR="003069A1" w:rsidRDefault="006037BE">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The population of this study includes all child bearing aged women in the study area.</w:t>
      </w:r>
    </w:p>
    <w:p w:rsidR="003069A1" w:rsidRDefault="006037BE">
      <w:pPr>
        <w:pStyle w:val="NoSpacing"/>
        <w:spacing w:line="360" w:lineRule="auto"/>
        <w:jc w:val="both"/>
        <w:rPr>
          <w:rFonts w:ascii="Times New Roman" w:hAnsi="Times New Roman"/>
          <w:color w:val="000000"/>
          <w:sz w:val="24"/>
          <w:szCs w:val="24"/>
        </w:rPr>
      </w:pPr>
      <w:r>
        <w:rPr>
          <w:rFonts w:ascii="Times New Roman" w:hAnsi="Times New Roman"/>
          <w:b/>
          <w:color w:val="000000"/>
          <w:sz w:val="24"/>
          <w:szCs w:val="24"/>
        </w:rPr>
        <w:t>Inclusion Criteria:</w:t>
      </w:r>
      <w:r>
        <w:rPr>
          <w:rFonts w:ascii="Times New Roman" w:hAnsi="Times New Roman"/>
          <w:color w:val="000000"/>
          <w:sz w:val="24"/>
          <w:szCs w:val="24"/>
        </w:rPr>
        <w:t xml:space="preserve"> Only those who consented to be part of this study were included. </w:t>
      </w:r>
    </w:p>
    <w:p w:rsidR="003069A1" w:rsidRDefault="006037BE">
      <w:pPr>
        <w:pStyle w:val="NoSpacing"/>
        <w:spacing w:line="360" w:lineRule="auto"/>
        <w:jc w:val="both"/>
        <w:rPr>
          <w:rFonts w:ascii="Times New Roman" w:hAnsi="Times New Roman"/>
          <w:color w:val="000000"/>
          <w:sz w:val="24"/>
          <w:szCs w:val="24"/>
        </w:rPr>
      </w:pPr>
      <w:r>
        <w:rPr>
          <w:rFonts w:ascii="Times New Roman" w:hAnsi="Times New Roman"/>
          <w:b/>
          <w:color w:val="000000"/>
          <w:sz w:val="24"/>
          <w:szCs w:val="24"/>
        </w:rPr>
        <w:t>Exclusion Criteria:</w:t>
      </w:r>
      <w:r>
        <w:rPr>
          <w:rFonts w:ascii="Times New Roman" w:hAnsi="Times New Roman"/>
          <w:color w:val="000000"/>
          <w:sz w:val="24"/>
          <w:szCs w:val="24"/>
        </w:rPr>
        <w:t xml:space="preserve"> Those who were too sick and do not consent was excluded.</w:t>
      </w:r>
    </w:p>
    <w:p w:rsidR="003069A1" w:rsidRDefault="006037BE">
      <w:pPr>
        <w:shd w:val="clear" w:color="auto" w:fill="FFFFFF"/>
        <w:spacing w:after="0" w:line="360" w:lineRule="auto"/>
        <w:jc w:val="both"/>
        <w:rPr>
          <w:rFonts w:ascii="Times New Roman" w:hAnsi="Times New Roman"/>
          <w:color w:val="000000"/>
          <w:sz w:val="24"/>
          <w:szCs w:val="24"/>
        </w:rPr>
      </w:pPr>
      <w:r>
        <w:rPr>
          <w:rFonts w:ascii="Times New Roman" w:hAnsi="Times New Roman"/>
          <w:b/>
          <w:color w:val="000000"/>
          <w:sz w:val="24"/>
          <w:szCs w:val="24"/>
        </w:rPr>
        <w:t>Sample size: Apply</w:t>
      </w:r>
      <w:r>
        <w:rPr>
          <w:rFonts w:ascii="Times New Roman" w:hAnsi="Times New Roman"/>
          <w:color w:val="000000"/>
          <w:sz w:val="24"/>
          <w:szCs w:val="24"/>
        </w:rPr>
        <w:t>ing Tamoghna formula (2013), n =pq/(e/1.96)</w:t>
      </w:r>
      <w:r>
        <w:rPr>
          <w:rFonts w:ascii="Times New Roman" w:hAnsi="Times New Roman"/>
          <w:color w:val="000000"/>
          <w:sz w:val="24"/>
          <w:szCs w:val="24"/>
          <w:vertAlign w:val="superscript"/>
        </w:rPr>
        <w:t>2</w:t>
      </w:r>
      <w:r>
        <w:rPr>
          <w:rFonts w:ascii="Times New Roman" w:hAnsi="Times New Roman"/>
          <w:color w:val="000000"/>
          <w:sz w:val="24"/>
          <w:szCs w:val="24"/>
        </w:rPr>
        <w:t xml:space="preserve">. Sampling error tolerated at 95% degree, confident interval set at 5% or 0.05, </w:t>
      </w:r>
      <w:proofErr w:type="gramStart"/>
      <w:r>
        <w:rPr>
          <w:rFonts w:ascii="Times New Roman" w:hAnsi="Times New Roman"/>
          <w:color w:val="000000"/>
          <w:sz w:val="24"/>
          <w:szCs w:val="24"/>
        </w:rPr>
        <w:t>q  =</w:t>
      </w:r>
      <w:proofErr w:type="gramEnd"/>
      <w:r>
        <w:rPr>
          <w:rFonts w:ascii="Times New Roman" w:hAnsi="Times New Roman"/>
          <w:color w:val="000000"/>
          <w:sz w:val="24"/>
          <w:szCs w:val="24"/>
        </w:rPr>
        <w:t xml:space="preserve"> 100-p</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 20 x 100 – p</w:t>
      </w:r>
      <w:proofErr w:type="gramStart"/>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5/1.96)</w:t>
      </w:r>
      <w:r>
        <w:rPr>
          <w:rFonts w:ascii="Times New Roman" w:hAnsi="Times New Roman"/>
          <w:color w:val="000000"/>
          <w:sz w:val="24"/>
          <w:szCs w:val="24"/>
          <w:shd w:val="clear" w:color="auto" w:fill="FFFFFF"/>
          <w:vertAlign w:val="superscript"/>
        </w:rPr>
        <w:t>2</w:t>
      </w:r>
      <w:r>
        <w:rPr>
          <w:rFonts w:ascii="Times New Roman" w:hAnsi="Times New Roman"/>
          <w:color w:val="000000"/>
          <w:sz w:val="24"/>
          <w:szCs w:val="24"/>
          <w:shd w:val="clear" w:color="auto" w:fill="FFFFFF"/>
        </w:rPr>
        <w:t xml:space="preserve">. </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 = 20 x 80/6.51 </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246 participants. non-respondent adjustment of 10% will give 10/100 x 246 = 25</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Sample size = 246+ 25 = 271. </w:t>
      </w:r>
    </w:p>
    <w:p w:rsidR="003069A1" w:rsidRDefault="006037BE">
      <w:pPr>
        <w:shd w:val="clear" w:color="auto" w:fill="FFFFFF"/>
        <w:spacing w:after="0" w:line="360" w:lineRule="auto"/>
        <w:jc w:val="both"/>
        <w:rPr>
          <w:rFonts w:ascii="Times New Roman" w:hAnsi="Times New Roman"/>
          <w:color w:val="000000"/>
          <w:sz w:val="24"/>
          <w:szCs w:val="24"/>
          <w:shd w:val="clear" w:color="auto" w:fill="FFFFFF"/>
        </w:rPr>
      </w:pPr>
      <w:r>
        <w:rPr>
          <w:rFonts w:ascii="Times New Roman" w:hAnsi="Times New Roman"/>
          <w:b/>
          <w:color w:val="000000"/>
          <w:sz w:val="24"/>
          <w:szCs w:val="24"/>
        </w:rPr>
        <w:t xml:space="preserve">Source of data: </w:t>
      </w:r>
      <w:r>
        <w:rPr>
          <w:rFonts w:ascii="Times New Roman" w:hAnsi="Times New Roman"/>
          <w:color w:val="000000"/>
          <w:sz w:val="24"/>
          <w:szCs w:val="24"/>
        </w:rPr>
        <w:t>Primary.</w:t>
      </w:r>
    </w:p>
    <w:p w:rsidR="003069A1" w:rsidRDefault="006037BE">
      <w:pPr>
        <w:tabs>
          <w:tab w:val="left" w:pos="2731"/>
        </w:tabs>
        <w:rPr>
          <w:rFonts w:ascii="Times New Roman" w:hAnsi="Times New Roman"/>
          <w:color w:val="000000"/>
          <w:sz w:val="24"/>
          <w:szCs w:val="24"/>
        </w:rPr>
      </w:pPr>
      <w:r>
        <w:rPr>
          <w:rFonts w:ascii="Times New Roman" w:hAnsi="Times New Roman"/>
          <w:b/>
          <w:color w:val="000000"/>
          <w:sz w:val="24"/>
          <w:szCs w:val="24"/>
        </w:rPr>
        <w:t>Instrument for data collection:</w:t>
      </w:r>
      <w:r>
        <w:rPr>
          <w:rFonts w:ascii="Times New Roman" w:hAnsi="Times New Roman"/>
          <w:color w:val="000000"/>
          <w:sz w:val="24"/>
          <w:szCs w:val="24"/>
        </w:rPr>
        <w:t xml:space="preserve"> Structured questionnaire, Young </w:t>
      </w:r>
      <w:proofErr w:type="spellStart"/>
      <w:r>
        <w:rPr>
          <w:rFonts w:ascii="Times New Roman" w:hAnsi="Times New Roman"/>
          <w:color w:val="000000"/>
          <w:sz w:val="24"/>
          <w:szCs w:val="24"/>
        </w:rPr>
        <w:t>Zhezhong</w:t>
      </w:r>
      <w:proofErr w:type="spellEnd"/>
      <w:r>
        <w:rPr>
          <w:rFonts w:ascii="Times New Roman" w:hAnsi="Times New Roman"/>
          <w:color w:val="000000"/>
          <w:sz w:val="24"/>
          <w:szCs w:val="24"/>
        </w:rPr>
        <w:t xml:space="preserve"> scale for weight, calibrated meter rule for height, stethoscope and sphygmomanometer.</w:t>
      </w:r>
    </w:p>
    <w:p w:rsidR="003069A1" w:rsidRDefault="006037BE">
      <w:pPr>
        <w:tabs>
          <w:tab w:val="left" w:pos="2731"/>
        </w:tabs>
        <w:rPr>
          <w:rFonts w:ascii="Times New Roman" w:hAnsi="Times New Roman"/>
          <w:b/>
          <w:color w:val="000000"/>
          <w:sz w:val="24"/>
          <w:szCs w:val="24"/>
        </w:rPr>
      </w:pPr>
      <w:r>
        <w:rPr>
          <w:rFonts w:ascii="Times New Roman" w:hAnsi="Times New Roman"/>
          <w:b/>
          <w:color w:val="000000"/>
          <w:sz w:val="24"/>
          <w:szCs w:val="24"/>
        </w:rPr>
        <w:t xml:space="preserve">Data analysis: spss version 24.0 </w:t>
      </w:r>
    </w:p>
    <w:p w:rsidR="003069A1" w:rsidRDefault="003069A1">
      <w:pPr>
        <w:rPr>
          <w:rFonts w:ascii="Times New Roman" w:hAnsi="Times New Roman" w:cs="Times New Roman"/>
          <w:sz w:val="32"/>
          <w:szCs w:val="28"/>
        </w:rPr>
      </w:pPr>
    </w:p>
    <w:p w:rsidR="003069A1" w:rsidRDefault="003069A1">
      <w:pPr>
        <w:rPr>
          <w:rFonts w:ascii="Times New Roman" w:hAnsi="Times New Roman" w:cs="Times New Roman"/>
          <w:b/>
          <w:sz w:val="32"/>
          <w:szCs w:val="28"/>
        </w:rPr>
      </w:pPr>
    </w:p>
    <w:p w:rsidR="003069A1" w:rsidRDefault="003069A1">
      <w:pPr>
        <w:rPr>
          <w:rFonts w:ascii="Times New Roman" w:hAnsi="Times New Roman" w:cs="Times New Roman"/>
          <w:b/>
          <w:sz w:val="32"/>
          <w:szCs w:val="28"/>
        </w:rPr>
      </w:pPr>
    </w:p>
    <w:p w:rsidR="003069A1" w:rsidRDefault="003069A1">
      <w:pPr>
        <w:rPr>
          <w:rFonts w:ascii="Times New Roman" w:hAnsi="Times New Roman" w:cs="Times New Roman"/>
          <w:b/>
          <w:sz w:val="32"/>
          <w:szCs w:val="28"/>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RESULTS</w:t>
      </w:r>
      <w:r w:rsidR="00AE666C">
        <w:rPr>
          <w:rFonts w:ascii="Times New Roman" w:hAnsi="Times New Roman" w:cs="Times New Roman"/>
          <w:b/>
          <w:sz w:val="24"/>
          <w:szCs w:val="24"/>
        </w:rPr>
        <w:t xml:space="preserve"> and Discussion</w:t>
      </w:r>
      <w:bookmarkStart w:id="0" w:name="_GoBack"/>
      <w:bookmarkEnd w:id="0"/>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1: Socio- Demographic Characteristics of the study Population</w:t>
      </w:r>
    </w:p>
    <w:tbl>
      <w:tblPr>
        <w:tblStyle w:val="TableGrid"/>
        <w:tblW w:w="0" w:type="auto"/>
        <w:tblLayout w:type="fixed"/>
        <w:tblLook w:val="04A0" w:firstRow="1" w:lastRow="0" w:firstColumn="1" w:lastColumn="0" w:noHBand="0" w:noVBand="1"/>
      </w:tblPr>
      <w:tblGrid>
        <w:gridCol w:w="1540"/>
        <w:gridCol w:w="935"/>
        <w:gridCol w:w="586"/>
        <w:gridCol w:w="1457"/>
        <w:gridCol w:w="106"/>
        <w:gridCol w:w="934"/>
        <w:gridCol w:w="1070"/>
        <w:gridCol w:w="1443"/>
        <w:gridCol w:w="6"/>
        <w:gridCol w:w="1499"/>
      </w:tblGrid>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Variables</w:t>
            </w:r>
          </w:p>
        </w:tc>
        <w:tc>
          <w:tcPr>
            <w:tcW w:w="8036" w:type="dxa"/>
            <w:gridSpan w:val="9"/>
            <w:tcBorders>
              <w:top w:val="single" w:sz="4" w:space="0" w:color="auto"/>
              <w:left w:val="single" w:sz="4" w:space="0" w:color="auto"/>
              <w:bottom w:val="single" w:sz="4" w:space="0" w:color="auto"/>
              <w:right w:val="single" w:sz="4" w:space="0" w:color="auto"/>
            </w:tcBorders>
            <w:hideMark/>
          </w:tcPr>
          <w:p w:rsidR="003069A1" w:rsidRDefault="006037BE" w:rsidP="007B4A57">
            <w:pPr>
              <w:rPr>
                <w:rFonts w:ascii="Times New Roman" w:hAnsi="Times New Roman" w:cs="Times New Roman"/>
                <w:b/>
                <w:sz w:val="24"/>
                <w:szCs w:val="24"/>
              </w:rPr>
            </w:pPr>
            <w:r>
              <w:rPr>
                <w:rFonts w:ascii="Times New Roman" w:hAnsi="Times New Roman" w:cs="Times New Roman"/>
                <w:b/>
                <w:sz w:val="24"/>
                <w:szCs w:val="24"/>
              </w:rPr>
              <w:t>Respondents</w:t>
            </w:r>
            <w:r w:rsidR="007B4A57">
              <w:rPr>
                <w:rFonts w:ascii="Times New Roman" w:hAnsi="Times New Roman" w:cs="Times New Roman"/>
                <w:b/>
                <w:sz w:val="24"/>
                <w:szCs w:val="24"/>
              </w:rPr>
              <w:t xml:space="preserve">’ </w:t>
            </w:r>
            <w:r>
              <w:rPr>
                <w:rFonts w:ascii="Times New Roman" w:hAnsi="Times New Roman" w:cs="Times New Roman"/>
                <w:b/>
                <w:sz w:val="24"/>
                <w:szCs w:val="24"/>
              </w:rPr>
              <w:t xml:space="preserve">Educational Levels </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Age(yrs)</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Primary. </w:t>
            </w:r>
          </w:p>
          <w:p w:rsidR="003069A1" w:rsidRDefault="006037BE">
            <w:pPr>
              <w:rPr>
                <w:rFonts w:ascii="Times New Roman" w:hAnsi="Times New Roman" w:cs="Times New Roman"/>
                <w:sz w:val="24"/>
                <w:szCs w:val="24"/>
              </w:rPr>
            </w:pPr>
            <w:r>
              <w:rPr>
                <w:rFonts w:ascii="Times New Roman" w:hAnsi="Times New Roman" w:cs="Times New Roman"/>
                <w:sz w:val="24"/>
                <w:szCs w:val="24"/>
              </w:rPr>
              <w:t>n (%)</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Secondary.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Tertiary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None. </w:t>
            </w:r>
          </w:p>
          <w:p w:rsidR="003069A1" w:rsidRDefault="006037B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Total(n)</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18-24</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6(2.22)</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36(13.33)</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2(0.74)</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44</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25-30</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12(4.44)</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38(14.07)</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56(20.74)</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106</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31-35</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6(2.22)</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24(8.89)</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34(12.59)</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2(0.74)</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66</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&gt;36</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8(2.96)</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14(5.19)</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32(11.85)</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54</w:t>
            </w:r>
          </w:p>
        </w:tc>
      </w:tr>
      <w:tr w:rsidR="003069A1">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lastRenderedPageBreak/>
              <w:t>Total (%)</w:t>
            </w:r>
          </w:p>
        </w:tc>
        <w:tc>
          <w:tcPr>
            <w:tcW w:w="1521"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32(11.85)</w:t>
            </w:r>
          </w:p>
        </w:tc>
        <w:tc>
          <w:tcPr>
            <w:tcW w:w="1563"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112(41.48)</w:t>
            </w:r>
          </w:p>
        </w:tc>
        <w:tc>
          <w:tcPr>
            <w:tcW w:w="2004"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124(45.93)</w:t>
            </w:r>
          </w:p>
        </w:tc>
        <w:tc>
          <w:tcPr>
            <w:tcW w:w="144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2(0.74)</w:t>
            </w:r>
          </w:p>
        </w:tc>
        <w:tc>
          <w:tcPr>
            <w:tcW w:w="1505" w:type="dxa"/>
            <w:gridSpan w:val="2"/>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270(100)</w:t>
            </w:r>
          </w:p>
        </w:tc>
      </w:tr>
      <w:tr w:rsidR="003069A1">
        <w:trPr>
          <w:trHeight w:val="548"/>
        </w:trPr>
        <w:tc>
          <w:tcPr>
            <w:tcW w:w="9576" w:type="dxa"/>
            <w:gridSpan w:val="10"/>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Marital Status of Respondents</w:t>
            </w:r>
            <w:r w:rsidR="00892C9D">
              <w:rPr>
                <w:rFonts w:ascii="Times New Roman" w:hAnsi="Times New Roman" w:cs="Times New Roman"/>
                <w:b/>
                <w:sz w:val="24"/>
                <w:szCs w:val="24"/>
              </w:rPr>
              <w:t>’</w:t>
            </w:r>
          </w:p>
        </w:tc>
      </w:tr>
      <w:tr w:rsidR="003069A1">
        <w:trPr>
          <w:trHeight w:val="440"/>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Variables</w:t>
            </w:r>
          </w:p>
        </w:tc>
        <w:tc>
          <w:tcPr>
            <w:tcW w:w="2978"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Frequency (n)</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Percentage (%)</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382"/>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 xml:space="preserve">Married </w:t>
            </w:r>
          </w:p>
        </w:tc>
        <w:tc>
          <w:tcPr>
            <w:tcW w:w="2978" w:type="dxa"/>
            <w:gridSpan w:val="3"/>
            <w:tcBorders>
              <w:top w:val="nil"/>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200</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74.08</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239"/>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Single</w:t>
            </w:r>
          </w:p>
        </w:tc>
        <w:tc>
          <w:tcPr>
            <w:tcW w:w="2978"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44</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16.29</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232"/>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Divorce</w:t>
            </w:r>
          </w:p>
        </w:tc>
        <w:tc>
          <w:tcPr>
            <w:tcW w:w="2978"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1.48</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315"/>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Separate</w:t>
            </w:r>
          </w:p>
        </w:tc>
        <w:tc>
          <w:tcPr>
            <w:tcW w:w="2978"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22</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8.15</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305"/>
        </w:trPr>
        <w:tc>
          <w:tcPr>
            <w:tcW w:w="154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Total</w:t>
            </w:r>
          </w:p>
        </w:tc>
        <w:tc>
          <w:tcPr>
            <w:tcW w:w="2978" w:type="dxa"/>
            <w:gridSpan w:val="3"/>
            <w:tcBorders>
              <w:top w:val="nil"/>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tc>
        <w:tc>
          <w:tcPr>
            <w:tcW w:w="2110" w:type="dxa"/>
            <w:gridSpan w:val="3"/>
            <w:tcBorders>
              <w:top w:val="single" w:sz="4" w:space="0" w:color="auto"/>
              <w:left w:val="single" w:sz="4" w:space="0" w:color="auto"/>
              <w:bottom w:val="single" w:sz="4" w:space="0" w:color="auto"/>
              <w:right w:val="nil"/>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c>
          <w:tcPr>
            <w:tcW w:w="1449" w:type="dxa"/>
            <w:gridSpan w:val="2"/>
            <w:tcBorders>
              <w:top w:val="single" w:sz="4" w:space="0" w:color="auto"/>
              <w:left w:val="nil"/>
              <w:bottom w:val="single" w:sz="4" w:space="0" w:color="auto"/>
              <w:right w:val="nil"/>
            </w:tcBorders>
          </w:tcPr>
          <w:p w:rsidR="003069A1" w:rsidRDefault="003069A1">
            <w:pPr>
              <w:rPr>
                <w:rFonts w:ascii="Times New Roman" w:hAnsi="Times New Roman" w:cs="Times New Roman"/>
                <w:b/>
                <w:sz w:val="24"/>
                <w:szCs w:val="24"/>
              </w:rPr>
            </w:pPr>
          </w:p>
        </w:tc>
        <w:tc>
          <w:tcPr>
            <w:tcW w:w="1499" w:type="dxa"/>
            <w:tcBorders>
              <w:top w:val="single" w:sz="4" w:space="0" w:color="auto"/>
              <w:left w:val="nil"/>
              <w:bottom w:val="single" w:sz="4" w:space="0" w:color="auto"/>
              <w:right w:val="single" w:sz="4" w:space="0" w:color="auto"/>
            </w:tcBorders>
          </w:tcPr>
          <w:p w:rsidR="003069A1" w:rsidRDefault="003069A1">
            <w:pPr>
              <w:rPr>
                <w:rFonts w:ascii="Times New Roman" w:hAnsi="Times New Roman" w:cs="Times New Roman"/>
                <w:b/>
                <w:sz w:val="24"/>
                <w:szCs w:val="24"/>
              </w:rPr>
            </w:pPr>
          </w:p>
        </w:tc>
      </w:tr>
      <w:tr w:rsidR="003069A1">
        <w:trPr>
          <w:trHeight w:val="368"/>
        </w:trPr>
        <w:tc>
          <w:tcPr>
            <w:tcW w:w="9576" w:type="dxa"/>
            <w:gridSpan w:val="10"/>
            <w:tcBorders>
              <w:top w:val="single" w:sz="4" w:space="0" w:color="auto"/>
              <w:left w:val="single" w:sz="4" w:space="0" w:color="auto"/>
              <w:bottom w:val="single" w:sz="4" w:space="0" w:color="auto"/>
              <w:right w:val="single" w:sz="4" w:space="0" w:color="auto"/>
            </w:tcBorders>
            <w:hideMark/>
          </w:tcPr>
          <w:p w:rsidR="003069A1" w:rsidRDefault="006037BE">
            <w:pPr>
              <w:tabs>
                <w:tab w:val="left" w:pos="679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 xml:space="preserve">                                    Occupation of Respondents</w:t>
            </w:r>
            <w:r>
              <w:rPr>
                <w:rFonts w:ascii="Times New Roman" w:hAnsi="Times New Roman" w:cs="Times New Roman"/>
                <w:b/>
                <w:sz w:val="24"/>
                <w:szCs w:val="24"/>
              </w:rPr>
              <w:tab/>
            </w:r>
          </w:p>
        </w:tc>
      </w:tr>
      <w:tr w:rsidR="003069A1">
        <w:trPr>
          <w:trHeight w:val="383"/>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Variables</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Frequency(n)</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rPr>
          <w:trHeight w:val="305"/>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Civil Servant</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78</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28.89</w:t>
            </w:r>
          </w:p>
        </w:tc>
      </w:tr>
      <w:tr w:rsidR="003069A1">
        <w:trPr>
          <w:trHeight w:val="350"/>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Unemployed</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40</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14.82</w:t>
            </w:r>
          </w:p>
        </w:tc>
      </w:tr>
      <w:tr w:rsidR="003069A1">
        <w:trPr>
          <w:trHeight w:val="338"/>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House wife</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52</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19.26</w:t>
            </w:r>
          </w:p>
        </w:tc>
      </w:tr>
      <w:tr w:rsidR="003069A1">
        <w:trPr>
          <w:trHeight w:val="413"/>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Students</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12</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4.44</w:t>
            </w:r>
          </w:p>
        </w:tc>
      </w:tr>
      <w:tr w:rsidR="003069A1">
        <w:trPr>
          <w:trHeight w:val="278"/>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Business</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88</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32.59</w:t>
            </w:r>
          </w:p>
        </w:tc>
      </w:tr>
      <w:tr w:rsidR="003069A1">
        <w:trPr>
          <w:trHeight w:val="323"/>
        </w:trPr>
        <w:tc>
          <w:tcPr>
            <w:tcW w:w="2475" w:type="dxa"/>
            <w:gridSpan w:val="2"/>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Total</w:t>
            </w:r>
          </w:p>
        </w:tc>
        <w:tc>
          <w:tcPr>
            <w:tcW w:w="3083"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270</w:t>
            </w:r>
          </w:p>
        </w:tc>
        <w:tc>
          <w:tcPr>
            <w:tcW w:w="4018" w:type="dxa"/>
            <w:gridSpan w:val="4"/>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100</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Field Survey (2025)</w:t>
      </w:r>
    </w:p>
    <w:p w:rsidR="003069A1" w:rsidRDefault="006037BE">
      <w:pPr>
        <w:tabs>
          <w:tab w:val="left" w:pos="6323"/>
        </w:tabs>
        <w:rPr>
          <w:rFonts w:ascii="Times New Roman" w:hAnsi="Times New Roman" w:cs="Times New Roman"/>
          <w:sz w:val="24"/>
          <w:szCs w:val="24"/>
        </w:rPr>
      </w:pPr>
      <w:r>
        <w:rPr>
          <w:rFonts w:ascii="Times New Roman" w:hAnsi="Times New Roman" w:cs="Times New Roman"/>
          <w:sz w:val="24"/>
          <w:szCs w:val="24"/>
        </w:rPr>
        <w:t>The table above describes the basic characters of the study population.</w:t>
      </w:r>
      <w:r>
        <w:rPr>
          <w:rFonts w:ascii="Times New Roman" w:hAnsi="Times New Roman" w:cs="Times New Roman"/>
          <w:sz w:val="24"/>
          <w:szCs w:val="24"/>
        </w:rPr>
        <w:tab/>
      </w:r>
    </w:p>
    <w:p w:rsidR="003069A1" w:rsidRDefault="006037BE">
      <w:pPr>
        <w:tabs>
          <w:tab w:val="left" w:pos="3481"/>
        </w:tabs>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w:t>
      </w:r>
      <w:r w:rsidR="00AE666C">
        <w:rPr>
          <w:rFonts w:ascii="Times New Roman" w:hAnsi="Times New Roman" w:cs="Times New Roman"/>
          <w:b/>
          <w:sz w:val="24"/>
          <w:szCs w:val="24"/>
        </w:rPr>
        <w:t xml:space="preserve"> </w:t>
      </w:r>
      <w:r>
        <w:rPr>
          <w:rFonts w:ascii="Times New Roman" w:hAnsi="Times New Roman" w:cs="Times New Roman"/>
          <w:b/>
          <w:sz w:val="24"/>
          <w:szCs w:val="24"/>
        </w:rPr>
        <w:t>2: Family History of Cardiovascular Disease</w:t>
      </w:r>
    </w:p>
    <w:tbl>
      <w:tblPr>
        <w:tblStyle w:val="TableGrid"/>
        <w:tblW w:w="0" w:type="auto"/>
        <w:tblLook w:val="04A0" w:firstRow="1" w:lastRow="0" w:firstColumn="1" w:lastColumn="0" w:noHBand="0" w:noVBand="1"/>
      </w:tblPr>
      <w:tblGrid>
        <w:gridCol w:w="3194"/>
        <w:gridCol w:w="3194"/>
        <w:gridCol w:w="3188"/>
      </w:tblGrid>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Variables</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Frequency(n)</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Percentage (%)</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Yes </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tabs>
                <w:tab w:val="right" w:pos="2978"/>
              </w:tabs>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8.89</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No</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246</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91.11</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Total</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r>
      <w:tr w:rsidR="003069A1">
        <w:tc>
          <w:tcPr>
            <w:tcW w:w="9576"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Do you Smoke?</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Yes</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14</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5.19</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No</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256</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94.81</w:t>
            </w:r>
          </w:p>
        </w:tc>
      </w:tr>
      <w:tr w:rsidR="003069A1">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lastRenderedPageBreak/>
              <w:t>Total</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r>
      <w:tr w:rsidR="003069A1">
        <w:tc>
          <w:tcPr>
            <w:tcW w:w="9576" w:type="dxa"/>
            <w:gridSpan w:val="3"/>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Respondents</w:t>
            </w:r>
            <w:r w:rsidR="00AA4D71">
              <w:rPr>
                <w:rFonts w:ascii="Times New Roman" w:hAnsi="Times New Roman" w:cs="Times New Roman"/>
                <w:b/>
                <w:sz w:val="24"/>
                <w:szCs w:val="24"/>
              </w:rPr>
              <w:t>’</w:t>
            </w:r>
            <w:r>
              <w:rPr>
                <w:rFonts w:ascii="Times New Roman" w:hAnsi="Times New Roman" w:cs="Times New Roman"/>
                <w:b/>
                <w:sz w:val="24"/>
                <w:szCs w:val="24"/>
              </w:rPr>
              <w:t xml:space="preserve"> Attitude towards additional salt in Diets</w:t>
            </w:r>
          </w:p>
        </w:tc>
      </w:tr>
      <w:tr w:rsidR="003069A1">
        <w:trPr>
          <w:trHeight w:val="540"/>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tabs>
                <w:tab w:val="left"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Variables</w:t>
            </w:r>
            <w:r>
              <w:rPr>
                <w:rFonts w:ascii="Times New Roman" w:hAnsi="Times New Roman" w:cs="Times New Roman"/>
                <w:b/>
                <w:sz w:val="24"/>
                <w:szCs w:val="24"/>
              </w:rPr>
              <w:tab/>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 (n)</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rPr>
          <w:trHeight w:val="533"/>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Yes</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62</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22.96</w:t>
            </w:r>
          </w:p>
        </w:tc>
      </w:tr>
      <w:tr w:rsidR="003069A1">
        <w:trPr>
          <w:trHeight w:val="585"/>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No</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208</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77.04</w:t>
            </w:r>
          </w:p>
        </w:tc>
      </w:tr>
      <w:tr w:rsidR="003069A1">
        <w:trPr>
          <w:trHeight w:val="428"/>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sz w:val="24"/>
                <w:szCs w:val="24"/>
              </w:rPr>
            </w:pPr>
            <w:r>
              <w:rPr>
                <w:rFonts w:ascii="Times New Roman" w:hAnsi="Times New Roman" w:cs="Times New Roman"/>
                <w:sz w:val="24"/>
                <w:szCs w:val="24"/>
              </w:rPr>
              <w:t>Total</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270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100</w:t>
            </w:r>
          </w:p>
        </w:tc>
      </w:tr>
      <w:tr w:rsidR="003069A1">
        <w:trPr>
          <w:trHeight w:val="675"/>
        </w:trPr>
        <w:tc>
          <w:tcPr>
            <w:tcW w:w="9576" w:type="dxa"/>
            <w:gridSpan w:val="3"/>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 xml:space="preserve">                                            Regular Alcoholic Intake</w:t>
            </w:r>
          </w:p>
        </w:tc>
      </w:tr>
      <w:tr w:rsidR="003069A1">
        <w:trPr>
          <w:trHeight w:val="443"/>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tabs>
                <w:tab w:val="left"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Variables</w:t>
            </w:r>
            <w:r>
              <w:rPr>
                <w:rFonts w:ascii="Times New Roman" w:hAnsi="Times New Roman" w:cs="Times New Roman"/>
                <w:b/>
                <w:sz w:val="24"/>
                <w:szCs w:val="24"/>
              </w:rPr>
              <w:tab/>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 (n)</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rPr>
          <w:trHeight w:val="518"/>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tabs>
                <w:tab w:val="center" w:pos="1543"/>
              </w:tabs>
              <w:spacing w:after="200" w:line="276" w:lineRule="auto"/>
              <w:ind w:left="108"/>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30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11.11</w:t>
            </w:r>
          </w:p>
        </w:tc>
      </w:tr>
      <w:tr w:rsidR="003069A1">
        <w:trPr>
          <w:trHeight w:val="585"/>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No</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240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88.89</w:t>
            </w:r>
          </w:p>
        </w:tc>
      </w:tr>
      <w:tr w:rsidR="003069A1">
        <w:trPr>
          <w:trHeight w:val="540"/>
        </w:trPr>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Total</w:t>
            </w:r>
          </w:p>
        </w:tc>
        <w:tc>
          <w:tcPr>
            <w:tcW w:w="319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tc>
        <w:tc>
          <w:tcPr>
            <w:tcW w:w="31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Field Survey (2025)</w:t>
      </w:r>
    </w:p>
    <w:p w:rsidR="003069A1" w:rsidRDefault="006037BE">
      <w:pPr>
        <w:tabs>
          <w:tab w:val="left" w:pos="6323"/>
        </w:tabs>
        <w:rPr>
          <w:rFonts w:ascii="Times New Roman" w:hAnsi="Times New Roman" w:cs="Times New Roman"/>
          <w:sz w:val="24"/>
          <w:szCs w:val="24"/>
        </w:rPr>
      </w:pPr>
      <w:r>
        <w:rPr>
          <w:rFonts w:ascii="Times New Roman" w:hAnsi="Times New Roman" w:cs="Times New Roman"/>
          <w:sz w:val="24"/>
          <w:szCs w:val="24"/>
        </w:rPr>
        <w:t>The above table shows the regular habits engaged upon by the respondents in order to trace their etiological cause of high blood pressure.</w:t>
      </w:r>
      <w:r>
        <w:rPr>
          <w:rFonts w:ascii="Times New Roman" w:hAnsi="Times New Roman" w:cs="Times New Roman"/>
          <w:sz w:val="24"/>
          <w:szCs w:val="24"/>
        </w:rPr>
        <w:tab/>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
    <w:p w:rsidR="003069A1" w:rsidRDefault="006037BE">
      <w:pPr>
        <w:tabs>
          <w:tab w:val="left" w:pos="5985"/>
        </w:tabs>
        <w:rPr>
          <w:rFonts w:ascii="Times New Roman" w:hAnsi="Times New Roman" w:cs="Times New Roman"/>
          <w:sz w:val="24"/>
          <w:szCs w:val="24"/>
        </w:rPr>
      </w:pPr>
      <w:r>
        <w:rPr>
          <w:rFonts w:ascii="Times New Roman" w:hAnsi="Times New Roman" w:cs="Times New Roman"/>
          <w:sz w:val="24"/>
          <w:szCs w:val="24"/>
        </w:rPr>
        <w:tab/>
      </w: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3: Relationship between Blood Pressure (mmHg) and Age of the Study Population (WHO 2023)</w:t>
      </w:r>
    </w:p>
    <w:tbl>
      <w:tblPr>
        <w:tblStyle w:val="TableGrid"/>
        <w:tblW w:w="0" w:type="auto"/>
        <w:tblLayout w:type="fixed"/>
        <w:tblLook w:val="04A0" w:firstRow="1" w:lastRow="0" w:firstColumn="1" w:lastColumn="0" w:noHBand="0" w:noVBand="1"/>
      </w:tblPr>
      <w:tblGrid>
        <w:gridCol w:w="1278"/>
        <w:gridCol w:w="1766"/>
        <w:gridCol w:w="1586"/>
        <w:gridCol w:w="1586"/>
        <w:gridCol w:w="2082"/>
        <w:gridCol w:w="1278"/>
      </w:tblGrid>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Age (years)</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Hypotension</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≤90/60</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Normal </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90-119/60-79</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Pre-hyper</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120-139</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Hypertension</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&gt;140/90</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Total</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(n)</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18-24</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tabs>
                <w:tab w:val="center" w:pos="755"/>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28(10.37)</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15(5.56)</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1(0.37)</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44</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25-30</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66(24.44)</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34(12.59)</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6(2.22)</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106</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31-35</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22(8.15)</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30(11.11)</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14(5.19)</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66</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lastRenderedPageBreak/>
              <w:t>&gt;36</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4(1.48)</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30(11.11)</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20(7.41)</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54</w:t>
            </w:r>
          </w:p>
        </w:tc>
      </w:tr>
      <w:tr w:rsidR="003069A1">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Total</w:t>
            </w:r>
          </w:p>
          <w:p w:rsidR="003069A1" w:rsidRDefault="006037BE">
            <w:pPr>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p>
        </w:tc>
        <w:tc>
          <w:tcPr>
            <w:tcW w:w="176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120</w:t>
            </w:r>
          </w:p>
          <w:p w:rsidR="003069A1" w:rsidRDefault="006037BE">
            <w:pPr>
              <w:rPr>
                <w:rFonts w:ascii="Times New Roman" w:hAnsi="Times New Roman" w:cs="Times New Roman"/>
                <w:sz w:val="24"/>
                <w:szCs w:val="24"/>
              </w:rPr>
            </w:pPr>
            <w:r>
              <w:rPr>
                <w:rFonts w:ascii="Times New Roman" w:hAnsi="Times New Roman" w:cs="Times New Roman"/>
                <w:sz w:val="24"/>
                <w:szCs w:val="24"/>
              </w:rPr>
              <w:t>(44.44)</w:t>
            </w:r>
          </w:p>
        </w:tc>
        <w:tc>
          <w:tcPr>
            <w:tcW w:w="158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109</w:t>
            </w:r>
          </w:p>
          <w:p w:rsidR="003069A1" w:rsidRDefault="006037BE">
            <w:pPr>
              <w:rPr>
                <w:rFonts w:ascii="Times New Roman" w:hAnsi="Times New Roman" w:cs="Times New Roman"/>
                <w:sz w:val="24"/>
                <w:szCs w:val="24"/>
              </w:rPr>
            </w:pPr>
            <w:r>
              <w:rPr>
                <w:rFonts w:ascii="Times New Roman" w:hAnsi="Times New Roman" w:cs="Times New Roman"/>
                <w:sz w:val="24"/>
                <w:szCs w:val="24"/>
              </w:rPr>
              <w:t>(40.37)</w:t>
            </w:r>
          </w:p>
        </w:tc>
        <w:tc>
          <w:tcPr>
            <w:tcW w:w="208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41</w:t>
            </w:r>
          </w:p>
          <w:p w:rsidR="003069A1" w:rsidRDefault="006037BE">
            <w:pPr>
              <w:rPr>
                <w:rFonts w:ascii="Times New Roman" w:hAnsi="Times New Roman" w:cs="Times New Roman"/>
                <w:sz w:val="24"/>
                <w:szCs w:val="24"/>
              </w:rPr>
            </w:pPr>
            <w:r>
              <w:rPr>
                <w:rFonts w:ascii="Times New Roman" w:hAnsi="Times New Roman" w:cs="Times New Roman"/>
                <w:sz w:val="24"/>
                <w:szCs w:val="24"/>
              </w:rPr>
              <w:t>(15.19)</w:t>
            </w:r>
          </w:p>
        </w:tc>
        <w:tc>
          <w:tcPr>
            <w:tcW w:w="127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270</w:t>
            </w:r>
          </w:p>
          <w:p w:rsidR="003069A1" w:rsidRDefault="006037BE">
            <w:pPr>
              <w:rPr>
                <w:rFonts w:ascii="Times New Roman" w:hAnsi="Times New Roman" w:cs="Times New Roman"/>
                <w:sz w:val="24"/>
                <w:szCs w:val="24"/>
              </w:rPr>
            </w:pPr>
            <w:r>
              <w:rPr>
                <w:rFonts w:ascii="Times New Roman" w:hAnsi="Times New Roman" w:cs="Times New Roman"/>
                <w:sz w:val="24"/>
                <w:szCs w:val="24"/>
              </w:rPr>
              <w:t>(100)</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(2025)</w:t>
      </w:r>
    </w:p>
    <w:p w:rsidR="003069A1" w:rsidRDefault="006037BE">
      <w:pPr>
        <w:tabs>
          <w:tab w:val="left" w:pos="6323"/>
        </w:tabs>
        <w:rPr>
          <w:rFonts w:ascii="Times New Roman" w:hAnsi="Times New Roman" w:cs="Times New Roman"/>
          <w:sz w:val="24"/>
          <w:szCs w:val="24"/>
        </w:rPr>
      </w:pPr>
      <w:r>
        <w:rPr>
          <w:rFonts w:ascii="Times New Roman" w:hAnsi="Times New Roman" w:cs="Times New Roman"/>
          <w:sz w:val="24"/>
          <w:szCs w:val="24"/>
        </w:rPr>
        <w:t>The table above shows how the blood pressures of the participants correspond with the age range of the study population.</w:t>
      </w:r>
      <w:r>
        <w:rPr>
          <w:rFonts w:ascii="Times New Roman" w:hAnsi="Times New Roman" w:cs="Times New Roman"/>
          <w:sz w:val="24"/>
          <w:szCs w:val="24"/>
        </w:rPr>
        <w:tab/>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4: CARDIOVASCULAR STATUS OF THE RESPONDENTS</w:t>
      </w:r>
    </w:p>
    <w:tbl>
      <w:tblPr>
        <w:tblStyle w:val="TableGrid"/>
        <w:tblW w:w="0" w:type="auto"/>
        <w:tblLook w:val="04A0" w:firstRow="1" w:lastRow="0" w:firstColumn="1" w:lastColumn="0" w:noHBand="0" w:noVBand="1"/>
      </w:tblPr>
      <w:tblGrid>
        <w:gridCol w:w="1137"/>
        <w:gridCol w:w="2214"/>
        <w:gridCol w:w="2034"/>
        <w:gridCol w:w="2214"/>
        <w:gridCol w:w="1977"/>
      </w:tblGrid>
      <w:tr w:rsidR="003069A1">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Age</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(yrs)</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Systolic (mmHg)</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Diastolic (mmHg)</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MAP</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(mmHg)</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Pulse(bpm)</w:t>
            </w:r>
          </w:p>
        </w:tc>
      </w:tr>
      <w:tr w:rsidR="003069A1">
        <w:trPr>
          <w:trHeight w:val="548"/>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18-24</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113.86±9.58</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71.62±12.84</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85.70±5.12</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68.48±5.66</w:t>
            </w:r>
          </w:p>
        </w:tc>
      </w:tr>
      <w:tr w:rsidR="003069A1">
        <w:trPr>
          <w:trHeight w:val="620"/>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25-30</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112.62±21.73</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71.77±9.68</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85.39±11.72</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73.37±6.45</w:t>
            </w:r>
          </w:p>
        </w:tc>
      </w:tr>
      <w:tr w:rsidR="003069A1">
        <w:trPr>
          <w:trHeight w:val="620"/>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31-35</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121.27±9.85</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76.67±12.53</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91.51±6.67</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71.20±5.66</w:t>
            </w:r>
          </w:p>
        </w:tc>
      </w:tr>
      <w:tr w:rsidR="003069A1">
        <w:trPr>
          <w:trHeight w:val="800"/>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&gt;36</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132.00±32.85</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89.00±16.16</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103.33±23.93</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69.00±5.73</w:t>
            </w:r>
          </w:p>
        </w:tc>
      </w:tr>
      <w:tr w:rsidR="003069A1">
        <w:trPr>
          <w:trHeight w:val="530"/>
        </w:trPr>
        <w:tc>
          <w:tcPr>
            <w:tcW w:w="113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P-value</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0.00</w:t>
            </w:r>
          </w:p>
        </w:tc>
        <w:tc>
          <w:tcPr>
            <w:tcW w:w="203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0.00</w:t>
            </w:r>
          </w:p>
        </w:tc>
        <w:tc>
          <w:tcPr>
            <w:tcW w:w="2214"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0.00</w:t>
            </w:r>
          </w:p>
        </w:tc>
        <w:tc>
          <w:tcPr>
            <w:tcW w:w="197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0.04</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(2025)</w:t>
      </w:r>
      <w:r>
        <w:rPr>
          <w:rFonts w:ascii="Times New Roman" w:hAnsi="Times New Roman" w:cs="Times New Roman"/>
          <w:b/>
          <w:sz w:val="24"/>
          <w:szCs w:val="24"/>
        </w:rPr>
        <w:tab/>
      </w:r>
    </w:p>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P-value ≤ 0.05 is considered significant.   </w:t>
      </w:r>
    </w:p>
    <w:p w:rsidR="003069A1" w:rsidRDefault="006037BE">
      <w:pPr>
        <w:jc w:val="both"/>
        <w:rPr>
          <w:rFonts w:ascii="Times New Roman" w:hAnsi="Times New Roman" w:cs="Times New Roman"/>
          <w:sz w:val="24"/>
          <w:szCs w:val="24"/>
        </w:rPr>
      </w:pPr>
      <w:r>
        <w:rPr>
          <w:rFonts w:ascii="Times New Roman" w:hAnsi="Times New Roman" w:cs="Times New Roman"/>
          <w:sz w:val="24"/>
          <w:szCs w:val="24"/>
        </w:rPr>
        <w:t xml:space="preserve">The above table shows the statistical analysis and their mean values of the participant’s cardiovascular indices in different age range.                 </w:t>
      </w:r>
    </w:p>
    <w:p w:rsidR="003069A1" w:rsidRDefault="003069A1">
      <w:pPr>
        <w:rPr>
          <w:rFonts w:ascii="Times New Roman" w:hAnsi="Times New Roman" w:cs="Times New Roman"/>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5: Relationship between Anthropometric Indices with Age of the Study Population</w:t>
      </w:r>
    </w:p>
    <w:tbl>
      <w:tblPr>
        <w:tblStyle w:val="TableGrid"/>
        <w:tblW w:w="0" w:type="auto"/>
        <w:tblLook w:val="04A0" w:firstRow="1" w:lastRow="0" w:firstColumn="1" w:lastColumn="0" w:noHBand="0" w:noVBand="1"/>
      </w:tblPr>
      <w:tblGrid>
        <w:gridCol w:w="1507"/>
        <w:gridCol w:w="1772"/>
        <w:gridCol w:w="1546"/>
        <w:gridCol w:w="1616"/>
        <w:gridCol w:w="1547"/>
        <w:gridCol w:w="1588"/>
      </w:tblGrid>
      <w:tr w:rsidR="003069A1">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Age (yrs)</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Underweight</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≤18.5kg</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Normal</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18.5-24.9kg</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Overweight</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25.0-29.9kg</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Obesity</w:t>
            </w:r>
          </w:p>
          <w:p w:rsidR="003069A1" w:rsidRDefault="006037BE">
            <w:pPr>
              <w:rPr>
                <w:rFonts w:ascii="Times New Roman" w:hAnsi="Times New Roman" w:cs="Times New Roman"/>
                <w:b/>
                <w:sz w:val="24"/>
                <w:szCs w:val="24"/>
              </w:rPr>
            </w:pPr>
            <w:r>
              <w:rPr>
                <w:rFonts w:ascii="Times New Roman" w:hAnsi="Times New Roman" w:cs="Times New Roman"/>
                <w:sz w:val="24"/>
                <w:szCs w:val="24"/>
              </w:rPr>
              <w:t>&gt;30kg</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TOTAL</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w:t>
            </w:r>
          </w:p>
        </w:tc>
      </w:tr>
      <w:tr w:rsidR="003069A1">
        <w:trPr>
          <w:trHeight w:val="638"/>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18-24</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3(1.11)</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23(8.52)</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10(3.70)</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8(2.96)</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16.29</w:t>
            </w:r>
          </w:p>
        </w:tc>
      </w:tr>
      <w:tr w:rsidR="003069A1">
        <w:trPr>
          <w:trHeight w:val="440"/>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25-30</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6(2.22)</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47(17.41)</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22(8.15)</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31(11.48)</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39.26</w:t>
            </w:r>
          </w:p>
        </w:tc>
      </w:tr>
      <w:tr w:rsidR="003069A1">
        <w:trPr>
          <w:trHeight w:val="440"/>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lastRenderedPageBreak/>
              <w:t>31-35</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1(0.37)</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38(14.07)</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17(6.29)</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10(3.70)</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24.45</w:t>
            </w:r>
          </w:p>
        </w:tc>
      </w:tr>
      <w:tr w:rsidR="003069A1">
        <w:trPr>
          <w:trHeight w:val="620"/>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&gt;36</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6(2.22)</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12(4.44)</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14(5.19)</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22(8.15)</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20.00</w:t>
            </w:r>
          </w:p>
        </w:tc>
      </w:tr>
      <w:tr w:rsidR="003069A1">
        <w:trPr>
          <w:trHeight w:val="440"/>
        </w:trPr>
        <w:tc>
          <w:tcPr>
            <w:tcW w:w="150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Total</w:t>
            </w:r>
          </w:p>
          <w:p w:rsidR="003069A1" w:rsidRDefault="006037BE">
            <w:pPr>
              <w:rPr>
                <w:rFonts w:ascii="Times New Roman" w:hAnsi="Times New Roman" w:cs="Times New Roman"/>
                <w:b/>
                <w:sz w:val="24"/>
                <w:szCs w:val="24"/>
              </w:rPr>
            </w:pPr>
            <w:proofErr w:type="gramStart"/>
            <w:r>
              <w:rPr>
                <w:rFonts w:ascii="Times New Roman" w:hAnsi="Times New Roman" w:cs="Times New Roman"/>
                <w:b/>
                <w:sz w:val="24"/>
                <w:szCs w:val="24"/>
              </w:rPr>
              <w:t>n(</w:t>
            </w:r>
            <w:proofErr w:type="gramEnd"/>
            <w:r>
              <w:rPr>
                <w:rFonts w:ascii="Times New Roman" w:hAnsi="Times New Roman" w:cs="Times New Roman"/>
                <w:b/>
                <w:sz w:val="24"/>
                <w:szCs w:val="24"/>
              </w:rPr>
              <w:t>%)</w:t>
            </w:r>
          </w:p>
        </w:tc>
        <w:tc>
          <w:tcPr>
            <w:tcW w:w="1772"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16(5.93</w:t>
            </w:r>
          </w:p>
        </w:tc>
        <w:tc>
          <w:tcPr>
            <w:tcW w:w="154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120(44.44</w:t>
            </w:r>
          </w:p>
        </w:tc>
        <w:tc>
          <w:tcPr>
            <w:tcW w:w="1616"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63(23.33)</w:t>
            </w:r>
          </w:p>
        </w:tc>
        <w:tc>
          <w:tcPr>
            <w:tcW w:w="1547"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71(26.29)</w:t>
            </w:r>
          </w:p>
        </w:tc>
        <w:tc>
          <w:tcPr>
            <w:tcW w:w="158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270(100)</w:t>
            </w:r>
          </w:p>
        </w:tc>
      </w:tr>
    </w:tbl>
    <w:p w:rsidR="003069A1" w:rsidRDefault="006037BE">
      <w:pPr>
        <w:tabs>
          <w:tab w:val="left" w:pos="6323"/>
        </w:tabs>
        <w:rPr>
          <w:rFonts w:ascii="Times New Roman" w:hAnsi="Times New Roman" w:cs="Times New Roman"/>
          <w:b/>
          <w:sz w:val="24"/>
          <w:szCs w:val="24"/>
        </w:rPr>
      </w:pPr>
      <w:r>
        <w:rPr>
          <w:rFonts w:ascii="Times New Roman" w:hAnsi="Times New Roman" w:cs="Times New Roman"/>
          <w:b/>
          <w:sz w:val="24"/>
          <w:szCs w:val="24"/>
        </w:rPr>
        <w:t>(2025)</w:t>
      </w:r>
    </w:p>
    <w:p w:rsidR="003069A1" w:rsidRDefault="006037BE">
      <w:pPr>
        <w:tabs>
          <w:tab w:val="left" w:pos="6323"/>
        </w:tabs>
        <w:jc w:val="both"/>
        <w:rPr>
          <w:rFonts w:ascii="Times New Roman" w:hAnsi="Times New Roman" w:cs="Times New Roman"/>
          <w:sz w:val="24"/>
          <w:szCs w:val="24"/>
        </w:rPr>
      </w:pPr>
      <w:r>
        <w:rPr>
          <w:rFonts w:ascii="Times New Roman" w:hAnsi="Times New Roman" w:cs="Times New Roman"/>
          <w:sz w:val="24"/>
          <w:szCs w:val="24"/>
        </w:rPr>
        <w:t>The above table describes the normal ranges of anthropometric indices according to W.H.O in comparison with the study population indices</w:t>
      </w:r>
      <w:r>
        <w:rPr>
          <w:rFonts w:ascii="Times New Roman" w:hAnsi="Times New Roman" w:cs="Times New Roman"/>
          <w:sz w:val="24"/>
          <w:szCs w:val="24"/>
        </w:rPr>
        <w:tab/>
      </w: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TABLE 6: ANTHROPOMETRIC INDICES OF THE STUDY POPULATION</w:t>
      </w:r>
    </w:p>
    <w:tbl>
      <w:tblPr>
        <w:tblStyle w:val="TableGrid"/>
        <w:tblW w:w="11970" w:type="dxa"/>
        <w:tblLook w:val="04A0" w:firstRow="1" w:lastRow="0" w:firstColumn="1" w:lastColumn="0" w:noHBand="0" w:noVBand="1"/>
      </w:tblPr>
      <w:tblGrid>
        <w:gridCol w:w="1458"/>
        <w:gridCol w:w="1890"/>
        <w:gridCol w:w="2250"/>
        <w:gridCol w:w="2430"/>
        <w:gridCol w:w="1215"/>
        <w:gridCol w:w="653"/>
        <w:gridCol w:w="2074"/>
      </w:tblGrid>
      <w:tr w:rsidR="003069A1">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Age</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(yrs)</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Weight</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(kg)</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Height</w:t>
            </w:r>
          </w:p>
          <w:p w:rsidR="003069A1" w:rsidRDefault="006037BE">
            <w:pPr>
              <w:rPr>
                <w:rFonts w:ascii="Times New Roman" w:hAnsi="Times New Roman" w:cs="Times New Roman"/>
                <w:b/>
                <w:sz w:val="24"/>
                <w:szCs w:val="24"/>
              </w:rPr>
            </w:pPr>
            <w:r>
              <w:rPr>
                <w:rFonts w:ascii="Times New Roman" w:hAnsi="Times New Roman" w:cs="Times New Roman"/>
                <w:b/>
                <w:sz w:val="24"/>
                <w:szCs w:val="24"/>
              </w:rPr>
              <w:t>(m)</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BMI(kg/m²</w:t>
            </w:r>
          </w:p>
        </w:tc>
        <w:tc>
          <w:tcPr>
            <w:tcW w:w="1215" w:type="dxa"/>
            <w:vMerge w:val="restart"/>
            <w:tcBorders>
              <w:top w:val="nil"/>
              <w:left w:val="single" w:sz="4" w:space="0" w:color="auto"/>
              <w:bottom w:val="nil"/>
              <w:right w:val="nil"/>
            </w:tcBorders>
          </w:tcPr>
          <w:p w:rsidR="003069A1" w:rsidRDefault="003069A1">
            <w:pPr>
              <w:rPr>
                <w:rFonts w:ascii="Times New Roman" w:hAnsi="Times New Roman" w:cs="Times New Roman"/>
                <w:b/>
                <w:sz w:val="24"/>
                <w:szCs w:val="24"/>
              </w:rPr>
            </w:pPr>
          </w:p>
        </w:tc>
        <w:tc>
          <w:tcPr>
            <w:tcW w:w="653" w:type="dxa"/>
            <w:vMerge w:val="restart"/>
            <w:tcBorders>
              <w:top w:val="nil"/>
              <w:left w:val="nil"/>
              <w:bottom w:val="nil"/>
              <w:right w:val="nil"/>
            </w:tcBorders>
          </w:tcPr>
          <w:p w:rsidR="003069A1" w:rsidRDefault="003069A1">
            <w:pPr>
              <w:rPr>
                <w:rFonts w:ascii="Times New Roman" w:hAnsi="Times New Roman" w:cs="Times New Roman"/>
                <w:b/>
                <w:sz w:val="24"/>
                <w:szCs w:val="24"/>
              </w:rPr>
            </w:pPr>
          </w:p>
        </w:tc>
        <w:tc>
          <w:tcPr>
            <w:tcW w:w="2074" w:type="dxa"/>
            <w:vMerge w:val="restart"/>
            <w:tcBorders>
              <w:top w:val="nil"/>
              <w:left w:val="nil"/>
              <w:bottom w:val="nil"/>
              <w:right w:val="single" w:sz="4" w:space="0" w:color="auto"/>
            </w:tcBorders>
          </w:tcPr>
          <w:p w:rsidR="003069A1" w:rsidRDefault="003069A1">
            <w:pPr>
              <w:rPr>
                <w:rFonts w:ascii="Times New Roman" w:hAnsi="Times New Roman" w:cs="Times New Roman"/>
                <w:b/>
                <w:sz w:val="24"/>
                <w:szCs w:val="24"/>
              </w:rPr>
            </w:pPr>
          </w:p>
        </w:tc>
      </w:tr>
      <w:tr w:rsidR="003069A1">
        <w:trPr>
          <w:trHeight w:val="71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18-24</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60.14</w:t>
            </w:r>
            <w:r>
              <w:rPr>
                <w:rFonts w:ascii="Times New Roman" w:hAnsi="Times New Roman" w:cs="Times New Roman"/>
                <w:sz w:val="24"/>
                <w:szCs w:val="24"/>
              </w:rPr>
              <w:t>±7.42</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1.65</w:t>
            </w:r>
            <w:r>
              <w:rPr>
                <w:rFonts w:ascii="Times New Roman" w:hAnsi="Times New Roman" w:cs="Times New Roman"/>
                <w:sz w:val="24"/>
                <w:szCs w:val="24"/>
              </w:rPr>
              <w:t>±0.07</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22.09</w:t>
            </w:r>
            <w:r>
              <w:rPr>
                <w:rFonts w:ascii="Times New Roman" w:hAnsi="Times New Roman" w:cs="Times New Roman"/>
                <w:sz w:val="24"/>
                <w:szCs w:val="24"/>
              </w:rPr>
              <w:t>±1.50</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r w:rsidR="003069A1">
        <w:trPr>
          <w:trHeight w:val="53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25-30</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67.35</w:t>
            </w:r>
            <w:r>
              <w:rPr>
                <w:rFonts w:ascii="Times New Roman" w:hAnsi="Times New Roman" w:cs="Times New Roman"/>
                <w:sz w:val="24"/>
                <w:szCs w:val="24"/>
              </w:rPr>
              <w:t>±12.11</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1.61</w:t>
            </w:r>
            <w:r>
              <w:rPr>
                <w:rFonts w:ascii="Times New Roman" w:hAnsi="Times New Roman" w:cs="Times New Roman"/>
                <w:sz w:val="24"/>
                <w:szCs w:val="24"/>
              </w:rPr>
              <w:t>±0.58</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25.98</w:t>
            </w:r>
            <w:r>
              <w:rPr>
                <w:rFonts w:ascii="Times New Roman" w:hAnsi="Times New Roman" w:cs="Times New Roman"/>
                <w:sz w:val="24"/>
                <w:szCs w:val="24"/>
              </w:rPr>
              <w:t>±0.24</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r w:rsidR="003069A1">
        <w:trPr>
          <w:trHeight w:val="53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31-35</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64.60</w:t>
            </w:r>
            <w:r>
              <w:rPr>
                <w:rFonts w:ascii="Times New Roman" w:hAnsi="Times New Roman" w:cs="Times New Roman"/>
                <w:sz w:val="24"/>
                <w:szCs w:val="24"/>
              </w:rPr>
              <w:t>±8.69</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tabs>
                <w:tab w:val="right" w:pos="2034"/>
              </w:tabs>
              <w:rPr>
                <w:rFonts w:ascii="Times New Roman" w:hAnsi="Times New Roman" w:cs="Times New Roman"/>
                <w:b/>
                <w:sz w:val="24"/>
                <w:szCs w:val="24"/>
              </w:rPr>
            </w:pPr>
            <w:r>
              <w:rPr>
                <w:rFonts w:ascii="Times New Roman" w:hAnsi="Times New Roman" w:cs="Times New Roman"/>
                <w:sz w:val="24"/>
                <w:szCs w:val="24"/>
              </w:rPr>
              <w:t>1.61±0.05</w:t>
            </w:r>
            <w:r>
              <w:rPr>
                <w:rFonts w:ascii="Times New Roman" w:hAnsi="Times New Roman" w:cs="Times New Roman"/>
                <w:sz w:val="24"/>
                <w:szCs w:val="24"/>
              </w:rPr>
              <w:tab/>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23.16</w:t>
            </w:r>
            <w:r>
              <w:rPr>
                <w:rFonts w:ascii="Times New Roman" w:hAnsi="Times New Roman" w:cs="Times New Roman"/>
                <w:sz w:val="24"/>
                <w:szCs w:val="24"/>
              </w:rPr>
              <w:t>±4.20</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r w:rsidR="003069A1">
        <w:trPr>
          <w:trHeight w:val="53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&gt;36</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67.28</w:t>
            </w:r>
            <w:r>
              <w:rPr>
                <w:rFonts w:ascii="Times New Roman" w:hAnsi="Times New Roman" w:cs="Times New Roman"/>
                <w:sz w:val="24"/>
                <w:szCs w:val="24"/>
              </w:rPr>
              <w:t>±2.13</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1.59</w:t>
            </w:r>
            <w:r>
              <w:rPr>
                <w:rFonts w:ascii="Times New Roman" w:hAnsi="Times New Roman" w:cs="Times New Roman"/>
                <w:sz w:val="24"/>
                <w:szCs w:val="24"/>
              </w:rPr>
              <w:t>±0.07</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26.6</w:t>
            </w:r>
            <w:r>
              <w:rPr>
                <w:rFonts w:ascii="Times New Roman" w:hAnsi="Times New Roman" w:cs="Times New Roman"/>
                <w:sz w:val="24"/>
                <w:szCs w:val="24"/>
              </w:rPr>
              <w:t>±1.39</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r w:rsidR="003069A1">
        <w:trPr>
          <w:trHeight w:val="530"/>
        </w:trPr>
        <w:tc>
          <w:tcPr>
            <w:tcW w:w="145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P-value</w:t>
            </w:r>
          </w:p>
        </w:tc>
        <w:tc>
          <w:tcPr>
            <w:tcW w:w="18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0.04</w:t>
            </w:r>
          </w:p>
        </w:tc>
        <w:tc>
          <w:tcPr>
            <w:tcW w:w="225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0.02</w:t>
            </w:r>
          </w:p>
        </w:tc>
        <w:tc>
          <w:tcPr>
            <w:tcW w:w="243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0.00</w:t>
            </w:r>
          </w:p>
        </w:tc>
        <w:tc>
          <w:tcPr>
            <w:tcW w:w="0" w:type="auto"/>
            <w:vMerge/>
            <w:tcBorders>
              <w:top w:val="nil"/>
              <w:left w:val="single" w:sz="4" w:space="0" w:color="auto"/>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nil"/>
            </w:tcBorders>
            <w:vAlign w:val="center"/>
            <w:hideMark/>
          </w:tcPr>
          <w:p w:rsidR="003069A1" w:rsidRDefault="003069A1">
            <w:pPr>
              <w:rPr>
                <w:rFonts w:ascii="Times New Roman" w:hAnsi="Times New Roman" w:cs="Times New Roman"/>
                <w:b/>
                <w:sz w:val="24"/>
                <w:szCs w:val="24"/>
              </w:rPr>
            </w:pPr>
          </w:p>
        </w:tc>
        <w:tc>
          <w:tcPr>
            <w:tcW w:w="0" w:type="auto"/>
            <w:vMerge/>
            <w:tcBorders>
              <w:top w:val="nil"/>
              <w:left w:val="nil"/>
              <w:bottom w:val="nil"/>
              <w:right w:val="single" w:sz="4" w:space="0" w:color="auto"/>
            </w:tcBorders>
            <w:vAlign w:val="center"/>
            <w:hideMark/>
          </w:tcPr>
          <w:p w:rsidR="003069A1" w:rsidRDefault="003069A1">
            <w:pPr>
              <w:rPr>
                <w:rFonts w:ascii="Times New Roman" w:hAnsi="Times New Roman" w:cs="Times New Roman"/>
                <w:b/>
                <w:sz w:val="24"/>
                <w:szCs w:val="24"/>
              </w:rPr>
            </w:pPr>
          </w:p>
        </w:tc>
      </w:tr>
    </w:tbl>
    <w:p w:rsidR="003069A1" w:rsidRDefault="006037BE">
      <w:pPr>
        <w:jc w:val="both"/>
        <w:rPr>
          <w:rFonts w:ascii="Times New Roman" w:hAnsi="Times New Roman" w:cs="Times New Roman"/>
          <w:sz w:val="24"/>
          <w:szCs w:val="24"/>
        </w:rPr>
      </w:pPr>
      <w:r>
        <w:rPr>
          <w:rFonts w:ascii="Times New Roman" w:hAnsi="Times New Roman" w:cs="Times New Roman"/>
          <w:sz w:val="24"/>
          <w:szCs w:val="24"/>
        </w:rPr>
        <w:t>The above table shows the statistical mean values of the participant’s anthropometric indices.</w:t>
      </w:r>
    </w:p>
    <w:p w:rsidR="003069A1" w:rsidRDefault="003069A1">
      <w:pPr>
        <w:rPr>
          <w:rFonts w:ascii="Times New Roman" w:hAnsi="Times New Roman" w:cs="Times New Roman"/>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3069A1">
      <w:pPr>
        <w:rPr>
          <w:rFonts w:ascii="Times New Roman" w:hAnsi="Times New Roman" w:cs="Times New Roman"/>
          <w:b/>
          <w:sz w:val="24"/>
          <w:szCs w:val="24"/>
        </w:rPr>
      </w:pPr>
    </w:p>
    <w:p w:rsidR="003069A1" w:rsidRDefault="006037BE">
      <w:pPr>
        <w:rPr>
          <w:rFonts w:ascii="Times New Roman" w:hAnsi="Times New Roman" w:cs="Times New Roman"/>
          <w:b/>
          <w:sz w:val="24"/>
          <w:szCs w:val="24"/>
        </w:rPr>
      </w:pPr>
      <w:r>
        <w:rPr>
          <w:rFonts w:ascii="Times New Roman" w:hAnsi="Times New Roman" w:cs="Times New Roman"/>
          <w:b/>
          <w:sz w:val="24"/>
          <w:szCs w:val="24"/>
        </w:rPr>
        <w:t xml:space="preserve"> Table 7: Attitudes of Respondents toward use of Contraceptive Pills</w:t>
      </w:r>
    </w:p>
    <w:tbl>
      <w:tblPr>
        <w:tblStyle w:val="TableGrid"/>
        <w:tblW w:w="0" w:type="auto"/>
        <w:tblLook w:val="04A0" w:firstRow="1" w:lastRow="0" w:firstColumn="1" w:lastColumn="0" w:noHBand="0" w:noVBand="1"/>
      </w:tblPr>
      <w:tblGrid>
        <w:gridCol w:w="3192"/>
        <w:gridCol w:w="3183"/>
        <w:gridCol w:w="3201"/>
      </w:tblGrid>
      <w:tr w:rsidR="003069A1">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tabs>
                <w:tab w:val="left"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Variables</w:t>
            </w:r>
            <w:r>
              <w:rPr>
                <w:rFonts w:ascii="Times New Roman" w:hAnsi="Times New Roman" w:cs="Times New Roman"/>
                <w:b/>
                <w:sz w:val="24"/>
                <w:szCs w:val="24"/>
              </w:rPr>
              <w:tab/>
            </w:r>
          </w:p>
        </w:tc>
        <w:tc>
          <w:tcPr>
            <w:tcW w:w="3190"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 (n)</w:t>
            </w:r>
          </w:p>
        </w:tc>
        <w:tc>
          <w:tcPr>
            <w:tcW w:w="3191"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tabs>
                <w:tab w:val="center" w:pos="1489"/>
              </w:tabs>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p>
        </w:tc>
        <w:tc>
          <w:tcPr>
            <w:tcW w:w="31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132</w:t>
            </w:r>
          </w:p>
        </w:tc>
        <w:tc>
          <w:tcPr>
            <w:tcW w:w="3191"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48.89</w:t>
            </w:r>
          </w:p>
        </w:tc>
      </w:tr>
      <w:tr w:rsidR="003069A1">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No</w:t>
            </w:r>
          </w:p>
        </w:tc>
        <w:tc>
          <w:tcPr>
            <w:tcW w:w="31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138</w:t>
            </w:r>
          </w:p>
        </w:tc>
        <w:tc>
          <w:tcPr>
            <w:tcW w:w="3191"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51.11</w:t>
            </w:r>
          </w:p>
        </w:tc>
      </w:tr>
      <w:tr w:rsidR="003069A1">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Total</w:t>
            </w:r>
          </w:p>
        </w:tc>
        <w:tc>
          <w:tcPr>
            <w:tcW w:w="3190"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270</w:t>
            </w:r>
          </w:p>
        </w:tc>
        <w:tc>
          <w:tcPr>
            <w:tcW w:w="3191"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100</w:t>
            </w:r>
          </w:p>
        </w:tc>
      </w:tr>
      <w:tr w:rsidR="003069A1">
        <w:trPr>
          <w:trHeight w:val="585"/>
        </w:trPr>
        <w:tc>
          <w:tcPr>
            <w:tcW w:w="9576" w:type="dxa"/>
            <w:gridSpan w:val="3"/>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lastRenderedPageBreak/>
              <w:t xml:space="preserve">                                                   Ethnicity</w:t>
            </w:r>
          </w:p>
        </w:tc>
      </w:tr>
      <w:tr w:rsidR="003069A1">
        <w:trPr>
          <w:trHeight w:val="539"/>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tabs>
                <w:tab w:val="left" w:pos="1665"/>
              </w:tabs>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Variables</w:t>
            </w:r>
            <w:r>
              <w:rPr>
                <w:rFonts w:ascii="Times New Roman" w:hAnsi="Times New Roman" w:cs="Times New Roman"/>
                <w:b/>
                <w:sz w:val="24"/>
                <w:szCs w:val="24"/>
              </w:rPr>
              <w:tab/>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Frequency (n)</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b/>
                <w:sz w:val="24"/>
                <w:szCs w:val="24"/>
              </w:rPr>
            </w:pPr>
            <w:r>
              <w:rPr>
                <w:rFonts w:ascii="Times New Roman" w:hAnsi="Times New Roman" w:cs="Times New Roman"/>
                <w:b/>
                <w:sz w:val="24"/>
                <w:szCs w:val="24"/>
              </w:rPr>
              <w:t>Percentage (%)</w:t>
            </w:r>
          </w:p>
        </w:tc>
      </w:tr>
      <w:tr w:rsidR="003069A1">
        <w:trPr>
          <w:trHeight w:val="360"/>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tabs>
                <w:tab w:val="right" w:pos="2979"/>
              </w:tabs>
              <w:ind w:left="108"/>
              <w:rPr>
                <w:rFonts w:ascii="Times New Roman" w:hAnsi="Times New Roman" w:cs="Times New Roman"/>
                <w:sz w:val="24"/>
                <w:szCs w:val="24"/>
              </w:rPr>
            </w:pPr>
            <w:r>
              <w:rPr>
                <w:rFonts w:ascii="Times New Roman" w:hAnsi="Times New Roman" w:cs="Times New Roman"/>
                <w:sz w:val="24"/>
                <w:szCs w:val="24"/>
              </w:rPr>
              <w:t>Engene</w:t>
            </w:r>
            <w:r>
              <w:rPr>
                <w:rFonts w:ascii="Times New Roman" w:hAnsi="Times New Roman" w:cs="Times New Roman"/>
                <w:sz w:val="24"/>
                <w:szCs w:val="24"/>
              </w:rPr>
              <w:tab/>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166</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61.48</w:t>
            </w:r>
          </w:p>
        </w:tc>
      </w:tr>
      <w:tr w:rsidR="003069A1">
        <w:trPr>
          <w:trHeight w:val="562"/>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Ikwere</w:t>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26</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9.63</w:t>
            </w:r>
          </w:p>
        </w:tc>
      </w:tr>
      <w:tr w:rsidR="003069A1">
        <w:trPr>
          <w:trHeight w:val="495"/>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Igbo</w:t>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32</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ind w:left="108"/>
              <w:rPr>
                <w:rFonts w:ascii="Times New Roman" w:hAnsi="Times New Roman" w:cs="Times New Roman"/>
                <w:sz w:val="24"/>
                <w:szCs w:val="24"/>
              </w:rPr>
            </w:pPr>
            <w:r>
              <w:rPr>
                <w:rFonts w:ascii="Times New Roman" w:hAnsi="Times New Roman" w:cs="Times New Roman"/>
                <w:sz w:val="24"/>
                <w:szCs w:val="24"/>
              </w:rPr>
              <w:t>11.85</w:t>
            </w:r>
          </w:p>
        </w:tc>
      </w:tr>
      <w:tr w:rsidR="003069A1">
        <w:trPr>
          <w:trHeight w:val="563"/>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Others</w:t>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46</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sz w:val="24"/>
                <w:szCs w:val="24"/>
              </w:rPr>
            </w:pPr>
            <w:r>
              <w:rPr>
                <w:rFonts w:ascii="Times New Roman" w:hAnsi="Times New Roman" w:cs="Times New Roman"/>
                <w:sz w:val="24"/>
                <w:szCs w:val="24"/>
              </w:rPr>
              <w:t>17.04</w:t>
            </w:r>
          </w:p>
        </w:tc>
      </w:tr>
      <w:tr w:rsidR="003069A1">
        <w:trPr>
          <w:trHeight w:val="495"/>
        </w:trPr>
        <w:tc>
          <w:tcPr>
            <w:tcW w:w="3195" w:type="dxa"/>
            <w:tcBorders>
              <w:top w:val="single" w:sz="4" w:space="0" w:color="auto"/>
              <w:left w:val="single" w:sz="4" w:space="0" w:color="auto"/>
              <w:bottom w:val="single" w:sz="4" w:space="0" w:color="auto"/>
              <w:right w:val="single" w:sz="4" w:space="0" w:color="auto"/>
            </w:tcBorders>
            <w:hideMark/>
          </w:tcPr>
          <w:p w:rsidR="003069A1" w:rsidRDefault="006037BE">
            <w:pPr>
              <w:spacing w:after="200" w:line="276" w:lineRule="auto"/>
              <w:ind w:left="108"/>
              <w:rPr>
                <w:rFonts w:ascii="Times New Roman" w:hAnsi="Times New Roman" w:cs="Times New Roman"/>
                <w:b/>
                <w:sz w:val="24"/>
                <w:szCs w:val="24"/>
              </w:rPr>
            </w:pPr>
            <w:r>
              <w:rPr>
                <w:rFonts w:ascii="Times New Roman" w:hAnsi="Times New Roman" w:cs="Times New Roman"/>
                <w:b/>
                <w:sz w:val="24"/>
                <w:szCs w:val="24"/>
              </w:rPr>
              <w:t>Total</w:t>
            </w:r>
          </w:p>
        </w:tc>
        <w:tc>
          <w:tcPr>
            <w:tcW w:w="3173"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270</w:t>
            </w:r>
          </w:p>
        </w:tc>
        <w:tc>
          <w:tcPr>
            <w:tcW w:w="3208" w:type="dxa"/>
            <w:tcBorders>
              <w:top w:val="single" w:sz="4" w:space="0" w:color="auto"/>
              <w:left w:val="single" w:sz="4" w:space="0" w:color="auto"/>
              <w:bottom w:val="single" w:sz="4" w:space="0" w:color="auto"/>
              <w:right w:val="single" w:sz="4" w:space="0" w:color="auto"/>
            </w:tcBorders>
            <w:hideMark/>
          </w:tcPr>
          <w:p w:rsidR="003069A1" w:rsidRDefault="006037BE">
            <w:pPr>
              <w:rPr>
                <w:rFonts w:ascii="Times New Roman" w:hAnsi="Times New Roman" w:cs="Times New Roman"/>
                <w:b/>
                <w:sz w:val="24"/>
                <w:szCs w:val="24"/>
              </w:rPr>
            </w:pPr>
            <w:r>
              <w:rPr>
                <w:rFonts w:ascii="Times New Roman" w:hAnsi="Times New Roman" w:cs="Times New Roman"/>
                <w:b/>
                <w:sz w:val="24"/>
                <w:szCs w:val="24"/>
              </w:rPr>
              <w:t>100</w:t>
            </w:r>
          </w:p>
        </w:tc>
      </w:tr>
    </w:tbl>
    <w:p w:rsidR="003069A1" w:rsidRDefault="006037BE">
      <w:pPr>
        <w:tabs>
          <w:tab w:val="left" w:pos="6323"/>
        </w:tabs>
        <w:rPr>
          <w:rFonts w:ascii="Times New Roman" w:hAnsi="Times New Roman" w:cs="Times New Roman"/>
          <w:sz w:val="24"/>
          <w:szCs w:val="24"/>
        </w:rPr>
      </w:pPr>
      <w:r>
        <w:rPr>
          <w:rFonts w:ascii="Times New Roman" w:hAnsi="Times New Roman" w:cs="Times New Roman"/>
          <w:b/>
          <w:sz w:val="24"/>
          <w:szCs w:val="24"/>
        </w:rPr>
        <w:t>Field Survey (2025)</w:t>
      </w:r>
      <w:r>
        <w:rPr>
          <w:rFonts w:ascii="Times New Roman" w:hAnsi="Times New Roman" w:cs="Times New Roman"/>
          <w:b/>
          <w:sz w:val="24"/>
          <w:szCs w:val="24"/>
        </w:rPr>
        <w:tab/>
      </w:r>
    </w:p>
    <w:p w:rsidR="003069A1" w:rsidRDefault="006037BE">
      <w:pPr>
        <w:jc w:val="both"/>
        <w:rPr>
          <w:rFonts w:ascii="Times New Roman" w:hAnsi="Times New Roman" w:cs="Times New Roman"/>
          <w:sz w:val="24"/>
          <w:szCs w:val="24"/>
        </w:rPr>
      </w:pPr>
      <w:r>
        <w:rPr>
          <w:rFonts w:ascii="Times New Roman" w:hAnsi="Times New Roman" w:cs="Times New Roman"/>
          <w:sz w:val="24"/>
          <w:szCs w:val="24"/>
        </w:rPr>
        <w:t xml:space="preserve">The above table describes the conception of the respondents toward accepting the use of contraceptive methods of preventing pregnancy. The tables also describe the different ethnic groups involved in this study. </w:t>
      </w: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jc w:val="both"/>
        <w:rPr>
          <w:rFonts w:ascii="Times New Roman" w:hAnsi="Times New Roman" w:cs="Times New Roman"/>
          <w:sz w:val="24"/>
          <w:szCs w:val="24"/>
        </w:rPr>
      </w:pPr>
    </w:p>
    <w:p w:rsidR="003069A1" w:rsidRDefault="003069A1">
      <w:pPr>
        <w:pStyle w:val="NoSpacing"/>
        <w:spacing w:after="240" w:line="360" w:lineRule="auto"/>
        <w:jc w:val="both"/>
        <w:rPr>
          <w:rFonts w:ascii="Times New Roman" w:hAnsi="Times New Roman" w:cs="Times New Roman"/>
          <w:sz w:val="24"/>
          <w:szCs w:val="24"/>
        </w:rPr>
      </w:pPr>
    </w:p>
    <w:p w:rsidR="003069A1" w:rsidRDefault="003069A1">
      <w:pPr>
        <w:pStyle w:val="NoSpacing"/>
        <w:spacing w:after="240" w:line="360" w:lineRule="auto"/>
        <w:jc w:val="both"/>
        <w:rPr>
          <w:rFonts w:ascii="Times New Roman" w:hAnsi="Times New Roman" w:cs="Times New Roman"/>
          <w:sz w:val="24"/>
          <w:szCs w:val="24"/>
        </w:rPr>
      </w:pPr>
    </w:p>
    <w:p w:rsidR="003069A1" w:rsidRDefault="006037BE">
      <w:pPr>
        <w:pStyle w:val="NoSpacing"/>
        <w:spacing w:after="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Findings from this study </w:t>
      </w:r>
      <w:r w:rsidR="001643C4" w:rsidRPr="001643C4">
        <w:rPr>
          <w:rFonts w:ascii="Times New Roman" w:hAnsi="Times New Roman" w:cs="Times New Roman"/>
          <w:color w:val="00B050"/>
          <w:sz w:val="24"/>
          <w:szCs w:val="24"/>
        </w:rPr>
        <w:t>shows</w:t>
      </w:r>
      <w:r>
        <w:rPr>
          <w:rFonts w:ascii="Times New Roman" w:hAnsi="Times New Roman" w:cs="Times New Roman"/>
          <w:sz w:val="24"/>
          <w:szCs w:val="24"/>
        </w:rPr>
        <w:t xml:space="preserve"> age 25-30yrs as the highest frequency (106) and percentage (39.26%) </w:t>
      </w:r>
      <w:r w:rsidR="001643C4" w:rsidRPr="001643C4">
        <w:rPr>
          <w:rFonts w:ascii="Times New Roman" w:hAnsi="Times New Roman" w:cs="Times New Roman"/>
          <w:color w:val="00B050"/>
          <w:sz w:val="24"/>
          <w:szCs w:val="24"/>
        </w:rPr>
        <w:t>in relation to</w:t>
      </w:r>
      <w:r>
        <w:rPr>
          <w:rFonts w:ascii="Times New Roman" w:hAnsi="Times New Roman" w:cs="Times New Roman"/>
          <w:sz w:val="24"/>
          <w:szCs w:val="24"/>
        </w:rPr>
        <w:t>18-24yrs of (44</w:t>
      </w:r>
      <w:r w:rsidR="001643C4">
        <w:rPr>
          <w:rFonts w:ascii="Times New Roman" w:hAnsi="Times New Roman" w:cs="Times New Roman"/>
          <w:sz w:val="24"/>
          <w:szCs w:val="24"/>
        </w:rPr>
        <w:t>%</w:t>
      </w:r>
      <w:r>
        <w:rPr>
          <w:rFonts w:ascii="Times New Roman" w:hAnsi="Times New Roman" w:cs="Times New Roman"/>
          <w:sz w:val="24"/>
          <w:szCs w:val="24"/>
        </w:rPr>
        <w:t>) and (16.29</w:t>
      </w:r>
      <w:proofErr w:type="gramStart"/>
      <w:r>
        <w:rPr>
          <w:rFonts w:ascii="Times New Roman" w:hAnsi="Times New Roman" w:cs="Times New Roman"/>
          <w:sz w:val="24"/>
          <w:szCs w:val="24"/>
        </w:rPr>
        <w:t>%)  being</w:t>
      </w:r>
      <w:proofErr w:type="gramEnd"/>
      <w:r>
        <w:rPr>
          <w:rFonts w:ascii="Times New Roman" w:hAnsi="Times New Roman" w:cs="Times New Roman"/>
          <w:sz w:val="24"/>
          <w:szCs w:val="24"/>
        </w:rPr>
        <w:t xml:space="preserve"> the lowest in the study population.</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Education:</w:t>
      </w:r>
      <w:r>
        <w:rPr>
          <w:rFonts w:ascii="Times New Roman" w:hAnsi="Times New Roman" w:cs="Times New Roman"/>
          <w:sz w:val="24"/>
          <w:szCs w:val="24"/>
        </w:rPr>
        <w:t xml:space="preserve"> Respondents with tertiary level of education rank the highest percentage (45.93%), followed by secondary (41.85%), primary (11.85%) and none (0.74%) being the least among the entire population.</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t>Marital Status:</w:t>
      </w:r>
      <w:r>
        <w:rPr>
          <w:rFonts w:ascii="Times New Roman" w:hAnsi="Times New Roman" w:cs="Times New Roman"/>
          <w:sz w:val="24"/>
          <w:szCs w:val="24"/>
        </w:rPr>
        <w:t xml:space="preserve"> The study reveals a good percentage of married (74.08%) respondents followed by single mothers of (16.29%) compared with the least (1.4810) divorced. However, separation rate was 8.15% among women of child bearing age in Ahoada West LGA, Rivers State. Separation and divorce rate increase could be a factor of concern that triggers psychological imbalance and a cause leading to the development of high blood pressure among study the population (Ntoimo </w:t>
      </w:r>
      <w:r>
        <w:rPr>
          <w:rFonts w:ascii="Times New Roman" w:hAnsi="Times New Roman" w:cs="Times New Roman"/>
          <w:i/>
          <w:sz w:val="24"/>
          <w:szCs w:val="24"/>
        </w:rPr>
        <w:t>et al.,</w:t>
      </w:r>
      <w:r>
        <w:rPr>
          <w:rFonts w:ascii="Times New Roman" w:hAnsi="Times New Roman" w:cs="Times New Roman"/>
          <w:sz w:val="24"/>
          <w:szCs w:val="24"/>
        </w:rPr>
        <w:t xml:space="preserve"> 2014, 2019).</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t>Occupation:</w:t>
      </w:r>
      <w:r>
        <w:rPr>
          <w:rFonts w:ascii="Times New Roman" w:hAnsi="Times New Roman" w:cs="Times New Roman"/>
          <w:sz w:val="24"/>
          <w:szCs w:val="24"/>
        </w:rPr>
        <w:t xml:space="preserve"> Considerable number of the population were into business (32.39%), civil servants (28.89%) while house wives was (19.26%) and unemployed (14.82%) with students (4.44%) being the least among the respondents.</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t>Cardiovascular status:</w:t>
      </w:r>
      <w:r>
        <w:rPr>
          <w:rFonts w:ascii="Times New Roman" w:hAnsi="Times New Roman" w:cs="Times New Roman"/>
          <w:sz w:val="24"/>
          <w:szCs w:val="24"/>
        </w:rPr>
        <w:t xml:space="preserve"> normal blood pressure is assume to be &gt;120 over &gt;80mmHg according to (Solomon </w:t>
      </w:r>
      <w:r>
        <w:rPr>
          <w:rFonts w:ascii="Times New Roman" w:hAnsi="Times New Roman" w:cs="Times New Roman"/>
          <w:i/>
          <w:sz w:val="24"/>
          <w:szCs w:val="24"/>
        </w:rPr>
        <w:t>et al.,</w:t>
      </w:r>
      <w:r>
        <w:rPr>
          <w:rFonts w:ascii="Times New Roman" w:hAnsi="Times New Roman" w:cs="Times New Roman"/>
          <w:sz w:val="24"/>
          <w:szCs w:val="24"/>
        </w:rPr>
        <w:t xml:space="preserve"> 2021; WHO, </w:t>
      </w:r>
      <w:r w:rsidR="00E30D0E">
        <w:rPr>
          <w:rFonts w:ascii="Times New Roman" w:hAnsi="Times New Roman" w:cs="Times New Roman"/>
          <w:sz w:val="24"/>
          <w:szCs w:val="24"/>
        </w:rPr>
        <w:t>2022</w:t>
      </w:r>
      <w:r w:rsidR="00ED4BD2">
        <w:rPr>
          <w:rFonts w:ascii="Times New Roman" w:hAnsi="Times New Roman" w:cs="Times New Roman"/>
          <w:sz w:val="24"/>
          <w:szCs w:val="24"/>
        </w:rPr>
        <w:t>; 2023</w:t>
      </w:r>
      <w:r>
        <w:rPr>
          <w:rFonts w:ascii="Times New Roman" w:hAnsi="Times New Roman" w:cs="Times New Roman"/>
          <w:sz w:val="24"/>
          <w:szCs w:val="24"/>
        </w:rPr>
        <w:t xml:space="preserve">). This study reveals pre-hypertensive subjects of 40.37% and 15.19% among the respondents studied while 44.44% had normal blood pressure. </w:t>
      </w:r>
      <w:r w:rsidR="00E30D0E">
        <w:rPr>
          <w:rFonts w:ascii="Times New Roman" w:hAnsi="Times New Roman" w:cs="Times New Roman"/>
          <w:sz w:val="24"/>
          <w:szCs w:val="24"/>
        </w:rPr>
        <w:t>The analysis</w:t>
      </w:r>
      <w:r>
        <w:rPr>
          <w:rFonts w:ascii="Times New Roman" w:hAnsi="Times New Roman" w:cs="Times New Roman"/>
          <w:sz w:val="24"/>
          <w:szCs w:val="24"/>
        </w:rPr>
        <w:t xml:space="preserve"> also shows a significant increase in both systolic and diastolic pressures among age 18-24yrs to respondent’s above age 36yrs with the exception of age 18-24yrs. The study also observed a gradual decline in the pulse rate with increas</w:t>
      </w:r>
      <w:r w:rsidR="00E30D0E">
        <w:rPr>
          <w:rFonts w:ascii="Times New Roman" w:hAnsi="Times New Roman" w:cs="Times New Roman"/>
          <w:sz w:val="24"/>
          <w:szCs w:val="24"/>
        </w:rPr>
        <w:t>ing</w:t>
      </w:r>
      <w:r>
        <w:rPr>
          <w:rFonts w:ascii="Times New Roman" w:hAnsi="Times New Roman" w:cs="Times New Roman"/>
          <w:sz w:val="24"/>
          <w:szCs w:val="24"/>
        </w:rPr>
        <w:t xml:space="preserve"> age among the respondents. Heart rate decrease is marked with aging that reduce spontaneous generated electrical system from the SA-node of the heart pace maker (Eric </w:t>
      </w:r>
      <w:r>
        <w:rPr>
          <w:rFonts w:ascii="Times New Roman" w:hAnsi="Times New Roman" w:cs="Times New Roman"/>
          <w:i/>
          <w:sz w:val="24"/>
          <w:szCs w:val="24"/>
        </w:rPr>
        <w:t>et al.,</w:t>
      </w:r>
      <w:r>
        <w:rPr>
          <w:rFonts w:ascii="Times New Roman" w:hAnsi="Times New Roman" w:cs="Times New Roman"/>
          <w:sz w:val="24"/>
          <w:szCs w:val="24"/>
        </w:rPr>
        <w:t xml:space="preserve"> 2013) (Ovuakporaye </w:t>
      </w:r>
      <w:r>
        <w:rPr>
          <w:rFonts w:ascii="Times New Roman" w:hAnsi="Times New Roman" w:cs="Times New Roman"/>
          <w:i/>
          <w:sz w:val="24"/>
          <w:szCs w:val="24"/>
        </w:rPr>
        <w:t>et al., 2016, 2019;</w:t>
      </w:r>
      <w:r>
        <w:rPr>
          <w:rFonts w:ascii="Times New Roman" w:hAnsi="Times New Roman" w:cs="Times New Roman"/>
          <w:sz w:val="24"/>
          <w:szCs w:val="24"/>
        </w:rPr>
        <w:t xml:space="preserve"> Solomon </w:t>
      </w:r>
      <w:r>
        <w:rPr>
          <w:rFonts w:ascii="Times New Roman" w:hAnsi="Times New Roman" w:cs="Times New Roman"/>
          <w:i/>
          <w:sz w:val="24"/>
          <w:szCs w:val="24"/>
        </w:rPr>
        <w:t>et al;</w:t>
      </w:r>
      <w:r>
        <w:rPr>
          <w:rFonts w:ascii="Times New Roman" w:hAnsi="Times New Roman" w:cs="Times New Roman"/>
          <w:sz w:val="24"/>
          <w:szCs w:val="24"/>
        </w:rPr>
        <w:t xml:space="preserve"> 2021). Hence, the prevalence of hypertension in this study was 15.19%.</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b/>
          <w:sz w:val="24"/>
          <w:szCs w:val="24"/>
        </w:rPr>
        <w:t>Anthropometric indices:</w:t>
      </w:r>
      <w:r w:rsidR="00BD5887">
        <w:rPr>
          <w:rFonts w:ascii="Times New Roman" w:hAnsi="Times New Roman" w:cs="Times New Roman"/>
          <w:sz w:val="24"/>
          <w:szCs w:val="24"/>
        </w:rPr>
        <w:t xml:space="preserve"> </w:t>
      </w:r>
      <w:r w:rsidR="00295B27">
        <w:rPr>
          <w:rFonts w:ascii="Times New Roman" w:hAnsi="Times New Roman" w:cs="Times New Roman"/>
          <w:sz w:val="24"/>
          <w:szCs w:val="24"/>
        </w:rPr>
        <w:t>This study also reveals</w:t>
      </w:r>
      <w:r>
        <w:rPr>
          <w:rFonts w:ascii="Times New Roman" w:hAnsi="Times New Roman" w:cs="Times New Roman"/>
          <w:sz w:val="24"/>
          <w:szCs w:val="24"/>
        </w:rPr>
        <w:t xml:space="preserve"> a normal weight of 22.09%m</w:t>
      </w:r>
      <w:r w:rsidR="00ED4BD2">
        <w:rPr>
          <w:rFonts w:ascii="Times New Roman" w:hAnsi="Times New Roman" w:cs="Times New Roman"/>
          <w:sz w:val="24"/>
          <w:szCs w:val="24"/>
        </w:rPr>
        <w:t>²</w:t>
      </w:r>
      <w:r>
        <w:rPr>
          <w:rFonts w:ascii="Times New Roman" w:hAnsi="Times New Roman" w:cs="Times New Roman"/>
          <w:sz w:val="24"/>
          <w:szCs w:val="24"/>
        </w:rPr>
        <w:t xml:space="preserve"> and 23.16kg/m</w:t>
      </w:r>
      <w:r w:rsidR="007B4CDD">
        <w:rPr>
          <w:rFonts w:ascii="Times New Roman" w:hAnsi="Times New Roman" w:cs="Times New Roman"/>
          <w:sz w:val="24"/>
          <w:szCs w:val="24"/>
        </w:rPr>
        <w:t>²</w:t>
      </w:r>
      <w:r>
        <w:rPr>
          <w:rFonts w:ascii="Times New Roman" w:hAnsi="Times New Roman" w:cs="Times New Roman"/>
          <w:sz w:val="24"/>
          <w:szCs w:val="24"/>
        </w:rPr>
        <w:t xml:space="preserve"> among 18-24yrs and 31-35yrs respondents while age 25-30yrs and above 36yrs were overweight with regards to their statistical mean values.</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However, the underweight with regards to percentage was 5.93% while normal (44.44%), overweight (23.33%) and obese (26.29%) respectively.</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child bearing age women attitude toward contraceptives and smoking was (51.11%; 48.89%) and (94.81%; 5.19) No and Yes while with regards to family history of cardiovascular disease </w:t>
      </w:r>
      <w:r>
        <w:rPr>
          <w:rFonts w:ascii="Times New Roman" w:hAnsi="Times New Roman" w:cs="Times New Roman"/>
          <w:sz w:val="24"/>
          <w:szCs w:val="24"/>
        </w:rPr>
        <w:lastRenderedPageBreak/>
        <w:t>development was 91.11% No and 8.89% Yes affirmatively. However the study also observed 22.96% of respondents adding additional salt to their meal after tasting it before eating while 77.04% abstain from such practice.</w:t>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Regular consumption of alcohol among women of child bearing age in the study </w:t>
      </w:r>
      <w:r w:rsidR="007B4CDD">
        <w:rPr>
          <w:rFonts w:ascii="Times New Roman" w:hAnsi="Times New Roman" w:cs="Times New Roman"/>
          <w:sz w:val="24"/>
          <w:szCs w:val="24"/>
        </w:rPr>
        <w:t>population, it</w:t>
      </w:r>
      <w:r>
        <w:rPr>
          <w:rFonts w:ascii="Times New Roman" w:hAnsi="Times New Roman" w:cs="Times New Roman"/>
          <w:sz w:val="24"/>
          <w:szCs w:val="24"/>
        </w:rPr>
        <w:t xml:space="preserve"> was 11.11% </w:t>
      </w:r>
      <w:r w:rsidR="007B4CDD">
        <w:rPr>
          <w:rFonts w:ascii="Times New Roman" w:hAnsi="Times New Roman" w:cs="Times New Roman"/>
          <w:sz w:val="24"/>
          <w:szCs w:val="24"/>
        </w:rPr>
        <w:t>while</w:t>
      </w:r>
      <w:r>
        <w:rPr>
          <w:rFonts w:ascii="Times New Roman" w:hAnsi="Times New Roman" w:cs="Times New Roman"/>
          <w:sz w:val="24"/>
          <w:szCs w:val="24"/>
        </w:rPr>
        <w:t xml:space="preserve"> 88.89% that do not engage regularly.</w:t>
      </w:r>
    </w:p>
    <w:p w:rsidR="003069A1" w:rsidRDefault="006037BE">
      <w:pPr>
        <w:pStyle w:val="NoSpacing"/>
        <w:tabs>
          <w:tab w:val="left" w:pos="720"/>
          <w:tab w:val="left" w:pos="1440"/>
          <w:tab w:val="left" w:pos="2160"/>
          <w:tab w:val="left" w:pos="3152"/>
          <w:tab w:val="left" w:pos="3915"/>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CONCLUSION</w:t>
      </w:r>
      <w:r>
        <w:rPr>
          <w:rFonts w:ascii="Times New Roman" w:hAnsi="Times New Roman" w:cs="Times New Roman"/>
          <w:b/>
          <w:sz w:val="24"/>
          <w:szCs w:val="24"/>
        </w:rPr>
        <w:tab/>
      </w:r>
      <w:r>
        <w:rPr>
          <w:rFonts w:ascii="Times New Roman" w:hAnsi="Times New Roman" w:cs="Times New Roman"/>
          <w:b/>
          <w:sz w:val="24"/>
          <w:szCs w:val="24"/>
        </w:rPr>
        <w:tab/>
      </w:r>
    </w:p>
    <w:p w:rsidR="003069A1" w:rsidRDefault="006037BE">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percentage of respondents that are within the category of pre and hypertensive stage are enormous as revealed from this study which could be attributed to the greater percentage of obesity (26.29%) and overweight (23.33%) among the study population. The mean arterial pressure was higher among respondents above age 30yrs compared with younger age groups.</w:t>
      </w:r>
    </w:p>
    <w:p w:rsidR="00F12073" w:rsidRDefault="00AE666C">
      <w:pPr>
        <w:jc w:val="both"/>
        <w:rPr>
          <w:rFonts w:ascii="Times New Roman" w:hAnsi="Times New Roman" w:cs="Times New Roman"/>
          <w:sz w:val="24"/>
          <w:szCs w:val="24"/>
        </w:rPr>
      </w:pPr>
      <w:r w:rsidRPr="00AE666C">
        <w:rPr>
          <w:rFonts w:ascii="Times New Roman" w:hAnsi="Times New Roman" w:cs="Times New Roman"/>
          <w:b/>
          <w:sz w:val="24"/>
          <w:szCs w:val="24"/>
        </w:rPr>
        <w:t>Ethica</w:t>
      </w:r>
      <w:r>
        <w:rPr>
          <w:rFonts w:ascii="Times New Roman" w:hAnsi="Times New Roman" w:cs="Times New Roman"/>
          <w:b/>
          <w:sz w:val="24"/>
          <w:szCs w:val="24"/>
        </w:rPr>
        <w:t>l Approval</w:t>
      </w:r>
      <w:r w:rsidRPr="00AE666C">
        <w:rPr>
          <w:rFonts w:ascii="Times New Roman" w:hAnsi="Times New Roman" w:cs="Times New Roman"/>
          <w:b/>
          <w:sz w:val="24"/>
          <w:szCs w:val="24"/>
        </w:rPr>
        <w:t xml:space="preserve">: </w:t>
      </w:r>
      <w:r w:rsidRPr="00AE666C">
        <w:rPr>
          <w:rFonts w:ascii="Times New Roman" w:hAnsi="Times New Roman" w:cs="Times New Roman"/>
          <w:sz w:val="24"/>
          <w:szCs w:val="24"/>
        </w:rPr>
        <w:t>Ethical approval was obtained from the Ethics and Research Committee of the institution.</w:t>
      </w:r>
      <w:r w:rsidRPr="00AE666C">
        <w:rPr>
          <w:rFonts w:ascii="Times New Roman" w:hAnsi="Times New Roman" w:cs="Times New Roman"/>
          <w:sz w:val="24"/>
          <w:szCs w:val="24"/>
        </w:rPr>
        <w:tab/>
      </w:r>
    </w:p>
    <w:p w:rsidR="00AE666C" w:rsidRPr="00AE666C" w:rsidRDefault="00AE666C" w:rsidP="00AE666C">
      <w:pPr>
        <w:jc w:val="both"/>
        <w:rPr>
          <w:rFonts w:ascii="Times New Roman" w:hAnsi="Times New Roman" w:cs="Times New Roman"/>
          <w:b/>
          <w:sz w:val="24"/>
          <w:szCs w:val="24"/>
        </w:rPr>
      </w:pPr>
      <w:r w:rsidRPr="00AE666C">
        <w:rPr>
          <w:rFonts w:ascii="Times New Roman" w:hAnsi="Times New Roman" w:cs="Times New Roman"/>
          <w:b/>
          <w:sz w:val="24"/>
          <w:szCs w:val="24"/>
        </w:rPr>
        <w:t xml:space="preserve">Consent </w:t>
      </w:r>
    </w:p>
    <w:p w:rsidR="00AE666C" w:rsidRDefault="00AE666C" w:rsidP="00AE666C">
      <w:pPr>
        <w:jc w:val="both"/>
        <w:rPr>
          <w:rFonts w:ascii="Times New Roman" w:hAnsi="Times New Roman" w:cs="Times New Roman"/>
          <w:sz w:val="24"/>
          <w:szCs w:val="24"/>
        </w:rPr>
      </w:pPr>
      <w:r w:rsidRPr="00AE666C">
        <w:rPr>
          <w:rFonts w:ascii="Times New Roman" w:hAnsi="Times New Roman" w:cs="Times New Roman"/>
          <w:sz w:val="24"/>
          <w:szCs w:val="24"/>
        </w:rPr>
        <w:t>As per international standards or university standards, patient(s) written consent has been collected and preserved by the author(s).</w:t>
      </w:r>
    </w:p>
    <w:p w:rsidR="00F12073" w:rsidRPr="00AE666C" w:rsidRDefault="00F12073" w:rsidP="00F12073">
      <w:pPr>
        <w:rPr>
          <w:b/>
          <w:highlight w:val="yellow"/>
        </w:rPr>
      </w:pPr>
      <w:r w:rsidRPr="00AE666C">
        <w:rPr>
          <w:b/>
          <w:highlight w:val="yellow"/>
        </w:rPr>
        <w:t>Disclaimer (Artificial intelligence)</w:t>
      </w:r>
    </w:p>
    <w:p w:rsidR="00F12073" w:rsidRPr="00394842" w:rsidRDefault="00F12073" w:rsidP="00F12073">
      <w:pPr>
        <w:rPr>
          <w:highlight w:val="yellow"/>
        </w:rPr>
      </w:pPr>
    </w:p>
    <w:p w:rsidR="00F12073" w:rsidRPr="00394842" w:rsidRDefault="00F12073" w:rsidP="00F12073">
      <w:pPr>
        <w:rPr>
          <w:highlight w:val="yellow"/>
        </w:rPr>
      </w:pPr>
      <w:r w:rsidRPr="00394842">
        <w:rPr>
          <w:highlight w:val="yellow"/>
        </w:rPr>
        <w:t xml:space="preserve">Option 1: </w:t>
      </w:r>
    </w:p>
    <w:p w:rsidR="00F12073" w:rsidRPr="00394842" w:rsidRDefault="00F12073" w:rsidP="00F12073">
      <w:pPr>
        <w:rPr>
          <w:highlight w:val="yellow"/>
        </w:rPr>
      </w:pPr>
    </w:p>
    <w:p w:rsidR="00F12073" w:rsidRPr="00394842" w:rsidRDefault="00F12073" w:rsidP="00F12073">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rsidR="00F12073" w:rsidRPr="00394842" w:rsidRDefault="00F12073" w:rsidP="00F12073">
      <w:pPr>
        <w:rPr>
          <w:highlight w:val="yellow"/>
        </w:rPr>
      </w:pPr>
    </w:p>
    <w:p w:rsidR="00F12073" w:rsidRPr="00394842" w:rsidRDefault="00F12073" w:rsidP="00F12073">
      <w:pPr>
        <w:rPr>
          <w:highlight w:val="yellow"/>
        </w:rPr>
      </w:pPr>
      <w:r w:rsidRPr="00394842">
        <w:rPr>
          <w:highlight w:val="yellow"/>
        </w:rPr>
        <w:t xml:space="preserve">Option 2: </w:t>
      </w:r>
    </w:p>
    <w:p w:rsidR="00F12073" w:rsidRPr="00394842" w:rsidRDefault="00F12073" w:rsidP="00F12073">
      <w:pPr>
        <w:rPr>
          <w:highlight w:val="yellow"/>
        </w:rPr>
      </w:pPr>
    </w:p>
    <w:p w:rsidR="00F12073" w:rsidRPr="00394842" w:rsidRDefault="00F12073" w:rsidP="00F12073">
      <w:pPr>
        <w:rPr>
          <w:highlight w:val="yellow"/>
        </w:rPr>
      </w:pPr>
      <w:r w:rsidRPr="00394842">
        <w:rPr>
          <w:highlight w:val="yellow"/>
        </w:rPr>
        <w:t xml:space="preserve">Author(s) hereby declare that generative AI technologies such as Large Language Models, etc. have been used during the writing or editing of manuscripts. This explanation will include the name, version, </w:t>
      </w:r>
      <w:r w:rsidRPr="00394842">
        <w:rPr>
          <w:highlight w:val="yellow"/>
        </w:rPr>
        <w:lastRenderedPageBreak/>
        <w:t>model, and source of the generative AI technology and as well as all input prompts provided to the generative AI technology</w:t>
      </w:r>
    </w:p>
    <w:p w:rsidR="00F12073" w:rsidRPr="00394842" w:rsidRDefault="00F12073" w:rsidP="00F12073">
      <w:pPr>
        <w:rPr>
          <w:highlight w:val="yellow"/>
        </w:rPr>
      </w:pPr>
    </w:p>
    <w:p w:rsidR="00F12073" w:rsidRPr="00394842" w:rsidRDefault="00F12073" w:rsidP="00F12073">
      <w:pPr>
        <w:rPr>
          <w:highlight w:val="yellow"/>
        </w:rPr>
      </w:pPr>
      <w:r w:rsidRPr="00394842">
        <w:rPr>
          <w:highlight w:val="yellow"/>
        </w:rPr>
        <w:t>Details of the AI usage are given below:</w:t>
      </w:r>
    </w:p>
    <w:p w:rsidR="00F12073" w:rsidRPr="00394842" w:rsidRDefault="00F12073" w:rsidP="00F12073">
      <w:pPr>
        <w:rPr>
          <w:highlight w:val="yellow"/>
        </w:rPr>
      </w:pPr>
      <w:r w:rsidRPr="00394842">
        <w:rPr>
          <w:highlight w:val="yellow"/>
        </w:rPr>
        <w:t>1.</w:t>
      </w:r>
    </w:p>
    <w:p w:rsidR="00F12073" w:rsidRPr="00394842" w:rsidRDefault="00F12073" w:rsidP="00F12073">
      <w:pPr>
        <w:rPr>
          <w:highlight w:val="yellow"/>
        </w:rPr>
      </w:pPr>
      <w:r w:rsidRPr="00394842">
        <w:rPr>
          <w:highlight w:val="yellow"/>
        </w:rPr>
        <w:t>2.</w:t>
      </w:r>
    </w:p>
    <w:p w:rsidR="00F12073" w:rsidRPr="00165217" w:rsidRDefault="00F12073" w:rsidP="00F12073">
      <w:r w:rsidRPr="00394842">
        <w:rPr>
          <w:highlight w:val="yellow"/>
        </w:rPr>
        <w:t>3.</w:t>
      </w:r>
    </w:p>
    <w:p w:rsidR="003069A1" w:rsidRDefault="006037BE">
      <w:pPr>
        <w:jc w:val="both"/>
        <w:rPr>
          <w:rFonts w:ascii="Times New Roman" w:hAnsi="Times New Roman" w:cs="Times New Roman"/>
          <w:sz w:val="24"/>
          <w:szCs w:val="24"/>
        </w:rPr>
      </w:pPr>
      <w:r>
        <w:rPr>
          <w:rFonts w:ascii="Times New Roman" w:hAnsi="Times New Roman" w:cs="Times New Roman"/>
          <w:sz w:val="24"/>
          <w:szCs w:val="24"/>
        </w:rPr>
        <w:t xml:space="preserve">                       </w:t>
      </w:r>
    </w:p>
    <w:p w:rsidR="003069A1" w:rsidRDefault="006037BE">
      <w:pPr>
        <w:jc w:val="both"/>
        <w:rPr>
          <w:rFonts w:ascii="Times New Roman" w:hAnsi="Times New Roman" w:cs="Times New Roman"/>
          <w:sz w:val="24"/>
          <w:szCs w:val="24"/>
        </w:rPr>
      </w:pPr>
      <w:r>
        <w:rPr>
          <w:rFonts w:ascii="Times New Roman" w:hAnsi="Times New Roman" w:cs="Times New Roman"/>
          <w:sz w:val="24"/>
          <w:szCs w:val="24"/>
        </w:rPr>
        <w:t xml:space="preserve">                                      REFERENCES</w:t>
      </w:r>
    </w:p>
    <w:p w:rsidR="003069A1" w:rsidRDefault="006037BE">
      <w:pPr>
        <w:ind w:left="630" w:hanging="630"/>
        <w:jc w:val="both"/>
        <w:rPr>
          <w:rFonts w:ascii="Times New Roman" w:hAnsi="Times New Roman"/>
          <w:color w:val="000000"/>
          <w:sz w:val="24"/>
          <w:szCs w:val="24"/>
          <w:shd w:val="clear" w:color="auto" w:fill="FFFFFF"/>
        </w:rPr>
      </w:pPr>
      <w:proofErr w:type="spellStart"/>
      <w:r>
        <w:rPr>
          <w:rStyle w:val="text"/>
          <w:rFonts w:ascii="Times New Roman" w:hAnsi="Times New Roman"/>
          <w:color w:val="000000"/>
          <w:sz w:val="24"/>
          <w:szCs w:val="24"/>
        </w:rPr>
        <w:t>Akinbule</w:t>
      </w:r>
      <w:proofErr w:type="spellEnd"/>
      <w:r>
        <w:rPr>
          <w:rFonts w:ascii="Times New Roman" w:hAnsi="Times New Roman"/>
          <w:color w:val="000000"/>
          <w:sz w:val="24"/>
          <w:szCs w:val="24"/>
        </w:rPr>
        <w:t>, O.O., </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Okekhian</w:t>
      </w:r>
      <w:proofErr w:type="spellEnd"/>
      <w:r>
        <w:rPr>
          <w:rFonts w:ascii="Times New Roman" w:hAnsi="Times New Roman"/>
          <w:color w:val="000000"/>
          <w:sz w:val="24"/>
          <w:szCs w:val="24"/>
        </w:rPr>
        <w:t>, </w:t>
      </w:r>
      <w:r>
        <w:rPr>
          <w:rStyle w:val="given-name"/>
          <w:rFonts w:ascii="Times New Roman" w:hAnsi="Times New Roman"/>
          <w:color w:val="000000"/>
          <w:sz w:val="24"/>
          <w:szCs w:val="24"/>
        </w:rPr>
        <w:t>K L.,</w:t>
      </w:r>
      <w:r>
        <w:rPr>
          <w:rStyle w:val="text"/>
          <w:rFonts w:ascii="Times New Roman" w:hAnsi="Times New Roman"/>
          <w:color w:val="000000"/>
          <w:sz w:val="24"/>
          <w:szCs w:val="24"/>
        </w:rPr>
        <w:t xml:space="preserve"> </w:t>
      </w:r>
      <w:proofErr w:type="spellStart"/>
      <w:r>
        <w:rPr>
          <w:rStyle w:val="text"/>
          <w:rFonts w:ascii="Times New Roman" w:hAnsi="Times New Roman"/>
          <w:color w:val="000000"/>
          <w:sz w:val="24"/>
          <w:szCs w:val="24"/>
        </w:rPr>
        <w:t>Omidiran</w:t>
      </w:r>
      <w:proofErr w:type="spellEnd"/>
      <w:r>
        <w:rPr>
          <w:rFonts w:ascii="Times New Roman" w:hAnsi="Times New Roman"/>
          <w:color w:val="000000"/>
          <w:sz w:val="24"/>
          <w:szCs w:val="24"/>
        </w:rPr>
        <w:t>, </w:t>
      </w:r>
      <w:r>
        <w:rPr>
          <w:rStyle w:val="given-name"/>
          <w:rFonts w:ascii="Times New Roman" w:hAnsi="Times New Roman"/>
          <w:color w:val="000000"/>
          <w:sz w:val="24"/>
          <w:szCs w:val="24"/>
        </w:rPr>
        <w:t>A.T.,</w:t>
      </w:r>
      <w:r>
        <w:rPr>
          <w:rStyle w:val="react-xocs-alternative-link"/>
          <w:rFonts w:ascii="Times New Roman" w:hAnsi="Times New Roman"/>
          <w:color w:val="000000"/>
          <w:sz w:val="24"/>
          <w:szCs w:val="24"/>
        </w:rPr>
        <w:t> </w:t>
      </w:r>
      <w:r>
        <w:rPr>
          <w:rStyle w:val="given-name"/>
          <w:rFonts w:ascii="Times New Roman" w:hAnsi="Times New Roman"/>
          <w:color w:val="000000"/>
          <w:sz w:val="24"/>
          <w:szCs w:val="24"/>
        </w:rPr>
        <w:t xml:space="preserve"> </w:t>
      </w:r>
      <w:proofErr w:type="spellStart"/>
      <w:r>
        <w:rPr>
          <w:rStyle w:val="text"/>
          <w:rFonts w:ascii="Times New Roman" w:hAnsi="Times New Roman"/>
          <w:color w:val="000000"/>
          <w:sz w:val="24"/>
          <w:szCs w:val="24"/>
        </w:rPr>
        <w:t>Adenusi</w:t>
      </w:r>
      <w:proofErr w:type="spellEnd"/>
      <w:r>
        <w:rPr>
          <w:rFonts w:ascii="Times New Roman" w:hAnsi="Times New Roman"/>
          <w:color w:val="000000"/>
          <w:sz w:val="24"/>
          <w:szCs w:val="24"/>
        </w:rPr>
        <w:t>, </w:t>
      </w:r>
      <w:r>
        <w:rPr>
          <w:rStyle w:val="given-name"/>
          <w:rFonts w:ascii="Times New Roman" w:hAnsi="Times New Roman"/>
          <w:color w:val="000000"/>
          <w:sz w:val="24"/>
          <w:szCs w:val="24"/>
        </w:rPr>
        <w:t>S.A.,</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Lasabi</w:t>
      </w:r>
      <w:proofErr w:type="spellEnd"/>
      <w:r>
        <w:rPr>
          <w:rFonts w:ascii="Times New Roman" w:hAnsi="Times New Roman"/>
          <w:color w:val="000000"/>
          <w:sz w:val="24"/>
          <w:szCs w:val="24"/>
        </w:rPr>
        <w:t>, </w:t>
      </w:r>
      <w:r>
        <w:rPr>
          <w:rStyle w:val="given-name"/>
          <w:rFonts w:ascii="Times New Roman" w:hAnsi="Times New Roman"/>
          <w:color w:val="000000"/>
          <w:sz w:val="24"/>
          <w:szCs w:val="24"/>
        </w:rPr>
        <w:t>O.T., &amp;</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Oladoyinbo</w:t>
      </w:r>
      <w:proofErr w:type="spellEnd"/>
      <w:r>
        <w:rPr>
          <w:rStyle w:val="text"/>
          <w:rFonts w:ascii="Times New Roman" w:hAnsi="Times New Roman"/>
          <w:color w:val="000000"/>
          <w:sz w:val="24"/>
          <w:szCs w:val="24"/>
        </w:rPr>
        <w:t>,</w:t>
      </w:r>
      <w:r>
        <w:rPr>
          <w:rStyle w:val="given-name"/>
          <w:rFonts w:ascii="Times New Roman" w:hAnsi="Times New Roman"/>
          <w:color w:val="000000"/>
          <w:sz w:val="24"/>
          <w:szCs w:val="24"/>
        </w:rPr>
        <w:t xml:space="preserve"> C.A.,</w:t>
      </w:r>
      <w:r>
        <w:rPr>
          <w:rStyle w:val="react-xocs-alternative-link"/>
          <w:rFonts w:ascii="Times New Roman" w:hAnsi="Times New Roman"/>
          <w:color w:val="000000"/>
          <w:sz w:val="24"/>
          <w:szCs w:val="24"/>
        </w:rPr>
        <w:t xml:space="preserve"> (2022).</w:t>
      </w:r>
      <w:r>
        <w:rPr>
          <w:rStyle w:val="title-text"/>
          <w:rFonts w:ascii="Times New Roman" w:hAnsi="Times New Roman"/>
          <w:color w:val="000000"/>
          <w:sz w:val="24"/>
          <w:szCs w:val="24"/>
        </w:rPr>
        <w:t xml:space="preserve"> Factors associated with hypertension in women of child-bearing age in Abeokuta journal of </w:t>
      </w:r>
      <w:hyperlink r:id="rId10" w:tooltip="Go to Human Nutrition &amp; Metabolism on ScienceDirect" w:history="1">
        <w:r>
          <w:rPr>
            <w:rStyle w:val="anchor-text"/>
            <w:rFonts w:ascii="Times New Roman" w:hAnsi="Times New Roman"/>
            <w:color w:val="000000"/>
            <w:sz w:val="24"/>
            <w:szCs w:val="24"/>
          </w:rPr>
          <w:t>Human Nutrition &amp; Metabolism</w:t>
        </w:r>
      </w:hyperlink>
      <w:r>
        <w:rPr>
          <w:rFonts w:ascii="Times New Roman" w:hAnsi="Times New Roman"/>
          <w:color w:val="000000"/>
          <w:sz w:val="24"/>
          <w:szCs w:val="24"/>
        </w:rPr>
        <w:t xml:space="preserve">. 30(1). 129. </w:t>
      </w:r>
      <w:hyperlink r:id="rId11" w:tgtFrame="_blank" w:tooltip="Persistent link using digital object identifier" w:history="1">
        <w:r>
          <w:rPr>
            <w:rStyle w:val="anchor-text"/>
            <w:rFonts w:ascii="Times New Roman" w:hAnsi="Times New Roman"/>
            <w:color w:val="000000"/>
            <w:sz w:val="24"/>
            <w:szCs w:val="24"/>
          </w:rPr>
          <w:t>https://doi.org/10.1016/j.hnm.2022.200160</w:t>
        </w:r>
      </w:hyperlink>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Aune</w:t>
      </w:r>
      <w:proofErr w:type="spellEnd"/>
      <w:r>
        <w:rPr>
          <w:rFonts w:ascii="Times New Roman" w:hAnsi="Times New Roman"/>
          <w:color w:val="000000"/>
          <w:sz w:val="24"/>
          <w:szCs w:val="24"/>
          <w:shd w:val="clear" w:color="auto" w:fill="FFFFFF"/>
        </w:rPr>
        <w:t xml:space="preserve">, D., Sen, A., Prasad, M., </w:t>
      </w:r>
      <w:proofErr w:type="spellStart"/>
      <w:r>
        <w:rPr>
          <w:rFonts w:ascii="Times New Roman" w:hAnsi="Times New Roman"/>
          <w:color w:val="000000"/>
          <w:sz w:val="24"/>
          <w:szCs w:val="24"/>
          <w:shd w:val="clear" w:color="auto" w:fill="FFFFFF"/>
        </w:rPr>
        <w:t>Norat</w:t>
      </w:r>
      <w:proofErr w:type="spellEnd"/>
      <w:r>
        <w:rPr>
          <w:rFonts w:ascii="Times New Roman" w:hAnsi="Times New Roman"/>
          <w:color w:val="000000"/>
          <w:sz w:val="24"/>
          <w:szCs w:val="24"/>
          <w:shd w:val="clear" w:color="auto" w:fill="FFFFFF"/>
        </w:rPr>
        <w:t xml:space="preserve">, T., </w:t>
      </w:r>
      <w:proofErr w:type="spellStart"/>
      <w:r>
        <w:rPr>
          <w:rFonts w:ascii="Times New Roman" w:hAnsi="Times New Roman"/>
          <w:color w:val="000000"/>
          <w:sz w:val="24"/>
          <w:szCs w:val="24"/>
          <w:shd w:val="clear" w:color="auto" w:fill="FFFFFF"/>
        </w:rPr>
        <w:t>Janszky</w:t>
      </w:r>
      <w:proofErr w:type="spellEnd"/>
      <w:r>
        <w:rPr>
          <w:rFonts w:ascii="Times New Roman" w:hAnsi="Times New Roman"/>
          <w:color w:val="000000"/>
          <w:sz w:val="24"/>
          <w:szCs w:val="24"/>
          <w:shd w:val="clear" w:color="auto" w:fill="FFFFFF"/>
        </w:rPr>
        <w:t xml:space="preserve">, I., </w:t>
      </w:r>
      <w:proofErr w:type="spellStart"/>
      <w:r>
        <w:rPr>
          <w:rFonts w:ascii="Times New Roman" w:hAnsi="Times New Roman"/>
          <w:color w:val="000000"/>
          <w:sz w:val="24"/>
          <w:szCs w:val="24"/>
          <w:shd w:val="clear" w:color="auto" w:fill="FFFFFF"/>
        </w:rPr>
        <w:t>Tonstad</w:t>
      </w:r>
      <w:proofErr w:type="spellEnd"/>
      <w:r>
        <w:rPr>
          <w:rFonts w:ascii="Times New Roman" w:hAnsi="Times New Roman"/>
          <w:color w:val="000000"/>
          <w:sz w:val="24"/>
          <w:szCs w:val="24"/>
          <w:shd w:val="clear" w:color="auto" w:fill="FFFFFF"/>
        </w:rPr>
        <w:t xml:space="preserve">, S., </w:t>
      </w:r>
      <w:proofErr w:type="spellStart"/>
      <w:r>
        <w:rPr>
          <w:rFonts w:ascii="Times New Roman" w:hAnsi="Times New Roman"/>
          <w:color w:val="000000"/>
          <w:sz w:val="24"/>
          <w:szCs w:val="24"/>
          <w:shd w:val="clear" w:color="auto" w:fill="FFFFFF"/>
        </w:rPr>
        <w:t>Romundstad</w:t>
      </w:r>
      <w:proofErr w:type="spellEnd"/>
      <w:r>
        <w:rPr>
          <w:rFonts w:ascii="Times New Roman" w:hAnsi="Times New Roman"/>
          <w:color w:val="000000"/>
          <w:sz w:val="24"/>
          <w:szCs w:val="24"/>
          <w:shd w:val="clear" w:color="auto" w:fill="FFFFFF"/>
        </w:rPr>
        <w:t xml:space="preserve">, P., &amp; </w:t>
      </w:r>
      <w:proofErr w:type="spellStart"/>
      <w:r>
        <w:rPr>
          <w:rFonts w:ascii="Times New Roman" w:hAnsi="Times New Roman"/>
          <w:color w:val="000000"/>
          <w:sz w:val="24"/>
          <w:szCs w:val="24"/>
          <w:shd w:val="clear" w:color="auto" w:fill="FFFFFF"/>
        </w:rPr>
        <w:t>Vatten</w:t>
      </w:r>
      <w:proofErr w:type="spellEnd"/>
      <w:r>
        <w:rPr>
          <w:rFonts w:ascii="Times New Roman" w:hAnsi="Times New Roman"/>
          <w:color w:val="000000"/>
          <w:sz w:val="24"/>
          <w:szCs w:val="24"/>
          <w:shd w:val="clear" w:color="auto" w:fill="FFFFFF"/>
        </w:rPr>
        <w:t>, L.J., (2016). BMI and all-cause mortality: systematic review and non</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linear dose</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response meta</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analysis of 230 cohort studies with 3.74 million deaths among 30.3 million participants. </w:t>
      </w:r>
      <w:r>
        <w:rPr>
          <w:rStyle w:val="Emphasis"/>
          <w:rFonts w:ascii="Times New Roman" w:hAnsi="Times New Roman"/>
          <w:color w:val="000000"/>
          <w:sz w:val="24"/>
          <w:szCs w:val="24"/>
          <w:shd w:val="clear" w:color="auto" w:fill="FFFFFF"/>
        </w:rPr>
        <w:t>Biomedical care journal of pregnancy and child birth.</w:t>
      </w:r>
      <w:r>
        <w:rPr>
          <w:rFonts w:ascii="Times New Roman" w:hAnsi="Times New Roman"/>
          <w:color w:val="000000"/>
          <w:sz w:val="24"/>
          <w:szCs w:val="24"/>
          <w:shd w:val="clear" w:color="auto" w:fill="FFFFFF"/>
        </w:rPr>
        <w:t>;</w:t>
      </w:r>
      <w:proofErr w:type="gramStart"/>
      <w:r>
        <w:rPr>
          <w:rFonts w:ascii="Times New Roman" w:hAnsi="Times New Roman"/>
          <w:color w:val="000000"/>
          <w:sz w:val="24"/>
          <w:szCs w:val="24"/>
          <w:shd w:val="clear" w:color="auto" w:fill="FFFFFF"/>
        </w:rPr>
        <w:t>353:i</w:t>
      </w:r>
      <w:proofErr w:type="gramEnd"/>
      <w:r>
        <w:rPr>
          <w:rFonts w:ascii="Times New Roman" w:hAnsi="Times New Roman"/>
          <w:color w:val="000000"/>
          <w:sz w:val="24"/>
          <w:szCs w:val="24"/>
          <w:shd w:val="clear" w:color="auto" w:fill="FFFFFF"/>
        </w:rPr>
        <w:t>2156.</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Baber, U., Mehran, R., Sartori, S, </w:t>
      </w:r>
      <w:proofErr w:type="spellStart"/>
      <w:r>
        <w:rPr>
          <w:rFonts w:ascii="Times New Roman" w:hAnsi="Times New Roman"/>
          <w:color w:val="000000"/>
          <w:sz w:val="24"/>
          <w:szCs w:val="24"/>
          <w:shd w:val="clear" w:color="auto" w:fill="FFFFFF"/>
        </w:rPr>
        <w:t>Schoos</w:t>
      </w:r>
      <w:proofErr w:type="spellEnd"/>
      <w:r>
        <w:rPr>
          <w:rFonts w:ascii="Times New Roman" w:hAnsi="Times New Roman"/>
          <w:color w:val="000000"/>
          <w:sz w:val="24"/>
          <w:szCs w:val="24"/>
          <w:shd w:val="clear" w:color="auto" w:fill="FFFFFF"/>
        </w:rPr>
        <w:t xml:space="preserve"> MM, </w:t>
      </w:r>
      <w:proofErr w:type="spellStart"/>
      <w:r>
        <w:rPr>
          <w:rFonts w:ascii="Times New Roman" w:hAnsi="Times New Roman"/>
          <w:color w:val="000000"/>
          <w:sz w:val="24"/>
          <w:szCs w:val="24"/>
          <w:shd w:val="clear" w:color="auto" w:fill="FFFFFF"/>
        </w:rPr>
        <w:t>Sillesen</w:t>
      </w:r>
      <w:proofErr w:type="spellEnd"/>
      <w:r>
        <w:rPr>
          <w:rFonts w:ascii="Times New Roman" w:hAnsi="Times New Roman"/>
          <w:color w:val="000000"/>
          <w:sz w:val="24"/>
          <w:szCs w:val="24"/>
          <w:shd w:val="clear" w:color="auto" w:fill="FFFFFF"/>
        </w:rPr>
        <w:t xml:space="preserve"> H, </w:t>
      </w:r>
      <w:proofErr w:type="spellStart"/>
      <w:r>
        <w:rPr>
          <w:rFonts w:ascii="Times New Roman" w:hAnsi="Times New Roman"/>
          <w:color w:val="000000"/>
          <w:sz w:val="24"/>
          <w:szCs w:val="24"/>
          <w:shd w:val="clear" w:color="auto" w:fill="FFFFFF"/>
        </w:rPr>
        <w:t>Muntendam</w:t>
      </w:r>
      <w:proofErr w:type="spellEnd"/>
      <w:r>
        <w:rPr>
          <w:rFonts w:ascii="Times New Roman" w:hAnsi="Times New Roman"/>
          <w:color w:val="000000"/>
          <w:sz w:val="24"/>
          <w:szCs w:val="24"/>
          <w:shd w:val="clear" w:color="auto" w:fill="FFFFFF"/>
        </w:rPr>
        <w:t xml:space="preserve"> P, Garcia MJ, Gregson J, Pocock S, Falk E, (2015). Prevalence, impact, and predictive value of detecting subclinical coronary and carotid atherosclerosis in asymptomatic adults: the </w:t>
      </w:r>
      <w:proofErr w:type="spellStart"/>
      <w:r>
        <w:rPr>
          <w:rFonts w:ascii="Times New Roman" w:hAnsi="Times New Roman"/>
          <w:color w:val="000000"/>
          <w:sz w:val="24"/>
          <w:szCs w:val="24"/>
          <w:shd w:val="clear" w:color="auto" w:fill="FFFFFF"/>
        </w:rPr>
        <w:t>BioImage</w:t>
      </w:r>
      <w:proofErr w:type="spellEnd"/>
      <w:r>
        <w:rPr>
          <w:rFonts w:ascii="Times New Roman" w:hAnsi="Times New Roman"/>
          <w:color w:val="000000"/>
          <w:sz w:val="24"/>
          <w:szCs w:val="24"/>
          <w:shd w:val="clear" w:color="auto" w:fill="FFFFFF"/>
        </w:rPr>
        <w:t xml:space="preserve"> study. </w:t>
      </w:r>
      <w:r>
        <w:rPr>
          <w:rStyle w:val="Emphasis"/>
          <w:rFonts w:ascii="Times New Roman" w:hAnsi="Times New Roman"/>
          <w:color w:val="000000"/>
          <w:sz w:val="24"/>
          <w:szCs w:val="24"/>
          <w:shd w:val="clear" w:color="auto" w:fill="FFFFFF"/>
        </w:rPr>
        <w:t>Journal of American College of Cardiol</w:t>
      </w:r>
      <w:r>
        <w:rPr>
          <w:rFonts w:ascii="Times New Roman" w:hAnsi="Times New Roman"/>
          <w:color w:val="000000"/>
          <w:sz w:val="24"/>
          <w:szCs w:val="24"/>
          <w:shd w:val="clear" w:color="auto" w:fill="FFFFFF"/>
        </w:rPr>
        <w:t>ogy. 6(5):1065–1074.</w:t>
      </w:r>
    </w:p>
    <w:p w:rsidR="003069A1" w:rsidRDefault="006037BE">
      <w:pPr>
        <w:ind w:left="630" w:hanging="630"/>
        <w:jc w:val="both"/>
        <w:rPr>
          <w:rFonts w:ascii="Times New Roman" w:eastAsia="Times New Roman" w:hAnsi="Times New Roman"/>
          <w:sz w:val="24"/>
          <w:szCs w:val="24"/>
        </w:rPr>
      </w:pPr>
      <w:r>
        <w:rPr>
          <w:rFonts w:ascii="Times New Roman" w:eastAsia="Times New Roman" w:hAnsi="Times New Roman"/>
          <w:sz w:val="24"/>
          <w:szCs w:val="24"/>
        </w:rPr>
        <w:t>Bhandari, S.</w:t>
      </w:r>
      <w:proofErr w:type="gramStart"/>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Sayami</w:t>
      </w:r>
      <w:proofErr w:type="spellEnd"/>
      <w:proofErr w:type="gramEnd"/>
      <w:r>
        <w:rPr>
          <w:rFonts w:ascii="Times New Roman" w:eastAsia="Times New Roman" w:hAnsi="Times New Roman"/>
          <w:sz w:val="24"/>
          <w:szCs w:val="24"/>
        </w:rPr>
        <w:t>, J.T.   Thapa, P., </w:t>
      </w:r>
      <w:proofErr w:type="spellStart"/>
      <w:proofErr w:type="gramStart"/>
      <w:r>
        <w:rPr>
          <w:rFonts w:ascii="Times New Roman" w:eastAsia="Times New Roman" w:hAnsi="Times New Roman"/>
          <w:sz w:val="24"/>
          <w:szCs w:val="24"/>
        </w:rPr>
        <w:t>Sayami</w:t>
      </w:r>
      <w:proofErr w:type="spellEnd"/>
      <w:r>
        <w:rPr>
          <w:rFonts w:ascii="Times New Roman" w:eastAsia="Times New Roman" w:hAnsi="Times New Roman"/>
          <w:sz w:val="24"/>
          <w:szCs w:val="24"/>
        </w:rPr>
        <w:t>,  M.</w:t>
      </w:r>
      <w:proofErr w:type="gramEnd"/>
      <w:r>
        <w:rPr>
          <w:rFonts w:ascii="Times New Roman" w:eastAsia="Times New Roman" w:hAnsi="Times New Roman"/>
          <w:sz w:val="24"/>
          <w:szCs w:val="24"/>
        </w:rPr>
        <w:t xml:space="preserve">, Kandel, B.P., &amp; Banjara, M.R., (2016). Dietary intake patterns and nutritional status of women of reproductive age in Nepal: findings from a health survey. </w:t>
      </w:r>
      <w:r>
        <w:rPr>
          <w:rFonts w:ascii="Times New Roman" w:eastAsia="Times New Roman" w:hAnsi="Times New Roman"/>
          <w:i/>
          <w:sz w:val="24"/>
          <w:szCs w:val="24"/>
        </w:rPr>
        <w:t xml:space="preserve">Journal of </w:t>
      </w:r>
      <w:proofErr w:type="spellStart"/>
      <w:r>
        <w:rPr>
          <w:rFonts w:ascii="Times New Roman" w:eastAsia="Times New Roman" w:hAnsi="Times New Roman"/>
          <w:i/>
          <w:sz w:val="24"/>
          <w:szCs w:val="24"/>
        </w:rPr>
        <w:t>belgian</w:t>
      </w:r>
      <w:proofErr w:type="spellEnd"/>
      <w:r>
        <w:rPr>
          <w:rFonts w:ascii="Times New Roman" w:eastAsia="Times New Roman" w:hAnsi="Times New Roman"/>
          <w:i/>
          <w:sz w:val="24"/>
          <w:szCs w:val="24"/>
        </w:rPr>
        <w:t xml:space="preserve"> public health association</w:t>
      </w:r>
      <w:r>
        <w:rPr>
          <w:rFonts w:ascii="Times New Roman" w:eastAsia="Times New Roman" w:hAnsi="Times New Roman"/>
          <w:sz w:val="24"/>
          <w:szCs w:val="24"/>
        </w:rPr>
        <w:t>, 74 (2) (2016), pp. 2-11</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Burke, M., Heft-Neal, S., &amp; </w:t>
      </w:r>
      <w:proofErr w:type="spellStart"/>
      <w:r>
        <w:rPr>
          <w:rFonts w:ascii="Times New Roman" w:hAnsi="Times New Roman"/>
          <w:color w:val="000000"/>
          <w:sz w:val="24"/>
          <w:szCs w:val="24"/>
          <w:shd w:val="clear" w:color="auto" w:fill="FFFFFF"/>
        </w:rPr>
        <w:t>Bendavid</w:t>
      </w:r>
      <w:proofErr w:type="spellEnd"/>
      <w:r>
        <w:rPr>
          <w:rFonts w:ascii="Times New Roman" w:hAnsi="Times New Roman"/>
          <w:color w:val="000000"/>
          <w:sz w:val="24"/>
          <w:szCs w:val="24"/>
          <w:shd w:val="clear" w:color="auto" w:fill="FFFFFF"/>
        </w:rPr>
        <w:t xml:space="preserve">, E., (2016). Sources of variation in under-5 mortality across </w:t>
      </w:r>
      <w:proofErr w:type="spellStart"/>
      <w:r>
        <w:rPr>
          <w:rFonts w:ascii="Times New Roman" w:hAnsi="Times New Roman"/>
          <w:color w:val="000000"/>
          <w:sz w:val="24"/>
          <w:szCs w:val="24"/>
          <w:shd w:val="clear" w:color="auto" w:fill="FFFFFF"/>
        </w:rPr>
        <w:t>Sub-saharan</w:t>
      </w:r>
      <w:proofErr w:type="spellEnd"/>
      <w:r>
        <w:rPr>
          <w:rFonts w:ascii="Times New Roman" w:hAnsi="Times New Roman"/>
          <w:color w:val="000000"/>
          <w:sz w:val="24"/>
          <w:szCs w:val="24"/>
          <w:shd w:val="clear" w:color="auto" w:fill="FFFFFF"/>
        </w:rPr>
        <w:t xml:space="preserve"> Africa: A spatial analysis. </w:t>
      </w:r>
      <w:r>
        <w:rPr>
          <w:rFonts w:ascii="Times New Roman" w:hAnsi="Times New Roman"/>
          <w:i/>
          <w:color w:val="000000"/>
          <w:sz w:val="24"/>
          <w:szCs w:val="24"/>
          <w:shd w:val="clear" w:color="auto" w:fill="FFFFFF"/>
        </w:rPr>
        <w:t>Lancet global health.</w:t>
      </w:r>
      <w:r>
        <w:rPr>
          <w:rFonts w:ascii="Times New Roman" w:hAnsi="Times New Roman"/>
          <w:color w:val="000000"/>
          <w:sz w:val="24"/>
          <w:szCs w:val="24"/>
          <w:shd w:val="clear" w:color="auto" w:fill="FFFFFF"/>
        </w:rPr>
        <w:t xml:space="preserve"> 4(12):e936–45.</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Cesare, M.D., Bhatti, Z., </w:t>
      </w:r>
      <w:proofErr w:type="spellStart"/>
      <w:r>
        <w:rPr>
          <w:rFonts w:ascii="Times New Roman" w:hAnsi="Times New Roman"/>
          <w:color w:val="000000"/>
          <w:sz w:val="24"/>
          <w:szCs w:val="24"/>
          <w:shd w:val="clear" w:color="auto" w:fill="FFFFFF"/>
        </w:rPr>
        <w:t>Soofi</w:t>
      </w:r>
      <w:proofErr w:type="spellEnd"/>
      <w:r>
        <w:rPr>
          <w:rFonts w:ascii="Times New Roman" w:hAnsi="Times New Roman"/>
          <w:color w:val="000000"/>
          <w:sz w:val="24"/>
          <w:szCs w:val="24"/>
          <w:shd w:val="clear" w:color="auto" w:fill="FFFFFF"/>
        </w:rPr>
        <w:t xml:space="preserve">, S.B., Fortunato, L., </w:t>
      </w:r>
      <w:proofErr w:type="spellStart"/>
      <w:r>
        <w:rPr>
          <w:rFonts w:ascii="Times New Roman" w:hAnsi="Times New Roman"/>
          <w:color w:val="000000"/>
          <w:sz w:val="24"/>
          <w:szCs w:val="24"/>
          <w:shd w:val="clear" w:color="auto" w:fill="FFFFFF"/>
        </w:rPr>
        <w:t>Ezzati</w:t>
      </w:r>
      <w:proofErr w:type="spellEnd"/>
      <w:r>
        <w:rPr>
          <w:rFonts w:ascii="Times New Roman" w:hAnsi="Times New Roman"/>
          <w:color w:val="000000"/>
          <w:sz w:val="24"/>
          <w:szCs w:val="24"/>
          <w:shd w:val="clear" w:color="auto" w:fill="FFFFFF"/>
        </w:rPr>
        <w:t xml:space="preserve">, M., &amp; </w:t>
      </w:r>
      <w:proofErr w:type="spellStart"/>
      <w:r>
        <w:rPr>
          <w:rFonts w:ascii="Times New Roman" w:hAnsi="Times New Roman"/>
          <w:color w:val="000000"/>
          <w:sz w:val="24"/>
          <w:szCs w:val="24"/>
          <w:shd w:val="clear" w:color="auto" w:fill="FFFFFF"/>
        </w:rPr>
        <w:t>Bhutta</w:t>
      </w:r>
      <w:proofErr w:type="spellEnd"/>
      <w:r>
        <w:rPr>
          <w:rFonts w:ascii="Times New Roman" w:hAnsi="Times New Roman"/>
          <w:color w:val="000000"/>
          <w:sz w:val="24"/>
          <w:szCs w:val="24"/>
          <w:shd w:val="clear" w:color="auto" w:fill="FFFFFF"/>
        </w:rPr>
        <w:t xml:space="preserve">, Z.A., (2015). Geographical and socioeconomic inequalities in women and children’s nutritional status in Pakistan in 2011: an analysis of data from a nationally representative survey. </w:t>
      </w:r>
      <w:r>
        <w:rPr>
          <w:rFonts w:ascii="Times New Roman" w:hAnsi="Times New Roman"/>
          <w:i/>
          <w:color w:val="000000"/>
          <w:sz w:val="24"/>
          <w:szCs w:val="24"/>
          <w:shd w:val="clear" w:color="auto" w:fill="FFFFFF"/>
        </w:rPr>
        <w:t>Lancet global health.</w:t>
      </w:r>
      <w:r>
        <w:rPr>
          <w:rFonts w:ascii="Times New Roman" w:hAnsi="Times New Roman"/>
          <w:color w:val="000000"/>
          <w:sz w:val="24"/>
          <w:szCs w:val="24"/>
          <w:shd w:val="clear" w:color="auto" w:fill="FFFFFF"/>
        </w:rPr>
        <w:t xml:space="preserve"> 2015;3(4</w:t>
      </w:r>
      <w:proofErr w:type="gramStart"/>
      <w:r>
        <w:rPr>
          <w:rFonts w:ascii="Times New Roman" w:hAnsi="Times New Roman"/>
          <w:color w:val="000000"/>
          <w:sz w:val="24"/>
          <w:szCs w:val="24"/>
          <w:shd w:val="clear" w:color="auto" w:fill="FFFFFF"/>
        </w:rPr>
        <w:t>):e</w:t>
      </w:r>
      <w:proofErr w:type="gramEnd"/>
      <w:r>
        <w:rPr>
          <w:rFonts w:ascii="Times New Roman" w:hAnsi="Times New Roman"/>
          <w:color w:val="000000"/>
          <w:sz w:val="24"/>
          <w:szCs w:val="24"/>
          <w:shd w:val="clear" w:color="auto" w:fill="FFFFFF"/>
        </w:rPr>
        <w:t>229–39.</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lastRenderedPageBreak/>
        <w:t>Corsi</w:t>
      </w:r>
      <w:proofErr w:type="spellEnd"/>
      <w:r>
        <w:rPr>
          <w:rFonts w:ascii="Times New Roman" w:hAnsi="Times New Roman"/>
          <w:color w:val="000000"/>
          <w:sz w:val="24"/>
          <w:szCs w:val="24"/>
          <w:shd w:val="clear" w:color="auto" w:fill="FFFFFF"/>
        </w:rPr>
        <w:t xml:space="preserve">, D.J., Mejia-Guevara, I., &amp; Subramanian, S.V., (2015). Risk factors for chronic undernutrition among children in India: Estimating relative importance, population attributable risk and fractions. </w:t>
      </w:r>
      <w:r>
        <w:rPr>
          <w:rFonts w:ascii="Times New Roman" w:hAnsi="Times New Roman"/>
          <w:i/>
          <w:color w:val="000000"/>
          <w:sz w:val="24"/>
          <w:szCs w:val="24"/>
          <w:shd w:val="clear" w:color="auto" w:fill="FFFFFF"/>
        </w:rPr>
        <w:t>Social science &amp; medical.</w:t>
      </w:r>
      <w:r>
        <w:rPr>
          <w:rFonts w:ascii="Times New Roman" w:hAnsi="Times New Roman"/>
          <w:color w:val="000000"/>
          <w:sz w:val="24"/>
          <w:szCs w:val="24"/>
          <w:shd w:val="clear" w:color="auto" w:fill="FFFFFF"/>
        </w:rPr>
        <w:t xml:space="preserve"> 15 (7):165–85.</w:t>
      </w:r>
    </w:p>
    <w:p w:rsidR="003069A1" w:rsidRDefault="006037BE">
      <w:pPr>
        <w:pStyle w:val="NoSpacing"/>
        <w:spacing w:line="480" w:lineRule="auto"/>
        <w:ind w:left="720" w:hanging="720"/>
        <w:jc w:val="both"/>
        <w:rPr>
          <w:rFonts w:ascii="Times New Roman" w:hAnsi="Times New Roman"/>
          <w:sz w:val="24"/>
          <w:szCs w:val="24"/>
        </w:rPr>
      </w:pPr>
      <w:r>
        <w:rPr>
          <w:rFonts w:ascii="Times New Roman" w:hAnsi="Times New Roman"/>
          <w:sz w:val="24"/>
          <w:szCs w:val="24"/>
        </w:rPr>
        <w:t xml:space="preserve">Eric </w:t>
      </w:r>
      <w:proofErr w:type="spellStart"/>
      <w:r>
        <w:rPr>
          <w:rFonts w:ascii="Times New Roman" w:hAnsi="Times New Roman"/>
          <w:sz w:val="24"/>
          <w:szCs w:val="24"/>
        </w:rPr>
        <w:t>DL,Joshua</w:t>
      </w:r>
      <w:proofErr w:type="spellEnd"/>
      <w:r>
        <w:rPr>
          <w:rFonts w:ascii="Times New Roman" w:hAnsi="Times New Roman"/>
          <w:sz w:val="24"/>
          <w:szCs w:val="24"/>
        </w:rPr>
        <w:t xml:space="preserve"> R, Chair Whitney AS, Roger AB, Catherine </w:t>
      </w:r>
      <w:proofErr w:type="spellStart"/>
      <w:r>
        <w:rPr>
          <w:rFonts w:ascii="Times New Roman" w:hAnsi="Times New Roman"/>
          <w:sz w:val="24"/>
          <w:szCs w:val="24"/>
        </w:rPr>
        <w:t>Proeza</w:t>
      </w:r>
      <w:proofErr w:type="spellEnd"/>
      <w:r>
        <w:rPr>
          <w:rFonts w:ascii="Times New Roman" w:hAnsi="Times New Roman"/>
          <w:sz w:val="24"/>
          <w:szCs w:val="24"/>
        </w:rPr>
        <w:t xml:space="preserve"> (2013).Depressed pacemaker activities of </w:t>
      </w:r>
      <w:proofErr w:type="spellStart"/>
      <w:r>
        <w:rPr>
          <w:rFonts w:ascii="Times New Roman" w:hAnsi="Times New Roman"/>
          <w:sz w:val="24"/>
          <w:szCs w:val="24"/>
        </w:rPr>
        <w:t>sino-aterial</w:t>
      </w:r>
      <w:proofErr w:type="spellEnd"/>
      <w:r>
        <w:rPr>
          <w:rFonts w:ascii="Times New Roman" w:hAnsi="Times New Roman"/>
          <w:sz w:val="24"/>
          <w:szCs w:val="24"/>
        </w:rPr>
        <w:t xml:space="preserve"> node myocytes contribute to age dependent decline in maximum heart rate. Proceedings of the National Academy of Sciences of the United State of America (PNAS).</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Fryar CD, Gu Q, Ogden CL, &amp; </w:t>
      </w:r>
      <w:proofErr w:type="spellStart"/>
      <w:r>
        <w:rPr>
          <w:rFonts w:ascii="Times New Roman" w:hAnsi="Times New Roman"/>
          <w:color w:val="000000"/>
          <w:sz w:val="24"/>
          <w:szCs w:val="24"/>
          <w:shd w:val="clear" w:color="auto" w:fill="FFFFFF"/>
        </w:rPr>
        <w:t>Flegal</w:t>
      </w:r>
      <w:proofErr w:type="spellEnd"/>
      <w:r>
        <w:rPr>
          <w:rFonts w:ascii="Times New Roman" w:hAnsi="Times New Roman"/>
          <w:color w:val="000000"/>
          <w:sz w:val="24"/>
          <w:szCs w:val="24"/>
          <w:shd w:val="clear" w:color="auto" w:fill="FFFFFF"/>
        </w:rPr>
        <w:t xml:space="preserve"> KM., (2016). Anthropometric Reference Data for Children and Adults: United States, 2011-2014. </w:t>
      </w:r>
      <w:r>
        <w:rPr>
          <w:rStyle w:val="ref-journal"/>
          <w:rFonts w:ascii="Times New Roman" w:hAnsi="Times New Roman"/>
          <w:i/>
          <w:color w:val="000000"/>
          <w:sz w:val="24"/>
          <w:szCs w:val="24"/>
          <w:shd w:val="clear" w:color="auto" w:fill="FFFFFF"/>
        </w:rPr>
        <w:t>Vital health statistics 3 analysis studies.</w:t>
      </w:r>
      <w:r>
        <w:rPr>
          <w:rStyle w:val="ref-journal"/>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 3(9):1-46.</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Gao J.W., You, S., Liu, Z.Y., Hao Q.Y., Wang, J.F., Vuitton, D.A., Zhang, S.L., &amp; Liu, P.M., (2022). Different metabolic phenotypes of obesity and risk of coronary artery calcium progression and incident cardiovascular disease events: the CARDIA study. </w:t>
      </w:r>
      <w:proofErr w:type="spellStart"/>
      <w:r>
        <w:rPr>
          <w:rStyle w:val="Emphasis"/>
          <w:rFonts w:ascii="Times New Roman" w:hAnsi="Times New Roman"/>
          <w:color w:val="000000"/>
          <w:sz w:val="24"/>
          <w:szCs w:val="24"/>
          <w:shd w:val="clear" w:color="auto" w:fill="FFFFFF"/>
        </w:rPr>
        <w:t>Arterioscler</w:t>
      </w:r>
      <w:proofErr w:type="spellEnd"/>
      <w:r>
        <w:rPr>
          <w:rStyle w:val="Emphasis"/>
          <w:rFonts w:ascii="Times New Roman" w:hAnsi="Times New Roman"/>
          <w:color w:val="000000"/>
          <w:sz w:val="24"/>
          <w:szCs w:val="24"/>
          <w:shd w:val="clear" w:color="auto" w:fill="FFFFFF"/>
        </w:rPr>
        <w:t xml:space="preserve"> </w:t>
      </w:r>
      <w:proofErr w:type="spellStart"/>
      <w:r>
        <w:rPr>
          <w:rStyle w:val="Emphasis"/>
          <w:rFonts w:ascii="Times New Roman" w:hAnsi="Times New Roman"/>
          <w:color w:val="000000"/>
          <w:sz w:val="24"/>
          <w:szCs w:val="24"/>
          <w:shd w:val="clear" w:color="auto" w:fill="FFFFFF"/>
        </w:rPr>
        <w:t>Thromb</w:t>
      </w:r>
      <w:proofErr w:type="spellEnd"/>
      <w:r>
        <w:rPr>
          <w:rStyle w:val="Emphasis"/>
          <w:rFonts w:ascii="Times New Roman" w:hAnsi="Times New Roman"/>
          <w:color w:val="000000"/>
          <w:sz w:val="24"/>
          <w:szCs w:val="24"/>
          <w:shd w:val="clear" w:color="auto" w:fill="FFFFFF"/>
        </w:rPr>
        <w:t xml:space="preserve"> </w:t>
      </w:r>
      <w:proofErr w:type="spellStart"/>
      <w:r>
        <w:rPr>
          <w:rStyle w:val="Emphasis"/>
          <w:rFonts w:ascii="Times New Roman" w:hAnsi="Times New Roman"/>
          <w:color w:val="000000"/>
          <w:sz w:val="24"/>
          <w:szCs w:val="24"/>
          <w:shd w:val="clear" w:color="auto" w:fill="FFFFFF"/>
        </w:rPr>
        <w:t>Vasc</w:t>
      </w:r>
      <w:proofErr w:type="spellEnd"/>
      <w:r>
        <w:rPr>
          <w:rStyle w:val="Emphasis"/>
          <w:rFonts w:ascii="Times New Roman" w:hAnsi="Times New Roman"/>
          <w:color w:val="000000"/>
          <w:sz w:val="24"/>
          <w:szCs w:val="24"/>
          <w:shd w:val="clear" w:color="auto" w:fill="FFFFFF"/>
        </w:rPr>
        <w:t xml:space="preserve"> Biol</w:t>
      </w:r>
      <w:r>
        <w:rPr>
          <w:rFonts w:ascii="Times New Roman" w:hAnsi="Times New Roman"/>
          <w:color w:val="000000"/>
          <w:sz w:val="24"/>
          <w:szCs w:val="24"/>
          <w:shd w:val="clear" w:color="auto" w:fill="FFFFFF"/>
        </w:rPr>
        <w:t>. 4(2):677–688.</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Gavriilidou</w:t>
      </w:r>
      <w:proofErr w:type="spellEnd"/>
      <w:r>
        <w:rPr>
          <w:rFonts w:ascii="Times New Roman" w:hAnsi="Times New Roman"/>
          <w:color w:val="000000"/>
          <w:sz w:val="24"/>
          <w:szCs w:val="24"/>
          <w:shd w:val="clear" w:color="auto" w:fill="FFFFFF"/>
        </w:rPr>
        <w:t xml:space="preserve">, N.N, </w:t>
      </w:r>
      <w:proofErr w:type="spellStart"/>
      <w:r>
        <w:rPr>
          <w:rFonts w:ascii="Times New Roman" w:hAnsi="Times New Roman"/>
          <w:color w:val="000000"/>
          <w:sz w:val="24"/>
          <w:szCs w:val="24"/>
          <w:shd w:val="clear" w:color="auto" w:fill="FFFFFF"/>
        </w:rPr>
        <w:t>Pihlsgård</w:t>
      </w:r>
      <w:proofErr w:type="spellEnd"/>
      <w:r>
        <w:rPr>
          <w:rFonts w:ascii="Times New Roman" w:hAnsi="Times New Roman"/>
          <w:color w:val="000000"/>
          <w:sz w:val="24"/>
          <w:szCs w:val="24"/>
          <w:shd w:val="clear" w:color="auto" w:fill="FFFFFF"/>
        </w:rPr>
        <w:t xml:space="preserve">, M., &amp; </w:t>
      </w:r>
      <w:proofErr w:type="spellStart"/>
      <w:r>
        <w:rPr>
          <w:rFonts w:ascii="Times New Roman" w:hAnsi="Times New Roman"/>
          <w:color w:val="000000"/>
          <w:sz w:val="24"/>
          <w:szCs w:val="24"/>
          <w:shd w:val="clear" w:color="auto" w:fill="FFFFFF"/>
        </w:rPr>
        <w:t>Elmståhl</w:t>
      </w:r>
      <w:proofErr w:type="spellEnd"/>
      <w:r>
        <w:rPr>
          <w:rFonts w:ascii="Times New Roman" w:hAnsi="Times New Roman"/>
          <w:color w:val="000000"/>
          <w:sz w:val="24"/>
          <w:szCs w:val="24"/>
          <w:shd w:val="clear" w:color="auto" w:fill="FFFFFF"/>
        </w:rPr>
        <w:t>, S., (2015). Anthropometric reference data for elderly Swedes and its disease-related pattern. </w:t>
      </w:r>
      <w:r>
        <w:rPr>
          <w:rStyle w:val="ref-journal"/>
          <w:rFonts w:ascii="Times New Roman" w:hAnsi="Times New Roman"/>
          <w:i/>
          <w:color w:val="000000"/>
          <w:sz w:val="24"/>
          <w:szCs w:val="24"/>
          <w:shd w:val="clear" w:color="auto" w:fill="FFFFFF"/>
        </w:rPr>
        <w:t>European journal clinical nutrition</w:t>
      </w:r>
      <w:r>
        <w:rPr>
          <w:rStyle w:val="ref-journal"/>
          <w:rFonts w:ascii="Times New Roman" w:hAnsi="Times New Roman"/>
          <w:color w:val="000000"/>
          <w:sz w:val="24"/>
          <w:szCs w:val="24"/>
          <w:shd w:val="clear" w:color="auto" w:fill="FFFFFF"/>
        </w:rPr>
        <w:t>. </w:t>
      </w:r>
      <w:r>
        <w:rPr>
          <w:rStyle w:val="ref-vol"/>
          <w:rFonts w:ascii="Times New Roman" w:hAnsi="Times New Roman"/>
          <w:color w:val="000000"/>
          <w:sz w:val="24"/>
          <w:szCs w:val="24"/>
          <w:shd w:val="clear" w:color="auto" w:fill="FFFFFF"/>
        </w:rPr>
        <w:t xml:space="preserve"> 69</w:t>
      </w:r>
      <w:r>
        <w:rPr>
          <w:rFonts w:ascii="Times New Roman" w:hAnsi="Times New Roman"/>
          <w:color w:val="000000"/>
          <w:sz w:val="24"/>
          <w:szCs w:val="24"/>
          <w:shd w:val="clear" w:color="auto" w:fill="FFFFFF"/>
        </w:rPr>
        <w:t>(9):1066-75.</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Grandhi</w:t>
      </w:r>
      <w:proofErr w:type="spellEnd"/>
      <w:r>
        <w:rPr>
          <w:rFonts w:ascii="Times New Roman" w:hAnsi="Times New Roman"/>
          <w:color w:val="000000"/>
          <w:sz w:val="24"/>
          <w:szCs w:val="24"/>
          <w:shd w:val="clear" w:color="auto" w:fill="FFFFFF"/>
        </w:rPr>
        <w:t xml:space="preserve">, G.R., </w:t>
      </w:r>
      <w:proofErr w:type="spellStart"/>
      <w:r>
        <w:rPr>
          <w:rFonts w:ascii="Times New Roman" w:hAnsi="Times New Roman"/>
          <w:color w:val="000000"/>
          <w:sz w:val="24"/>
          <w:szCs w:val="24"/>
          <w:shd w:val="clear" w:color="auto" w:fill="FFFFFF"/>
        </w:rPr>
        <w:t>Mirbolouk</w:t>
      </w:r>
      <w:proofErr w:type="spellEnd"/>
      <w:r>
        <w:rPr>
          <w:rFonts w:ascii="Times New Roman" w:hAnsi="Times New Roman"/>
          <w:color w:val="000000"/>
          <w:sz w:val="24"/>
          <w:szCs w:val="24"/>
          <w:shd w:val="clear" w:color="auto" w:fill="FFFFFF"/>
        </w:rPr>
        <w:t xml:space="preserve">, M., </w:t>
      </w:r>
      <w:proofErr w:type="spellStart"/>
      <w:r>
        <w:rPr>
          <w:rFonts w:ascii="Times New Roman" w:hAnsi="Times New Roman"/>
          <w:color w:val="000000"/>
          <w:sz w:val="24"/>
          <w:szCs w:val="24"/>
          <w:shd w:val="clear" w:color="auto" w:fill="FFFFFF"/>
        </w:rPr>
        <w:t>Dardari</w:t>
      </w:r>
      <w:proofErr w:type="spellEnd"/>
      <w:r>
        <w:rPr>
          <w:rFonts w:ascii="Times New Roman" w:hAnsi="Times New Roman"/>
          <w:color w:val="000000"/>
          <w:sz w:val="24"/>
          <w:szCs w:val="24"/>
          <w:shd w:val="clear" w:color="auto" w:fill="FFFFFF"/>
        </w:rPr>
        <w:t>, Z.A., Al</w:t>
      </w:r>
      <w:r>
        <w:rPr>
          <w:rFonts w:ascii="Cambria Math" w:hAnsi="Cambria Math"/>
          <w:color w:val="000000"/>
          <w:sz w:val="24"/>
          <w:szCs w:val="24"/>
          <w:shd w:val="clear" w:color="auto" w:fill="FFFFFF"/>
        </w:rPr>
        <w:t>‐</w:t>
      </w:r>
      <w:proofErr w:type="spellStart"/>
      <w:r>
        <w:rPr>
          <w:rFonts w:ascii="Times New Roman" w:hAnsi="Times New Roman"/>
          <w:color w:val="000000"/>
          <w:sz w:val="24"/>
          <w:szCs w:val="24"/>
          <w:shd w:val="clear" w:color="auto" w:fill="FFFFFF"/>
        </w:rPr>
        <w:t>Mallah</w:t>
      </w:r>
      <w:proofErr w:type="spellEnd"/>
      <w:r>
        <w:rPr>
          <w:rFonts w:ascii="Times New Roman" w:hAnsi="Times New Roman"/>
          <w:color w:val="000000"/>
          <w:sz w:val="24"/>
          <w:szCs w:val="24"/>
          <w:shd w:val="clear" w:color="auto" w:fill="FFFFFF"/>
        </w:rPr>
        <w:t xml:space="preserve">, M.H., </w:t>
      </w:r>
      <w:proofErr w:type="spellStart"/>
      <w:r>
        <w:rPr>
          <w:rFonts w:ascii="Times New Roman" w:hAnsi="Times New Roman"/>
          <w:color w:val="000000"/>
          <w:sz w:val="24"/>
          <w:szCs w:val="24"/>
          <w:shd w:val="clear" w:color="auto" w:fill="FFFFFF"/>
        </w:rPr>
        <w:t>Rumberger</w:t>
      </w:r>
      <w:proofErr w:type="spellEnd"/>
      <w:r>
        <w:rPr>
          <w:rFonts w:ascii="Times New Roman" w:hAnsi="Times New Roman"/>
          <w:color w:val="000000"/>
          <w:sz w:val="24"/>
          <w:szCs w:val="24"/>
          <w:shd w:val="clear" w:color="auto" w:fill="FFFFFF"/>
        </w:rPr>
        <w:t xml:space="preserve">, J.A., Shaw, L.J., </w:t>
      </w:r>
      <w:proofErr w:type="spellStart"/>
      <w:r>
        <w:rPr>
          <w:rFonts w:ascii="Times New Roman" w:hAnsi="Times New Roman"/>
          <w:color w:val="000000"/>
          <w:sz w:val="24"/>
          <w:szCs w:val="24"/>
          <w:shd w:val="clear" w:color="auto" w:fill="FFFFFF"/>
        </w:rPr>
        <w:t>Blankstein</w:t>
      </w:r>
      <w:proofErr w:type="spellEnd"/>
      <w:r>
        <w:rPr>
          <w:rFonts w:ascii="Times New Roman" w:hAnsi="Times New Roman"/>
          <w:color w:val="000000"/>
          <w:sz w:val="24"/>
          <w:szCs w:val="24"/>
          <w:shd w:val="clear" w:color="auto" w:fill="FFFFFF"/>
        </w:rPr>
        <w:t xml:space="preserve">, R., </w:t>
      </w:r>
      <w:proofErr w:type="spellStart"/>
      <w:r>
        <w:rPr>
          <w:rFonts w:ascii="Times New Roman" w:hAnsi="Times New Roman"/>
          <w:color w:val="000000"/>
          <w:sz w:val="24"/>
          <w:szCs w:val="24"/>
          <w:shd w:val="clear" w:color="auto" w:fill="FFFFFF"/>
        </w:rPr>
        <w:t>Miedema</w:t>
      </w:r>
      <w:proofErr w:type="spellEnd"/>
      <w:r>
        <w:rPr>
          <w:rFonts w:ascii="Times New Roman" w:hAnsi="Times New Roman"/>
          <w:color w:val="000000"/>
          <w:sz w:val="24"/>
          <w:szCs w:val="24"/>
          <w:shd w:val="clear" w:color="auto" w:fill="FFFFFF"/>
        </w:rPr>
        <w:t xml:space="preserve">, M.D., Berman, D.S., &amp; </w:t>
      </w:r>
      <w:proofErr w:type="spellStart"/>
      <w:r>
        <w:rPr>
          <w:rFonts w:ascii="Times New Roman" w:hAnsi="Times New Roman"/>
          <w:color w:val="000000"/>
          <w:sz w:val="24"/>
          <w:szCs w:val="24"/>
          <w:shd w:val="clear" w:color="auto" w:fill="FFFFFF"/>
        </w:rPr>
        <w:t>Budoff</w:t>
      </w:r>
      <w:proofErr w:type="spellEnd"/>
      <w:r>
        <w:rPr>
          <w:rFonts w:ascii="Times New Roman" w:hAnsi="Times New Roman"/>
          <w:color w:val="000000"/>
          <w:sz w:val="24"/>
          <w:szCs w:val="24"/>
          <w:shd w:val="clear" w:color="auto" w:fill="FFFFFF"/>
        </w:rPr>
        <w:t>, M.J., (2020). Interplay of coronary artery calcium and risk factors for predicting CVD/CHD mortality: the CAC consortium. </w:t>
      </w:r>
      <w:r>
        <w:rPr>
          <w:rStyle w:val="Emphasis"/>
          <w:rFonts w:ascii="Times New Roman" w:hAnsi="Times New Roman"/>
          <w:color w:val="000000"/>
          <w:sz w:val="24"/>
          <w:szCs w:val="24"/>
          <w:shd w:val="clear" w:color="auto" w:fill="FFFFFF"/>
        </w:rPr>
        <w:t>Cardiovasc Imaging</w:t>
      </w:r>
      <w:r>
        <w:rPr>
          <w:rFonts w:ascii="Times New Roman" w:hAnsi="Times New Roman"/>
          <w:color w:val="000000"/>
          <w:sz w:val="24"/>
          <w:szCs w:val="24"/>
          <w:shd w:val="clear" w:color="auto" w:fill="FFFFFF"/>
        </w:rPr>
        <w:t>. 1(3):1175–1186.</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Hambidge, K.M., Krebs, N.F., &amp; </w:t>
      </w:r>
      <w:proofErr w:type="spellStart"/>
      <w:r>
        <w:rPr>
          <w:rFonts w:ascii="Times New Roman" w:hAnsi="Times New Roman"/>
          <w:color w:val="000000"/>
          <w:sz w:val="24"/>
          <w:szCs w:val="24"/>
          <w:shd w:val="clear" w:color="auto" w:fill="FFFFFF"/>
        </w:rPr>
        <w:t>Garcés</w:t>
      </w:r>
      <w:proofErr w:type="spellEnd"/>
      <w:r>
        <w:rPr>
          <w:rFonts w:ascii="Times New Roman" w:hAnsi="Times New Roman"/>
          <w:color w:val="000000"/>
          <w:sz w:val="24"/>
          <w:szCs w:val="24"/>
          <w:shd w:val="clear" w:color="auto" w:fill="FFFFFF"/>
        </w:rPr>
        <w:t>, A., </w:t>
      </w:r>
      <w:r>
        <w:rPr>
          <w:rFonts w:ascii="Times New Roman" w:hAnsi="Times New Roman"/>
          <w:iCs/>
          <w:color w:val="000000"/>
          <w:sz w:val="24"/>
          <w:szCs w:val="24"/>
          <w:shd w:val="clear" w:color="auto" w:fill="FFFFFF"/>
        </w:rPr>
        <w:t xml:space="preserve">(2015). </w:t>
      </w:r>
      <w:r>
        <w:rPr>
          <w:rFonts w:ascii="Times New Roman" w:hAnsi="Times New Roman"/>
          <w:color w:val="000000"/>
          <w:sz w:val="24"/>
          <w:szCs w:val="24"/>
          <w:shd w:val="clear" w:color="auto" w:fill="FFFFFF"/>
        </w:rPr>
        <w:t>Anthropometric indices for non-pregnant women of childbearing age differ widely among four low-middle income populations. </w:t>
      </w:r>
      <w:r>
        <w:rPr>
          <w:rFonts w:ascii="Times New Roman" w:hAnsi="Times New Roman"/>
          <w:i/>
          <w:iCs/>
          <w:color w:val="000000"/>
          <w:sz w:val="24"/>
          <w:szCs w:val="24"/>
          <w:shd w:val="clear" w:color="auto" w:fill="FFFFFF"/>
        </w:rPr>
        <w:t>Biomedical care journal of public health</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1(8)</w:t>
      </w:r>
      <w:r>
        <w:rPr>
          <w:rFonts w:ascii="Times New Roman" w:hAnsi="Times New Roman"/>
          <w:color w:val="000000"/>
          <w:sz w:val="24"/>
          <w:szCs w:val="24"/>
          <w:shd w:val="clear" w:color="auto" w:fill="FFFFFF"/>
        </w:rPr>
        <w:t>,45. doi.org/10.1186/s12889-017-4509-z</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Hambidge, K.M., Krebs, N.F., </w:t>
      </w:r>
      <w:proofErr w:type="spellStart"/>
      <w:r>
        <w:rPr>
          <w:rFonts w:ascii="Times New Roman" w:hAnsi="Times New Roman"/>
          <w:color w:val="000000"/>
          <w:sz w:val="24"/>
          <w:szCs w:val="24"/>
          <w:shd w:val="clear" w:color="auto" w:fill="FFFFFF"/>
        </w:rPr>
        <w:t>Garcés</w:t>
      </w:r>
      <w:proofErr w:type="spellEnd"/>
      <w:r>
        <w:rPr>
          <w:rFonts w:ascii="Times New Roman" w:hAnsi="Times New Roman"/>
          <w:color w:val="000000"/>
          <w:sz w:val="24"/>
          <w:szCs w:val="24"/>
          <w:shd w:val="clear" w:color="auto" w:fill="FFFFFF"/>
        </w:rPr>
        <w:t xml:space="preserve">, A., Westcott, J.E., Figueroa, L., </w:t>
      </w:r>
      <w:proofErr w:type="spellStart"/>
      <w:r>
        <w:rPr>
          <w:rFonts w:ascii="Times New Roman" w:hAnsi="Times New Roman"/>
          <w:color w:val="000000"/>
          <w:sz w:val="24"/>
          <w:szCs w:val="24"/>
          <w:shd w:val="clear" w:color="auto" w:fill="FFFFFF"/>
        </w:rPr>
        <w:t>Goudar</w:t>
      </w:r>
      <w:proofErr w:type="spellEnd"/>
      <w:r>
        <w:rPr>
          <w:rFonts w:ascii="Times New Roman" w:hAnsi="Times New Roman"/>
          <w:color w:val="000000"/>
          <w:sz w:val="24"/>
          <w:szCs w:val="24"/>
          <w:shd w:val="clear" w:color="auto" w:fill="FFFFFF"/>
        </w:rPr>
        <w:t xml:space="preserve">, S.S, &amp; </w:t>
      </w:r>
      <w:proofErr w:type="spellStart"/>
      <w:r>
        <w:rPr>
          <w:rFonts w:ascii="Times New Roman" w:hAnsi="Times New Roman"/>
          <w:color w:val="000000"/>
          <w:sz w:val="24"/>
          <w:szCs w:val="24"/>
          <w:shd w:val="clear" w:color="auto" w:fill="FFFFFF"/>
        </w:rPr>
        <w:t>Dhaded</w:t>
      </w:r>
      <w:proofErr w:type="spellEnd"/>
      <w:r>
        <w:rPr>
          <w:rFonts w:ascii="Times New Roman" w:hAnsi="Times New Roman"/>
          <w:color w:val="000000"/>
          <w:sz w:val="24"/>
          <w:szCs w:val="24"/>
          <w:shd w:val="clear" w:color="auto" w:fill="FFFFFF"/>
        </w:rPr>
        <w:t xml:space="preserve"> S., (2017). Anthropometric indices for non-pregnant women of childbearing age differ widely among four low-middle income populations. </w:t>
      </w:r>
      <w:r>
        <w:rPr>
          <w:rFonts w:ascii="Times New Roman" w:hAnsi="Times New Roman"/>
          <w:i/>
          <w:color w:val="000000"/>
          <w:sz w:val="24"/>
          <w:szCs w:val="24"/>
          <w:shd w:val="clear" w:color="auto" w:fill="FFFFFF"/>
        </w:rPr>
        <w:t>Biomedical care journal of public health.</w:t>
      </w:r>
      <w:r>
        <w:rPr>
          <w:rFonts w:ascii="Times New Roman" w:hAnsi="Times New Roman"/>
          <w:color w:val="000000"/>
          <w:sz w:val="24"/>
          <w:szCs w:val="24"/>
          <w:shd w:val="clear" w:color="auto" w:fill="FFFFFF"/>
        </w:rPr>
        <w:t xml:space="preserve"> 18(1):45. </w:t>
      </w:r>
      <w:proofErr w:type="spellStart"/>
      <w:r>
        <w:rPr>
          <w:rFonts w:ascii="Times New Roman" w:hAnsi="Times New Roman"/>
          <w:color w:val="000000"/>
          <w:sz w:val="24"/>
          <w:szCs w:val="24"/>
          <w:shd w:val="clear" w:color="auto" w:fill="FFFFFF"/>
        </w:rPr>
        <w:t>doi</w:t>
      </w:r>
      <w:proofErr w:type="spellEnd"/>
      <w:r>
        <w:rPr>
          <w:rFonts w:ascii="Times New Roman" w:hAnsi="Times New Roman"/>
          <w:color w:val="000000"/>
          <w:sz w:val="24"/>
          <w:szCs w:val="24"/>
          <w:shd w:val="clear" w:color="auto" w:fill="FFFFFF"/>
        </w:rPr>
        <w:t xml:space="preserve">: 10.1186/s12889-017-4509-z. </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Iacobini</w:t>
      </w:r>
      <w:proofErr w:type="spellEnd"/>
      <w:r>
        <w:rPr>
          <w:rFonts w:ascii="Times New Roman" w:hAnsi="Times New Roman"/>
          <w:color w:val="000000"/>
          <w:sz w:val="24"/>
          <w:szCs w:val="24"/>
          <w:shd w:val="clear" w:color="auto" w:fill="FFFFFF"/>
        </w:rPr>
        <w:t xml:space="preserve"> C., Pugliese G., </w:t>
      </w:r>
      <w:proofErr w:type="spellStart"/>
      <w:r>
        <w:rPr>
          <w:rFonts w:ascii="Times New Roman" w:hAnsi="Times New Roman"/>
          <w:color w:val="000000"/>
          <w:sz w:val="24"/>
          <w:szCs w:val="24"/>
          <w:shd w:val="clear" w:color="auto" w:fill="FFFFFF"/>
        </w:rPr>
        <w:t>Fantauzzi</w:t>
      </w:r>
      <w:proofErr w:type="spellEnd"/>
      <w:r>
        <w:rPr>
          <w:rFonts w:ascii="Times New Roman" w:hAnsi="Times New Roman"/>
          <w:color w:val="000000"/>
          <w:sz w:val="24"/>
          <w:szCs w:val="24"/>
          <w:shd w:val="clear" w:color="auto" w:fill="FFFFFF"/>
        </w:rPr>
        <w:t xml:space="preserve"> C.B., Federici M.</w:t>
      </w:r>
      <w:proofErr w:type="gramStart"/>
      <w:r>
        <w:rPr>
          <w:rFonts w:ascii="Times New Roman" w:hAnsi="Times New Roman"/>
          <w:color w:val="000000"/>
          <w:sz w:val="24"/>
          <w:szCs w:val="24"/>
          <w:shd w:val="clear" w:color="auto" w:fill="FFFFFF"/>
        </w:rPr>
        <w:t>, ,</w:t>
      </w:r>
      <w:proofErr w:type="gramEnd"/>
      <w:r>
        <w:rPr>
          <w:rFonts w:ascii="Times New Roman" w:hAnsi="Times New Roman"/>
          <w:color w:val="000000"/>
          <w:sz w:val="24"/>
          <w:szCs w:val="24"/>
          <w:shd w:val="clear" w:color="auto" w:fill="FFFFFF"/>
        </w:rPr>
        <w:t xml:space="preserve"> &amp; </w:t>
      </w:r>
      <w:proofErr w:type="spellStart"/>
      <w:r>
        <w:rPr>
          <w:rFonts w:ascii="Times New Roman" w:hAnsi="Times New Roman"/>
          <w:color w:val="000000"/>
          <w:sz w:val="24"/>
          <w:szCs w:val="24"/>
          <w:shd w:val="clear" w:color="auto" w:fill="FFFFFF"/>
        </w:rPr>
        <w:t>Menini</w:t>
      </w:r>
      <w:proofErr w:type="spellEnd"/>
      <w:r>
        <w:rPr>
          <w:rFonts w:ascii="Times New Roman" w:hAnsi="Times New Roman"/>
          <w:color w:val="000000"/>
          <w:sz w:val="24"/>
          <w:szCs w:val="24"/>
          <w:shd w:val="clear" w:color="auto" w:fill="FFFFFF"/>
        </w:rPr>
        <w:t xml:space="preserve"> S (2019). Metabolically healthy versus metabolically unhealthy obesity. </w:t>
      </w:r>
      <w:r>
        <w:rPr>
          <w:rStyle w:val="Emphasis"/>
          <w:rFonts w:ascii="Times New Roman" w:hAnsi="Times New Roman"/>
          <w:color w:val="000000"/>
          <w:sz w:val="24"/>
          <w:szCs w:val="24"/>
          <w:shd w:val="clear" w:color="auto" w:fill="FFFFFF"/>
        </w:rPr>
        <w:t>Metabolism</w:t>
      </w:r>
      <w:r>
        <w:rPr>
          <w:rFonts w:ascii="Times New Roman" w:hAnsi="Times New Roman"/>
          <w:color w:val="000000"/>
          <w:sz w:val="24"/>
          <w:szCs w:val="24"/>
          <w:shd w:val="clear" w:color="auto" w:fill="FFFFFF"/>
        </w:rPr>
        <w:t>. 92:51–60.</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lastRenderedPageBreak/>
        <w:t>Karaye</w:t>
      </w:r>
      <w:proofErr w:type="spellEnd"/>
      <w:r>
        <w:rPr>
          <w:rFonts w:ascii="Times New Roman" w:hAnsi="Times New Roman"/>
          <w:color w:val="000000"/>
          <w:sz w:val="24"/>
          <w:szCs w:val="24"/>
          <w:shd w:val="clear" w:color="auto" w:fill="FFFFFF"/>
        </w:rPr>
        <w:t xml:space="preserve">, K.M., Muhammed, I.Y., </w:t>
      </w:r>
      <w:proofErr w:type="spellStart"/>
      <w:r>
        <w:rPr>
          <w:rFonts w:ascii="Times New Roman" w:hAnsi="Times New Roman"/>
          <w:color w:val="000000"/>
          <w:sz w:val="24"/>
          <w:szCs w:val="24"/>
          <w:shd w:val="clear" w:color="auto" w:fill="FFFFFF"/>
        </w:rPr>
        <w:t>Sa'idu</w:t>
      </w:r>
      <w:proofErr w:type="spellEnd"/>
      <w:r>
        <w:rPr>
          <w:rFonts w:ascii="Times New Roman" w:hAnsi="Times New Roman"/>
          <w:color w:val="000000"/>
          <w:sz w:val="24"/>
          <w:szCs w:val="24"/>
          <w:shd w:val="clear" w:color="auto" w:fill="FFFFFF"/>
        </w:rPr>
        <w:t xml:space="preserve">, H., </w:t>
      </w:r>
      <w:proofErr w:type="spellStart"/>
      <w:r>
        <w:rPr>
          <w:rFonts w:ascii="Times New Roman" w:hAnsi="Times New Roman"/>
          <w:color w:val="000000"/>
          <w:sz w:val="24"/>
          <w:szCs w:val="24"/>
          <w:shd w:val="clear" w:color="auto" w:fill="FFFFFF"/>
        </w:rPr>
        <w:t>Ishaq</w:t>
      </w:r>
      <w:proofErr w:type="spellEnd"/>
      <w:r>
        <w:rPr>
          <w:rFonts w:ascii="Times New Roman" w:hAnsi="Times New Roman"/>
          <w:color w:val="000000"/>
          <w:sz w:val="24"/>
          <w:szCs w:val="24"/>
          <w:shd w:val="clear" w:color="auto" w:fill="FFFFFF"/>
        </w:rPr>
        <w:t xml:space="preserve">, N.A., </w:t>
      </w:r>
      <w:proofErr w:type="spellStart"/>
      <w:r>
        <w:rPr>
          <w:rFonts w:ascii="Times New Roman" w:hAnsi="Times New Roman"/>
          <w:color w:val="000000"/>
          <w:sz w:val="24"/>
          <w:szCs w:val="24"/>
          <w:shd w:val="clear" w:color="auto" w:fill="FFFFFF"/>
        </w:rPr>
        <w:t>Balarabe</w:t>
      </w:r>
      <w:proofErr w:type="spellEnd"/>
      <w:r>
        <w:rPr>
          <w:rFonts w:ascii="Times New Roman" w:hAnsi="Times New Roman"/>
          <w:color w:val="000000"/>
          <w:sz w:val="24"/>
          <w:szCs w:val="24"/>
          <w:shd w:val="clear" w:color="auto" w:fill="FFFFFF"/>
        </w:rPr>
        <w:t xml:space="preserve">, S.A., &amp; Tukur, J., (2024). Prevalence of left ventricular dysfunction and relationship with serum selenium in apparently healthy pregnant women: </w:t>
      </w:r>
      <w:r>
        <w:rPr>
          <w:rFonts w:ascii="Times New Roman" w:hAnsi="Times New Roman"/>
          <w:i/>
          <w:color w:val="000000"/>
          <w:sz w:val="24"/>
          <w:szCs w:val="24"/>
          <w:shd w:val="clear" w:color="auto" w:fill="FFFFFF"/>
        </w:rPr>
        <w:t>Global cardiology</w:t>
      </w:r>
      <w:r>
        <w:rPr>
          <w:rFonts w:ascii="Times New Roman" w:hAnsi="Times New Roman"/>
          <w:color w:val="000000"/>
          <w:sz w:val="24"/>
          <w:szCs w:val="24"/>
          <w:shd w:val="clear" w:color="auto" w:fill="FFFFFF"/>
        </w:rPr>
        <w:t xml:space="preserve"> 2(1):40–44</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Kozuki</w:t>
      </w:r>
      <w:proofErr w:type="spellEnd"/>
      <w:r>
        <w:rPr>
          <w:rFonts w:ascii="Times New Roman" w:hAnsi="Times New Roman"/>
          <w:color w:val="000000"/>
          <w:sz w:val="24"/>
          <w:szCs w:val="24"/>
          <w:shd w:val="clear" w:color="auto" w:fill="FFFFFF"/>
        </w:rPr>
        <w:t xml:space="preserve">, N., Katz, J., Lee, A.C., Vogel, J.P., Silveira, M.F., &amp; </w:t>
      </w:r>
      <w:proofErr w:type="spellStart"/>
      <w:r>
        <w:rPr>
          <w:rFonts w:ascii="Times New Roman" w:hAnsi="Times New Roman"/>
          <w:color w:val="000000"/>
          <w:sz w:val="24"/>
          <w:szCs w:val="24"/>
          <w:shd w:val="clear" w:color="auto" w:fill="FFFFFF"/>
        </w:rPr>
        <w:t>Sania</w:t>
      </w:r>
      <w:proofErr w:type="spellEnd"/>
      <w:r>
        <w:rPr>
          <w:rFonts w:ascii="Times New Roman" w:hAnsi="Times New Roman"/>
          <w:color w:val="000000"/>
          <w:sz w:val="24"/>
          <w:szCs w:val="24"/>
          <w:shd w:val="clear" w:color="auto" w:fill="FFFFFF"/>
        </w:rPr>
        <w:t xml:space="preserve">, A., (2019). Short maternal stature increases risk of small-for-gestational-age and preterm births in low- and middle-income countries: individual participant data meta-analysis and population attributable fraction. </w:t>
      </w:r>
      <w:r>
        <w:rPr>
          <w:rFonts w:ascii="Times New Roman" w:hAnsi="Times New Roman"/>
          <w:i/>
          <w:color w:val="000000"/>
          <w:sz w:val="24"/>
          <w:szCs w:val="24"/>
          <w:shd w:val="clear" w:color="auto" w:fill="FFFFFF"/>
        </w:rPr>
        <w:t>Journal of nutrition</w:t>
      </w:r>
      <w:r>
        <w:rPr>
          <w:rFonts w:ascii="Times New Roman" w:hAnsi="Times New Roman"/>
          <w:color w:val="000000"/>
          <w:sz w:val="24"/>
          <w:szCs w:val="24"/>
          <w:shd w:val="clear" w:color="auto" w:fill="FFFFFF"/>
        </w:rPr>
        <w:t>. 145(11):2542–50.</w:t>
      </w:r>
    </w:p>
    <w:p w:rsidR="003069A1" w:rsidRDefault="00B66F07">
      <w:pPr>
        <w:ind w:left="630" w:hanging="630"/>
        <w:jc w:val="both"/>
        <w:rPr>
          <w:rFonts w:ascii="Times New Roman" w:hAnsi="Times New Roman"/>
          <w:color w:val="000000"/>
          <w:sz w:val="24"/>
          <w:szCs w:val="24"/>
          <w:shd w:val="clear" w:color="auto" w:fill="FFFFFF"/>
        </w:rPr>
      </w:pPr>
      <w:hyperlink r:id="rId12" w:history="1">
        <w:r w:rsidR="006037BE">
          <w:rPr>
            <w:rStyle w:val="button-label"/>
            <w:rFonts w:ascii="Times New Roman" w:hAnsi="Times New Roman"/>
            <w:color w:val="000000"/>
            <w:sz w:val="24"/>
            <w:szCs w:val="24"/>
          </w:rPr>
          <w:t xml:space="preserve">Louise, G.H., </w:t>
        </w:r>
      </w:hyperlink>
      <w:hyperlink r:id="rId13" w:history="1">
        <w:r w:rsidR="006037BE">
          <w:rPr>
            <w:rStyle w:val="button-label"/>
            <w:rFonts w:ascii="Times New Roman" w:hAnsi="Times New Roman"/>
            <w:color w:val="000000"/>
            <w:sz w:val="24"/>
            <w:szCs w:val="24"/>
          </w:rPr>
          <w:t xml:space="preserve"> Dhaliwal</w:t>
        </w:r>
      </w:hyperlink>
      <w:r w:rsidR="006037BE">
        <w:rPr>
          <w:rStyle w:val="comma"/>
          <w:rFonts w:ascii="Times New Roman" w:hAnsi="Times New Roman"/>
          <w:color w:val="000000"/>
          <w:sz w:val="24"/>
          <w:szCs w:val="24"/>
        </w:rPr>
        <w:t>, S.S., </w:t>
      </w:r>
      <w:hyperlink r:id="rId14" w:history="1">
        <w:r w:rsidR="006037BE">
          <w:rPr>
            <w:rStyle w:val="button-label"/>
            <w:rFonts w:ascii="Times New Roman" w:hAnsi="Times New Roman"/>
            <w:color w:val="000000"/>
            <w:sz w:val="24"/>
            <w:szCs w:val="24"/>
          </w:rPr>
          <w:t xml:space="preserve"> Welborn</w:t>
        </w:r>
      </w:hyperlink>
      <w:r w:rsidR="006037BE">
        <w:rPr>
          <w:rStyle w:val="comma"/>
          <w:rFonts w:ascii="Times New Roman" w:hAnsi="Times New Roman"/>
          <w:color w:val="000000"/>
          <w:sz w:val="24"/>
          <w:szCs w:val="24"/>
        </w:rPr>
        <w:t xml:space="preserve">,  T.A., </w:t>
      </w:r>
      <w:hyperlink r:id="rId15" w:history="1">
        <w:r w:rsidR="006037BE">
          <w:rPr>
            <w:rStyle w:val="button-label"/>
            <w:rFonts w:ascii="Times New Roman" w:hAnsi="Times New Roman"/>
            <w:color w:val="000000"/>
            <w:sz w:val="24"/>
            <w:szCs w:val="24"/>
          </w:rPr>
          <w:t xml:space="preserve"> Lee</w:t>
        </w:r>
      </w:hyperlink>
      <w:r w:rsidR="006037BE">
        <w:rPr>
          <w:rStyle w:val="comma"/>
          <w:rFonts w:ascii="Times New Roman" w:hAnsi="Times New Roman"/>
          <w:color w:val="000000"/>
          <w:sz w:val="24"/>
          <w:szCs w:val="24"/>
        </w:rPr>
        <w:t xml:space="preserve">,  A.H.,&amp; </w:t>
      </w:r>
      <w:hyperlink r:id="rId16" w:history="1">
        <w:r w:rsidR="006037BE">
          <w:rPr>
            <w:rStyle w:val="button-label"/>
            <w:rFonts w:ascii="Times New Roman" w:hAnsi="Times New Roman"/>
            <w:color w:val="000000"/>
            <w:sz w:val="24"/>
            <w:szCs w:val="24"/>
          </w:rPr>
          <w:t>Della</w:t>
        </w:r>
      </w:hyperlink>
      <w:r w:rsidR="006037BE">
        <w:rPr>
          <w:rStyle w:val="authors-list-item"/>
          <w:rFonts w:ascii="Times New Roman" w:hAnsi="Times New Roman"/>
          <w:color w:val="000000"/>
          <w:sz w:val="24"/>
          <w:szCs w:val="24"/>
        </w:rPr>
        <w:t xml:space="preserve">, P.R.,  </w:t>
      </w:r>
      <w:r w:rsidR="006037BE">
        <w:rPr>
          <w:rFonts w:ascii="Times New Roman" w:hAnsi="Times New Roman"/>
          <w:color w:val="000000"/>
          <w:sz w:val="24"/>
          <w:szCs w:val="24"/>
        </w:rPr>
        <w:t xml:space="preserve">(2014). Anthropometric measurements of general and central obesity and the prediction of cardiovascular disease risk in women: a cross-sectional study.  </w:t>
      </w:r>
      <w:r w:rsidR="006037BE">
        <w:rPr>
          <w:rStyle w:val="period"/>
          <w:rFonts w:ascii="Times New Roman" w:hAnsi="Times New Roman"/>
          <w:color w:val="000000"/>
          <w:sz w:val="24"/>
          <w:szCs w:val="24"/>
        </w:rPr>
        <w:t>Biomedical care journal of pregnancy and childbirth</w:t>
      </w:r>
      <w:r w:rsidR="006037BE">
        <w:rPr>
          <w:rStyle w:val="cit"/>
          <w:rFonts w:ascii="Times New Roman" w:hAnsi="Times New Roman"/>
          <w:color w:val="000000"/>
          <w:sz w:val="24"/>
          <w:szCs w:val="24"/>
        </w:rPr>
        <w:t xml:space="preserve"> 6;4(2</w:t>
      </w:r>
      <w:proofErr w:type="gramStart"/>
      <w:r w:rsidR="006037BE">
        <w:rPr>
          <w:rStyle w:val="cit"/>
          <w:rFonts w:ascii="Times New Roman" w:hAnsi="Times New Roman"/>
          <w:color w:val="000000"/>
          <w:sz w:val="24"/>
          <w:szCs w:val="24"/>
        </w:rPr>
        <w:t>):e</w:t>
      </w:r>
      <w:proofErr w:type="gramEnd"/>
      <w:r w:rsidR="006037BE">
        <w:rPr>
          <w:rStyle w:val="cit"/>
          <w:rFonts w:ascii="Times New Roman" w:hAnsi="Times New Roman"/>
          <w:color w:val="000000"/>
          <w:sz w:val="24"/>
          <w:szCs w:val="24"/>
        </w:rPr>
        <w:t>004138.</w:t>
      </w:r>
      <w:r w:rsidR="006037BE">
        <w:rPr>
          <w:rFonts w:ascii="Times New Roman" w:hAnsi="Times New Roman"/>
          <w:color w:val="000000"/>
          <w:sz w:val="24"/>
          <w:szCs w:val="24"/>
        </w:rPr>
        <w:t xml:space="preserve">  </w:t>
      </w:r>
      <w:proofErr w:type="spellStart"/>
      <w:r w:rsidR="006037BE">
        <w:rPr>
          <w:rStyle w:val="citation-doi"/>
          <w:rFonts w:ascii="Times New Roman" w:hAnsi="Times New Roman"/>
          <w:color w:val="000000"/>
          <w:sz w:val="24"/>
          <w:szCs w:val="24"/>
        </w:rPr>
        <w:t>doi</w:t>
      </w:r>
      <w:proofErr w:type="spellEnd"/>
      <w:r w:rsidR="006037BE">
        <w:rPr>
          <w:rStyle w:val="citation-doi"/>
          <w:rFonts w:ascii="Times New Roman" w:hAnsi="Times New Roman"/>
          <w:color w:val="000000"/>
          <w:sz w:val="24"/>
          <w:szCs w:val="24"/>
        </w:rPr>
        <w:t>: 10.1136/bmjopen-2013-004138.</w:t>
      </w:r>
    </w:p>
    <w:p w:rsidR="003069A1" w:rsidRDefault="006037BE">
      <w:pPr>
        <w:ind w:left="630" w:hanging="630"/>
        <w:jc w:val="both"/>
        <w:rPr>
          <w:rFonts w:ascii="Times New Roman" w:hAnsi="Times New Roman"/>
          <w:color w:val="000000"/>
          <w:sz w:val="24"/>
          <w:szCs w:val="24"/>
        </w:rPr>
      </w:pPr>
      <w:r>
        <w:rPr>
          <w:rStyle w:val="text"/>
          <w:rFonts w:ascii="Times New Roman" w:hAnsi="Times New Roman"/>
          <w:color w:val="000000"/>
          <w:sz w:val="24"/>
          <w:szCs w:val="24"/>
        </w:rPr>
        <w:t>Manzo-Silberman, S.,</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Chabbert</w:t>
      </w:r>
      <w:proofErr w:type="spellEnd"/>
      <w:r>
        <w:rPr>
          <w:rStyle w:val="text"/>
          <w:rFonts w:ascii="Times New Roman" w:hAnsi="Times New Roman"/>
          <w:color w:val="000000"/>
          <w:sz w:val="24"/>
          <w:szCs w:val="24"/>
        </w:rPr>
        <w:t>-Buffet</w:t>
      </w:r>
      <w:r>
        <w:rPr>
          <w:rFonts w:ascii="Times New Roman" w:hAnsi="Times New Roman"/>
          <w:color w:val="000000"/>
          <w:sz w:val="24"/>
          <w:szCs w:val="24"/>
        </w:rPr>
        <w:t>,</w:t>
      </w:r>
      <w:r>
        <w:rPr>
          <w:rStyle w:val="given-name"/>
          <w:rFonts w:ascii="Times New Roman" w:hAnsi="Times New Roman"/>
          <w:color w:val="000000"/>
          <w:sz w:val="24"/>
          <w:szCs w:val="24"/>
        </w:rPr>
        <w:t xml:space="preserve"> N.</w:t>
      </w:r>
      <w:proofErr w:type="gramStart"/>
      <w:r>
        <w:rPr>
          <w:rStyle w:val="given-name"/>
          <w:rFonts w:ascii="Times New Roman" w:hAnsi="Times New Roman"/>
          <w:color w:val="000000"/>
          <w:sz w:val="24"/>
          <w:szCs w:val="24"/>
        </w:rPr>
        <w:t>,</w:t>
      </w:r>
      <w:r>
        <w:rPr>
          <w:rFonts w:ascii="Times New Roman" w:hAnsi="Times New Roman"/>
          <w:color w:val="000000"/>
          <w:sz w:val="24"/>
          <w:szCs w:val="24"/>
        </w:rPr>
        <w:t> </w:t>
      </w:r>
      <w:r>
        <w:rPr>
          <w:rStyle w:val="text"/>
          <w:rFonts w:ascii="Times New Roman" w:hAnsi="Times New Roman"/>
          <w:color w:val="000000"/>
          <w:sz w:val="24"/>
          <w:szCs w:val="24"/>
        </w:rPr>
        <w:t xml:space="preserve"> Roux</w:t>
      </w:r>
      <w:proofErr w:type="gramEnd"/>
      <w:r>
        <w:rPr>
          <w:rFonts w:ascii="Times New Roman" w:hAnsi="Times New Roman"/>
          <w:color w:val="000000"/>
          <w:sz w:val="24"/>
          <w:szCs w:val="24"/>
        </w:rPr>
        <w:t>, </w:t>
      </w:r>
      <w:r>
        <w:rPr>
          <w:rStyle w:val="given-name"/>
          <w:rFonts w:ascii="Times New Roman" w:hAnsi="Times New Roman"/>
          <w:color w:val="000000"/>
          <w:sz w:val="24"/>
          <w:szCs w:val="24"/>
        </w:rPr>
        <w:t>E.,</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Parisi</w:t>
      </w:r>
      <w:proofErr w:type="spellEnd"/>
      <w:r>
        <w:rPr>
          <w:rFonts w:ascii="Times New Roman" w:hAnsi="Times New Roman"/>
          <w:color w:val="000000"/>
          <w:sz w:val="24"/>
          <w:szCs w:val="24"/>
        </w:rPr>
        <w:t>,</w:t>
      </w:r>
      <w:r>
        <w:rPr>
          <w:rStyle w:val="given-name"/>
          <w:rFonts w:ascii="Times New Roman" w:hAnsi="Times New Roman"/>
          <w:color w:val="000000"/>
          <w:sz w:val="24"/>
          <w:szCs w:val="24"/>
        </w:rPr>
        <w:t xml:space="preserve"> M.,</w:t>
      </w:r>
      <w:r>
        <w:rPr>
          <w:rFonts w:ascii="Times New Roman" w:hAnsi="Times New Roman"/>
          <w:color w:val="000000"/>
          <w:sz w:val="24"/>
          <w:szCs w:val="24"/>
        </w:rPr>
        <w:t> </w:t>
      </w:r>
      <w:r>
        <w:rPr>
          <w:rStyle w:val="react-xocs-alternative-link"/>
          <w:rFonts w:ascii="Times New Roman" w:hAnsi="Times New Roman"/>
          <w:color w:val="000000"/>
          <w:sz w:val="24"/>
          <w:szCs w:val="24"/>
        </w:rPr>
        <w:t> </w:t>
      </w:r>
      <w:r>
        <w:rPr>
          <w:rStyle w:val="text"/>
          <w:rFonts w:ascii="Times New Roman" w:hAnsi="Times New Roman"/>
          <w:color w:val="000000"/>
          <w:sz w:val="24"/>
          <w:szCs w:val="24"/>
        </w:rPr>
        <w:t>Regidor</w:t>
      </w:r>
      <w:r>
        <w:rPr>
          <w:rFonts w:ascii="Times New Roman" w:hAnsi="Times New Roman"/>
          <w:color w:val="000000"/>
          <w:sz w:val="24"/>
          <w:szCs w:val="24"/>
        </w:rPr>
        <w:t>, </w:t>
      </w:r>
      <w:r>
        <w:rPr>
          <w:rStyle w:val="given-name"/>
          <w:rFonts w:ascii="Times New Roman" w:hAnsi="Times New Roman"/>
          <w:color w:val="000000"/>
          <w:sz w:val="24"/>
          <w:szCs w:val="24"/>
        </w:rPr>
        <w:t xml:space="preserve">P., </w:t>
      </w:r>
      <w:r>
        <w:rPr>
          <w:rFonts w:ascii="Times New Roman" w:hAnsi="Times New Roman"/>
          <w:color w:val="000000"/>
          <w:sz w:val="24"/>
          <w:szCs w:val="24"/>
        </w:rPr>
        <w:t>&amp;</w:t>
      </w:r>
      <w:r>
        <w:rPr>
          <w:rStyle w:val="react-xocs-alternative-link"/>
          <w:rFonts w:ascii="Times New Roman" w:hAnsi="Times New Roman"/>
          <w:color w:val="000000"/>
          <w:sz w:val="24"/>
          <w:szCs w:val="24"/>
        </w:rPr>
        <w:t> </w:t>
      </w:r>
      <w:proofErr w:type="spellStart"/>
      <w:r>
        <w:rPr>
          <w:rStyle w:val="text"/>
          <w:rFonts w:ascii="Times New Roman" w:hAnsi="Times New Roman"/>
          <w:color w:val="000000"/>
          <w:sz w:val="24"/>
          <w:szCs w:val="24"/>
        </w:rPr>
        <w:t>Mounier-Vehier</w:t>
      </w:r>
      <w:proofErr w:type="spellEnd"/>
      <w:r>
        <w:rPr>
          <w:rStyle w:val="text"/>
          <w:rFonts w:ascii="Times New Roman" w:hAnsi="Times New Roman"/>
          <w:color w:val="000000"/>
          <w:sz w:val="24"/>
          <w:szCs w:val="24"/>
        </w:rPr>
        <w:t xml:space="preserve">, </w:t>
      </w:r>
      <w:r>
        <w:rPr>
          <w:rStyle w:val="given-name"/>
          <w:rFonts w:ascii="Times New Roman" w:hAnsi="Times New Roman"/>
          <w:color w:val="000000"/>
          <w:sz w:val="24"/>
          <w:szCs w:val="24"/>
        </w:rPr>
        <w:t>C.,</w:t>
      </w:r>
      <w:r>
        <w:rPr>
          <w:rStyle w:val="text"/>
          <w:rFonts w:ascii="Times New Roman" w:hAnsi="Times New Roman"/>
          <w:color w:val="000000"/>
          <w:sz w:val="24"/>
          <w:szCs w:val="24"/>
        </w:rPr>
        <w:t xml:space="preserve"> (2025). </w:t>
      </w:r>
      <w:r>
        <w:rPr>
          <w:rStyle w:val="title-text"/>
          <w:rFonts w:ascii="Times New Roman" w:hAnsi="Times New Roman"/>
          <w:color w:val="000000"/>
          <w:sz w:val="24"/>
          <w:szCs w:val="24"/>
        </w:rPr>
        <w:t xml:space="preserve">Prevalence of cumulative cardiovascular risk factors among women of childbearing age in France. </w:t>
      </w:r>
      <w:hyperlink r:id="rId17" w:tooltip="Go to Journal of Gynecology Obstetrics and Human Reproduction on ScienceDirect" w:history="1">
        <w:r>
          <w:rPr>
            <w:rStyle w:val="anchor-text"/>
            <w:rFonts w:ascii="Times New Roman" w:hAnsi="Times New Roman"/>
            <w:i/>
            <w:color w:val="000000"/>
            <w:sz w:val="24"/>
            <w:szCs w:val="24"/>
          </w:rPr>
          <w:t>Journal of gynecology obstetrics and human reproduction</w:t>
        </w:r>
      </w:hyperlink>
    </w:p>
    <w:p w:rsidR="003069A1" w:rsidRDefault="006037BE">
      <w:pPr>
        <w:ind w:left="630" w:hanging="630"/>
        <w:jc w:val="both"/>
        <w:rPr>
          <w:rFonts w:ascii="Times New Roman" w:hAnsi="Times New Roman"/>
          <w:color w:val="000000"/>
          <w:sz w:val="24"/>
          <w:szCs w:val="24"/>
          <w:shd w:val="clear" w:color="auto" w:fill="FFFFFF"/>
        </w:rPr>
      </w:pPr>
      <w:r>
        <w:rPr>
          <w:rStyle w:val="authors"/>
          <w:rFonts w:ascii="Times New Roman" w:hAnsi="Times New Roman"/>
          <w:color w:val="000000"/>
          <w:sz w:val="24"/>
          <w:szCs w:val="24"/>
        </w:rPr>
        <w:t xml:space="preserve">Masrouri, S.,   Saeed, S., Zadeh, T., </w:t>
      </w:r>
      <w:proofErr w:type="spellStart"/>
      <w:proofErr w:type="gramStart"/>
      <w:r>
        <w:rPr>
          <w:rStyle w:val="authors"/>
          <w:rFonts w:ascii="Times New Roman" w:hAnsi="Times New Roman"/>
          <w:color w:val="000000"/>
          <w:sz w:val="24"/>
          <w:szCs w:val="24"/>
        </w:rPr>
        <w:t>Afaghi</w:t>
      </w:r>
      <w:proofErr w:type="spellEnd"/>
      <w:r>
        <w:rPr>
          <w:rStyle w:val="authors"/>
          <w:rFonts w:ascii="Times New Roman" w:hAnsi="Times New Roman"/>
          <w:color w:val="000000"/>
          <w:sz w:val="24"/>
          <w:szCs w:val="24"/>
        </w:rPr>
        <w:t>,  S.</w:t>
      </w:r>
      <w:proofErr w:type="gramEnd"/>
      <w:r>
        <w:rPr>
          <w:rStyle w:val="authors"/>
          <w:rFonts w:ascii="Times New Roman" w:hAnsi="Times New Roman"/>
          <w:color w:val="000000"/>
          <w:sz w:val="24"/>
          <w:szCs w:val="24"/>
        </w:rPr>
        <w:t>,  </w:t>
      </w:r>
      <w:proofErr w:type="spellStart"/>
      <w:r>
        <w:rPr>
          <w:rStyle w:val="authors"/>
          <w:rFonts w:ascii="Times New Roman" w:hAnsi="Times New Roman"/>
          <w:color w:val="000000"/>
          <w:sz w:val="24"/>
          <w:szCs w:val="24"/>
        </w:rPr>
        <w:t>Hadaegh</w:t>
      </w:r>
      <w:proofErr w:type="spellEnd"/>
      <w:r>
        <w:rPr>
          <w:rStyle w:val="authors"/>
          <w:rFonts w:ascii="Times New Roman" w:hAnsi="Times New Roman"/>
          <w:color w:val="000000"/>
          <w:sz w:val="24"/>
          <w:szCs w:val="24"/>
        </w:rPr>
        <w:t xml:space="preserve">, F.,  Khalili, D.,  &amp; Shapiro, M.D., (2024). </w:t>
      </w:r>
      <w:r>
        <w:rPr>
          <w:rFonts w:ascii="Times New Roman" w:hAnsi="Times New Roman"/>
          <w:color w:val="000000"/>
          <w:sz w:val="24"/>
          <w:szCs w:val="24"/>
        </w:rPr>
        <w:t>Association of anthropometric indices with midlife cardiovascular risk in young individuals without obesity and traditional risk factors</w:t>
      </w:r>
      <w:r>
        <w:rPr>
          <w:rFonts w:ascii="Times New Roman" w:hAnsi="Times New Roman"/>
          <w:color w:val="000000"/>
          <w:sz w:val="24"/>
          <w:szCs w:val="24"/>
          <w:shd w:val="clear" w:color="auto" w:fill="FFFFFF"/>
        </w:rPr>
        <w:t xml:space="preserve">. </w:t>
      </w:r>
      <w:r>
        <w:rPr>
          <w:rFonts w:ascii="Times New Roman" w:hAnsi="Times New Roman"/>
          <w:bCs/>
          <w:i/>
          <w:color w:val="000000"/>
          <w:sz w:val="24"/>
          <w:szCs w:val="24"/>
        </w:rPr>
        <w:t xml:space="preserve">Journal of the American heart association. 13(13).901. </w:t>
      </w:r>
      <w:hyperlink r:id="rId18" w:history="1">
        <w:r>
          <w:rPr>
            <w:rStyle w:val="Hyperlink"/>
            <w:rFonts w:ascii="Times New Roman" w:hAnsi="Times New Roman"/>
            <w:bCs/>
            <w:color w:val="000000"/>
            <w:sz w:val="24"/>
            <w:szCs w:val="24"/>
          </w:rPr>
          <w:t>https://doi.org/10.1161/JAHA.123.033355</w:t>
        </w:r>
      </w:hyperlink>
    </w:p>
    <w:p w:rsidR="003069A1" w:rsidRDefault="006037BE">
      <w:pPr>
        <w:ind w:left="630" w:hanging="630"/>
        <w:jc w:val="both"/>
        <w:rPr>
          <w:rFonts w:ascii="Times New Roman" w:hAnsi="Times New Roman"/>
          <w:color w:val="000000"/>
          <w:sz w:val="24"/>
          <w:szCs w:val="24"/>
        </w:rPr>
      </w:pPr>
      <w:r>
        <w:rPr>
          <w:rFonts w:ascii="Times New Roman" w:hAnsi="Times New Roman"/>
          <w:color w:val="000000"/>
          <w:sz w:val="24"/>
          <w:szCs w:val="24"/>
        </w:rPr>
        <w:t>Nazir, S.M., &amp; Musa, K.K., (2023).</w:t>
      </w:r>
      <w:r>
        <w:rPr>
          <w:rFonts w:ascii="Times New Roman" w:hAnsi="Times New Roman"/>
          <w:bCs/>
          <w:color w:val="000000"/>
          <w:sz w:val="24"/>
          <w:szCs w:val="24"/>
        </w:rPr>
        <w:t xml:space="preserve">Heart diseases in pregnancy in Northern Nigeria – A brief review. </w:t>
      </w:r>
      <w:r>
        <w:rPr>
          <w:rStyle w:val="ej-journal-name"/>
          <w:rFonts w:ascii="Times New Roman" w:hAnsi="Times New Roman"/>
          <w:i/>
          <w:iCs/>
          <w:color w:val="000000"/>
          <w:sz w:val="24"/>
          <w:szCs w:val="24"/>
        </w:rPr>
        <w:t>Nigerian journal of cardiology </w:t>
      </w:r>
      <w:hyperlink r:id="rId19" w:history="1">
        <w:r>
          <w:rPr>
            <w:rStyle w:val="Hyperlink"/>
            <w:rFonts w:ascii="Times New Roman" w:hAnsi="Times New Roman"/>
            <w:color w:val="000000"/>
            <w:sz w:val="24"/>
            <w:szCs w:val="24"/>
            <w:u w:val="none"/>
          </w:rPr>
          <w:t xml:space="preserve">20(2);52-56. </w:t>
        </w:r>
      </w:hyperlink>
      <w:r>
        <w:rPr>
          <w:rStyle w:val="ej-journal-doi"/>
          <w:rFonts w:ascii="Times New Roman" w:hAnsi="Times New Roman"/>
          <w:i/>
          <w:iCs/>
          <w:color w:val="000000"/>
          <w:sz w:val="24"/>
          <w:szCs w:val="24"/>
        </w:rPr>
        <w:t>DOI: </w:t>
      </w:r>
      <w:r>
        <w:rPr>
          <w:rFonts w:ascii="Times New Roman" w:hAnsi="Times New Roman"/>
          <w:color w:val="000000"/>
          <w:sz w:val="24"/>
          <w:szCs w:val="24"/>
        </w:rPr>
        <w:t>10.4103/njc.njc_10_24</w:t>
      </w:r>
    </w:p>
    <w:p w:rsidR="003069A1" w:rsidRDefault="006037BE">
      <w:pPr>
        <w:rPr>
          <w:rFonts w:ascii="Times New Roman" w:hAnsi="Times New Roman" w:cs="Times New Roman"/>
          <w:sz w:val="24"/>
          <w:szCs w:val="24"/>
        </w:rPr>
      </w:pPr>
      <w:r>
        <w:rPr>
          <w:rFonts w:ascii="Times New Roman" w:hAnsi="Times New Roman" w:cs="Times New Roman"/>
          <w:sz w:val="24"/>
          <w:szCs w:val="24"/>
        </w:rPr>
        <w:t xml:space="preserve">Ntoimo LFC and Monica EA (2014).Prevalence and patterns of marital dissolution in Nigeria. </w:t>
      </w:r>
      <w:r>
        <w:rPr>
          <w:rFonts w:ascii="Times New Roman" w:hAnsi="Times New Roman" w:cs="Times New Roman"/>
          <w:sz w:val="24"/>
          <w:szCs w:val="24"/>
        </w:rPr>
        <w:tab/>
        <w:t>The Nigerian Journal of Sociology an……….</w:t>
      </w:r>
    </w:p>
    <w:p w:rsidR="003069A1" w:rsidRDefault="006037BE">
      <w:pPr>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shd w:val="clear" w:color="auto" w:fill="FFFFFF"/>
        </w:rPr>
        <w:t>Ntoimo</w:t>
      </w:r>
      <w:proofErr w:type="spellEnd"/>
      <w:r>
        <w:rPr>
          <w:rFonts w:ascii="Times New Roman" w:hAnsi="Times New Roman" w:cs="Times New Roman"/>
          <w:color w:val="000000"/>
          <w:sz w:val="24"/>
          <w:szCs w:val="24"/>
          <w:shd w:val="clear" w:color="auto" w:fill="FFFFFF"/>
        </w:rPr>
        <w:t xml:space="preserve"> LFC, </w:t>
      </w:r>
      <w:proofErr w:type="spellStart"/>
      <w:r>
        <w:rPr>
          <w:rFonts w:ascii="Times New Roman" w:hAnsi="Times New Roman" w:cs="Times New Roman"/>
          <w:color w:val="000000"/>
          <w:sz w:val="24"/>
          <w:szCs w:val="24"/>
          <w:shd w:val="clear" w:color="auto" w:fill="FFFFFF"/>
        </w:rPr>
        <w:t>Okonofua</w:t>
      </w:r>
      <w:proofErr w:type="spellEnd"/>
      <w:r>
        <w:rPr>
          <w:rFonts w:ascii="Times New Roman" w:hAnsi="Times New Roman" w:cs="Times New Roman"/>
          <w:color w:val="000000"/>
          <w:sz w:val="24"/>
          <w:szCs w:val="24"/>
          <w:shd w:val="clear" w:color="auto" w:fill="FFFFFF"/>
        </w:rPr>
        <w:t xml:space="preserve"> FE, &amp; </w:t>
      </w:r>
      <w:proofErr w:type="spellStart"/>
      <w:r>
        <w:rPr>
          <w:rFonts w:ascii="Times New Roman" w:hAnsi="Times New Roman" w:cs="Times New Roman"/>
          <w:color w:val="000000"/>
          <w:sz w:val="24"/>
          <w:szCs w:val="24"/>
          <w:shd w:val="clear" w:color="auto" w:fill="FFFFFF"/>
        </w:rPr>
        <w:t>Igboin</w:t>
      </w:r>
      <w:proofErr w:type="spellEnd"/>
      <w:r>
        <w:rPr>
          <w:rFonts w:ascii="Times New Roman" w:hAnsi="Times New Roman" w:cs="Times New Roman"/>
          <w:color w:val="000000"/>
          <w:sz w:val="24"/>
          <w:szCs w:val="24"/>
          <w:shd w:val="clear" w:color="auto" w:fill="FFFFFF"/>
        </w:rPr>
        <w:t xml:space="preserve"> B </w:t>
      </w:r>
      <w:r>
        <w:rPr>
          <w:rFonts w:ascii="Times New Roman" w:hAnsi="Times New Roman" w:cs="Times New Roman"/>
          <w:iCs/>
          <w:color w:val="000000"/>
          <w:sz w:val="24"/>
          <w:szCs w:val="24"/>
          <w:shd w:val="clear" w:color="auto" w:fill="FFFFFF"/>
        </w:rPr>
        <w:t>(2019).</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Why rural women do not use primary health centres for pregnancy care: evidence from a qualitative study in Nigeria. </w:t>
      </w:r>
      <w:r>
        <w:rPr>
          <w:rFonts w:ascii="Times New Roman" w:hAnsi="Times New Roman" w:cs="Times New Roman"/>
          <w:i/>
          <w:iCs/>
          <w:color w:val="000000"/>
          <w:sz w:val="24"/>
          <w:szCs w:val="24"/>
          <w:shd w:val="clear" w:color="auto" w:fill="FFFFFF"/>
        </w:rPr>
        <w:t>Biomedical care journal of pregnancy childbirth</w:t>
      </w:r>
      <w:r>
        <w:rPr>
          <w:rFonts w:ascii="Times New Roman" w:hAnsi="Times New Roman" w:cs="Times New Roman"/>
          <w:color w:val="000000"/>
          <w:sz w:val="24"/>
          <w:szCs w:val="24"/>
          <w:shd w:val="clear" w:color="auto" w:fill="FFFFFF"/>
        </w:rPr>
        <w:t> </w:t>
      </w:r>
      <w:r>
        <w:rPr>
          <w:rFonts w:ascii="Times New Roman" w:hAnsi="Times New Roman" w:cs="Times New Roman"/>
          <w:bCs/>
          <w:color w:val="000000"/>
          <w:sz w:val="24"/>
          <w:szCs w:val="24"/>
          <w:shd w:val="clear" w:color="auto" w:fill="FFFFFF"/>
        </w:rPr>
        <w:t>1(9);</w:t>
      </w:r>
      <w:r>
        <w:rPr>
          <w:rFonts w:ascii="Times New Roman" w:hAnsi="Times New Roman" w:cs="Times New Roman"/>
          <w:color w:val="000000"/>
          <w:sz w:val="24"/>
          <w:szCs w:val="24"/>
          <w:shd w:val="clear" w:color="auto" w:fill="FFFFFF"/>
        </w:rPr>
        <w:t xml:space="preserve"> 277.  </w:t>
      </w:r>
      <w:hyperlink r:id="rId20" w:history="1">
        <w:r>
          <w:rPr>
            <w:rStyle w:val="Hyperlink"/>
            <w:rFonts w:ascii="Times New Roman" w:hAnsi="Times New Roman" w:cs="Times New Roman"/>
            <w:color w:val="000000"/>
            <w:sz w:val="24"/>
            <w:szCs w:val="24"/>
            <w:shd w:val="clear" w:color="auto" w:fill="FFFFFF"/>
          </w:rPr>
          <w:t>https://doi.org/10.1186/s12884-019-2433-1</w:t>
        </w:r>
      </w:hyperlink>
    </w:p>
    <w:p w:rsidR="003069A1" w:rsidRDefault="00B66F07">
      <w:pPr>
        <w:ind w:left="630" w:hanging="630"/>
        <w:jc w:val="both"/>
        <w:rPr>
          <w:rFonts w:ascii="Times New Roman" w:hAnsi="Times New Roman"/>
          <w:i/>
          <w:color w:val="000000"/>
          <w:sz w:val="24"/>
          <w:szCs w:val="24"/>
        </w:rPr>
      </w:pPr>
      <w:hyperlink r:id="rId21" w:anchor="con0" w:history="1">
        <w:r w:rsidR="006037BE">
          <w:rPr>
            <w:rStyle w:val="Hyperlink"/>
            <w:rFonts w:ascii="Times New Roman" w:hAnsi="Times New Roman"/>
            <w:color w:val="000000"/>
            <w:sz w:val="24"/>
            <w:szCs w:val="24"/>
            <w:u w:val="none"/>
          </w:rPr>
          <w:t>Ofori-</w:t>
        </w:r>
        <w:proofErr w:type="spellStart"/>
        <w:r w:rsidR="006037BE">
          <w:rPr>
            <w:rStyle w:val="Hyperlink"/>
            <w:rFonts w:ascii="Times New Roman" w:hAnsi="Times New Roman"/>
            <w:color w:val="000000"/>
            <w:sz w:val="24"/>
            <w:szCs w:val="24"/>
            <w:u w:val="none"/>
          </w:rPr>
          <w:t>Asenso</w:t>
        </w:r>
        <w:proofErr w:type="spellEnd"/>
        <w:r w:rsidR="006037BE">
          <w:rPr>
            <w:rStyle w:val="Hyperlink"/>
            <w:rFonts w:ascii="Times New Roman" w:hAnsi="Times New Roman"/>
            <w:color w:val="000000"/>
            <w:sz w:val="24"/>
            <w:szCs w:val="24"/>
            <w:u w:val="none"/>
          </w:rPr>
          <w:t>,</w:t>
        </w:r>
        <w:r w:rsidR="006037BE">
          <w:rPr>
            <w:rStyle w:val="Hyperlink"/>
            <w:rFonts w:ascii="Times New Roman" w:hAnsi="Times New Roman"/>
            <w:color w:val="000000"/>
            <w:sz w:val="24"/>
            <w:szCs w:val="24"/>
            <w:u w:val="none"/>
            <w:vertAlign w:val="superscript"/>
          </w:rPr>
          <w:t> </w:t>
        </w:r>
      </w:hyperlink>
      <w:r w:rsidR="006037BE">
        <w:rPr>
          <w:rFonts w:ascii="Times New Roman" w:hAnsi="Times New Roman"/>
          <w:color w:val="000000"/>
          <w:sz w:val="24"/>
          <w:szCs w:val="24"/>
        </w:rPr>
        <w:t xml:space="preserve"> </w:t>
      </w:r>
      <w:r w:rsidR="006037BE">
        <w:rPr>
          <w:rStyle w:val="authors"/>
          <w:rFonts w:ascii="Times New Roman" w:hAnsi="Times New Roman"/>
          <w:color w:val="000000"/>
          <w:sz w:val="24"/>
          <w:szCs w:val="24"/>
        </w:rPr>
        <w:t>R.,</w:t>
      </w:r>
      <w:hyperlink r:id="rId22" w:anchor="con1" w:history="1">
        <w:r w:rsidR="006037BE">
          <w:rPr>
            <w:rStyle w:val="Hyperlink"/>
            <w:rFonts w:ascii="Times New Roman" w:hAnsi="Times New Roman"/>
            <w:color w:val="000000"/>
            <w:sz w:val="24"/>
            <w:szCs w:val="24"/>
            <w:u w:val="none"/>
          </w:rPr>
          <w:t xml:space="preserve"> Agyeman</w:t>
        </w:r>
        <w:r w:rsidR="006037BE">
          <w:rPr>
            <w:rStyle w:val="Hyperlink"/>
            <w:rFonts w:ascii="Times New Roman" w:hAnsi="Times New Roman"/>
            <w:color w:val="000000"/>
            <w:sz w:val="24"/>
            <w:szCs w:val="24"/>
            <w:u w:val="none"/>
            <w:vertAlign w:val="superscript"/>
          </w:rPr>
          <w:t> </w:t>
        </w:r>
      </w:hyperlink>
      <w:r w:rsidR="006037BE">
        <w:rPr>
          <w:rFonts w:ascii="Times New Roman" w:hAnsi="Times New Roman"/>
          <w:color w:val="000000"/>
          <w:sz w:val="24"/>
          <w:szCs w:val="24"/>
        </w:rPr>
        <w:t xml:space="preserve"> </w:t>
      </w:r>
      <w:r w:rsidR="006037BE">
        <w:rPr>
          <w:rStyle w:val="authors"/>
          <w:rFonts w:ascii="Times New Roman" w:hAnsi="Times New Roman"/>
          <w:color w:val="000000"/>
          <w:sz w:val="24"/>
          <w:szCs w:val="24"/>
        </w:rPr>
        <w:t xml:space="preserve">A.A., &amp; </w:t>
      </w:r>
      <w:hyperlink r:id="rId23" w:anchor="con2" w:history="1">
        <w:r w:rsidR="006037BE">
          <w:rPr>
            <w:rStyle w:val="Hyperlink"/>
            <w:rFonts w:ascii="Times New Roman" w:hAnsi="Times New Roman"/>
            <w:color w:val="000000"/>
            <w:sz w:val="24"/>
            <w:szCs w:val="24"/>
            <w:u w:val="none"/>
          </w:rPr>
          <w:t xml:space="preserve">G., </w:t>
        </w:r>
        <w:proofErr w:type="spellStart"/>
        <w:r w:rsidR="006037BE">
          <w:rPr>
            <w:rStyle w:val="Hyperlink"/>
            <w:rFonts w:ascii="Times New Roman" w:hAnsi="Times New Roman"/>
            <w:color w:val="000000"/>
            <w:sz w:val="24"/>
            <w:szCs w:val="24"/>
            <w:u w:val="none"/>
          </w:rPr>
          <w:t>Ashiagbor</w:t>
        </w:r>
        <w:proofErr w:type="spellEnd"/>
        <w:r w:rsidR="006037BE">
          <w:rPr>
            <w:rStyle w:val="Hyperlink"/>
            <w:rFonts w:ascii="Times New Roman" w:hAnsi="Times New Roman"/>
            <w:color w:val="000000"/>
            <w:sz w:val="24"/>
            <w:szCs w:val="24"/>
            <w:u w:val="none"/>
          </w:rPr>
          <w:t xml:space="preserve"> (2017). </w:t>
        </w:r>
        <w:r w:rsidR="006037BE">
          <w:rPr>
            <w:rStyle w:val="Hyperlink"/>
            <w:rFonts w:ascii="Times New Roman" w:hAnsi="Times New Roman"/>
            <w:color w:val="000000"/>
            <w:sz w:val="24"/>
            <w:szCs w:val="24"/>
            <w:u w:val="none"/>
            <w:vertAlign w:val="superscript"/>
          </w:rPr>
          <w:t> </w:t>
        </w:r>
      </w:hyperlink>
      <w:r w:rsidR="006037BE">
        <w:rPr>
          <w:rFonts w:ascii="Times New Roman" w:hAnsi="Times New Roman"/>
          <w:color w:val="000000"/>
          <w:sz w:val="24"/>
          <w:szCs w:val="24"/>
        </w:rPr>
        <w:t xml:space="preserve">Anthropometric Profiles of Child-bearing Women in Ghana — Past Measurements and Future Trends. </w:t>
      </w:r>
      <w:r w:rsidR="006037BE">
        <w:rPr>
          <w:rFonts w:ascii="Times New Roman" w:hAnsi="Times New Roman"/>
          <w:i/>
          <w:color w:val="000000"/>
          <w:sz w:val="24"/>
          <w:szCs w:val="24"/>
        </w:rPr>
        <w:t xml:space="preserve">The open public health journal. </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Oguoma</w:t>
      </w:r>
      <w:proofErr w:type="spellEnd"/>
      <w:r>
        <w:rPr>
          <w:rFonts w:ascii="Times New Roman" w:hAnsi="Times New Roman"/>
          <w:color w:val="000000"/>
          <w:sz w:val="24"/>
          <w:szCs w:val="24"/>
          <w:shd w:val="clear" w:color="auto" w:fill="FFFFFF"/>
        </w:rPr>
        <w:t xml:space="preserve">, V.M., </w:t>
      </w:r>
      <w:proofErr w:type="spellStart"/>
      <w:r>
        <w:rPr>
          <w:rFonts w:ascii="Times New Roman" w:hAnsi="Times New Roman"/>
          <w:color w:val="000000"/>
          <w:sz w:val="24"/>
          <w:szCs w:val="24"/>
          <w:shd w:val="clear" w:color="auto" w:fill="FFFFFF"/>
        </w:rPr>
        <w:t>Nwose</w:t>
      </w:r>
      <w:proofErr w:type="spellEnd"/>
      <w:r>
        <w:rPr>
          <w:rFonts w:ascii="Times New Roman" w:hAnsi="Times New Roman"/>
          <w:color w:val="000000"/>
          <w:sz w:val="24"/>
          <w:szCs w:val="24"/>
          <w:shd w:val="clear" w:color="auto" w:fill="FFFFFF"/>
        </w:rPr>
        <w:t xml:space="preserve">, E.U., </w:t>
      </w:r>
      <w:r>
        <w:rPr>
          <w:rFonts w:ascii="Times New Roman" w:hAnsi="Times New Roman"/>
          <w:color w:val="000000"/>
          <w:shd w:val="clear" w:color="auto" w:fill="FFFFFF"/>
        </w:rPr>
        <w:t xml:space="preserve">&amp; </w:t>
      </w:r>
      <w:r>
        <w:rPr>
          <w:rFonts w:ascii="Times New Roman" w:hAnsi="Times New Roman"/>
          <w:color w:val="000000"/>
          <w:sz w:val="24"/>
          <w:szCs w:val="24"/>
          <w:shd w:val="clear" w:color="auto" w:fill="FFFFFF"/>
        </w:rPr>
        <w:t>Skinner, T.C. </w:t>
      </w:r>
      <w:r>
        <w:rPr>
          <w:rFonts w:ascii="Times New Roman" w:hAnsi="Times New Roman"/>
          <w:color w:val="000000"/>
          <w:shd w:val="clear" w:color="auto" w:fill="FFFFFF"/>
        </w:rPr>
        <w:t>(</w:t>
      </w:r>
      <w:r>
        <w:rPr>
          <w:rFonts w:ascii="Times New Roman" w:hAnsi="Times New Roman"/>
          <w:iCs/>
          <w:color w:val="000000"/>
          <w:shd w:val="clear" w:color="auto" w:fill="FFFFFF"/>
        </w:rPr>
        <w:t>2015)</w:t>
      </w:r>
      <w:r>
        <w:rPr>
          <w:rFonts w:ascii="Times New Roman" w:hAnsi="Times New Roman"/>
          <w:i/>
          <w:iCs/>
          <w:color w:val="000000"/>
          <w:shd w:val="clear" w:color="auto" w:fill="FFFFFF"/>
        </w:rPr>
        <w:t>.</w:t>
      </w:r>
      <w:r>
        <w:rPr>
          <w:rFonts w:ascii="Times New Roman" w:hAnsi="Times New Roman"/>
          <w:color w:val="000000"/>
          <w:sz w:val="24"/>
          <w:szCs w:val="24"/>
          <w:shd w:val="clear" w:color="auto" w:fill="FFFFFF"/>
        </w:rPr>
        <w:t> Prevalence of cardiovascular disease risk factors among a Nigerian adult population: relationship with income level and accessibility to CVD risks screening. </w:t>
      </w:r>
      <w:r>
        <w:rPr>
          <w:rFonts w:ascii="Times New Roman" w:hAnsi="Times New Roman"/>
          <w:i/>
          <w:iCs/>
          <w:color w:val="000000"/>
          <w:sz w:val="24"/>
          <w:szCs w:val="24"/>
          <w:shd w:val="clear" w:color="auto" w:fill="FFFFFF"/>
        </w:rPr>
        <w:t>Biomedical care journal of public health</w:t>
      </w:r>
      <w:r>
        <w:rPr>
          <w:rFonts w:ascii="Times New Roman" w:hAnsi="Times New Roman"/>
          <w:color w:val="000000"/>
          <w:sz w:val="24"/>
          <w:szCs w:val="24"/>
          <w:shd w:val="clear" w:color="auto" w:fill="FFFFFF"/>
        </w:rPr>
        <w:t> </w:t>
      </w:r>
      <w:r>
        <w:rPr>
          <w:rFonts w:ascii="Times New Roman" w:hAnsi="Times New Roman"/>
          <w:bCs/>
          <w:color w:val="000000"/>
          <w:sz w:val="24"/>
          <w:szCs w:val="24"/>
          <w:shd w:val="clear" w:color="auto" w:fill="FFFFFF"/>
        </w:rPr>
        <w:t>15</w:t>
      </w:r>
      <w:r>
        <w:rPr>
          <w:rFonts w:ascii="Times New Roman" w:hAnsi="Times New Roman"/>
          <w:color w:val="000000"/>
          <w:sz w:val="24"/>
          <w:szCs w:val="24"/>
          <w:shd w:val="clear" w:color="auto" w:fill="FFFFFF"/>
        </w:rPr>
        <w:t xml:space="preserve">, 397. </w:t>
      </w:r>
      <w:hyperlink r:id="rId24" w:history="1">
        <w:r>
          <w:rPr>
            <w:rStyle w:val="Hyperlink"/>
            <w:rFonts w:ascii="Times New Roman" w:hAnsi="Times New Roman"/>
            <w:color w:val="000000"/>
            <w:sz w:val="24"/>
            <w:szCs w:val="24"/>
            <w:shd w:val="clear" w:color="auto" w:fill="FFFFFF"/>
          </w:rPr>
          <w:t>https://doi.org/10.1186/s12889-015-1709-2</w:t>
        </w:r>
      </w:hyperlink>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Oladosu</w:t>
      </w:r>
      <w:proofErr w:type="spellEnd"/>
      <w:r>
        <w:rPr>
          <w:rFonts w:ascii="Times New Roman" w:hAnsi="Times New Roman"/>
          <w:color w:val="000000"/>
          <w:sz w:val="24"/>
          <w:szCs w:val="24"/>
          <w:shd w:val="clear" w:color="auto" w:fill="FFFFFF"/>
        </w:rPr>
        <w:t xml:space="preserve"> W.O., </w:t>
      </w:r>
      <w:proofErr w:type="spellStart"/>
      <w:r>
        <w:rPr>
          <w:rFonts w:ascii="Times New Roman" w:hAnsi="Times New Roman"/>
          <w:color w:val="000000"/>
          <w:sz w:val="24"/>
          <w:szCs w:val="24"/>
          <w:shd w:val="clear" w:color="auto" w:fill="FFFFFF"/>
        </w:rPr>
        <w:t>Alayo</w:t>
      </w:r>
      <w:proofErr w:type="spellEnd"/>
      <w:r>
        <w:rPr>
          <w:rFonts w:ascii="Times New Roman" w:hAnsi="Times New Roman"/>
          <w:color w:val="000000"/>
          <w:sz w:val="24"/>
          <w:szCs w:val="24"/>
          <w:shd w:val="clear" w:color="auto" w:fill="FFFFFF"/>
        </w:rPr>
        <w:t xml:space="preserve">, A.M., Ahmed, A.O., </w:t>
      </w:r>
      <w:proofErr w:type="spellStart"/>
      <w:r>
        <w:rPr>
          <w:rFonts w:ascii="Times New Roman" w:hAnsi="Times New Roman"/>
          <w:color w:val="000000"/>
          <w:sz w:val="24"/>
          <w:szCs w:val="24"/>
          <w:shd w:val="clear" w:color="auto" w:fill="FFFFFF"/>
        </w:rPr>
        <w:t>Jimoh</w:t>
      </w:r>
      <w:proofErr w:type="spellEnd"/>
      <w:r>
        <w:rPr>
          <w:rFonts w:ascii="Times New Roman" w:hAnsi="Times New Roman"/>
          <w:color w:val="000000"/>
          <w:sz w:val="24"/>
          <w:szCs w:val="24"/>
          <w:shd w:val="clear" w:color="auto" w:fill="FFFFFF"/>
        </w:rPr>
        <w:t xml:space="preserve"> O.S., </w:t>
      </w:r>
      <w:proofErr w:type="spellStart"/>
      <w:r>
        <w:rPr>
          <w:rFonts w:ascii="Times New Roman" w:hAnsi="Times New Roman"/>
          <w:color w:val="000000"/>
          <w:sz w:val="24"/>
          <w:szCs w:val="24"/>
          <w:shd w:val="clear" w:color="auto" w:fill="FFFFFF"/>
        </w:rPr>
        <w:t>Olarinoye</w:t>
      </w:r>
      <w:proofErr w:type="spellEnd"/>
      <w:r>
        <w:rPr>
          <w:rFonts w:ascii="Times New Roman" w:hAnsi="Times New Roman"/>
          <w:color w:val="000000"/>
          <w:sz w:val="24"/>
          <w:szCs w:val="24"/>
          <w:shd w:val="clear" w:color="auto" w:fill="FFFFFF"/>
        </w:rPr>
        <w:t xml:space="preserve">-Raji, S.T., </w:t>
      </w:r>
      <w:proofErr w:type="spellStart"/>
      <w:r>
        <w:rPr>
          <w:rFonts w:ascii="Times New Roman" w:hAnsi="Times New Roman"/>
          <w:color w:val="000000"/>
          <w:sz w:val="24"/>
          <w:szCs w:val="24"/>
          <w:shd w:val="clear" w:color="auto" w:fill="FFFFFF"/>
        </w:rPr>
        <w:t>Egbeyemi</w:t>
      </w:r>
      <w:proofErr w:type="spellEnd"/>
      <w:r>
        <w:rPr>
          <w:rFonts w:ascii="Times New Roman" w:hAnsi="Times New Roman"/>
          <w:color w:val="000000"/>
          <w:sz w:val="24"/>
          <w:szCs w:val="24"/>
          <w:shd w:val="clear" w:color="auto" w:fill="FFFFFF"/>
        </w:rPr>
        <w:t xml:space="preserve">, B.A., &amp; </w:t>
      </w:r>
      <w:proofErr w:type="spellStart"/>
      <w:r>
        <w:rPr>
          <w:rFonts w:ascii="Times New Roman" w:hAnsi="Times New Roman"/>
          <w:color w:val="000000"/>
          <w:sz w:val="24"/>
          <w:szCs w:val="24"/>
          <w:shd w:val="clear" w:color="auto" w:fill="FFFFFF"/>
        </w:rPr>
        <w:t>Ajadi</w:t>
      </w:r>
      <w:proofErr w:type="spellEnd"/>
      <w:r>
        <w:rPr>
          <w:rFonts w:ascii="Times New Roman" w:hAnsi="Times New Roman"/>
          <w:color w:val="000000"/>
          <w:sz w:val="24"/>
          <w:szCs w:val="24"/>
          <w:shd w:val="clear" w:color="auto" w:fill="FFFFFF"/>
        </w:rPr>
        <w:t xml:space="preserve">, T.A., (2023). Assessment of Relationship between Anthropometric </w:t>
      </w:r>
      <w:r>
        <w:rPr>
          <w:rFonts w:ascii="Times New Roman" w:hAnsi="Times New Roman"/>
          <w:color w:val="000000"/>
          <w:sz w:val="24"/>
          <w:szCs w:val="24"/>
          <w:shd w:val="clear" w:color="auto" w:fill="FFFFFF"/>
        </w:rPr>
        <w:lastRenderedPageBreak/>
        <w:t xml:space="preserve">Measurements and Reproductive Hormonal Profiles, Among Females of Childbearing Age at a Tertiary Health Facility in Nigeria. </w:t>
      </w:r>
      <w:r>
        <w:rPr>
          <w:rFonts w:ascii="Times New Roman" w:hAnsi="Times New Roman"/>
          <w:i/>
          <w:color w:val="000000"/>
          <w:sz w:val="24"/>
          <w:szCs w:val="24"/>
          <w:shd w:val="clear" w:color="auto" w:fill="FFFFFF"/>
        </w:rPr>
        <w:t>International journal of medicine and health development</w:t>
      </w:r>
      <w:r>
        <w:rPr>
          <w:rFonts w:ascii="Times New Roman" w:hAnsi="Times New Roman"/>
          <w:color w:val="000000"/>
          <w:sz w:val="24"/>
          <w:szCs w:val="24"/>
          <w:shd w:val="clear" w:color="auto" w:fill="FFFFFF"/>
        </w:rPr>
        <w:t xml:space="preserve"> 28(1</w:t>
      </w:r>
      <w:proofErr w:type="gramStart"/>
      <w:r>
        <w:rPr>
          <w:rFonts w:ascii="Times New Roman" w:hAnsi="Times New Roman"/>
          <w:color w:val="000000"/>
          <w:sz w:val="24"/>
          <w:szCs w:val="24"/>
          <w:shd w:val="clear" w:color="auto" w:fill="FFFFFF"/>
        </w:rPr>
        <w:t>):p</w:t>
      </w:r>
      <w:proofErr w:type="gramEnd"/>
      <w:r>
        <w:rPr>
          <w:rFonts w:ascii="Times New Roman" w:hAnsi="Times New Roman"/>
          <w:color w:val="000000"/>
          <w:sz w:val="24"/>
          <w:szCs w:val="24"/>
          <w:shd w:val="clear" w:color="auto" w:fill="FFFFFF"/>
        </w:rPr>
        <w:t xml:space="preserve"> 12-18, DOI: 10.4103/ijmh.IJMH_47_22</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Onokpite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E,Solomon</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MU,Tonkiri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A,Kemmer</w:t>
      </w:r>
      <w:proofErr w:type="spellEnd"/>
      <w:r>
        <w:rPr>
          <w:rFonts w:ascii="Times New Roman" w:hAnsi="Times New Roman"/>
          <w:color w:val="000000"/>
          <w:sz w:val="24"/>
          <w:szCs w:val="24"/>
          <w:shd w:val="clear" w:color="auto" w:fill="FFFFFF"/>
        </w:rPr>
        <w:t xml:space="preserve"> B, Blessing LD (2024).Assessment of maternal mortality and contributing factors in some rural communities of Bayelsa state ,Nigeria. International Journal of Research and Report in Gynecology 7(1) :136-142.</w:t>
      </w:r>
    </w:p>
    <w:p w:rsidR="00054611" w:rsidRPr="00BD5887" w:rsidRDefault="00054611">
      <w:pPr>
        <w:ind w:left="630" w:hanging="630"/>
        <w:jc w:val="both"/>
        <w:rPr>
          <w:rFonts w:ascii="Times New Roman" w:hAnsi="Times New Roman"/>
          <w:color w:val="00B050"/>
          <w:sz w:val="24"/>
          <w:szCs w:val="24"/>
          <w:shd w:val="clear" w:color="auto" w:fill="FFFFFF"/>
        </w:rPr>
      </w:pPr>
      <w:proofErr w:type="spellStart"/>
      <w:r w:rsidRPr="00BD5887">
        <w:rPr>
          <w:rFonts w:ascii="Times New Roman" w:hAnsi="Times New Roman"/>
          <w:color w:val="00B050"/>
          <w:sz w:val="24"/>
          <w:szCs w:val="24"/>
          <w:shd w:val="clear" w:color="auto" w:fill="FFFFFF"/>
        </w:rPr>
        <w:t>Ope</w:t>
      </w:r>
      <w:proofErr w:type="spellEnd"/>
      <w:r w:rsidRPr="00BD5887">
        <w:rPr>
          <w:rFonts w:ascii="Times New Roman" w:hAnsi="Times New Roman"/>
          <w:color w:val="00B050"/>
          <w:sz w:val="24"/>
          <w:szCs w:val="24"/>
          <w:shd w:val="clear" w:color="auto" w:fill="FFFFFF"/>
        </w:rPr>
        <w:t xml:space="preserve"> </w:t>
      </w:r>
      <w:proofErr w:type="spellStart"/>
      <w:proofErr w:type="gramStart"/>
      <w:r w:rsidRPr="00BD5887">
        <w:rPr>
          <w:rFonts w:ascii="Times New Roman" w:hAnsi="Times New Roman"/>
          <w:color w:val="00B050"/>
          <w:sz w:val="24"/>
          <w:szCs w:val="24"/>
          <w:shd w:val="clear" w:color="auto" w:fill="FFFFFF"/>
        </w:rPr>
        <w:t>ZA,Mary</w:t>
      </w:r>
      <w:proofErr w:type="spellEnd"/>
      <w:proofErr w:type="gramEnd"/>
      <w:r w:rsidRPr="00BD5887">
        <w:rPr>
          <w:rFonts w:ascii="Times New Roman" w:hAnsi="Times New Roman"/>
          <w:color w:val="00B050"/>
          <w:sz w:val="24"/>
          <w:szCs w:val="24"/>
          <w:shd w:val="clear" w:color="auto" w:fill="FFFFFF"/>
        </w:rPr>
        <w:t xml:space="preserve"> </w:t>
      </w:r>
      <w:proofErr w:type="spellStart"/>
      <w:r w:rsidRPr="00BD5887">
        <w:rPr>
          <w:rFonts w:ascii="Times New Roman" w:hAnsi="Times New Roman"/>
          <w:color w:val="00B050"/>
          <w:sz w:val="24"/>
          <w:szCs w:val="24"/>
          <w:shd w:val="clear" w:color="auto" w:fill="FFFFFF"/>
        </w:rPr>
        <w:t>OO,Goodnews</w:t>
      </w:r>
      <w:proofErr w:type="spellEnd"/>
      <w:r w:rsidRPr="00BD5887">
        <w:rPr>
          <w:rFonts w:ascii="Times New Roman" w:hAnsi="Times New Roman"/>
          <w:color w:val="00B050"/>
          <w:sz w:val="24"/>
          <w:szCs w:val="24"/>
          <w:shd w:val="clear" w:color="auto" w:fill="FFFFFF"/>
        </w:rPr>
        <w:t xml:space="preserve"> CO, </w:t>
      </w:r>
      <w:proofErr w:type="spellStart"/>
      <w:r w:rsidRPr="00BD5887">
        <w:rPr>
          <w:rFonts w:ascii="Times New Roman" w:hAnsi="Times New Roman"/>
          <w:color w:val="00B050"/>
          <w:sz w:val="24"/>
          <w:szCs w:val="24"/>
          <w:shd w:val="clear" w:color="auto" w:fill="FFFFFF"/>
        </w:rPr>
        <w:t>Uro</w:t>
      </w:r>
      <w:proofErr w:type="spellEnd"/>
      <w:r w:rsidRPr="00BD5887">
        <w:rPr>
          <w:rFonts w:ascii="Times New Roman" w:hAnsi="Times New Roman"/>
          <w:color w:val="00B050"/>
          <w:sz w:val="24"/>
          <w:szCs w:val="24"/>
          <w:shd w:val="clear" w:color="auto" w:fill="FFFFFF"/>
        </w:rPr>
        <w:t xml:space="preserve"> SB (2023).Prevalence and factors associated with overweight and obesity among staff of multinational companies in River state, Nigeria. International </w:t>
      </w:r>
      <w:r w:rsidR="006E7EFB" w:rsidRPr="00BD5887">
        <w:rPr>
          <w:rFonts w:ascii="Times New Roman" w:hAnsi="Times New Roman"/>
          <w:color w:val="00B050"/>
          <w:sz w:val="24"/>
          <w:szCs w:val="24"/>
          <w:shd w:val="clear" w:color="auto" w:fill="FFFFFF"/>
        </w:rPr>
        <w:t>Journal of Nutrition Sciences 8(1):27-35</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Opio</w:t>
      </w:r>
      <w:proofErr w:type="spellEnd"/>
      <w:r>
        <w:rPr>
          <w:rFonts w:ascii="Times New Roman" w:hAnsi="Times New Roman"/>
          <w:color w:val="000000"/>
          <w:sz w:val="24"/>
          <w:szCs w:val="24"/>
          <w:shd w:val="clear" w:color="auto" w:fill="FFFFFF"/>
        </w:rPr>
        <w:t xml:space="preserve"> J, Croker E, </w:t>
      </w:r>
      <w:proofErr w:type="spellStart"/>
      <w:r>
        <w:rPr>
          <w:rFonts w:ascii="Times New Roman" w:hAnsi="Times New Roman"/>
          <w:color w:val="000000"/>
          <w:sz w:val="24"/>
          <w:szCs w:val="24"/>
          <w:shd w:val="clear" w:color="auto" w:fill="FFFFFF"/>
        </w:rPr>
        <w:t>Odongo</w:t>
      </w:r>
      <w:proofErr w:type="spellEnd"/>
      <w:r>
        <w:rPr>
          <w:rFonts w:ascii="Times New Roman" w:hAnsi="Times New Roman"/>
          <w:color w:val="000000"/>
          <w:sz w:val="24"/>
          <w:szCs w:val="24"/>
          <w:shd w:val="clear" w:color="auto" w:fill="FFFFFF"/>
        </w:rPr>
        <w:t>, GS., Attia, Wynne, K, &amp; McEvoy, M (2020). Metabolically healthy overweight/obesity are associated with increased risk of cardiovascular disease in adults, even in the absence of metabolic risk factors: a systematic review and meta</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analysis of prospective cohort studies. </w:t>
      </w:r>
      <w:proofErr w:type="spellStart"/>
      <w:r>
        <w:rPr>
          <w:rStyle w:val="Emphasis"/>
          <w:rFonts w:ascii="Times New Roman" w:hAnsi="Times New Roman"/>
          <w:color w:val="000000"/>
          <w:sz w:val="24"/>
          <w:szCs w:val="24"/>
          <w:shd w:val="clear" w:color="auto" w:fill="FFFFFF"/>
        </w:rPr>
        <w:t>Obes</w:t>
      </w:r>
      <w:proofErr w:type="spellEnd"/>
      <w:r>
        <w:rPr>
          <w:rStyle w:val="Emphasis"/>
          <w:rFonts w:ascii="Times New Roman" w:hAnsi="Times New Roman"/>
          <w:color w:val="000000"/>
          <w:sz w:val="24"/>
          <w:szCs w:val="24"/>
          <w:shd w:val="clear" w:color="auto" w:fill="FFFFFF"/>
        </w:rPr>
        <w:t xml:space="preserve"> Rev</w:t>
      </w:r>
      <w:r>
        <w:rPr>
          <w:rFonts w:ascii="Times New Roman" w:hAnsi="Times New Roman"/>
          <w:color w:val="000000"/>
          <w:sz w:val="24"/>
          <w:szCs w:val="24"/>
          <w:shd w:val="clear" w:color="auto" w:fill="FFFFFF"/>
        </w:rPr>
        <w:t>. 2020;</w:t>
      </w:r>
      <w:proofErr w:type="gramStart"/>
      <w:r>
        <w:rPr>
          <w:rFonts w:ascii="Times New Roman" w:hAnsi="Times New Roman"/>
          <w:color w:val="000000"/>
          <w:sz w:val="24"/>
          <w:szCs w:val="24"/>
          <w:shd w:val="clear" w:color="auto" w:fill="FFFFFF"/>
        </w:rPr>
        <w:t>21:e</w:t>
      </w:r>
      <w:proofErr w:type="gramEnd"/>
      <w:r>
        <w:rPr>
          <w:rFonts w:ascii="Times New Roman" w:hAnsi="Times New Roman"/>
          <w:color w:val="000000"/>
          <w:sz w:val="24"/>
          <w:szCs w:val="24"/>
          <w:shd w:val="clear" w:color="auto" w:fill="FFFFFF"/>
        </w:rPr>
        <w:t>13127.</w:t>
      </w:r>
    </w:p>
    <w:p w:rsidR="003069A1" w:rsidRDefault="006037BE">
      <w:pPr>
        <w:pStyle w:val="NoSpacing"/>
        <w:spacing w:line="480" w:lineRule="auto"/>
        <w:ind w:left="720" w:hanging="720"/>
        <w:jc w:val="both"/>
        <w:rPr>
          <w:rFonts w:ascii="Times New Roman" w:hAnsi="Times New Roman"/>
          <w:sz w:val="24"/>
          <w:szCs w:val="24"/>
        </w:rPr>
      </w:pPr>
      <w:proofErr w:type="spellStart"/>
      <w:r>
        <w:rPr>
          <w:rFonts w:ascii="Times New Roman" w:hAnsi="Times New Roman"/>
          <w:sz w:val="24"/>
          <w:szCs w:val="24"/>
        </w:rPr>
        <w:t>Ovuakporaye</w:t>
      </w:r>
      <w:proofErr w:type="spellEnd"/>
      <w:r>
        <w:rPr>
          <w:rFonts w:ascii="Times New Roman" w:hAnsi="Times New Roman"/>
          <w:sz w:val="24"/>
          <w:szCs w:val="24"/>
        </w:rPr>
        <w:t xml:space="preserve"> Sol, </w:t>
      </w:r>
      <w:proofErr w:type="spellStart"/>
      <w:r>
        <w:rPr>
          <w:rFonts w:ascii="Times New Roman" w:hAnsi="Times New Roman"/>
          <w:sz w:val="24"/>
          <w:szCs w:val="24"/>
        </w:rPr>
        <w:t>Igweh</w:t>
      </w:r>
      <w:proofErr w:type="spellEnd"/>
      <w:r>
        <w:rPr>
          <w:rFonts w:ascii="Times New Roman" w:hAnsi="Times New Roman"/>
          <w:sz w:val="24"/>
          <w:szCs w:val="24"/>
        </w:rPr>
        <w:t xml:space="preserve"> C.J., </w:t>
      </w:r>
      <w:proofErr w:type="spellStart"/>
      <w:r>
        <w:rPr>
          <w:rFonts w:ascii="Times New Roman" w:hAnsi="Times New Roman"/>
          <w:sz w:val="24"/>
          <w:szCs w:val="24"/>
        </w:rPr>
        <w:t>Aloamaka</w:t>
      </w:r>
      <w:proofErr w:type="spellEnd"/>
      <w:r>
        <w:rPr>
          <w:rFonts w:ascii="Times New Roman" w:hAnsi="Times New Roman"/>
          <w:sz w:val="24"/>
          <w:szCs w:val="24"/>
        </w:rPr>
        <w:t xml:space="preserve"> C.P. (2016). Imp-act of gas flaring on cardiopulmonary parameters of residents in gas flowing communities in Niger Delta Nigeria. British Journal of Medicine and Medical research 15 (6):1-13, (BJMMR).</w:t>
      </w:r>
    </w:p>
    <w:p w:rsidR="003069A1" w:rsidRDefault="006037BE">
      <w:pPr>
        <w:pStyle w:val="NoSpacing"/>
        <w:spacing w:line="480" w:lineRule="auto"/>
        <w:ind w:left="720" w:hanging="720"/>
        <w:jc w:val="both"/>
        <w:rPr>
          <w:rFonts w:ascii="Times New Roman" w:hAnsi="Times New Roman"/>
          <w:sz w:val="24"/>
          <w:szCs w:val="24"/>
        </w:rPr>
      </w:pPr>
      <w:proofErr w:type="spellStart"/>
      <w:r>
        <w:rPr>
          <w:rFonts w:ascii="Times New Roman" w:hAnsi="Times New Roman"/>
          <w:sz w:val="24"/>
          <w:szCs w:val="24"/>
        </w:rPr>
        <w:t>Ovuakporaye</w:t>
      </w:r>
      <w:proofErr w:type="spellEnd"/>
      <w:r>
        <w:rPr>
          <w:rFonts w:ascii="Times New Roman" w:hAnsi="Times New Roman"/>
          <w:sz w:val="24"/>
          <w:szCs w:val="24"/>
        </w:rPr>
        <w:t xml:space="preserve"> S.I, </w:t>
      </w:r>
      <w:proofErr w:type="spellStart"/>
      <w:r>
        <w:rPr>
          <w:rFonts w:ascii="Times New Roman" w:hAnsi="Times New Roman"/>
          <w:sz w:val="24"/>
          <w:szCs w:val="24"/>
        </w:rPr>
        <w:t>Enaohwo</w:t>
      </w:r>
      <w:proofErr w:type="spellEnd"/>
      <w:r>
        <w:rPr>
          <w:rFonts w:ascii="Times New Roman" w:hAnsi="Times New Roman"/>
          <w:sz w:val="24"/>
          <w:szCs w:val="24"/>
        </w:rPr>
        <w:t xml:space="preserve"> M.T, </w:t>
      </w:r>
      <w:proofErr w:type="spellStart"/>
      <w:r>
        <w:rPr>
          <w:rFonts w:ascii="Times New Roman" w:hAnsi="Times New Roman"/>
          <w:sz w:val="24"/>
          <w:szCs w:val="24"/>
        </w:rPr>
        <w:t>Odigie</w:t>
      </w:r>
      <w:proofErr w:type="spellEnd"/>
      <w:r>
        <w:rPr>
          <w:rFonts w:ascii="Times New Roman" w:hAnsi="Times New Roman"/>
          <w:sz w:val="24"/>
          <w:szCs w:val="24"/>
        </w:rPr>
        <w:t xml:space="preserve"> O.M, </w:t>
      </w:r>
      <w:proofErr w:type="spellStart"/>
      <w:r>
        <w:rPr>
          <w:rFonts w:ascii="Times New Roman" w:hAnsi="Times New Roman"/>
          <w:sz w:val="24"/>
          <w:szCs w:val="24"/>
        </w:rPr>
        <w:t>Igwe</w:t>
      </w:r>
      <w:proofErr w:type="spellEnd"/>
      <w:r>
        <w:rPr>
          <w:rFonts w:ascii="Times New Roman" w:hAnsi="Times New Roman"/>
          <w:sz w:val="24"/>
          <w:szCs w:val="24"/>
        </w:rPr>
        <w:t xml:space="preserve"> J.C (2019).A comparative study on cardiopulmonary markers in gas flaring communities, south-south Nigeria. Journal of pulmonary and respiratory medicine 9;486.doi;10.4172/2161-105x,1000486.</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Shahraki</w:t>
      </w:r>
      <w:proofErr w:type="spellEnd"/>
      <w:r>
        <w:rPr>
          <w:rFonts w:ascii="Times New Roman" w:hAnsi="Times New Roman"/>
          <w:color w:val="000000"/>
          <w:sz w:val="24"/>
          <w:szCs w:val="24"/>
          <w:shd w:val="clear" w:color="auto" w:fill="FFFFFF"/>
        </w:rPr>
        <w:t xml:space="preserve"> M, </w:t>
      </w:r>
      <w:r>
        <w:rPr>
          <w:rFonts w:ascii="Times New Roman" w:hAnsi="Times New Roman"/>
          <w:i/>
          <w:color w:val="000000"/>
          <w:sz w:val="24"/>
          <w:szCs w:val="24"/>
          <w:shd w:val="clear" w:color="auto" w:fill="FFFFFF"/>
        </w:rPr>
        <w:t>et al</w:t>
      </w:r>
      <w:r>
        <w:rPr>
          <w:rFonts w:ascii="Times New Roman" w:hAnsi="Times New Roman"/>
          <w:color w:val="000000"/>
          <w:sz w:val="24"/>
          <w:szCs w:val="24"/>
          <w:shd w:val="clear" w:color="auto" w:fill="FFFFFF"/>
        </w:rPr>
        <w:t>. The Leading Anthropometric Indicator of Cardiovascular Health Risks among Female Nurses: A Cross-Sectional Study. Ann Med Health Sci Res. 2017; 7: 52-59</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Solomon </w:t>
      </w:r>
      <w:proofErr w:type="spellStart"/>
      <w:r>
        <w:rPr>
          <w:rFonts w:ascii="Times New Roman" w:hAnsi="Times New Roman"/>
          <w:color w:val="000000"/>
          <w:sz w:val="24"/>
          <w:szCs w:val="24"/>
          <w:shd w:val="clear" w:color="auto" w:fill="FFFFFF"/>
        </w:rPr>
        <w:t>MU,Charles</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NN,Emily</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Kiridi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GE,Okuroemi</w:t>
      </w:r>
      <w:proofErr w:type="spellEnd"/>
      <w:r>
        <w:rPr>
          <w:rFonts w:ascii="Times New Roman" w:hAnsi="Times New Roman"/>
          <w:color w:val="000000"/>
          <w:sz w:val="24"/>
          <w:szCs w:val="24"/>
          <w:shd w:val="clear" w:color="auto" w:fill="FFFFFF"/>
        </w:rPr>
        <w:t xml:space="preserve"> OH (2021).Dietary effect on </w:t>
      </w:r>
      <w:proofErr w:type="spellStart"/>
      <w:r>
        <w:rPr>
          <w:rFonts w:ascii="Times New Roman" w:hAnsi="Times New Roman"/>
          <w:color w:val="000000"/>
          <w:sz w:val="24"/>
          <w:szCs w:val="24"/>
          <w:shd w:val="clear" w:color="auto" w:fill="FFFFFF"/>
        </w:rPr>
        <w:t>cradio</w:t>
      </w:r>
      <w:proofErr w:type="spellEnd"/>
      <w:r>
        <w:rPr>
          <w:rFonts w:ascii="Times New Roman" w:hAnsi="Times New Roman"/>
          <w:color w:val="000000"/>
          <w:sz w:val="24"/>
          <w:szCs w:val="24"/>
          <w:shd w:val="clear" w:color="auto" w:fill="FFFFFF"/>
        </w:rPr>
        <w:t>-renal parameters of women residents in in gas flares polluted environment in Bayelsa state, Nigeria. International Journal of Scientific and Research Publication 11(12):157-166.</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Solomon </w:t>
      </w:r>
      <w:proofErr w:type="spellStart"/>
      <w:proofErr w:type="gramStart"/>
      <w:r>
        <w:rPr>
          <w:rFonts w:ascii="Times New Roman" w:hAnsi="Times New Roman"/>
          <w:color w:val="000000"/>
          <w:sz w:val="24"/>
          <w:szCs w:val="24"/>
          <w:shd w:val="clear" w:color="auto" w:fill="FFFFFF"/>
        </w:rPr>
        <w:t>MU,Nwafor</w:t>
      </w:r>
      <w:proofErr w:type="spellEnd"/>
      <w:proofErr w:type="gramEnd"/>
      <w:r>
        <w:rPr>
          <w:rFonts w:ascii="Times New Roman" w:hAnsi="Times New Roman"/>
          <w:color w:val="000000"/>
          <w:sz w:val="24"/>
          <w:szCs w:val="24"/>
          <w:shd w:val="clear" w:color="auto" w:fill="FFFFFF"/>
        </w:rPr>
        <w:t xml:space="preserve"> AC, </w:t>
      </w:r>
      <w:proofErr w:type="spellStart"/>
      <w:r>
        <w:rPr>
          <w:rFonts w:ascii="Times New Roman" w:hAnsi="Times New Roman"/>
          <w:color w:val="000000"/>
          <w:sz w:val="24"/>
          <w:szCs w:val="24"/>
          <w:shd w:val="clear" w:color="auto" w:fill="FFFFFF"/>
        </w:rPr>
        <w:t>Azibalua</w:t>
      </w:r>
      <w:proofErr w:type="spellEnd"/>
      <w:r>
        <w:rPr>
          <w:rFonts w:ascii="Times New Roman" w:hAnsi="Times New Roman"/>
          <w:color w:val="000000"/>
          <w:sz w:val="24"/>
          <w:szCs w:val="24"/>
          <w:shd w:val="clear" w:color="auto" w:fill="FFFFFF"/>
        </w:rPr>
        <w:t xml:space="preserve"> AA(2021).</w:t>
      </w:r>
      <w:proofErr w:type="spellStart"/>
      <w:r>
        <w:rPr>
          <w:rFonts w:ascii="Times New Roman" w:hAnsi="Times New Roman"/>
          <w:color w:val="000000"/>
          <w:sz w:val="24"/>
          <w:szCs w:val="24"/>
          <w:shd w:val="clear" w:color="auto" w:fill="FFFFFF"/>
        </w:rPr>
        <w:t>Avaluation</w:t>
      </w:r>
      <w:proofErr w:type="spellEnd"/>
      <w:r>
        <w:rPr>
          <w:rFonts w:ascii="Times New Roman" w:hAnsi="Times New Roman"/>
          <w:color w:val="000000"/>
          <w:sz w:val="24"/>
          <w:szCs w:val="24"/>
          <w:shd w:val="clear" w:color="auto" w:fill="FFFFFF"/>
        </w:rPr>
        <w:t xml:space="preserve"> of some cardiovascular parameters of apparently healthy </w:t>
      </w:r>
      <w:proofErr w:type="spellStart"/>
      <w:r>
        <w:rPr>
          <w:rFonts w:ascii="Times New Roman" w:hAnsi="Times New Roman"/>
          <w:color w:val="000000"/>
          <w:sz w:val="24"/>
          <w:szCs w:val="24"/>
          <w:shd w:val="clear" w:color="auto" w:fill="FFFFFF"/>
        </w:rPr>
        <w:t>pregnang</w:t>
      </w:r>
      <w:proofErr w:type="spellEnd"/>
      <w:r>
        <w:rPr>
          <w:rFonts w:ascii="Times New Roman" w:hAnsi="Times New Roman"/>
          <w:color w:val="000000"/>
          <w:sz w:val="24"/>
          <w:szCs w:val="24"/>
          <w:shd w:val="clear" w:color="auto" w:fill="FFFFFF"/>
        </w:rPr>
        <w:t xml:space="preserve"> women in gas flaring communities: a baseline study in Bayelsa </w:t>
      </w:r>
      <w:proofErr w:type="spellStart"/>
      <w:r>
        <w:rPr>
          <w:rFonts w:ascii="Times New Roman" w:hAnsi="Times New Roman"/>
          <w:color w:val="000000"/>
          <w:sz w:val="24"/>
          <w:szCs w:val="24"/>
          <w:shd w:val="clear" w:color="auto" w:fill="FFFFFF"/>
        </w:rPr>
        <w:t>state,Nigeria</w:t>
      </w:r>
      <w:proofErr w:type="spellEnd"/>
      <w:r>
        <w:rPr>
          <w:rFonts w:ascii="Times New Roman" w:hAnsi="Times New Roman"/>
          <w:color w:val="000000"/>
          <w:sz w:val="24"/>
          <w:szCs w:val="24"/>
          <w:shd w:val="clear" w:color="auto" w:fill="FFFFFF"/>
        </w:rPr>
        <w:t>. Journal of Research in Medicine and Medical Science 2(6):104-108.</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Stone NJ, Smith SC Jr, </w:t>
      </w:r>
      <w:proofErr w:type="spellStart"/>
      <w:r>
        <w:rPr>
          <w:rFonts w:ascii="Times New Roman" w:hAnsi="Times New Roman"/>
          <w:color w:val="000000"/>
          <w:sz w:val="24"/>
          <w:szCs w:val="24"/>
          <w:shd w:val="clear" w:color="auto" w:fill="FFFFFF"/>
        </w:rPr>
        <w:t>Orringer</w:t>
      </w:r>
      <w:proofErr w:type="spellEnd"/>
      <w:r>
        <w:rPr>
          <w:rFonts w:ascii="Times New Roman" w:hAnsi="Times New Roman"/>
          <w:color w:val="000000"/>
          <w:sz w:val="24"/>
          <w:szCs w:val="24"/>
          <w:shd w:val="clear" w:color="auto" w:fill="FFFFFF"/>
        </w:rPr>
        <w:t xml:space="preserve"> CE, </w:t>
      </w:r>
      <w:proofErr w:type="spellStart"/>
      <w:r>
        <w:rPr>
          <w:rFonts w:ascii="Times New Roman" w:hAnsi="Times New Roman"/>
          <w:color w:val="000000"/>
          <w:sz w:val="24"/>
          <w:szCs w:val="24"/>
          <w:shd w:val="clear" w:color="auto" w:fill="FFFFFF"/>
        </w:rPr>
        <w:t>Rigotti</w:t>
      </w:r>
      <w:proofErr w:type="spellEnd"/>
      <w:r>
        <w:rPr>
          <w:rFonts w:ascii="Times New Roman" w:hAnsi="Times New Roman"/>
          <w:color w:val="000000"/>
          <w:sz w:val="24"/>
          <w:szCs w:val="24"/>
          <w:shd w:val="clear" w:color="auto" w:fill="FFFFFF"/>
        </w:rPr>
        <w:t xml:space="preserve"> NA, </w:t>
      </w:r>
      <w:proofErr w:type="spellStart"/>
      <w:r>
        <w:rPr>
          <w:rFonts w:ascii="Times New Roman" w:hAnsi="Times New Roman"/>
          <w:color w:val="000000"/>
          <w:sz w:val="24"/>
          <w:szCs w:val="24"/>
          <w:shd w:val="clear" w:color="auto" w:fill="FFFFFF"/>
        </w:rPr>
        <w:t>Navar</w:t>
      </w:r>
      <w:proofErr w:type="spellEnd"/>
      <w:r>
        <w:rPr>
          <w:rFonts w:ascii="Times New Roman" w:hAnsi="Times New Roman"/>
          <w:color w:val="000000"/>
          <w:sz w:val="24"/>
          <w:szCs w:val="24"/>
          <w:shd w:val="clear" w:color="auto" w:fill="FFFFFF"/>
        </w:rPr>
        <w:t xml:space="preserve"> AM, Khan SS, Jones DW, Goldberg R, Mora S, Blaha M, (2022). Managing atherosclerotic cardiovascular risk in young adults: JACC state</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of</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the</w:t>
      </w:r>
      <w:r>
        <w:rPr>
          <w:rFonts w:ascii="Cambria Math" w:hAnsi="Cambria Math"/>
          <w:color w:val="000000"/>
          <w:sz w:val="24"/>
          <w:szCs w:val="24"/>
          <w:shd w:val="clear" w:color="auto" w:fill="FFFFFF"/>
        </w:rPr>
        <w:t>‐</w:t>
      </w:r>
      <w:r>
        <w:rPr>
          <w:rFonts w:ascii="Times New Roman" w:hAnsi="Times New Roman"/>
          <w:color w:val="000000"/>
          <w:sz w:val="24"/>
          <w:szCs w:val="24"/>
          <w:shd w:val="clear" w:color="auto" w:fill="FFFFFF"/>
        </w:rPr>
        <w:t>art review. </w:t>
      </w:r>
      <w:r>
        <w:rPr>
          <w:rStyle w:val="Emphasis"/>
          <w:rFonts w:ascii="Times New Roman" w:hAnsi="Times New Roman"/>
          <w:color w:val="000000"/>
          <w:sz w:val="24"/>
          <w:szCs w:val="24"/>
          <w:shd w:val="clear" w:color="auto" w:fill="FFFFFF"/>
        </w:rPr>
        <w:t xml:space="preserve">J Am Coll </w:t>
      </w:r>
      <w:proofErr w:type="spellStart"/>
      <w:r>
        <w:rPr>
          <w:rStyle w:val="Emphasis"/>
          <w:rFonts w:ascii="Times New Roman" w:hAnsi="Times New Roman"/>
          <w:color w:val="000000"/>
          <w:sz w:val="24"/>
          <w:szCs w:val="24"/>
          <w:shd w:val="clear" w:color="auto" w:fill="FFFFFF"/>
        </w:rPr>
        <w:t>Cardiol</w:t>
      </w:r>
      <w:proofErr w:type="spellEnd"/>
      <w:r>
        <w:rPr>
          <w:rFonts w:ascii="Times New Roman" w:hAnsi="Times New Roman"/>
          <w:color w:val="000000"/>
          <w:sz w:val="24"/>
          <w:szCs w:val="24"/>
          <w:shd w:val="clear" w:color="auto" w:fill="FFFFFF"/>
        </w:rPr>
        <w:t>. 79:819–836.</w:t>
      </w:r>
    </w:p>
    <w:p w:rsidR="003069A1" w:rsidRDefault="006037BE">
      <w:pPr>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Wang P, Liu M, Zhuang X, Guo Y, </w:t>
      </w:r>
      <w:proofErr w:type="spellStart"/>
      <w:r>
        <w:rPr>
          <w:rFonts w:ascii="Times New Roman" w:hAnsi="Times New Roman"/>
          <w:color w:val="000000"/>
          <w:sz w:val="24"/>
          <w:szCs w:val="24"/>
          <w:shd w:val="clear" w:color="auto" w:fill="FFFFFF"/>
        </w:rPr>
        <w:t>Xiong</w:t>
      </w:r>
      <w:proofErr w:type="spellEnd"/>
      <w:r>
        <w:rPr>
          <w:rFonts w:ascii="Times New Roman" w:hAnsi="Times New Roman"/>
          <w:color w:val="000000"/>
          <w:sz w:val="24"/>
          <w:szCs w:val="24"/>
          <w:shd w:val="clear" w:color="auto" w:fill="FFFFFF"/>
        </w:rPr>
        <w:t xml:space="preserve"> Z, He L, Cai X, Chen Z, Peng L, &amp; Liao X. (2023). Association of metabolically healthy obesity in young adulthood with myocardial structure and function. </w:t>
      </w:r>
      <w:r>
        <w:rPr>
          <w:rStyle w:val="Emphasis"/>
          <w:rFonts w:ascii="Times New Roman" w:hAnsi="Times New Roman"/>
          <w:color w:val="000000"/>
          <w:sz w:val="24"/>
          <w:szCs w:val="24"/>
          <w:shd w:val="clear" w:color="auto" w:fill="FFFFFF"/>
        </w:rPr>
        <w:t>International Journal m of Obesity</w:t>
      </w:r>
      <w:r>
        <w:rPr>
          <w:rFonts w:ascii="Times New Roman" w:hAnsi="Times New Roman"/>
          <w:color w:val="000000"/>
          <w:sz w:val="24"/>
          <w:szCs w:val="24"/>
          <w:shd w:val="clear" w:color="auto" w:fill="FFFFFF"/>
        </w:rPr>
        <w:t>.;47:399–405.</w:t>
      </w:r>
    </w:p>
    <w:p w:rsidR="003069A1" w:rsidRDefault="006037BE">
      <w:pPr>
        <w:ind w:left="630" w:hanging="630"/>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Whelton</w:t>
      </w:r>
      <w:proofErr w:type="spellEnd"/>
      <w:r>
        <w:rPr>
          <w:rFonts w:ascii="Times New Roman" w:hAnsi="Times New Roman"/>
          <w:color w:val="000000"/>
          <w:sz w:val="24"/>
          <w:szCs w:val="24"/>
          <w:shd w:val="clear" w:color="auto" w:fill="FFFFFF"/>
        </w:rPr>
        <w:t xml:space="preserve">, S.P., McEvoy, J.W., Shaw, L., </w:t>
      </w:r>
      <w:proofErr w:type="spellStart"/>
      <w:r>
        <w:rPr>
          <w:rFonts w:ascii="Times New Roman" w:hAnsi="Times New Roman"/>
          <w:color w:val="000000"/>
          <w:sz w:val="24"/>
          <w:szCs w:val="24"/>
          <w:shd w:val="clear" w:color="auto" w:fill="FFFFFF"/>
        </w:rPr>
        <w:t>Psaty</w:t>
      </w:r>
      <w:proofErr w:type="spellEnd"/>
      <w:r>
        <w:rPr>
          <w:rFonts w:ascii="Times New Roman" w:hAnsi="Times New Roman"/>
          <w:color w:val="000000"/>
          <w:sz w:val="24"/>
          <w:szCs w:val="24"/>
          <w:shd w:val="clear" w:color="auto" w:fill="FFFFFF"/>
        </w:rPr>
        <w:t xml:space="preserve">, B.M., Lima, J.A.C., </w:t>
      </w:r>
      <w:proofErr w:type="spellStart"/>
      <w:r>
        <w:rPr>
          <w:rFonts w:ascii="Times New Roman" w:hAnsi="Times New Roman"/>
          <w:color w:val="000000"/>
          <w:sz w:val="24"/>
          <w:szCs w:val="24"/>
          <w:shd w:val="clear" w:color="auto" w:fill="FFFFFF"/>
        </w:rPr>
        <w:t>Budoff</w:t>
      </w:r>
      <w:proofErr w:type="spellEnd"/>
      <w:r>
        <w:rPr>
          <w:rFonts w:ascii="Times New Roman" w:hAnsi="Times New Roman"/>
          <w:color w:val="000000"/>
          <w:sz w:val="24"/>
          <w:szCs w:val="24"/>
          <w:shd w:val="clear" w:color="auto" w:fill="FFFFFF"/>
        </w:rPr>
        <w:t xml:space="preserve">, M., Nasir, K., </w:t>
      </w:r>
      <w:proofErr w:type="spellStart"/>
      <w:r>
        <w:rPr>
          <w:rFonts w:ascii="Times New Roman" w:hAnsi="Times New Roman"/>
          <w:color w:val="000000"/>
          <w:sz w:val="24"/>
          <w:szCs w:val="24"/>
          <w:shd w:val="clear" w:color="auto" w:fill="FFFFFF"/>
        </w:rPr>
        <w:t>Szklo</w:t>
      </w:r>
      <w:proofErr w:type="spellEnd"/>
      <w:r>
        <w:rPr>
          <w:rFonts w:ascii="Times New Roman" w:hAnsi="Times New Roman"/>
          <w:color w:val="000000"/>
          <w:sz w:val="24"/>
          <w:szCs w:val="24"/>
          <w:shd w:val="clear" w:color="auto" w:fill="FFFFFF"/>
        </w:rPr>
        <w:t>, M., Blumenthal, R.S., &amp; Blaha, M.J., (2020). Association of normal systolic blood pressure level with cardiovascular disease in the absence of risk factors. </w:t>
      </w:r>
      <w:r>
        <w:rPr>
          <w:rStyle w:val="Emphasis"/>
          <w:rFonts w:ascii="Times New Roman" w:hAnsi="Times New Roman"/>
          <w:color w:val="000000"/>
          <w:sz w:val="24"/>
          <w:szCs w:val="24"/>
          <w:shd w:val="clear" w:color="auto" w:fill="FFFFFF"/>
        </w:rPr>
        <w:t xml:space="preserve">JAMA </w:t>
      </w:r>
      <w:proofErr w:type="spellStart"/>
      <w:r>
        <w:rPr>
          <w:rStyle w:val="Emphasis"/>
          <w:rFonts w:ascii="Times New Roman" w:hAnsi="Times New Roman"/>
          <w:color w:val="000000"/>
          <w:sz w:val="24"/>
          <w:szCs w:val="24"/>
          <w:shd w:val="clear" w:color="auto" w:fill="FFFFFF"/>
        </w:rPr>
        <w:t>Cardiol</w:t>
      </w:r>
      <w:proofErr w:type="spellEnd"/>
      <w:r>
        <w:rPr>
          <w:rFonts w:ascii="Times New Roman" w:hAnsi="Times New Roman"/>
          <w:color w:val="000000"/>
          <w:sz w:val="24"/>
          <w:szCs w:val="24"/>
          <w:shd w:val="clear" w:color="auto" w:fill="FFFFFF"/>
        </w:rPr>
        <w:t>. 5:1011–1018.</w:t>
      </w:r>
    </w:p>
    <w:p w:rsidR="003069A1" w:rsidRDefault="006037BE">
      <w:pPr>
        <w:pStyle w:val="NoSpacing"/>
        <w:spacing w:line="480" w:lineRule="auto"/>
        <w:ind w:left="720" w:hanging="720"/>
        <w:rPr>
          <w:rFonts w:ascii="Times New Roman" w:hAnsi="Times New Roman"/>
          <w:sz w:val="24"/>
          <w:szCs w:val="24"/>
        </w:rPr>
      </w:pPr>
      <w:r>
        <w:rPr>
          <w:rFonts w:ascii="Times New Roman" w:hAnsi="Times New Roman"/>
          <w:sz w:val="24"/>
          <w:szCs w:val="24"/>
        </w:rPr>
        <w:t>WHO (2014,2023), 89:127-136. Doi: 10, 2471/BLT, 10.077982</w:t>
      </w:r>
    </w:p>
    <w:p w:rsidR="00054611" w:rsidRDefault="00054611">
      <w:pPr>
        <w:pStyle w:val="NoSpacing"/>
        <w:spacing w:line="480" w:lineRule="auto"/>
        <w:ind w:left="720" w:hanging="720"/>
        <w:rPr>
          <w:rFonts w:ascii="Times New Roman" w:hAnsi="Times New Roman"/>
          <w:sz w:val="24"/>
          <w:szCs w:val="24"/>
        </w:rPr>
      </w:pPr>
      <w:r>
        <w:rPr>
          <w:rFonts w:ascii="Times New Roman" w:hAnsi="Times New Roman"/>
          <w:sz w:val="24"/>
          <w:szCs w:val="24"/>
        </w:rPr>
        <w:t>WHO (2020). Guideline on BMI classifications update.</w:t>
      </w:r>
    </w:p>
    <w:p w:rsidR="003069A1" w:rsidRDefault="006037BE">
      <w:pPr>
        <w:tabs>
          <w:tab w:val="left" w:pos="1463"/>
        </w:tabs>
        <w:ind w:left="630" w:hanging="63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p>
    <w:p w:rsidR="003069A1" w:rsidRDefault="003069A1">
      <w:pPr>
        <w:rPr>
          <w:rFonts w:ascii="Times New Roman" w:hAnsi="Times New Roman" w:cs="Times New Roman"/>
          <w:sz w:val="24"/>
          <w:szCs w:val="24"/>
        </w:rPr>
      </w:pPr>
    </w:p>
    <w:sectPr w:rsidR="003069A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F07" w:rsidRDefault="00B66F07" w:rsidP="00257A8F">
      <w:pPr>
        <w:spacing w:after="0" w:line="240" w:lineRule="auto"/>
      </w:pPr>
      <w:r>
        <w:separator/>
      </w:r>
    </w:p>
  </w:endnote>
  <w:endnote w:type="continuationSeparator" w:id="0">
    <w:p w:rsidR="00B66F07" w:rsidRDefault="00B66F07" w:rsidP="0025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D2F" w:rsidRDefault="005E0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D2F" w:rsidRDefault="005E0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D2F" w:rsidRDefault="005E0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F07" w:rsidRDefault="00B66F07" w:rsidP="00257A8F">
      <w:pPr>
        <w:spacing w:after="0" w:line="240" w:lineRule="auto"/>
      </w:pPr>
      <w:r>
        <w:separator/>
      </w:r>
    </w:p>
  </w:footnote>
  <w:footnote w:type="continuationSeparator" w:id="0">
    <w:p w:rsidR="00B66F07" w:rsidRDefault="00B66F07" w:rsidP="0025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D2F" w:rsidRDefault="00B66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D2F" w:rsidRDefault="00B66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D2F" w:rsidRDefault="00B66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304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5CE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613A87"/>
    <w:multiLevelType w:val="hybridMultilevel"/>
    <w:tmpl w:val="27F42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9A1"/>
    <w:rsid w:val="00054611"/>
    <w:rsid w:val="001643C4"/>
    <w:rsid w:val="00257A8F"/>
    <w:rsid w:val="00295B27"/>
    <w:rsid w:val="002A400E"/>
    <w:rsid w:val="003069A1"/>
    <w:rsid w:val="0040245F"/>
    <w:rsid w:val="00445194"/>
    <w:rsid w:val="00452220"/>
    <w:rsid w:val="004B1DC4"/>
    <w:rsid w:val="00532BFF"/>
    <w:rsid w:val="005E0D2F"/>
    <w:rsid w:val="005F557B"/>
    <w:rsid w:val="006037BE"/>
    <w:rsid w:val="00653A15"/>
    <w:rsid w:val="00691DA8"/>
    <w:rsid w:val="006E7EFB"/>
    <w:rsid w:val="006F63DD"/>
    <w:rsid w:val="00777468"/>
    <w:rsid w:val="007B4A57"/>
    <w:rsid w:val="007B4CDD"/>
    <w:rsid w:val="00892C9D"/>
    <w:rsid w:val="0089792D"/>
    <w:rsid w:val="008E4AC9"/>
    <w:rsid w:val="008F519B"/>
    <w:rsid w:val="009F0E47"/>
    <w:rsid w:val="00A061B5"/>
    <w:rsid w:val="00A26593"/>
    <w:rsid w:val="00AA4D71"/>
    <w:rsid w:val="00AE666C"/>
    <w:rsid w:val="00B66F07"/>
    <w:rsid w:val="00BD5887"/>
    <w:rsid w:val="00C15568"/>
    <w:rsid w:val="00C30D35"/>
    <w:rsid w:val="00C55FEA"/>
    <w:rsid w:val="00DB0A7B"/>
    <w:rsid w:val="00DF6A2B"/>
    <w:rsid w:val="00E22CF0"/>
    <w:rsid w:val="00E30D0E"/>
    <w:rsid w:val="00EA0F22"/>
    <w:rsid w:val="00ED4BD2"/>
    <w:rsid w:val="00F12073"/>
    <w:rsid w:val="00F9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EC598"/>
  <w15:docId w15:val="{0BCD8EDE-2A15-4DE3-A2C0-6CFBA92D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SimSu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character" w:customStyle="1" w:styleId="NoSpacingChar">
    <w:name w:val="No Spacing Char"/>
    <w:basedOn w:val="DefaultParagraphFont"/>
    <w:link w:val="NoSpacing"/>
    <w:uiPriority w:val="1"/>
  </w:style>
  <w:style w:type="character" w:customStyle="1" w:styleId="button-label">
    <w:name w:val="button-label"/>
    <w:basedOn w:val="DefaultParagraphFont"/>
  </w:style>
  <w:style w:type="character" w:customStyle="1" w:styleId="authors">
    <w:name w:val="authors"/>
    <w:basedOn w:val="DefaultParagraphFont"/>
  </w:style>
  <w:style w:type="paragraph" w:styleId="ListParagraph">
    <w:name w:val="List Paragraph"/>
    <w:basedOn w:val="Normal"/>
    <w:uiPriority w:val="34"/>
    <w:qFormat/>
    <w:pPr>
      <w:ind w:left="720"/>
      <w:contextualSpacing/>
    </w:pPr>
    <w:rPr>
      <w:rFonts w:eastAsia="SimSun" w:cs="Times New Roman"/>
      <w:lang w:eastAsia="zh-CN"/>
    </w:rPr>
  </w:style>
  <w:style w:type="character" w:customStyle="1" w:styleId="Heading3Char">
    <w:name w:val="Heading 3 Char"/>
    <w:basedOn w:val="DefaultParagraphFont"/>
    <w:link w:val="Heading3"/>
    <w:uiPriority w:val="9"/>
    <w:rPr>
      <w:rFonts w:ascii="Cambria" w:eastAsia="SimSun" w:hAnsi="Cambria" w:cs="SimSun"/>
      <w:b/>
      <w:bCs/>
      <w:color w:val="4F81BD"/>
      <w:lang w:eastAsia="zh-CN"/>
    </w:rPr>
  </w:style>
  <w:style w:type="character" w:customStyle="1" w:styleId="text">
    <w:name w:val="text"/>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ct-xocs-alternative-link">
    <w:name w:val="react-xocs-alternative-link"/>
    <w:basedOn w:val="DefaultParagraphFont"/>
  </w:style>
  <w:style w:type="character" w:styleId="Emphasis">
    <w:name w:val="Emphasis"/>
    <w:basedOn w:val="DefaultParagraphFont"/>
    <w:uiPriority w:val="20"/>
    <w:qFormat/>
    <w:rPr>
      <w:i/>
      <w:iCs/>
    </w:rPr>
  </w:style>
  <w:style w:type="character" w:customStyle="1" w:styleId="authors-list-item">
    <w:name w:val="authors-list-item"/>
    <w:basedOn w:val="DefaultParagraphFont"/>
  </w:style>
  <w:style w:type="character" w:customStyle="1" w:styleId="comma">
    <w:name w:val="comma"/>
    <w:basedOn w:val="DefaultParagraphFont"/>
  </w:style>
  <w:style w:type="character" w:customStyle="1" w:styleId="period">
    <w:name w:val="period"/>
    <w:basedOn w:val="DefaultParagraphFont"/>
  </w:style>
  <w:style w:type="character" w:customStyle="1" w:styleId="cit">
    <w:name w:val="cit"/>
    <w:basedOn w:val="DefaultParagraphFont"/>
  </w:style>
  <w:style w:type="character" w:customStyle="1" w:styleId="citation-doi">
    <w:name w:val="citation-doi"/>
    <w:basedOn w:val="DefaultParagraphFont"/>
  </w:style>
  <w:style w:type="character" w:customStyle="1" w:styleId="anchor-text">
    <w:name w:val="anchor-text"/>
    <w:basedOn w:val="DefaultParagraphFont"/>
  </w:style>
  <w:style w:type="character" w:customStyle="1" w:styleId="title-text">
    <w:name w:val="title-text"/>
    <w:basedOn w:val="DefaultParagraphFont"/>
  </w:style>
  <w:style w:type="character" w:customStyle="1" w:styleId="given-name">
    <w:name w:val="given-name"/>
    <w:basedOn w:val="DefaultParagraphFont"/>
  </w:style>
  <w:style w:type="character" w:customStyle="1" w:styleId="ej-journal-name">
    <w:name w:val="ej-journal-name"/>
    <w:basedOn w:val="DefaultParagraphFont"/>
  </w:style>
  <w:style w:type="character" w:customStyle="1" w:styleId="ej-journal-doi">
    <w:name w:val="ej-journal-doi"/>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paragraph" w:styleId="Header">
    <w:name w:val="header"/>
    <w:basedOn w:val="Normal"/>
    <w:link w:val="HeaderChar"/>
    <w:uiPriority w:val="99"/>
    <w:unhideWhenUsed/>
    <w:rsid w:val="00257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A8F"/>
  </w:style>
  <w:style w:type="paragraph" w:styleId="Footer">
    <w:name w:val="footer"/>
    <w:basedOn w:val="Normal"/>
    <w:link w:val="FooterChar"/>
    <w:uiPriority w:val="99"/>
    <w:unhideWhenUsed/>
    <w:rsid w:val="00257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penpublichealthjournal.com/VOLUME/10/PAGE/32/" TargetMode="External"/><Relationship Id="rId13" Type="http://schemas.openxmlformats.org/officeDocument/2006/relationships/hyperlink" Target="https://pubmed.ncbi.nlm.nih.gov/?term=Dhaliwal+SS&amp;cauthor_id=24503301" TargetMode="External"/><Relationship Id="rId18" Type="http://schemas.openxmlformats.org/officeDocument/2006/relationships/hyperlink" Target="https://doi.org/10.1161/JAHA.123.03335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openpublichealthjournal.com/VOLUME/10/PAGE/32/" TargetMode="External"/><Relationship Id="rId7" Type="http://schemas.openxmlformats.org/officeDocument/2006/relationships/hyperlink" Target="https://pubmed.ncbi.nlm.nih.gov/?term=Goh+LG&amp;cauthor_id=24503301" TargetMode="External"/><Relationship Id="rId12" Type="http://schemas.openxmlformats.org/officeDocument/2006/relationships/hyperlink" Target="https://pubmed.ncbi.nlm.nih.gov/?term=Goh+LG&amp;cauthor_id=24503301" TargetMode="External"/><Relationship Id="rId17" Type="http://schemas.openxmlformats.org/officeDocument/2006/relationships/hyperlink" Target="https://www.sciencedirect.com/journal/journal-of-gynecology-obstetrics-and-human-reproduc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med.ncbi.nlm.nih.gov/?term=Della+PR&amp;cauthor_id=24503301" TargetMode="External"/><Relationship Id="rId20" Type="http://schemas.openxmlformats.org/officeDocument/2006/relationships/hyperlink" Target="https://doi.org/10.1186/s12884-019-2433-1"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hnm.2022.200160" TargetMode="External"/><Relationship Id="rId24" Type="http://schemas.openxmlformats.org/officeDocument/2006/relationships/hyperlink" Target="https://doi.org/10.1186/s12889-015-1709-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med.ncbi.nlm.nih.gov/?term=Lee+AH&amp;cauthor_id=24503301" TargetMode="External"/><Relationship Id="rId23" Type="http://schemas.openxmlformats.org/officeDocument/2006/relationships/hyperlink" Target="https://openpublichealthjournal.com/VOLUME/10/PAGE/32/" TargetMode="External"/><Relationship Id="rId28" Type="http://schemas.openxmlformats.org/officeDocument/2006/relationships/footer" Target="footer2.xml"/><Relationship Id="rId10" Type="http://schemas.openxmlformats.org/officeDocument/2006/relationships/hyperlink" Target="https://www.sciencedirect.com/journal/human-nutrition-and-metabolism" TargetMode="External"/><Relationship Id="rId19" Type="http://schemas.openxmlformats.org/officeDocument/2006/relationships/hyperlink" Target="https://journals.lww.com/nijc/pages/currenttoc.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topics/food-science/nutrition" TargetMode="External"/><Relationship Id="rId14" Type="http://schemas.openxmlformats.org/officeDocument/2006/relationships/hyperlink" Target="https://pubmed.ncbi.nlm.nih.gov/?term=Welborn+TA&amp;cauthor_id=24503301" TargetMode="External"/><Relationship Id="rId22" Type="http://schemas.openxmlformats.org/officeDocument/2006/relationships/hyperlink" Target="https://openpublichealthjournal.com/VOLUME/10/PAGE/3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1365</TotalTime>
  <Pages>16</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SDI 1183</cp:lastModifiedBy>
  <cp:revision>221</cp:revision>
  <dcterms:created xsi:type="dcterms:W3CDTF">2025-06-23T06:59:00Z</dcterms:created>
  <dcterms:modified xsi:type="dcterms:W3CDTF">2025-07-19T11:08:00Z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0fa387f43c92409d84d89a12898393d7</vt:lpwstr>
  </property>
</Properties>
</file>